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ind w:right="0"/>
        <w:jc w:val="center"/>
        <w:keepLines w:val="0"/>
        <w:keepNext/>
        <w:pageBreakBefore w:val="0"/>
        <w:widowControl w:val="off"/>
        <w:rPr>
          <w:rFonts w:hint="eastAsia" w:ascii="黑体" w:eastAsia="黑体"/>
          <w:color w:val="auto"/>
          <w:sz w:val="60"/>
          <w:szCs w:val="60"/>
          <w:highlight w:val="none"/>
        </w:rPr>
        <w:outlineLvl w:val="0"/>
      </w:pPr>
      <w:r/>
      <w:bookmarkStart w:id="0" w:name="_Toc20222"/>
      <w:r>
        <w:rPr>
          <w:rFonts w:hint="eastAsia" w:ascii="黑体" w:eastAsia="黑体"/>
          <w:color w:val="auto"/>
          <w:sz w:val="60"/>
          <w:szCs w:val="60"/>
          <w:highlight w:val="none"/>
        </w:rPr>
        <w:t xml:space="preserve">淮安市淮阴区政府采购项目</w:t>
      </w:r>
      <w:bookmarkEnd w:id="0"/>
      <w:r/>
      <w:r/>
    </w:p>
    <w:p>
      <w:pPr>
        <w:ind w:right="0"/>
        <w:jc w:val="center"/>
        <w:keepLines w:val="0"/>
        <w:pageBreakBefore w:val="0"/>
        <w:spacing w:line="1040" w:lineRule="exact"/>
        <w:rPr>
          <w:rFonts w:ascii="黑体" w:hAnsi="黑体" w:eastAsia="黑体"/>
          <w:b/>
          <w:color w:val="auto"/>
          <w:sz w:val="60"/>
          <w:szCs w:val="60"/>
          <w:highlight w:val="none"/>
        </w:rPr>
        <w:outlineLvl w:val="0"/>
      </w:pPr>
      <w:r/>
      <w:bookmarkStart w:id="1" w:name="_Toc12036"/>
      <w:r>
        <w:rPr>
          <w:rFonts w:hint="eastAsia" w:ascii="黑体" w:eastAsia="黑体"/>
          <w:color w:val="auto"/>
          <w:sz w:val="60"/>
          <w:szCs w:val="60"/>
          <w:highlight w:val="none"/>
        </w:rPr>
        <w:t xml:space="preserve">“全流程不见面交易”</w:t>
      </w:r>
      <w:bookmarkEnd w:id="1"/>
      <w:r/>
      <w:r/>
    </w:p>
    <w:p>
      <w:pPr>
        <w:ind w:right="0"/>
        <w:jc w:val="center"/>
        <w:keepLines w:val="0"/>
        <w:pageBreakBefore w:val="0"/>
        <w:spacing w:line="1040" w:lineRule="exact"/>
        <w:rPr>
          <w:rFonts w:ascii="黑体" w:hAnsi="黑体" w:eastAsia="黑体"/>
          <w:b/>
          <w:color w:val="auto"/>
          <w:sz w:val="60"/>
          <w:szCs w:val="60"/>
          <w:highlight w:val="none"/>
        </w:rPr>
        <w:outlineLvl w:val="0"/>
      </w:pPr>
      <w:r/>
      <w:bookmarkStart w:id="2" w:name="_Toc29091"/>
      <w:r>
        <w:rPr>
          <w:rFonts w:hint="eastAsia" w:ascii="黑体" w:hAnsi="黑体" w:eastAsia="黑体"/>
          <w:b w:val="0"/>
          <w:bCs/>
          <w:color w:val="auto"/>
          <w:sz w:val="60"/>
          <w:szCs w:val="60"/>
          <w:highlight w:val="none"/>
        </w:rPr>
        <w:t xml:space="preserve">公开招标文件</w:t>
      </w:r>
      <w:bookmarkEnd w:id="2"/>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left="723" w:hanging="723"/>
        <w:jc w:val="center"/>
        <w:keepLines w:val="0"/>
        <w:keepNext w:val="0"/>
        <w:pageBreakBefore w:val="0"/>
        <w:spacing w:line="760" w:lineRule="exact"/>
        <w:widowControl w:val="off"/>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项目名称：</w:t>
      </w:r>
      <w:r>
        <w:rPr>
          <w:rFonts w:hint="eastAsia" w:ascii="黑体" w:hAnsi="黑体" w:eastAsia="黑体"/>
          <w:b/>
          <w:color w:val="auto"/>
          <w:sz w:val="36"/>
          <w:szCs w:val="36"/>
          <w:highlight w:val="none"/>
          <w:lang w:eastAsia="zh-CN"/>
        </w:rPr>
        <w:t xml:space="preserve">淮阴区城管局环卫大型车辆采购项目</w:t>
      </w:r>
      <w:r/>
    </w:p>
    <w:p>
      <w:pPr>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1084"/>
        <w:jc w:val="both"/>
        <w:spacing w:line="760" w:lineRule="exact"/>
        <w:rPr>
          <w:rFonts w:hint="default" w:ascii="黑体" w:hAnsi="黑体" w:eastAsia="黑体"/>
          <w:b/>
          <w:color w:val="auto"/>
          <w:sz w:val="36"/>
          <w:highlight w:val="none"/>
          <w:lang w:val="en-US"/>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w:t>
      </w:r>
      <w:r>
        <w:rPr>
          <w:rFonts w:hint="eastAsia" w:ascii="黑体" w:hAnsi="黑体" w:eastAsia="黑体"/>
          <w:b/>
          <w:color w:val="auto"/>
          <w:sz w:val="36"/>
          <w:highlight w:val="none"/>
          <w:lang w:val="en-US" w:eastAsia="zh-CN"/>
        </w:rPr>
        <w:t xml:space="preserve">JSZC-320804-HAMH-G2026-0002</w:t>
      </w:r>
      <w:r/>
    </w:p>
    <w:p>
      <w:pPr>
        <w:ind w:left="-359" w:firstLine="360"/>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firstLine="1084"/>
        <w:jc w:val="both"/>
        <w:spacing w:line="760" w:lineRule="exact"/>
        <w:rPr>
          <w:rFonts w:hint="eastAsia" w:ascii="黑体" w:hAnsi="黑体" w:eastAsia="黑体"/>
          <w:b/>
          <w:color w:val="auto"/>
          <w:sz w:val="36"/>
          <w:highlight w:val="none"/>
          <w:lang w:val="en-US" w:eastAsia="zh-CN"/>
        </w:rPr>
      </w:pPr>
      <w:r>
        <w:rPr>
          <w:rFonts w:hint="eastAsia" w:ascii="黑体" w:hAnsi="黑体" w:eastAsia="黑体"/>
          <w:b/>
          <w:color w:val="auto"/>
          <w:sz w:val="36"/>
          <w:highlight w:val="none"/>
          <w:lang w:val="en-US" w:eastAsia="zh-CN"/>
        </w:rPr>
        <w:t xml:space="preserve">采购单位：淮安市淮阴区城市管理局</w:t>
      </w:r>
      <w:r/>
    </w:p>
    <w:p>
      <w:pPr>
        <w:jc w:val="center"/>
        <w:spacing w:line="600" w:lineRule="exact"/>
        <w:tabs>
          <w:tab w:val="center" w:pos="5215" w:leader="none"/>
        </w:tabs>
        <w:rPr>
          <w:rFonts w:hint="eastAsia" w:ascii="黑体" w:hAnsi="黑体" w:eastAsia="黑体"/>
          <w:b/>
          <w:color w:val="auto"/>
          <w:sz w:val="36"/>
          <w:szCs w:val="36"/>
          <w:highlight w:val="none"/>
          <w:lang w:val="en-US" w:eastAsia="zh-CN"/>
        </w:rPr>
      </w:pPr>
      <w:r>
        <w:rPr>
          <w:rFonts w:hint="eastAsia" w:ascii="黑体" w:hAnsi="黑体" w:eastAsia="黑体"/>
          <w:b/>
          <w:color w:val="auto"/>
          <w:sz w:val="36"/>
          <w:szCs w:val="36"/>
          <w:highlight w:val="none"/>
          <w:lang w:val="en-US" w:eastAsia="zh-CN"/>
        </w:rPr>
      </w:r>
      <w:r/>
    </w:p>
    <w:p>
      <w:pPr>
        <w:ind w:firstLine="1084"/>
        <w:jc w:val="both"/>
        <w:spacing w:line="760" w:lineRule="exact"/>
        <w:rPr>
          <w:rFonts w:hint="eastAsia" w:ascii="黑体" w:hAnsi="黑体" w:eastAsia="黑体"/>
          <w:b/>
          <w:color w:val="auto"/>
          <w:sz w:val="36"/>
          <w:highlight w:val="none"/>
          <w:lang w:val="en-US" w:eastAsia="zh-CN"/>
        </w:rPr>
      </w:pPr>
      <w:r>
        <w:rPr>
          <w:rFonts w:hint="eastAsia" w:ascii="黑体" w:hAnsi="黑体" w:eastAsia="黑体"/>
          <w:b/>
          <w:color w:val="auto"/>
          <w:sz w:val="36"/>
          <w:highlight w:val="none"/>
          <w:lang w:val="en-US" w:eastAsia="zh-CN"/>
        </w:rPr>
        <w:t xml:space="preserve">代理机构：江苏淮安木禾咨询有限公司</w:t>
      </w:r>
      <w:r/>
    </w:p>
    <w:p>
      <w:pPr>
        <w:jc w:val="center"/>
        <w:spacing w:line="600" w:lineRule="exact"/>
        <w:tabs>
          <w:tab w:val="center" w:pos="5215" w:leader="none"/>
        </w:tabs>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eastAsia="zh-CN"/>
        </w:rPr>
        <w:t xml:space="preserve">二〇二六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十一</w:t>
      </w:r>
      <w:r>
        <w:rPr>
          <w:rFonts w:hint="eastAsia" w:ascii="黑体" w:hAnsi="黑体" w:eastAsia="黑体"/>
          <w:b/>
          <w:color w:val="auto"/>
          <w:sz w:val="36"/>
          <w:szCs w:val="36"/>
          <w:highlight w:val="none"/>
        </w:rPr>
        <w:t xml:space="preserve">月</w:t>
      </w:r>
      <w:r/>
    </w:p>
    <w:p>
      <w:pPr>
        <w:rPr>
          <w:rFonts w:hint="eastAsia" w:ascii="宋体" w:hAnsi="宋体"/>
          <w:color w:val="auto"/>
          <w:sz w:val="24"/>
          <w:highlight w:val="none"/>
        </w:rPr>
      </w:pPr>
      <w:r>
        <w:rPr>
          <w:rFonts w:hint="eastAsia" w:ascii="宋体" w:hAnsi="宋体"/>
          <w:color w:val="auto"/>
          <w:sz w:val="24"/>
          <w:highlight w:val="none"/>
        </w:rPr>
      </w:r>
      <w:r/>
    </w:p>
    <w:p>
      <w:pPr>
        <w:ind w:left="0"/>
        <w:jc w:val="center"/>
        <w:keepLines w:val="0"/>
        <w:keepNext w:val="0"/>
        <w:pageBreakBefore w:val="0"/>
        <w:spacing w:line="336" w:lineRule="auto"/>
        <w:widowControl w:val="off"/>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第一章  投标邀请</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90"/>
        </w:trPr>
        <w:tc>
          <w:tcPr>
            <w:tcW w:w="9962" w:type="dxa"/>
            <w:textDirection w:val="lrTb"/>
            <w:noWrap w:val="false"/>
          </w:tcPr>
          <w:p>
            <w:pPr>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项目概况:</w:t>
            </w:r>
            <w:r/>
          </w:p>
          <w:p>
            <w:pPr>
              <w:ind w:firstLine="480"/>
              <w:keepLines w:val="0"/>
              <w:keepNext w:val="0"/>
              <w:pageBreakBefore w:val="0"/>
              <w:spacing w:line="336" w:lineRule="auto"/>
              <w:widowControl w:val="off"/>
              <w:rPr>
                <w:rFonts w:hint="eastAsia" w:ascii="仿宋" w:hAnsi="仿宋" w:eastAsia="仿宋"/>
                <w:color w:val="auto"/>
                <w:sz w:val="24"/>
                <w:szCs w:val="24"/>
                <w:highlight w:val="none"/>
                <w:vertAlign w:val="baseline"/>
              </w:rPr>
            </w:pPr>
            <w:r>
              <w:rPr>
                <w:rFonts w:hint="eastAsia" w:ascii="仿宋" w:hAnsi="仿宋" w:eastAsia="仿宋"/>
                <w:color w:val="auto"/>
                <w:sz w:val="24"/>
                <w:szCs w:val="24"/>
                <w:highlight w:val="none"/>
              </w:rPr>
              <w:t xml:space="preserve">淮阴区城管局环卫大型车辆采购项目的潜在投标人应在淮安市政府采购网自行免费下载招标文件，并于2026年</w:t>
            </w:r>
            <w:r>
              <w:rPr>
                <w:rFonts w:hint="eastAsia" w:ascii="仿宋" w:hAnsi="仿宋" w:eastAsia="仿宋"/>
                <w:color w:val="auto"/>
                <w:sz w:val="24"/>
                <w:szCs w:val="24"/>
                <w:highlight w:val="none"/>
                <w:lang w:val="en-US" w:eastAsia="zh-CN"/>
              </w:rPr>
              <w:t xml:space="preserve">11</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lang w:val="en-US" w:eastAsia="zh-CN"/>
              </w:rPr>
              <w:t xml:space="preserve">30</w:t>
            </w:r>
            <w:r>
              <w:rPr>
                <w:rFonts w:hint="eastAsia" w:ascii="仿宋" w:hAnsi="仿宋" w:eastAsia="仿宋"/>
                <w:color w:val="auto"/>
                <w:sz w:val="24"/>
                <w:szCs w:val="24"/>
                <w:highlight w:val="none"/>
              </w:rPr>
              <w:t xml:space="preserve">日</w:t>
            </w:r>
            <w:r>
              <w:rPr>
                <w:rFonts w:hint="eastAsia" w:ascii="仿宋" w:hAnsi="仿宋" w:eastAsia="仿宋"/>
                <w:color w:val="auto"/>
                <w:sz w:val="24"/>
                <w:szCs w:val="24"/>
                <w:highlight w:val="none"/>
                <w:lang w:val="en-US" w:eastAsia="zh-CN"/>
              </w:rPr>
              <w:t xml:space="preserve">9</w:t>
            </w:r>
            <w:r>
              <w:rPr>
                <w:rFonts w:hint="eastAsia" w:ascii="仿宋" w:hAnsi="仿宋" w:eastAsia="仿宋"/>
                <w:color w:val="auto"/>
                <w:sz w:val="24"/>
                <w:szCs w:val="24"/>
                <w:highlight w:val="none"/>
              </w:rPr>
              <w:t xml:space="preserve">点</w:t>
            </w:r>
            <w:r>
              <w:rPr>
                <w:rFonts w:hint="eastAsia" w:ascii="仿宋" w:hAnsi="仿宋" w:eastAsia="仿宋"/>
                <w:color w:val="auto"/>
                <w:sz w:val="24"/>
                <w:szCs w:val="24"/>
                <w:highlight w:val="none"/>
                <w:lang w:val="en-US" w:eastAsia="zh-CN"/>
              </w:rPr>
              <w:t xml:space="preserve">00</w:t>
            </w:r>
            <w:r>
              <w:rPr>
                <w:rFonts w:hint="eastAsia" w:ascii="仿宋" w:hAnsi="仿宋" w:eastAsia="仿宋"/>
                <w:color w:val="auto"/>
                <w:sz w:val="24"/>
                <w:szCs w:val="24"/>
                <w:highlight w:val="none"/>
              </w:rPr>
              <w:t xml:space="preserve">分（北京时间）前提交投标文件。</w:t>
            </w:r>
            <w:r/>
          </w:p>
        </w:tc>
      </w:tr>
    </w:tbl>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一、项目基本情况</w:t>
      </w:r>
      <w:r/>
    </w:p>
    <w:p>
      <w:pPr>
        <w:ind w:firstLine="480"/>
        <w:keepLines w:val="0"/>
        <w:keepNext w:val="0"/>
        <w:pageBreakBefore w:val="0"/>
        <w:spacing w:line="336"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（一）项目编号</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JSZC-320804-HAMH-G2026-0002</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（二）项目名称</w:t>
      </w:r>
      <w:r>
        <w:rPr>
          <w:rFonts w:hint="eastAsia" w:ascii="仿宋" w:hAnsi="仿宋" w:eastAsia="仿宋"/>
          <w:color w:val="auto"/>
          <w:sz w:val="24"/>
          <w:szCs w:val="24"/>
          <w:highlight w:val="none"/>
          <w:lang w:eastAsia="zh-CN"/>
        </w:rPr>
        <w:t xml:space="preserve">：淮阴区城管局环卫大型车辆采购项目</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（三）预算金额</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654</w:t>
      </w:r>
      <w:r>
        <w:rPr>
          <w:rFonts w:hint="eastAsia" w:ascii="仿宋" w:hAnsi="仿宋" w:eastAsia="仿宋"/>
          <w:color w:val="auto"/>
          <w:sz w:val="24"/>
          <w:szCs w:val="24"/>
          <w:highlight w:val="none"/>
        </w:rPr>
        <w:t xml:space="preserve">万元</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（四）最高限价</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654</w:t>
      </w:r>
      <w:r>
        <w:rPr>
          <w:rFonts w:hint="eastAsia" w:ascii="仿宋" w:hAnsi="仿宋" w:eastAsia="仿宋"/>
          <w:color w:val="auto"/>
          <w:sz w:val="24"/>
          <w:szCs w:val="24"/>
          <w:highlight w:val="none"/>
        </w:rPr>
        <w:t xml:space="preserve">万元</w:t>
      </w:r>
      <w:r>
        <w:rPr>
          <w:rFonts w:hint="eastAsia" w:ascii="仿宋" w:hAnsi="仿宋" w:eastAsia="仿宋"/>
          <w:color w:val="auto"/>
          <w:sz w:val="24"/>
          <w:szCs w:val="24"/>
          <w:highlight w:val="none"/>
          <w:lang w:eastAsia="zh-CN"/>
        </w:rPr>
        <w:t xml:space="preserve">，其中：采购包一最高限价为</w:t>
      </w:r>
      <w:r>
        <w:rPr>
          <w:rFonts w:hint="eastAsia" w:ascii="仿宋" w:hAnsi="仿宋" w:eastAsia="仿宋"/>
          <w:color w:val="auto"/>
          <w:sz w:val="24"/>
          <w:szCs w:val="24"/>
          <w:highlight w:val="none"/>
          <w:lang w:val="en-US" w:eastAsia="zh-CN"/>
        </w:rPr>
        <w:t xml:space="preserve">354</w:t>
      </w:r>
      <w:r>
        <w:rPr>
          <w:rFonts w:hint="eastAsia" w:ascii="仿宋" w:hAnsi="仿宋" w:eastAsia="仿宋"/>
          <w:color w:val="auto"/>
          <w:sz w:val="24"/>
          <w:szCs w:val="24"/>
          <w:highlight w:val="none"/>
          <w:lang w:eastAsia="zh-CN"/>
        </w:rPr>
        <w:t xml:space="preserve">万元；采购包二最高限价为</w:t>
      </w:r>
      <w:r>
        <w:rPr>
          <w:rFonts w:hint="eastAsia" w:ascii="仿宋" w:hAnsi="仿宋" w:eastAsia="仿宋"/>
          <w:color w:val="auto"/>
          <w:sz w:val="24"/>
          <w:szCs w:val="24"/>
          <w:highlight w:val="none"/>
          <w:lang w:val="en-US" w:eastAsia="zh-CN"/>
        </w:rPr>
        <w:t xml:space="preserve">215</w:t>
      </w:r>
      <w:r>
        <w:rPr>
          <w:rFonts w:hint="eastAsia" w:ascii="仿宋" w:hAnsi="仿宋" w:eastAsia="仿宋"/>
          <w:color w:val="auto"/>
          <w:sz w:val="24"/>
          <w:szCs w:val="24"/>
          <w:highlight w:val="none"/>
          <w:lang w:eastAsia="zh-CN"/>
        </w:rPr>
        <w:t xml:space="preserve">万元，采购包三最高限价为</w:t>
      </w:r>
      <w:r>
        <w:rPr>
          <w:rFonts w:hint="eastAsia" w:ascii="仿宋" w:hAnsi="仿宋" w:eastAsia="仿宋"/>
          <w:color w:val="auto"/>
          <w:sz w:val="24"/>
          <w:szCs w:val="24"/>
          <w:highlight w:val="none"/>
          <w:lang w:val="en-US" w:eastAsia="zh-CN"/>
        </w:rPr>
        <w:t xml:space="preserve">85</w:t>
      </w:r>
      <w:r>
        <w:rPr>
          <w:rFonts w:hint="eastAsia" w:ascii="仿宋" w:hAnsi="仿宋" w:eastAsia="仿宋"/>
          <w:color w:val="auto"/>
          <w:sz w:val="24"/>
          <w:szCs w:val="24"/>
          <w:highlight w:val="none"/>
          <w:lang w:eastAsia="zh-CN"/>
        </w:rPr>
        <w:t xml:space="preserve">万元。</w:t>
      </w:r>
      <w:r/>
    </w:p>
    <w:p>
      <w:pPr>
        <w:ind w:firstLine="480"/>
        <w:keepLines w:val="0"/>
        <w:keepNext w:val="0"/>
        <w:pageBreakBefore w:val="0"/>
        <w:spacing w:line="336"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（五）采购需求</w:t>
      </w:r>
      <w:r>
        <w:rPr>
          <w:rFonts w:hint="eastAsia" w:ascii="仿宋" w:hAnsi="仿宋" w:eastAsia="仿宋"/>
          <w:color w:val="auto"/>
          <w:sz w:val="24"/>
          <w:szCs w:val="24"/>
          <w:highlight w:val="none"/>
          <w:lang w:eastAsia="zh-CN"/>
        </w:rPr>
        <w:t xml:space="preserve">：环卫大型车辆采购，</w:t>
      </w:r>
      <w:r>
        <w:rPr>
          <w:rFonts w:hint="eastAsia" w:ascii="仿宋" w:hAnsi="仿宋" w:eastAsia="仿宋"/>
          <w:color w:val="auto"/>
          <w:sz w:val="24"/>
          <w:szCs w:val="24"/>
          <w:highlight w:val="none"/>
          <w:lang w:val="en-US" w:eastAsia="zh-CN"/>
        </w:rPr>
        <w:t xml:space="preserve">本次采购共分为三个采购包，投标人可兼投兼中。</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采购包一：12吨新能源洗地车（纯电动洗扫车）</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eastAsia="zh-CN"/>
        </w:rPr>
        <w:t xml:space="preserve">辆、18吨新能源洒水车（纯电动清洗车）</w:t>
      </w:r>
      <w:r>
        <w:rPr>
          <w:rFonts w:hint="eastAsia" w:ascii="仿宋" w:hAnsi="仿宋" w:eastAsia="仿宋" w:cs="Times New Roman"/>
          <w:color w:val="auto"/>
          <w:sz w:val="24"/>
          <w:szCs w:val="24"/>
          <w:highlight w:val="none"/>
          <w:lang w:val="en-US" w:eastAsia="zh-CN"/>
        </w:rPr>
        <w:t xml:space="preserve">1辆</w:t>
      </w:r>
      <w:r>
        <w:rPr>
          <w:rFonts w:hint="eastAsia" w:ascii="仿宋" w:hAnsi="仿宋" w:eastAsia="仿宋"/>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采购包二：</w:t>
      </w:r>
      <w:r>
        <w:rPr>
          <w:rFonts w:hint="eastAsia" w:ascii="仿宋" w:hAnsi="仿宋" w:eastAsia="仿宋"/>
          <w:color w:val="auto"/>
          <w:sz w:val="24"/>
          <w:szCs w:val="24"/>
          <w:highlight w:val="none"/>
          <w:lang w:val="en-US" w:eastAsia="zh-CN"/>
        </w:rPr>
        <w:t xml:space="preserve">31</w:t>
      </w:r>
      <w:r>
        <w:rPr>
          <w:rFonts w:hint="eastAsia" w:ascii="仿宋" w:hAnsi="仿宋" w:eastAsia="仿宋"/>
          <w:color w:val="auto"/>
          <w:sz w:val="24"/>
          <w:szCs w:val="24"/>
          <w:highlight w:val="none"/>
          <w:lang w:eastAsia="zh-CN"/>
        </w:rPr>
        <w:t xml:space="preserve">吨新能源勾臂车（纯电动车厢可卸式垃圾车）</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eastAsia="zh-CN"/>
        </w:rPr>
        <w:t xml:space="preserve">辆；</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采购包三：</w:t>
      </w:r>
      <w:r>
        <w:rPr>
          <w:rFonts w:hint="eastAsia" w:ascii="仿宋" w:hAnsi="仿宋" w:eastAsia="仿宋" w:cs="Times New Roman"/>
          <w:color w:val="auto"/>
          <w:sz w:val="24"/>
          <w:szCs w:val="24"/>
          <w:highlight w:val="none"/>
          <w:lang w:val="en-US" w:eastAsia="zh-CN"/>
        </w:rPr>
        <w:t xml:space="preserve">14立方综合融雪剂撒布车（除雪车）1辆</w:t>
      </w:r>
      <w:r>
        <w:rPr>
          <w:rFonts w:hint="eastAsia" w:ascii="仿宋" w:hAnsi="仿宋" w:eastAsia="仿宋"/>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详细内容见本招标文件第五章项目采购需求。</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（六）合同履行期限</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30日</w:t>
      </w:r>
      <w:r>
        <w:rPr>
          <w:rFonts w:hint="eastAsia" w:ascii="仿宋" w:hAnsi="仿宋" w:eastAsia="仿宋"/>
          <w:color w:val="auto"/>
          <w:sz w:val="24"/>
          <w:szCs w:val="24"/>
          <w:highlight w:val="none"/>
        </w:rPr>
        <w:t xml:space="preserve">内完成供货、调试并交付采购人使用。</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（七）本项目（</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是☑否）接受联合体投标。</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（八）本项目采购标的对应的中小企业划分标准所属行业为</w:t>
      </w:r>
      <w:r>
        <w:rPr>
          <w:rFonts w:hint="eastAsia" w:ascii="仿宋" w:hAnsi="仿宋" w:eastAsia="仿宋"/>
          <w:color w:val="auto"/>
          <w:sz w:val="24"/>
          <w:szCs w:val="24"/>
          <w:highlight w:val="none"/>
          <w:u w:val="single"/>
        </w:rPr>
        <w:t xml:space="preserve">工业</w:t>
      </w:r>
      <w:r>
        <w:rPr>
          <w:rFonts w:hint="eastAsia" w:ascii="仿宋" w:hAnsi="仿宋" w:eastAsia="仿宋"/>
          <w:color w:val="auto"/>
          <w:sz w:val="24"/>
          <w:szCs w:val="24"/>
          <w:highlight w:val="none"/>
        </w:rPr>
        <w:t xml:space="preserve">。</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二、申请人的资格要求</w:t>
      </w:r>
      <w:r>
        <w:rPr>
          <w:rFonts w:hint="eastAsia" w:ascii="仿宋" w:hAnsi="仿宋" w:eastAsia="仿宋"/>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（一）符合《中华人民共和国政府采购法》第二十二条规定；</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（二）落实政府采购政策需满足的资格要求</w:t>
      </w:r>
      <w:r>
        <w:rPr>
          <w:rFonts w:hint="eastAsia" w:ascii="仿宋" w:hAnsi="仿宋" w:eastAsia="仿宋"/>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本项目</w:t>
      </w:r>
      <w:r>
        <w:rPr>
          <w:rFonts w:hint="eastAsia" w:ascii="仿宋" w:hAnsi="仿宋" w:eastAsia="仿宋"/>
          <w:color w:val="auto"/>
          <w:sz w:val="24"/>
          <w:szCs w:val="24"/>
          <w:highlight w:val="none"/>
        </w:rPr>
        <w:t xml:space="preserve">按照</w:t>
      </w:r>
      <w:r>
        <w:rPr>
          <w:rFonts w:hint="eastAsia" w:ascii="仿宋" w:hAnsi="仿宋" w:eastAsia="仿宋"/>
          <w:color w:val="auto"/>
          <w:sz w:val="24"/>
          <w:szCs w:val="24"/>
          <w:highlight w:val="none"/>
          <w:lang w:val="zh-CN"/>
        </w:rPr>
        <w:t xml:space="preserve">以下第</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val="en-US" w:eastAsia="zh-CN"/>
        </w:rPr>
        <w:t xml:space="preserve">3</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lang w:val="zh-CN"/>
        </w:rPr>
        <w:t xml:space="preserve">种方式落实政府采购促进中小企业发展的要求：</w:t>
      </w:r>
      <w:r/>
    </w:p>
    <w:p>
      <w:pPr>
        <w:ind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zh-CN"/>
        </w:rPr>
        <w:t xml:space="preserve">1</w:t>
      </w:r>
      <w:r>
        <w:rPr>
          <w:rFonts w:hint="eastAsia" w:ascii="仿宋" w:hAnsi="仿宋" w:eastAsia="仿宋"/>
          <w:color w:val="auto"/>
          <w:sz w:val="24"/>
          <w:szCs w:val="24"/>
          <w:highlight w:val="none"/>
        </w:rPr>
        <w:t xml:space="preserve">.本项目为专门面向中小企业采购的项目。</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2.</w:t>
      </w:r>
      <w:r>
        <w:rPr>
          <w:rFonts w:hint="eastAsia" w:ascii="仿宋" w:hAnsi="仿宋" w:eastAsia="仿宋"/>
          <w:color w:val="auto"/>
          <w:sz w:val="24"/>
          <w:szCs w:val="24"/>
          <w:highlight w:val="none"/>
          <w:lang w:val="zh-CN"/>
        </w:rPr>
        <w:t xml:space="preserve">本项目通过以下第（）种方式预留部分采购份额</w:t>
      </w:r>
      <w:r>
        <w:rPr>
          <w:rFonts w:hint="eastAsia" w:ascii="仿宋" w:hAnsi="仿宋" w:eastAsia="仿宋"/>
          <w:color w:val="auto"/>
          <w:sz w:val="24"/>
          <w:szCs w:val="24"/>
          <w:highlight w:val="none"/>
        </w:rPr>
        <w:t xml:space="preserve">采购</w:t>
      </w:r>
      <w:r>
        <w:rPr>
          <w:rFonts w:hint="eastAsia" w:ascii="仿宋" w:hAnsi="仿宋" w:eastAsia="仿宋"/>
          <w:color w:val="auto"/>
          <w:sz w:val="24"/>
          <w:szCs w:val="24"/>
          <w:highlight w:val="none"/>
          <w:lang w:val="zh-CN"/>
        </w:rPr>
        <w:t xml:space="preserve">中小企业</w:t>
      </w:r>
      <w:r>
        <w:rPr>
          <w:rFonts w:hint="eastAsia" w:ascii="仿宋" w:hAnsi="仿宋" w:eastAsia="仿宋"/>
          <w:color w:val="auto"/>
          <w:sz w:val="24"/>
          <w:szCs w:val="24"/>
          <w:highlight w:val="none"/>
        </w:rPr>
        <w:t xml:space="preserve">服务</w:t>
      </w:r>
      <w:r>
        <w:rPr>
          <w:rFonts w:hint="eastAsia" w:ascii="仿宋" w:hAnsi="仿宋" w:eastAsia="仿宋"/>
          <w:color w:val="auto"/>
          <w:sz w:val="24"/>
          <w:szCs w:val="24"/>
          <w:highlight w:val="none"/>
          <w:lang w:val="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（1）本项目要求投标人以联合体形式参加，中小企业合同金额应当达到的比例为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，其中小微企业所占比例应为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（2）本项目要求投标人进行合同分包，中小企业合同金额应当达到的比例为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，其中小微企业所占比例应为    </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3</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zh-CN"/>
        </w:rPr>
        <w:t xml:space="preserve">本项目为非预留份额的采购项目，</w:t>
      </w:r>
      <w:r>
        <w:rPr>
          <w:rFonts w:hint="eastAsia" w:ascii="仿宋" w:hAnsi="仿宋" w:eastAsia="仿宋"/>
          <w:color w:val="auto"/>
          <w:sz w:val="24"/>
          <w:szCs w:val="24"/>
          <w:highlight w:val="none"/>
        </w:rPr>
        <w:t xml:space="preserve">对小微企业报价给予扣除，用扣除后的价格参加评审，具体详见第二章“</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须知”第33.1项</w:t>
      </w:r>
      <w:r>
        <w:rPr>
          <w:rFonts w:hint="eastAsia" w:ascii="仿宋" w:hAnsi="仿宋" w:eastAsia="仿宋"/>
          <w:color w:val="auto"/>
          <w:sz w:val="24"/>
          <w:szCs w:val="24"/>
          <w:highlight w:val="none"/>
          <w:lang w:val="zh-CN"/>
        </w:rPr>
        <w:t xml:space="preserve">。</w:t>
      </w:r>
      <w:r/>
    </w:p>
    <w:p>
      <w:pPr>
        <w:ind w:firstLine="480"/>
        <w:keepLines w:val="0"/>
        <w:keepNext w:val="0"/>
        <w:pageBreakBefore w:val="0"/>
        <w:spacing w:line="336" w:lineRule="auto"/>
        <w:widowControl w:val="off"/>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注</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（三）本项目的特定资格要求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无。</w:t>
      </w:r>
      <w:r/>
    </w:p>
    <w:p>
      <w:pPr>
        <w:ind w:left="0" w:firstLine="48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s="宋体"/>
          <w:color w:val="auto"/>
          <w:sz w:val="24"/>
          <w:szCs w:val="24"/>
          <w:highlight w:val="none"/>
        </w:rPr>
        <w:t xml:space="preserve">（四）拒绝下述条件的</w:t>
      </w:r>
      <w:r>
        <w:rPr>
          <w:rFonts w:hint="eastAsia" w:ascii="仿宋" w:hAnsi="仿宋" w:eastAsia="仿宋" w:cs="宋体"/>
          <w:color w:val="auto"/>
          <w:sz w:val="24"/>
          <w:szCs w:val="24"/>
          <w:highlight w:val="none"/>
          <w:lang w:eastAsia="zh-CN"/>
        </w:rPr>
        <w:t xml:space="preserve">投标人</w:t>
      </w:r>
      <w:r>
        <w:rPr>
          <w:rFonts w:hint="eastAsia" w:ascii="仿宋" w:hAnsi="仿宋" w:eastAsia="仿宋" w:cs="宋体"/>
          <w:color w:val="auto"/>
          <w:sz w:val="24"/>
          <w:szCs w:val="24"/>
          <w:highlight w:val="none"/>
        </w:rPr>
        <w:t xml:space="preserve">参加本次采购活动</w:t>
      </w:r>
      <w:r>
        <w:rPr>
          <w:rFonts w:hint="eastAsia" w:ascii="仿宋" w:hAnsi="仿宋" w:eastAsia="仿宋" w:cs="宋体"/>
          <w:color w:val="auto"/>
          <w:sz w:val="24"/>
          <w:szCs w:val="24"/>
          <w:highlight w:val="none"/>
          <w:lang w:eastAsia="zh-CN"/>
        </w:rPr>
        <w:t xml:space="preserve">：</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单位负责人为同一人或者存在直接控股、管理关系的不同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，不得</w:t>
      </w:r>
      <w:r>
        <w:rPr>
          <w:rFonts w:hint="eastAsia" w:ascii="仿宋" w:hAnsi="仿宋" w:eastAsia="仿宋"/>
          <w:color w:val="auto"/>
          <w:sz w:val="24"/>
          <w:szCs w:val="24"/>
          <w:highlight w:val="none"/>
        </w:rPr>
        <w:t xml:space="preserve">同时</w:t>
      </w:r>
      <w:r>
        <w:rPr>
          <w:rFonts w:ascii="仿宋" w:hAnsi="仿宋" w:eastAsia="仿宋"/>
          <w:color w:val="auto"/>
          <w:sz w:val="24"/>
          <w:szCs w:val="24"/>
          <w:highlight w:val="none"/>
        </w:rPr>
        <w:t xml:space="preserve">参加同一合同项下的政府采购活动。</w:t>
      </w:r>
      <w:r/>
    </w:p>
    <w:p>
      <w:pPr>
        <w:ind w:left="0" w:firstLine="560"/>
        <w:keepLines w:val="0"/>
        <w:keepNext w:val="0"/>
        <w:pageBreakBefore w:val="0"/>
        <w:spacing w:line="336" w:lineRule="auto"/>
        <w:widowControl w:val="off"/>
        <w:rPr>
          <w:rFonts w:hint="eastAsia" w:ascii="仿宋" w:hAnsi="仿宋" w:eastAsia="仿宋"/>
          <w:b/>
          <w:i/>
          <w:color w:val="auto"/>
          <w:sz w:val="24"/>
          <w:szCs w:val="24"/>
          <w:highlight w:val="none"/>
        </w:rPr>
      </w:pPr>
      <w:r>
        <w:rPr>
          <w:rFonts w:hint="eastAsia" w:ascii="仿宋" w:hAnsi="仿宋" w:eastAsia="仿宋"/>
          <w:color w:val="auto"/>
          <w:sz w:val="24"/>
          <w:szCs w:val="24"/>
          <w:highlight w:val="none"/>
        </w:rPr>
        <w:t xml:space="preserve">2.凡</w:t>
      </w:r>
      <w:r>
        <w:rPr>
          <w:rFonts w:ascii="仿宋" w:hAnsi="仿宋" w:eastAsia="仿宋"/>
          <w:color w:val="auto"/>
          <w:sz w:val="24"/>
          <w:szCs w:val="24"/>
          <w:highlight w:val="none"/>
        </w:rPr>
        <w:t xml:space="preserve">为采购项目提供整体设计、规范编制或者项目管理、监理、检测等服务的</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，不得再参加</w:t>
      </w:r>
      <w:r>
        <w:rPr>
          <w:rFonts w:hint="eastAsia" w:ascii="仿宋" w:hAnsi="仿宋" w:eastAsia="仿宋"/>
          <w:color w:val="auto"/>
          <w:sz w:val="24"/>
          <w:szCs w:val="24"/>
          <w:highlight w:val="none"/>
        </w:rPr>
        <w:t xml:space="preserve">本</w:t>
      </w:r>
      <w:r>
        <w:rPr>
          <w:rFonts w:ascii="仿宋" w:hAnsi="仿宋" w:eastAsia="仿宋"/>
          <w:color w:val="auto"/>
          <w:sz w:val="24"/>
          <w:szCs w:val="24"/>
          <w:highlight w:val="none"/>
        </w:rPr>
        <w:t xml:space="preserve">项目的采购活动。</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被“信用中国”网站、“中国政府采购网”列入失信被执行人、重大税收违法案件当事人名单、政府采购严重违法失信行为记录名单。</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三、获取招标文件</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时间</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自招标公告发布之日起五个工作日。</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方式：在“淮安市政府采购网”自行免费下载招标文件。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四、提交投标文件截止时间、开标时间和地点</w:t>
      </w:r>
      <w:r/>
    </w:p>
    <w:p>
      <w:pPr>
        <w:ind w:left="0" w:firstLine="652"/>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投标文件提交截止时间及开标时间</w:t>
      </w:r>
      <w:r>
        <w:rPr>
          <w:rFonts w:hint="eastAsia" w:ascii="仿宋" w:hAnsi="仿宋" w:eastAsia="仿宋"/>
          <w:color w:val="auto"/>
          <w:sz w:val="24"/>
          <w:szCs w:val="24"/>
          <w:highlight w:val="none"/>
          <w:lang w:eastAsia="zh-CN"/>
        </w:rPr>
        <w:t xml:space="preserve">：2026年</w:t>
      </w:r>
      <w:r>
        <w:rPr>
          <w:rFonts w:hint="eastAsia" w:ascii="仿宋" w:hAnsi="仿宋" w:eastAsia="仿宋"/>
          <w:color w:val="auto"/>
          <w:sz w:val="24"/>
          <w:szCs w:val="24"/>
          <w:highlight w:val="none"/>
          <w:lang w:val="en-US" w:eastAsia="zh-CN"/>
        </w:rPr>
        <w:t xml:space="preserve">11</w:t>
      </w:r>
      <w:r>
        <w:rPr>
          <w:rFonts w:hint="eastAsia" w:ascii="仿宋" w:hAnsi="仿宋" w:eastAsia="仿宋"/>
          <w:color w:val="auto"/>
          <w:sz w:val="24"/>
          <w:szCs w:val="24"/>
          <w:highlight w:val="none"/>
          <w:lang w:eastAsia="zh-CN"/>
        </w:rPr>
        <w:t xml:space="preserve">月3</w:t>
      </w:r>
      <w:r>
        <w:rPr>
          <w:rFonts w:hint="eastAsia" w:ascii="仿宋" w:hAnsi="仿宋" w:eastAsia="仿宋"/>
          <w:color w:val="auto"/>
          <w:sz w:val="24"/>
          <w:szCs w:val="24"/>
          <w:highlight w:val="none"/>
          <w:lang w:val="en-US" w:eastAsia="zh-CN"/>
        </w:rPr>
        <w:t xml:space="preserve">0</w:t>
      </w:r>
      <w:r>
        <w:rPr>
          <w:rFonts w:hint="eastAsia" w:ascii="仿宋" w:hAnsi="仿宋" w:eastAsia="仿宋"/>
          <w:color w:val="auto"/>
          <w:sz w:val="24"/>
          <w:szCs w:val="24"/>
          <w:highlight w:val="none"/>
          <w:lang w:eastAsia="zh-CN"/>
        </w:rPr>
        <w:t xml:space="preserve">日</w:t>
      </w:r>
      <w:r>
        <w:rPr>
          <w:rFonts w:hint="eastAsia" w:ascii="仿宋" w:hAnsi="仿宋" w:eastAsia="仿宋"/>
          <w:color w:val="auto"/>
          <w:sz w:val="24"/>
          <w:szCs w:val="24"/>
          <w:highlight w:val="none"/>
          <w:lang w:val="en-US" w:eastAsia="zh-CN"/>
        </w:rPr>
        <w:t xml:space="preserve">9</w:t>
      </w:r>
      <w:r>
        <w:rPr>
          <w:rFonts w:hint="eastAsia" w:ascii="仿宋" w:hAnsi="仿宋" w:eastAsia="仿宋"/>
          <w:color w:val="auto"/>
          <w:sz w:val="24"/>
          <w:szCs w:val="24"/>
          <w:highlight w:val="none"/>
        </w:rPr>
        <w:t xml:space="preserve">点</w:t>
      </w:r>
      <w:r>
        <w:rPr>
          <w:rFonts w:hint="eastAsia" w:ascii="仿宋" w:hAnsi="仿宋" w:eastAsia="仿宋"/>
          <w:color w:val="auto"/>
          <w:sz w:val="24"/>
          <w:szCs w:val="24"/>
          <w:highlight w:val="none"/>
          <w:lang w:val="en-US" w:eastAsia="zh-CN"/>
        </w:rPr>
        <w:t xml:space="preserve">00</w:t>
      </w:r>
      <w:r>
        <w:rPr>
          <w:rFonts w:hint="eastAsia" w:ascii="仿宋" w:hAnsi="仿宋" w:eastAsia="仿宋"/>
          <w:color w:val="auto"/>
          <w:sz w:val="24"/>
          <w:szCs w:val="24"/>
          <w:highlight w:val="none"/>
        </w:rPr>
        <w:t xml:space="preserve">分</w:t>
      </w:r>
      <w:r/>
    </w:p>
    <w:p>
      <w:pPr>
        <w:ind w:left="0" w:firstLine="652"/>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投标文件上传地址：“苏采云”政府采购交易系统网上开标大厅。</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五、公告期限</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自本公告发布之日起五个工作日。</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六、其他补充事宜</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本项目仅采购非进口产品（注</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本文件所称进口产品是指通过中国海关报关验放进入中国境内且产自关境外的产品）。</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七、对本次采购提出询问，请按以下方式联系。</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1.采购人联系方式</w:t>
      </w:r>
      <w:r/>
    </w:p>
    <w:p>
      <w:pPr>
        <w:ind w:left="0" w:firstLine="560"/>
        <w:jc w:val="left"/>
        <w:keepLines w:val="0"/>
        <w:keepNext w:val="0"/>
        <w:pageBreakBefore w:val="0"/>
        <w:spacing w:line="336"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淮安市淮阴区城市管理局</w:t>
      </w:r>
      <w:r/>
    </w:p>
    <w:p>
      <w:pPr>
        <w:ind w:left="0" w:firstLine="560"/>
        <w:jc w:val="left"/>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淮安市淮阴区九江东路27号</w:t>
      </w:r>
      <w:r/>
    </w:p>
    <w:p>
      <w:pPr>
        <w:ind w:left="0" w:firstLine="565"/>
        <w:keepLines w:val="0"/>
        <w:keepNext w:val="0"/>
        <w:pageBreakBefore w:val="0"/>
        <w:spacing w:line="336"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刘先生</w:t>
      </w:r>
      <w:r>
        <w:rPr>
          <w:rFonts w:hint="eastAsia" w:ascii="仿宋" w:hAnsi="仿宋" w:eastAsia="仿宋"/>
          <w:color w:val="auto"/>
          <w:sz w:val="24"/>
          <w:szCs w:val="24"/>
          <w:highlight w:val="none"/>
        </w:rPr>
        <w:t xml:space="preserve">      联系电话：</w:t>
      </w:r>
      <w:r>
        <w:rPr>
          <w:rFonts w:hint="eastAsia" w:ascii="仿宋" w:hAnsi="仿宋" w:eastAsia="仿宋" w:cs="仿宋"/>
          <w:bCs/>
          <w:color w:val="auto"/>
          <w:sz w:val="24"/>
          <w:szCs w:val="24"/>
          <w:highlight w:val="none"/>
          <w:lang w:val="en-US" w:eastAsia="zh-CN"/>
        </w:rPr>
        <w:t xml:space="preserve">18951265828</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2.采购代理机构信息</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名    称</w:t>
      </w:r>
      <w:r>
        <w:rPr>
          <w:rFonts w:hint="eastAsia" w:ascii="仿宋" w:hAnsi="仿宋" w:eastAsia="仿宋"/>
          <w:color w:val="auto"/>
          <w:sz w:val="24"/>
          <w:szCs w:val="24"/>
          <w:highlight w:val="none"/>
          <w:lang w:eastAsia="zh-CN"/>
        </w:rPr>
        <w:t xml:space="preserve">：江苏淮安木禾咨询有限公司</w:t>
      </w:r>
      <w:r/>
    </w:p>
    <w:p>
      <w:pPr>
        <w:ind w:left="0"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淮安市工人文化宫东100米（河边泵站）</w:t>
      </w:r>
      <w:r/>
    </w:p>
    <w:p>
      <w:pPr>
        <w:ind w:left="0" w:firstLine="565"/>
        <w:keepLines w:val="0"/>
        <w:keepNext w:val="0"/>
        <w:pageBreakBefore w:val="0"/>
        <w:spacing w:line="336" w:lineRule="auto"/>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魏工</w:t>
      </w:r>
      <w:r>
        <w:rPr>
          <w:rFonts w:hint="eastAsia" w:ascii="仿宋" w:hAnsi="仿宋" w:eastAsia="仿宋"/>
          <w:color w:val="auto"/>
          <w:sz w:val="24"/>
          <w:szCs w:val="24"/>
          <w:highlight w:val="none"/>
        </w:rPr>
        <w:t xml:space="preserve">      联系电话：</w:t>
      </w:r>
      <w:r>
        <w:rPr>
          <w:rFonts w:hint="eastAsia" w:ascii="仿宋" w:hAnsi="仿宋" w:eastAsia="仿宋" w:cs="仿宋"/>
          <w:bCs/>
          <w:color w:val="auto"/>
          <w:sz w:val="24"/>
          <w:szCs w:val="24"/>
          <w:highlight w:val="none"/>
          <w:lang w:val="en-US" w:eastAsia="zh-CN"/>
        </w:rPr>
        <w:t xml:space="preserve">15161795166</w:t>
      </w:r>
      <w:r/>
    </w:p>
    <w:p>
      <w:pPr>
        <w:ind w:left="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八、其他</w:t>
      </w:r>
      <w:r/>
    </w:p>
    <w:p>
      <w:pPr>
        <w:ind w:left="0" w:firstLine="567"/>
        <w:keepLines w:val="0"/>
        <w:keepNext w:val="0"/>
        <w:pageBreakBefore w:val="0"/>
        <w:spacing w:line="336"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通过苏采云系统参与政府采购项目，需要更换CA数字证书和公章。具体办理指南和操作手册见链接：http://www.ccgp-jiangsu.gov.cn/jiangsu/zlxz/ee/ee3a4bc5a3454aa2b0d9312230633ce9.html。</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操作手册》（以下简称《操作手册》）、进行注册并按《操作手册》要求制作、上传电子响应文件。</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.有关本次招标的事项若存在变动或修改，敬请及时关注</w:t>
      </w:r>
      <w:r>
        <w:rPr>
          <w:rFonts w:hint="eastAsia" w:ascii="仿宋" w:hAnsi="仿宋" w:eastAsia="仿宋"/>
          <w:color w:val="auto"/>
          <w:sz w:val="24"/>
          <w:szCs w:val="24"/>
          <w:highlight w:val="none"/>
          <w:lang w:eastAsia="zh-CN"/>
        </w:rPr>
        <w:t xml:space="preserve">江苏淮安木禾咨询有限公司</w:t>
      </w:r>
      <w:r>
        <w:rPr>
          <w:rFonts w:hint="eastAsia" w:ascii="仿宋" w:hAnsi="仿宋" w:eastAsia="仿宋"/>
          <w:color w:val="auto"/>
          <w:sz w:val="24"/>
          <w:szCs w:val="24"/>
          <w:highlight w:val="none"/>
        </w:rPr>
        <w:t xml:space="preserve">在“淮安市政府采购网”发布的更正公告。</w:t>
      </w:r>
      <w:r/>
    </w:p>
    <w:p>
      <w:pPr>
        <w:ind w:left="0" w:firstLine="565"/>
        <w:keepLines w:val="0"/>
        <w:keepNext w:val="0"/>
        <w:pageBreakBefore w:val="0"/>
        <w:spacing w:line="336" w:lineRule="auto"/>
        <w:widowControl w:val="off"/>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.本项目不收取投标保证金。</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olor w:val="auto"/>
          <w:sz w:val="28"/>
          <w:szCs w:val="28"/>
          <w:highlight w:val="none"/>
        </w:rPr>
      </w:r>
      <w:r/>
    </w:p>
    <w:p>
      <w:pPr>
        <w:jc w:val="cente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第二章  </w:t>
      </w:r>
      <w:r>
        <w:rPr>
          <w:rFonts w:hint="eastAsia" w:ascii="仿宋" w:hAnsi="仿宋" w:eastAsia="仿宋"/>
          <w:b/>
          <w:color w:val="auto"/>
          <w:sz w:val="32"/>
          <w:szCs w:val="32"/>
          <w:highlight w:val="none"/>
          <w:lang w:eastAsia="zh-CN"/>
        </w:rPr>
        <w:t xml:space="preserve">投标人</w:t>
      </w:r>
      <w:r>
        <w:rPr>
          <w:rFonts w:hint="eastAsia" w:ascii="仿宋" w:hAnsi="仿宋" w:eastAsia="仿宋"/>
          <w:b/>
          <w:color w:val="auto"/>
          <w:sz w:val="32"/>
          <w:szCs w:val="32"/>
          <w:highlight w:val="none"/>
        </w:rPr>
        <w:t xml:space="preserve">须知</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一、总则</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1.适用范围</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1.1本招标文件仅适用于本次投标邀请中所述项目的采购。</w:t>
      </w:r>
      <w:r/>
    </w:p>
    <w:p>
      <w:pPr>
        <w:keepLines w:val="0"/>
        <w:keepNext w:val="0"/>
        <w:pageBreakBefore w:val="0"/>
        <w:spacing w:line="336"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2.合格的</w:t>
      </w:r>
      <w:r>
        <w:rPr>
          <w:rFonts w:hint="eastAsia" w:ascii="仿宋" w:hAnsi="仿宋" w:eastAsia="仿宋"/>
          <w:color w:val="auto"/>
          <w:sz w:val="24"/>
          <w:szCs w:val="24"/>
          <w:highlight w:val="none"/>
          <w:lang w:eastAsia="zh-CN"/>
        </w:rPr>
        <w:t xml:space="preserve">投标人</w:t>
      </w:r>
      <w:r/>
    </w:p>
    <w:p>
      <w:pPr>
        <w:ind w:firstLine="555"/>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2.1满足第一章投标邀请中</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资格要求的规定。</w:t>
      </w:r>
      <w:r/>
    </w:p>
    <w:p>
      <w:pPr>
        <w:ind w:firstLine="555"/>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2.2满足招标文件中实质性条款的规定。</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3.适用法律</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3.1《中华人民共和国政府采购法</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中华人民共和国政府采购法实施条例</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政府采购货物和服务招标投标管理办法》等有关法律、规章和规定等。</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4.投标费用</w:t>
      </w:r>
      <w:r/>
    </w:p>
    <w:p>
      <w:pPr>
        <w:ind w:firstLine="555"/>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应自行承担所有与参加投标有关的费用。不论投标的结果如何，</w:t>
      </w:r>
      <w:r>
        <w:rPr>
          <w:rFonts w:hint="eastAsia" w:ascii="仿宋" w:hAnsi="仿宋" w:eastAsia="仿宋"/>
          <w:color w:val="auto"/>
          <w:sz w:val="24"/>
          <w:szCs w:val="24"/>
          <w:highlight w:val="none"/>
          <w:lang w:eastAsia="zh-CN"/>
        </w:rPr>
        <w:t xml:space="preserve">江苏淮安木禾咨询有限公司</w:t>
      </w:r>
      <w:r>
        <w:rPr>
          <w:rFonts w:hint="eastAsia" w:ascii="仿宋" w:hAnsi="仿宋" w:eastAsia="仿宋"/>
          <w:color w:val="auto"/>
          <w:sz w:val="24"/>
          <w:szCs w:val="24"/>
          <w:highlight w:val="none"/>
        </w:rPr>
        <w:t xml:space="preserve">（以下简称采购代理机构）和</w:t>
      </w:r>
      <w:r>
        <w:rPr>
          <w:rFonts w:hint="eastAsia" w:ascii="仿宋" w:hAnsi="仿宋" w:eastAsia="仿宋" w:cs="仿宋"/>
          <w:color w:val="auto"/>
          <w:sz w:val="24"/>
          <w:szCs w:val="24"/>
          <w:highlight w:val="none"/>
          <w:lang w:eastAsia="zh-CN"/>
        </w:rPr>
        <w:t xml:space="preserve">淮安市淮阴区城市管理局</w:t>
      </w:r>
      <w:r>
        <w:rPr>
          <w:rFonts w:hint="eastAsia" w:ascii="仿宋" w:hAnsi="仿宋" w:eastAsia="仿宋"/>
          <w:color w:val="auto"/>
          <w:sz w:val="24"/>
          <w:szCs w:val="24"/>
          <w:highlight w:val="none"/>
        </w:rPr>
        <w:t xml:space="preserve">（以下简称采购人）在任何情况下均无义务和责任承担这些费用。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4.2</w:t>
      </w:r>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招标代理费按照苏政采协〔2024〕20号文标准计取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此项</w:t>
      </w:r>
      <w:r>
        <w:rPr>
          <w:rFonts w:hint="eastAsia" w:ascii="仿宋" w:hAnsi="仿宋" w:eastAsia="仿宋" w:cs="仿宋"/>
          <w:color w:val="auto"/>
          <w:sz w:val="24"/>
          <w:szCs w:val="24"/>
          <w:highlight w:val="none"/>
        </w:rPr>
        <w:t xml:space="preserve">费用须包含在投标报价中，但无须单独列项计取，</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在报价时综合考虑，由中标</w:t>
      </w:r>
      <w:r>
        <w:rPr>
          <w:rFonts w:hint="eastAsia" w:ascii="仿宋" w:hAnsi="仿宋" w:eastAsia="仿宋"/>
          <w:color w:val="auto"/>
          <w:sz w:val="24"/>
          <w:szCs w:val="24"/>
          <w:highlight w:val="none"/>
          <w:lang w:eastAsia="zh-CN"/>
        </w:rPr>
        <w:t xml:space="preserve">人</w:t>
      </w:r>
      <w:r>
        <w:rPr>
          <w:rFonts w:hint="eastAsia" w:ascii="仿宋" w:hAnsi="仿宋" w:eastAsia="仿宋"/>
          <w:color w:val="auto"/>
          <w:sz w:val="24"/>
          <w:szCs w:val="24"/>
          <w:highlight w:val="none"/>
        </w:rPr>
        <w:t xml:space="preserve">在领取</w:t>
      </w:r>
      <w:r>
        <w:rPr>
          <w:rFonts w:hint="eastAsia" w:ascii="仿宋" w:hAnsi="仿宋" w:eastAsia="仿宋"/>
          <w:color w:val="auto"/>
          <w:sz w:val="24"/>
          <w:szCs w:val="24"/>
          <w:highlight w:val="none"/>
          <w:lang w:val="en-US" w:eastAsia="zh-CN"/>
        </w:rPr>
        <w:t xml:space="preserve">中标</w:t>
      </w:r>
      <w:r>
        <w:rPr>
          <w:rFonts w:hint="eastAsia" w:ascii="仿宋" w:hAnsi="仿宋" w:eastAsia="仿宋"/>
          <w:color w:val="auto"/>
          <w:sz w:val="24"/>
          <w:szCs w:val="24"/>
          <w:highlight w:val="none"/>
        </w:rPr>
        <w:t xml:space="preserve">通知书前向采购代理机构一次性付清。</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招标文件的约束力</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一旦参加本项目采购活动，即被认为接受了本招标文件的规定和约束。</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二、招标文件</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6.招标文件由以下部分组成</w:t>
      </w:r>
      <w:r>
        <w:rPr>
          <w:rFonts w:hint="eastAsia" w:ascii="仿宋" w:hAnsi="仿宋" w:eastAsia="仿宋"/>
          <w:color w:val="auto"/>
          <w:sz w:val="24"/>
          <w:szCs w:val="24"/>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6.1投标邀请</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须知</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6.3评标标准 </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6.4合同格式及条款</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6.5项目采购需求</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6.6投标文件</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7.招标文件的更正或补充</w:t>
      </w:r>
      <w:r/>
    </w:p>
    <w:p>
      <w:pPr>
        <w:ind w:firstLine="560"/>
        <w:keepLines w:val="0"/>
        <w:keepNext w:val="0"/>
        <w:pageBreakBefore w:val="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7.1在投标截止时间十五日前，</w:t>
      </w:r>
      <w:r>
        <w:rPr>
          <w:rFonts w:hint="eastAsia" w:ascii="仿宋" w:hAnsi="仿宋" w:eastAsia="仿宋"/>
          <w:color w:val="auto"/>
          <w:sz w:val="24"/>
          <w:szCs w:val="24"/>
          <w:highlight w:val="none"/>
        </w:rPr>
        <w:t xml:space="preserve">采购代理机构</w:t>
      </w:r>
      <w:r>
        <w:rPr>
          <w:rFonts w:hint="eastAsia" w:ascii="仿宋" w:hAnsi="仿宋" w:eastAsia="仿宋" w:cs="仿宋"/>
          <w:color w:val="auto"/>
          <w:sz w:val="24"/>
          <w:szCs w:val="24"/>
          <w:highlight w:val="none"/>
        </w:rPr>
        <w:t xml:space="preserve">可主动或在解答</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提出的澄清问题时对招标文件用更正公告的方式进行修正。</w:t>
      </w:r>
      <w:r/>
    </w:p>
    <w:p>
      <w:pPr>
        <w:ind w:firstLine="560"/>
        <w:keepLines w:val="0"/>
        <w:keepNext w:val="0"/>
        <w:pageBreakBefore w:val="0"/>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7.2对招标文件的更正将在淮安市政府采购网进行公告，更正公告将作为招标文件的组成部分，对所有参加本次投标的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都具有约束力。</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s="仿宋"/>
          <w:color w:val="auto"/>
          <w:sz w:val="24"/>
          <w:szCs w:val="24"/>
          <w:highlight w:val="none"/>
        </w:rPr>
        <w:t xml:space="preserve">7.3为使</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有足够的时间按招标文件的更正要求修正投标文件，</w:t>
      </w:r>
      <w:r>
        <w:rPr>
          <w:rFonts w:hint="eastAsia" w:ascii="仿宋" w:hAnsi="仿宋" w:eastAsia="仿宋"/>
          <w:color w:val="auto"/>
          <w:sz w:val="24"/>
          <w:szCs w:val="24"/>
          <w:highlight w:val="none"/>
        </w:rPr>
        <w:t xml:space="preserve">采购代理机构</w:t>
      </w:r>
      <w:r>
        <w:rPr>
          <w:rFonts w:hint="eastAsia" w:ascii="仿宋" w:hAnsi="仿宋" w:eastAsia="仿宋" w:cs="仿宋"/>
          <w:color w:val="auto"/>
          <w:sz w:val="24"/>
          <w:szCs w:val="24"/>
          <w:highlight w:val="none"/>
        </w:rPr>
        <w:t xml:space="preserve">有权按照相关法定的要求推迟投标截止时间和开标日期。</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三、投标文件的编制</w:t>
      </w:r>
      <w:r/>
    </w:p>
    <w:p>
      <w:pPr>
        <w:keepLines w:val="0"/>
        <w:keepNext w:val="0"/>
        <w:pageBreakBefore w:val="0"/>
        <w:spacing w:line="336" w:lineRule="auto"/>
        <w:rPr>
          <w:rFonts w:hint="eastAsia" w:ascii="仿宋" w:hAnsi="仿宋" w:eastAsia="仿宋"/>
          <w:color w:val="auto"/>
          <w:sz w:val="24"/>
          <w:szCs w:val="24"/>
          <w:highlight w:val="none"/>
        </w:rPr>
      </w:pPr>
      <w:r/>
      <w:bookmarkStart w:id="3" w:name="_Toc462564073"/>
      <w:r/>
      <w:bookmarkStart w:id="4" w:name="_Toc513029214"/>
      <w:r/>
      <w:bookmarkStart w:id="5" w:name="_Toc16938530"/>
      <w:r/>
      <w:bookmarkStart w:id="6" w:name="_Toc20823286"/>
      <w:r>
        <w:rPr>
          <w:rFonts w:hint="eastAsia" w:ascii="仿宋" w:hAnsi="仿宋" w:eastAsia="仿宋"/>
          <w:color w:val="auto"/>
          <w:sz w:val="24"/>
          <w:szCs w:val="24"/>
          <w:highlight w:val="none"/>
        </w:rPr>
        <w:t xml:space="preserve">8.投标文件的语言及度量衡单位</w:t>
      </w:r>
      <w:bookmarkEnd w:id="3"/>
      <w:r/>
      <w:bookmarkEnd w:id="4"/>
      <w:r/>
      <w:bookmarkEnd w:id="5"/>
      <w:r/>
      <w:bookmarkEnd w:id="6"/>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提交的投标文件以及</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与采购人就有关投标的所有来往通知、函件和文件均应使用简体中文。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8.2除技术性能另有规定外，投标文件所使用的度量衡单位，均须采用国家法定计量单位。</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9.投标文件构成</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编写的投标文件应包括资格证明文件、符合性证明文件、投标分项报价表、技术要求响应及偏离表、其他证明文件、投标函、开标一览表等部分。</w:t>
      </w:r>
      <w:r>
        <w:rPr>
          <w:rFonts w:hint="eastAsia" w:ascii="仿宋" w:hAnsi="仿宋" w:eastAsia="仿宋"/>
          <w:color w:val="auto"/>
          <w:sz w:val="24"/>
          <w:szCs w:val="24"/>
          <w:highlight w:val="none"/>
          <w:lang w:val="zh-CN"/>
        </w:rPr>
        <w:t xml:space="preserve">请投标人根据本招标文件的要求在指定模块中上传</w:t>
      </w:r>
      <w:r>
        <w:rPr>
          <w:rFonts w:hint="eastAsia" w:ascii="仿宋" w:hAnsi="仿宋" w:eastAsia="仿宋"/>
          <w:color w:val="auto"/>
          <w:sz w:val="24"/>
          <w:szCs w:val="24"/>
          <w:highlight w:val="none"/>
        </w:rPr>
        <w:t xml:space="preserve">相应</w:t>
      </w:r>
      <w:r>
        <w:rPr>
          <w:rFonts w:hint="eastAsia" w:ascii="仿宋" w:hAnsi="仿宋" w:eastAsia="仿宋"/>
          <w:color w:val="auto"/>
          <w:sz w:val="24"/>
          <w:szCs w:val="24"/>
          <w:highlight w:val="none"/>
          <w:lang w:val="zh-CN"/>
        </w:rPr>
        <w:t xml:space="preserve">的投标材料，未按招标文件要求在指定模块上传</w:t>
      </w:r>
      <w:r>
        <w:rPr>
          <w:rFonts w:hint="eastAsia" w:ascii="仿宋" w:hAnsi="仿宋" w:eastAsia="仿宋"/>
          <w:color w:val="auto"/>
          <w:sz w:val="24"/>
          <w:szCs w:val="24"/>
          <w:highlight w:val="none"/>
        </w:rPr>
        <w:t xml:space="preserve">相应</w:t>
      </w:r>
      <w:r>
        <w:rPr>
          <w:rFonts w:hint="eastAsia" w:ascii="仿宋" w:hAnsi="仿宋" w:eastAsia="仿宋"/>
          <w:color w:val="auto"/>
          <w:sz w:val="24"/>
          <w:szCs w:val="24"/>
          <w:highlight w:val="none"/>
          <w:lang w:val="zh-CN"/>
        </w:rPr>
        <w:t xml:space="preserve">的投标材料的，</w:t>
      </w:r>
      <w:r>
        <w:rPr>
          <w:rFonts w:hint="eastAsia" w:ascii="仿宋" w:hAnsi="仿宋" w:eastAsia="仿宋"/>
          <w:color w:val="auto"/>
          <w:sz w:val="24"/>
          <w:szCs w:val="24"/>
          <w:highlight w:val="none"/>
        </w:rPr>
        <w:t xml:space="preserve">视同未提交该投标材料处理。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9.2如标书制作工具中格式和内容与“江苏省政府采购网</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淮安市政府采购网”发布的招标文件不一致，请以“江苏省政府采购网</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淮安市政府采购网”发布的招标文件为准。</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10.证明</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及投标标的符合招标文件规定的文件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10.1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应按照招标文件要求提交证明文件，证明其及投标标的符合招标文件规定。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10.2招标文件对证明文件无明确形式要求的，证明文件可以以文字资料、图纸和数据等形式提交。</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11.投标分项报价表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11.1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应按照招标文件规定格式填报投标分项报价表。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12.技术要求响应及偏离表、商务要求响应及偏离表（如有）</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12.1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需对招标文件中的技术要求与商务要求逐项作出响应或偏离，并说明原因。</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12.2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可在投标文件中提供认为需要的其他技术文件或说明。</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13.服务承诺、培训计划、人员安排及其他（如有）</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13.1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13.2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需根据招标文件要求提供培训计划。</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13.3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需根据招标文件要求提供所投标的的主要组成部分、功能设计、实现思路及关键技术等。</w:t>
      </w:r>
      <w:r/>
    </w:p>
    <w:p>
      <w:pPr>
        <w:keepLines w:val="0"/>
        <w:keepNext w:val="0"/>
        <w:pageBreakBefore w:val="0"/>
        <w:spacing w:line="336" w:lineRule="auto"/>
        <w:rPr>
          <w:rFonts w:hint="eastAsia" w:ascii="仿宋" w:hAnsi="仿宋" w:eastAsia="仿宋"/>
          <w:color w:val="auto"/>
          <w:sz w:val="24"/>
          <w:szCs w:val="24"/>
          <w:highlight w:val="none"/>
        </w:rPr>
      </w:pPr>
      <w:r/>
      <w:bookmarkStart w:id="7" w:name="_Toc14577359"/>
      <w:r/>
      <w:bookmarkStart w:id="8" w:name="_Toc49090510"/>
      <w:r>
        <w:rPr>
          <w:rFonts w:hint="eastAsia" w:ascii="仿宋" w:hAnsi="仿宋" w:eastAsia="仿宋"/>
          <w:color w:val="auto"/>
          <w:sz w:val="24"/>
          <w:szCs w:val="24"/>
          <w:highlight w:val="none"/>
        </w:rPr>
        <w:t xml:space="preserve">14.投标函和开标一览表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14.1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应按照招标文件中提供的格式完整、正确填写投标函、开标一览表。</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bookmarkEnd w:id="7"/>
      <w:r/>
      <w:bookmarkEnd w:id="8"/>
      <w:r/>
      <w:r/>
    </w:p>
    <w:p>
      <w:pPr>
        <w:keepLines w:val="0"/>
        <w:keepNext w:val="0"/>
        <w:pageBreakBefore w:val="0"/>
        <w:spacing w:line="336" w:lineRule="auto"/>
        <w:rPr>
          <w:rFonts w:hint="eastAsia" w:ascii="仿宋" w:hAnsi="仿宋" w:eastAsia="仿宋"/>
          <w:color w:val="auto"/>
          <w:sz w:val="24"/>
          <w:szCs w:val="24"/>
          <w:highlight w:val="none"/>
        </w:rPr>
      </w:pPr>
      <w:r/>
      <w:bookmarkStart w:id="9" w:name="_Toc49090511"/>
      <w:r/>
      <w:bookmarkStart w:id="10" w:name="_Toc14577360"/>
      <w:r>
        <w:rPr>
          <w:rFonts w:hint="eastAsia" w:ascii="仿宋" w:hAnsi="仿宋" w:eastAsia="仿宋"/>
          <w:color w:val="auto"/>
          <w:sz w:val="24"/>
          <w:szCs w:val="24"/>
          <w:highlight w:val="none"/>
        </w:rPr>
        <w:t xml:space="preserve">15.投标有效期</w:t>
      </w:r>
      <w:bookmarkEnd w:id="9"/>
      <w:r/>
      <w:bookmarkEnd w:id="10"/>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15.1投标有效期为采购人规定的开标之日后九十（90）天。投标有效期比规定短的将被视为未实质性响应招标文件而予以拒绝。</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16.投标有效期的延长</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16.1在特殊情况下，采购人于原投标有效期满之前，可向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提出延长投标有效期的要求。这种要求与答复均应采用书面形式。</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可以拒绝采购人的这一要求而放弃投标，同意延长投标有效期的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既不能要求也不允许修改其投标文件。受投标有效期约束的所有权利与义务均延长至新的有效期。</w:t>
      </w:r>
      <w:r/>
    </w:p>
    <w:p>
      <w:pPr>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17.方案部分</w:t>
      </w:r>
      <w:r/>
    </w:p>
    <w:p>
      <w:pPr>
        <w:ind w:firstLine="560"/>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 本项目评标标准中的方案部分采用明标方式进行评审。</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四、投标文件上传</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18.投标文件的上传</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18.1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应当按照《操作手册》规定，在投标截止时间前</w:t>
      </w:r>
      <w:r>
        <w:rPr>
          <w:rFonts w:ascii="仿宋" w:hAnsi="仿宋" w:eastAsia="仿宋"/>
          <w:color w:val="auto"/>
          <w:sz w:val="24"/>
          <w:szCs w:val="24"/>
          <w:highlight w:val="none"/>
        </w:rPr>
        <w:t xml:space="preserve">制作</w:t>
      </w:r>
      <w:r>
        <w:rPr>
          <w:rFonts w:hint="eastAsia" w:ascii="仿宋" w:hAnsi="仿宋" w:eastAsia="仿宋"/>
          <w:color w:val="auto"/>
          <w:sz w:val="24"/>
          <w:szCs w:val="24"/>
          <w:highlight w:val="none"/>
        </w:rPr>
        <w:t xml:space="preserve">并上传电子投标文件。</w:t>
      </w:r>
      <w:r/>
    </w:p>
    <w:p>
      <w:pPr>
        <w:ind w:firstLine="560"/>
        <w:keepLines w:val="0"/>
        <w:keepNext w:val="0"/>
        <w:pageBreakBefore w:val="0"/>
        <w:spacing w:line="336" w:lineRule="auto"/>
        <w:rPr>
          <w:rFonts w:hint="eastAsia" w:ascii="仿宋" w:hAnsi="仿宋" w:eastAsia="仿宋" w:cs="宋体"/>
          <w:bCs/>
          <w:color w:val="auto"/>
          <w:sz w:val="24"/>
          <w:szCs w:val="24"/>
          <w:highlight w:val="none"/>
          <w:lang w:val="zh-CN"/>
        </w:rPr>
      </w:pPr>
      <w:r>
        <w:rPr>
          <w:rFonts w:hint="eastAsia" w:ascii="仿宋" w:hAnsi="仿宋" w:eastAsia="仿宋"/>
          <w:color w:val="auto"/>
          <w:sz w:val="24"/>
          <w:szCs w:val="24"/>
          <w:highlight w:val="none"/>
        </w:rPr>
        <w:t xml:space="preserve">18.2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上传的电子投标文件内容不清楚或不清晰的（含扫描</w:t>
      </w:r>
      <w:r>
        <w:rPr>
          <w:rFonts w:hint="eastAsia" w:ascii="仿宋" w:hAnsi="仿宋" w:eastAsia="仿宋" w:cs="宋体"/>
          <w:bCs/>
          <w:color w:val="auto"/>
          <w:sz w:val="24"/>
          <w:szCs w:val="24"/>
          <w:highlight w:val="none"/>
        </w:rPr>
        <w:t xml:space="preserve">件），造成无法评审或部分影响评审的，</w:t>
      </w:r>
      <w:r>
        <w:rPr>
          <w:rFonts w:hint="eastAsia" w:ascii="仿宋" w:hAnsi="仿宋" w:eastAsia="仿宋" w:cs="宋体"/>
          <w:bCs/>
          <w:color w:val="auto"/>
          <w:sz w:val="24"/>
          <w:szCs w:val="24"/>
          <w:highlight w:val="none"/>
          <w:lang w:val="zh-CN"/>
        </w:rPr>
        <w:t xml:space="preserve">责任由</w:t>
      </w:r>
      <w:r>
        <w:rPr>
          <w:rFonts w:hint="eastAsia" w:ascii="仿宋" w:hAnsi="仿宋" w:eastAsia="仿宋" w:cs="宋体"/>
          <w:bCs/>
          <w:color w:val="auto"/>
          <w:sz w:val="24"/>
          <w:szCs w:val="24"/>
          <w:highlight w:val="none"/>
          <w:lang w:eastAsia="zh-CN"/>
        </w:rPr>
        <w:t xml:space="preserve">投标人</w:t>
      </w:r>
      <w:r>
        <w:rPr>
          <w:rFonts w:hint="eastAsia" w:ascii="仿宋" w:hAnsi="仿宋" w:eastAsia="仿宋" w:cs="宋体"/>
          <w:bCs/>
          <w:color w:val="auto"/>
          <w:sz w:val="24"/>
          <w:szCs w:val="24"/>
          <w:highlight w:val="none"/>
          <w:lang w:val="zh-CN"/>
        </w:rPr>
        <w:t xml:space="preserve">自负。</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18.3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上传电子投标文件的时间不得迟于投标邀请中规定的截止时间。</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18.4代理公司可以按第7条规定，通过修改招标文件有权酌情延长投标文件接收截止时间。在此情况下，</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的所有权利和义务以及</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受制约的截止日期均应以延长后新的截止日期为准。</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19.投标文件被拒绝接收的情形</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19.1在招标文件规定的提交投标文件截止时间后上传的电子投标文件。</w:t>
      </w:r>
      <w:r/>
    </w:p>
    <w:p>
      <w:pPr>
        <w:keepLines w:val="0"/>
        <w:keepNext w:val="0"/>
        <w:pageBreakBefore w:val="0"/>
        <w:spacing w:line="336" w:lineRule="auto"/>
        <w:rPr>
          <w:rFonts w:hint="eastAsia" w:ascii="仿宋" w:hAnsi="仿宋" w:eastAsia="仿宋"/>
          <w:b/>
          <w:color w:val="auto"/>
          <w:sz w:val="24"/>
          <w:szCs w:val="24"/>
          <w:highlight w:val="none"/>
        </w:rPr>
      </w:pPr>
      <w:r>
        <w:rPr>
          <w:rFonts w:hint="eastAsia" w:ascii="仿宋" w:hAnsi="仿宋" w:eastAsia="仿宋"/>
          <w:color w:val="auto"/>
          <w:sz w:val="24"/>
          <w:szCs w:val="24"/>
          <w:highlight w:val="none"/>
        </w:rPr>
        <w:t xml:space="preserve">20.投标文件的修改和撤回</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20.1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在上传电子投标文件后可以对其修改或撤回，但这种修改和撤回，必须在规定的开标时间之前，具体操作方法见《操作手册》。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20.2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不得在开标时间以后修改电子投标文件。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20.3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不得在提交电子投标文件截止时间起至投标有效期满前撤回电子投标文件。</w:t>
      </w:r>
      <w:r/>
    </w:p>
    <w:p>
      <w:pPr>
        <w:keepLines w:val="0"/>
        <w:keepNext w:val="0"/>
        <w:pageBreakBefore w:val="0"/>
        <w:spacing w:line="336" w:lineRule="auto"/>
        <w:rPr>
          <w:rFonts w:hint="eastAsia" w:ascii="仿宋" w:hAnsi="仿宋" w:eastAsia="仿宋"/>
          <w:b/>
          <w:color w:val="auto"/>
          <w:sz w:val="28"/>
          <w:szCs w:val="28"/>
          <w:highlight w:val="none"/>
        </w:rPr>
      </w:pPr>
      <w:r/>
      <w:bookmarkStart w:id="11" w:name="_Toc162083530"/>
      <w:r>
        <w:rPr>
          <w:rFonts w:hint="eastAsia" w:ascii="仿宋" w:hAnsi="仿宋" w:eastAsia="仿宋"/>
          <w:b/>
          <w:color w:val="auto"/>
          <w:sz w:val="28"/>
          <w:szCs w:val="28"/>
          <w:highlight w:val="none"/>
        </w:rPr>
        <w:t xml:space="preserve">五、开标及评标</w:t>
      </w:r>
      <w:bookmarkEnd w:id="11"/>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21.开标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21.1代理公司将在招标公告中规定的时间和地点组织开标。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应当按照《操作手册》规定，</w:t>
      </w:r>
      <w:r>
        <w:rPr>
          <w:rFonts w:ascii="仿宋" w:hAnsi="仿宋" w:eastAsia="仿宋"/>
          <w:color w:val="auto"/>
          <w:sz w:val="24"/>
          <w:szCs w:val="24"/>
          <w:highlight w:val="none"/>
        </w:rPr>
        <w:t xml:space="preserve">参加开标活动</w:t>
      </w:r>
      <w:r>
        <w:rPr>
          <w:rFonts w:hint="eastAsia" w:ascii="仿宋" w:hAnsi="仿宋" w:eastAsia="仿宋"/>
          <w:color w:val="auto"/>
          <w:sz w:val="24"/>
          <w:szCs w:val="24"/>
          <w:highlight w:val="none"/>
        </w:rPr>
        <w:t xml:space="preserve">和在苏采云系统规定的时间内对投标文件进行解密。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21.2开标仪式由代理公司组织。苏采云系统将自动对</w:t>
      </w:r>
      <w:r>
        <w:rPr>
          <w:rFonts w:ascii="仿宋" w:hAnsi="仿宋" w:eastAsia="仿宋"/>
          <w:color w:val="auto"/>
          <w:sz w:val="24"/>
          <w:szCs w:val="24"/>
          <w:highlight w:val="none"/>
        </w:rPr>
        <w:t xml:space="preserve">项目进行开标，</w:t>
      </w:r>
      <w:r>
        <w:rPr>
          <w:rFonts w:hint="eastAsia" w:ascii="仿宋" w:hAnsi="仿宋" w:eastAsia="仿宋"/>
          <w:color w:val="auto"/>
          <w:sz w:val="24"/>
          <w:szCs w:val="24"/>
          <w:highlight w:val="none"/>
        </w:rPr>
        <w:t xml:space="preserve">并宣布各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名称和投标价格。</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21.3</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在开标过程中涉及到的投标文件解密、开标结果确认等工作，应按照《操作手册》规定执行。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21.4</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如果对开标过程和开标记录有疑义，应当根据《操作手册》规定提出，如苏采云系统中《开标记录表》宣布后5分钟内未提出的，视同认可开标结果。</w:t>
      </w:r>
      <w:r/>
    </w:p>
    <w:p>
      <w:pPr>
        <w:keepLines w:val="0"/>
        <w:keepNext w:val="0"/>
        <w:pageBreakBefore w:val="0"/>
        <w:spacing w:line="336" w:lineRule="auto"/>
        <w:rPr>
          <w:rFonts w:hint="eastAsia" w:ascii="仿宋" w:hAnsi="仿宋" w:eastAsia="仿宋"/>
          <w:color w:val="auto"/>
          <w:sz w:val="24"/>
          <w:szCs w:val="24"/>
          <w:highlight w:val="none"/>
        </w:rPr>
      </w:pPr>
      <w:r/>
      <w:bookmarkStart w:id="12" w:name="_Toc513029231"/>
      <w:r/>
      <w:bookmarkStart w:id="13" w:name="_Toc16938547"/>
      <w:r/>
      <w:bookmarkStart w:id="14" w:name="_Toc20823303"/>
      <w:r>
        <w:rPr>
          <w:rFonts w:hint="eastAsia" w:ascii="仿宋" w:hAnsi="仿宋" w:eastAsia="仿宋"/>
          <w:color w:val="auto"/>
          <w:sz w:val="24"/>
          <w:szCs w:val="24"/>
          <w:highlight w:val="none"/>
        </w:rPr>
        <w:t xml:space="preserve">22.评标委员会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22.1开标后，代理公司将立即组织评标委员会（以下简称评委会）进行评标。</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22.2评委会由采购人代表和有关技术、经济等方面的专家组成，且人员构成符合政府采购有关规定。</w:t>
      </w:r>
      <w:r/>
    </w:p>
    <w:p>
      <w:pPr>
        <w:ind w:firstLine="28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22.3评委会独立工作，负责评审所有投标文件并确定中标</w:t>
      </w:r>
      <w:r>
        <w:rPr>
          <w:rFonts w:hint="eastAsia" w:ascii="仿宋" w:hAnsi="仿宋" w:eastAsia="仿宋"/>
          <w:color w:val="auto"/>
          <w:sz w:val="24"/>
          <w:szCs w:val="24"/>
          <w:highlight w:val="none"/>
          <w:lang w:eastAsia="zh-CN"/>
        </w:rPr>
        <w:t xml:space="preserve">候选人</w:t>
      </w:r>
      <w:r>
        <w:rPr>
          <w:rFonts w:hint="eastAsia" w:ascii="仿宋" w:hAnsi="仿宋" w:eastAsia="仿宋"/>
          <w:color w:val="auto"/>
          <w:sz w:val="24"/>
          <w:szCs w:val="24"/>
          <w:highlight w:val="none"/>
        </w:rPr>
        <w:t xml:space="preserve">。</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23</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评标过程的保密与公正</w:t>
      </w:r>
      <w:bookmarkEnd w:id="12"/>
      <w:r/>
      <w:bookmarkEnd w:id="13"/>
      <w:r/>
      <w:bookmarkEnd w:id="14"/>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23.1凡是与审查、澄清、评价和比较投标的有关资料以及授标建议等，采购人、评委、代理公司均不得向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或与评标无关的其他人员透露。</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23.2在评标过程中，</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不得以任何行为影响评标过程，否则其投标文件将被作为无效投标文件。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代理公司和评标委员会不向未中标的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解释未中标原因，也不公布评标过程中的相关细节。</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采用综合评分法的项目，未中标的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可于中标结果公告期限届满之日起通过苏采云系统查看自己的评审得分及排序情况。</w:t>
      </w:r>
      <w:r/>
    </w:p>
    <w:p>
      <w:pPr>
        <w:keepLines w:val="0"/>
        <w:keepNext w:val="0"/>
        <w:pageBreakBefore w:val="0"/>
        <w:spacing w:line="336" w:lineRule="auto"/>
        <w:rPr>
          <w:rFonts w:hint="eastAsia" w:ascii="仿宋" w:hAnsi="仿宋" w:eastAsia="仿宋"/>
          <w:color w:val="auto"/>
          <w:sz w:val="24"/>
          <w:szCs w:val="24"/>
          <w:highlight w:val="none"/>
        </w:rPr>
      </w:pPr>
      <w:r/>
      <w:bookmarkStart w:id="15" w:name="_Toc16938548"/>
      <w:r/>
      <w:bookmarkStart w:id="16" w:name="_Toc20823304"/>
      <w:r/>
      <w:bookmarkStart w:id="17" w:name="_Toc513029232"/>
      <w:r>
        <w:rPr>
          <w:rFonts w:hint="eastAsia" w:ascii="仿宋" w:hAnsi="仿宋" w:eastAsia="仿宋"/>
          <w:color w:val="auto"/>
          <w:sz w:val="24"/>
          <w:szCs w:val="24"/>
          <w:highlight w:val="none"/>
        </w:rPr>
        <w:t xml:space="preserve">24</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投标文件的澄清</w:t>
      </w:r>
      <w:bookmarkEnd w:id="15"/>
      <w:r/>
      <w:bookmarkEnd w:id="16"/>
      <w:r/>
      <w:bookmarkEnd w:id="17"/>
      <w:r/>
      <w:r/>
    </w:p>
    <w:p>
      <w:pPr>
        <w:ind w:firstLine="560"/>
        <w:keepLines w:val="0"/>
        <w:keepNext w:val="0"/>
        <w:pageBreakBefore w:val="0"/>
        <w:spacing w:line="336" w:lineRule="auto"/>
        <w:rPr>
          <w:rFonts w:hint="eastAsia" w:ascii="仿宋" w:hAnsi="仿宋" w:eastAsia="仿宋"/>
          <w:color w:val="auto"/>
          <w:sz w:val="24"/>
          <w:szCs w:val="24"/>
          <w:highlight w:val="none"/>
        </w:rPr>
      </w:pPr>
      <w:r/>
      <w:bookmarkStart w:id="18" w:name="_Toc513029233"/>
      <w:r/>
      <w:bookmarkStart w:id="19" w:name="_Toc16938549"/>
      <w:r/>
      <w:bookmarkStart w:id="20" w:name="_Toc20823305"/>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评标期间，评委会对投标文件中含义不明确、同类问题表述不一致或者有明显文字和计算错误的内容，有权要求</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作出必要的澄清、说明或者补正。</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的澄清、说明或者补正不得超出投标文件的范围或者改变投标文件的实质性内容。</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评</w:t>
      </w:r>
      <w:r>
        <w:rPr>
          <w:rFonts w:ascii="仿宋" w:hAnsi="仿宋" w:eastAsia="仿宋"/>
          <w:color w:val="auto"/>
          <w:sz w:val="24"/>
          <w:szCs w:val="24"/>
          <w:highlight w:val="none"/>
        </w:rPr>
        <w:t xml:space="preserve">委会并非对每个</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都做澄清要求</w:t>
      </w:r>
      <w:r>
        <w:rPr>
          <w:rFonts w:hint="eastAsia" w:ascii="仿宋" w:hAnsi="仿宋" w:eastAsia="仿宋"/>
          <w:color w:val="auto"/>
          <w:sz w:val="24"/>
          <w:szCs w:val="24"/>
          <w:highlight w:val="none"/>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24.2需要</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进行澄清、说明和补正的，评委会将通过苏采云系统向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发出“澄清要求函”，接到“澄清要求函”的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24.3接到评委会澄清、说明和补正要求的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如未按规定</w:t>
      </w:r>
      <w:r>
        <w:rPr>
          <w:rFonts w:hint="eastAsia" w:ascii="仿宋" w:hAnsi="仿宋" w:eastAsia="仿宋"/>
          <w:color w:val="auto"/>
          <w:sz w:val="24"/>
          <w:szCs w:val="24"/>
          <w:highlight w:val="none"/>
          <w:lang w:eastAsia="zh-CN"/>
        </w:rPr>
        <w:t xml:space="preserve">作出</w:t>
      </w:r>
      <w:r>
        <w:rPr>
          <w:rFonts w:hint="eastAsia" w:ascii="仿宋" w:hAnsi="仿宋" w:eastAsia="仿宋"/>
          <w:color w:val="auto"/>
          <w:sz w:val="24"/>
          <w:szCs w:val="24"/>
          <w:highlight w:val="none"/>
        </w:rPr>
        <w:t xml:space="preserve">澄清、说明和补正，其风险由</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自行承担。</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25.对投标文件的初审</w:t>
      </w:r>
      <w:bookmarkEnd w:id="18"/>
      <w:r/>
      <w:bookmarkEnd w:id="19"/>
      <w:r/>
      <w:bookmarkEnd w:id="20"/>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25.1投标文件初审分为资格审查和符合性审查。</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25.1.1资格审查：依据法律法规和招标文件的规定，由采购人对投标文件中的资格证明文件进行审查。资格审查的结论，采购人向评委会进行反馈。</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采购人在进行资格性审查的同时，将在“信用中国”网站（www.creditchina.gov.cn）查询</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的信用记录，以确定</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是否具备投标资格</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查询结果留存并归档。</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接受联合体的项目，两个以上的自然人、法人或者其他组织组成一个联合体，以一个</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的身份共同参加政府采购活动的</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联合体成员中任何一方存在不良信用记录的，视同联合体存在不良应用记录。</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25.1.3未通过资格审查或符合性审查的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所谓重大偏离或保留是指与招标文件规定的实质性要求存在负偏离，或者在实质上与招标文件不一致，而且限制了合同中买方和采购人的权利或</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的义务，纠正这些偏离或保留将会对其他实质性响应要求的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25.3如果投标文件实质上没有响应招标文件的要求，评委会将予以拒绝，</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不得通过修改或撤销</w:t>
      </w:r>
      <w:r>
        <w:rPr>
          <w:rFonts w:hint="eastAsia" w:ascii="仿宋" w:hAnsi="仿宋" w:eastAsia="仿宋"/>
          <w:color w:val="auto"/>
          <w:sz w:val="24"/>
          <w:szCs w:val="24"/>
          <w:highlight w:val="none"/>
          <w:lang w:eastAsia="zh-CN"/>
        </w:rPr>
        <w:t xml:space="preserve">不符</w:t>
      </w:r>
      <w:r>
        <w:rPr>
          <w:rFonts w:hint="eastAsia" w:ascii="仿宋" w:hAnsi="仿宋" w:eastAsia="仿宋"/>
          <w:color w:val="auto"/>
          <w:sz w:val="24"/>
          <w:szCs w:val="24"/>
          <w:highlight w:val="none"/>
        </w:rPr>
        <w:t xml:space="preserve">合要求的偏离或保留而使其投标成为实质性响应的投标。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（1）投标文件中开标一览表内容与投标文件中相应内容不一致的，以开标一览表为准。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（2）大写金额和小写金额不一致的，以大写金额为准。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（3）单价金额小数点或者百分比有明显错位的，以开标一览表的总价为准，并修改单价。</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（4）总价金额与按单价汇总金额不一致的，以单价金额计算结果为准。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同时出现两种以上错误的，按照前款规定的顺序修正。</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25.5评委会将按上述修正错误的方法调整投标文件中的投标报价，并</w:t>
      </w:r>
      <w:r>
        <w:rPr>
          <w:rFonts w:ascii="仿宋" w:hAnsi="仿宋" w:eastAsia="仿宋"/>
          <w:color w:val="auto"/>
          <w:sz w:val="24"/>
          <w:szCs w:val="24"/>
          <w:highlight w:val="none"/>
        </w:rPr>
        <w:t xml:space="preserve">通过</w:t>
      </w:r>
      <w:r>
        <w:rPr>
          <w:rFonts w:hint="eastAsia" w:ascii="仿宋" w:hAnsi="仿宋" w:eastAsia="仿宋"/>
          <w:color w:val="auto"/>
          <w:sz w:val="24"/>
          <w:szCs w:val="24"/>
          <w:highlight w:val="none"/>
        </w:rPr>
        <w:t xml:space="preserve">苏采云系统告知</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调整后的价格应对</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具有约束力。如果</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不接受修正后的价格，则其投标将被拒绝。</w:t>
      </w:r>
      <w:r/>
    </w:p>
    <w:p>
      <w:pPr>
        <w:ind w:firstLine="560"/>
        <w:keepLines w:val="0"/>
        <w:keepNext w:val="0"/>
        <w:pageBreakBefore w:val="0"/>
        <w:spacing w:line="336" w:lineRule="auto"/>
        <w:rPr>
          <w:rFonts w:hint="eastAsia" w:ascii="仿宋" w:hAnsi="仿宋" w:eastAsia="仿宋"/>
          <w:color w:val="auto"/>
          <w:sz w:val="24"/>
          <w:szCs w:val="24"/>
          <w:highlight w:val="none"/>
        </w:rPr>
      </w:pPr>
      <w:r/>
      <w:bookmarkStart w:id="21" w:name="_Toc20823306"/>
      <w:r/>
      <w:bookmarkStart w:id="22" w:name="_Toc16938550"/>
      <w:r/>
      <w:bookmarkStart w:id="23" w:name="_Toc513029234"/>
      <w:r>
        <w:rPr>
          <w:rFonts w:hint="eastAsia" w:ascii="仿宋" w:hAnsi="仿宋" w:eastAsia="仿宋"/>
          <w:color w:val="auto"/>
          <w:sz w:val="24"/>
          <w:szCs w:val="24"/>
          <w:highlight w:val="none"/>
        </w:rPr>
        <w:t xml:space="preserve">25.6</w:t>
      </w:r>
      <w:r>
        <w:rPr>
          <w:rFonts w:ascii="仿宋" w:hAnsi="仿宋" w:eastAsia="仿宋"/>
          <w:color w:val="auto"/>
          <w:sz w:val="24"/>
          <w:szCs w:val="24"/>
          <w:highlight w:val="none"/>
        </w:rPr>
        <w:t xml:space="preserve">采用最低评标价法的采购项目，提供相同品牌产品的不同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4"/>
          <w:szCs w:val="24"/>
          <w:highlight w:val="none"/>
        </w:rPr>
        <w:t xml:space="preserve">按照招标文件规定的方式（招标文件未规定的通过</w:t>
      </w:r>
      <w:r>
        <w:rPr>
          <w:rFonts w:ascii="仿宋" w:hAnsi="仿宋" w:eastAsia="仿宋"/>
          <w:color w:val="auto"/>
          <w:sz w:val="24"/>
          <w:szCs w:val="24"/>
          <w:highlight w:val="none"/>
        </w:rPr>
        <w:t xml:space="preserve">随机抽取</w:t>
      </w:r>
      <w:r>
        <w:rPr>
          <w:rFonts w:hint="eastAsia" w:ascii="仿宋" w:hAnsi="仿宋" w:eastAsia="仿宋"/>
          <w:color w:val="auto"/>
          <w:sz w:val="24"/>
          <w:szCs w:val="24"/>
          <w:highlight w:val="none"/>
        </w:rPr>
        <w:t xml:space="preserve">的</w:t>
      </w:r>
      <w:r>
        <w:rPr>
          <w:rFonts w:ascii="仿宋" w:hAnsi="仿宋" w:eastAsia="仿宋"/>
          <w:color w:val="auto"/>
          <w:sz w:val="24"/>
          <w:szCs w:val="24"/>
          <w:highlight w:val="none"/>
        </w:rPr>
        <w:t xml:space="preserve">方式</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确定一个参加评标的</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，其他投标无效。</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使用综合评分法的采购项目，提供相同品牌产品且通过资格审查、符合性审查的不同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参加同一合同项下投标的，按一家</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计算，评审后得分最高的同品牌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获得</w:t>
      </w:r>
      <w:r>
        <w:rPr>
          <w:rFonts w:hint="eastAsia" w:ascii="仿宋" w:hAnsi="仿宋" w:eastAsia="仿宋"/>
          <w:color w:val="auto"/>
          <w:sz w:val="24"/>
          <w:szCs w:val="24"/>
          <w:highlight w:val="none"/>
        </w:rPr>
        <w:t xml:space="preserve">中标</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推荐资格；评审得分相同的，由评标委员会</w:t>
      </w:r>
      <w:r>
        <w:rPr>
          <w:rFonts w:hint="eastAsia" w:ascii="仿宋" w:hAnsi="仿宋" w:eastAsia="仿宋"/>
          <w:color w:val="auto"/>
          <w:sz w:val="24"/>
          <w:szCs w:val="24"/>
          <w:highlight w:val="none"/>
        </w:rPr>
        <w:t xml:space="preserve">根据招标文件规定的方式（招标文件未规定的采取随机抽取的方式）</w:t>
      </w:r>
      <w:r>
        <w:rPr>
          <w:rFonts w:ascii="仿宋" w:hAnsi="仿宋" w:eastAsia="仿宋"/>
          <w:color w:val="auto"/>
          <w:sz w:val="24"/>
          <w:szCs w:val="24"/>
          <w:highlight w:val="none"/>
        </w:rPr>
        <w:t xml:space="preserve">确定</w:t>
      </w:r>
      <w:r>
        <w:rPr>
          <w:rFonts w:hint="eastAsia" w:ascii="仿宋" w:hAnsi="仿宋" w:eastAsia="仿宋"/>
          <w:color w:val="auto"/>
          <w:sz w:val="24"/>
          <w:szCs w:val="24"/>
          <w:highlight w:val="none"/>
        </w:rPr>
        <w:t xml:space="preserve">一个中标候选人</w:t>
      </w:r>
      <w:r>
        <w:rPr>
          <w:rFonts w:ascii="仿宋" w:hAnsi="仿宋" w:eastAsia="仿宋"/>
          <w:color w:val="auto"/>
          <w:sz w:val="24"/>
          <w:szCs w:val="24"/>
          <w:highlight w:val="none"/>
        </w:rPr>
        <w:t xml:space="preserve">，其他同品牌</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不作为中标候选人。</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非单一产品采购项目，招标文件中</w:t>
      </w:r>
      <w:r>
        <w:rPr>
          <w:rFonts w:hint="eastAsia" w:ascii="仿宋" w:hAnsi="仿宋" w:eastAsia="仿宋"/>
          <w:color w:val="auto"/>
          <w:sz w:val="24"/>
          <w:szCs w:val="24"/>
          <w:highlight w:val="none"/>
        </w:rPr>
        <w:t xml:space="preserve">将载明其中的核心产品</w:t>
      </w:r>
      <w:r>
        <w:rPr>
          <w:rFonts w:ascii="仿宋" w:hAnsi="仿宋" w:eastAsia="仿宋"/>
          <w:color w:val="auto"/>
          <w:sz w:val="24"/>
          <w:szCs w:val="24"/>
          <w:highlight w:val="none"/>
        </w:rPr>
        <w:t xml:space="preserve">。多家</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提供的核心产品品牌相同的，按前两款规定处理。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25.7</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在开、评标全过程中应保持通讯畅通，及时登录苏采云系统查阅</w:t>
      </w:r>
      <w:r>
        <w:rPr>
          <w:rFonts w:ascii="仿宋" w:hAnsi="仿宋" w:eastAsia="仿宋"/>
          <w:color w:val="auto"/>
          <w:sz w:val="24"/>
          <w:szCs w:val="24"/>
          <w:highlight w:val="none"/>
        </w:rPr>
        <w:t xml:space="preserve">、答复相关</w:t>
      </w:r>
      <w:r>
        <w:rPr>
          <w:rFonts w:hint="eastAsia" w:ascii="仿宋" w:hAnsi="仿宋" w:eastAsia="仿宋"/>
          <w:color w:val="auto"/>
          <w:sz w:val="24"/>
          <w:szCs w:val="24"/>
          <w:highlight w:val="none"/>
        </w:rPr>
        <w:t xml:space="preserve">信息</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并安排专人与代理公司及评标委员会联系。</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25.8 异常低价投标审查</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336" w:lineRule="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w:t>
      </w:r>
      <w:bookmarkEnd w:id="21"/>
      <w:r/>
      <w:bookmarkEnd w:id="22"/>
      <w:r/>
      <w:bookmarkEnd w:id="23"/>
      <w:r>
        <w:rPr>
          <w:rFonts w:hint="eastAsia" w:ascii="仿宋" w:hAnsi="仿宋" w:eastAsia="仿宋"/>
          <w:color w:val="auto"/>
          <w:sz w:val="24"/>
          <w:szCs w:val="24"/>
          <w:highlight w:val="none"/>
        </w:rPr>
        <w:t xml:space="preserve">6.无效投标条款和废标条款</w:t>
      </w:r>
      <w:r/>
    </w:p>
    <w:p>
      <w:pPr>
        <w:ind w:firstLine="560"/>
        <w:keepLines w:val="0"/>
        <w:keepNext w:val="0"/>
        <w:pageBreakBefore w:val="0"/>
        <w:spacing w:line="336" w:lineRule="auto"/>
        <w:rPr>
          <w:rFonts w:hint="eastAsia" w:ascii="仿宋" w:hAnsi="仿宋" w:eastAsia="仿宋"/>
          <w:color w:val="auto"/>
          <w:sz w:val="24"/>
          <w:szCs w:val="24"/>
          <w:highlight w:val="none"/>
        </w:rPr>
      </w:pPr>
      <w:r/>
      <w:bookmarkStart w:id="24" w:name="_Toc513029235"/>
      <w:r/>
      <w:bookmarkStart w:id="25" w:name="_Toc20823307"/>
      <w:r/>
      <w:bookmarkStart w:id="26" w:name="_Toc16938551"/>
      <w:r>
        <w:rPr>
          <w:rFonts w:hint="eastAsia" w:ascii="仿宋" w:hAnsi="仿宋" w:eastAsia="仿宋"/>
          <w:color w:val="auto"/>
          <w:sz w:val="24"/>
          <w:szCs w:val="24"/>
          <w:highlight w:val="none"/>
        </w:rPr>
        <w:t xml:space="preserve">26.1无效投标条款</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在苏采云系统规定的时间内未成功解密电子投标文件的。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未按照招标文件要求上传电子投标文件的。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同一</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提交两个</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含</w:t>
      </w:r>
      <w:r>
        <w:rPr>
          <w:rFonts w:ascii="仿宋" w:hAnsi="仿宋" w:eastAsia="仿宋"/>
          <w:color w:val="auto"/>
          <w:sz w:val="24"/>
          <w:szCs w:val="24"/>
          <w:highlight w:val="none"/>
        </w:rPr>
        <w:t xml:space="preserve">两个）</w:t>
      </w:r>
      <w:r>
        <w:rPr>
          <w:rFonts w:hint="eastAsia" w:ascii="仿宋" w:hAnsi="仿宋" w:eastAsia="仿宋"/>
          <w:color w:val="auto"/>
          <w:sz w:val="24"/>
          <w:szCs w:val="24"/>
          <w:highlight w:val="none"/>
        </w:rPr>
        <w:t xml:space="preserve">以上不同的</w:t>
      </w:r>
      <w:r>
        <w:rPr>
          <w:rFonts w:ascii="仿宋" w:hAnsi="仿宋" w:eastAsia="仿宋"/>
          <w:color w:val="auto"/>
          <w:sz w:val="24"/>
          <w:szCs w:val="24"/>
          <w:highlight w:val="none"/>
        </w:rPr>
        <w:t xml:space="preserve">投标报价的。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不具备招标文件中规定资格要求的。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的报价超过了采购预算或最高限价的。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未通过符合性审查的。</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不符合招标文件中规定的实质性要求和条件的（实质性要求和条件是指本招标文件中用带星号（“★”）的商务和技术要求）。</w:t>
      </w:r>
      <w:r/>
    </w:p>
    <w:p>
      <w:pPr>
        <w:ind w:firstLine="561"/>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8</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存在其他不符合《中华人民共和国政府采购法》第二十二条规定条件的信用记录。</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9</w:t>
      </w:r>
      <w:r>
        <w:rPr>
          <w:rFonts w:hint="eastAsia" w:ascii="仿宋" w:hAnsi="仿宋" w:eastAsia="仿宋"/>
          <w:color w:val="auto"/>
          <w:sz w:val="24"/>
          <w:szCs w:val="24"/>
          <w:highlight w:val="none"/>
        </w:rPr>
        <w:t xml:space="preserve">投标文件含有采购人不能接受的附加条件的。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w:t>
      </w:r>
      <w:r>
        <w:rPr>
          <w:rFonts w:ascii="仿宋" w:hAnsi="仿宋" w:eastAsia="仿宋"/>
          <w:color w:val="auto"/>
          <w:sz w:val="24"/>
          <w:szCs w:val="24"/>
          <w:highlight w:val="none"/>
        </w:rPr>
        <w:t xml:space="preserve">10</w:t>
      </w:r>
      <w:r>
        <w:rPr>
          <w:rFonts w:hint="eastAsia" w:ascii="仿宋" w:hAnsi="仿宋" w:eastAsia="仿宋"/>
          <w:color w:val="auto"/>
          <w:sz w:val="24"/>
          <w:szCs w:val="24"/>
          <w:highlight w:val="none"/>
        </w:rPr>
        <w:t xml:space="preserve">投标文件未按照招标文件要求加盖CA电子公章的；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26.1.1</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其他</w:t>
      </w:r>
      <w:r>
        <w:rPr>
          <w:rFonts w:hint="eastAsia" w:ascii="仿宋" w:hAnsi="仿宋" w:eastAsia="仿宋"/>
          <w:color w:val="auto"/>
          <w:sz w:val="24"/>
          <w:szCs w:val="24"/>
          <w:highlight w:val="none"/>
          <w:lang w:eastAsia="zh-CN"/>
        </w:rPr>
        <w:t xml:space="preserve">法律法规</w:t>
      </w:r>
      <w:r>
        <w:rPr>
          <w:rFonts w:hint="eastAsia" w:ascii="仿宋" w:hAnsi="仿宋" w:eastAsia="仿宋"/>
          <w:color w:val="auto"/>
          <w:sz w:val="24"/>
          <w:szCs w:val="24"/>
          <w:highlight w:val="none"/>
        </w:rPr>
        <w:t xml:space="preserve">及本招标文件规定的</w:t>
      </w:r>
      <w:r>
        <w:rPr>
          <w:rFonts w:hint="eastAsia" w:ascii="仿宋" w:hAnsi="仿宋" w:eastAsia="仿宋"/>
          <w:color w:val="auto"/>
          <w:sz w:val="24"/>
          <w:szCs w:val="24"/>
          <w:highlight w:val="none"/>
          <w:lang w:eastAsia="zh-CN"/>
        </w:rPr>
        <w:t xml:space="preserve">属于</w:t>
      </w:r>
      <w:r>
        <w:rPr>
          <w:rFonts w:hint="eastAsia" w:ascii="仿宋" w:hAnsi="仿宋" w:eastAsia="仿宋"/>
          <w:color w:val="auto"/>
          <w:sz w:val="24"/>
          <w:szCs w:val="24"/>
          <w:highlight w:val="none"/>
        </w:rPr>
        <w:t xml:space="preserve">无效投标的情形。</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26.2废标条款</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26.2.1符合专业条件的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或者对招标文件作实质响应的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不足三家的。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26.2.2出现影响采购公正的违法、违规行为的。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26.2.3因重大变故，采购任务取消的。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26.2.4评标委员会认定招标文件存在歧义、重大缺陷导致评审工作无法进行。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26.2.5因苏采云</w:t>
      </w:r>
      <w:r>
        <w:rPr>
          <w:rFonts w:hint="eastAsia" w:ascii="仿宋" w:hAnsi="仿宋" w:eastAsia="仿宋"/>
          <w:color w:val="auto"/>
          <w:sz w:val="24"/>
          <w:szCs w:val="24"/>
          <w:highlight w:val="none"/>
          <w:lang w:eastAsia="zh-CN"/>
        </w:rPr>
        <w:t xml:space="preserve">系统故障</w:t>
      </w:r>
      <w:r>
        <w:rPr>
          <w:rFonts w:ascii="仿宋" w:hAnsi="仿宋" w:eastAsia="仿宋"/>
          <w:color w:val="auto"/>
          <w:sz w:val="24"/>
          <w:szCs w:val="24"/>
          <w:highlight w:val="none"/>
        </w:rPr>
        <w:t xml:space="preserve">原因造成开标不成功</w:t>
      </w:r>
      <w:r>
        <w:rPr>
          <w:rFonts w:hint="eastAsia" w:ascii="仿宋" w:hAnsi="仿宋" w:eastAsia="仿宋"/>
          <w:color w:val="auto"/>
          <w:sz w:val="24"/>
          <w:szCs w:val="24"/>
          <w:highlight w:val="none"/>
        </w:rPr>
        <w:t xml:space="preserve">的</w:t>
      </w:r>
      <w:r>
        <w:rPr>
          <w:rFonts w:ascii="仿宋" w:hAnsi="仿宋" w:eastAsia="仿宋"/>
          <w:color w:val="auto"/>
          <w:sz w:val="24"/>
          <w:szCs w:val="24"/>
          <w:highlight w:val="none"/>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26.3投标截止时间结束后参加投标的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不足三家的处理：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26.3.1如出现投标截止时间结束后参加投标的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或者在评标期间对招标文件做出实质响应的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不足三家情况，按政府采购相关规定执行。</w:t>
      </w:r>
      <w:bookmarkEnd w:id="24"/>
      <w:r/>
      <w:bookmarkEnd w:id="25"/>
      <w:r/>
      <w:bookmarkEnd w:id="26"/>
      <w:r/>
      <w:r/>
    </w:p>
    <w:p>
      <w:pPr>
        <w:keepLines w:val="0"/>
        <w:keepNext w:val="0"/>
        <w:pageBreakBefore w:val="0"/>
        <w:spacing w:line="336" w:lineRule="auto"/>
        <w:rPr>
          <w:rFonts w:hint="eastAsia" w:ascii="仿宋" w:hAnsi="仿宋" w:eastAsia="仿宋"/>
          <w:b/>
          <w:color w:val="auto"/>
          <w:sz w:val="28"/>
          <w:szCs w:val="28"/>
          <w:highlight w:val="none"/>
        </w:rPr>
      </w:pPr>
      <w:r/>
      <w:bookmarkStart w:id="27" w:name="_Toc120614219"/>
      <w:r>
        <w:rPr>
          <w:rFonts w:hint="eastAsia" w:ascii="仿宋" w:hAnsi="仿宋" w:eastAsia="仿宋"/>
          <w:b/>
          <w:color w:val="auto"/>
          <w:sz w:val="28"/>
          <w:szCs w:val="28"/>
          <w:highlight w:val="none"/>
        </w:rPr>
        <w:t xml:space="preserve">六、定标</w:t>
      </w:r>
      <w:bookmarkEnd w:id="27"/>
      <w:r/>
      <w:r/>
    </w:p>
    <w:p>
      <w:pPr>
        <w:keepLines w:val="0"/>
        <w:keepNext w:val="0"/>
        <w:pageBreakBefore w:val="0"/>
        <w:spacing w:line="336" w:lineRule="auto"/>
        <w:rPr>
          <w:rFonts w:hint="eastAsia" w:ascii="仿宋" w:hAnsi="仿宋" w:eastAsia="仿宋"/>
          <w:color w:val="auto"/>
          <w:sz w:val="24"/>
          <w:szCs w:val="24"/>
          <w:highlight w:val="none"/>
        </w:rPr>
      </w:pPr>
      <w:r/>
      <w:bookmarkStart w:id="28" w:name="_Toc513029238"/>
      <w:r/>
      <w:bookmarkStart w:id="29" w:name="_Toc20823310"/>
      <w:r/>
      <w:bookmarkStart w:id="30" w:name="_Toc16938554"/>
      <w:r>
        <w:rPr>
          <w:rFonts w:hint="eastAsia" w:ascii="仿宋" w:hAnsi="仿宋" w:eastAsia="仿宋"/>
          <w:color w:val="auto"/>
          <w:sz w:val="24"/>
          <w:szCs w:val="24"/>
          <w:highlight w:val="none"/>
        </w:rPr>
        <w:t xml:space="preserve">2</w:t>
      </w:r>
      <w:bookmarkEnd w:id="28"/>
      <w:r>
        <w:rPr>
          <w:rFonts w:hint="eastAsia" w:ascii="仿宋" w:hAnsi="仿宋" w:eastAsia="仿宋"/>
          <w:color w:val="auto"/>
          <w:sz w:val="24"/>
          <w:szCs w:val="24"/>
          <w:highlight w:val="none"/>
        </w:rPr>
        <w:t xml:space="preserve">7.确定</w:t>
      </w:r>
      <w:bookmarkEnd w:id="29"/>
      <w:r/>
      <w:bookmarkEnd w:id="30"/>
      <w:r>
        <w:rPr>
          <w:rFonts w:hint="eastAsia" w:ascii="仿宋" w:hAnsi="仿宋" w:eastAsia="仿宋"/>
          <w:color w:val="auto"/>
          <w:sz w:val="24"/>
          <w:szCs w:val="24"/>
          <w:highlight w:val="none"/>
        </w:rPr>
        <w:t xml:space="preserve">中标单位</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27.1中标候选人的选取原则和数量见招标文件第三章规定。 </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27.2采购人应根据评委会推荐的中标候选人确定中标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27.3代理公司将在“江苏省政府采购网</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淮安市政府采购网”发布中标公告，公告期限为1个工作日。</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27.4若有充分证据证明，中标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出现下列情况之一的，一经查实，将被取消中标资格：</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27.4.1提供虚假材料谋取中标的。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27.4.2向采购人、代理公司行贿或者提供其他不正当利益的。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27.4.3属于本文件规定的无效条件，但在评标过程中又未被评委会发现的。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27.4.4与采购人或者其他</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恶意串通的。</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27.4.5采取不正当手段诋毁、排挤其他</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w:t>
      </w:r>
      <w:r/>
    </w:p>
    <w:p>
      <w:pPr>
        <w:ind w:firstLine="560"/>
        <w:keepLines w:val="0"/>
        <w:keepNext w:val="0"/>
        <w:pageBreakBefore w:val="0"/>
        <w:spacing w:line="336" w:lineRule="auto"/>
        <w:rPr>
          <w:rFonts w:hint="eastAsia" w:ascii="仿宋" w:hAnsi="仿宋" w:eastAsia="仿宋"/>
          <w:color w:val="auto"/>
          <w:sz w:val="24"/>
          <w:szCs w:val="24"/>
          <w:highlight w:val="none"/>
        </w:rPr>
      </w:pPr>
      <w:r/>
      <w:bookmarkStart w:id="31" w:name="_Toc200451960"/>
      <w:r>
        <w:rPr>
          <w:rFonts w:hint="eastAsia" w:ascii="仿宋" w:hAnsi="仿宋" w:eastAsia="仿宋"/>
          <w:color w:val="auto"/>
          <w:sz w:val="24"/>
          <w:szCs w:val="24"/>
          <w:highlight w:val="none"/>
        </w:rPr>
        <w:t xml:space="preserve">27.5.</w:t>
      </w:r>
      <w:r>
        <w:rPr>
          <w:rFonts w:ascii="仿宋" w:hAnsi="仿宋" w:eastAsia="仿宋"/>
          <w:color w:val="auto"/>
          <w:sz w:val="24"/>
          <w:szCs w:val="24"/>
          <w:highlight w:val="none"/>
        </w:rPr>
        <w:t xml:space="preserve">有下列情形之一的，</w:t>
      </w:r>
      <w:r>
        <w:rPr>
          <w:rFonts w:hint="eastAsia" w:ascii="仿宋" w:hAnsi="仿宋" w:eastAsia="仿宋"/>
          <w:color w:val="auto"/>
          <w:sz w:val="24"/>
          <w:szCs w:val="24"/>
          <w:highlight w:val="none"/>
        </w:rPr>
        <w:t xml:space="preserve">视为</w:t>
      </w:r>
      <w:r>
        <w:rPr>
          <w:rFonts w:hint="eastAsia" w:ascii="仿宋" w:hAnsi="仿宋" w:eastAsia="仿宋"/>
          <w:color w:val="auto"/>
          <w:sz w:val="24"/>
          <w:szCs w:val="24"/>
          <w:highlight w:val="none"/>
          <w:lang w:eastAsia="zh-CN"/>
        </w:rPr>
        <w:t xml:space="preserve">投标人</w:t>
      </w:r>
      <w:r>
        <w:rPr>
          <w:rFonts w:ascii="仿宋" w:hAnsi="仿宋" w:eastAsia="仿宋"/>
          <w:color w:val="auto"/>
          <w:sz w:val="24"/>
          <w:szCs w:val="24"/>
          <w:highlight w:val="none"/>
        </w:rPr>
        <w:t xml:space="preserve">串通</w:t>
      </w:r>
      <w:r>
        <w:rPr>
          <w:rFonts w:hint="eastAsia" w:ascii="仿宋" w:hAnsi="仿宋" w:eastAsia="仿宋"/>
          <w:color w:val="auto"/>
          <w:sz w:val="24"/>
          <w:szCs w:val="24"/>
          <w:highlight w:val="none"/>
        </w:rPr>
        <w:t xml:space="preserve">投标，投标无效：</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27.5.1不同</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的投标文件由同一单位或者个人编制；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27.5.2不同</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委托同一单位或者个人办理投标事宜；</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27.5.3不同</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的投标文件载明的项目管理成员或者联系人员为同一人；</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27.5.4不同</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的投标文件异常一致或者投标报价呈规律性差异；</w:t>
      </w:r>
      <w:r/>
    </w:p>
    <w:p>
      <w:pPr>
        <w:keepLines w:val="0"/>
        <w:keepNext w:val="0"/>
        <w:pageBreakBefore w:val="0"/>
        <w:spacing w:line="336" w:lineRule="auto"/>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8</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质疑处理</w:t>
      </w:r>
      <w:bookmarkEnd w:id="31"/>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认为采购文件、采购过程和中标结果使自己的权益受到损害的，可以在知道或者应知其权益受到损害之日起七个工作日内，以电子文件</w:t>
      </w:r>
      <w:r>
        <w:rPr>
          <w:rFonts w:hint="eastAsia" w:ascii="仿宋" w:hAnsi="仿宋" w:eastAsia="仿宋"/>
          <w:color w:val="auto"/>
          <w:sz w:val="24"/>
          <w:szCs w:val="24"/>
          <w:highlight w:val="none"/>
          <w:lang w:eastAsia="zh-CN"/>
        </w:rPr>
        <w:t xml:space="preserve">形式</w:t>
      </w:r>
      <w:r>
        <w:rPr>
          <w:rFonts w:hint="eastAsia" w:ascii="仿宋" w:hAnsi="仿宋" w:eastAsia="仿宋"/>
          <w:color w:val="auto"/>
          <w:sz w:val="24"/>
          <w:szCs w:val="24"/>
          <w:highlight w:val="none"/>
        </w:rPr>
        <w:t xml:space="preserve">通过“苏采云平台”</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&gt;“</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登录，从</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项目质疑申请”模块提出质疑。未通过交易平台提交的、七个工作日之外以及未按2</w:t>
      </w:r>
      <w:r>
        <w:rPr>
          <w:rFonts w:hint="eastAsia" w:ascii="仿宋" w:hAnsi="仿宋" w:eastAsia="仿宋"/>
          <w:color w:val="auto"/>
          <w:sz w:val="24"/>
          <w:szCs w:val="24"/>
          <w:highlight w:val="none"/>
          <w:lang w:val="en-US" w:eastAsia="zh-CN"/>
        </w:rPr>
        <w:t xml:space="preserve">8</w:t>
      </w:r>
      <w:r>
        <w:rPr>
          <w:rFonts w:hint="eastAsia" w:ascii="仿宋" w:hAnsi="仿宋" w:eastAsia="仿宋"/>
          <w:color w:val="auto"/>
          <w:sz w:val="24"/>
          <w:szCs w:val="24"/>
          <w:highlight w:val="none"/>
        </w:rPr>
        <w:t xml:space="preserve">.5条的要求提供质疑的均不予受理。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28.2上述应知其权益受到损害之日是指</w:t>
      </w:r>
      <w:r>
        <w:rPr>
          <w:rFonts w:hint="eastAsia" w:ascii="仿宋" w:hAnsi="仿宋" w:eastAsia="仿宋"/>
          <w:color w:val="auto"/>
          <w:sz w:val="24"/>
          <w:szCs w:val="24"/>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（1）对招标文件提出质疑的，为采购文件公告期限届满之日起计算；</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（2）对采购过程提出质疑的，为各采购程序环节结束之日起计算；</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（3）对中标结果提出质疑的，为中标结果公告期限届满之日起计算。</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28.3质疑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是指直接参加本次投标活动的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，未参加投标活动的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或在投标活动中自身权益未受到损害的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所提出的质疑不予受理。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28.4质疑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在法定质疑期内应当一次性针对同一采购环节提出质疑，若质疑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针对同一环节提出两次及两次以上质疑，仅受理第一次提出的质疑。</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28.5质疑函应当包括以下主要内容，附上相关证明材料。否则，采购人不予受理。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（1）质疑</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的名称、地址、邮编、联系人及联系电话；</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（2）质疑项目的名称、编号；</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（3）具体、明确的质疑事项和与质疑事实相关的请求；</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（4）事实依据；</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（5）必要的法律依据；</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（6）提起质疑的日期；</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4"/>
          <w:szCs w:val="24"/>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28.7对于内容、格式符合规定的质疑函，采购人将在七个工作日内以书面形式作出答复，但质疑答复的内容不涉及商业秘密。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28.8</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列入失信行为或不良行为记录名单，进行相应的行政处罚。</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29.中标通知书</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29.l中标结果确定后，采购代理机构将向中标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发出中标通知书。请中标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在中标结果公告届满之日起30日内</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因未及时下载而造成的不利后果由中标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自行承担。</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29.2中标通知书将是合同的一个组成部分。对采购人和中标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均具有法律效力。中标通知书发出后，采购人改变中标结果的，或者中标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放弃中标项目的，应当依法承担法律责任。</w:t>
      </w:r>
      <w:r/>
    </w:p>
    <w:p>
      <w:pPr>
        <w:keepLines w:val="0"/>
        <w:keepNext w:val="0"/>
        <w:pageBreakBefore w:val="0"/>
        <w:spacing w:line="336" w:lineRule="auto"/>
        <w:rPr>
          <w:rFonts w:hint="eastAsia" w:ascii="仿宋" w:hAnsi="仿宋" w:eastAsia="仿宋"/>
          <w:b/>
          <w:color w:val="auto"/>
          <w:sz w:val="28"/>
          <w:szCs w:val="28"/>
          <w:highlight w:val="none"/>
        </w:rPr>
      </w:pPr>
      <w:r/>
      <w:bookmarkStart w:id="32" w:name="_Toc513029236"/>
      <w:r/>
      <w:bookmarkStart w:id="33" w:name="_Toc16938552"/>
      <w:r/>
      <w:bookmarkStart w:id="34" w:name="_Toc120614220"/>
      <w:r/>
      <w:bookmarkStart w:id="35" w:name="_Toc20823308"/>
      <w:r>
        <w:rPr>
          <w:rFonts w:hint="eastAsia" w:ascii="仿宋" w:hAnsi="仿宋" w:eastAsia="仿宋"/>
          <w:b/>
          <w:color w:val="auto"/>
          <w:sz w:val="28"/>
          <w:szCs w:val="28"/>
          <w:highlight w:val="none"/>
        </w:rPr>
        <w:t xml:space="preserve">七、授予合同</w:t>
      </w:r>
      <w:bookmarkEnd w:id="32"/>
      <w:r/>
      <w:bookmarkEnd w:id="33"/>
      <w:r/>
      <w:bookmarkEnd w:id="34"/>
      <w:r/>
      <w:bookmarkEnd w:id="35"/>
      <w:r/>
      <w:r/>
    </w:p>
    <w:p>
      <w:pPr>
        <w:keepLines w:val="0"/>
        <w:keepNext w:val="0"/>
        <w:pageBreakBefore w:val="0"/>
        <w:spacing w:line="336" w:lineRule="auto"/>
        <w:rPr>
          <w:rFonts w:hint="eastAsia" w:ascii="仿宋" w:hAnsi="仿宋" w:eastAsia="仿宋"/>
          <w:color w:val="auto"/>
          <w:sz w:val="24"/>
          <w:szCs w:val="24"/>
          <w:highlight w:val="none"/>
        </w:rPr>
      </w:pPr>
      <w:r/>
      <w:bookmarkStart w:id="36" w:name="_Toc513029237"/>
      <w:r/>
      <w:bookmarkStart w:id="37" w:name="_Toc16938553"/>
      <w:r/>
      <w:bookmarkStart w:id="38" w:name="_Toc20823309"/>
      <w:r>
        <w:rPr>
          <w:rFonts w:hint="eastAsia" w:ascii="仿宋" w:hAnsi="仿宋" w:eastAsia="仿宋"/>
          <w:color w:val="auto"/>
          <w:sz w:val="24"/>
          <w:szCs w:val="24"/>
          <w:highlight w:val="none"/>
        </w:rPr>
        <w:t xml:space="preserve">30.签订合同</w:t>
      </w:r>
      <w:r>
        <w:rPr>
          <w:rFonts w:hint="eastAsia" w:ascii="仿宋" w:hAnsi="仿宋" w:eastAsia="仿宋"/>
          <w:color w:val="auto"/>
          <w:sz w:val="24"/>
          <w:szCs w:val="24"/>
          <w:highlight w:val="none"/>
        </w:rPr>
        <w:tab/>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30.l中标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应当在中标通知书发出之日起三十日内，按照招标文件确定的事项与采购人签订政府采购合同。</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30.2招标文件、中标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的投标文件及招标过程中有关澄清、承诺文件均应作为合同附件。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30.3签订合同后，中标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不得将合同标的进行转包。未经采购人同意，中标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也不得采用分包的形式履行合同，否则采购人有权终止合同。转包或分包造成采购人损失的，中标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应承担相应赔偿责任。</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31.货物（包含与货物相关的服务）的追加</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政府采购合同履行中，采购人需追加与合同标的相同的货物（包含与货物相关的服务）的，在不改变合同其他条款的前提下，可以与中标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协商签订补充合同，但所有补充合同的采购金额不超过原合同金额10%。</w:t>
      </w:r>
      <w:r/>
    </w:p>
    <w:p>
      <w:pPr>
        <w:pStyle w:val="883"/>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32.履约保证金</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本项目不收取履约保证金。</w:t>
      </w:r>
      <w:bookmarkEnd w:id="36"/>
      <w:r/>
      <w:bookmarkEnd w:id="37"/>
      <w:r/>
      <w:bookmarkEnd w:id="38"/>
      <w:r/>
      <w:r/>
    </w:p>
    <w:p>
      <w:pPr>
        <w:keepLines w:val="0"/>
        <w:keepNext w:val="0"/>
        <w:pageBreakBefore w:val="0"/>
        <w:spacing w:line="336" w:lineRule="auto"/>
        <w:rPr>
          <w:rFonts w:hint="eastAsia" w:ascii="仿宋" w:hAnsi="仿宋" w:eastAsia="仿宋"/>
          <w:b/>
          <w:bCs/>
          <w:color w:val="auto"/>
          <w:sz w:val="28"/>
          <w:szCs w:val="24"/>
          <w:highlight w:val="none"/>
        </w:rPr>
      </w:pPr>
      <w:r>
        <w:rPr>
          <w:rFonts w:hint="eastAsia" w:ascii="仿宋" w:hAnsi="仿宋" w:eastAsia="仿宋"/>
          <w:b/>
          <w:bCs/>
          <w:color w:val="auto"/>
          <w:sz w:val="28"/>
          <w:szCs w:val="24"/>
          <w:highlight w:val="none"/>
        </w:rPr>
        <w:t xml:space="preserve">八、政府采购政策功能落实</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w:t>
      </w:r>
      <w:r>
        <w:rPr>
          <w:rFonts w:hint="eastAsia" w:ascii="仿宋" w:hAnsi="仿宋" w:eastAsia="仿宋"/>
          <w:color w:val="auto"/>
          <w:sz w:val="24"/>
          <w:szCs w:val="24"/>
          <w:highlight w:val="none"/>
          <w:lang w:val="zh-CN"/>
        </w:rPr>
        <w:t xml:space="preserve">促进中小企业发展</w:t>
      </w:r>
      <w:r>
        <w:rPr>
          <w:rFonts w:hint="eastAsia" w:ascii="仿宋" w:hAnsi="仿宋" w:eastAsia="仿宋"/>
          <w:color w:val="auto"/>
          <w:sz w:val="24"/>
          <w:szCs w:val="24"/>
          <w:highlight w:val="none"/>
        </w:rPr>
        <w:t xml:space="preserve">政策</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33.1小微型企业价格扣除</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33.1.1</w:t>
      </w:r>
      <w:r>
        <w:rPr>
          <w:rFonts w:hint="eastAsia" w:ascii="仿宋" w:hAnsi="仿宋" w:eastAsia="仿宋"/>
          <w:color w:val="auto"/>
          <w:sz w:val="24"/>
          <w:szCs w:val="24"/>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4"/>
          <w:szCs w:val="24"/>
          <w:highlight w:val="none"/>
        </w:rPr>
        <w:t xml:space="preserve">符合下列情形的，享受本办法规定的中小企业扶持政策给予小微企业报价</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0%的扣除，用扣除后的价格参与评审：</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33.1.2在货物采购项目中，</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33.2联合体及分包</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33.3小微型企业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须按照招标文件的要求提供相应的《企业声明函》，详见招标文件第六章示范格式。</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（2）企业标准请参照《政府采购促进中小企业发展管理办法》（财库</w:t>
      </w:r>
      <w:r>
        <w:rPr>
          <w:rFonts w:hint="eastAsia" w:ascii="仿宋" w:hAnsi="仿宋" w:eastAsia="仿宋"/>
          <w:color w:val="auto"/>
          <w:sz w:val="24"/>
          <w:szCs w:val="24"/>
          <w:highlight w:val="none"/>
          <w:lang w:eastAsia="zh-CN"/>
        </w:rPr>
        <w:t xml:space="preserve">〔2020〕46号</w:t>
      </w:r>
      <w:r>
        <w:rPr>
          <w:rFonts w:hint="eastAsia" w:ascii="仿宋" w:hAnsi="仿宋" w:eastAsia="仿宋"/>
          <w:color w:val="auto"/>
          <w:sz w:val="24"/>
          <w:szCs w:val="24"/>
          <w:highlight w:val="none"/>
        </w:rPr>
        <w:t xml:space="preserve">）文件规定自行填写。</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33.4残疾人福利单位</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（2）残疾人福利单位标准请参照《关于促进残疾人就业政府采购政策的通知》（财库〔2017〕141号）。</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33.5监狱和戒毒企业</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（2）监狱企业标准请参照《关于政府采购支持监狱企业发展有关问题的通知》（财库</w:t>
      </w:r>
      <w:r>
        <w:rPr>
          <w:rFonts w:hint="eastAsia" w:ascii="仿宋" w:hAnsi="仿宋" w:eastAsia="仿宋"/>
          <w:color w:val="auto"/>
          <w:sz w:val="24"/>
          <w:szCs w:val="24"/>
          <w:highlight w:val="none"/>
          <w:lang w:eastAsia="zh-CN"/>
        </w:rPr>
        <w:t xml:space="preserve">〔2014〕68号</w:t>
      </w:r>
      <w:r>
        <w:rPr>
          <w:rFonts w:hint="eastAsia" w:ascii="仿宋" w:hAnsi="仿宋" w:eastAsia="仿宋"/>
          <w:color w:val="auto"/>
          <w:sz w:val="24"/>
          <w:szCs w:val="24"/>
          <w:highlight w:val="none"/>
        </w:rPr>
        <w:t xml:space="preserve">）。</w:t>
      </w:r>
      <w:r/>
    </w:p>
    <w:p>
      <w:pPr>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34</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节能、环保政策</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34.2节能产品（本项目不涉及）</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本项目</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u w:val="single"/>
        </w:rPr>
        <w:t xml:space="preserve">采购产品</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rPr>
        <w:t xml:space="preserve">被列入“节能产品品目清单”的，实行</w:t>
      </w:r>
      <w:r>
        <w:rPr>
          <w:rFonts w:hint="eastAsia" w:ascii="仿宋" w:hAnsi="仿宋" w:eastAsia="仿宋"/>
          <w:color w:val="auto"/>
          <w:sz w:val="24"/>
          <w:szCs w:val="24"/>
          <w:highlight w:val="none"/>
          <w:u w:val="single"/>
        </w:rPr>
        <w:t xml:space="preserve">（优先采购/强制采购）</w:t>
      </w:r>
      <w:r>
        <w:rPr>
          <w:rFonts w:hint="eastAsia" w:ascii="仿宋" w:hAnsi="仿宋" w:eastAsia="仿宋"/>
          <w:color w:val="auto"/>
          <w:sz w:val="24"/>
          <w:szCs w:val="24"/>
          <w:highlight w:val="none"/>
        </w:rPr>
        <w:t xml:space="preserve">。</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34.3环保产品（本项目不涉及）</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本项目中</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u w:val="single"/>
        </w:rPr>
        <w:t xml:space="preserve">采购产品</w:t>
      </w:r>
      <w:r>
        <w:rPr>
          <w:rFonts w:hint="eastAsia" w:ascii="仿宋" w:hAnsi="仿宋" w:eastAsia="仿宋"/>
          <w:color w:val="auto"/>
          <w:sz w:val="24"/>
          <w:szCs w:val="24"/>
          <w:highlight w:val="none"/>
          <w:u w:val="single"/>
          <w:lang w:eastAsia="zh-CN"/>
        </w:rPr>
        <w:t xml:space="preserve">）</w:t>
      </w:r>
      <w:r>
        <w:rPr>
          <w:rFonts w:hint="eastAsia" w:ascii="仿宋" w:hAnsi="仿宋" w:eastAsia="仿宋"/>
          <w:color w:val="auto"/>
          <w:sz w:val="24"/>
          <w:szCs w:val="24"/>
          <w:highlight w:val="none"/>
        </w:rPr>
        <w:t xml:space="preserve">被列入“环境标志产品品目清单”的，实行优先采购。</w:t>
      </w:r>
      <w:r/>
    </w:p>
    <w:p>
      <w:pPr>
        <w:ind w:firstLine="560"/>
        <w:keepLines w:val="0"/>
        <w:keepNext w:val="0"/>
        <w:pageBreakBefore w:val="0"/>
        <w:spacing w:line="336" w:lineRule="auto"/>
        <w:rPr>
          <w:rFonts w:hint="eastAsia" w:ascii="仿宋" w:hAnsi="仿宋" w:eastAsia="仿宋"/>
          <w:color w:val="auto"/>
          <w:sz w:val="24"/>
          <w:szCs w:val="22"/>
          <w:highlight w:val="none"/>
        </w:rPr>
      </w:pPr>
      <w:r>
        <w:rPr>
          <w:rFonts w:hint="eastAsia" w:ascii="仿宋" w:hAnsi="仿宋" w:eastAsia="仿宋"/>
          <w:color w:val="auto"/>
          <w:sz w:val="24"/>
          <w:szCs w:val="24"/>
          <w:highlight w:val="none"/>
        </w:rPr>
        <w:t xml:space="preserve">34.4本项目中实行“强制采购”的，需</w:t>
      </w:r>
      <w:r>
        <w:rPr>
          <w:rFonts w:hint="eastAsia" w:ascii="仿宋" w:hAnsi="仿宋" w:eastAsia="仿宋"/>
          <w:color w:val="auto"/>
          <w:sz w:val="24"/>
          <w:szCs w:val="22"/>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color w:val="auto"/>
          <w:sz w:val="24"/>
          <w:szCs w:val="24"/>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4"/>
          <w:szCs w:val="24"/>
          <w:highlight w:val="none"/>
        </w:rPr>
        <w:t xml:space="preserve">通知》（财库〔2019〕19号）执行。国家对品目清单进行调整的，按照最新调整的品目清单执行。</w:t>
      </w:r>
      <w:r/>
    </w:p>
    <w:p>
      <w:pPr>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35</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rPr>
        <w:t xml:space="preserve">政府绿色采购</w:t>
      </w:r>
      <w:r/>
    </w:p>
    <w:p>
      <w:pPr>
        <w:ind w:firstLine="560"/>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color w:val="auto"/>
          <w:sz w:val="24"/>
          <w:szCs w:val="24"/>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99"/>
        <w:ind w:left="0" w:firstLine="560"/>
        <w:keepLines w:val="0"/>
        <w:keepNext w:val="0"/>
        <w:pageBreakBefore w:val="0"/>
        <w:spacing w:after="0"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35.2本项目中涉及商品的</w:t>
      </w:r>
      <w:r>
        <w:rPr>
          <w:rFonts w:ascii="仿宋" w:hAnsi="仿宋" w:eastAsia="仿宋"/>
          <w:color w:val="auto"/>
          <w:sz w:val="24"/>
          <w:szCs w:val="24"/>
          <w:highlight w:val="none"/>
        </w:rPr>
        <w:t xml:space="preserve">包装应按照“财办库〔2020〕123号《关于印发《商品包装政府采购需求标准（试行）</w:t>
      </w:r>
      <w:r>
        <w:rPr>
          <w:rFonts w:hint="eastAsia" w:ascii="仿宋" w:hAnsi="仿宋" w:eastAsia="仿宋"/>
          <w:color w:val="auto"/>
          <w:sz w:val="24"/>
          <w:szCs w:val="24"/>
          <w:highlight w:val="none"/>
          <w:lang w:eastAsia="zh-CN"/>
        </w:rPr>
        <w:t xml:space="preserve">》《</w:t>
      </w:r>
      <w:r>
        <w:rPr>
          <w:rFonts w:ascii="仿宋" w:hAnsi="仿宋" w:eastAsia="仿宋"/>
          <w:color w:val="auto"/>
          <w:sz w:val="24"/>
          <w:szCs w:val="24"/>
          <w:highlight w:val="none"/>
        </w:rPr>
        <w:t xml:space="preserve">快递包装政府采购需求标准（试行）》的通知》”执行</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在供货、安装过程中</w:t>
      </w:r>
      <w:r>
        <w:rPr>
          <w:rFonts w:hint="eastAsia" w:ascii="仿宋" w:hAnsi="仿宋" w:eastAsia="仿宋"/>
          <w:color w:val="auto"/>
          <w:sz w:val="24"/>
          <w:szCs w:val="24"/>
          <w:highlight w:val="none"/>
          <w:lang w:eastAsia="zh-CN"/>
        </w:rPr>
        <w:t xml:space="preserve">能</w:t>
      </w:r>
      <w:r>
        <w:rPr>
          <w:rFonts w:hint="eastAsia" w:ascii="仿宋" w:hAnsi="仿宋" w:eastAsia="仿宋"/>
          <w:color w:val="auto"/>
          <w:sz w:val="24"/>
          <w:szCs w:val="24"/>
          <w:highlight w:val="none"/>
        </w:rPr>
        <w:t xml:space="preserve">做到低碳物流、环保节约、提高资源利用率；涉及设备运维参考《绿色数据中心政府采购需求标准（试行）》（财库</w:t>
      </w:r>
      <w:r>
        <w:rPr>
          <w:rFonts w:hint="eastAsia" w:ascii="仿宋" w:hAnsi="仿宋" w:eastAsia="仿宋"/>
          <w:color w:val="auto"/>
          <w:sz w:val="24"/>
          <w:szCs w:val="24"/>
          <w:highlight w:val="none"/>
          <w:lang w:eastAsia="zh-CN"/>
        </w:rPr>
        <w:t xml:space="preserve">〔2023〕7号</w:t>
      </w:r>
      <w:r>
        <w:rPr>
          <w:rFonts w:hint="eastAsia" w:ascii="仿宋" w:hAnsi="仿宋" w:eastAsia="仿宋"/>
          <w:color w:val="auto"/>
          <w:sz w:val="24"/>
          <w:szCs w:val="24"/>
          <w:highlight w:val="none"/>
        </w:rPr>
        <w:t xml:space="preserve">文）执行。</w:t>
      </w:r>
      <w:r/>
    </w:p>
    <w:p>
      <w:pPr>
        <w:pStyle w:val="899"/>
        <w:ind w:left="0" w:firstLine="560"/>
        <w:keepLines w:val="0"/>
        <w:keepNext w:val="0"/>
        <w:pageBreakBefore w:val="0"/>
        <w:spacing w:after="0"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36"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36</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rPr>
        <w:t xml:space="preserve">履约资金扶持政策</w:t>
      </w:r>
      <w:r/>
    </w:p>
    <w:p>
      <w:pPr>
        <w:pStyle w:val="899"/>
        <w:ind w:left="0" w:firstLine="560"/>
        <w:keepLines w:val="0"/>
        <w:keepNext w:val="0"/>
        <w:pageBreakBefore w:val="0"/>
        <w:spacing w:after="0" w:line="33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36.1政府采购合同信用融资是为支持中小企业发展，缓解中小企业融资难题推出的一项融资服务举措，中标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可凭政府采购合同办理融资贷款。该贷款无需抵押、担保，按照双方自愿的原则提供便捷、优惠的贷款服务。详情请见江苏政府采购网“政采贷”专栏。</w:t>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rPr>
        <w:t xml:space="preserve">36.2有融资贷款需求的中标</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，与采购人在苏采云【合同在线签订】模块中进行合同在线签订时，【账户信息完善】的“是否融资”一栏中需选择</w:t>
      </w:r>
      <w:r>
        <w:rPr>
          <w:rFonts w:hint="eastAsia" w:ascii="仿宋" w:hAnsi="仿宋" w:eastAsia="仿宋" w:cs="Times New Roman"/>
          <w:color w:val="auto"/>
          <w:sz w:val="24"/>
          <w:szCs w:val="24"/>
          <w:highlight w:val="none"/>
        </w:rPr>
        <w:t xml:space="preserve">“是”，同时完善收款账号信息和合同补充协议（融资账号）。</w:t>
      </w:r>
      <w:r/>
    </w:p>
    <w:p>
      <w:pPr>
        <w:pStyle w:val="899"/>
        <w:ind w:left="0" w:firstLine="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.采购本国产品的支持政策</w:t>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.2当采购项目或者采购包中含有多种产品，</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为该采购项目或者采购包提供的符合本国产品标准的产品成本之和占该</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提供的全部产品成本之和的比例达到80%以上时（</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需在“第六章 投标文件格式”的“</w:t>
      </w:r>
      <w:r>
        <w:rPr>
          <w:rFonts w:hint="eastAsia" w:ascii="仿宋" w:hAnsi="仿宋" w:eastAsia="仿宋" w:cs="Times New Roman"/>
          <w:color w:val="auto"/>
          <w:sz w:val="24"/>
          <w:szCs w:val="24"/>
          <w:highlight w:val="none"/>
          <w:lang w:val="en-US" w:eastAsia="zh-CN"/>
        </w:rPr>
        <w:t xml:space="preserve">三</w:t>
      </w:r>
      <w:r>
        <w:rPr>
          <w:rFonts w:hint="eastAsia" w:ascii="仿宋" w:hAnsi="仿宋" w:eastAsia="仿宋" w:cs="Times New Roman"/>
          <w:color w:val="auto"/>
          <w:sz w:val="24"/>
          <w:szCs w:val="24"/>
          <w:highlight w:val="none"/>
        </w:rPr>
        <w:t xml:space="preserve">、投标报价明细表”中填写比例数值），依法对该</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提供的全部产品给予价格评审优惠，即对该</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提供的全部产品的总报价给予20%的价格扣除，用扣除后的价格参与评审。</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未填写比例数值，或比例数值未达到80%的，将不享受本国产品价格评审优惠。</w:t>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.3 </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需按照</w:t>
      </w:r>
      <w:r>
        <w:rPr>
          <w:rFonts w:hint="eastAsia" w:ascii="仿宋" w:hAnsi="仿宋" w:eastAsia="仿宋" w:cs="Times New Roman"/>
          <w:color w:val="auto"/>
          <w:sz w:val="24"/>
          <w:szCs w:val="24"/>
          <w:highlight w:val="none"/>
          <w:lang w:val="en-US" w:eastAsia="zh-CN"/>
        </w:rPr>
        <w:t xml:space="preserve">招标</w:t>
      </w:r>
      <w:r>
        <w:rPr>
          <w:rFonts w:hint="eastAsia" w:ascii="仿宋" w:hAnsi="仿宋" w:eastAsia="仿宋" w:cs="Times New Roman"/>
          <w:color w:val="auto"/>
          <w:sz w:val="24"/>
          <w:szCs w:val="24"/>
          <w:highlight w:val="none"/>
        </w:rPr>
        <w:t xml:space="preserve">文件的要求提供《关于符合本国产品标准的声明函》（以下简称《声明函》，详见第六章“示范格式</w:t>
      </w:r>
      <w:r>
        <w:rPr>
          <w:rFonts w:hint="eastAsia" w:ascii="仿宋" w:hAnsi="仿宋" w:eastAsia="仿宋" w:cs="Times New Roman"/>
          <w:color w:val="auto"/>
          <w:sz w:val="24"/>
          <w:szCs w:val="24"/>
          <w:highlight w:val="none"/>
          <w:lang w:val="en-US" w:eastAsia="zh-CN"/>
        </w:rPr>
        <w:t xml:space="preserve">六</w:t>
      </w:r>
      <w:r>
        <w:rPr>
          <w:rFonts w:hint="eastAsia" w:ascii="仿宋" w:hAnsi="仿宋" w:eastAsia="仿宋" w:cs="Times New Roman"/>
          <w:color w:val="auto"/>
          <w:sz w:val="24"/>
          <w:szCs w:val="24"/>
          <w:highlight w:val="none"/>
        </w:rPr>
        <w:t xml:space="preserve">”），如不提供将不享受本国产品价格评审优惠。</w:t>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.4 </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37</w:t>
      </w:r>
      <w:r>
        <w:rPr>
          <w:rFonts w:hint="eastAsia" w:ascii="仿宋" w:hAnsi="仿宋" w:eastAsia="仿宋" w:cs="Times New Roman"/>
          <w:color w:val="auto"/>
          <w:sz w:val="24"/>
          <w:szCs w:val="24"/>
          <w:highlight w:val="none"/>
        </w:rPr>
        <w:t xml:space="preserve">.5 评标过程中，如发现</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auto"/>
          <w:sz w:val="24"/>
          <w:szCs w:val="24"/>
          <w:highlight w:val="none"/>
          <w:lang w:val="en-US" w:eastAsia="zh-CN"/>
        </w:rPr>
        <w:t xml:space="preserve">采购</w:t>
      </w:r>
      <w:r>
        <w:rPr>
          <w:rFonts w:hint="eastAsia" w:ascii="仿宋" w:hAnsi="仿宋" w:eastAsia="仿宋" w:cs="Times New Roman"/>
          <w:color w:val="auto"/>
          <w:sz w:val="24"/>
          <w:szCs w:val="24"/>
          <w:highlight w:val="none"/>
        </w:rPr>
        <w:t xml:space="preserve">文件规定的，</w:t>
      </w:r>
      <w:r>
        <w:rPr>
          <w:rFonts w:hint="eastAsia" w:ascii="仿宋" w:hAnsi="仿宋" w:eastAsia="仿宋" w:cs="Times New Roman"/>
          <w:color w:val="auto"/>
          <w:sz w:val="24"/>
          <w:szCs w:val="24"/>
          <w:highlight w:val="none"/>
          <w:lang w:eastAsia="zh-CN"/>
        </w:rPr>
        <w:t xml:space="preserve">投标人</w:t>
      </w:r>
      <w:r>
        <w:rPr>
          <w:rFonts w:hint="eastAsia" w:ascii="仿宋" w:hAnsi="仿宋" w:eastAsia="仿宋" w:cs="Times New Roman"/>
          <w:color w:val="auto"/>
          <w:sz w:val="24"/>
          <w:szCs w:val="24"/>
          <w:highlight w:val="none"/>
        </w:rPr>
        <w:t xml:space="preserve">提供的相关产品视为不符合本国产品标准。</w:t>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注：本项目对采购本国产品给予政策支持；适用本国产品标准的货物具体是指《政</w:t>
      </w:r>
      <w:r>
        <w:rPr>
          <w:rFonts w:hint="eastAsia" w:ascii="仿宋" w:hAnsi="仿宋" w:eastAsia="仿宋" w:cs="Times New Roman"/>
          <w:color w:val="auto"/>
          <w:sz w:val="24"/>
          <w:szCs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pStyle w:val="899"/>
        <w:ind w:left="0" w:firstLine="560"/>
        <w:keepLines w:val="0"/>
        <w:keepNext w:val="0"/>
        <w:pageBreakBefore w:val="0"/>
        <w:spacing w:after="0" w:line="336" w:lineRule="auto"/>
        <w:rPr>
          <w:rFonts w:hint="eastAsia" w:ascii="仿宋" w:hAnsi="仿宋" w:eastAsia="仿宋" w:cs="Times New Roman"/>
          <w:color w:val="auto"/>
          <w:sz w:val="24"/>
          <w:szCs w:val="24"/>
          <w:highlight w:val="none"/>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Times New Roman"/>
          <w:color w:val="auto"/>
          <w:sz w:val="24"/>
          <w:szCs w:val="24"/>
          <w:highlight w:val="none"/>
        </w:rPr>
      </w:r>
      <w:r/>
    </w:p>
    <w:p>
      <w:pPr>
        <w:jc w:val="center"/>
        <w:keepLines w:val="0"/>
        <w:keepNext w:val="0"/>
        <w:pageBreakBefore w:val="0"/>
        <w:spacing w:line="336" w:lineRule="auto"/>
        <w:widowControl w:val="off"/>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第三章  评标标准</w:t>
      </w:r>
      <w:r/>
    </w:p>
    <w:p>
      <w:pPr>
        <w:ind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一、评委会根据招标文件中规定的评标标准对</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进行综合评审，最终按综合评审得分由高到低的顺序推荐出3名中标候选人。</w:t>
      </w:r>
      <w:r/>
    </w:p>
    <w:p>
      <w:pPr>
        <w:ind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且按照评审因素的量化指标评审得分最高的</w:t>
      </w:r>
      <w:r>
        <w:rPr>
          <w:rFonts w:hint="eastAsia" w:ascii="仿宋" w:hAnsi="仿宋" w:eastAsia="仿宋"/>
          <w:color w:val="auto"/>
          <w:sz w:val="24"/>
          <w:szCs w:val="24"/>
          <w:highlight w:val="none"/>
          <w:lang w:eastAsia="zh-CN"/>
        </w:rPr>
        <w:t xml:space="preserve">投标人</w:t>
      </w:r>
      <w:r>
        <w:rPr>
          <w:rFonts w:hint="eastAsia" w:ascii="仿宋" w:hAnsi="仿宋" w:eastAsia="仿宋"/>
          <w:color w:val="auto"/>
          <w:sz w:val="24"/>
          <w:szCs w:val="24"/>
          <w:highlight w:val="none"/>
        </w:rPr>
        <w:t xml:space="preserve">为中标候选人的评标方法。</w:t>
      </w:r>
      <w:r/>
    </w:p>
    <w:p>
      <w:pPr>
        <w:ind w:firstLine="560"/>
        <w:keepLines w:val="0"/>
        <w:keepNext w:val="0"/>
        <w:pageBreakBefore w:val="0"/>
        <w:spacing w:line="336" w:lineRule="auto"/>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三、评委会将依据下列评标标准进行评标，本评标标准的总分为100分。按评审后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val="en-US" w:eastAsia="zh-CN"/>
        </w:rPr>
        <w:t xml:space="preserve">四</w:t>
      </w:r>
      <w:r>
        <w:rPr>
          <w:rFonts w:hint="eastAsia" w:ascii="仿宋" w:hAnsi="仿宋" w:eastAsia="仿宋" w:cs="Times New Roman"/>
          <w:color w:val="auto"/>
          <w:sz w:val="24"/>
          <w:szCs w:val="24"/>
          <w:highlight w:val="none"/>
        </w:rPr>
        <w:t xml:space="preserve">、具体标准</w:t>
      </w:r>
      <w:r>
        <w:rPr>
          <w:rFonts w:hint="eastAsia" w:ascii="仿宋" w:hAnsi="仿宋" w:eastAsia="仿宋" w:cs="Times New Roman"/>
          <w:color w:val="auto"/>
          <w:sz w:val="24"/>
          <w:szCs w:val="24"/>
          <w:highlight w:val="none"/>
          <w:lang w:eastAsia="zh-CN"/>
        </w:rPr>
        <w:t xml:space="preserve">：</w:t>
      </w:r>
      <w:r/>
    </w:p>
    <w:p>
      <w:pPr>
        <w:ind w:firstLine="560"/>
        <w:keepLines w:val="0"/>
        <w:keepNext w:val="0"/>
        <w:pageBreakBefore w:val="0"/>
        <w:spacing w:line="336" w:lineRule="auto"/>
        <w:widowControl w:val="off"/>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本项目按照采购包一、采购包二、采购包三顺序依次评标。</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 xml:space="preserve">采购包一、采购包二</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1、价格:30分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投标报价得分＝（评标基准价/投标报价）×30分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2、技术部分：27分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招标文件技术参数要求中打“★”的为实质性要求，有一项负偏离的作无效投标处理。打“</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”部分为重点指标，完全响应招标文件技术要求的得满分15分，有一项负偏离扣3分；未打“</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”部分完全满足招标文件要求的得满分12分，有一项负偏离扣1分，扣完为止。</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（注：要求提供证明材料的按要求提供证明材料，未提供或提供的材料未满足技术参数要求的作负偏离处理。）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lang w:val="en-US" w:eastAsia="zh-CN"/>
        </w:rPr>
        <w:t xml:space="preserve">商务部分:18分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（1）投标人或所投核心产品制造商</w:t>
      </w:r>
      <w:r>
        <w:rPr>
          <w:rFonts w:hint="default" w:ascii="仿宋" w:hAnsi="仿宋" w:eastAsia="仿宋" w:cs="Times New Roman"/>
          <w:color w:val="auto"/>
          <w:sz w:val="24"/>
          <w:szCs w:val="24"/>
          <w:highlight w:val="none"/>
          <w:lang w:val="en-US" w:eastAsia="zh-CN"/>
        </w:rPr>
        <w:t xml:space="preserve">具</w:t>
      </w:r>
      <w:r>
        <w:rPr>
          <w:rFonts w:hint="eastAsia" w:ascii="仿宋" w:hAnsi="仿宋" w:eastAsia="仿宋" w:cs="Times New Roman"/>
          <w:color w:val="auto"/>
          <w:sz w:val="24"/>
          <w:szCs w:val="24"/>
          <w:highlight w:val="none"/>
          <w:lang w:val="en-US" w:eastAsia="zh-CN"/>
        </w:rPr>
        <w:t xml:space="preserve">有</w:t>
      </w:r>
      <w:r>
        <w:rPr>
          <w:rFonts w:hint="default" w:ascii="仿宋" w:hAnsi="仿宋" w:eastAsia="仿宋" w:cs="Times New Roman"/>
          <w:color w:val="auto"/>
          <w:sz w:val="24"/>
          <w:szCs w:val="24"/>
          <w:highlight w:val="none"/>
          <w:lang w:val="en-US" w:eastAsia="zh-CN"/>
        </w:rPr>
        <w:t xml:space="preserve">有效期内的质量管理体系认证证书</w:t>
      </w:r>
      <w:r>
        <w:rPr>
          <w:rFonts w:hint="eastAsia" w:ascii="仿宋" w:hAnsi="仿宋" w:eastAsia="仿宋" w:cs="Times New Roman"/>
          <w:color w:val="auto"/>
          <w:sz w:val="24"/>
          <w:szCs w:val="24"/>
          <w:highlight w:val="none"/>
          <w:lang w:val="en-US" w:eastAsia="zh-CN"/>
        </w:rPr>
        <w:t xml:space="preserve">、</w:t>
      </w:r>
      <w:r>
        <w:rPr>
          <w:rFonts w:hint="default" w:ascii="仿宋" w:hAnsi="仿宋" w:eastAsia="仿宋" w:cs="Times New Roman"/>
          <w:color w:val="auto"/>
          <w:sz w:val="24"/>
          <w:szCs w:val="24"/>
          <w:highlight w:val="none"/>
          <w:lang w:val="en-US" w:eastAsia="zh-CN"/>
        </w:rPr>
        <w:t xml:space="preserve">环境管理体系认证证书</w:t>
      </w:r>
      <w:r>
        <w:rPr>
          <w:rFonts w:hint="eastAsia" w:ascii="仿宋" w:hAnsi="仿宋" w:eastAsia="仿宋" w:cs="Times New Roman"/>
          <w:color w:val="auto"/>
          <w:sz w:val="24"/>
          <w:szCs w:val="24"/>
          <w:highlight w:val="none"/>
          <w:lang w:val="en-US" w:eastAsia="zh-CN"/>
        </w:rPr>
        <w:t xml:space="preserve">、职业健康安全管理体系认证证书，每提供</w:t>
      </w:r>
      <w:r>
        <w:rPr>
          <w:rFonts w:hint="default" w:ascii="仿宋" w:hAnsi="仿宋" w:eastAsia="仿宋" w:cs="Times New Roman"/>
          <w:color w:val="auto"/>
          <w:sz w:val="24"/>
          <w:szCs w:val="24"/>
          <w:highlight w:val="none"/>
          <w:lang w:val="en-US" w:eastAsia="zh-CN"/>
        </w:rPr>
        <w:t xml:space="preserve">一个得</w:t>
      </w:r>
      <w:r>
        <w:rPr>
          <w:rFonts w:hint="eastAsia" w:ascii="仿宋" w:hAnsi="仿宋" w:eastAsia="仿宋" w:cs="Times New Roman"/>
          <w:color w:val="auto"/>
          <w:sz w:val="24"/>
          <w:szCs w:val="24"/>
          <w:highlight w:val="none"/>
          <w:lang w:val="en-US" w:eastAsia="zh-CN"/>
        </w:rPr>
        <w:t xml:space="preserve">1</w:t>
      </w:r>
      <w:r>
        <w:rPr>
          <w:rFonts w:hint="default" w:ascii="仿宋" w:hAnsi="仿宋" w:eastAsia="仿宋" w:cs="Times New Roman"/>
          <w:color w:val="auto"/>
          <w:sz w:val="24"/>
          <w:szCs w:val="24"/>
          <w:highlight w:val="none"/>
          <w:lang w:val="en-US" w:eastAsia="zh-CN"/>
        </w:rPr>
        <w:t xml:space="preserve">分，最高得</w:t>
      </w: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分。</w:t>
      </w:r>
      <w:r>
        <w:rPr>
          <w:rFonts w:hint="eastAsia" w:ascii="仿宋" w:hAnsi="仿宋" w:eastAsia="仿宋" w:cs="Times New Roman"/>
          <w:color w:val="auto"/>
          <w:sz w:val="24"/>
          <w:szCs w:val="24"/>
          <w:highlight w:val="none"/>
          <w:lang w:val="en-US" w:eastAsia="zh-CN"/>
        </w:rPr>
        <w:t xml:space="preserve">(提供证书扫描件及中国认证认可监督平台查询结果网页截图加盖投标人电子签章)</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（2）投标人或所投核心产品制造商</w:t>
      </w:r>
      <w:r>
        <w:rPr>
          <w:rFonts w:hint="default" w:ascii="仿宋" w:hAnsi="仿宋" w:eastAsia="仿宋" w:cs="Times New Roman"/>
          <w:color w:val="auto"/>
          <w:sz w:val="24"/>
          <w:szCs w:val="24"/>
          <w:highlight w:val="none"/>
          <w:lang w:val="en-US" w:eastAsia="zh-CN"/>
        </w:rPr>
        <w:t xml:space="preserve">自202</w:t>
      </w: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年</w:t>
      </w:r>
      <w:r>
        <w:rPr>
          <w:rFonts w:hint="eastAsia" w:ascii="仿宋" w:hAnsi="仿宋" w:eastAsia="仿宋" w:cs="Times New Roman"/>
          <w:color w:val="auto"/>
          <w:sz w:val="24"/>
          <w:szCs w:val="24"/>
          <w:highlight w:val="none"/>
          <w:lang w:val="en-US" w:eastAsia="zh-CN"/>
        </w:rPr>
        <w:t xml:space="preserve">1</w:t>
      </w:r>
      <w:r>
        <w:rPr>
          <w:rFonts w:hint="default" w:ascii="仿宋" w:hAnsi="仿宋" w:eastAsia="仿宋" w:cs="Times New Roman"/>
          <w:color w:val="auto"/>
          <w:sz w:val="24"/>
          <w:szCs w:val="24"/>
          <w:highlight w:val="none"/>
          <w:lang w:val="en-US" w:eastAsia="zh-CN"/>
        </w:rPr>
        <w:t xml:space="preserve">月（</w:t>
      </w:r>
      <w:r>
        <w:rPr>
          <w:rFonts w:hint="eastAsia" w:ascii="仿宋" w:hAnsi="仿宋" w:eastAsia="仿宋" w:cs="Times New Roman"/>
          <w:color w:val="auto"/>
          <w:sz w:val="24"/>
          <w:szCs w:val="24"/>
          <w:highlight w:val="none"/>
          <w:lang w:val="en-US" w:eastAsia="zh-CN"/>
        </w:rPr>
        <w:t xml:space="preserve">以合同签订时间为准</w:t>
      </w:r>
      <w:r>
        <w:rPr>
          <w:rFonts w:hint="default" w:ascii="仿宋" w:hAnsi="仿宋" w:eastAsia="仿宋" w:cs="Times New Roman"/>
          <w:color w:val="auto"/>
          <w:sz w:val="24"/>
          <w:szCs w:val="24"/>
          <w:highlight w:val="none"/>
          <w:lang w:val="en-US" w:eastAsia="zh-CN"/>
        </w:rPr>
        <w:t xml:space="preserve">）以来</w:t>
      </w:r>
      <w:r>
        <w:rPr>
          <w:rFonts w:hint="eastAsia" w:ascii="仿宋" w:hAnsi="仿宋" w:eastAsia="仿宋" w:cs="Times New Roman"/>
          <w:color w:val="auto"/>
          <w:sz w:val="24"/>
          <w:szCs w:val="24"/>
          <w:highlight w:val="none"/>
          <w:lang w:val="en-US" w:eastAsia="zh-CN"/>
        </w:rPr>
        <w:t xml:space="preserve">完成的类似项目业绩</w:t>
      </w:r>
      <w:r>
        <w:rPr>
          <w:rFonts w:hint="default" w:ascii="仿宋" w:hAnsi="仿宋" w:eastAsia="仿宋" w:cs="Times New Roman"/>
          <w:color w:val="auto"/>
          <w:sz w:val="24"/>
          <w:szCs w:val="24"/>
          <w:highlight w:val="none"/>
          <w:lang w:val="en-US" w:eastAsia="zh-CN"/>
        </w:rPr>
        <w:t xml:space="preserve">，每提供1份业绩得</w:t>
      </w:r>
      <w:r>
        <w:rPr>
          <w:rFonts w:hint="eastAsia" w:ascii="仿宋" w:hAnsi="仿宋" w:eastAsia="仿宋" w:cs="Times New Roman"/>
          <w:color w:val="auto"/>
          <w:sz w:val="24"/>
          <w:szCs w:val="24"/>
          <w:highlight w:val="none"/>
          <w:lang w:val="en-US" w:eastAsia="zh-CN"/>
        </w:rPr>
        <w:t xml:space="preserve">2</w:t>
      </w:r>
      <w:r>
        <w:rPr>
          <w:rFonts w:hint="default" w:ascii="仿宋" w:hAnsi="仿宋" w:eastAsia="仿宋" w:cs="Times New Roman"/>
          <w:color w:val="auto"/>
          <w:sz w:val="24"/>
          <w:szCs w:val="24"/>
          <w:highlight w:val="none"/>
          <w:lang w:val="en-US" w:eastAsia="zh-CN"/>
        </w:rPr>
        <w:t xml:space="preserve">分，本项最高得</w:t>
      </w:r>
      <w:r>
        <w:rPr>
          <w:rFonts w:hint="eastAsia" w:ascii="仿宋" w:hAnsi="仿宋" w:eastAsia="仿宋" w:cs="Times New Roman"/>
          <w:color w:val="auto"/>
          <w:sz w:val="24"/>
          <w:szCs w:val="24"/>
          <w:highlight w:val="none"/>
          <w:lang w:val="en-US" w:eastAsia="zh-CN"/>
        </w:rPr>
        <w:t xml:space="preserve">6</w:t>
      </w:r>
      <w:r>
        <w:rPr>
          <w:rFonts w:hint="default" w:ascii="仿宋" w:hAnsi="仿宋" w:eastAsia="仿宋" w:cs="Times New Roman"/>
          <w:color w:val="auto"/>
          <w:sz w:val="24"/>
          <w:szCs w:val="24"/>
          <w:highlight w:val="none"/>
          <w:lang w:val="en-US" w:eastAsia="zh-CN"/>
        </w:rPr>
        <w:t xml:space="preserve">分。</w:t>
      </w:r>
      <w:r>
        <w:rPr>
          <w:rFonts w:hint="eastAsia" w:ascii="仿宋" w:hAnsi="仿宋" w:eastAsia="仿宋" w:cs="Times New Roman"/>
          <w:color w:val="auto"/>
          <w:sz w:val="24"/>
          <w:szCs w:val="24"/>
          <w:highlight w:val="none"/>
          <w:lang w:val="en-US" w:eastAsia="zh-CN"/>
        </w:rPr>
        <w:t xml:space="preserve">（提供合同及对应付款发票扫描件加盖投标人电子签章）。</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（3）12吨新能源洗地车电池总储电量（kWh）在满足招标文件要求的基础上，每增加10kWh的得1分，最多得3分。（仅适用采购包一）</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（4）31吨新能源勾臂车电池总储电量（kWh）在满足招标文件要求的基础上，每增加10kWh的得1分，最多得3分。（仅适用采购包二）</w:t>
      </w:r>
      <w:r/>
    </w:p>
    <w:p>
      <w:pPr>
        <w:numPr>
          <w:ilvl w:val="0"/>
          <w:numId w:val="0"/>
        </w:num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lang w:val="en-US" w:eastAsia="zh-CN" w:bidi="ar-SA"/>
        </w:rPr>
        <w:t xml:space="preserve">（5）</w:t>
      </w:r>
      <w:r>
        <w:rPr>
          <w:rFonts w:hint="eastAsia" w:ascii="仿宋" w:hAnsi="仿宋" w:eastAsia="仿宋" w:cs="Times New Roman"/>
          <w:color w:val="auto"/>
          <w:sz w:val="24"/>
          <w:szCs w:val="24"/>
          <w:highlight w:val="none"/>
          <w:lang w:val="en-US" w:eastAsia="zh-CN"/>
        </w:rPr>
        <w:t xml:space="preserve">整车质保在满足招标文件原有免费质保期基础上，每增加1年加2分，满分6分。（提供书面承诺加盖投标人电子签章）</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4、方案部分</w:t>
      </w:r>
      <w:r>
        <w:rPr>
          <w:rFonts w:hint="default"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lang w:val="en-US" w:eastAsia="zh-CN"/>
        </w:rPr>
        <w:t xml:space="preserve">25</w:t>
      </w:r>
      <w:r>
        <w:rPr>
          <w:rFonts w:hint="default" w:ascii="仿宋" w:hAnsi="仿宋" w:eastAsia="仿宋" w:cs="Times New Roman"/>
          <w:color w:val="auto"/>
          <w:sz w:val="24"/>
          <w:szCs w:val="24"/>
          <w:highlight w:val="none"/>
          <w:lang w:val="en-US" w:eastAsia="zh-CN"/>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（1）项目实施</w:t>
      </w:r>
      <w:r>
        <w:rPr>
          <w:rFonts w:hint="default" w:ascii="仿宋" w:hAnsi="仿宋" w:eastAsia="仿宋" w:cs="Times New Roman"/>
          <w:color w:val="auto"/>
          <w:sz w:val="24"/>
          <w:szCs w:val="24"/>
          <w:highlight w:val="none"/>
          <w:lang w:val="en-US" w:eastAsia="zh-CN"/>
        </w:rPr>
        <w:t xml:space="preserve">方案</w:t>
      </w:r>
      <w:r>
        <w:rPr>
          <w:rFonts w:hint="eastAsia" w:ascii="仿宋" w:hAnsi="仿宋" w:eastAsia="仿宋" w:cs="Times New Roman"/>
          <w:color w:val="auto"/>
          <w:sz w:val="24"/>
          <w:szCs w:val="24"/>
          <w:highlight w:val="none"/>
          <w:lang w:val="en-US" w:eastAsia="zh-CN"/>
        </w:rPr>
        <w:t xml:space="preserve">（5分）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根据投标人提供的项目实施方案：包括供货进度、项目管理方案、项目具体实施说明、质量保障措施、技术保障措施等方面进行评分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方案内容全面、计划合理可行，优于采购需求要求得5分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比较符合采购需求要求得3分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基本符合采购需求要求的得1分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没有内容</w:t>
      </w:r>
      <w:r>
        <w:rPr>
          <w:rFonts w:hint="default" w:ascii="仿宋" w:hAnsi="仿宋" w:eastAsia="仿宋" w:cs="Times New Roman"/>
          <w:color w:val="auto"/>
          <w:sz w:val="24"/>
          <w:szCs w:val="24"/>
          <w:highlight w:val="none"/>
          <w:lang w:val="en-US" w:eastAsia="zh-CN"/>
        </w:rPr>
        <w:t xml:space="preserve">不得分</w:t>
      </w:r>
      <w:r>
        <w:rPr>
          <w:rFonts w:hint="eastAsia" w:ascii="仿宋" w:hAnsi="仿宋" w:eastAsia="仿宋" w:cs="Times New Roman"/>
          <w:color w:val="auto"/>
          <w:sz w:val="24"/>
          <w:szCs w:val="24"/>
          <w:highlight w:val="none"/>
          <w:lang w:val="en-US" w:eastAsia="zh-CN"/>
        </w:rPr>
        <w:t xml:space="preserve">。</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（2）管理力量、技术人员安排（</w:t>
      </w: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拟投入本项目的管理、技术人员情况进行对比打分，包括人员安排合理性</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管理机构健全程度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人员技术水平等内容进行评分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管理内容完整、人员安排合理的得</w:t>
      </w: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管理内容较完整、人员安排较合理的得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管理内容一般、人员安排较一般的得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）质量保障措施（5分）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根据投标人提供针对本项目的质量保障措施进行评审。质量保障措施至少包括质量控制目标、质量控制方法、技术规范和工艺流程保障措施等方面进行评分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方案内容全面、计划合理可行，优于采购需求要求得5分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比较符合采购需求要求得3分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基本符合采购需求要求的得1分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）培训及运输方案（5分）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根据投标人提供的培训服务及运输方案等方面进行评分，包括人员安排合理性、培训及运输人员水平等内容进行评分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方案内容全面、计划合理可行，优于采购需求要求得5分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比较符合采购需求要求得3分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基本符合采购需求要求的得1分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（5）售后服务（5分）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针对本项目拥有完善的售后服务保障体系：包括售后服务方案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售后网点分布</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维修反应速度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所投产品附件和备品备件的准备和保障措施等方面进行评分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售后服务保障体系非常完善的得</w:t>
      </w: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比较完善的得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完善性较差的得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没有内容不得分。</w:t>
      </w:r>
      <w:r/>
    </w:p>
    <w:p>
      <w:pPr>
        <w:pStyle w:val="651"/>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rPr>
          <w:rFonts w:hint="eastAsia" w:ascii="仿宋" w:hAnsi="仿宋" w:eastAsia="仿宋" w:cs="Times New Roman"/>
          <w:color w:val="auto"/>
          <w:sz w:val="24"/>
          <w:szCs w:val="24"/>
          <w:highlight w:val="none"/>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Times New Roman"/>
          <w:color w:val="auto"/>
          <w:sz w:val="24"/>
          <w:szCs w:val="24"/>
          <w:highlight w:val="none"/>
        </w:rPr>
      </w:r>
      <w:r/>
    </w:p>
    <w:p>
      <w:pPr>
        <w:pStyle w:val="651"/>
        <w:rPr>
          <w:rFonts w:hint="eastAsia"/>
        </w:rPr>
      </w:pPr>
      <w:r>
        <w:rPr>
          <w:rFonts w:hint="eastAsia" w:ascii="仿宋" w:hAnsi="仿宋" w:eastAsia="仿宋" w:cs="Times New Roman"/>
          <w:b/>
          <w:bCs/>
          <w:color w:val="auto"/>
          <w:sz w:val="24"/>
          <w:szCs w:val="24"/>
          <w:highlight w:val="none"/>
          <w:lang w:val="en-US" w:eastAsia="zh-CN"/>
        </w:rPr>
        <w:t xml:space="preserve">采购包三</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1、价格:30分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投标报价得分＝（评标基准价/投标报价）×30分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2、技术部分：28分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招标文件技术参数要求中打“★”的为实质性要求，有一项负偏离的作无效投标处理。打“</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”部分为重点指标，完全响应招标文件技术要求的得满分15分，有一项负偏离扣3分；未打“</w:t>
      </w:r>
      <w:r>
        <w:rPr>
          <w:rFonts w:hint="eastAsia" w:ascii="仿宋" w:hAnsi="仿宋" w:eastAsia="仿宋" w:cs="仿宋"/>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”部分完全满足招标文件要求的得满分13分，有一项负偏离扣1分，扣完为止。</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（注：要求提供证明材料的按要求提供证明材料，未提供或提供的材料未满足技术参数要求的作负偏离处理。）</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lang w:val="en-US" w:eastAsia="zh-CN"/>
        </w:rPr>
        <w:t xml:space="preserve">商务部分:17分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（1）投标人或所投核心产品制造商</w:t>
      </w:r>
      <w:r>
        <w:rPr>
          <w:rFonts w:hint="default" w:ascii="仿宋" w:hAnsi="仿宋" w:eastAsia="仿宋" w:cs="Times New Roman"/>
          <w:color w:val="auto"/>
          <w:sz w:val="24"/>
          <w:szCs w:val="24"/>
          <w:highlight w:val="none"/>
          <w:lang w:val="en-US" w:eastAsia="zh-CN"/>
        </w:rPr>
        <w:t xml:space="preserve">具</w:t>
      </w:r>
      <w:r>
        <w:rPr>
          <w:rFonts w:hint="eastAsia" w:ascii="仿宋" w:hAnsi="仿宋" w:eastAsia="仿宋" w:cs="Times New Roman"/>
          <w:color w:val="auto"/>
          <w:sz w:val="24"/>
          <w:szCs w:val="24"/>
          <w:highlight w:val="none"/>
          <w:lang w:val="en-US" w:eastAsia="zh-CN"/>
        </w:rPr>
        <w:t xml:space="preserve">有</w:t>
      </w:r>
      <w:r>
        <w:rPr>
          <w:rFonts w:hint="default" w:ascii="仿宋" w:hAnsi="仿宋" w:eastAsia="仿宋" w:cs="Times New Roman"/>
          <w:color w:val="auto"/>
          <w:sz w:val="24"/>
          <w:szCs w:val="24"/>
          <w:highlight w:val="none"/>
          <w:lang w:val="en-US" w:eastAsia="zh-CN"/>
        </w:rPr>
        <w:t xml:space="preserve">有效期内的质量管理体系认证证书</w:t>
      </w:r>
      <w:r>
        <w:rPr>
          <w:rFonts w:hint="eastAsia" w:ascii="仿宋" w:hAnsi="仿宋" w:eastAsia="仿宋" w:cs="Times New Roman"/>
          <w:color w:val="auto"/>
          <w:sz w:val="24"/>
          <w:szCs w:val="24"/>
          <w:highlight w:val="none"/>
          <w:lang w:val="en-US" w:eastAsia="zh-CN"/>
        </w:rPr>
        <w:t xml:space="preserve">、</w:t>
      </w:r>
      <w:r>
        <w:rPr>
          <w:rFonts w:hint="default" w:ascii="仿宋" w:hAnsi="仿宋" w:eastAsia="仿宋" w:cs="Times New Roman"/>
          <w:color w:val="auto"/>
          <w:sz w:val="24"/>
          <w:szCs w:val="24"/>
          <w:highlight w:val="none"/>
          <w:lang w:val="en-US" w:eastAsia="zh-CN"/>
        </w:rPr>
        <w:t xml:space="preserve">环境管理体系认证证书</w:t>
      </w:r>
      <w:r>
        <w:rPr>
          <w:rFonts w:hint="eastAsia" w:ascii="仿宋" w:hAnsi="仿宋" w:eastAsia="仿宋" w:cs="Times New Roman"/>
          <w:color w:val="auto"/>
          <w:sz w:val="24"/>
          <w:szCs w:val="24"/>
          <w:highlight w:val="none"/>
          <w:lang w:val="en-US" w:eastAsia="zh-CN"/>
        </w:rPr>
        <w:t xml:space="preserve">、职业健康安全管理体系认证证书，每提供</w:t>
      </w:r>
      <w:r>
        <w:rPr>
          <w:rFonts w:hint="default" w:ascii="仿宋" w:hAnsi="仿宋" w:eastAsia="仿宋" w:cs="Times New Roman"/>
          <w:color w:val="auto"/>
          <w:sz w:val="24"/>
          <w:szCs w:val="24"/>
          <w:highlight w:val="none"/>
          <w:lang w:val="en-US" w:eastAsia="zh-CN"/>
        </w:rPr>
        <w:t xml:space="preserve">一个得</w:t>
      </w:r>
      <w:r>
        <w:rPr>
          <w:rFonts w:hint="eastAsia" w:ascii="仿宋" w:hAnsi="仿宋" w:eastAsia="仿宋" w:cs="Times New Roman"/>
          <w:color w:val="auto"/>
          <w:sz w:val="24"/>
          <w:szCs w:val="24"/>
          <w:highlight w:val="none"/>
          <w:lang w:val="en-US" w:eastAsia="zh-CN"/>
        </w:rPr>
        <w:t xml:space="preserve">1</w:t>
      </w:r>
      <w:r>
        <w:rPr>
          <w:rFonts w:hint="default" w:ascii="仿宋" w:hAnsi="仿宋" w:eastAsia="仿宋" w:cs="Times New Roman"/>
          <w:color w:val="auto"/>
          <w:sz w:val="24"/>
          <w:szCs w:val="24"/>
          <w:highlight w:val="none"/>
          <w:lang w:val="en-US" w:eastAsia="zh-CN"/>
        </w:rPr>
        <w:t xml:space="preserve">分，最高得</w:t>
      </w: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分。</w:t>
      </w:r>
      <w:r>
        <w:rPr>
          <w:rFonts w:hint="eastAsia" w:ascii="仿宋" w:hAnsi="仿宋" w:eastAsia="仿宋" w:cs="Times New Roman"/>
          <w:color w:val="auto"/>
          <w:sz w:val="24"/>
          <w:szCs w:val="24"/>
          <w:highlight w:val="none"/>
          <w:lang w:val="en-US" w:eastAsia="zh-CN"/>
        </w:rPr>
        <w:t xml:space="preserve">(提供证书扫描件及中国认证认可监督平台查询结果网页截图加盖投标人电子签章)</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（2）投标人或所投核心产品制造商</w:t>
      </w:r>
      <w:r>
        <w:rPr>
          <w:rFonts w:hint="default" w:ascii="仿宋" w:hAnsi="仿宋" w:eastAsia="仿宋" w:cs="Times New Roman"/>
          <w:color w:val="auto"/>
          <w:sz w:val="24"/>
          <w:szCs w:val="24"/>
          <w:highlight w:val="none"/>
          <w:lang w:val="en-US" w:eastAsia="zh-CN"/>
        </w:rPr>
        <w:t xml:space="preserve">自202</w:t>
      </w:r>
      <w:r>
        <w:rPr>
          <w:rFonts w:hint="eastAsia" w:ascii="仿宋" w:hAnsi="仿宋" w:eastAsia="仿宋" w:cs="Times New Roman"/>
          <w:color w:val="auto"/>
          <w:sz w:val="24"/>
          <w:szCs w:val="24"/>
          <w:highlight w:val="none"/>
          <w:lang w:val="en-US" w:eastAsia="zh-CN"/>
        </w:rPr>
        <w:t xml:space="preserve">3</w:t>
      </w:r>
      <w:r>
        <w:rPr>
          <w:rFonts w:hint="default" w:ascii="仿宋" w:hAnsi="仿宋" w:eastAsia="仿宋" w:cs="Times New Roman"/>
          <w:color w:val="auto"/>
          <w:sz w:val="24"/>
          <w:szCs w:val="24"/>
          <w:highlight w:val="none"/>
          <w:lang w:val="en-US" w:eastAsia="zh-CN"/>
        </w:rPr>
        <w:t xml:space="preserve">年</w:t>
      </w:r>
      <w:r>
        <w:rPr>
          <w:rFonts w:hint="eastAsia" w:ascii="仿宋" w:hAnsi="仿宋" w:eastAsia="仿宋" w:cs="Times New Roman"/>
          <w:color w:val="auto"/>
          <w:sz w:val="24"/>
          <w:szCs w:val="24"/>
          <w:highlight w:val="none"/>
          <w:lang w:val="en-US" w:eastAsia="zh-CN"/>
        </w:rPr>
        <w:t xml:space="preserve">1</w:t>
      </w:r>
      <w:r>
        <w:rPr>
          <w:rFonts w:hint="default" w:ascii="仿宋" w:hAnsi="仿宋" w:eastAsia="仿宋" w:cs="Times New Roman"/>
          <w:color w:val="auto"/>
          <w:sz w:val="24"/>
          <w:szCs w:val="24"/>
          <w:highlight w:val="none"/>
          <w:lang w:val="en-US" w:eastAsia="zh-CN"/>
        </w:rPr>
        <w:t xml:space="preserve">月（</w:t>
      </w:r>
      <w:r>
        <w:rPr>
          <w:rFonts w:hint="eastAsia" w:ascii="仿宋" w:hAnsi="仿宋" w:eastAsia="仿宋" w:cs="Times New Roman"/>
          <w:color w:val="auto"/>
          <w:sz w:val="24"/>
          <w:szCs w:val="24"/>
          <w:highlight w:val="none"/>
          <w:lang w:val="en-US" w:eastAsia="zh-CN"/>
        </w:rPr>
        <w:t xml:space="preserve">以合同签订时间为准</w:t>
      </w:r>
      <w:r>
        <w:rPr>
          <w:rFonts w:hint="default" w:ascii="仿宋" w:hAnsi="仿宋" w:eastAsia="仿宋" w:cs="Times New Roman"/>
          <w:color w:val="auto"/>
          <w:sz w:val="24"/>
          <w:szCs w:val="24"/>
          <w:highlight w:val="none"/>
          <w:lang w:val="en-US" w:eastAsia="zh-CN"/>
        </w:rPr>
        <w:t xml:space="preserve">）以来</w:t>
      </w:r>
      <w:r>
        <w:rPr>
          <w:rFonts w:hint="eastAsia" w:ascii="仿宋" w:hAnsi="仿宋" w:eastAsia="仿宋" w:cs="Times New Roman"/>
          <w:color w:val="auto"/>
          <w:sz w:val="24"/>
          <w:szCs w:val="24"/>
          <w:highlight w:val="none"/>
          <w:lang w:val="en-US" w:eastAsia="zh-CN"/>
        </w:rPr>
        <w:t xml:space="preserve">完成的类似项目业绩</w:t>
      </w:r>
      <w:r>
        <w:rPr>
          <w:rFonts w:hint="default" w:ascii="仿宋" w:hAnsi="仿宋" w:eastAsia="仿宋" w:cs="Times New Roman"/>
          <w:color w:val="auto"/>
          <w:sz w:val="24"/>
          <w:szCs w:val="24"/>
          <w:highlight w:val="none"/>
          <w:lang w:val="en-US" w:eastAsia="zh-CN"/>
        </w:rPr>
        <w:t xml:space="preserve">，每提供1份业绩得</w:t>
      </w:r>
      <w:r>
        <w:rPr>
          <w:rFonts w:hint="eastAsia" w:ascii="仿宋" w:hAnsi="仿宋" w:eastAsia="仿宋" w:cs="Times New Roman"/>
          <w:color w:val="auto"/>
          <w:sz w:val="24"/>
          <w:szCs w:val="24"/>
          <w:highlight w:val="none"/>
          <w:lang w:val="en-US" w:eastAsia="zh-CN"/>
        </w:rPr>
        <w:t xml:space="preserve">2</w:t>
      </w:r>
      <w:r>
        <w:rPr>
          <w:rFonts w:hint="default" w:ascii="仿宋" w:hAnsi="仿宋" w:eastAsia="仿宋" w:cs="Times New Roman"/>
          <w:color w:val="auto"/>
          <w:sz w:val="24"/>
          <w:szCs w:val="24"/>
          <w:highlight w:val="none"/>
          <w:lang w:val="en-US" w:eastAsia="zh-CN"/>
        </w:rPr>
        <w:t xml:space="preserve">分，本项最高得</w:t>
      </w:r>
      <w:r>
        <w:rPr>
          <w:rFonts w:hint="eastAsia" w:ascii="仿宋" w:hAnsi="仿宋" w:eastAsia="仿宋" w:cs="Times New Roman"/>
          <w:color w:val="auto"/>
          <w:sz w:val="24"/>
          <w:szCs w:val="24"/>
          <w:highlight w:val="none"/>
          <w:lang w:val="en-US" w:eastAsia="zh-CN"/>
        </w:rPr>
        <w:t xml:space="preserve">6</w:t>
      </w:r>
      <w:r>
        <w:rPr>
          <w:rFonts w:hint="default" w:ascii="仿宋" w:hAnsi="仿宋" w:eastAsia="仿宋" w:cs="Times New Roman"/>
          <w:color w:val="auto"/>
          <w:sz w:val="24"/>
          <w:szCs w:val="24"/>
          <w:highlight w:val="none"/>
          <w:lang w:val="en-US" w:eastAsia="zh-CN"/>
        </w:rPr>
        <w:t xml:space="preserve">分。</w:t>
      </w:r>
      <w:r>
        <w:rPr>
          <w:rFonts w:hint="eastAsia" w:ascii="仿宋" w:hAnsi="仿宋" w:eastAsia="仿宋" w:cs="Times New Roman"/>
          <w:color w:val="auto"/>
          <w:sz w:val="24"/>
          <w:szCs w:val="24"/>
          <w:highlight w:val="none"/>
          <w:lang w:val="en-US" w:eastAsia="zh-CN"/>
        </w:rPr>
        <w:t xml:space="preserve">(提供合同及对应付款发票扫描件加盖投标人电子签章）。</w:t>
      </w:r>
      <w:r/>
    </w:p>
    <w:p>
      <w:pPr>
        <w:ind w:firstLine="560"/>
        <w:keepLines w:val="0"/>
        <w:keepNext w:val="0"/>
        <w:pageBreakBefore w:val="0"/>
        <w:spacing w:line="336" w:lineRule="auto"/>
        <w:widowControl w:val="off"/>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（3）整车质保在满足招标文件原有免费质保期基础上，每增加1年加2分，满分6分。（提供书面承诺加盖投标人电子签章）</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（4）售后服务承诺书中列明响应方式、责任人姓名、责任人联系方式、服务保障措施四项内容，每列明一项得0.5分，本项目最高得2分。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4、方案部分</w:t>
      </w:r>
      <w:r>
        <w:rPr>
          <w:rFonts w:hint="default"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lang w:val="en-US" w:eastAsia="zh-CN"/>
        </w:rPr>
        <w:t xml:space="preserve">25</w:t>
      </w:r>
      <w:r>
        <w:rPr>
          <w:rFonts w:hint="default" w:ascii="仿宋" w:hAnsi="仿宋" w:eastAsia="仿宋" w:cs="Times New Roman"/>
          <w:color w:val="auto"/>
          <w:sz w:val="24"/>
          <w:szCs w:val="24"/>
          <w:highlight w:val="none"/>
          <w:lang w:val="en-US" w:eastAsia="zh-CN"/>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（1）项目实施</w:t>
      </w:r>
      <w:r>
        <w:rPr>
          <w:rFonts w:hint="default" w:ascii="仿宋" w:hAnsi="仿宋" w:eastAsia="仿宋" w:cs="Times New Roman"/>
          <w:color w:val="auto"/>
          <w:sz w:val="24"/>
          <w:szCs w:val="24"/>
          <w:highlight w:val="none"/>
          <w:lang w:val="en-US" w:eastAsia="zh-CN"/>
        </w:rPr>
        <w:t xml:space="preserve">方案</w:t>
      </w:r>
      <w:r>
        <w:rPr>
          <w:rFonts w:hint="eastAsia" w:ascii="仿宋" w:hAnsi="仿宋" w:eastAsia="仿宋" w:cs="Times New Roman"/>
          <w:color w:val="auto"/>
          <w:sz w:val="24"/>
          <w:szCs w:val="24"/>
          <w:highlight w:val="none"/>
          <w:lang w:val="en-US" w:eastAsia="zh-CN"/>
        </w:rPr>
        <w:t xml:space="preserve">（5分）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根据投标人提供的项目实施方案：包括供货进度、项目管理方案、项目具体实施说明等方面进行评分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方案内容全面、计划合理可行，优于采购需求要求得5分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比较符合采购需求要求得3分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基本符合采购需求要求的得1分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没有内容</w:t>
      </w:r>
      <w:r>
        <w:rPr>
          <w:rFonts w:hint="default" w:ascii="仿宋" w:hAnsi="仿宋" w:eastAsia="仿宋" w:cs="Times New Roman"/>
          <w:color w:val="auto"/>
          <w:sz w:val="24"/>
          <w:szCs w:val="24"/>
          <w:highlight w:val="none"/>
          <w:lang w:val="en-US" w:eastAsia="zh-CN"/>
        </w:rPr>
        <w:t xml:space="preserve">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（2）管理力量、技术人员安排（</w:t>
      </w: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拟投入本项目的管理、技术人员情况进行对比打分，包括人员安排合理性</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管理机构健全程度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人员技术水平等内容进行评分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管理内容完整、人员安排合理的得</w:t>
      </w: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管理内容较完整、人员安排较合理的得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管理内容一般、人员安排较一般的得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（3）质量保障措施（5分）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根据投标人提供针对本项目的质量保障措施进行评审。质量保障措施至少包括质量控制目标、质量控制方法、技术规范和工艺流程保障措施等方面进行评分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方案内容全面、计划合理可行，优于采购需求要求得5分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比较符合采购需求要求得3分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基本符合采购需求要求的得1分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（4）培训及运输方案（5分）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根据投标人提供的培训服务及运输方案等方面进行评分，包括人员安排合理性、培训及运输人员水平等内容进行评分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方案内容全面、计划合理可行，优于采购需求要求得5分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比较符合采购需求要求得3分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基本符合采购需求要求的得1分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（5）售后服务（5分）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针对本项目拥有完善的售后服务保障体系：包括售后服务方案</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售后网点分布</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维修反应速度</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所投产品附件和备品备件的准备和保障措施等方面进行评分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售后服务保障体系非常完善的得</w:t>
      </w: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比较完善的得</w:t>
      </w:r>
      <w:r>
        <w:rPr>
          <w:rFonts w:hint="eastAsia" w:ascii="仿宋" w:hAnsi="仿宋" w:eastAsia="仿宋" w:cs="Times New Roman"/>
          <w:color w:val="auto"/>
          <w:sz w:val="24"/>
          <w:szCs w:val="24"/>
          <w:highlight w:val="none"/>
          <w:lang w:val="en-US" w:eastAsia="zh-CN"/>
        </w:rPr>
        <w:t xml:space="preserve">3</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完善性较差的得</w:t>
      </w: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没有内容不得分。</w:t>
      </w:r>
      <w:r/>
    </w:p>
    <w:p>
      <w:pPr>
        <w:ind w:firstLine="560"/>
        <w:keepLines w:val="0"/>
        <w:keepNext w:val="0"/>
        <w:pageBreakBefore w:val="0"/>
        <w:spacing w:line="336"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注：</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按上述要求如实提供相关证明材料，如未按要求提供或提供资料不全，则与之相关的评分项不予计分。</w:t>
      </w:r>
      <w:r>
        <w:rPr>
          <w:rFonts w:hint="eastAsia" w:ascii="仿宋" w:hAnsi="仿宋" w:eastAsia="仿宋" w:cs="Times New Roman"/>
          <w:color w:val="auto"/>
          <w:sz w:val="24"/>
          <w:szCs w:val="24"/>
          <w:highlight w:val="none"/>
          <w:lang w:val="en-US" w:eastAsia="zh-CN"/>
        </w:rPr>
        <w:t xml:space="preserve">投标人</w:t>
      </w:r>
      <w:r>
        <w:rPr>
          <w:rFonts w:hint="eastAsia" w:ascii="仿宋" w:hAnsi="仿宋" w:eastAsia="仿宋" w:cs="Times New Roman"/>
          <w:color w:val="auto"/>
          <w:sz w:val="24"/>
          <w:szCs w:val="24"/>
          <w:highlight w:val="none"/>
        </w:rPr>
        <w:t xml:space="preserve">提供的证明材料必须清晰有效，如因材料模糊不清</w:t>
      </w:r>
      <w:r>
        <w:rPr>
          <w:rFonts w:hint="eastAsia" w:ascii="仿宋" w:hAnsi="仿宋" w:eastAsia="仿宋" w:cs="Times New Roman"/>
          <w:color w:val="auto"/>
          <w:sz w:val="24"/>
          <w:szCs w:val="24"/>
          <w:highlight w:val="none"/>
          <w:lang w:val="en-US" w:eastAsia="zh-CN"/>
        </w:rPr>
        <w:t xml:space="preserve">评审</w:t>
      </w:r>
      <w:r>
        <w:rPr>
          <w:rFonts w:hint="eastAsia" w:ascii="仿宋" w:hAnsi="仿宋" w:eastAsia="仿宋" w:cs="Times New Roman"/>
          <w:color w:val="auto"/>
          <w:sz w:val="24"/>
          <w:szCs w:val="24"/>
          <w:highlight w:val="none"/>
        </w:rPr>
        <w:t xml:space="preserve">小组无法辨认导致不得分的，其责任由投标人自行承担。</w:t>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51"/>
        <w:rPr>
          <w:rFonts w:hint="eastAsia" w:ascii="仿宋" w:hAnsi="仿宋" w:eastAsia="仿宋"/>
          <w:b/>
          <w:color w:val="auto"/>
          <w:sz w:val="36"/>
          <w:szCs w:val="36"/>
          <w:highlight w:val="none"/>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第四章  合同格式及条款</w:t>
      </w:r>
      <w:r/>
    </w:p>
    <w:p>
      <w:pPr>
        <w:ind w:firstLine="560"/>
        <w:keepLines w:val="0"/>
        <w:keepNext w:val="0"/>
        <w:pageBreakBefore w:val="0"/>
        <w:spacing w:line="336" w:lineRule="auto"/>
        <w:widowControl w:val="off"/>
        <w:tabs>
          <w:tab w:val="left" w:pos="180" w:leader="none"/>
        </w:tabs>
        <w:rPr>
          <w:rFonts w:hint="eastAsia" w:ascii="仿宋" w:hAnsi="仿宋" w:eastAsia="仿宋" w:cs="仿宋"/>
          <w:color w:val="auto"/>
          <w:sz w:val="28"/>
          <w:szCs w:val="22"/>
          <w:highlight w:val="none"/>
        </w:rPr>
      </w:pPr>
      <w:r>
        <w:rPr>
          <w:rFonts w:hint="eastAsia" w:ascii="仿宋" w:hAnsi="仿宋" w:eastAsia="仿宋" w:cs="仿宋"/>
          <w:bCs/>
          <w:color w:val="auto"/>
          <w:sz w:val="24"/>
          <w:szCs w:val="24"/>
          <w:highlight w:val="none"/>
        </w:rPr>
        <w:t xml:space="preserve">注：以下为采购人提出中标后签订本项目合同的条款，</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必须实质性响应，中标</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不得提出实质性的修改，关于专用条款将由采购人与中标</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结合本项目具体情况协商后签订。</w:t>
      </w:r>
      <w:r/>
    </w:p>
    <w:p>
      <w:pPr>
        <w:pStyle w:val="656"/>
        <w:jc w:val="center"/>
        <w:keepLines w:val="0"/>
        <w:keepNext w:val="0"/>
        <w:pageBreakBefore w:val="0"/>
        <w:spacing w:line="336"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一、设备采购合同</w:t>
      </w:r>
      <w:r/>
    </w:p>
    <w:p>
      <w:pPr>
        <w:keepLines w:val="0"/>
        <w:keepNext w:val="0"/>
        <w:pageBreakBefore w:val="0"/>
        <w:spacing w:line="336"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甲方：</w:t>
      </w:r>
      <w:r/>
    </w:p>
    <w:p>
      <w:pPr>
        <w:keepLines w:val="0"/>
        <w:keepNext w:val="0"/>
        <w:pageBreakBefore w:val="0"/>
        <w:spacing w:line="336"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乙方： </w:t>
      </w:r>
      <w:r/>
    </w:p>
    <w:p>
      <w:pPr>
        <w:ind w:firstLine="560"/>
        <w:keepLines w:val="0"/>
        <w:keepNext w:val="0"/>
        <w:pageBreakBefore w:val="0"/>
        <w:spacing w:line="336" w:lineRule="auto"/>
        <w:widowControl w:val="off"/>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一、采购清单详见下表</w:t>
      </w:r>
      <w:r/>
    </w:p>
    <w:tbl>
      <w:tblPr>
        <w:tblStyle w:val="648"/>
        <w:tblW w:w="9921"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bookmarkStart w:id="39" w:name="_Hlk37262289"/>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单价（元）</w:t>
            </w:r>
            <w:r/>
          </w:p>
        </w:tc>
        <w:tc>
          <w:tcPr>
            <w:tcBorders>
              <w:top w:val="single" w:color="auto" w:sz="4"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合计（元）</w:t>
            </w:r>
            <w:r/>
          </w:p>
        </w:tc>
        <w:tc>
          <w:tcPr>
            <w:tcBorders>
              <w:top w:val="single" w:color="auto" w:sz="4"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bookmarkEnd w:id="39"/>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4"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81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2" w:space="0"/>
              <w:left w:val="single" w:color="auto" w:sz="4" w:space="0"/>
              <w:bottom w:val="single" w:color="auto" w:sz="2" w:space="0"/>
              <w:right w:val="single" w:color="auto" w:sz="4" w:space="0"/>
            </w:tcBorders>
            <w:tcW w:w="951" w:type="pct"/>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详见附件</w:t>
            </w:r>
            <w:r/>
          </w:p>
        </w:tc>
      </w:tr>
    </w:tbl>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上述价格含所投产品及其备品、备件和专用工具费用、税费及运至最终目的地的运输、车辆上牌前的临时保险、安装调试费、检验检测费、首年保险费（包括但不限于交强险、车损险、三者险≥300万元等）、车辆上牌费、技术支持与培训、售后服务等工作所发生的全部费用以及投标人利润、税金和政策性文件规定及合同包含的所有风险、责任等各项应有费用。。</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二、付款方式</w:t>
      </w:r>
      <w:r/>
    </w:p>
    <w:p>
      <w:pPr>
        <w:pStyle w:val="656"/>
        <w:ind w:firstLine="561"/>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合同签订后30日内支付合同款项的30%作为预付款，安装调试完毕且经验收合格交付使用后一次性无息付清剩余款项，不计利息。</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注：付款时乙方须提供正规含税发票（因发票问题而导致无法正常付款的，责任由乙方承担）。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三、交货时间及交货地点</w:t>
      </w:r>
      <w:r/>
    </w:p>
    <w:p>
      <w:pPr>
        <w:pStyle w:val="656"/>
        <w:ind w:firstLine="561"/>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交货时间：合同签订后，</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接到</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分批供货通知之日起7日内，完成该批次货物的供货、安装、调试并交付</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使用。具体批次及每批次供货数量以</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通知为准。乙方可在投标文件中就交货期限提出合理化建议，经甲方同意后可另行协商。</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交货地点：甲方指定地点。</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四、乙方保证向甲方提供的设备满足中国国家标准及相关行业标准。</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六、设备安装后，乙方应配合甲方按厂方技术参数、国家标准等进行质量验收。若有歧义，甲方有权委托中国有资格的单位对该设备进行质量检测，费用由乙方承担。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七、乙方所供设备如验收不合格，根据甲方的要求，乙方必须无条件换货或退货，由此引起的一切损失由乙方承担。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、服务条款</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1.乙方免费提前为甲方提供设备安装图纸，并充分协助甲方做好准备工作（如必要的话）。</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2.设备安装时，乙方负责设备的免费安装和调试，乙方必须事先与甲方联系，否则引起的一切责任由乙方承担。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设备安装、调试结束后，甲方对设备试用后进行验收（时间由甲、乙双方商定），乙方免费派工程师到达现场协助验收工作。保修期自甲方验收合格之日算起，保修期外故障待修复后只收配件费，免收上门费、人工费。</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4.上述设备免费保修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年，保修期自设备验收合格</w:t>
      </w:r>
      <w:r>
        <w:rPr>
          <w:rFonts w:hint="eastAsia" w:ascii="仿宋" w:hAnsi="仿宋" w:eastAsia="仿宋" w:cs="仿宋"/>
          <w:color w:val="auto"/>
          <w:sz w:val="24"/>
          <w:szCs w:val="24"/>
          <w:highlight w:val="none"/>
          <w:lang w:eastAsia="zh-CN"/>
        </w:rPr>
        <w:t xml:space="preserve">之日</w:t>
      </w:r>
      <w:r>
        <w:rPr>
          <w:rFonts w:hint="eastAsia" w:ascii="仿宋" w:hAnsi="仿宋" w:eastAsia="仿宋" w:cs="仿宋"/>
          <w:color w:val="auto"/>
          <w:sz w:val="24"/>
          <w:szCs w:val="24"/>
          <w:highlight w:val="none"/>
        </w:rPr>
        <w:t xml:space="preserve">起计算，保修期外乙方对本设备终身负责维修。</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设备发生故障，乙方在接到甲方报修电话后2小时之内响应，8小时内到达甲方现场（若无维修站点，24小时内到达现场），48小时内修复。如有特殊情况，乙方应立即电话通知甲方不能响应的原因，在获得甲方同意后，才可推迟响应时间。</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6.保修期内每年    次定期维护，并经甲方签字确认，留档备查。</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7.无论在保修期内还是保修期外，乙方必须上门维修，乙方工程师至甲方维修本设备，必须事先与甲方取得联系，并做相应登记，否则引起的一切责任由乙方负责。</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8.乙方需在交货后五个工作日内免费提供全套资料并加盖公章，含产品合格证、操作手册等，如技术资料不全，甲方有权不支付货款或退货，因此产生的损失由乙方自行承担。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、违约责任</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1.自本协议生效之日起，双方应严格依约履行。若任何一方违反本协议规定，应赔偿由此给其他方造成的损失。</w:t>
      </w:r>
      <w:r/>
    </w:p>
    <w:p>
      <w:pPr>
        <w:ind w:firstLine="561"/>
        <w:keepLines w:val="0"/>
        <w:keepNext w:val="0"/>
        <w:pageBreakBefore w:val="0"/>
        <w:spacing w:line="520" w:lineRule="exact"/>
        <w:widowControl w:val="off"/>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没有按照合同规定时间交货的，每逾期一日，保修期延长十天，不可抗力因素除外。乙方延期交货10日以上的，则视为乙方不能交货，甲方有权因此解除本合同，并要求乙方承担合同总金额10%的违约金。</w:t>
      </w:r>
      <w:r/>
    </w:p>
    <w:p>
      <w:pPr>
        <w:ind w:firstLine="561"/>
        <w:keepLines w:val="0"/>
        <w:keepNext w:val="0"/>
        <w:pageBreakBefore w:val="0"/>
        <w:spacing w:line="520" w:lineRule="exact"/>
        <w:widowControl w:val="off"/>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其他严重违约行为的（指违反本协议第八条（服务条款）、第九条第7款（知识产权侵权），或因乙方原因导致设备出现重大安全事故、或造成恶劣社会影响、或给甲方造成直接经济损失超过合同总金额5%的），在收到甲方书面通知后的15日内仍未纠正或拒不承担违约责任的，则甲方有权从尚未支付乙方的购货价款中扣除相当于实际损失的违约金。如该违约金不足以补偿甲方全部损失的，甲方有权继续追偿。</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4.乙方若违反本协议第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和第十一条均视为对本协议的重大违约，甲方随时有权书面通知乙方立即终止本协议。</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5.因乙方的违约行为给甲方造成损失的（包括所有直接和间接损失），如果违约金不足以补偿该损失部分的，甲方有权继续要求乙方赔偿甲方所有实际损失。</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6.乙方对本合同所约定的设备价格负责，如果产生与设备价值、成本相关的任何法律纠纷，应根据双方过错程度依法确定各自应承担的法律责任。</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7.乙方保证提供的商品、服务不存在任何法律纠纷，甲方在使用该商品或服务以及其中的任何一部分时，不侵犯</w:t>
      </w:r>
      <w:r>
        <w:rPr>
          <w:rFonts w:hint="eastAsia" w:ascii="仿宋" w:hAnsi="仿宋" w:eastAsia="仿宋" w:cs="仿宋"/>
          <w:color w:val="auto"/>
          <w:sz w:val="24"/>
          <w:szCs w:val="24"/>
          <w:highlight w:val="none"/>
          <w:lang w:eastAsia="zh-CN"/>
        </w:rPr>
        <w:t xml:space="preserve">任何</w:t>
      </w:r>
      <w:r>
        <w:rPr>
          <w:rFonts w:hint="eastAsia" w:ascii="仿宋" w:hAnsi="仿宋" w:eastAsia="仿宋" w:cs="仿宋"/>
          <w:color w:val="auto"/>
          <w:sz w:val="24"/>
          <w:szCs w:val="24"/>
          <w:highlight w:val="none"/>
        </w:rPr>
        <w:t xml:space="preserve">专利权、商标权、工业设计权或其他知识产权，如收到来自第三方的侵权诉讼或索赔，所有责任及由此造成的损失由乙方承担。</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8.以上各项交付的违约金并不影响乙方继续履行本协议的其他各项义务。</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十、双方应本着友好协商的原则，解决与本合同有关的一切争议。如果协商仍得不到解决，任何一方均可按《中华人民共和国民法典》规定提交调解</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仲裁。</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、其他</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1.本合同经甲、乙双方加盖电子签章后生效。如有变动，必须经甲方、乙方协商一致后，方可更改。</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2.本合同未尽事宜，遵照</w:t>
      </w:r>
      <w:r>
        <w:rPr>
          <w:rFonts w:hint="eastAsia" w:ascii="仿宋" w:hAnsi="仿宋" w:eastAsia="仿宋" w:cs="仿宋"/>
          <w:color w:val="auto"/>
          <w:sz w:val="24"/>
          <w:szCs w:val="24"/>
          <w:highlight w:val="none"/>
          <w:lang w:eastAsia="zh-CN"/>
        </w:rPr>
        <w:t xml:space="preserve">《中华人民共和国民法典》</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w:t>
      </w:r>
      <w:r>
        <w:rPr>
          <w:rFonts w:hint="eastAsia" w:ascii="仿宋" w:hAnsi="仿宋" w:eastAsia="仿宋" w:cs="仿宋"/>
          <w:color w:val="auto"/>
          <w:sz w:val="24"/>
          <w:szCs w:val="24"/>
          <w:highlight w:val="none"/>
        </w:rPr>
        <w:t xml:space="preserve">有关条文执行。</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、组成本合同的文件包括</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1.合同格式及条款；</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2.招标文件和乙方的投标文件；</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3.中标通知书；</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4.甲乙双方商定的其他必要文件。上述合同文件内容互为补充，由甲乙双方协商确定；协商不成的按照本合同第十条约定的争议解决方式处理，</w:t>
      </w:r>
      <w:r>
        <w:rPr>
          <w:rFonts w:hint="eastAsia" w:ascii="仿宋" w:hAnsi="仿宋" w:eastAsia="仿宋" w:cs="仿宋"/>
          <w:color w:val="auto"/>
          <w:sz w:val="24"/>
          <w:szCs w:val="24"/>
          <w:highlight w:val="none"/>
          <w:lang w:eastAsia="zh-CN"/>
        </w:rPr>
        <w:t xml:space="preserve">未尽事宜</w:t>
      </w:r>
      <w:r>
        <w:rPr>
          <w:rFonts w:hint="eastAsia" w:ascii="仿宋" w:hAnsi="仿宋" w:eastAsia="仿宋" w:cs="仿宋"/>
          <w:color w:val="auto"/>
          <w:sz w:val="24"/>
          <w:szCs w:val="24"/>
          <w:highlight w:val="none"/>
        </w:rPr>
        <w:t xml:space="preserve">双方协商解决。</w:t>
      </w:r>
      <w:r/>
    </w:p>
    <w:p>
      <w:pPr>
        <w:ind w:firstLine="560"/>
        <w:spacing w:line="52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、合同签署地点：淮安。</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    方</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              单位盖章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（电子签章）</w:t>
      </w:r>
      <w:r/>
    </w:p>
    <w:p>
      <w:pPr>
        <w:ind w:firstLine="560"/>
        <w:spacing w:line="360" w:lineRule="auto"/>
        <w:tabs>
          <w:tab w:val="left" w:pos="4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代表签字</w:t>
      </w:r>
      <w:r>
        <w:rPr>
          <w:rFonts w:hint="eastAsia" w:ascii="仿宋" w:hAnsi="仿宋" w:eastAsia="仿宋" w:cs="仿宋"/>
          <w:color w:val="auto"/>
          <w:sz w:val="28"/>
          <w:szCs w:val="28"/>
          <w:highlight w:val="none"/>
          <w:lang w:eastAsia="zh-CN"/>
        </w:rPr>
        <w:t xml:space="preserve">：</w:t>
      </w:r>
      <w:r/>
    </w:p>
    <w:p>
      <w:pPr>
        <w:ind w:firstLine="560"/>
        <w:spacing w:line="360" w:lineRule="auto"/>
        <w:tabs>
          <w:tab w:val="left" w:pos="42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lang w:eastAsia="zh-CN"/>
        </w:rPr>
        <w:t xml:space="preserve">：</w:t>
      </w:r>
      <w:r/>
    </w:p>
    <w:p>
      <w:pPr>
        <w:pStyle w:val="65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rPr>
      </w:r>
      <w:r/>
    </w:p>
    <w:p>
      <w:pPr>
        <w:jc w:val="center"/>
        <w:spacing w:line="520" w:lineRule="exact"/>
        <w:tabs>
          <w:tab w:val="left" w:pos="18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二、合同通用条款</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1.定义</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本合同中下列术语应解释为</w:t>
      </w:r>
      <w:r>
        <w:rPr>
          <w:rFonts w:hint="eastAsia" w:ascii="仿宋" w:hAnsi="仿宋" w:eastAsia="仿宋"/>
          <w:color w:val="auto"/>
          <w:sz w:val="24"/>
          <w:szCs w:val="22"/>
          <w:highlight w:val="none"/>
          <w:lang w:eastAsia="zh-CN"/>
        </w:rPr>
        <w:t xml:space="preserve">：</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（4）“服务”系指根据合同规定乙方承担与供货有关的所有辅助服务，如运输、保险以及</w:t>
      </w:r>
      <w:r>
        <w:rPr>
          <w:rFonts w:hint="eastAsia" w:ascii="仿宋" w:hAnsi="仿宋" w:eastAsia="仿宋"/>
          <w:color w:val="auto"/>
          <w:sz w:val="24"/>
          <w:szCs w:val="22"/>
          <w:highlight w:val="none"/>
          <w:lang w:eastAsia="zh-CN"/>
        </w:rPr>
        <w:t xml:space="preserve">其他</w:t>
      </w:r>
      <w:r>
        <w:rPr>
          <w:rFonts w:hint="eastAsia" w:ascii="仿宋" w:hAnsi="仿宋" w:eastAsia="仿宋"/>
          <w:color w:val="auto"/>
          <w:sz w:val="24"/>
          <w:szCs w:val="22"/>
          <w:highlight w:val="none"/>
        </w:rPr>
        <w:t xml:space="preserve">的服务，如安装、调试、提供技术援助、培训和其他类似的义务。</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（5）“甲方”系指购买货物（含软件及相关服务）的单位。</w:t>
      </w:r>
      <w:r/>
    </w:p>
    <w:p>
      <w:pPr>
        <w:ind w:firstLine="42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（6）“乙方”系指根据合同规定提供货物（含软件及相关服务）和服务的</w:t>
      </w:r>
      <w:r>
        <w:rPr>
          <w:rFonts w:hint="eastAsia" w:ascii="仿宋" w:hAnsi="仿宋" w:eastAsia="仿宋"/>
          <w:color w:val="auto"/>
          <w:sz w:val="24"/>
          <w:szCs w:val="22"/>
          <w:highlight w:val="none"/>
          <w:lang w:eastAsia="zh-CN"/>
        </w:rPr>
        <w:t xml:space="preserve">投标人</w:t>
      </w:r>
      <w:r>
        <w:rPr>
          <w:rFonts w:hint="eastAsia" w:ascii="仿宋" w:hAnsi="仿宋" w:eastAsia="仿宋"/>
          <w:color w:val="auto"/>
          <w:sz w:val="24"/>
          <w:szCs w:val="22"/>
          <w:highlight w:val="none"/>
        </w:rPr>
        <w:t xml:space="preserve">。</w:t>
      </w:r>
      <w:r/>
    </w:p>
    <w:p>
      <w:pPr>
        <w:spacing w:line="520" w:lineRule="exact"/>
        <w:rPr>
          <w:rFonts w:hint="eastAsia" w:ascii="仿宋" w:hAnsi="仿宋" w:eastAsia="仿宋"/>
          <w:bCs/>
          <w:color w:val="auto"/>
          <w:sz w:val="24"/>
          <w:szCs w:val="22"/>
          <w:highlight w:val="none"/>
        </w:rPr>
      </w:pPr>
      <w:r>
        <w:rPr>
          <w:rFonts w:hint="eastAsia" w:ascii="仿宋" w:hAnsi="仿宋" w:eastAsia="仿宋"/>
          <w:bCs/>
          <w:color w:val="auto"/>
          <w:sz w:val="24"/>
          <w:szCs w:val="22"/>
          <w:highlight w:val="none"/>
        </w:rPr>
        <w:t xml:space="preserve">2.技术规范</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auto"/>
          <w:sz w:val="24"/>
          <w:szCs w:val="24"/>
          <w:highlight w:val="none"/>
        </w:rPr>
        <w:t xml:space="preserve"> </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3.专利权</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3.1乙方须保障甲方在使用该货物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或其任何一部分时不受到第三方关于侵犯专利权、商标权、版权、专有技术等权利的指控。如果任何第三方提出侵权指控，乙方须与第三方交涉并承担因乙方原因导致的一切损失和费用。</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4.包装要求</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4"/>
          <w:highlight w:val="none"/>
        </w:rPr>
        <w:t xml:space="preserve">4.1本项目中涉及商品的</w:t>
      </w:r>
      <w:r>
        <w:rPr>
          <w:rFonts w:ascii="仿宋" w:hAnsi="仿宋" w:eastAsia="仿宋"/>
          <w:color w:val="auto"/>
          <w:sz w:val="24"/>
          <w:szCs w:val="24"/>
          <w:highlight w:val="none"/>
        </w:rPr>
        <w:t xml:space="preserve">包装应按照“财办库〔2020〕123号《关于印发《商品包装政府采购需求标准（试行）</w:t>
      </w:r>
      <w:r>
        <w:rPr>
          <w:rFonts w:hint="eastAsia" w:ascii="仿宋" w:hAnsi="仿宋" w:eastAsia="仿宋"/>
          <w:color w:val="auto"/>
          <w:sz w:val="24"/>
          <w:szCs w:val="24"/>
          <w:highlight w:val="none"/>
          <w:lang w:eastAsia="zh-CN"/>
        </w:rPr>
        <w:t xml:space="preserve">》《</w:t>
      </w:r>
      <w:r>
        <w:rPr>
          <w:rFonts w:ascii="仿宋" w:hAnsi="仿宋" w:eastAsia="仿宋"/>
          <w:color w:val="auto"/>
          <w:sz w:val="24"/>
          <w:szCs w:val="24"/>
          <w:highlight w:val="none"/>
        </w:rPr>
        <w:t xml:space="preserve">快递包装政府采购需求标准（试行）》的通知》”执行</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在供货、安装过程中</w:t>
      </w:r>
      <w:r>
        <w:rPr>
          <w:rFonts w:hint="eastAsia" w:ascii="仿宋" w:hAnsi="仿宋" w:eastAsia="仿宋"/>
          <w:color w:val="auto"/>
          <w:sz w:val="24"/>
          <w:szCs w:val="24"/>
          <w:highlight w:val="none"/>
          <w:lang w:eastAsia="zh-CN"/>
        </w:rPr>
        <w:t xml:space="preserve">能</w:t>
      </w:r>
      <w:r>
        <w:rPr>
          <w:rFonts w:hint="eastAsia" w:ascii="仿宋" w:hAnsi="仿宋" w:eastAsia="仿宋"/>
          <w:color w:val="auto"/>
          <w:sz w:val="24"/>
          <w:szCs w:val="24"/>
          <w:highlight w:val="none"/>
        </w:rPr>
        <w:t xml:space="preserve">做到低碳物流、环保节约、提高资源利用率；涉及设备运维参考《绿色数据中心政府采购需求标准（试行）》（财库</w:t>
      </w:r>
      <w:r>
        <w:rPr>
          <w:rFonts w:hint="eastAsia" w:ascii="仿宋" w:hAnsi="仿宋" w:eastAsia="仿宋"/>
          <w:color w:val="auto"/>
          <w:sz w:val="24"/>
          <w:szCs w:val="24"/>
          <w:highlight w:val="none"/>
          <w:lang w:eastAsia="zh-CN"/>
        </w:rPr>
        <w:t xml:space="preserve">〔2023〕7号</w:t>
      </w:r>
      <w:r>
        <w:rPr>
          <w:rFonts w:hint="eastAsia" w:ascii="仿宋" w:hAnsi="仿宋" w:eastAsia="仿宋"/>
          <w:color w:val="auto"/>
          <w:sz w:val="24"/>
          <w:szCs w:val="24"/>
          <w:highlight w:val="none"/>
        </w:rPr>
        <w:t xml:space="preserve">文）执行。</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4.2除合同另有规定外，乙方提供的全部货物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均应按相应的标准保护措施进行包装，使包装适应于远距离运输、防潮、防震、防锈和防粗暴装卸，确保货物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安全无损运</w:t>
      </w:r>
      <w:r>
        <w:rPr>
          <w:rFonts w:hint="eastAsia" w:ascii="仿宋" w:hAnsi="仿宋" w:eastAsia="仿宋"/>
          <w:color w:val="auto"/>
          <w:sz w:val="24"/>
          <w:szCs w:val="22"/>
          <w:highlight w:val="none"/>
          <w:lang w:eastAsia="zh-CN"/>
        </w:rPr>
        <w:t xml:space="preserve">抵</w:t>
      </w:r>
      <w:r>
        <w:rPr>
          <w:rFonts w:hint="eastAsia" w:ascii="仿宋" w:hAnsi="仿宋" w:eastAsia="仿宋"/>
          <w:color w:val="auto"/>
          <w:sz w:val="24"/>
          <w:szCs w:val="22"/>
          <w:highlight w:val="none"/>
        </w:rPr>
        <w:t xml:space="preserve">现场。由于包装不善所引起的货物</w:t>
      </w:r>
      <w:r>
        <w:rPr>
          <w:rFonts w:hint="eastAsia" w:ascii="仿宋" w:hAnsi="仿宋" w:eastAsia="仿宋"/>
          <w:color w:val="auto"/>
          <w:sz w:val="24"/>
          <w:szCs w:val="24"/>
          <w:highlight w:val="none"/>
        </w:rPr>
        <w:t xml:space="preserve">（含软件及相关服务）</w:t>
      </w:r>
      <w:r>
        <w:rPr>
          <w:rFonts w:hint="eastAsia" w:ascii="仿宋" w:hAnsi="仿宋" w:eastAsia="仿宋"/>
          <w:color w:val="auto"/>
          <w:sz w:val="24"/>
          <w:szCs w:val="22"/>
          <w:highlight w:val="none"/>
        </w:rPr>
        <w:t xml:space="preserve">锈蚀、损坏和损失均由乙方承担。</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4.3每件包装箱内应附一份详细装箱单和质量合格证。</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5.装运标志</w:t>
      </w:r>
      <w:r/>
    </w:p>
    <w:p>
      <w:pPr>
        <w:ind w:firstLine="66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5.1 </w:t>
      </w:r>
      <w:r>
        <w:rPr>
          <w:rFonts w:hint="eastAsia" w:ascii="仿宋" w:hAnsi="仿宋" w:eastAsia="仿宋"/>
          <w:color w:val="auto"/>
          <w:sz w:val="24"/>
          <w:szCs w:val="24"/>
          <w:highlight w:val="none"/>
        </w:rPr>
        <w:t xml:space="preserve">乙方应在每一包装箱邻接的四侧用不褪色的油漆以醒目的中文字样做出下列标记</w:t>
      </w:r>
      <w:r>
        <w:rPr>
          <w:rFonts w:hint="eastAsia" w:ascii="仿宋" w:hAnsi="仿宋" w:eastAsia="仿宋"/>
          <w:color w:val="auto"/>
          <w:sz w:val="24"/>
          <w:szCs w:val="24"/>
          <w:highlight w:val="none"/>
          <w:lang w:eastAsia="zh-CN"/>
        </w:rPr>
        <w:t xml:space="preserve">：</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（1）收货人</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）合同号</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）装运标志</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）收货人代号</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）目的地</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）货物（含软件及相关服务）名称、品目号和箱号</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7</w:t>
      </w:r>
      <w:r>
        <w:rPr>
          <w:rFonts w:hint="eastAsia" w:ascii="仿宋" w:hAnsi="仿宋" w:eastAsia="仿宋"/>
          <w:color w:val="auto"/>
          <w:sz w:val="24"/>
          <w:szCs w:val="24"/>
          <w:highlight w:val="none"/>
        </w:rPr>
        <w:t xml:space="preserve">）毛重／净重</w:t>
      </w:r>
      <w:r>
        <w:rPr>
          <w:rFonts w:ascii="仿宋" w:hAnsi="仿宋" w:eastAsia="仿宋"/>
          <w:color w:val="auto"/>
          <w:sz w:val="24"/>
          <w:szCs w:val="24"/>
          <w:highlight w:val="none"/>
        </w:rPr>
        <w:t xml:space="preserve"> </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8</w:t>
      </w:r>
      <w:r>
        <w:rPr>
          <w:rFonts w:hint="eastAsia" w:ascii="仿宋" w:hAnsi="仿宋" w:eastAsia="仿宋"/>
          <w:color w:val="auto"/>
          <w:sz w:val="24"/>
          <w:szCs w:val="24"/>
          <w:highlight w:val="none"/>
        </w:rPr>
        <w:t xml:space="preserve">）尺寸（长</w:t>
      </w:r>
      <w:r>
        <w:rPr>
          <w:rFonts w:ascii="仿宋" w:hAnsi="仿宋" w:eastAsia="仿宋"/>
          <w:color w:val="auto"/>
          <w:sz w:val="24"/>
          <w:szCs w:val="24"/>
          <w:highlight w:val="none"/>
        </w:rPr>
        <w:t xml:space="preserve">X</w:t>
      </w:r>
      <w:r>
        <w:rPr>
          <w:rFonts w:hint="eastAsia" w:ascii="仿宋" w:hAnsi="仿宋" w:eastAsia="仿宋"/>
          <w:color w:val="auto"/>
          <w:sz w:val="24"/>
          <w:szCs w:val="24"/>
          <w:highlight w:val="none"/>
        </w:rPr>
        <w:t xml:space="preserve">宽</w:t>
      </w:r>
      <w:r>
        <w:rPr>
          <w:rFonts w:ascii="仿宋" w:hAnsi="仿宋" w:eastAsia="仿宋"/>
          <w:color w:val="auto"/>
          <w:sz w:val="24"/>
          <w:szCs w:val="24"/>
          <w:highlight w:val="none"/>
        </w:rPr>
        <w:t xml:space="preserve">X</w:t>
      </w:r>
      <w:r>
        <w:rPr>
          <w:rFonts w:hint="eastAsia" w:ascii="仿宋" w:hAnsi="仿宋" w:eastAsia="仿宋"/>
          <w:color w:val="auto"/>
          <w:sz w:val="24"/>
          <w:szCs w:val="24"/>
          <w:highlight w:val="none"/>
        </w:rPr>
        <w:t xml:space="preserve">高，以厘米计）</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5.2 </w:t>
      </w:r>
      <w:r>
        <w:rPr>
          <w:rFonts w:hint="eastAsia" w:ascii="仿宋" w:hAnsi="仿宋" w:eastAsia="仿宋"/>
          <w:color w:val="auto"/>
          <w:sz w:val="24"/>
          <w:szCs w:val="24"/>
          <w:highlight w:val="none"/>
        </w:rPr>
        <w:t xml:space="preserve">如果货物（含软件及相关服务）单件重量在两吨或两吨以上，乙方应在每件包装箱的两侧用中文和适当的运输标志标明</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重心</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和</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吊装点</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，以便装卸和搬运。根据货物（含软件及相关服务）的特点和运输的不同要求，乙方应在包装箱上清楚地标有“小心轻放</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勿倒置</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防潮</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等字样和其他适当的标记。</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6.付款方式</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6.1本合同以人民币付款。</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6.2乙方应按照与甲方签订的合同规定交货。交货后乙方向甲方提供下列单据，甲方按合同规定审核后付款</w:t>
      </w:r>
      <w:r>
        <w:rPr>
          <w:rFonts w:hint="eastAsia" w:ascii="仿宋" w:hAnsi="仿宋" w:eastAsia="仿宋"/>
          <w:color w:val="auto"/>
          <w:sz w:val="24"/>
          <w:szCs w:val="22"/>
          <w:highlight w:val="none"/>
          <w:lang w:eastAsia="zh-CN"/>
        </w:rPr>
        <w:t xml:space="preserve">：</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（1）发票；</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（2）制造厂家出具的质量检验证书等；</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（3）装箱单；</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（4）验收合格证；</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（5）使用方加盖公章证明货物交付使用合格的验收表。</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6.3甲方将按招标文件中规定的付款方式安排付款。</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7.伴随服务</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7.1乙方应按照国家有关规定和合同中所附的服务承诺提供服务。</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7.2除第7.1条规定外，乙方还应提供下列服务</w:t>
      </w:r>
      <w:r>
        <w:rPr>
          <w:rFonts w:hint="eastAsia" w:ascii="仿宋" w:hAnsi="仿宋" w:eastAsia="仿宋"/>
          <w:color w:val="auto"/>
          <w:sz w:val="24"/>
          <w:szCs w:val="22"/>
          <w:highlight w:val="none"/>
          <w:lang w:eastAsia="zh-CN"/>
        </w:rPr>
        <w:t xml:space="preserve">：</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（1）货物的现场安装和启动监督；</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（2）提供货物组装和维修所需的工具；</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（4）在项目交货现场就货物的安装、启动、运行、维护对甲方人员进行培训。</w:t>
      </w:r>
      <w:r/>
    </w:p>
    <w:p>
      <w:pPr>
        <w:ind w:firstLine="6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7.3伴随服务的费用应含在合同价中，不单独进行支付。</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8.质量保证</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auto"/>
          <w:sz w:val="24"/>
          <w:szCs w:val="24"/>
          <w:highlight w:val="none"/>
        </w:rPr>
        <w:t xml:space="preserve"> </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auto"/>
          <w:sz w:val="24"/>
          <w:szCs w:val="24"/>
          <w:highlight w:val="none"/>
        </w:rPr>
        <w:t xml:space="preserve"> </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乙方在收到通知后三十天内应免费维修或更换有缺陷的货物（含软件及相关服务）或部件。</w:t>
      </w:r>
      <w:r>
        <w:rPr>
          <w:rFonts w:ascii="仿宋" w:hAnsi="仿宋" w:eastAsia="仿宋"/>
          <w:color w:val="auto"/>
          <w:sz w:val="24"/>
          <w:szCs w:val="24"/>
          <w:highlight w:val="none"/>
        </w:rPr>
        <w:t xml:space="preserve"> </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.4 </w:t>
      </w:r>
      <w:r>
        <w:rPr>
          <w:rFonts w:hint="eastAsia" w:ascii="仿宋" w:hAnsi="仿宋" w:eastAsia="仿宋"/>
          <w:color w:val="auto"/>
          <w:sz w:val="24"/>
          <w:szCs w:val="24"/>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ascii="仿宋" w:hAnsi="仿宋" w:eastAsia="仿宋"/>
          <w:color w:val="auto"/>
          <w:sz w:val="24"/>
          <w:szCs w:val="24"/>
          <w:highlight w:val="none"/>
        </w:rPr>
        <w:t xml:space="preserve">.5 </w:t>
      </w:r>
      <w:r>
        <w:rPr>
          <w:rFonts w:hint="eastAsia" w:ascii="仿宋" w:hAnsi="仿宋" w:eastAsia="仿宋"/>
          <w:color w:val="auto"/>
          <w:sz w:val="24"/>
          <w:szCs w:val="24"/>
          <w:highlight w:val="none"/>
        </w:rPr>
        <w:t xml:space="preserve">除合同专用条款规定外，合同项下货物（含软件及相关服务）的质量保证期为自货物（含软件及相关服务）通过最终验收起不低于三年。</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9.检验及安装</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b/>
          <w:color w:val="auto"/>
          <w:sz w:val="24"/>
          <w:szCs w:val="22"/>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auto"/>
          <w:sz w:val="24"/>
          <w:szCs w:val="24"/>
          <w:highlight w:val="none"/>
        </w:rPr>
        <w:t xml:space="preserve">90</w:t>
      </w:r>
      <w:r>
        <w:rPr>
          <w:rFonts w:hint="eastAsia" w:ascii="仿宋" w:hAnsi="仿宋" w:eastAsia="仿宋"/>
          <w:color w:val="auto"/>
          <w:sz w:val="24"/>
          <w:szCs w:val="24"/>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b/>
          <w:color w:val="auto"/>
          <w:sz w:val="24"/>
          <w:szCs w:val="22"/>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如果货物（含软件及相关服务）的质量和规格与合同不符，或在第</w:t>
      </w:r>
      <w:r>
        <w:rPr>
          <w:rFonts w:ascii="仿宋" w:hAnsi="仿宋" w:eastAsia="仿宋"/>
          <w:color w:val="auto"/>
          <w:sz w:val="24"/>
          <w:szCs w:val="24"/>
          <w:highlight w:val="none"/>
        </w:rPr>
        <w:t xml:space="preserve">11</w:t>
      </w:r>
      <w:r>
        <w:rPr>
          <w:rFonts w:hint="eastAsia" w:ascii="仿宋" w:hAnsi="仿宋" w:eastAsia="仿宋"/>
          <w:color w:val="auto"/>
          <w:sz w:val="24"/>
          <w:szCs w:val="24"/>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.4 </w:t>
      </w:r>
      <w:r>
        <w:rPr>
          <w:rFonts w:hint="eastAsia" w:ascii="仿宋" w:hAnsi="仿宋" w:eastAsia="仿宋"/>
          <w:color w:val="auto"/>
          <w:sz w:val="24"/>
          <w:szCs w:val="24"/>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.5 </w:t>
      </w:r>
      <w:r>
        <w:rPr>
          <w:rFonts w:hint="eastAsia" w:ascii="仿宋" w:hAnsi="仿宋" w:eastAsia="仿宋"/>
          <w:color w:val="auto"/>
          <w:sz w:val="24"/>
          <w:szCs w:val="24"/>
          <w:highlight w:val="none"/>
        </w:rPr>
        <w:t xml:space="preserve">制造厂对所供货物（含软件及相关服务）进行机械运转试验和性能试验时，必须提前通知甲方。</w:t>
      </w:r>
      <w:r>
        <w:rPr>
          <w:rFonts w:ascii="仿宋" w:hAnsi="仿宋" w:eastAsia="仿宋"/>
          <w:color w:val="auto"/>
          <w:sz w:val="24"/>
          <w:szCs w:val="24"/>
          <w:highlight w:val="none"/>
        </w:rPr>
        <w:t xml:space="preserve"> </w:t>
      </w:r>
      <w:r/>
    </w:p>
    <w:p>
      <w:pPr>
        <w:ind w:firstLine="66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rPr>
          <w:rFonts w:ascii="仿宋" w:hAnsi="仿宋" w:eastAsia="仿宋"/>
          <w:color w:val="auto"/>
          <w:sz w:val="24"/>
          <w:szCs w:val="24"/>
          <w:highlight w:val="none"/>
        </w:rPr>
        <w:t xml:space="preserve">.6 </w:t>
      </w:r>
      <w:r>
        <w:rPr>
          <w:rFonts w:hint="eastAsia" w:ascii="仿宋" w:hAnsi="仿宋" w:eastAsia="仿宋"/>
          <w:color w:val="auto"/>
          <w:sz w:val="24"/>
          <w:szCs w:val="24"/>
          <w:highlight w:val="none"/>
        </w:rPr>
        <w:t xml:space="preserve">货物（含软件及相关服务）的安装按招标文件要求进行。</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10.索赔</w:t>
      </w:r>
      <w:r/>
    </w:p>
    <w:p>
      <w:pPr>
        <w:ind w:firstLine="658"/>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.1 </w:t>
      </w:r>
      <w:r>
        <w:rPr>
          <w:rFonts w:hint="eastAsia" w:ascii="仿宋" w:hAnsi="仿宋" w:eastAsia="仿宋"/>
          <w:color w:val="auto"/>
          <w:sz w:val="24"/>
          <w:szCs w:val="24"/>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auto"/>
          <w:sz w:val="24"/>
          <w:szCs w:val="24"/>
          <w:highlight w:val="none"/>
        </w:rPr>
        <w:t xml:space="preserve"> </w:t>
      </w:r>
      <w:r/>
    </w:p>
    <w:p>
      <w:pPr>
        <w:ind w:firstLine="658"/>
        <w:spacing w:line="520" w:lineRule="exact"/>
        <w:rPr>
          <w:rFonts w:hint="eastAsia" w:ascii="仿宋" w:hAnsi="仿宋" w:eastAsia="仿宋"/>
          <w:color w:val="auto"/>
          <w:sz w:val="28"/>
          <w:szCs w:val="28"/>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在第</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auto"/>
          <w:sz w:val="24"/>
          <w:szCs w:val="24"/>
          <w:highlight w:val="none"/>
          <w:lang w:eastAsia="zh-CN"/>
        </w:rPr>
        <w:t xml:space="preserve">：</w:t>
      </w:r>
      <w:r/>
    </w:p>
    <w:p>
      <w:pPr>
        <w:ind w:firstLine="420"/>
        <w:spacing w:line="520" w:lineRule="exact"/>
        <w:rPr>
          <w:rFonts w:hint="eastAsia" w:ascii="仿宋" w:hAnsi="仿宋" w:eastAsia="仿宋"/>
          <w:color w:val="auto"/>
          <w:sz w:val="28"/>
          <w:szCs w:val="28"/>
          <w:highlight w:val="none"/>
        </w:rPr>
      </w:pPr>
      <w:r>
        <w:rPr>
          <w:rFonts w:hint="eastAsia" w:ascii="仿宋" w:hAnsi="仿宋" w:eastAsia="仿宋"/>
          <w:color w:val="auto"/>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olor w:val="auto"/>
          <w:sz w:val="24"/>
          <w:szCs w:val="24"/>
          <w:highlight w:val="none"/>
          <w:lang w:eastAsia="zh-CN"/>
        </w:rPr>
        <w:t xml:space="preserve">其他</w:t>
      </w:r>
      <w:r>
        <w:rPr>
          <w:rFonts w:hint="eastAsia" w:ascii="仿宋" w:hAnsi="仿宋" w:eastAsia="仿宋"/>
          <w:color w:val="auto"/>
          <w:sz w:val="24"/>
          <w:szCs w:val="24"/>
          <w:highlight w:val="none"/>
        </w:rPr>
        <w:t xml:space="preserve">必要费用。</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auto"/>
          <w:sz w:val="24"/>
          <w:szCs w:val="24"/>
          <w:highlight w:val="none"/>
        </w:rPr>
        <w:t xml:space="preserve"> </w:t>
      </w:r>
      <w:r/>
    </w:p>
    <w:p>
      <w:pPr>
        <w:ind w:firstLine="56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如果在甲方发出索赔通知后</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0天内，乙方未能答复，</w:t>
      </w:r>
      <w:r>
        <w:rPr>
          <w:rFonts w:hint="eastAsia" w:ascii="仿宋" w:hAnsi="仿宋" w:eastAsia="仿宋"/>
          <w:color w:val="auto"/>
          <w:sz w:val="24"/>
          <w:szCs w:val="24"/>
          <w:highlight w:val="none"/>
          <w:lang w:eastAsia="zh-CN"/>
        </w:rPr>
        <w:t xml:space="preserve">上述</w:t>
      </w:r>
      <w:r>
        <w:rPr>
          <w:rFonts w:hint="eastAsia" w:ascii="仿宋" w:hAnsi="仿宋" w:eastAsia="仿宋"/>
          <w:color w:val="auto"/>
          <w:sz w:val="24"/>
          <w:szCs w:val="24"/>
          <w:highlight w:val="none"/>
        </w:rPr>
        <w:t xml:space="preserve">索赔应视为已被乙方接受。若乙方未能在甲方提出索赔通知后</w:t>
      </w:r>
      <w:r>
        <w:rPr>
          <w:rFonts w:ascii="仿宋" w:hAnsi="仿宋" w:eastAsia="仿宋"/>
          <w:color w:val="auto"/>
          <w:sz w:val="24"/>
          <w:szCs w:val="24"/>
          <w:highlight w:val="none"/>
        </w:rPr>
        <w:t xml:space="preserve">30</w:t>
      </w:r>
      <w:r>
        <w:rPr>
          <w:rFonts w:hint="eastAsia" w:ascii="仿宋" w:hAnsi="仿宋" w:eastAsia="仿宋"/>
          <w:color w:val="auto"/>
          <w:sz w:val="24"/>
          <w:szCs w:val="24"/>
          <w:highlight w:val="none"/>
        </w:rPr>
        <w:t xml:space="preserve">天内或甲方同意的更长时间内，按照第</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条规定的任何一种方法解决索赔事宜，甲方将从</w:t>
      </w:r>
      <w:r>
        <w:rPr>
          <w:rFonts w:hint="eastAsia" w:ascii="仿宋" w:hAnsi="仿宋" w:eastAsia="仿宋"/>
          <w:color w:val="auto"/>
          <w:sz w:val="24"/>
          <w:szCs w:val="24"/>
          <w:highlight w:val="none"/>
          <w:lang w:val="en-US" w:eastAsia="zh-CN"/>
        </w:rPr>
        <w:t xml:space="preserve">货款</w:t>
      </w:r>
      <w:r>
        <w:rPr>
          <w:rFonts w:hint="eastAsia" w:ascii="仿宋" w:hAnsi="仿宋" w:eastAsia="仿宋"/>
          <w:color w:val="auto"/>
          <w:sz w:val="24"/>
          <w:szCs w:val="24"/>
          <w:highlight w:val="none"/>
        </w:rPr>
        <w:t xml:space="preserve">中</w:t>
      </w:r>
      <w:r>
        <w:rPr>
          <w:rFonts w:hint="eastAsia" w:ascii="仿宋" w:hAnsi="仿宋" w:eastAsia="仿宋"/>
          <w:color w:val="auto"/>
          <w:sz w:val="24"/>
          <w:szCs w:val="24"/>
          <w:highlight w:val="none"/>
          <w:lang w:val="en-US" w:eastAsia="zh-CN"/>
        </w:rPr>
        <w:t xml:space="preserve">扣除</w:t>
      </w:r>
      <w:r>
        <w:rPr>
          <w:rFonts w:hint="eastAsia" w:ascii="仿宋" w:hAnsi="仿宋" w:eastAsia="仿宋"/>
          <w:color w:val="auto"/>
          <w:sz w:val="24"/>
          <w:szCs w:val="24"/>
          <w:highlight w:val="none"/>
        </w:rPr>
        <w:t xml:space="preserve">索赔金额。如果这些金额不足以补偿索赔金额，甲方有权向乙方提出不足部分的补偿。</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11.拖延交货</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乙方应按照合同专用条款中规定的交货期交货和提供服务。</w:t>
      </w:r>
      <w:r>
        <w:rPr>
          <w:rFonts w:ascii="仿宋" w:hAnsi="仿宋" w:eastAsia="仿宋"/>
          <w:color w:val="auto"/>
          <w:sz w:val="24"/>
          <w:szCs w:val="24"/>
          <w:highlight w:val="none"/>
        </w:rPr>
        <w:t xml:space="preserve"> </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如果乙方毫无理由地拖延交货，将受到以下制裁</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赔偿违约损失</w:t>
      </w:r>
      <w:r>
        <w:rPr>
          <w:rFonts w:hint="eastAsia" w:ascii="仿宋" w:hAnsi="仿宋" w:eastAsia="仿宋"/>
          <w:color w:val="auto"/>
          <w:sz w:val="24"/>
          <w:szCs w:val="24"/>
          <w:highlight w:val="none"/>
          <w:u w:val="single"/>
        </w:rPr>
        <w:t xml:space="preserve">和／或</w:t>
      </w:r>
      <w:r>
        <w:rPr>
          <w:rFonts w:hint="eastAsia" w:ascii="仿宋" w:hAnsi="仿宋" w:eastAsia="仿宋"/>
          <w:color w:val="auto"/>
          <w:sz w:val="24"/>
          <w:szCs w:val="24"/>
          <w:highlight w:val="none"/>
        </w:rPr>
        <w:t xml:space="preserve">终止合同。</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auto"/>
          <w:sz w:val="24"/>
          <w:szCs w:val="24"/>
          <w:highlight w:val="none"/>
        </w:rPr>
        <w:t xml:space="preserve"> </w:t>
      </w:r>
      <w:r/>
    </w:p>
    <w:p>
      <w:pPr>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2"/>
          <w:highlight w:val="none"/>
        </w:rPr>
        <w:t xml:space="preserve">12.误期赔偿</w:t>
      </w:r>
      <w:r/>
    </w:p>
    <w:p>
      <w:pPr>
        <w:ind w:firstLine="567"/>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2"/>
          <w:highlight w:val="none"/>
        </w:rPr>
        <w:t xml:space="preserve">12.1除合同条款第13条规定外，如果乙方没有按照合同规定的时间交货和提供服务，甲方将从货款中扣除误期赔偿费而不影响合同项目的其他补救方法，每逾期一日，保修期延长十天，不可抗力因素除外。乙方延期交货10日以上的，则视为乙方不能交货，甲方有权因此解除本合同，并要求乙方承担合同总金额10%的违约金。一旦达到误期赔偿的最高限额，甲方和见证方可考虑终止合同。</w:t>
      </w:r>
      <w:r/>
    </w:p>
    <w:p>
      <w:pPr>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2"/>
          <w:highlight w:val="none"/>
        </w:rPr>
        <w:t xml:space="preserve">13.不可抗力</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auto"/>
          <w:sz w:val="24"/>
          <w:szCs w:val="24"/>
          <w:highlight w:val="none"/>
        </w:rPr>
        <w:t xml:space="preserve"> </w:t>
      </w:r>
      <w:r/>
    </w:p>
    <w:p>
      <w:pPr>
        <w:ind w:firstLine="567"/>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受事故影响的一方应在不可抗力事故发生后尽快以电报、传真或电传通知另一方，并在事故发生后</w:t>
      </w:r>
      <w:r>
        <w:rPr>
          <w:rFonts w:ascii="仿宋" w:hAnsi="仿宋" w:eastAsia="仿宋"/>
          <w:color w:val="auto"/>
          <w:sz w:val="24"/>
          <w:szCs w:val="24"/>
          <w:highlight w:val="none"/>
        </w:rPr>
        <w:t xml:space="preserve">14</w:t>
      </w:r>
      <w:r>
        <w:rPr>
          <w:rFonts w:hint="eastAsia" w:ascii="仿宋" w:hAnsi="仿宋" w:eastAsia="仿宋"/>
          <w:color w:val="auto"/>
          <w:sz w:val="24"/>
          <w:szCs w:val="24"/>
          <w:highlight w:val="none"/>
        </w:rPr>
        <w:t xml:space="preserve">天内，将有关部门出具的证明文件用特快专递寄给或送给另一方。如果不可抗力影响时间延续</w:t>
      </w:r>
      <w:r>
        <w:rPr>
          <w:rFonts w:ascii="仿宋" w:hAnsi="仿宋" w:eastAsia="仿宋"/>
          <w:color w:val="auto"/>
          <w:sz w:val="24"/>
          <w:szCs w:val="24"/>
          <w:highlight w:val="none"/>
        </w:rPr>
        <w:t xml:space="preserve">120</w:t>
      </w:r>
      <w:r>
        <w:rPr>
          <w:rFonts w:hint="eastAsia" w:ascii="仿宋" w:hAnsi="仿宋" w:eastAsia="仿宋"/>
          <w:color w:val="auto"/>
          <w:sz w:val="24"/>
          <w:szCs w:val="24"/>
          <w:highlight w:val="none"/>
        </w:rPr>
        <w:t xml:space="preserve">天以上，双方应通过友好协商在合理的时间内达成进一步履行合同的协议。</w:t>
      </w:r>
      <w:r>
        <w:rPr>
          <w:rFonts w:ascii="仿宋" w:hAnsi="仿宋" w:eastAsia="仿宋"/>
          <w:color w:val="auto"/>
          <w:sz w:val="24"/>
          <w:szCs w:val="24"/>
          <w:highlight w:val="none"/>
        </w:rPr>
        <w:t xml:space="preserve"> </w:t>
      </w:r>
      <w:r/>
    </w:p>
    <w:p>
      <w:pPr>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14.税费</w:t>
      </w:r>
      <w:r/>
    </w:p>
    <w:p>
      <w:pPr>
        <w:ind w:firstLine="567"/>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14.2中国政府根据现行税法规定对乙方征收的与本合同有关的一切税费均由乙方负担。</w:t>
      </w:r>
      <w:r/>
    </w:p>
    <w:p>
      <w:pPr>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15.仲裁</w:t>
      </w:r>
      <w:r/>
    </w:p>
    <w:p>
      <w:pPr>
        <w:ind w:firstLine="57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买卖双方应通过友好协商，解决在执行本合同中所发生的或与本合同有关的一切争端，如果协商仍得不到解决，任何一方均可按《中华人民共和国民法典》规定提交调解</w:t>
      </w:r>
      <w:r>
        <w:rPr>
          <w:rFonts w:hint="eastAsia" w:ascii="仿宋" w:hAnsi="仿宋" w:eastAsia="仿宋"/>
          <w:color w:val="auto"/>
          <w:sz w:val="24"/>
          <w:szCs w:val="24"/>
          <w:highlight w:val="none"/>
          <w:lang w:val="en-US" w:eastAsia="zh-CN"/>
        </w:rPr>
        <w:t xml:space="preserve">或</w:t>
      </w:r>
      <w:r>
        <w:rPr>
          <w:rFonts w:hint="eastAsia" w:ascii="仿宋" w:hAnsi="仿宋" w:eastAsia="仿宋"/>
          <w:color w:val="auto"/>
          <w:sz w:val="24"/>
          <w:szCs w:val="24"/>
          <w:highlight w:val="none"/>
        </w:rPr>
        <w:t xml:space="preserve">仲裁。</w:t>
      </w:r>
      <w:r/>
    </w:p>
    <w:p>
      <w:pPr>
        <w:ind w:firstLine="57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rPr>
        <w:t xml:space="preserve">仲裁裁决应为终局裁决，对双方均具有约束力。</w:t>
      </w:r>
      <w:r>
        <w:rPr>
          <w:rFonts w:ascii="仿宋" w:hAnsi="仿宋" w:eastAsia="仿宋"/>
          <w:color w:val="auto"/>
          <w:sz w:val="24"/>
          <w:szCs w:val="24"/>
          <w:highlight w:val="none"/>
        </w:rPr>
        <w:t xml:space="preserve"> </w:t>
      </w:r>
      <w:r/>
    </w:p>
    <w:p>
      <w:pPr>
        <w:ind w:firstLine="57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.3 </w:t>
      </w:r>
      <w:r>
        <w:rPr>
          <w:rFonts w:hint="eastAsia" w:ascii="仿宋" w:hAnsi="仿宋" w:eastAsia="仿宋"/>
          <w:color w:val="auto"/>
          <w:sz w:val="24"/>
          <w:szCs w:val="24"/>
          <w:highlight w:val="none"/>
        </w:rPr>
        <w:t xml:space="preserve">仲裁费除仲裁机构另有裁决外应由败诉方负担。</w:t>
      </w:r>
      <w:r/>
    </w:p>
    <w:p>
      <w:pPr>
        <w:ind w:firstLine="570"/>
        <w:spacing w:line="520" w:lineRule="exact"/>
        <w:rPr>
          <w:rFonts w:hint="eastAsia" w:ascii="仿宋" w:hAnsi="仿宋" w:eastAsia="仿宋"/>
          <w:color w:val="auto"/>
          <w:sz w:val="24"/>
          <w:szCs w:val="24"/>
          <w:highlight w:val="none"/>
        </w:rPr>
      </w:pP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.4 </w:t>
      </w:r>
      <w:r>
        <w:rPr>
          <w:rFonts w:hint="eastAsia" w:ascii="仿宋" w:hAnsi="仿宋" w:eastAsia="仿宋"/>
          <w:color w:val="auto"/>
          <w:sz w:val="24"/>
          <w:szCs w:val="24"/>
          <w:highlight w:val="none"/>
        </w:rPr>
        <w:t xml:space="preserve">在仲裁期间，除正在进行仲裁的部分外，合同</w:t>
      </w:r>
      <w:r>
        <w:rPr>
          <w:rFonts w:hint="eastAsia" w:ascii="仿宋" w:hAnsi="仿宋" w:eastAsia="仿宋"/>
          <w:color w:val="auto"/>
          <w:sz w:val="24"/>
          <w:szCs w:val="24"/>
          <w:highlight w:val="none"/>
          <w:lang w:eastAsia="zh-CN"/>
        </w:rPr>
        <w:t xml:space="preserve">其他部分</w:t>
      </w:r>
      <w:r>
        <w:rPr>
          <w:rFonts w:hint="eastAsia" w:ascii="仿宋" w:hAnsi="仿宋" w:eastAsia="仿宋"/>
          <w:color w:val="auto"/>
          <w:sz w:val="24"/>
          <w:szCs w:val="24"/>
          <w:highlight w:val="none"/>
        </w:rPr>
        <w:t xml:space="preserve">继续执行。</w:t>
      </w:r>
      <w:r>
        <w:rPr>
          <w:rFonts w:hint="eastAsia" w:ascii="仿宋" w:hAnsi="仿宋" w:eastAsia="仿宋"/>
          <w:b/>
          <w:color w:val="auto"/>
          <w:sz w:val="24"/>
          <w:szCs w:val="24"/>
          <w:highlight w:val="none"/>
        </w:rPr>
        <w:t xml:space="preserve"> </w:t>
      </w:r>
      <w:r/>
    </w:p>
    <w:p>
      <w:pPr>
        <w:spacing w:line="52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16.违约终止合同</w:t>
      </w:r>
      <w:r/>
    </w:p>
    <w:p>
      <w:pPr>
        <w:pStyle w:val="926"/>
        <w:ind w:firstLine="560"/>
        <w:spacing w:line="520" w:lineRule="exact"/>
        <w:rPr>
          <w:rFonts w:hint="eastAsia" w:hAnsi="仿宋"/>
          <w:color w:val="auto"/>
          <w:sz w:val="24"/>
          <w:szCs w:val="24"/>
          <w:highlight w:val="none"/>
        </w:rPr>
      </w:pPr>
      <w:r>
        <w:rPr>
          <w:rFonts w:hint="eastAsia" w:hAnsi="仿宋"/>
          <w:color w:val="auto"/>
          <w:sz w:val="24"/>
          <w:szCs w:val="24"/>
          <w:highlight w:val="none"/>
        </w:rPr>
        <w:t xml:space="preserve">16</w:t>
      </w:r>
      <w:r>
        <w:rPr>
          <w:rFonts w:hAnsi="仿宋"/>
          <w:color w:val="auto"/>
          <w:sz w:val="24"/>
          <w:szCs w:val="24"/>
          <w:highlight w:val="none"/>
        </w:rPr>
        <w:t xml:space="preserve">.</w:t>
      </w:r>
      <w:r>
        <w:rPr>
          <w:rFonts w:hint="eastAsia" w:hAnsi="仿宋"/>
          <w:color w:val="auto"/>
          <w:sz w:val="24"/>
          <w:szCs w:val="24"/>
          <w:highlight w:val="none"/>
        </w:rPr>
        <w:t xml:space="preserve">1</w:t>
      </w:r>
      <w:r>
        <w:rPr>
          <w:rFonts w:hAnsi="仿宋"/>
          <w:color w:val="auto"/>
          <w:sz w:val="24"/>
          <w:szCs w:val="24"/>
          <w:highlight w:val="none"/>
        </w:rPr>
        <w:t xml:space="preserve"> </w:t>
      </w:r>
      <w:r>
        <w:rPr>
          <w:rFonts w:hint="eastAsia" w:hAnsi="仿宋"/>
          <w:color w:val="auto"/>
          <w:sz w:val="24"/>
          <w:szCs w:val="24"/>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4"/>
          <w:szCs w:val="24"/>
          <w:highlight w:val="none"/>
        </w:rPr>
        <w:t xml:space="preserve"> </w:t>
      </w:r>
      <w:r/>
    </w:p>
    <w:p>
      <w:pPr>
        <w:pStyle w:val="926"/>
        <w:ind w:firstLine="560"/>
        <w:spacing w:line="520" w:lineRule="exact"/>
        <w:rPr>
          <w:rFonts w:hint="eastAsia" w:hAnsi="仿宋"/>
          <w:color w:val="auto"/>
          <w:sz w:val="24"/>
          <w:szCs w:val="24"/>
          <w:highlight w:val="none"/>
        </w:rPr>
      </w:pPr>
      <w:r>
        <w:rPr>
          <w:rFonts w:hint="eastAsia" w:hAnsi="仿宋"/>
          <w:color w:val="auto"/>
          <w:sz w:val="24"/>
          <w:szCs w:val="24"/>
          <w:highlight w:val="none"/>
        </w:rPr>
        <w:t xml:space="preserve">（1）如果乙方未能在合同规定的期限或甲方同意延期的限期内提供全部或部分货物（含软件及相关服务）；</w:t>
      </w:r>
      <w:r>
        <w:rPr>
          <w:rFonts w:hAnsi="仿宋"/>
          <w:color w:val="auto"/>
          <w:sz w:val="24"/>
          <w:szCs w:val="24"/>
          <w:highlight w:val="none"/>
        </w:rPr>
        <w:t xml:space="preserve"> </w:t>
      </w:r>
      <w:r/>
    </w:p>
    <w:p>
      <w:pPr>
        <w:pStyle w:val="926"/>
        <w:ind w:firstLine="560"/>
        <w:spacing w:line="520" w:lineRule="exact"/>
        <w:rPr>
          <w:rFonts w:hint="eastAsia" w:hAnsi="仿宋"/>
          <w:color w:val="auto"/>
          <w:sz w:val="24"/>
          <w:szCs w:val="24"/>
          <w:highlight w:val="none"/>
        </w:rPr>
      </w:pPr>
      <w:r>
        <w:rPr>
          <w:rFonts w:hint="eastAsia" w:hAnsi="仿宋"/>
          <w:color w:val="auto"/>
          <w:sz w:val="24"/>
          <w:szCs w:val="24"/>
          <w:highlight w:val="none"/>
        </w:rPr>
        <w:t xml:space="preserve">（</w:t>
      </w:r>
      <w:r>
        <w:rPr>
          <w:rFonts w:hAnsi="仿宋"/>
          <w:color w:val="auto"/>
          <w:sz w:val="24"/>
          <w:szCs w:val="24"/>
          <w:highlight w:val="none"/>
        </w:rPr>
        <w:t xml:space="preserve">2</w:t>
      </w:r>
      <w:r>
        <w:rPr>
          <w:rFonts w:hint="eastAsia" w:hAnsi="仿宋"/>
          <w:color w:val="auto"/>
          <w:sz w:val="24"/>
          <w:szCs w:val="24"/>
          <w:highlight w:val="none"/>
        </w:rPr>
        <w:t xml:space="preserve">）如果乙方未能履行合同规定的其它义务。</w:t>
      </w:r>
      <w:r>
        <w:rPr>
          <w:rFonts w:hAnsi="仿宋"/>
          <w:color w:val="auto"/>
          <w:sz w:val="24"/>
          <w:szCs w:val="24"/>
          <w:highlight w:val="none"/>
        </w:rPr>
        <w:t xml:space="preserve"> </w:t>
      </w:r>
      <w:r/>
    </w:p>
    <w:p>
      <w:pPr>
        <w:pStyle w:val="926"/>
        <w:ind w:firstLine="560"/>
        <w:spacing w:line="520" w:lineRule="exact"/>
        <w:rPr>
          <w:rFonts w:hint="eastAsia" w:hAnsi="仿宋"/>
          <w:color w:val="auto"/>
          <w:sz w:val="24"/>
          <w:szCs w:val="24"/>
          <w:highlight w:val="none"/>
        </w:rPr>
      </w:pPr>
      <w:r>
        <w:rPr>
          <w:rFonts w:hint="eastAsia" w:hAnsi="仿宋"/>
          <w:color w:val="auto"/>
          <w:sz w:val="24"/>
          <w:szCs w:val="24"/>
          <w:highlight w:val="none"/>
        </w:rPr>
        <w:t xml:space="preserve">16</w:t>
      </w:r>
      <w:r>
        <w:rPr>
          <w:rFonts w:hAnsi="仿宋"/>
          <w:color w:val="auto"/>
          <w:sz w:val="24"/>
          <w:szCs w:val="24"/>
          <w:highlight w:val="none"/>
        </w:rPr>
        <w:t xml:space="preserve">.2 </w:t>
      </w:r>
      <w:r>
        <w:rPr>
          <w:rFonts w:hint="eastAsia" w:hAnsi="仿宋"/>
          <w:color w:val="auto"/>
          <w:sz w:val="24"/>
          <w:szCs w:val="24"/>
          <w:highlight w:val="none"/>
        </w:rPr>
        <w:t xml:space="preserve">在甲方根据第16</w:t>
      </w:r>
      <w:r>
        <w:rPr>
          <w:rFonts w:hAnsi="仿宋"/>
          <w:color w:val="auto"/>
          <w:sz w:val="24"/>
          <w:szCs w:val="24"/>
          <w:highlight w:val="none"/>
        </w:rPr>
        <w:t xml:space="preserve">.</w:t>
      </w:r>
      <w:r>
        <w:rPr>
          <w:rFonts w:hint="eastAsia" w:hAnsi="仿宋"/>
          <w:color w:val="auto"/>
          <w:sz w:val="24"/>
          <w:szCs w:val="24"/>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3"/>
        <w:spacing w:line="520" w:lineRule="exact"/>
        <w:rPr>
          <w:rFonts w:hint="eastAsia" w:ascii="仿宋" w:hAnsi="仿宋" w:eastAsia="仿宋"/>
          <w:color w:val="auto"/>
          <w:sz w:val="24"/>
          <w:szCs w:val="18"/>
          <w:highlight w:val="none"/>
        </w:rPr>
      </w:pPr>
      <w:r>
        <w:rPr>
          <w:rFonts w:hint="eastAsia" w:ascii="仿宋" w:hAnsi="仿宋" w:eastAsia="仿宋"/>
          <w:color w:val="auto"/>
          <w:sz w:val="24"/>
          <w:szCs w:val="18"/>
          <w:highlight w:val="none"/>
        </w:rPr>
        <w:t xml:space="preserve">17.破产中止合同</w:t>
      </w:r>
      <w:r/>
    </w:p>
    <w:p>
      <w:pPr>
        <w:pStyle w:val="883"/>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18"/>
          <w:highlight w:val="none"/>
        </w:rPr>
        <w:t xml:space="preserve">   </w:t>
      </w:r>
      <w:r>
        <w:rPr>
          <w:rFonts w:hint="eastAsia" w:ascii="仿宋" w:hAnsi="仿宋" w:eastAsia="仿宋"/>
          <w:color w:val="auto"/>
          <w:sz w:val="24"/>
          <w:szCs w:val="22"/>
          <w:highlight w:val="none"/>
        </w:rPr>
        <w:t xml:space="preserve"> 17.1如果乙方破产或无清偿能力，甲方可在任何时候以书面形式通知乙方</w:t>
      </w:r>
      <w:r>
        <w:rPr>
          <w:rFonts w:hint="eastAsia" w:ascii="仿宋" w:hAnsi="仿宋" w:eastAsia="仿宋"/>
          <w:color w:val="auto"/>
          <w:sz w:val="24"/>
          <w:szCs w:val="22"/>
          <w:highlight w:val="none"/>
          <w:lang w:eastAsia="zh-CN"/>
        </w:rPr>
        <w:t xml:space="preserve">终止合同</w:t>
      </w:r>
      <w:r>
        <w:rPr>
          <w:rFonts w:hint="eastAsia" w:ascii="仿宋" w:hAnsi="仿宋" w:eastAsia="仿宋"/>
          <w:color w:val="auto"/>
          <w:sz w:val="24"/>
          <w:szCs w:val="22"/>
          <w:highlight w:val="none"/>
        </w:rPr>
        <w:t xml:space="preserve">而不给乙方补偿。该中止合同将不损害或影响甲方和使用方已经采取或将要采取的任何行动或补救措施的权力。</w:t>
      </w:r>
      <w:r/>
    </w:p>
    <w:p>
      <w:pPr>
        <w:pStyle w:val="883"/>
        <w:spacing w:line="520" w:lineRule="exact"/>
        <w:rPr>
          <w:rFonts w:hint="eastAsia" w:ascii="仿宋" w:hAnsi="仿宋" w:eastAsia="仿宋"/>
          <w:color w:val="auto"/>
          <w:sz w:val="24"/>
          <w:szCs w:val="18"/>
          <w:highlight w:val="none"/>
        </w:rPr>
      </w:pPr>
      <w:r>
        <w:rPr>
          <w:rFonts w:hint="eastAsia" w:ascii="仿宋" w:hAnsi="仿宋" w:eastAsia="仿宋"/>
          <w:color w:val="auto"/>
          <w:sz w:val="24"/>
          <w:szCs w:val="18"/>
          <w:highlight w:val="none"/>
        </w:rPr>
        <w:t xml:space="preserve">18.转让</w:t>
      </w:r>
      <w:r/>
    </w:p>
    <w:p>
      <w:pPr>
        <w:pStyle w:val="883"/>
        <w:spacing w:line="520" w:lineRule="exact"/>
        <w:rPr>
          <w:rFonts w:hint="eastAsia" w:ascii="仿宋" w:hAnsi="仿宋" w:eastAsia="仿宋"/>
          <w:color w:val="auto"/>
          <w:sz w:val="24"/>
          <w:szCs w:val="18"/>
          <w:highlight w:val="none"/>
        </w:rPr>
      </w:pPr>
      <w:r>
        <w:rPr>
          <w:rFonts w:hint="eastAsia" w:ascii="仿宋" w:hAnsi="仿宋" w:eastAsia="仿宋"/>
          <w:color w:val="auto"/>
          <w:sz w:val="24"/>
          <w:szCs w:val="18"/>
          <w:highlight w:val="none"/>
        </w:rPr>
        <w:t xml:space="preserve">    </w:t>
      </w:r>
      <w:r>
        <w:rPr>
          <w:rFonts w:hint="eastAsia" w:ascii="仿宋" w:hAnsi="仿宋" w:eastAsia="仿宋"/>
          <w:color w:val="auto"/>
          <w:sz w:val="24"/>
          <w:szCs w:val="22"/>
          <w:highlight w:val="none"/>
        </w:rPr>
        <w:t xml:space="preserve">18.1 除甲方事先书面同意外，乙方不得部分转让或全部转让其应履行的合同义务。</w:t>
      </w:r>
      <w:r/>
    </w:p>
    <w:p>
      <w:pPr>
        <w:pStyle w:val="883"/>
        <w:spacing w:line="520" w:lineRule="exact"/>
        <w:rPr>
          <w:rFonts w:hint="eastAsia" w:ascii="仿宋" w:hAnsi="仿宋" w:eastAsia="仿宋"/>
          <w:color w:val="auto"/>
          <w:sz w:val="24"/>
          <w:szCs w:val="18"/>
          <w:highlight w:val="none"/>
        </w:rPr>
      </w:pPr>
      <w:r>
        <w:rPr>
          <w:rFonts w:hint="eastAsia" w:ascii="仿宋" w:hAnsi="仿宋" w:eastAsia="仿宋"/>
          <w:color w:val="auto"/>
          <w:sz w:val="24"/>
          <w:szCs w:val="18"/>
          <w:highlight w:val="none"/>
        </w:rPr>
        <w:t xml:space="preserve">19.合同生效及其它</w:t>
      </w:r>
      <w:r/>
    </w:p>
    <w:p>
      <w:pPr>
        <w:spacing w:line="520" w:lineRule="exact"/>
        <w:rPr>
          <w:rFonts w:hint="eastAsia" w:ascii="仿宋" w:hAnsi="仿宋" w:eastAsia="仿宋"/>
          <w:b/>
          <w:color w:val="auto"/>
          <w:sz w:val="24"/>
          <w:szCs w:val="24"/>
          <w:highlight w:val="none"/>
        </w:rPr>
      </w:pPr>
      <w:r>
        <w:rPr>
          <w:rFonts w:hint="eastAsia" w:ascii="仿宋" w:hAnsi="仿宋" w:eastAsia="仿宋"/>
          <w:color w:val="auto"/>
          <w:sz w:val="20"/>
          <w:szCs w:val="22"/>
          <w:highlight w:val="none"/>
        </w:rPr>
        <w:t xml:space="preserve">   </w:t>
      </w:r>
      <w:r>
        <w:rPr>
          <w:rFonts w:hint="eastAsia" w:ascii="仿宋" w:hAnsi="仿宋" w:eastAsia="仿宋"/>
          <w:color w:val="auto"/>
          <w:sz w:val="24"/>
          <w:szCs w:val="24"/>
          <w:highlight w:val="none"/>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83"/>
        <w:ind w:firstLine="560"/>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19.2</w:t>
      </w:r>
      <w:r>
        <w:rPr>
          <w:rFonts w:hint="eastAsia" w:ascii="仿宋" w:hAnsi="仿宋" w:eastAsia="仿宋"/>
          <w:color w:val="auto"/>
          <w:sz w:val="24"/>
          <w:szCs w:val="24"/>
          <w:highlight w:val="none"/>
        </w:rPr>
        <w:t xml:space="preserve">本合同经甲、乙双方加盖电子签章后生效。</w:t>
      </w:r>
      <w:r>
        <w:rPr>
          <w:rFonts w:hint="eastAsia" w:ascii="仿宋" w:hAnsi="仿宋" w:eastAsia="仿宋"/>
          <w:color w:val="auto"/>
          <w:sz w:val="24"/>
          <w:szCs w:val="22"/>
          <w:highlight w:val="none"/>
        </w:rPr>
        <w:t xml:space="preserve">    </w:t>
      </w:r>
      <w:r/>
    </w:p>
    <w:p>
      <w:pPr>
        <w:pStyle w:val="883"/>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    19.3合同货物交付使用后所发生的合同纠纷，甲方与乙方进行处理。</w:t>
      </w:r>
      <w:r/>
    </w:p>
    <w:p>
      <w:pPr>
        <w:pStyle w:val="883"/>
        <w:spacing w:line="520" w:lineRule="exact"/>
        <w:rPr>
          <w:rFonts w:hint="eastAsia" w:ascii="仿宋" w:hAnsi="仿宋" w:eastAsia="仿宋"/>
          <w:color w:val="auto"/>
          <w:sz w:val="24"/>
          <w:szCs w:val="22"/>
          <w:highlight w:val="none"/>
        </w:rPr>
      </w:pPr>
      <w:r>
        <w:rPr>
          <w:rFonts w:hint="eastAsia" w:ascii="仿宋" w:hAnsi="仿宋" w:eastAsia="仿宋"/>
          <w:color w:val="auto"/>
          <w:sz w:val="24"/>
          <w:szCs w:val="22"/>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color w:val="auto"/>
          <w:sz w:val="24"/>
          <w:szCs w:val="24"/>
          <w:highlight w:val="none"/>
        </w:rPr>
      </w:pPr>
      <w:r>
        <w:rPr>
          <w:rFonts w:hint="eastAsia" w:ascii="仿宋" w:hAnsi="仿宋" w:eastAsia="仿宋"/>
          <w:color w:val="auto"/>
          <w:sz w:val="24"/>
          <w:szCs w:val="22"/>
          <w:highlight w:val="none"/>
        </w:rPr>
        <w:t xml:space="preserve">19.5本合同应按照中华人民共和国的现行法律进行解释。</w:t>
      </w:r>
      <w:r/>
    </w:p>
    <w:p>
      <w:pPr>
        <w:pStyle w:val="883"/>
        <w:jc w:val="center"/>
        <w:spacing w:line="520" w:lineRule="exact"/>
        <w:rPr>
          <w:rFonts w:hint="eastAsia" w:ascii="仿宋" w:hAnsi="仿宋" w:eastAsia="仿宋" w:cs="仿宋"/>
          <w:b/>
          <w:bCs/>
          <w:color w:val="auto"/>
          <w:sz w:val="24"/>
          <w:szCs w:val="24"/>
          <w:highlight w:val="none"/>
        </w:rPr>
      </w:pPr>
      <w:r>
        <w:rPr>
          <w:rFonts w:hint="eastAsia" w:ascii="仿宋" w:hAnsi="仿宋" w:eastAsia="仿宋"/>
          <w:b/>
          <w:bCs/>
          <w:color w:val="auto"/>
          <w:sz w:val="36"/>
          <w:szCs w:val="36"/>
          <w:highlight w:val="none"/>
        </w:rPr>
        <w:br w:type="page" w:clear="all"/>
      </w:r>
      <w:r>
        <w:rPr>
          <w:rFonts w:hint="eastAsia" w:ascii="仿宋" w:hAnsi="仿宋" w:eastAsia="仿宋"/>
          <w:b/>
          <w:bCs/>
          <w:color w:val="auto"/>
          <w:sz w:val="32"/>
          <w:szCs w:val="32"/>
          <w:highlight w:val="none"/>
        </w:rPr>
        <w:t xml:space="preserve">第五章  项目采购需求</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一、项目概况</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1、项目名称：淮阴区城管局环卫大型车辆采购项目</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2、采购预算：654万元</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3、采购内容：详见产品清单</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二、产品清单</w:t>
      </w:r>
      <w:r/>
    </w:p>
    <w:tbl>
      <w:tblPr>
        <w:tblStyle w:val="648"/>
        <w:tblW w:w="51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3"/>
        <w:gridCol w:w="4128"/>
        <w:gridCol w:w="769"/>
        <w:gridCol w:w="865"/>
        <w:gridCol w:w="1750"/>
        <w:gridCol w:w="1264"/>
      </w:tblGrid>
      <w:tr>
        <w:trPr>
          <w:jc w:val="center"/>
          <w:trHeight w:val="634" w:hRule="exact"/>
        </w:trPr>
        <w:tc>
          <w:tcPr>
            <w:tcW w:w="625"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57"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物品名称</w:t>
            </w:r>
            <w:r/>
          </w:p>
        </w:tc>
        <w:tc>
          <w:tcPr>
            <w:tcW w:w="383"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431"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872"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最高限价</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备注</w:t>
            </w:r>
            <w:r/>
          </w:p>
        </w:tc>
      </w:tr>
      <w:tr>
        <w:trPr>
          <w:jc w:val="center"/>
          <w:trHeight w:val="617" w:hRule="exact"/>
        </w:trPr>
        <w:tc>
          <w:tcPr>
            <w:tcW w:w="625" w:type="pct"/>
            <w:vAlign w:val="center"/>
            <w:vMerge w:val="restart"/>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采购包一</w:t>
            </w:r>
            <w:r/>
          </w:p>
        </w:tc>
        <w:tc>
          <w:tcPr>
            <w:tcW w:w="2057" w:type="pct"/>
            <w:vAlign w:val="center"/>
            <w:textDirection w:val="lrTb"/>
            <w:noWrap w:val="false"/>
          </w:tcPr>
          <w:p>
            <w:pPr>
              <w:jc w:val="center"/>
              <w:keepLines w:val="0"/>
              <w:keepNext w:val="0"/>
              <w:spacing w:line="240" w:lineRule="auto"/>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12吨新能源洗地车（纯电动洗扫车）</w:t>
            </w:r>
            <w:r/>
          </w:p>
        </w:tc>
        <w:tc>
          <w:tcPr>
            <w:shd w:val="clear" w:color="auto" w:fill="auto"/>
            <w:tcW w:w="38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14:ligatures w14:val="none"/>
              </w:rPr>
              <w:suppressLineNumbers w:val="0"/>
            </w:pPr>
            <w:r>
              <w:rPr>
                <w:rFonts w:hint="eastAsia" w:ascii="仿宋" w:hAnsi="仿宋" w:eastAsia="仿宋" w:cs="仿宋"/>
                <w:i w:val="0"/>
                <w:iCs w:val="0"/>
                <w:color w:val="000000"/>
                <w:sz w:val="24"/>
                <w:szCs w:val="24"/>
                <w:u w:val="none"/>
                <w:lang w:val="en-US" w:eastAsia="zh-CN" w:bidi="ar"/>
                <w14:ligatures w14:val="none"/>
              </w:rPr>
              <w:t xml:space="preserve">4</w:t>
            </w:r>
            <w:r/>
          </w:p>
        </w:tc>
        <w:tc>
          <w:tcPr>
            <w:tcW w:w="431"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辆</w:t>
            </w:r>
            <w:r/>
          </w:p>
        </w:tc>
        <w:tc>
          <w:tcPr>
            <w:tcW w:w="872" w:type="pct"/>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75万元/辆</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核心产品</w:t>
            </w:r>
            <w:r/>
          </w:p>
        </w:tc>
      </w:tr>
      <w:tr>
        <w:trPr>
          <w:jc w:val="center"/>
          <w:trHeight w:val="617" w:hRule="exact"/>
        </w:trPr>
        <w:tc>
          <w:tcPr>
            <w:tcW w:w="625" w:type="pct"/>
            <w:vAlign w:val="center"/>
            <w:vMerge w:val="continue"/>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057" w:type="pct"/>
            <w:vAlign w:val="center"/>
            <w:textDirection w:val="lrTb"/>
            <w:noWrap w:val="false"/>
          </w:tcPr>
          <w:p>
            <w:pPr>
              <w:jc w:val="center"/>
              <w:keepLines w:val="0"/>
              <w:keepNext w:val="0"/>
              <w:spacing w:line="240" w:lineRule="auto"/>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18吨新能源洒水车（纯电动清洗车）</w:t>
            </w:r>
            <w:r/>
          </w:p>
        </w:tc>
        <w:tc>
          <w:tcPr>
            <w:shd w:val="clear" w:color="auto" w:fill="auto"/>
            <w:tcW w:w="38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14:ligatures w14:val="none"/>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w:t>
            </w:r>
            <w:r/>
          </w:p>
        </w:tc>
        <w:tc>
          <w:tcPr>
            <w:tcW w:w="431"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辆</w:t>
            </w:r>
            <w:r/>
          </w:p>
        </w:tc>
        <w:tc>
          <w:tcPr>
            <w:tcW w:w="872" w:type="pct"/>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54万元/辆</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848" w:hRule="exact"/>
        </w:trPr>
        <w:tc>
          <w:tcPr>
            <w:tcW w:w="625"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采购包二</w:t>
            </w:r>
            <w:r/>
          </w:p>
        </w:tc>
        <w:tc>
          <w:tcPr>
            <w:tcW w:w="2057" w:type="pct"/>
            <w:vAlign w:val="center"/>
            <w:textDirection w:val="lrTb"/>
            <w:noWrap w:val="false"/>
          </w:tcPr>
          <w:p>
            <w:pPr>
              <w:jc w:val="center"/>
              <w:keepLines w:val="0"/>
              <w:keepNext w:val="0"/>
              <w:spacing w:line="240" w:lineRule="auto"/>
              <w:widowControl/>
              <w:rPr>
                <w:rFonts w:hint="eastAsia" w:ascii="仿宋" w:hAnsi="仿宋" w:eastAsia="仿宋" w:cs="仿宋"/>
                <w:sz w:val="24"/>
                <w:szCs w:val="24"/>
                <w:lang w:val="en-US" w:eastAsia="zh-CN"/>
              </w:rPr>
              <w:suppressLineNumbers w:val="0"/>
            </w:pPr>
            <w:r>
              <w:rPr>
                <w:rFonts w:hint="eastAsia" w:ascii="仿宋" w:hAnsi="仿宋" w:eastAsia="仿宋" w:cs="仿宋"/>
                <w:sz w:val="24"/>
                <w:szCs w:val="24"/>
                <w:lang w:val="en-US" w:eastAsia="zh-CN"/>
              </w:rPr>
              <w:t xml:space="preserve">31吨新能源勾臂车（纯电动车厢可卸式垃圾车）</w:t>
            </w:r>
            <w:r/>
          </w:p>
        </w:tc>
        <w:tc>
          <w:tcPr>
            <w:shd w:val="clear" w:color="auto" w:fill="auto"/>
            <w:tcW w:w="383"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SA"/>
                <w14:ligatures w14:val="none"/>
              </w:rPr>
              <w:suppressLineNumbers w:val="0"/>
            </w:pPr>
            <w:r>
              <w:rPr>
                <w:rFonts w:hint="eastAsia" w:ascii="仿宋" w:hAnsi="仿宋" w:eastAsia="仿宋" w:cs="仿宋"/>
                <w:i w:val="0"/>
                <w:iCs w:val="0"/>
                <w:color w:val="000000"/>
                <w:sz w:val="24"/>
                <w:szCs w:val="24"/>
                <w:u w:val="none"/>
                <w:lang w:val="en-US" w:eastAsia="zh-CN" w:bidi="ar-SA"/>
                <w14:ligatures w14:val="none"/>
              </w:rPr>
              <w:t xml:space="preserve">2</w:t>
            </w:r>
            <w:r/>
          </w:p>
        </w:tc>
        <w:tc>
          <w:tcPr>
            <w:tcW w:w="431" w:type="pct"/>
            <w:vAlign w:val="center"/>
            <w:textDirection w:val="lrTb"/>
            <w:noWrap w:val="false"/>
          </w:tcPr>
          <w:p>
            <w:pPr>
              <w:jc w:val="center"/>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辆</w:t>
            </w:r>
            <w:r/>
          </w:p>
        </w:tc>
        <w:tc>
          <w:tcPr>
            <w:tcW w:w="872" w:type="pct"/>
            <w:vAlign w:val="center"/>
            <w:textDirection w:val="lrTb"/>
            <w:noWrap w:val="false"/>
          </w:tcPr>
          <w:p>
            <w:pPr>
              <w:jc w:val="center"/>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107.5万元/辆</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692" w:hRule="exact"/>
        </w:trPr>
        <w:tc>
          <w:tcPr>
            <w:tcW w:w="625"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采购包三</w:t>
            </w:r>
            <w:r/>
          </w:p>
        </w:tc>
        <w:tc>
          <w:tcPr>
            <w:tcW w:w="2057" w:type="pct"/>
            <w:vAlign w:val="center"/>
            <w:textDirection w:val="lrTb"/>
            <w:noWrap w:val="false"/>
          </w:tcPr>
          <w:p>
            <w:pPr>
              <w:jc w:val="center"/>
              <w:keepLines w:val="0"/>
              <w:keepNext w:val="0"/>
              <w:spacing w:line="240" w:lineRule="auto"/>
              <w:widowControl/>
              <w:rPr>
                <w:rFonts w:hint="eastAsia" w:ascii="仿宋" w:hAnsi="仿宋" w:eastAsia="仿宋" w:cs="仿宋"/>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14立方综合融雪剂撒布车（除雪车）</w:t>
            </w:r>
            <w:r/>
          </w:p>
        </w:tc>
        <w:tc>
          <w:tcPr>
            <w:shd w:val="clear" w:color="auto" w:fill="auto"/>
            <w:tcW w:w="383"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SA"/>
                <w14:ligatures w14:val="none"/>
              </w:rPr>
              <w:suppressLineNumbers w:val="0"/>
            </w:pPr>
            <w:r>
              <w:rPr>
                <w:rFonts w:hint="eastAsia" w:ascii="仿宋" w:hAnsi="仿宋" w:eastAsia="仿宋" w:cs="仿宋"/>
                <w:i w:val="0"/>
                <w:iCs w:val="0"/>
                <w:color w:val="000000"/>
                <w:sz w:val="24"/>
                <w:szCs w:val="24"/>
                <w:u w:val="none"/>
                <w:lang w:val="en-US" w:eastAsia="zh-CN" w:bidi="ar"/>
                <w14:ligatures w14:val="none"/>
              </w:rPr>
              <w:t xml:space="preserve">1</w:t>
            </w:r>
            <w:r/>
          </w:p>
        </w:tc>
        <w:tc>
          <w:tcPr>
            <w:tcW w:w="431"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辆</w:t>
            </w:r>
            <w:r/>
          </w:p>
        </w:tc>
        <w:tc>
          <w:tcPr>
            <w:tcW w:w="872" w:type="pct"/>
            <w:vAlign w:val="center"/>
            <w:textDirection w:val="lrTb"/>
            <w:noWrap w:val="false"/>
          </w:tcPr>
          <w:p>
            <w:pPr>
              <w:jc w:val="cente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85万元/辆</w:t>
            </w:r>
            <w:r/>
          </w:p>
        </w:tc>
        <w:tc>
          <w:tcPr>
            <w:tcW w:w="630" w:type="pct"/>
            <w:vAlign w:val="center"/>
            <w:textDirection w:val="lrTb"/>
            <w:noWrap w:val="false"/>
          </w:tcPr>
          <w:p>
            <w:pPr>
              <w:jc w:val="center"/>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keepLines w:val="0"/>
        <w:keepNext w:val="0"/>
        <w:pageBreakBefore w:val="0"/>
        <w:spacing w:before="181"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、技术参数</w:t>
      </w:r>
      <w:r>
        <w:rPr>
          <w:rFonts w:hint="eastAsia" w:ascii="仿宋" w:hAnsi="仿宋" w:eastAsia="仿宋" w:cs="仿宋"/>
          <w:b/>
          <w:bCs/>
          <w:color w:val="auto"/>
          <w:sz w:val="24"/>
          <w:szCs w:val="24"/>
          <w:highlight w:val="none"/>
          <w:lang w:val="en-US" w:eastAsia="zh-CN"/>
        </w:rPr>
        <w:t xml:space="preserve">及</w:t>
      </w:r>
      <w:r>
        <w:rPr>
          <w:rFonts w:hint="eastAsia" w:ascii="仿宋" w:hAnsi="仿宋" w:eastAsia="仿宋" w:cs="仿宋"/>
          <w:b/>
          <w:bCs/>
          <w:color w:val="auto"/>
          <w:sz w:val="24"/>
          <w:szCs w:val="24"/>
          <w:highlight w:val="none"/>
        </w:rPr>
        <w:t xml:space="preserve">配置要求</w:t>
      </w:r>
      <w:r/>
    </w:p>
    <w:p>
      <w:pPr>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采购包一</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ff0000"/>
          <w:sz w:val="24"/>
          <w:szCs w:val="24"/>
          <w:highlight w:val="none"/>
          <w:u w:val="single"/>
          <w:lang w:val="en-US" w:eastAsia="zh-CN"/>
        </w:rPr>
        <w:t xml:space="preserve">核心产品为12吨新能源洗地车（纯电动洗扫车）</w:t>
      </w:r>
      <w:r/>
    </w:p>
    <w:p>
      <w:pPr>
        <w:numPr>
          <w:ilvl w:val="0"/>
          <w:numId w:val="0"/>
        </w:numPr>
        <w:ind w:firstLine="482"/>
        <w:spacing w:line="360" w:lineRule="auto"/>
        <w:rPr>
          <w:rFonts w:hint="eastAsia" w:ascii="仿宋" w:hAnsi="仿宋" w:eastAsia="仿宋" w:cs="仿宋"/>
          <w:color w:val="auto"/>
          <w:spacing w:val="7"/>
          <w:sz w:val="24"/>
          <w:szCs w:val="24"/>
          <w:highlight w:val="none"/>
        </w:rPr>
      </w:pPr>
      <w:r>
        <w:rPr>
          <w:rFonts w:hint="eastAsia" w:ascii="仿宋" w:hAnsi="仿宋" w:eastAsia="仿宋" w:cs="仿宋"/>
          <w:b/>
          <w:bCs/>
          <w:color w:val="auto"/>
          <w:sz w:val="24"/>
          <w:szCs w:val="24"/>
          <w:highlight w:val="none"/>
        </w:rPr>
        <w:t xml:space="preserve">（一）</w:t>
      </w:r>
      <w:r>
        <w:rPr>
          <w:rFonts w:hint="eastAsia" w:ascii="仿宋" w:hAnsi="仿宋" w:eastAsia="仿宋" w:cs="仿宋"/>
          <w:b/>
          <w:bCs/>
          <w:color w:val="auto"/>
          <w:sz w:val="24"/>
          <w:szCs w:val="24"/>
          <w:highlight w:val="none"/>
          <w:lang w:val="en-US" w:eastAsia="zh-CN"/>
        </w:rPr>
        <w:t xml:space="preserve">12吨新能源洗地车（纯电动洗扫车）</w:t>
      </w:r>
      <w:r/>
    </w:p>
    <w:p>
      <w:pPr>
        <w:spacing w:after="120" w:line="360" w:lineRule="auto"/>
        <w:rPr>
          <w:rFonts w:hint="eastAsia" w:ascii="仿宋" w:hAnsi="仿宋" w:eastAsia="仿宋" w:cs="仿宋"/>
          <w:sz w:val="24"/>
        </w:rPr>
      </w:pPr>
      <w:r>
        <w:rPr>
          <w:rFonts w:hint="eastAsia" w:ascii="仿宋" w:hAnsi="仿宋" w:eastAsia="仿宋" w:cs="仿宋"/>
          <w:sz w:val="24"/>
        </w:rPr>
        <w:t xml:space="preserve">（1）技术参数要求</w:t>
      </w:r>
      <w:r/>
    </w:p>
    <w:tbl>
      <w:tblPr>
        <w:tblStyle w:val="971"/>
        <w:tblW w:w="519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561"/>
        <w:gridCol w:w="4565"/>
      </w:tblGrid>
      <w:tr>
        <w:trPr>
          <w:jc w:val="center"/>
          <w:trHeight w:val="441"/>
        </w:trPr>
        <w:tc>
          <w:tcPr>
            <w:tcW w:w="274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项目</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参数</w:t>
            </w:r>
            <w:r/>
          </w:p>
        </w:tc>
      </w:tr>
      <w:tr>
        <w:trPr>
          <w:jc w:val="center"/>
          <w:trHeight w:val="90"/>
        </w:trPr>
        <w:tc>
          <w:tcPr>
            <w:tcW w:w="274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★外形尺寸（长）（mm）</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≤7150</w:t>
            </w:r>
            <w:r/>
          </w:p>
        </w:tc>
      </w:tr>
      <w:tr>
        <w:trPr>
          <w:jc w:val="center"/>
          <w:trHeight w:val="441"/>
        </w:trPr>
        <w:tc>
          <w:tcPr>
            <w:tcW w:w="274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★外形尺寸（宽）（mm）</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≤2330</w:t>
            </w:r>
            <w:r/>
          </w:p>
        </w:tc>
      </w:tr>
      <w:tr>
        <w:trPr>
          <w:jc w:val="center"/>
          <w:trHeight w:val="441"/>
        </w:trPr>
        <w:tc>
          <w:tcPr>
            <w:tcW w:w="274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★外形尺寸（高）（mm）</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≥2820</w:t>
            </w:r>
            <w:r/>
          </w:p>
        </w:tc>
      </w:tr>
      <w:tr>
        <w:trPr>
          <w:jc w:val="center"/>
          <w:trHeight w:val="441"/>
        </w:trPr>
        <w:tc>
          <w:tcPr>
            <w:tcW w:w="274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★总质量(kg)</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≥12490</w:t>
            </w:r>
            <w:r/>
          </w:p>
        </w:tc>
      </w:tr>
      <w:tr>
        <w:trPr>
          <w:jc w:val="center"/>
          <w:trHeight w:val="441"/>
        </w:trPr>
        <w:tc>
          <w:tcPr>
            <w:tcW w:w="0" w:type="auto"/>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★整备质量(kg)</w:t>
            </w:r>
            <w:r/>
          </w:p>
        </w:tc>
        <w:tc>
          <w:tcPr>
            <w:tcW w:w="0" w:type="auto"/>
            <w:textDirection w:val="lrTb"/>
            <w:noWrap w:val="false"/>
          </w:tcPr>
          <w:p>
            <w:pPr>
              <w:ind w:left="119"/>
              <w:jc w:val="center"/>
              <w:spacing w:before="37" w:line="360" w:lineRule="auto"/>
              <w:rPr>
                <w:rFonts w:hint="eastAsia" w:ascii="仿宋" w:hAnsi="仿宋" w:eastAsia="仿宋" w:cs="仿宋"/>
                <w:spacing w:val="3"/>
                <w:sz w:val="24"/>
                <w:lang w:val="en-US" w:eastAsia="zh-CN"/>
              </w:rPr>
            </w:pPr>
            <w:r>
              <w:rPr>
                <w:rFonts w:hint="eastAsia" w:ascii="仿宋" w:hAnsi="仿宋" w:eastAsia="仿宋" w:cs="仿宋"/>
                <w:spacing w:val="3"/>
                <w:sz w:val="24"/>
              </w:rPr>
              <w:t xml:space="preserve">≥</w:t>
            </w:r>
            <w:r>
              <w:rPr>
                <w:rFonts w:hint="eastAsia" w:ascii="仿宋" w:hAnsi="仿宋" w:eastAsia="仿宋" w:cs="仿宋"/>
                <w:spacing w:val="3"/>
                <w:sz w:val="24"/>
                <w:lang w:val="en-US" w:eastAsia="zh-CN"/>
              </w:rPr>
              <w:t xml:space="preserve">7840</w:t>
            </w:r>
            <w:r/>
          </w:p>
        </w:tc>
      </w:tr>
      <w:tr>
        <w:trPr>
          <w:jc w:val="center"/>
          <w:trHeight w:val="90"/>
        </w:trPr>
        <w:tc>
          <w:tcPr>
            <w:tcW w:w="0" w:type="auto"/>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★额定质量(kg)</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≥4000</w:t>
            </w:r>
            <w:r/>
          </w:p>
        </w:tc>
      </w:tr>
      <w:tr>
        <w:trPr>
          <w:jc w:val="center"/>
          <w:trHeight w:val="435"/>
        </w:trPr>
        <w:tc>
          <w:tcPr>
            <w:tcW w:w="0" w:type="auto"/>
            <w:vAlign w:val="center"/>
            <w:textDirection w:val="lrTb"/>
            <w:noWrap w:val="false"/>
          </w:tcPr>
          <w:p>
            <w:pPr>
              <w:ind w:firstLine="480"/>
              <w:jc w:val="center"/>
              <w:spacing w:before="27"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接近角(°)</w:t>
            </w:r>
            <w:r/>
          </w:p>
        </w:tc>
        <w:tc>
          <w:tcPr>
            <w:tcW w:w="0" w:type="auto"/>
            <w:textDirection w:val="lrTb"/>
            <w:noWrap w:val="false"/>
          </w:tcPr>
          <w:p>
            <w:pPr>
              <w:ind w:left="119"/>
              <w:jc w:val="center"/>
              <w:spacing w:before="37" w:line="360" w:lineRule="auto"/>
              <w:rPr>
                <w:rFonts w:hint="default" w:ascii="仿宋" w:hAnsi="仿宋" w:eastAsia="仿宋" w:cs="仿宋"/>
                <w:spacing w:val="3"/>
                <w:sz w:val="24"/>
                <w:lang w:val="en-US" w:eastAsia="zh-CN"/>
              </w:rPr>
            </w:pPr>
            <w:r>
              <w:rPr>
                <w:rFonts w:hint="default" w:ascii="仿宋" w:hAnsi="仿宋" w:eastAsia="仿宋" w:cs="仿宋"/>
                <w:spacing w:val="3"/>
                <w:sz w:val="24"/>
                <w:lang w:val="en-US" w:eastAsia="zh-CN"/>
              </w:rPr>
              <w:t xml:space="preserve">≤18</w:t>
            </w:r>
            <w:r/>
          </w:p>
        </w:tc>
      </w:tr>
      <w:tr>
        <w:trPr>
          <w:jc w:val="center"/>
          <w:trHeight w:val="441"/>
        </w:trPr>
        <w:tc>
          <w:tcPr>
            <w:tcW w:w="0" w:type="auto"/>
            <w:vAlign w:val="center"/>
            <w:textDirection w:val="lrTb"/>
            <w:noWrap w:val="false"/>
          </w:tcPr>
          <w:p>
            <w:pPr>
              <w:ind w:firstLine="480"/>
              <w:jc w:val="center"/>
              <w:spacing w:before="27"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离去角(°)</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≥15</w:t>
            </w:r>
            <w:r/>
          </w:p>
        </w:tc>
      </w:tr>
      <w:tr>
        <w:trPr>
          <w:jc w:val="center"/>
          <w:trHeight w:val="441"/>
        </w:trPr>
        <w:tc>
          <w:tcPr>
            <w:tcW w:w="0" w:type="auto"/>
            <w:vAlign w:val="center"/>
            <w:textDirection w:val="lrTb"/>
            <w:noWrap w:val="false"/>
          </w:tcPr>
          <w:p>
            <w:pPr>
              <w:ind w:firstLine="480"/>
              <w:jc w:val="center"/>
              <w:spacing w:before="25"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前悬（mm）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≥1190</w:t>
            </w:r>
            <w:r/>
          </w:p>
        </w:tc>
      </w:tr>
      <w:tr>
        <w:trPr>
          <w:jc w:val="center"/>
          <w:trHeight w:val="441"/>
        </w:trPr>
        <w:tc>
          <w:tcPr>
            <w:tcW w:w="0" w:type="auto"/>
            <w:vAlign w:val="center"/>
            <w:textDirection w:val="lrTb"/>
            <w:noWrap w:val="false"/>
          </w:tcPr>
          <w:p>
            <w:pPr>
              <w:ind w:firstLine="480"/>
              <w:jc w:val="center"/>
              <w:spacing w:before="25"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后悬（mm）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lang w:val="en-US" w:eastAsia="zh-CN"/>
              </w:rPr>
            </w:pPr>
            <w:r>
              <w:rPr>
                <w:rFonts w:hint="eastAsia" w:ascii="仿宋" w:hAnsi="仿宋" w:eastAsia="仿宋" w:cs="仿宋"/>
                <w:spacing w:val="3"/>
                <w:sz w:val="24"/>
              </w:rPr>
              <w:t xml:space="preserve">≤</w:t>
            </w:r>
            <w:r>
              <w:rPr>
                <w:rFonts w:hint="eastAsia" w:ascii="仿宋" w:hAnsi="仿宋" w:eastAsia="仿宋" w:cs="仿宋"/>
                <w:spacing w:val="3"/>
                <w:sz w:val="24"/>
                <w:lang w:val="en-US" w:eastAsia="zh-CN"/>
              </w:rPr>
              <w:t xml:space="preserve">1790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lang w:val="zh-CN" w:bidi="zh-CN"/>
              </w:rPr>
            </w:pPr>
            <w:r>
              <w:rPr>
                <w:rFonts w:hint="eastAsia" w:ascii="仿宋" w:hAnsi="仿宋" w:eastAsia="仿宋" w:cs="仿宋"/>
                <w:spacing w:val="3"/>
                <w:sz w:val="24"/>
              </w:rPr>
              <w:t xml:space="preserve">最高车速(km/h)</w:t>
            </w:r>
            <w:r/>
          </w:p>
        </w:tc>
        <w:tc>
          <w:tcPr>
            <w:tcW w:w="0" w:type="auto"/>
            <w:textDirection w:val="lrTb"/>
            <w:noWrap w:val="false"/>
          </w:tcPr>
          <w:p>
            <w:pPr>
              <w:ind w:left="119"/>
              <w:jc w:val="center"/>
              <w:spacing w:before="37" w:line="360" w:lineRule="auto"/>
              <w:rPr>
                <w:rFonts w:hint="default" w:ascii="仿宋" w:hAnsi="仿宋" w:eastAsia="仿宋" w:cs="仿宋"/>
                <w:spacing w:val="3"/>
                <w:sz w:val="24"/>
                <w:lang w:val="en-US" w:eastAsia="zh-CN"/>
              </w:rPr>
            </w:pPr>
            <w:r>
              <w:rPr>
                <w:rFonts w:hint="eastAsia" w:ascii="仿宋" w:hAnsi="仿宋" w:eastAsia="仿宋" w:cs="仿宋"/>
                <w:spacing w:val="3"/>
                <w:sz w:val="24"/>
              </w:rPr>
              <w:t xml:space="preserve">≥</w:t>
            </w:r>
            <w:r>
              <w:rPr>
                <w:rFonts w:hint="eastAsia" w:ascii="仿宋" w:hAnsi="仿宋" w:eastAsia="仿宋" w:cs="仿宋"/>
                <w:spacing w:val="3"/>
                <w:sz w:val="24"/>
                <w:lang w:val="en-US" w:eastAsia="zh-CN"/>
              </w:rPr>
              <w:t xml:space="preserve">90</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总储电量（kWh）</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w:t>
            </w:r>
            <w:r>
              <w:rPr>
                <w:rFonts w:hint="eastAsia" w:ascii="仿宋" w:hAnsi="仿宋" w:eastAsia="仿宋" w:cs="仿宋"/>
                <w:spacing w:val="3"/>
                <w:sz w:val="24"/>
                <w:lang w:val="en-US" w:eastAsia="zh-CN"/>
              </w:rPr>
              <w:t xml:space="preserve">1</w:t>
            </w:r>
            <w:r>
              <w:rPr>
                <w:rFonts w:hint="eastAsia" w:ascii="仿宋" w:hAnsi="仿宋" w:eastAsia="仿宋" w:cs="仿宋"/>
                <w:spacing w:val="3"/>
                <w:sz w:val="24"/>
              </w:rPr>
              <w:t xml:space="preserve">0</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驱动电机额定功率（kw）</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≥100</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驱动电机峰值功率（kw）</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≥185</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储能装置种类</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磷酸铁锂蓄电池</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最小转弯直径 (m)</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≤17.5</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最小离地间隙 (mm)</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≥140</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洗扫宽度(mm)</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≥3200</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作业速度（km/h）</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3-20</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高压水泵额定压力（Mpa）</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≥12</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高压水泵额定流量（L/min）</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≥100</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卸料角（°）</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≥48</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水箱容积（m³）</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≥6</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垃圾箱容积（m³）</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≥4</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作业噪音（dB(A)）</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≤74</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作业能耗（kWh/h）</w:t>
            </w:r>
            <w:r/>
          </w:p>
        </w:tc>
        <w:tc>
          <w:tcPr>
            <w:tcW w:w="225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≤15</w:t>
            </w:r>
            <w:r/>
          </w:p>
        </w:tc>
      </w:tr>
      <w:tr>
        <w:trPr>
          <w:jc w:val="center"/>
          <w:trHeight w:val="441"/>
        </w:trPr>
        <w:tc>
          <w:tcPr>
            <w:tcW w:w="2746"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highlight w:val="none"/>
              </w:rPr>
              <w:t xml:space="preserve">轴距（mm）</w:t>
            </w:r>
            <w:r/>
          </w:p>
        </w:tc>
        <w:tc>
          <w:tcPr>
            <w:tcW w:w="2253"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highlight w:val="none"/>
              </w:rPr>
              <w:t xml:space="preserve">≥</w:t>
            </w:r>
            <w:r>
              <w:rPr>
                <w:rFonts w:hint="eastAsia" w:ascii="仿宋" w:hAnsi="仿宋" w:eastAsia="仿宋" w:cs="仿宋"/>
                <w:spacing w:val="3"/>
                <w:sz w:val="24"/>
                <w:highlight w:val="none"/>
                <w:lang w:val="en-US" w:eastAsia="zh-CN"/>
              </w:rPr>
              <w:t xml:space="preserve">4150</w:t>
            </w:r>
            <w:r/>
          </w:p>
        </w:tc>
      </w:tr>
      <w:tr>
        <w:trPr>
          <w:jc w:val="center"/>
          <w:trHeight w:val="441"/>
        </w:trPr>
        <w:tc>
          <w:tcPr>
            <w:gridSpan w:val="2"/>
            <w:tcW w:w="500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以上技术参数提供工业和信息化部装备工业发展中心中道路机动车辆生产企业及产品信息综合查询系统的公告查询数据截图或提供带有CMA、CNAS标志的试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最大爬坡度（%）</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≥30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最大洗扫宽度（不含路缘）</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≥3200</w:t>
            </w:r>
            <w:r/>
          </w:p>
        </w:tc>
      </w:tr>
      <w:tr>
        <w:trPr>
          <w:jc w:val="center"/>
          <w:trHeight w:val="441"/>
        </w:trPr>
        <w:tc>
          <w:tcPr>
            <w:tcW w:w="0" w:type="auto"/>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高压卷盘软管长度（m）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≥20</w:t>
            </w:r>
            <w:r/>
          </w:p>
        </w:tc>
      </w:tr>
      <w:tr>
        <w:trPr>
          <w:jc w:val="center"/>
          <w:trHeight w:val="441"/>
        </w:trPr>
        <w:tc>
          <w:tcPr>
            <w:tcW w:w="0" w:type="auto"/>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洗扫净率（%）</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≥95</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前轮距（mm）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≥1800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后轮距（mm）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≥1800</w:t>
            </w:r>
            <w:r/>
          </w:p>
        </w:tc>
      </w:tr>
    </w:tbl>
    <w:p>
      <w:pPr>
        <w:ind w:left="119"/>
        <w:jc w:val="left"/>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（2）性能配置要求</w:t>
      </w:r>
      <w:r/>
    </w:p>
    <w:p>
      <w:pPr>
        <w:ind w:firstLine="480"/>
        <w:jc w:val="left"/>
        <w:spacing w:before="37" w:line="360" w:lineRule="auto"/>
        <w:rPr>
          <w:rFonts w:hint="eastAsia" w:ascii="仿宋" w:hAnsi="仿宋" w:eastAsia="仿宋" w:cs="仿宋"/>
          <w:color w:val="000000"/>
          <w:sz w:val="24"/>
        </w:rPr>
      </w:pPr>
      <w:r>
        <w:rPr>
          <w:rFonts w:hint="eastAsia" w:ascii="仿宋" w:hAnsi="仿宋" w:eastAsia="仿宋" w:cs="仿宋"/>
          <w:color w:val="000000"/>
          <w:sz w:val="24"/>
        </w:rPr>
        <w:t xml:space="preserve">1. 高速静音风机，低耗低噪，降低运营成本，减少作业扰民。</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2. 集扫路车和高压清洗车功能于一体，扫、洗、吸结合，结构先进，作业效果好，具有洗扫、扫路、清洗多种作业模式，一键式操作。</w:t>
      </w:r>
      <w:r/>
    </w:p>
    <w:p>
      <w:pPr>
        <w:pStyle w:val="651"/>
        <w:ind w:firstLine="480"/>
        <w:rPr>
          <w:rFonts w:hint="eastAsia" w:ascii="仿宋" w:hAnsi="仿宋" w:eastAsia="仿宋" w:cs="仿宋"/>
          <w:bCs w:val="0"/>
          <w:sz w:val="24"/>
        </w:rPr>
      </w:pPr>
      <w:r>
        <w:rPr>
          <w:rFonts w:hint="eastAsia" w:ascii="仿宋" w:hAnsi="仿宋" w:eastAsia="仿宋" w:cs="仿宋"/>
          <w:bCs w:val="0"/>
          <w:sz w:val="24"/>
        </w:rPr>
        <w:t xml:space="preserve">3. 清水箱设置低水位传感器，垃圾箱设置高水位传感器，驾驶室内有语音报警，提示水位情况，方便操作者实时了解箱体内水位状态；</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4. 上装标配缺水报警、防止水泵无水运转的电气系统。清水箱水位低于设计位置时，系统发出缺水报警提示，防止水泵无水干烧；</w:t>
      </w:r>
      <w:r/>
    </w:p>
    <w:p>
      <w:pPr>
        <w:pStyle w:val="651"/>
        <w:ind w:firstLine="480"/>
        <w:rPr>
          <w:rFonts w:hint="eastAsia" w:ascii="仿宋" w:hAnsi="仿宋" w:eastAsia="仿宋" w:cs="仿宋"/>
          <w:bCs w:val="0"/>
          <w:sz w:val="24"/>
        </w:rPr>
      </w:pPr>
      <w:r>
        <w:rPr>
          <w:rFonts w:hint="eastAsia" w:ascii="仿宋" w:hAnsi="仿宋" w:eastAsia="仿宋" w:cs="仿宋"/>
          <w:bCs w:val="0"/>
          <w:sz w:val="24"/>
        </w:rPr>
        <w:t xml:space="preserve">5. 垃圾箱内部设有滤网，可有效防止树叶、塑料袋等轻飘堵塞风口，无需人工进入内部清理，操作简便；</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6. 垃圾箱后门设置有圆形观察孔和放水蝶阀，可通过观察窗实时观察污水水位，并通过放水蝶阀释放污水到路边下水道，避免人工频繁往返垃圾场，放水口蝶阀采用R 3 1/2''规格，有效缩短排污水时间，减少等待时长；</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7. 液压油箱设置有漏油报警装置，防止因意外原因造成液压油外泄时，保证有足够的液压油完成各项功能动作。同时液压油箱设置手动球阀，在液压系统维护保养时可切断液压油箱的出油通道，最大程度减少漏油损失；</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8. 设有保护装置，防止在安全撑杆未放下时收回已倾翻垃圾箱；设有垃圾箱举升油缸防坠落平衡阀块，动作平稳，制动可靠，保护洗扫车在特定工况或误操作时不受损害，确保人身安全；</w:t>
      </w:r>
      <w:r/>
    </w:p>
    <w:p>
      <w:pPr>
        <w:ind w:left="119"/>
        <w:jc w:val="left"/>
        <w:spacing w:before="37" w:line="360" w:lineRule="auto"/>
        <w:rPr>
          <w:rFonts w:hint="eastAsia" w:ascii="仿宋" w:hAnsi="仿宋" w:eastAsia="仿宋" w:cs="仿宋"/>
          <w:color w:val="000000"/>
          <w:sz w:val="24"/>
        </w:rPr>
      </w:pPr>
      <w:r>
        <w:rPr>
          <w:rFonts w:hint="eastAsia" w:ascii="仿宋" w:hAnsi="仿宋" w:eastAsia="仿宋" w:cs="仿宋"/>
          <w:color w:val="000000"/>
          <w:sz w:val="24"/>
        </w:rPr>
      </w:r>
      <w:r/>
    </w:p>
    <w:p>
      <w:pPr>
        <w:ind w:left="119"/>
        <w:jc w:val="left"/>
        <w:spacing w:before="37" w:line="360" w:lineRule="auto"/>
        <w:rPr>
          <w:rFonts w:hint="eastAsia" w:ascii="仿宋" w:hAnsi="仿宋" w:eastAsia="仿宋" w:cs="仿宋"/>
          <w:color w:val="000000"/>
          <w:sz w:val="24"/>
        </w:rPr>
      </w:pPr>
      <w:r>
        <w:rPr>
          <w:rFonts w:hint="eastAsia" w:ascii="仿宋" w:hAnsi="仿宋" w:eastAsia="仿宋" w:cs="仿宋"/>
          <w:color w:val="000000"/>
          <w:sz w:val="24"/>
        </w:rPr>
      </w:r>
      <w:r/>
    </w:p>
    <w:p>
      <w:pPr>
        <w:ind w:left="119"/>
        <w:jc w:val="left"/>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（二）18吨新能源洒水车（纯电动清洗车）</w:t>
      </w:r>
      <w:r/>
    </w:p>
    <w:p>
      <w:pPr>
        <w:spacing w:after="120" w:line="360" w:lineRule="auto"/>
        <w:rPr>
          <w:rFonts w:hint="eastAsia" w:ascii="仿宋" w:hAnsi="仿宋" w:eastAsia="仿宋" w:cs="仿宋"/>
          <w:sz w:val="24"/>
        </w:rPr>
      </w:pPr>
      <w:r>
        <w:rPr>
          <w:rFonts w:hint="eastAsia" w:ascii="仿宋" w:hAnsi="仿宋" w:eastAsia="仿宋" w:cs="仿宋"/>
          <w:sz w:val="24"/>
        </w:rPr>
        <w:t xml:space="preserve">（1）技术参数要求</w:t>
      </w:r>
      <w:r/>
    </w:p>
    <w:tbl>
      <w:tblPr>
        <w:tblStyle w:val="971"/>
        <w:tblW w:w="520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565"/>
        <w:gridCol w:w="4579"/>
      </w:tblGrid>
      <w:tr>
        <w:trPr>
          <w:jc w:val="center"/>
          <w:trHeight w:val="441"/>
        </w:trPr>
        <w:tc>
          <w:tcPr>
            <w:tcW w:w="274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项目</w:t>
            </w:r>
            <w:r/>
          </w:p>
        </w:tc>
        <w:tc>
          <w:tcPr>
            <w:tcW w:w="225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参数</w:t>
            </w:r>
            <w:r/>
          </w:p>
        </w:tc>
      </w:tr>
      <w:tr>
        <w:trPr>
          <w:jc w:val="center"/>
          <w:trHeight w:val="90"/>
        </w:trPr>
        <w:tc>
          <w:tcPr>
            <w:tcW w:w="274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★外形尺寸（长）（mm）</w:t>
            </w:r>
            <w:r/>
          </w:p>
        </w:tc>
        <w:tc>
          <w:tcPr>
            <w:tcW w:w="225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≤7960</w:t>
            </w:r>
            <w:r/>
          </w:p>
        </w:tc>
      </w:tr>
      <w:tr>
        <w:trPr>
          <w:jc w:val="center"/>
          <w:trHeight w:val="441"/>
        </w:trPr>
        <w:tc>
          <w:tcPr>
            <w:tcW w:w="274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★外形尺寸（宽）（mm）</w:t>
            </w:r>
            <w:r/>
          </w:p>
        </w:tc>
        <w:tc>
          <w:tcPr>
            <w:tcW w:w="225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≥2500</w:t>
            </w:r>
            <w:r/>
          </w:p>
        </w:tc>
      </w:tr>
      <w:tr>
        <w:trPr>
          <w:jc w:val="center"/>
          <w:trHeight w:val="441"/>
        </w:trPr>
        <w:tc>
          <w:tcPr>
            <w:tcW w:w="274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★外形尺寸（高）（mm）</w:t>
            </w:r>
            <w:r/>
          </w:p>
        </w:tc>
        <w:tc>
          <w:tcPr>
            <w:tcW w:w="225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≥3060</w:t>
            </w:r>
            <w:r/>
          </w:p>
        </w:tc>
      </w:tr>
      <w:tr>
        <w:trPr>
          <w:jc w:val="center"/>
          <w:trHeight w:val="441"/>
        </w:trPr>
        <w:tc>
          <w:tcPr>
            <w:tcW w:w="2743"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★总质量(kg)</w:t>
            </w:r>
            <w:r/>
          </w:p>
        </w:tc>
        <w:tc>
          <w:tcPr>
            <w:tcW w:w="225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≥18000</w:t>
            </w:r>
            <w:r/>
          </w:p>
        </w:tc>
      </w:tr>
      <w:tr>
        <w:trPr>
          <w:jc w:val="center"/>
          <w:trHeight w:val="441"/>
        </w:trPr>
        <w:tc>
          <w:tcPr>
            <w:tcW w:w="0" w:type="auto"/>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★整备质量(kg)</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≤7760</w:t>
            </w:r>
            <w:r/>
          </w:p>
        </w:tc>
      </w:tr>
      <w:tr>
        <w:trPr>
          <w:jc w:val="center"/>
          <w:trHeight w:val="441"/>
        </w:trPr>
        <w:tc>
          <w:tcPr>
            <w:tcW w:w="0" w:type="auto"/>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★额定质量(kg)</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≥10110</w:t>
            </w:r>
            <w:r/>
          </w:p>
        </w:tc>
      </w:tr>
      <w:tr>
        <w:trPr>
          <w:jc w:val="center"/>
          <w:trHeight w:val="441"/>
        </w:trPr>
        <w:tc>
          <w:tcPr>
            <w:tcW w:w="0" w:type="auto"/>
            <w:vAlign w:val="center"/>
            <w:textDirection w:val="lrTb"/>
            <w:noWrap w:val="false"/>
          </w:tcPr>
          <w:p>
            <w:pPr>
              <w:ind w:firstLine="480"/>
              <w:jc w:val="center"/>
              <w:spacing w:before="27"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接近角(°)</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≤13</w:t>
            </w:r>
            <w:r/>
          </w:p>
        </w:tc>
      </w:tr>
      <w:tr>
        <w:trPr>
          <w:jc w:val="center"/>
          <w:trHeight w:val="441"/>
        </w:trPr>
        <w:tc>
          <w:tcPr>
            <w:tcW w:w="0" w:type="auto"/>
            <w:vAlign w:val="center"/>
            <w:textDirection w:val="lrTb"/>
            <w:noWrap w:val="false"/>
          </w:tcPr>
          <w:p>
            <w:pPr>
              <w:ind w:firstLine="480"/>
              <w:jc w:val="center"/>
              <w:spacing w:before="27"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离去角(°)</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≥13</w:t>
            </w:r>
            <w:r/>
          </w:p>
        </w:tc>
      </w:tr>
      <w:tr>
        <w:trPr>
          <w:jc w:val="center"/>
          <w:trHeight w:val="441"/>
        </w:trPr>
        <w:tc>
          <w:tcPr>
            <w:tcW w:w="0" w:type="auto"/>
            <w:vAlign w:val="center"/>
            <w:textDirection w:val="lrTb"/>
            <w:noWrap w:val="false"/>
          </w:tcPr>
          <w:p>
            <w:pPr>
              <w:ind w:firstLine="480"/>
              <w:jc w:val="center"/>
              <w:spacing w:before="25"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前悬（mm）</w:t>
            </w:r>
            <w:r/>
          </w:p>
        </w:tc>
        <w:tc>
          <w:tcPr>
            <w:tcW w:w="0" w:type="auto"/>
            <w:textDirection w:val="lrTb"/>
            <w:noWrap w:val="false"/>
          </w:tcPr>
          <w:p>
            <w:pPr>
              <w:ind w:left="119"/>
              <w:jc w:val="center"/>
              <w:spacing w:before="37" w:line="360" w:lineRule="auto"/>
              <w:rPr>
                <w:rFonts w:hint="default" w:ascii="仿宋" w:hAnsi="仿宋" w:eastAsia="仿宋" w:cs="仿宋"/>
                <w:spacing w:val="3"/>
                <w:sz w:val="24"/>
                <w:lang w:val="en-US" w:eastAsia="zh-CN"/>
              </w:rPr>
            </w:pPr>
            <w:r>
              <w:rPr>
                <w:rFonts w:hint="eastAsia" w:ascii="仿宋" w:hAnsi="仿宋" w:eastAsia="仿宋" w:cs="仿宋"/>
                <w:spacing w:val="3"/>
                <w:sz w:val="24"/>
              </w:rPr>
              <w:t xml:space="preserve">≥</w:t>
            </w:r>
            <w:r>
              <w:rPr>
                <w:rFonts w:hint="eastAsia" w:ascii="仿宋" w:hAnsi="仿宋" w:eastAsia="仿宋" w:cs="仿宋"/>
                <w:spacing w:val="3"/>
                <w:sz w:val="24"/>
                <w:lang w:val="en-US" w:eastAsia="zh-CN"/>
              </w:rPr>
              <w:t xml:space="preserve">1360</w:t>
            </w:r>
            <w:r/>
          </w:p>
        </w:tc>
      </w:tr>
      <w:tr>
        <w:trPr>
          <w:jc w:val="center"/>
          <w:trHeight w:val="441"/>
        </w:trPr>
        <w:tc>
          <w:tcPr>
            <w:tcW w:w="0" w:type="auto"/>
            <w:vAlign w:val="center"/>
            <w:textDirection w:val="lrTb"/>
            <w:noWrap w:val="false"/>
          </w:tcPr>
          <w:p>
            <w:pPr>
              <w:ind w:firstLine="480"/>
              <w:jc w:val="center"/>
              <w:spacing w:before="25"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后悬（mm）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≥2050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highlight w:val="none"/>
                <w:lang w:val="zh-CN" w:bidi="zh-CN"/>
              </w:rPr>
            </w:pPr>
            <w:r>
              <w:rPr>
                <w:rFonts w:hint="eastAsia" w:ascii="仿宋" w:hAnsi="仿宋" w:eastAsia="仿宋" w:cs="仿宋"/>
                <w:spacing w:val="3"/>
                <w:sz w:val="24"/>
                <w:highlight w:val="none"/>
              </w:rPr>
              <w:t xml:space="preserve">最高车速(km/h)</w:t>
            </w:r>
            <w:r/>
          </w:p>
        </w:tc>
        <w:tc>
          <w:tcPr>
            <w:tcW w:w="0" w:type="auto"/>
            <w:textDirection w:val="lrTb"/>
            <w:noWrap w:val="false"/>
          </w:tcPr>
          <w:p>
            <w:pPr>
              <w:ind w:left="119"/>
              <w:jc w:val="center"/>
              <w:spacing w:before="37" w:line="360" w:lineRule="auto"/>
              <w:rPr>
                <w:rFonts w:hint="default" w:ascii="仿宋" w:hAnsi="仿宋" w:eastAsia="仿宋" w:cs="仿宋"/>
                <w:spacing w:val="3"/>
                <w:sz w:val="24"/>
                <w:highlight w:val="none"/>
                <w:lang w:val="en-US" w:eastAsia="zh-CN"/>
              </w:rPr>
            </w:pPr>
            <w:r>
              <w:rPr>
                <w:rFonts w:hint="eastAsia" w:ascii="仿宋" w:hAnsi="仿宋" w:eastAsia="仿宋" w:cs="仿宋"/>
                <w:spacing w:val="3"/>
                <w:sz w:val="24"/>
                <w:highlight w:val="none"/>
              </w:rPr>
              <w:t xml:space="preserve">≥</w:t>
            </w:r>
            <w:r>
              <w:rPr>
                <w:rFonts w:hint="eastAsia" w:ascii="仿宋" w:hAnsi="仿宋" w:eastAsia="仿宋" w:cs="仿宋"/>
                <w:spacing w:val="3"/>
                <w:sz w:val="24"/>
                <w:highlight w:val="none"/>
                <w:lang w:val="en-US" w:eastAsia="zh-CN"/>
              </w:rPr>
              <w:t xml:space="preserve">80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罐体容积（m³）</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驱动电机额定功率（kw）</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≥120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驱动电机峰值功率（kw）</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≥240</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储能装置种类</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磷酸铁锂蓄电池</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总储电量（kWh）</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w:t>
            </w:r>
            <w:r>
              <w:rPr>
                <w:rFonts w:hint="eastAsia" w:ascii="仿宋" w:hAnsi="仿宋" w:eastAsia="仿宋" w:cs="仿宋"/>
                <w:spacing w:val="3"/>
                <w:sz w:val="24"/>
                <w:lang w:val="en-US" w:eastAsia="zh-CN"/>
              </w:rPr>
              <w:t xml:space="preserve">3</w:t>
            </w:r>
            <w:r>
              <w:rPr>
                <w:rFonts w:hint="eastAsia" w:ascii="仿宋" w:hAnsi="仿宋" w:eastAsia="仿宋" w:cs="仿宋"/>
                <w:spacing w:val="3"/>
                <w:sz w:val="24"/>
              </w:rPr>
              <w:t xml:space="preserve">0</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最小转弯直径 (m)</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≤24</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最小离地间隙 (mm)</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≥240</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对冲冲洗宽度 （m）</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≥24</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后洒水架洒水宽度（m）</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≥14</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水炮射程（m）</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≥50</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鸭嘴洒水宽度(mm</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≥10</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最大清洗流量(L/min)</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≥140</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高压水泵最大压力 (MPa)</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≥10</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清洗宽度(m)</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≥3.8</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清洗水压力在额定时保持5min,水</w:t>
            </w:r>
            <w:r/>
          </w:p>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路系统应无渗漏。</w:t>
            </w:r>
            <w:r/>
          </w:p>
        </w:tc>
        <w:tc>
          <w:tcPr>
            <w:tcW w:w="2256"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无渗漏</w:t>
            </w:r>
            <w:r/>
          </w:p>
        </w:tc>
      </w:tr>
      <w:tr>
        <w:trPr>
          <w:jc w:val="center"/>
          <w:trHeight w:val="441"/>
        </w:trPr>
        <w:tc>
          <w:tcPr>
            <w:tcW w:w="2743"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highlight w:val="none"/>
              </w:rPr>
              <w:t xml:space="preserve">轴距（mm）</w:t>
            </w:r>
            <w:r/>
          </w:p>
        </w:tc>
        <w:tc>
          <w:tcPr>
            <w:tcW w:w="2256"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highlight w:val="none"/>
                <w:lang w:val="en-US" w:eastAsia="zh-CN"/>
              </w:rPr>
              <w:t xml:space="preserve">≤4500</w:t>
            </w:r>
            <w:r/>
          </w:p>
        </w:tc>
      </w:tr>
      <w:tr>
        <w:trPr>
          <w:jc w:val="center"/>
          <w:trHeight w:val="441"/>
        </w:trPr>
        <w:tc>
          <w:tcPr>
            <w:gridSpan w:val="2"/>
            <w:tcW w:w="500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以上技术参数提供工业和信息化部装备工业发展中心中道路机动车辆生产企业及产品信息综合查询系统的公告查询数据截图或提供带有CMA、CNAS标志的试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tcW w:w="0" w:type="auto"/>
            <w:vAlign w:val="center"/>
            <w:textDirection w:val="lrTb"/>
            <w:noWrap w:val="false"/>
          </w:tcPr>
          <w:p>
            <w:pPr>
              <w:ind w:firstLine="420"/>
              <w:jc w:val="center"/>
              <w:spacing w:before="27" w:line="360" w:lineRule="auto"/>
              <w:rPr>
                <w:rFonts w:hint="eastAsia" w:ascii="仿宋" w:hAnsi="仿宋" w:eastAsia="仿宋" w:cs="仿宋"/>
                <w:spacing w:val="3"/>
                <w:sz w:val="24"/>
              </w:rPr>
            </w:pPr>
            <w:r>
              <w:rPr>
                <w:rFonts w:hint="eastAsia" w:ascii="仿宋" w:hAnsi="仿宋" w:eastAsia="仿宋" w:cs="仿宋"/>
              </w:rPr>
              <w:t xml:space="preserve">最大爬坡度（%）</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≥15</w:t>
            </w:r>
            <w:r/>
          </w:p>
        </w:tc>
      </w:tr>
      <w:tr>
        <w:trPr>
          <w:jc w:val="center"/>
          <w:trHeight w:val="441"/>
        </w:trPr>
        <w:tc>
          <w:tcPr>
            <w:tcW w:w="0" w:type="auto"/>
            <w:vAlign w:val="center"/>
            <w:textDirection w:val="lrTb"/>
            <w:noWrap w:val="false"/>
          </w:tcPr>
          <w:p>
            <w:pPr>
              <w:ind w:firstLine="420"/>
              <w:jc w:val="center"/>
              <w:spacing w:before="27" w:line="360" w:lineRule="auto"/>
              <w:rPr>
                <w:rFonts w:hint="eastAsia" w:ascii="仿宋" w:hAnsi="仿宋" w:eastAsia="仿宋" w:cs="仿宋"/>
                <w:spacing w:val="3"/>
                <w:sz w:val="24"/>
              </w:rPr>
            </w:pPr>
            <w:r>
              <w:rPr>
                <w:rFonts w:hint="eastAsia" w:ascii="仿宋" w:hAnsi="仿宋" w:eastAsia="仿宋" w:cs="仿宋"/>
              </w:rPr>
              <w:t xml:space="preserve">水罐总容量（m³）</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≥10</w:t>
            </w:r>
            <w:r/>
          </w:p>
        </w:tc>
      </w:tr>
      <w:tr>
        <w:trPr>
          <w:jc w:val="center"/>
          <w:trHeight w:val="441"/>
        </w:trPr>
        <w:tc>
          <w:tcPr>
            <w:tcW w:w="0" w:type="auto"/>
            <w:vAlign w:val="center"/>
            <w:textDirection w:val="lrTb"/>
            <w:noWrap w:val="false"/>
          </w:tcPr>
          <w:p>
            <w:pPr>
              <w:ind w:firstLine="420"/>
              <w:jc w:val="center"/>
              <w:spacing w:before="27" w:line="360" w:lineRule="auto"/>
              <w:rPr>
                <w:rFonts w:hint="eastAsia" w:ascii="仿宋" w:hAnsi="仿宋" w:eastAsia="仿宋" w:cs="仿宋"/>
                <w:spacing w:val="3"/>
                <w:sz w:val="24"/>
              </w:rPr>
            </w:pPr>
            <w:r>
              <w:rPr>
                <w:rFonts w:hint="eastAsia" w:ascii="仿宋" w:hAnsi="仿宋" w:eastAsia="仿宋" w:cs="仿宋"/>
              </w:rPr>
              <w:t xml:space="preserve">水罐有效容积（m³）</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≥9.5</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前轮距（mm）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≥1900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后轮距（mm）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≥1860</w:t>
            </w:r>
            <w:r/>
          </w:p>
        </w:tc>
      </w:tr>
    </w:tbl>
    <w:p>
      <w:pPr>
        <w:ind w:left="119"/>
        <w:jc w:val="left"/>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（2）性能配置要求</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1. 具有前冲鸭嘴喷头冲洗、后洒水作业、水炮远程冲洗、辅助消防、水炮花洒、浇灌功能、绿化浇灌、喷雾降尘、低压卷盘冲洗等多种功能。</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2. 配备缺水报警、防止水泵无水运转的电气系统。水罐水位低于设计位置时，系统发出缺水报警提示，并自动停止低压水泵运转，防止水泵无水干烧。</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3. 配备低温环境下管路放水装置。水路系统各个低位设置有放水球阀。</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4. 省电劲足，采用“电机直驱+低滚阻胎”，同时兼顾经济性和动力性。</w:t>
      </w:r>
      <w:r>
        <w:rPr>
          <w:rFonts w:hint="eastAsia" w:ascii="仿宋" w:hAnsi="仿宋" w:eastAsia="仿宋" w:cs="仿宋"/>
          <w:color w:val="000000"/>
          <w:sz w:val="24"/>
        </w:rPr>
        <w:br/>
      </w:r>
      <w:r>
        <w:rPr>
          <w:rFonts w:hint="eastAsia" w:ascii="仿宋" w:hAnsi="仿宋" w:eastAsia="仿宋" w:cs="仿宋"/>
          <w:color w:val="000000"/>
          <w:sz w:val="24"/>
        </w:rPr>
        <w:t xml:space="preserve">5. 本车作业操作装置在驾驶室内，位于驾驶员右侧。打开底盘钥匙开关后，位于左上角的显示屏显示初始界面，停顿数秒后自动切换至主界面。</w:t>
      </w:r>
      <w:r/>
    </w:p>
    <w:p>
      <w:pPr>
        <w:ind w:firstLine="480"/>
        <w:spacing w:line="360" w:lineRule="auto"/>
        <w:rPr>
          <w:rFonts w:hint="eastAsia" w:ascii="仿宋" w:hAnsi="仿宋" w:eastAsia="仿宋" w:cs="仿宋"/>
          <w:color w:val="000000"/>
          <w:sz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rPr>
        <w:t xml:space="preserve">6. 显示屏周围设置了不同功能的旋钮开关，每一个开关的所有挡位都有文字注解，说明了开关位置的具体指令，简单易用。</w:t>
      </w:r>
      <w:r/>
    </w:p>
    <w:p>
      <w:pPr>
        <w:pStyle w:val="651"/>
        <w:ind w:firstLine="480"/>
        <w:rPr>
          <w:rFonts w:hint="eastAsia" w:ascii="仿宋" w:hAnsi="仿宋" w:eastAsia="仿宋" w:cs="仿宋"/>
        </w:rPr>
      </w:pPr>
      <w:r>
        <w:rPr>
          <w:rFonts w:hint="eastAsia" w:ascii="仿宋" w:hAnsi="仿宋" w:eastAsia="仿宋" w:cs="仿宋"/>
          <w:bCs w:val="0"/>
          <w:sz w:val="24"/>
        </w:rPr>
        <w:t xml:space="preserve">7. 提供智慧环卫装备管理平台使用服务。</w:t>
      </w:r>
      <w:r/>
    </w:p>
    <w:p>
      <w:pPr>
        <w:rPr>
          <w:rFonts w:hint="eastAsia" w:ascii="仿宋" w:hAnsi="仿宋" w:eastAsia="仿宋" w:cs="仿宋"/>
          <w:b/>
          <w:bCs/>
          <w:color w:val="auto"/>
          <w:sz w:val="24"/>
        </w:rPr>
      </w:pPr>
      <w:r>
        <w:rPr>
          <w:rFonts w:hint="eastAsia" w:ascii="仿宋" w:hAnsi="仿宋" w:eastAsia="仿宋" w:cs="仿宋"/>
          <w:b/>
          <w:bCs/>
          <w:color w:val="auto"/>
          <w:sz w:val="24"/>
        </w:rPr>
        <w:br w:type="page" w:clear="all"/>
      </w:r>
      <w:r/>
    </w:p>
    <w:p>
      <w:pPr>
        <w:spacing w:before="181" w:line="360" w:lineRule="auto"/>
        <w:rPr>
          <w:rFonts w:hint="eastAsia" w:ascii="仿宋" w:hAnsi="仿宋" w:eastAsia="仿宋" w:cs="仿宋"/>
          <w:b/>
          <w:bCs/>
          <w:color w:val="auto"/>
          <w:sz w:val="24"/>
        </w:rPr>
      </w:pPr>
      <w:r>
        <w:rPr>
          <w:rFonts w:hint="eastAsia" w:ascii="仿宋" w:hAnsi="仿宋" w:eastAsia="仿宋" w:cs="仿宋"/>
          <w:b/>
          <w:bCs/>
          <w:color w:val="auto"/>
          <w:sz w:val="24"/>
        </w:rPr>
        <w:t xml:space="preserve">采购包二：</w:t>
      </w:r>
      <w:r/>
    </w:p>
    <w:p>
      <w:pPr>
        <w:spacing w:after="120"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31吨新能源勾臂车（纯电动车厢可卸式垃圾车）</w:t>
      </w:r>
      <w:r/>
    </w:p>
    <w:p>
      <w:pPr>
        <w:spacing w:after="120" w:line="360" w:lineRule="auto"/>
        <w:rPr>
          <w:rFonts w:hint="eastAsia" w:ascii="仿宋" w:hAnsi="仿宋" w:eastAsia="仿宋" w:cs="仿宋"/>
          <w:color w:val="auto"/>
          <w:sz w:val="24"/>
        </w:rPr>
      </w:pPr>
      <w:r>
        <w:rPr>
          <w:rFonts w:hint="eastAsia" w:ascii="仿宋" w:hAnsi="仿宋" w:eastAsia="仿宋" w:cs="仿宋"/>
          <w:color w:val="auto"/>
          <w:sz w:val="24"/>
        </w:rPr>
        <w:t xml:space="preserve">（1）技术参数要求</w:t>
      </w:r>
      <w:r/>
    </w:p>
    <w:tbl>
      <w:tblPr>
        <w:tblStyle w:val="971"/>
        <w:tblW w:w="520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568"/>
        <w:gridCol w:w="4588"/>
      </w:tblGrid>
      <w:tr>
        <w:trPr>
          <w:jc w:val="center"/>
          <w:trHeight w:val="441"/>
        </w:trPr>
        <w:tc>
          <w:tcPr>
            <w:tcW w:w="2741"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项目</w:t>
            </w:r>
            <w:r/>
          </w:p>
        </w:tc>
        <w:tc>
          <w:tcPr>
            <w:tcW w:w="2258"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参数</w:t>
            </w:r>
            <w:r/>
          </w:p>
        </w:tc>
      </w:tr>
      <w:tr>
        <w:trPr>
          <w:jc w:val="center"/>
          <w:trHeight w:val="90"/>
        </w:trPr>
        <w:tc>
          <w:tcPr>
            <w:tcW w:w="2741"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★外形尺寸（长）（mm）</w:t>
            </w:r>
            <w:r/>
          </w:p>
        </w:tc>
        <w:tc>
          <w:tcPr>
            <w:tcW w:w="2258"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≤9460</w:t>
            </w:r>
            <w:r/>
          </w:p>
        </w:tc>
      </w:tr>
      <w:tr>
        <w:trPr>
          <w:jc w:val="center"/>
          <w:trHeight w:val="441"/>
        </w:trPr>
        <w:tc>
          <w:tcPr>
            <w:tcW w:w="2741"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★外形尺寸（宽）（mm）</w:t>
            </w:r>
            <w:r/>
          </w:p>
        </w:tc>
        <w:tc>
          <w:tcPr>
            <w:tcW w:w="2258"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≤2530</w:t>
            </w:r>
            <w:r/>
          </w:p>
        </w:tc>
      </w:tr>
      <w:tr>
        <w:trPr>
          <w:jc w:val="center"/>
          <w:trHeight w:val="441"/>
        </w:trPr>
        <w:tc>
          <w:tcPr>
            <w:tcW w:w="2741"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★外形尺寸（高）（mm）</w:t>
            </w:r>
            <w:r/>
          </w:p>
        </w:tc>
        <w:tc>
          <w:tcPr>
            <w:tcW w:w="2258"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≤3060</w:t>
            </w:r>
            <w:r/>
          </w:p>
        </w:tc>
      </w:tr>
      <w:tr>
        <w:trPr>
          <w:jc w:val="center"/>
          <w:trHeight w:val="441"/>
        </w:trPr>
        <w:tc>
          <w:tcPr>
            <w:tcW w:w="2741"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★总质量(kg)</w:t>
            </w:r>
            <w:r/>
          </w:p>
        </w:tc>
        <w:tc>
          <w:tcPr>
            <w:tcW w:w="2258"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≥31000</w:t>
            </w:r>
            <w:r/>
          </w:p>
        </w:tc>
      </w:tr>
      <w:tr>
        <w:trPr>
          <w:jc w:val="center"/>
          <w:trHeight w:val="441"/>
        </w:trPr>
        <w:tc>
          <w:tcPr>
            <w:tcW w:w="0" w:type="auto"/>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★整备质量(kg)</w:t>
            </w:r>
            <w:r/>
          </w:p>
        </w:tc>
        <w:tc>
          <w:tcPr>
            <w:tcW w:w="0" w:type="auto"/>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≤14350</w:t>
            </w:r>
            <w:r/>
          </w:p>
        </w:tc>
      </w:tr>
      <w:tr>
        <w:trPr>
          <w:jc w:val="center"/>
          <w:trHeight w:val="441"/>
        </w:trPr>
        <w:tc>
          <w:tcPr>
            <w:tcW w:w="0" w:type="auto"/>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★额定质量(kg)</w:t>
            </w:r>
            <w:r/>
          </w:p>
        </w:tc>
        <w:tc>
          <w:tcPr>
            <w:tcW w:w="0" w:type="auto"/>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≤16520</w:t>
            </w:r>
            <w:r/>
          </w:p>
        </w:tc>
      </w:tr>
      <w:tr>
        <w:trPr>
          <w:jc w:val="center"/>
          <w:trHeight w:val="441"/>
        </w:trPr>
        <w:tc>
          <w:tcPr>
            <w:tcW w:w="0" w:type="auto"/>
            <w:vAlign w:val="center"/>
            <w:textDirection w:val="lrTb"/>
            <w:noWrap w:val="false"/>
          </w:tcPr>
          <w:p>
            <w:pPr>
              <w:ind w:firstLine="480"/>
              <w:jc w:val="center"/>
              <w:spacing w:before="27" w:line="360" w:lineRule="auto"/>
              <w:rPr>
                <w:rFonts w:hint="eastAsia" w:ascii="仿宋" w:hAnsi="仿宋" w:eastAsia="仿宋" w:cs="仿宋"/>
                <w:color w:val="auto"/>
                <w:spacing w:val="3"/>
                <w:sz w:val="24"/>
                <w:lang w:val="zh-CN" w:bidi="zh-CN"/>
              </w:rPr>
            </w:pPr>
            <w:r>
              <w:rPr>
                <w:rFonts w:hint="eastAsia" w:ascii="仿宋" w:hAnsi="仿宋" w:eastAsia="仿宋" w:cs="仿宋"/>
                <w:color w:val="auto"/>
                <w:sz w:val="24"/>
              </w:rPr>
              <w:t xml:space="preserve">▲</w:t>
            </w:r>
            <w:r>
              <w:rPr>
                <w:rFonts w:hint="eastAsia" w:ascii="仿宋" w:hAnsi="仿宋" w:eastAsia="仿宋" w:cs="仿宋"/>
                <w:color w:val="auto"/>
                <w:spacing w:val="3"/>
                <w:sz w:val="24"/>
              </w:rPr>
              <w:t xml:space="preserve">接近角(°)</w:t>
            </w:r>
            <w:r/>
          </w:p>
        </w:tc>
        <w:tc>
          <w:tcPr>
            <w:tcW w:w="0" w:type="auto"/>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≤15</w:t>
            </w:r>
            <w:r/>
          </w:p>
        </w:tc>
      </w:tr>
      <w:tr>
        <w:trPr>
          <w:jc w:val="center"/>
          <w:trHeight w:val="441"/>
        </w:trPr>
        <w:tc>
          <w:tcPr>
            <w:tcW w:w="0" w:type="auto"/>
            <w:vAlign w:val="center"/>
            <w:textDirection w:val="lrTb"/>
            <w:noWrap w:val="false"/>
          </w:tcPr>
          <w:p>
            <w:pPr>
              <w:ind w:firstLine="480"/>
              <w:jc w:val="center"/>
              <w:spacing w:before="27" w:line="360" w:lineRule="auto"/>
              <w:rPr>
                <w:rFonts w:hint="eastAsia" w:ascii="仿宋" w:hAnsi="仿宋" w:eastAsia="仿宋" w:cs="仿宋"/>
                <w:color w:val="auto"/>
                <w:spacing w:val="3"/>
                <w:sz w:val="24"/>
                <w:lang w:val="zh-CN" w:bidi="zh-CN"/>
              </w:rPr>
            </w:pPr>
            <w:r>
              <w:rPr>
                <w:rFonts w:hint="eastAsia" w:ascii="仿宋" w:hAnsi="仿宋" w:eastAsia="仿宋" w:cs="仿宋"/>
                <w:color w:val="auto"/>
                <w:sz w:val="24"/>
              </w:rPr>
              <w:t xml:space="preserve">▲</w:t>
            </w:r>
            <w:r>
              <w:rPr>
                <w:rFonts w:hint="eastAsia" w:ascii="仿宋" w:hAnsi="仿宋" w:eastAsia="仿宋" w:cs="仿宋"/>
                <w:color w:val="auto"/>
                <w:spacing w:val="3"/>
                <w:sz w:val="24"/>
              </w:rPr>
              <w:t xml:space="preserve">离去角(°)</w:t>
            </w:r>
            <w:r/>
          </w:p>
        </w:tc>
        <w:tc>
          <w:tcPr>
            <w:tcW w:w="0" w:type="auto"/>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≥20</w:t>
            </w:r>
            <w:r/>
          </w:p>
        </w:tc>
      </w:tr>
      <w:tr>
        <w:trPr>
          <w:jc w:val="center"/>
          <w:trHeight w:val="441"/>
        </w:trPr>
        <w:tc>
          <w:tcPr>
            <w:tcW w:w="0" w:type="auto"/>
            <w:vAlign w:val="center"/>
            <w:textDirection w:val="lrTb"/>
            <w:noWrap w:val="false"/>
          </w:tcPr>
          <w:p>
            <w:pPr>
              <w:ind w:firstLine="480"/>
              <w:jc w:val="center"/>
              <w:spacing w:before="25" w:line="360" w:lineRule="auto"/>
              <w:rPr>
                <w:rFonts w:hint="eastAsia" w:ascii="仿宋" w:hAnsi="仿宋" w:eastAsia="仿宋" w:cs="仿宋"/>
                <w:color w:val="auto"/>
                <w:spacing w:val="3"/>
                <w:sz w:val="24"/>
                <w:lang w:val="zh-CN" w:bidi="zh-CN"/>
              </w:rPr>
            </w:pPr>
            <w:r>
              <w:rPr>
                <w:rFonts w:hint="eastAsia" w:ascii="仿宋" w:hAnsi="仿宋" w:eastAsia="仿宋" w:cs="仿宋"/>
                <w:color w:val="auto"/>
                <w:sz w:val="24"/>
              </w:rPr>
              <w:t xml:space="preserve">▲</w:t>
            </w:r>
            <w:r>
              <w:rPr>
                <w:rFonts w:hint="eastAsia" w:ascii="仿宋" w:hAnsi="仿宋" w:eastAsia="仿宋" w:cs="仿宋"/>
                <w:color w:val="auto"/>
                <w:spacing w:val="3"/>
                <w:sz w:val="24"/>
              </w:rPr>
              <w:t xml:space="preserve">前悬（mm）</w:t>
            </w:r>
            <w:r/>
          </w:p>
        </w:tc>
        <w:tc>
          <w:tcPr>
            <w:tcW w:w="0" w:type="auto"/>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≤1320</w:t>
            </w:r>
            <w:r/>
          </w:p>
        </w:tc>
      </w:tr>
      <w:tr>
        <w:trPr>
          <w:jc w:val="center"/>
          <w:trHeight w:val="441"/>
        </w:trPr>
        <w:tc>
          <w:tcPr>
            <w:tcW w:w="0" w:type="auto"/>
            <w:vAlign w:val="center"/>
            <w:textDirection w:val="lrTb"/>
            <w:noWrap w:val="false"/>
          </w:tcPr>
          <w:p>
            <w:pPr>
              <w:ind w:firstLine="480"/>
              <w:jc w:val="center"/>
              <w:spacing w:before="25" w:line="360" w:lineRule="auto"/>
              <w:rPr>
                <w:rFonts w:hint="eastAsia" w:ascii="仿宋" w:hAnsi="仿宋" w:eastAsia="仿宋" w:cs="仿宋"/>
                <w:color w:val="auto"/>
                <w:spacing w:val="3"/>
                <w:sz w:val="24"/>
                <w:highlight w:val="none"/>
                <w:lang w:val="zh-CN" w:bidi="zh-CN"/>
              </w:rPr>
            </w:pPr>
            <w:r>
              <w:rPr>
                <w:rFonts w:hint="eastAsia" w:ascii="仿宋" w:hAnsi="仿宋" w:eastAsia="仿宋" w:cs="仿宋"/>
                <w:color w:val="auto"/>
                <w:sz w:val="24"/>
                <w:highlight w:val="none"/>
              </w:rPr>
              <w:t xml:space="preserve">▲</w:t>
            </w:r>
            <w:r>
              <w:rPr>
                <w:rFonts w:hint="eastAsia" w:ascii="仿宋" w:hAnsi="仿宋" w:eastAsia="仿宋" w:cs="仿宋"/>
                <w:color w:val="auto"/>
                <w:spacing w:val="3"/>
                <w:sz w:val="24"/>
                <w:highlight w:val="none"/>
              </w:rPr>
              <w:t xml:space="preserve">后悬（mm）</w:t>
            </w:r>
            <w:r/>
          </w:p>
        </w:tc>
        <w:tc>
          <w:tcPr>
            <w:tcW w:w="0" w:type="auto"/>
            <w:textDirection w:val="lrTb"/>
            <w:noWrap w:val="false"/>
          </w:tcPr>
          <w:p>
            <w:pPr>
              <w:ind w:left="119"/>
              <w:jc w:val="center"/>
              <w:spacing w:before="37" w:line="360" w:lineRule="auto"/>
              <w:rPr>
                <w:rFonts w:hint="default" w:ascii="仿宋" w:hAnsi="仿宋" w:eastAsia="仿宋" w:cs="仿宋"/>
                <w:color w:val="auto"/>
                <w:spacing w:val="3"/>
                <w:sz w:val="24"/>
                <w:highlight w:val="none"/>
                <w:lang w:val="en-US" w:eastAsia="zh-CN"/>
              </w:rPr>
            </w:pPr>
            <w:r>
              <w:rPr>
                <w:rFonts w:hint="eastAsia" w:ascii="仿宋" w:hAnsi="仿宋" w:eastAsia="仿宋" w:cs="仿宋"/>
                <w:color w:val="auto"/>
                <w:spacing w:val="3"/>
                <w:sz w:val="24"/>
                <w:highlight w:val="none"/>
              </w:rPr>
              <w:t xml:space="preserve">≤</w:t>
            </w:r>
            <w:r>
              <w:rPr>
                <w:rFonts w:hint="eastAsia" w:ascii="仿宋" w:hAnsi="仿宋" w:eastAsia="仿宋" w:cs="仿宋"/>
                <w:color w:val="auto"/>
                <w:spacing w:val="3"/>
                <w:sz w:val="24"/>
                <w:highlight w:val="none"/>
                <w:lang w:val="en-US" w:eastAsia="zh-CN"/>
              </w:rPr>
              <w:t xml:space="preserve">1340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lang w:val="zh-CN" w:bidi="zh-CN"/>
              </w:rPr>
            </w:pPr>
            <w:r>
              <w:rPr>
                <w:rFonts w:hint="eastAsia" w:ascii="仿宋" w:hAnsi="仿宋" w:eastAsia="仿宋" w:cs="仿宋"/>
                <w:color w:val="auto"/>
                <w:spacing w:val="3"/>
                <w:sz w:val="24"/>
                <w:highlight w:val="none"/>
              </w:rPr>
              <w:t xml:space="preserve">最高车速(km/h)</w:t>
            </w:r>
            <w:r/>
          </w:p>
        </w:tc>
        <w:tc>
          <w:tcPr>
            <w:tcW w:w="0" w:type="auto"/>
            <w:textDirection w:val="lrTb"/>
            <w:noWrap w:val="false"/>
          </w:tcPr>
          <w:p>
            <w:pPr>
              <w:ind w:left="119"/>
              <w:jc w:val="center"/>
              <w:spacing w:before="37" w:line="360" w:lineRule="auto"/>
              <w:rPr>
                <w:rFonts w:hint="default" w:ascii="仿宋" w:hAnsi="仿宋" w:eastAsia="仿宋" w:cs="仿宋"/>
                <w:color w:val="auto"/>
                <w:spacing w:val="3"/>
                <w:sz w:val="24"/>
                <w:highlight w:val="none"/>
                <w:lang w:val="en-US" w:eastAsia="zh-CN"/>
              </w:rPr>
            </w:pPr>
            <w:r>
              <w:rPr>
                <w:rFonts w:hint="eastAsia" w:ascii="仿宋" w:hAnsi="仿宋" w:eastAsia="仿宋" w:cs="仿宋"/>
                <w:color w:val="auto"/>
                <w:spacing w:val="3"/>
                <w:sz w:val="24"/>
                <w:highlight w:val="none"/>
              </w:rPr>
              <w:t xml:space="preserve">≥</w:t>
            </w:r>
            <w:r>
              <w:rPr>
                <w:rFonts w:hint="eastAsia" w:ascii="仿宋" w:hAnsi="仿宋" w:eastAsia="仿宋" w:cs="仿宋"/>
                <w:color w:val="auto"/>
                <w:spacing w:val="3"/>
                <w:sz w:val="24"/>
                <w:highlight w:val="none"/>
                <w:lang w:val="en-US" w:eastAsia="zh-CN"/>
              </w:rPr>
              <w:t xml:space="preserve">95</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总储电量（kWh）</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≥3</w:t>
            </w:r>
            <w:r>
              <w:rPr>
                <w:rFonts w:hint="eastAsia" w:ascii="仿宋" w:hAnsi="仿宋" w:eastAsia="仿宋" w:cs="仿宋"/>
                <w:color w:val="auto"/>
                <w:spacing w:val="3"/>
                <w:sz w:val="24"/>
                <w:lang w:val="en-US" w:eastAsia="zh-CN"/>
              </w:rPr>
              <w:t xml:space="preserve">20</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驱动电机额定功率（kw）</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≥160</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驱动电机峰值功率（kw）</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≥240</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储能装置种类</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磷酸铁锂蓄电池</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储能装置总成标称电压（V）</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≥650</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最小转弯直径 (m)</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≥20</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最小离地间隙 (mm)</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≥300</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最大卸料角（°）</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≥43</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装箱作业（S）</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≤60</w:t>
            </w:r>
            <w:r/>
          </w:p>
        </w:tc>
      </w:tr>
      <w:tr>
        <w:trPr>
          <w:jc w:val="center"/>
          <w:trHeight w:val="441"/>
        </w:trPr>
        <w:tc>
          <w:tcPr>
            <w:tcW w:w="2741" w:type="pct"/>
            <w:vAlign w:val="center"/>
            <w:textDirection w:val="lrTb"/>
            <w:noWrap w:val="false"/>
          </w:tcPr>
          <w:p>
            <w:pPr>
              <w:ind w:firstLine="492"/>
              <w:jc w:val="center"/>
              <w:spacing w:before="2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轴距（mm）</w:t>
            </w:r>
            <w:r/>
          </w:p>
        </w:tc>
        <w:tc>
          <w:tcPr>
            <w:tcW w:w="2258" w:type="pct"/>
            <w:vAlign w:val="top"/>
            <w:textDirection w:val="lrTb"/>
            <w:noWrap w:val="false"/>
          </w:tcPr>
          <w:p>
            <w:pPr>
              <w:ind w:left="119"/>
              <w:jc w:val="center"/>
              <w:spacing w:before="37" w:line="360" w:lineRule="auto"/>
              <w:rPr>
                <w:rFonts w:hint="eastAsia" w:ascii="仿宋" w:hAnsi="仿宋" w:eastAsia="仿宋" w:cs="仿宋"/>
                <w:color w:val="auto"/>
                <w:spacing w:val="3"/>
                <w:sz w:val="24"/>
                <w:highlight w:val="none"/>
              </w:rPr>
            </w:pPr>
            <w:r>
              <w:rPr>
                <w:rFonts w:hint="eastAsia" w:ascii="仿宋" w:hAnsi="仿宋" w:eastAsia="仿宋" w:cs="仿宋"/>
                <w:color w:val="auto"/>
                <w:spacing w:val="3"/>
                <w:sz w:val="24"/>
              </w:rPr>
              <w:t xml:space="preserve">≤</w:t>
            </w:r>
            <w:r>
              <w:rPr>
                <w:rFonts w:hint="eastAsia" w:ascii="仿宋" w:hAnsi="仿宋" w:eastAsia="仿宋" w:cs="仿宋"/>
                <w:color w:val="auto"/>
                <w:spacing w:val="3"/>
                <w:sz w:val="24"/>
                <w:lang w:val="en-US" w:eastAsia="zh-CN"/>
              </w:rPr>
              <w:t xml:space="preserve">1800</w:t>
            </w:r>
            <w:r>
              <w:rPr>
                <w:rFonts w:hint="eastAsia" w:ascii="仿宋" w:hAnsi="仿宋" w:eastAsia="仿宋" w:cs="仿宋"/>
                <w:color w:val="auto"/>
                <w:spacing w:val="3"/>
                <w:sz w:val="24"/>
              </w:rPr>
              <w:t xml:space="preserve">+3450+1350</w:t>
            </w:r>
            <w:r/>
          </w:p>
        </w:tc>
      </w:tr>
      <w:tr>
        <w:trPr>
          <w:jc w:val="center"/>
          <w:trHeight w:val="441"/>
        </w:trPr>
        <w:tc>
          <w:tcPr>
            <w:gridSpan w:val="2"/>
            <w:tcW w:w="5000" w:type="pct"/>
            <w:vAlign w:val="center"/>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以上技术参数提供工业和信息化部装备工业发展中心中道路机动车辆生产企业及产品信息综合查询系统的公告查询数据截图或提供带有CMA、CNAS标志的试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钩心高度（mm）</w:t>
            </w:r>
            <w:r/>
          </w:p>
        </w:tc>
        <w:tc>
          <w:tcPr>
            <w:tcW w:w="0" w:type="auto"/>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≥1570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钩心到后滚轮中心距离（拉臂长度）（mm）</w:t>
            </w:r>
            <w:r/>
          </w:p>
        </w:tc>
        <w:tc>
          <w:tcPr>
            <w:tcW w:w="0" w:type="auto"/>
            <w:vAlign w:val="center"/>
            <w:textDirection w:val="lrTb"/>
            <w:noWrap w:val="false"/>
          </w:tcPr>
          <w:p>
            <w:pPr>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≥5350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水平移动距离（mm）</w:t>
            </w:r>
            <w:r/>
          </w:p>
        </w:tc>
        <w:tc>
          <w:tcPr>
            <w:tcW w:w="0" w:type="auto"/>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≥1150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钩臂系统最大起重能力（t）</w:t>
            </w:r>
            <w:r/>
          </w:p>
        </w:tc>
        <w:tc>
          <w:tcPr>
            <w:tcW w:w="0" w:type="auto"/>
            <w:textDirection w:val="lrTb"/>
            <w:noWrap w:val="false"/>
          </w:tcPr>
          <w:p>
            <w:pPr>
              <w:ind w:left="119"/>
              <w:jc w:val="center"/>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≥20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装箱工作时间（s）</w:t>
            </w:r>
            <w:r/>
          </w:p>
        </w:tc>
        <w:tc>
          <w:tcPr>
            <w:tcW w:w="2258" w:type="pct"/>
            <w:vAlign w:val="center"/>
            <w:textDirection w:val="lrTb"/>
            <w:noWrap w:val="false"/>
          </w:tcPr>
          <w:p>
            <w:pPr>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≤60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卸箱工作时间（s）</w:t>
            </w:r>
            <w:r/>
          </w:p>
        </w:tc>
        <w:tc>
          <w:tcPr>
            <w:tcW w:w="2258" w:type="pct"/>
            <w:vAlign w:val="center"/>
            <w:textDirection w:val="lrTb"/>
            <w:noWrap w:val="false"/>
          </w:tcPr>
          <w:p>
            <w:pPr>
              <w:jc w:val="center"/>
              <w:spacing w:before="2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≤72</w:t>
            </w:r>
            <w:r/>
          </w:p>
        </w:tc>
      </w:tr>
    </w:tbl>
    <w:p>
      <w:pPr>
        <w:ind w:left="119"/>
        <w:jc w:val="left"/>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（2）性能配置要求</w:t>
      </w:r>
      <w:r/>
    </w:p>
    <w:p>
      <w:pPr>
        <w:ind w:firstLine="492"/>
        <w:jc w:val="left"/>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1.钩臂采用优质钢板制作，具高耐磨性、耐久性；安全提升钩采用高强度耐磨钢制成，牢固可靠；</w:t>
      </w:r>
      <w:r/>
    </w:p>
    <w:p>
      <w:pPr>
        <w:ind w:firstLine="492"/>
        <w:jc w:val="left"/>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2.钩臂系统采用成套设备，安全可靠，自重轻，装载质量大；</w:t>
      </w:r>
      <w:r/>
    </w:p>
    <w:p>
      <w:pPr>
        <w:ind w:firstLine="492"/>
        <w:jc w:val="left"/>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3.钩臂系统采用滑臂式铰接结构，入钩便捷、维修简易、提卸箱体限高小；</w:t>
      </w:r>
      <w:r/>
    </w:p>
    <w:p>
      <w:pPr>
        <w:ind w:firstLine="492"/>
        <w:jc w:val="left"/>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4.箱体安全锁，安全可靠，当车辆在行驶过程中，车箱不会发生抖动现象。</w:t>
      </w:r>
      <w:r/>
    </w:p>
    <w:p>
      <w:pPr>
        <w:ind w:firstLine="492"/>
        <w:jc w:val="left"/>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5.车辆采用后滚轮支撑稳定装置，装卸箱体过程中，有效防止车辆头部翘起。 </w:t>
      </w:r>
      <w:r/>
    </w:p>
    <w:p>
      <w:pPr>
        <w:ind w:firstLine="492"/>
        <w:jc w:val="left"/>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6.所有操作均可在驾驶室内通过电控操作盒完成，操作简单、方便，降低操作者的劳动强度。</w:t>
      </w:r>
      <w:r/>
    </w:p>
    <w:p>
      <w:pPr>
        <w:ind w:firstLine="492"/>
        <w:jc w:val="left"/>
        <w:spacing w:before="37" w:line="360" w:lineRule="auto"/>
        <w:rPr>
          <w:rFonts w:hint="eastAsia" w:ascii="仿宋" w:hAnsi="仿宋" w:eastAsia="仿宋" w:cs="仿宋"/>
          <w:color w:val="auto"/>
          <w:spacing w:val="3"/>
          <w:sz w:val="24"/>
        </w:rPr>
      </w:pPr>
      <w:r>
        <w:rPr>
          <w:rFonts w:hint="eastAsia" w:ascii="仿宋" w:hAnsi="仿宋" w:eastAsia="仿宋" w:cs="仿宋"/>
          <w:color w:val="auto"/>
          <w:spacing w:val="3"/>
          <w:sz w:val="24"/>
        </w:rPr>
        <w:t xml:space="preserve">7.后轮罩中间雨帘采用分体式安装，避免车辆抖动造成轮罩主体损坏，且维护方便。</w:t>
      </w:r>
      <w:r/>
    </w:p>
    <w:p>
      <w:pPr>
        <w:rPr>
          <w:rFonts w:hint="eastAsia" w:ascii="仿宋" w:hAnsi="仿宋" w:eastAsia="仿宋" w:cs="仿宋"/>
          <w:color w:val="auto"/>
          <w:spacing w:val="3"/>
          <w:sz w:val="24"/>
        </w:rPr>
      </w:pPr>
      <w:r>
        <w:rPr>
          <w:rFonts w:hint="eastAsia" w:ascii="仿宋" w:hAnsi="仿宋" w:eastAsia="仿宋" w:cs="仿宋"/>
          <w:color w:val="auto"/>
          <w:spacing w:val="3"/>
          <w:sz w:val="24"/>
        </w:rPr>
        <w:br w:type="page" w:clear="all"/>
      </w:r>
      <w:r/>
    </w:p>
    <w:p>
      <w:pPr>
        <w:jc w:val="left"/>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采购包三：</w:t>
      </w:r>
      <w:r/>
    </w:p>
    <w:p>
      <w:pPr>
        <w:jc w:val="left"/>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14立方综合融雪剂撒布车（除雪车）</w:t>
      </w:r>
      <w:r/>
    </w:p>
    <w:p>
      <w:pPr>
        <w:jc w:val="left"/>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（1）技术参数要求</w:t>
      </w:r>
      <w:r/>
    </w:p>
    <w:tbl>
      <w:tblPr>
        <w:tblStyle w:val="971"/>
        <w:tblW w:w="526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03"/>
        <w:gridCol w:w="4658"/>
      </w:tblGrid>
      <w:tr>
        <w:trPr>
          <w:jc w:val="center"/>
          <w:trHeight w:val="441"/>
        </w:trPr>
        <w:tc>
          <w:tcPr>
            <w:tcW w:w="273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项目</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参数</w:t>
            </w:r>
            <w:r/>
          </w:p>
        </w:tc>
      </w:tr>
      <w:tr>
        <w:trPr>
          <w:jc w:val="center"/>
          <w:trHeight w:val="441"/>
        </w:trPr>
        <w:tc>
          <w:tcPr>
            <w:tcW w:w="273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★外形尺寸（长）（mm）</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≤10240</w:t>
            </w:r>
            <w:r/>
          </w:p>
        </w:tc>
      </w:tr>
      <w:tr>
        <w:trPr>
          <w:jc w:val="center"/>
          <w:trHeight w:val="441"/>
        </w:trPr>
        <w:tc>
          <w:tcPr>
            <w:tcW w:w="273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★外形尺寸（宽）（mm）</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≤2520</w:t>
            </w:r>
            <w:r/>
          </w:p>
        </w:tc>
      </w:tr>
      <w:tr>
        <w:trPr>
          <w:jc w:val="center"/>
          <w:trHeight w:val="441"/>
        </w:trPr>
        <w:tc>
          <w:tcPr>
            <w:tcW w:w="273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★外形尺寸（高）（mm）</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≤3840</w:t>
            </w:r>
            <w:r/>
          </w:p>
        </w:tc>
      </w:tr>
      <w:tr>
        <w:trPr>
          <w:jc w:val="center"/>
          <w:trHeight w:val="441"/>
        </w:trPr>
        <w:tc>
          <w:tcPr>
            <w:tcW w:w="273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★总质量(kg)</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≥25000</w:t>
            </w:r>
            <w:r/>
          </w:p>
        </w:tc>
      </w:tr>
      <w:tr>
        <w:trPr>
          <w:jc w:val="center"/>
          <w:trHeight w:val="441"/>
        </w:trPr>
        <w:tc>
          <w:tcPr>
            <w:tcW w:w="273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★整备质量(kg)</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≥17000</w:t>
            </w:r>
            <w:r/>
          </w:p>
        </w:tc>
      </w:tr>
      <w:tr>
        <w:trPr>
          <w:jc w:val="center"/>
          <w:trHeight w:val="441"/>
        </w:trPr>
        <w:tc>
          <w:tcPr>
            <w:tcW w:w="273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★额定质量(kg)</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≥7870</w:t>
            </w:r>
            <w:r/>
          </w:p>
        </w:tc>
      </w:tr>
      <w:tr>
        <w:trPr>
          <w:jc w:val="center"/>
          <w:trHeight w:val="441"/>
        </w:trPr>
        <w:tc>
          <w:tcPr>
            <w:tcW w:w="2730" w:type="pct"/>
            <w:vAlign w:val="center"/>
            <w:textDirection w:val="lrTb"/>
            <w:noWrap w:val="false"/>
          </w:tcPr>
          <w:p>
            <w:pPr>
              <w:ind w:firstLine="480"/>
              <w:jc w:val="center"/>
              <w:spacing w:before="27"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接近角(°)</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≤11</w:t>
            </w:r>
            <w:r/>
          </w:p>
        </w:tc>
      </w:tr>
      <w:tr>
        <w:trPr>
          <w:jc w:val="center"/>
          <w:trHeight w:val="441"/>
        </w:trPr>
        <w:tc>
          <w:tcPr>
            <w:tcW w:w="2730" w:type="pct"/>
            <w:vAlign w:val="center"/>
            <w:textDirection w:val="lrTb"/>
            <w:noWrap w:val="false"/>
          </w:tcPr>
          <w:p>
            <w:pPr>
              <w:ind w:firstLine="480"/>
              <w:jc w:val="center"/>
              <w:spacing w:before="27"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离去角(°)</w:t>
            </w:r>
            <w:r/>
          </w:p>
        </w:tc>
        <w:tc>
          <w:tcPr>
            <w:tcW w:w="2269"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≤11</w:t>
            </w:r>
            <w:r/>
          </w:p>
        </w:tc>
      </w:tr>
      <w:tr>
        <w:trPr>
          <w:jc w:val="center"/>
          <w:trHeight w:val="441"/>
        </w:trPr>
        <w:tc>
          <w:tcPr>
            <w:tcW w:w="2730" w:type="pct"/>
            <w:vAlign w:val="center"/>
            <w:textDirection w:val="lrTb"/>
            <w:noWrap w:val="false"/>
          </w:tcPr>
          <w:p>
            <w:pPr>
              <w:ind w:firstLine="480"/>
              <w:jc w:val="center"/>
              <w:spacing w:before="25" w:line="360" w:lineRule="auto"/>
              <w:rPr>
                <w:rFonts w:hint="eastAsia" w:ascii="仿宋" w:hAnsi="仿宋" w:eastAsia="仿宋" w:cs="仿宋"/>
                <w:spacing w:val="3"/>
                <w:sz w:val="24"/>
                <w:lang w:val="zh-CN" w:bidi="zh-CN"/>
              </w:rPr>
            </w:pPr>
            <w:r>
              <w:rPr>
                <w:rFonts w:hint="eastAsia" w:ascii="仿宋" w:hAnsi="仿宋" w:eastAsia="仿宋" w:cs="仿宋"/>
                <w:sz w:val="24"/>
              </w:rPr>
              <w:t xml:space="preserve">▲</w:t>
            </w:r>
            <w:r>
              <w:rPr>
                <w:rFonts w:hint="eastAsia" w:ascii="仿宋" w:hAnsi="仿宋" w:eastAsia="仿宋" w:cs="仿宋"/>
                <w:spacing w:val="3"/>
                <w:sz w:val="24"/>
              </w:rPr>
              <w:t xml:space="preserve">前悬（mm）</w:t>
            </w:r>
            <w:r/>
          </w:p>
        </w:tc>
        <w:tc>
          <w:tcPr>
            <w:tcW w:w="2269" w:type="pct"/>
            <w:vAlign w:val="center"/>
            <w:textDirection w:val="lrTb"/>
            <w:noWrap w:val="false"/>
          </w:tcPr>
          <w:p>
            <w:pPr>
              <w:ind w:left="119"/>
              <w:jc w:val="center"/>
              <w:spacing w:before="37" w:line="360" w:lineRule="auto"/>
              <w:rPr>
                <w:rFonts w:hint="default" w:ascii="仿宋" w:hAnsi="仿宋" w:eastAsia="仿宋" w:cs="仿宋"/>
                <w:spacing w:val="3"/>
                <w:sz w:val="24"/>
                <w:lang w:val="en-US" w:eastAsia="zh-CN"/>
              </w:rPr>
            </w:pPr>
            <w:r>
              <w:rPr>
                <w:rFonts w:hint="eastAsia" w:ascii="仿宋" w:hAnsi="仿宋" w:eastAsia="仿宋" w:cs="仿宋"/>
                <w:spacing w:val="3"/>
                <w:sz w:val="24"/>
              </w:rPr>
              <w:t xml:space="preserve">≥</w:t>
            </w:r>
            <w:r>
              <w:rPr>
                <w:rFonts w:hint="eastAsia" w:ascii="仿宋" w:hAnsi="仿宋" w:eastAsia="仿宋" w:cs="仿宋"/>
                <w:spacing w:val="3"/>
                <w:sz w:val="24"/>
                <w:lang w:val="en-US" w:eastAsia="zh-CN"/>
              </w:rPr>
              <w:t xml:space="preserve">1700</w:t>
            </w:r>
            <w:r/>
          </w:p>
        </w:tc>
      </w:tr>
      <w:tr>
        <w:trPr>
          <w:jc w:val="center"/>
          <w:trHeight w:val="441"/>
        </w:trPr>
        <w:tc>
          <w:tcPr>
            <w:tcW w:w="2730" w:type="pct"/>
            <w:vAlign w:val="center"/>
            <w:textDirection w:val="lrTb"/>
            <w:noWrap w:val="false"/>
          </w:tcPr>
          <w:p>
            <w:pPr>
              <w:ind w:firstLine="480"/>
              <w:jc w:val="center"/>
              <w:spacing w:before="25" w:line="360" w:lineRule="auto"/>
              <w:rPr>
                <w:rFonts w:hint="eastAsia" w:ascii="仿宋" w:hAnsi="仿宋" w:eastAsia="仿宋" w:cs="仿宋"/>
                <w:spacing w:val="3"/>
                <w:sz w:val="24"/>
                <w:highlight w:val="none"/>
                <w:lang w:val="zh-CN" w:bidi="zh-CN"/>
              </w:rPr>
            </w:pPr>
            <w:r>
              <w:rPr>
                <w:rFonts w:hint="eastAsia" w:ascii="仿宋" w:hAnsi="仿宋" w:eastAsia="仿宋" w:cs="仿宋"/>
                <w:sz w:val="24"/>
                <w:highlight w:val="none"/>
              </w:rPr>
              <w:t xml:space="preserve">▲</w:t>
            </w:r>
            <w:r>
              <w:rPr>
                <w:rFonts w:hint="eastAsia" w:ascii="仿宋" w:hAnsi="仿宋" w:eastAsia="仿宋" w:cs="仿宋"/>
                <w:spacing w:val="3"/>
                <w:sz w:val="24"/>
                <w:highlight w:val="none"/>
              </w:rPr>
              <w:t xml:space="preserve">后悬（mm）</w:t>
            </w:r>
            <w:r/>
          </w:p>
        </w:tc>
        <w:tc>
          <w:tcPr>
            <w:tcW w:w="2269" w:type="pct"/>
            <w:vAlign w:val="center"/>
            <w:textDirection w:val="lrTb"/>
            <w:noWrap w:val="false"/>
          </w:tcPr>
          <w:p>
            <w:pPr>
              <w:ind w:left="119"/>
              <w:jc w:val="center"/>
              <w:spacing w:before="37" w:line="360" w:lineRule="auto"/>
              <w:rPr>
                <w:rFonts w:hint="default" w:ascii="仿宋" w:hAnsi="仿宋" w:eastAsia="仿宋" w:cs="仿宋"/>
                <w:spacing w:val="3"/>
                <w:sz w:val="24"/>
                <w:highlight w:val="none"/>
                <w:lang w:val="en-US" w:eastAsia="zh-CN"/>
              </w:rPr>
            </w:pPr>
            <w:r>
              <w:rPr>
                <w:rFonts w:hint="eastAsia" w:ascii="仿宋" w:hAnsi="仿宋" w:eastAsia="仿宋" w:cs="仿宋"/>
                <w:spacing w:val="3"/>
                <w:sz w:val="24"/>
                <w:highlight w:val="none"/>
              </w:rPr>
              <w:t xml:space="preserve">≤</w:t>
            </w:r>
            <w:r>
              <w:rPr>
                <w:rFonts w:hint="eastAsia" w:ascii="仿宋" w:hAnsi="仿宋" w:eastAsia="仿宋" w:cs="仿宋"/>
                <w:spacing w:val="3"/>
                <w:sz w:val="24"/>
                <w:highlight w:val="none"/>
                <w:lang w:val="en-US" w:eastAsia="zh-CN"/>
              </w:rPr>
              <w:t xml:space="preserve">1900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lang w:val="zh-CN" w:bidi="zh-CN"/>
              </w:rPr>
            </w:pPr>
            <w:r>
              <w:rPr>
                <w:rFonts w:hint="eastAsia" w:ascii="仿宋" w:hAnsi="仿宋" w:eastAsia="仿宋" w:cs="仿宋"/>
                <w:spacing w:val="3"/>
                <w:sz w:val="24"/>
              </w:rPr>
              <w:t xml:space="preserve">最高车速(km/h)</w:t>
            </w:r>
            <w:r/>
          </w:p>
        </w:tc>
        <w:tc>
          <w:tcPr>
            <w:tcW w:w="0" w:type="auto"/>
            <w:textDirection w:val="lrTb"/>
            <w:noWrap w:val="false"/>
          </w:tcPr>
          <w:p>
            <w:pPr>
              <w:ind w:left="119"/>
              <w:jc w:val="center"/>
              <w:spacing w:before="37" w:line="360" w:lineRule="auto"/>
              <w:rPr>
                <w:rFonts w:hint="eastAsia" w:ascii="仿宋" w:hAnsi="仿宋" w:eastAsia="仿宋" w:cs="仿宋"/>
                <w:spacing w:val="3"/>
                <w:sz w:val="24"/>
                <w:lang w:eastAsia="zh-CN"/>
              </w:rPr>
            </w:pPr>
            <w:r>
              <w:rPr>
                <w:rFonts w:hint="eastAsia" w:ascii="仿宋" w:hAnsi="仿宋" w:eastAsia="仿宋" w:cs="仿宋"/>
                <w:spacing w:val="3"/>
                <w:sz w:val="24"/>
              </w:rPr>
              <w:t xml:space="preserve">≥8</w:t>
            </w:r>
            <w:r>
              <w:rPr>
                <w:rFonts w:hint="eastAsia" w:ascii="仿宋" w:hAnsi="仿宋" w:eastAsia="仿宋" w:cs="仿宋"/>
                <w:spacing w:val="3"/>
                <w:sz w:val="24"/>
                <w:lang w:val="en-US" w:eastAsia="zh-CN"/>
              </w:rPr>
              <w:t xml:space="preserve">5</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最小转弯直径(mm)</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≥18500</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最小离地间隙(㎜)</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≥210</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料仓容积（m³）</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≥12</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撒布宽度（m）</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撒布密度（g/㎡）</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盐(5-250)；砂子(5-350)</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最低作业温度（℃）</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-40</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最大除雪宽度（mm）</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≥2000</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最大倾角推雪宽度（mm）</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≥3180</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左右摆角（°）</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±30</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上下倾角（°）</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±5</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避障高度（mm）</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≥260</w:t>
            </w:r>
            <w:r/>
          </w:p>
        </w:tc>
      </w:tr>
      <w:tr>
        <w:trPr>
          <w:jc w:val="center"/>
          <w:trHeight w:val="441"/>
        </w:trPr>
        <w:tc>
          <w:tcPr>
            <w:tcW w:w="2730" w:type="pct"/>
            <w:vAlign w:val="center"/>
            <w:textDirection w:val="lrTb"/>
            <w:noWrap w:val="false"/>
          </w:tcPr>
          <w:p>
            <w:pPr>
              <w:ind w:firstLine="492"/>
              <w:jc w:val="center"/>
              <w:spacing w:before="27" w:line="360" w:lineRule="auto"/>
              <w:rPr>
                <w:rFonts w:hint="eastAsia" w:ascii="仿宋" w:hAnsi="仿宋" w:eastAsia="仿宋" w:cs="仿宋"/>
                <w:spacing w:val="3"/>
                <w:sz w:val="24"/>
                <w:highlight w:val="none"/>
              </w:rPr>
            </w:pPr>
            <w:r>
              <w:rPr>
                <w:rFonts w:hint="eastAsia" w:ascii="仿宋" w:hAnsi="仿宋" w:eastAsia="仿宋" w:cs="仿宋"/>
                <w:spacing w:val="3"/>
                <w:sz w:val="24"/>
                <w:highlight w:val="none"/>
              </w:rPr>
              <w:t xml:space="preserve">作业速度（km/h）</w:t>
            </w:r>
            <w:r/>
          </w:p>
        </w:tc>
        <w:tc>
          <w:tcPr>
            <w:tcW w:w="2269" w:type="pct"/>
            <w:vAlign w:val="top"/>
            <w:textDirection w:val="lrTb"/>
            <w:noWrap w:val="false"/>
          </w:tcPr>
          <w:p>
            <w:pPr>
              <w:ind w:left="119"/>
              <w:jc w:val="center"/>
              <w:spacing w:before="37" w:line="360" w:lineRule="auto"/>
              <w:rPr>
                <w:rFonts w:hint="eastAsia" w:ascii="仿宋" w:hAnsi="仿宋" w:eastAsia="仿宋" w:cs="仿宋"/>
                <w:spacing w:val="3"/>
                <w:sz w:val="24"/>
                <w:highlight w:val="none"/>
              </w:rPr>
            </w:pPr>
            <w:r>
              <w:rPr>
                <w:rFonts w:hint="eastAsia" w:ascii="仿宋" w:hAnsi="仿宋" w:eastAsia="仿宋" w:cs="仿宋"/>
                <w:spacing w:val="3"/>
                <w:sz w:val="24"/>
                <w:highlight w:val="none"/>
              </w:rPr>
              <w:t xml:space="preserve">≥20</w:t>
            </w:r>
            <w:r/>
          </w:p>
        </w:tc>
      </w:tr>
      <w:tr>
        <w:trPr>
          <w:jc w:val="center"/>
          <w:trHeight w:val="441"/>
        </w:trPr>
        <w:tc>
          <w:tcPr>
            <w:gridSpan w:val="2"/>
            <w:tcW w:w="500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以上技术参数提供工业和信息化部装备工业发展中心中道路机动车辆生产企业及产品信息综合查询系统的公告查询数据截图或提供带有CMA、CNAS标志的检验报告证明，其中标★号项技术参数未提供或提供的材料未满足技术参数要求的作无效投标处理；其他未标★号项技术参数未提供或提供的材料未满足技术参数要求的作负偏离处理</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前轮距（mm）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≥2020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后轮距（mm）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≥1860/1860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轴距（mm）</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≥4300+1350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燃料种类</w:t>
            </w:r>
            <w:r/>
          </w:p>
        </w:tc>
        <w:tc>
          <w:tcPr>
            <w:tcW w:w="0" w:type="auto"/>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柴油</w:t>
            </w:r>
            <w:r/>
          </w:p>
        </w:tc>
      </w:tr>
      <w:tr>
        <w:trPr>
          <w:jc w:val="center"/>
          <w:trHeight w:val="441"/>
        </w:trPr>
        <w:tc>
          <w:tcPr>
            <w:gridSpan w:val="2"/>
            <w:tcW w:w="5000" w:type="pct"/>
            <w:vAlign w:val="center"/>
            <w:textDirection w:val="lrTb"/>
            <w:noWrap w:val="false"/>
          </w:tcPr>
          <w:p>
            <w:pPr>
              <w:ind w:left="119"/>
              <w:jc w:val="center"/>
              <w:spacing w:before="37" w:line="360" w:lineRule="auto"/>
              <w:rPr>
                <w:rFonts w:hint="eastAsia" w:ascii="仿宋" w:hAnsi="仿宋" w:eastAsia="仿宋" w:cs="仿宋"/>
                <w:spacing w:val="3"/>
                <w:sz w:val="24"/>
              </w:rPr>
            </w:pPr>
            <w:r>
              <w:rPr>
                <w:rFonts w:hint="eastAsia" w:ascii="仿宋" w:hAnsi="仿宋" w:eastAsia="仿宋" w:cs="仿宋"/>
                <w:spacing w:val="3"/>
                <w:sz w:val="24"/>
              </w:rPr>
              <w:t xml:space="preserve">车辆配置的撒布机技术参数</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外形尺寸（长×宽×高）（mm）</w:t>
            </w:r>
            <w:r/>
          </w:p>
        </w:tc>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≥6280*2130*2160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料输送型式</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皮带式</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料仓容积（m3）</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≥12</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撒布盘直径（mm）</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≥450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输送带宽度（mm）</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≥500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撒布宽度（m）</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2-15</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撒布密度（g/m2）</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5-350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最大作业速度（km/h）</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≥40</w:t>
            </w:r>
            <w:r/>
          </w:p>
        </w:tc>
      </w:tr>
      <w:tr>
        <w:trPr>
          <w:jc w:val="center"/>
          <w:trHeight w:val="441"/>
        </w:trPr>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最低作业温度(°C)</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-40</w:t>
            </w:r>
            <w:r/>
          </w:p>
        </w:tc>
      </w:tr>
      <w:tr>
        <w:trPr>
          <w:jc w:val="center"/>
          <w:trHeight w:val="441"/>
        </w:trPr>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承载车辆车厢最小内尺（长×宽）(mm)</w:t>
            </w:r>
            <w:r/>
          </w:p>
        </w:tc>
        <w:tc>
          <w:tcPr>
            <w:tcW w:w="0" w:type="auto"/>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≥5600×2300</w:t>
            </w:r>
            <w:r/>
          </w:p>
        </w:tc>
      </w:tr>
      <w:tr>
        <w:trPr>
          <w:jc w:val="center"/>
          <w:trHeight w:val="441"/>
        </w:trPr>
        <w:tc>
          <w:tcPr>
            <w:gridSpan w:val="2"/>
            <w:tcW w:w="5000" w:type="pct"/>
            <w:vAlign w:val="center"/>
            <w:textDirection w:val="lrTb"/>
            <w:noWrap w:val="false"/>
          </w:tcPr>
          <w:p>
            <w:pPr>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车辆配置的雪刷技术参数</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除雪宽度（mm）</w:t>
            </w:r>
            <w:r/>
          </w:p>
        </w:tc>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≥3600</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左右摆角（°）</w:t>
            </w:r>
            <w:r/>
          </w:p>
        </w:tc>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±30</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刷片直径（mm）</w:t>
            </w:r>
            <w:r/>
          </w:p>
        </w:tc>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≥810</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最大工作转速（rpm）</w:t>
            </w:r>
            <w:r/>
          </w:p>
        </w:tc>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≥260</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液压系统工作压力（MPa）</w:t>
            </w:r>
            <w:r/>
          </w:p>
        </w:tc>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≥16</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最大作业速度（Km/h）</w:t>
            </w:r>
            <w:r/>
          </w:p>
        </w:tc>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≥40</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路面仿形倾角（°）</w:t>
            </w:r>
            <w:r/>
          </w:p>
        </w:tc>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±5</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最低作业温度（℃）</w:t>
            </w:r>
            <w:r/>
          </w:p>
        </w:tc>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-40</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清雪厚度（mm）</w:t>
            </w:r>
            <w:r/>
          </w:p>
        </w:tc>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≤150</w:t>
            </w:r>
            <w:r/>
          </w:p>
        </w:tc>
      </w:tr>
      <w:tr>
        <w:trPr>
          <w:jc w:val="center"/>
          <w:trHeight w:val="441"/>
        </w:trPr>
        <w:tc>
          <w:tcPr>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外形尺寸（长×宽×高）（mm）</w:t>
            </w:r>
            <w:r/>
          </w:p>
        </w:tc>
        <w:tc>
          <w:tcPr>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≥4200*2000*1550</w:t>
            </w:r>
            <w:r/>
          </w:p>
        </w:tc>
      </w:tr>
      <w:tr>
        <w:trPr>
          <w:jc w:val="center"/>
          <w:trHeight w:val="441"/>
        </w:trPr>
        <w:tc>
          <w:tcPr>
            <w:gridSpan w:val="2"/>
            <w:tcW w:w="5000" w:type="pct"/>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车辆配置的雪铲技术参数</w:t>
            </w:r>
            <w:r/>
          </w:p>
        </w:tc>
      </w:tr>
      <w:tr>
        <w:trPr>
          <w:jc w:val="center"/>
          <w:trHeight w:val="441"/>
        </w:trPr>
        <w:tc>
          <w:tcPr>
            <w:shd w:val="clear" w:color="auto" w:fill="ffffff"/>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铲面宽度（mm）</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≥3360</w:t>
            </w:r>
            <w:r/>
          </w:p>
        </w:tc>
      </w:tr>
      <w:tr>
        <w:trPr>
          <w:jc w:val="center"/>
          <w:trHeight w:val="441"/>
        </w:trPr>
        <w:tc>
          <w:tcPr>
            <w:shd w:val="clear" w:color="auto" w:fill="ffffff"/>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摆动角（°）</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±30</w:t>
            </w:r>
            <w:r/>
          </w:p>
        </w:tc>
      </w:tr>
      <w:tr>
        <w:trPr>
          <w:jc w:val="center"/>
          <w:trHeight w:val="441"/>
        </w:trPr>
        <w:tc>
          <w:tcPr>
            <w:shd w:val="clear" w:color="auto" w:fill="ffffff"/>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避障高度（mm）</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≥200</w:t>
            </w:r>
            <w:r/>
          </w:p>
        </w:tc>
      </w:tr>
      <w:tr>
        <w:trPr>
          <w:jc w:val="center"/>
          <w:trHeight w:val="441"/>
        </w:trPr>
        <w:tc>
          <w:tcPr>
            <w:shd w:val="clear" w:color="auto" w:fill="ffffff"/>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整机宽度（mm）</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≥3360</w:t>
            </w:r>
            <w:r/>
          </w:p>
        </w:tc>
      </w:tr>
      <w:tr>
        <w:trPr>
          <w:jc w:val="center"/>
          <w:trHeight w:val="441"/>
        </w:trPr>
        <w:tc>
          <w:tcPr>
            <w:shd w:val="clear" w:color="auto" w:fill="ffffff"/>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除雪厚度（mm）</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≤150</w:t>
            </w:r>
            <w:r/>
          </w:p>
        </w:tc>
      </w:tr>
      <w:tr>
        <w:trPr>
          <w:jc w:val="center"/>
          <w:trHeight w:val="441"/>
        </w:trPr>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最低作业温度（℃）</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-40</w:t>
            </w:r>
            <w:r/>
          </w:p>
        </w:tc>
      </w:tr>
      <w:tr>
        <w:trPr>
          <w:jc w:val="center"/>
          <w:trHeight w:val="441"/>
        </w:trPr>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外形尺寸（长×宽×高）（mm）</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≥3360×1770×1540</w:t>
            </w:r>
            <w:r/>
          </w:p>
        </w:tc>
      </w:tr>
      <w:tr>
        <w:trPr>
          <w:jc w:val="center"/>
          <w:trHeight w:val="441"/>
        </w:trPr>
        <w:tc>
          <w:tcPr>
            <w:shd w:val="clear" w:color="auto" w:fill="ffffff"/>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作业速度（km/h）</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≤60</w:t>
            </w:r>
            <w:r/>
          </w:p>
        </w:tc>
      </w:tr>
      <w:tr>
        <w:trPr>
          <w:jc w:val="center"/>
          <w:trHeight w:val="441"/>
        </w:trPr>
        <w:tc>
          <w:tcPr>
            <w:shd w:val="clear" w:color="auto" w:fill="ffffff"/>
            <w:tcW w:w="0" w:type="auto"/>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适合车型（总质量 t）</w:t>
            </w:r>
            <w:r/>
          </w:p>
        </w:tc>
        <w:tc>
          <w:tcPr>
            <w:shd w:val="clear" w:color="auto" w:fill="ffffff"/>
            <w:tcW w:w="0" w:type="auto"/>
            <w:vAlign w:val="center"/>
            <w:textDirection w:val="lrTb"/>
            <w:noWrap w:val="false"/>
          </w:tcPr>
          <w:p>
            <w:pPr>
              <w:ind w:firstLine="492"/>
              <w:jc w:val="center"/>
              <w:spacing w:before="27" w:line="360" w:lineRule="auto"/>
              <w:rPr>
                <w:rFonts w:hint="eastAsia" w:ascii="仿宋" w:hAnsi="仿宋" w:eastAsia="仿宋" w:cs="仿宋"/>
                <w:spacing w:val="3"/>
                <w:sz w:val="24"/>
              </w:rPr>
            </w:pPr>
            <w:r>
              <w:rPr>
                <w:rFonts w:hint="eastAsia" w:ascii="仿宋" w:hAnsi="仿宋" w:eastAsia="仿宋" w:cs="仿宋"/>
                <w:spacing w:val="3"/>
                <w:sz w:val="24"/>
              </w:rPr>
              <w:t xml:space="preserve">≥16</w:t>
            </w:r>
            <w:r/>
          </w:p>
        </w:tc>
      </w:tr>
    </w:tbl>
    <w:p>
      <w:pPr>
        <w:numPr>
          <w:ilvl w:val="0"/>
          <w:numId w:val="4"/>
        </w:numPr>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性能配置要求</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1.集成式的控制面板，放置于驾驶室合适位置，所有除雪机具都在驾驶室内操作，操作简便。</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2.电气元件采用知名品牌内置PCB集成模块，自主开发，可选装倒车前置设备自提并预警功能。</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3.整体设计上采用传统控制方式，电路简单、便于维护，完全满足实际工况。</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4.料斗采用高强钢板制作，可用于承装粒状融雪剂及其混合料。料仓内设有防蓬料倒V装置，可减小输送带负载，有效防止融雪剂搭棚，确保物料输送均匀平稳。上部安装钢筋筛网，防止大块受潮板结物料进入料仓导致出料卡阻。</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5.上罩（选装）上防雨布可防止雨雪和其它杂质进入料斗，混入撒布材料。料斗里装有撒布材料，输送系统装在料斗的底部。</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6.梯子平台安装在撒布机后部，带可折叠梯子及平台，方便检查和维护。</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7.采用皮带输送方式，输送带将撒布材料输送到撒布系统。采用人字型皮带输送装置，皮带为耐低温耐腐蚀橡胶，输送能力大，不锈蚀。</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8.雪刷刷罩采用钢板制作，刚性好，前部安装橡胶挡雪帘，阻止雪雾后扬，保护作业人员视野。</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9.雪刷刷片离地间隙可根据磨损程度进行精确自动调节，调整范围0～180mm，按实际情况设定高度，充分保证除雪效果和人机安全。</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10.雪铲采用压力弹簧自动避障防撞系统，当铲刃遇到桥梁伸缩缝、凸棱、异物阻碍时，自动避障复位，确保安全除雪；</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11.除雪铲双向角度可调，使用伸缩液压缸实现雪铲的旋转；</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12.除雪铲铲身坚固耐用，铲刃材质为高强度合金钢，耐磨性好，易更换，铲面采用弧面流线型设计，可将浮雪抛向一侧；</w:t>
      </w:r>
      <w:r/>
    </w:p>
    <w:p>
      <w:pPr>
        <w:ind w:firstLine="492"/>
        <w:spacing w:line="360" w:lineRule="auto"/>
        <w:rPr>
          <w:rFonts w:hint="eastAsia" w:ascii="仿宋" w:hAnsi="仿宋" w:eastAsia="仿宋" w:cs="仿宋"/>
          <w:spacing w:val="3"/>
          <w:sz w:val="24"/>
        </w:rPr>
      </w:pPr>
      <w:r>
        <w:rPr>
          <w:rFonts w:hint="eastAsia" w:ascii="仿宋" w:hAnsi="仿宋" w:eastAsia="仿宋" w:cs="仿宋"/>
          <w:spacing w:val="3"/>
          <w:sz w:val="24"/>
        </w:rPr>
        <w:t xml:space="preserve">13.除雪铲两侧加装示宽灯并配置照明灯，提高夜间和不良天气条件下作业安全。</w:t>
      </w:r>
      <w:r/>
    </w:p>
    <w:p>
      <w:pPr>
        <w:pStyle w:val="656"/>
        <w:ind w:firstLine="574"/>
        <w:keepLines w:val="0"/>
        <w:keepNext w:val="0"/>
        <w:pageBreakBefore w:val="0"/>
        <w:spacing w:line="336" w:lineRule="auto"/>
        <w:widowControl w:val="off"/>
        <w:rPr>
          <w:rFonts w:hint="eastAsia" w:ascii="仿宋" w:hAnsi="仿宋" w:eastAsia="仿宋" w:cs="仿宋"/>
          <w:b/>
          <w:bCs/>
          <w:color w:val="ff0000"/>
          <w:spacing w:val="3"/>
          <w:sz w:val="28"/>
          <w:szCs w:val="28"/>
          <w:lang w:val="en-US" w:eastAsia="zh-CN" w:bidi="ar-SA"/>
          <w14:ligatures w14:val="none"/>
        </w:rPr>
      </w:pPr>
      <w:r>
        <w:rPr>
          <w:rFonts w:hint="eastAsia" w:ascii="仿宋" w:hAnsi="仿宋" w:eastAsia="仿宋" w:cs="仿宋"/>
          <w:b/>
          <w:bCs/>
          <w:color w:val="ff0000"/>
          <w:spacing w:val="3"/>
          <w:sz w:val="28"/>
          <w:szCs w:val="28"/>
          <w:lang w:val="en-US" w:eastAsia="zh-CN" w:bidi="ar-SA"/>
          <w14:ligatures w14:val="none"/>
        </w:rPr>
        <w:t xml:space="preserve">注：</w:t>
      </w:r>
      <w:r/>
    </w:p>
    <w:p>
      <w:pPr>
        <w:pStyle w:val="656"/>
        <w:numPr>
          <w:ilvl w:val="0"/>
          <w:numId w:val="0"/>
        </w:numPr>
        <w:ind w:firstLine="492"/>
        <w:keepLines w:val="0"/>
        <w:keepNext w:val="0"/>
        <w:pageBreakBefore w:val="0"/>
        <w:spacing w:line="336" w:lineRule="auto"/>
        <w:widowControl w:val="off"/>
        <w:rPr>
          <w:rFonts w:hint="eastAsia" w:ascii="仿宋" w:hAnsi="仿宋" w:eastAsia="仿宋" w:cs="仿宋"/>
          <w:b/>
          <w:bCs/>
          <w:color w:val="ff0000"/>
          <w:spacing w:val="3"/>
          <w:sz w:val="28"/>
          <w:szCs w:val="28"/>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b/>
          <w:bCs/>
          <w:color w:val="ff0000"/>
          <w:spacing w:val="3"/>
          <w:sz w:val="28"/>
          <w:szCs w:val="28"/>
          <w:lang w:val="en-US" w:eastAsia="zh-CN" w:bidi="ar-SA"/>
          <w14:ligatures w14:val="none"/>
        </w:rPr>
        <w:t xml:space="preserve">1、投标人所投车型须列入中华人民共和国工业和信息化部《道路机动车辆生产企业及产品公告》目录，提供工业和信息化部装备工业发展中心道路机动车辆生产企业及产品信息查询系统查询截图证明。</w:t>
      </w:r>
      <w:r/>
    </w:p>
    <w:p>
      <w:pPr>
        <w:numPr>
          <w:ilvl w:val="0"/>
          <w:numId w:val="0"/>
        </w:numPr>
        <w:ind w:left="0" w:firstLine="492"/>
        <w:jc w:val="both"/>
        <w:keepLines w:val="0"/>
        <w:keepNext w:val="0"/>
        <w:pageBreakBefore w:val="0"/>
        <w:spacing w:line="336" w:lineRule="auto"/>
        <w:widowControl w:val="off"/>
        <w:rPr>
          <w:rFonts w:hint="eastAsia" w:ascii="仿宋" w:hAnsi="仿宋" w:eastAsia="仿宋" w:cs="仿宋"/>
          <w:b/>
          <w:bCs/>
          <w:color w:val="ff0000"/>
          <w:spacing w:val="3"/>
          <w:sz w:val="28"/>
          <w:szCs w:val="28"/>
          <w:lang w:val="en-US" w:eastAsia="zh-CN" w:bidi="ar-SA"/>
          <w14:ligatures w14:val="none"/>
        </w:rPr>
      </w:pPr>
      <w:r>
        <w:rPr>
          <w:rFonts w:hint="eastAsia" w:ascii="仿宋" w:hAnsi="仿宋" w:eastAsia="仿宋" w:cs="仿宋"/>
          <w:spacing w:val="3"/>
          <w:sz w:val="24"/>
          <w:szCs w:val="24"/>
          <w14:ligatures w14:val="none"/>
        </w:rPr>
        <w:t xml:space="preserve">★</w:t>
      </w:r>
      <w:r>
        <w:rPr>
          <w:rFonts w:hint="eastAsia" w:ascii="仿宋" w:hAnsi="仿宋" w:eastAsia="仿宋" w:cs="仿宋"/>
          <w:b/>
          <w:bCs/>
          <w:color w:val="ff0000"/>
          <w:spacing w:val="3"/>
          <w:sz w:val="28"/>
          <w:szCs w:val="28"/>
          <w:lang w:val="en-US" w:eastAsia="zh-CN" w:bidi="ar-SA"/>
          <w14:ligatures w14:val="none"/>
        </w:rPr>
        <w:t xml:space="preserve">2、所投纯电动车型须列入工业和信息化部现行有效的《减免车辆购置税的新能源汽车车型目录》，车辆合格证具备减免税标识，中标人负责办理车辆购置税申报减免及注册登记(上牌)手续，并在交货时提供《道路机动车辆生产企业及产品公告》参数页及减免税目录相关证明。</w:t>
      </w:r>
      <w:r/>
    </w:p>
    <w:p>
      <w:pPr>
        <w:keepLines w:val="0"/>
        <w:keepNext w:val="0"/>
        <w:pageBreakBefore w:val="0"/>
        <w:spacing w:line="336" w:lineRule="auto"/>
        <w:widowControl w:val="off"/>
        <w:tabs>
          <w:tab w:val="left" w:pos="18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、其他要求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1、车辆颜色、图案及文字由采购单位指定；</w:t>
      </w:r>
      <w:r>
        <w:rPr>
          <w:rFonts w:hint="eastAsia" w:ascii="仿宋" w:hAnsi="仿宋" w:eastAsia="仿宋" w:cs="仿宋"/>
          <w:b/>
          <w:bCs w:val="0"/>
          <w:color w:val="ff0000"/>
          <w:sz w:val="24"/>
          <w:szCs w:val="24"/>
          <w:highlight w:val="none"/>
        </w:rPr>
        <w:t xml:space="preserve">投标人须提供书面承诺，</w:t>
      </w:r>
      <w:r>
        <w:rPr>
          <w:rFonts w:hint="eastAsia" w:ascii="仿宋" w:hAnsi="仿宋" w:eastAsia="仿宋" w:cs="仿宋"/>
          <w:bCs/>
          <w:color w:val="auto"/>
          <w:sz w:val="24"/>
          <w:szCs w:val="24"/>
          <w:highlight w:val="none"/>
        </w:rPr>
        <w:t xml:space="preserve">中标后根据采购单位要求涂装，颜色、图案及文字经采购单位确认后方可实施喷涂。</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4"/>
          <w:szCs w:val="24"/>
          <w:highlight w:val="none"/>
        </w:rPr>
      </w:pPr>
      <w:r>
        <w:rPr>
          <w:rFonts w:hint="eastAsia" w:ascii="仿宋" w:hAnsi="仿宋" w:eastAsia="仿宋" w:cs="仿宋"/>
          <w:spacing w:val="3"/>
          <w:sz w:val="24"/>
          <w:szCs w:val="24"/>
          <w14:ligatures w14:val="none"/>
        </w:rPr>
        <w:t xml:space="preserve">★</w:t>
      </w:r>
      <w:r>
        <w:rPr>
          <w:rFonts w:hint="eastAsia" w:ascii="仿宋" w:hAnsi="仿宋" w:eastAsia="仿宋" w:cs="仿宋"/>
          <w:bCs/>
          <w:color w:val="auto"/>
          <w:sz w:val="24"/>
          <w:szCs w:val="24"/>
          <w:highlight w:val="none"/>
        </w:rPr>
        <w:t xml:space="preserve">2、投标人应以人民币报价，投标总价包括所投产品及其备品、备件和专用工具费用、税费及运至最终目的地的运输、车辆上牌前的临时保险、安装调试费、检验检测费、</w:t>
      </w:r>
      <w:r>
        <w:rPr>
          <w:rFonts w:hint="eastAsia" w:ascii="仿宋" w:hAnsi="仿宋" w:eastAsia="仿宋" w:cs="仿宋"/>
          <w:b/>
          <w:bCs w:val="0"/>
          <w:color w:val="auto"/>
          <w:sz w:val="24"/>
          <w:szCs w:val="24"/>
          <w:highlight w:val="yellow"/>
        </w:rPr>
        <w:t xml:space="preserve">首年保险费（包括但不限于交强险、车损险、三者险≥300万元等）、车辆上牌费</w:t>
      </w:r>
      <w:r>
        <w:rPr>
          <w:rFonts w:hint="eastAsia" w:ascii="仿宋" w:hAnsi="仿宋" w:eastAsia="仿宋" w:cs="仿宋"/>
          <w:bCs/>
          <w:color w:val="auto"/>
          <w:sz w:val="24"/>
          <w:szCs w:val="24"/>
          <w:highlight w:val="none"/>
        </w:rPr>
        <w:t xml:space="preserve">、技术支持与培训、售后服务等工作所发生的全部费用以及投标人利润、税金和政策性文件规定及合同包含的所有风险、责任等各项应有费用。</w:t>
      </w:r>
      <w:r/>
    </w:p>
    <w:p>
      <w:pPr>
        <w:ind w:firstLine="560"/>
        <w:keepLines w:val="0"/>
        <w:keepNext w:val="0"/>
        <w:pageBreakBefore w:val="0"/>
        <w:spacing w:line="336" w:lineRule="auto"/>
        <w:widowControl w:val="off"/>
        <w:tabs>
          <w:tab w:val="left" w:pos="180" w:leader="none"/>
        </w:tabs>
        <w:rPr>
          <w:rFonts w:hint="eastAsia" w:ascii="仿宋" w:hAnsi="仿宋" w:eastAsia="仿宋" w:cs="仿宋"/>
          <w:bCs/>
          <w:color w:val="auto"/>
          <w:sz w:val="24"/>
          <w:szCs w:val="24"/>
          <w:highlight w:val="none"/>
        </w:rPr>
      </w:pPr>
      <w:r>
        <w:rPr>
          <w:rFonts w:hint="eastAsia" w:ascii="仿宋" w:hAnsi="仿宋" w:eastAsia="仿宋" w:cs="仿宋"/>
          <w:spacing w:val="3"/>
          <w:sz w:val="24"/>
          <w:szCs w:val="24"/>
          <w14:ligatures w14:val="none"/>
        </w:rPr>
        <w:t xml:space="preserve">★</w:t>
      </w:r>
      <w:r>
        <w:rPr>
          <w:rFonts w:hint="eastAsia" w:ascii="仿宋" w:hAnsi="仿宋" w:eastAsia="仿宋" w:cs="仿宋"/>
          <w:bCs/>
          <w:color w:val="auto"/>
          <w:sz w:val="24"/>
          <w:szCs w:val="24"/>
          <w:highlight w:val="none"/>
        </w:rPr>
        <w:t xml:space="preserve">3、由于中标人原因导致无法上牌的，限期进行整改，整改后仍无法上牌的由中标人承担相应责任并解除合同。</w:t>
      </w:r>
      <w:r/>
    </w:p>
    <w:p>
      <w:pPr>
        <w:keepLines w:val="0"/>
        <w:keepNext w:val="0"/>
        <w:pageBreakBefore w:val="0"/>
        <w:spacing w:line="336"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spacing w:val="3"/>
          <w:sz w:val="24"/>
          <w:szCs w:val="24"/>
          <w14:ligatures w14:val="none"/>
        </w:rPr>
        <w:t xml:space="preserve">★</w:t>
      </w: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bCs/>
          <w:color w:val="auto"/>
          <w:sz w:val="24"/>
          <w:szCs w:val="24"/>
          <w:highlight w:val="none"/>
          <w:lang w:val="en-US" w:eastAsia="zh-CN" w:bidi="ar-SA"/>
        </w:rPr>
        <w:t xml:space="preserve">质保期（保修期自验收合格之日起计算）</w:t>
      </w:r>
      <w:r/>
    </w:p>
    <w:p>
      <w:pPr>
        <w:ind w:firstLine="560"/>
        <w:keepLines w:val="0"/>
        <w:keepNext w:val="0"/>
        <w:pageBreakBefore w:val="0"/>
        <w:spacing w:line="336"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采购包一、采购包二：整车免费质保期2年（包括纯电动车型动力电池、驱动电机、整车控制器等三电系统）。</w:t>
      </w:r>
      <w:r/>
    </w:p>
    <w:p>
      <w:pPr>
        <w:ind w:firstLine="560"/>
        <w:keepLines w:val="0"/>
        <w:keepNext w:val="0"/>
        <w:pageBreakBefore w:val="0"/>
        <w:spacing w:line="336"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采购包三：整车免费质保期2年。</w:t>
      </w:r>
      <w:r/>
    </w:p>
    <w:p>
      <w:pPr>
        <w:keepLines w:val="0"/>
        <w:keepNext w:val="0"/>
        <w:pageBreakBefore w:val="0"/>
        <w:spacing w:line="33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、商务部分（</w:t>
      </w:r>
      <w:r>
        <w:rPr>
          <w:rFonts w:hint="eastAsia" w:ascii="仿宋" w:hAnsi="仿宋" w:eastAsia="仿宋" w:cs="仿宋"/>
          <w:b/>
          <w:color w:val="auto"/>
          <w:sz w:val="24"/>
          <w:szCs w:val="24"/>
          <w:highlight w:val="none"/>
          <w:lang w:val="en-US" w:eastAsia="zh-CN"/>
        </w:rPr>
        <w:t xml:space="preserve">适用所有</w:t>
      </w:r>
      <w:r>
        <w:rPr>
          <w:rFonts w:hint="eastAsia" w:ascii="仿宋" w:hAnsi="仿宋" w:eastAsia="仿宋" w:cs="仿宋"/>
          <w:b/>
          <w:color w:val="auto"/>
          <w:sz w:val="24"/>
          <w:szCs w:val="24"/>
          <w:highlight w:val="none"/>
        </w:rPr>
        <w:t xml:space="preserve">采购包）</w:t>
      </w:r>
      <w:r/>
    </w:p>
    <w:p>
      <w:pPr>
        <w:ind w:firstLine="56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0日内完成供货、调试并交付采购人使用</w:t>
      </w:r>
      <w:r>
        <w:rPr>
          <w:rFonts w:hint="eastAsia" w:ascii="仿宋" w:hAnsi="仿宋" w:eastAsia="仿宋"/>
          <w:color w:val="auto"/>
          <w:sz w:val="24"/>
          <w:szCs w:val="24"/>
          <w:highlight w:val="none"/>
        </w:rPr>
        <w:t xml:space="preserve">。</w:t>
      </w:r>
      <w:r/>
    </w:p>
    <w:p>
      <w:pPr>
        <w:ind w:firstLine="56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供货地点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由采购人指定。</w:t>
      </w:r>
      <w:r/>
    </w:p>
    <w:p>
      <w:pPr>
        <w:pStyle w:val="656"/>
        <w:ind w:firstLine="560"/>
        <w:keepLines w:val="0"/>
        <w:keepNext w:val="0"/>
        <w:pageBreakBefore w:val="0"/>
        <w:spacing w:line="336"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付款方式</w:t>
      </w:r>
      <w:r>
        <w:rPr>
          <w:rFonts w:hint="eastAsia" w:ascii="仿宋" w:hAnsi="仿宋" w:eastAsia="仿宋" w:cs="仿宋"/>
          <w:color w:val="auto"/>
          <w:sz w:val="24"/>
          <w:szCs w:val="24"/>
          <w:highlight w:val="none"/>
          <w:lang w:eastAsia="zh-CN"/>
        </w:rPr>
        <w:t xml:space="preserve">：</w:t>
      </w:r>
      <w:r/>
    </w:p>
    <w:p>
      <w:pPr>
        <w:pStyle w:val="656"/>
        <w:ind w:firstLine="56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合同签订后30日内支付合同款项的30%作为预付款，安装调试完毕且经验收合格交付使用后一次性无息付清剩余款项，不计利息。</w:t>
      </w:r>
      <w:r/>
    </w:p>
    <w:p>
      <w:pPr>
        <w:pStyle w:val="656"/>
        <w:ind w:firstLine="560"/>
        <w:keepLines w:val="0"/>
        <w:keepNext w:val="0"/>
        <w:pageBreakBefore w:val="0"/>
        <w:spacing w:line="336" w:lineRule="auto"/>
        <w:widowControl w:val="off"/>
        <w:rPr>
          <w:rFonts w:hint="eastAsia" w:ascii="仿宋" w:hAnsi="仿宋" w:eastAsia="仿宋" w:cs="仿宋"/>
          <w:b/>
          <w:bCs/>
          <w:color w:val="auto"/>
          <w:spacing w:val="7"/>
          <w:sz w:val="24"/>
          <w:szCs w:val="24"/>
          <w:highlight w:val="none"/>
        </w:rPr>
      </w:pPr>
      <w:r>
        <w:rPr>
          <w:rFonts w:hint="eastAsia" w:ascii="仿宋" w:hAnsi="仿宋" w:eastAsia="仿宋" w:cs="仿宋"/>
          <w:color w:val="auto"/>
          <w:sz w:val="24"/>
          <w:szCs w:val="24"/>
          <w:highlight w:val="none"/>
        </w:rPr>
        <w:t xml:space="preserve">注：付款时乙方须提供正规含税发票（因发票问题而导致无法正常付款的，责任由乙方承担）。</w:t>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883"/>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83"/>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883"/>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3"/>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3"/>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3"/>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83"/>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hint="eastAsia" w:ascii="黑体" w:hAnsi="黑体" w:eastAsia="黑体"/>
          <w:b/>
          <w:bCs/>
          <w:color w:val="auto"/>
          <w:sz w:val="36"/>
          <w:highlight w:val="none"/>
          <w:lang w:eastAsia="zh-CN"/>
        </w:rPr>
        <w:t xml:space="preserve">：</w:t>
      </w:r>
      <w:r/>
    </w:p>
    <w:p>
      <w:pPr>
        <w:pStyle w:val="883"/>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83"/>
        <w:jc w:val="center"/>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883"/>
        <w:jc w:val="center"/>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highlight w:val="none"/>
        </w:rPr>
        <w:t xml:space="preserve">致</w:t>
      </w:r>
      <w:r>
        <w:rPr>
          <w:rFonts w:hint="eastAsia" w:ascii="仿宋" w:hAnsi="仿宋" w:eastAsia="仿宋"/>
          <w:color w:val="auto"/>
          <w:sz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933"/>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yellow"/>
          <w:lang w:val="en-US" w:eastAsia="zh-CN"/>
        </w:rPr>
        <w:t xml:space="preserve">        </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3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我们接受招标文件的所有的条款和规定。</w:t>
      </w:r>
      <w:r/>
    </w:p>
    <w:p>
      <w:pPr>
        <w:pStyle w:val="93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93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我们理解，你们无义务必须接受投标价最低的投标。同时也理解你们不承担我们本次投标的费用。</w:t>
      </w:r>
      <w:r/>
    </w:p>
    <w:p>
      <w:pPr>
        <w:pStyle w:val="93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6.</w:t>
      </w:r>
      <w:r>
        <w:rPr>
          <w:rFonts w:hint="eastAsia" w:ascii="仿宋" w:hAnsi="仿宋" w:eastAsia="仿宋"/>
          <w:color w:val="auto"/>
          <w:sz w:val="28"/>
          <w:highlight w:val="none"/>
        </w:rPr>
        <w:t xml:space="preserve">我们同意向贵方提供贵方可能要求的与投标有关的任何证据或资料，并保证所提供的都是真实的、准确的。</w:t>
      </w:r>
      <w:r/>
    </w:p>
    <w:p>
      <w:pPr>
        <w:pStyle w:val="933"/>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33"/>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33"/>
        <w:ind w:right="560" w:firstLine="420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名称（电子签章）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w:t>
      </w:r>
      <w:r/>
    </w:p>
    <w:p>
      <w:pPr>
        <w:pStyle w:val="933"/>
        <w:ind w:right="560" w:firstLine="42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883"/>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3995"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3995" w:type="pct"/>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供货时间</w:t>
            </w:r>
            <w:r/>
          </w:p>
        </w:tc>
        <w:tc>
          <w:tcPr>
            <w:tcW w:w="3995"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按招标文件要求执行。</w:t>
            </w:r>
            <w:r/>
          </w:p>
        </w:tc>
      </w:tr>
    </w:tbl>
    <w:p>
      <w:pPr>
        <w:ind w:firstLine="411"/>
        <w:spacing w:line="440" w:lineRule="exact"/>
        <w:rPr>
          <w:rFonts w:hint="eastAsia" w:ascii="仿宋" w:hAnsi="仿宋" w:eastAsia="仿宋"/>
          <w:color w:val="auto"/>
          <w:sz w:val="28"/>
          <w:szCs w:val="28"/>
          <w:highlight w:val="none"/>
        </w:rPr>
      </w:pPr>
      <w:r/>
      <w:bookmarkStart w:id="40" w:name="_Toc157775459"/>
      <w:r/>
      <w:bookmarkEnd w:id="40"/>
      <w:r/>
      <w:bookmarkStart w:id="41" w:name="_Toc136924766"/>
      <w:r/>
      <w:bookmarkEnd w:id="41"/>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83"/>
        <w:ind w:firstLine="2875"/>
        <w:rPr>
          <w:rFonts w:hint="eastAsia" w:hAnsi="宋体"/>
          <w:b/>
          <w:color w:val="auto"/>
          <w:sz w:val="32"/>
          <w:szCs w:val="32"/>
          <w:highlight w:val="none"/>
        </w:rPr>
      </w:pPr>
      <w:r/>
      <w:bookmarkStart w:id="42" w:name="_Toc157775468"/>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ind w:firstLine="2875"/>
        <w:rPr>
          <w:rFonts w:hint="eastAsia" w:hAnsi="宋体"/>
          <w:b/>
          <w:color w:val="auto"/>
          <w:sz w:val="32"/>
          <w:szCs w:val="32"/>
          <w:highlight w:val="none"/>
        </w:rPr>
      </w:pPr>
      <w:r>
        <w:rPr>
          <w:rFonts w:hint="eastAsia" w:hAnsi="宋体"/>
          <w:b/>
          <w:color w:val="auto"/>
          <w:sz w:val="32"/>
          <w:szCs w:val="32"/>
          <w:highlight w:val="none"/>
        </w:rPr>
      </w:r>
      <w:r/>
    </w:p>
    <w:p>
      <w:pPr>
        <w:pStyle w:val="883"/>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83"/>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883"/>
        <w:jc w:val="center"/>
        <w:spacing w:line="340" w:lineRule="exact"/>
        <w:rPr>
          <w:rFonts w:hint="eastAsia" w:ascii="仿宋" w:hAnsi="仿宋" w:eastAsia="仿宋" w:cs="Calibri"/>
          <w:color w:val="auto"/>
          <w:sz w:val="24"/>
          <w:szCs w:val="24"/>
          <w:highlight w:val="none"/>
        </w:rPr>
      </w:pPr>
      <w:r>
        <w:rPr>
          <w:rFonts w:hint="eastAsia" w:ascii="仿宋" w:hAnsi="仿宋" w:eastAsia="仿宋" w:cs="Calibri"/>
          <w:color w:val="auto"/>
          <w:sz w:val="24"/>
          <w:szCs w:val="24"/>
          <w:highlight w:val="none"/>
        </w:rPr>
      </w:r>
      <w:r/>
    </w:p>
    <w:tbl>
      <w:tblPr>
        <w:tblStyle w:val="64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生产厂家</w:t>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96"/>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724"/>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580"/>
        </w:trPr>
        <w:tc>
          <w:tcPr>
            <w:tcMar>
              <w:left w:w="108" w:type="dxa"/>
              <w:top w:w="0" w:type="dxa"/>
              <w:right w:w="108" w:type="dxa"/>
              <w:bottom w:w="0" w:type="dxa"/>
            </w:tcMar>
            <w:tcW w:w="52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697"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449"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883"/>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投标总报价（人民币：元）</w:t>
            </w:r>
            <w:r/>
          </w:p>
        </w:tc>
        <w:tc>
          <w:tcPr>
            <w:tcMar>
              <w:left w:w="108" w:type="dxa"/>
              <w:top w:w="0" w:type="dxa"/>
              <w:right w:w="108" w:type="dxa"/>
              <w:bottom w:w="0" w:type="dxa"/>
            </w:tcMar>
            <w:tcW w:w="462" w:type="pct"/>
            <w:textDirection w:val="lrTb"/>
            <w:noWrap w:val="false"/>
          </w:tcPr>
          <w:p>
            <w:pPr>
              <w:pStyle w:val="883"/>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bl>
    <w:p>
      <w:pPr>
        <w:pStyle w:val="883"/>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lang w:val="en-US" w:eastAsia="zh-CN"/>
        </w:rPr>
        <w:t xml:space="preserve">.</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3"/>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2.</w:t>
      </w:r>
      <w:r>
        <w:rPr>
          <w:rFonts w:ascii="仿宋" w:hAnsi="仿宋" w:eastAsia="仿宋"/>
          <w:color w:val="auto"/>
          <w:sz w:val="28"/>
          <w:szCs w:val="24"/>
          <w:highlight w:val="none"/>
        </w:rPr>
        <w:t xml:space="preserve">“投标分项报价表”中“投标总报价”数额应当与“开标一览表”中“投标总报价”数额一致。</w:t>
      </w:r>
      <w:r/>
    </w:p>
    <w:p>
      <w:pPr>
        <w:pStyle w:val="883"/>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83"/>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3"/>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83"/>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6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W w:w="612" w:type="pct"/>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881"/>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1"/>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1"/>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42"/>
      <w:r/>
    </w:p>
    <w:p>
      <w:pPr>
        <w:pStyle w:val="881"/>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83"/>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83"/>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83"/>
        <w:jc w:val="cente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lang w:eastAsia="zh-CN"/>
        </w:rPr>
        <w:t xml:space="preserve">投标人</w:t>
      </w:r>
      <w:r>
        <w:rPr>
          <w:rFonts w:hint="eastAsia" w:ascii="仿宋" w:hAnsi="仿宋" w:eastAsia="仿宋"/>
          <w:b/>
          <w:bCs/>
          <w:color w:val="auto"/>
          <w:sz w:val="32"/>
          <w:szCs w:val="32"/>
          <w:highlight w:val="none"/>
        </w:rPr>
        <w:t xml:space="preserve">必须提供的资格证明文件</w:t>
      </w:r>
      <w:r/>
    </w:p>
    <w:p>
      <w:pPr>
        <w:pStyle w:val="883"/>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提供下列材料之一</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2.投标人</w:t>
      </w:r>
      <w:r>
        <w:rPr>
          <w:rFonts w:hint="eastAsia" w:ascii="仿宋" w:hAnsi="仿宋" w:eastAsia="仿宋"/>
          <w:color w:val="auto"/>
          <w:sz w:val="28"/>
          <w:highlight w:val="none"/>
        </w:rPr>
        <w:t xml:space="preserve">须具有在有效期内的营业执照副本、税务登记证副本、组织机构代码证副本或三证合一的营业执照；（提供营业执照扫描件上传至电子标文件中，并进行电子签章）。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eastAsia="zh-CN"/>
        </w:rPr>
        <w:t xml:space="preserve">3.投标人</w:t>
      </w:r>
      <w:r>
        <w:rPr>
          <w:rFonts w:hint="eastAsia" w:ascii="仿宋" w:hAnsi="仿宋" w:eastAsia="仿宋"/>
          <w:color w:val="auto"/>
          <w:sz w:val="28"/>
          <w:highlight w:val="none"/>
        </w:rPr>
        <w:t xml:space="preserve">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szCs w:val="28"/>
          <w:highlight w:val="none"/>
        </w:rPr>
        <w:t xml:space="preserve">提供承诺书</w:t>
      </w:r>
      <w:r>
        <w:rPr>
          <w:rFonts w:hint="eastAsia" w:ascii="仿宋" w:hAnsi="仿宋" w:eastAsia="仿宋"/>
          <w:color w:val="auto"/>
          <w:sz w:val="28"/>
          <w:highlight w:val="none"/>
        </w:rPr>
        <w:t xml:space="preserve">上传至电子标文件中，并进行电子签章</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val="en-US" w:eastAsia="zh-CN"/>
        </w:rPr>
        <w:t xml:space="preserve">4.</w:t>
      </w:r>
      <w:r>
        <w:rPr>
          <w:rFonts w:hint="eastAsia" w:ascii="仿宋" w:hAnsi="仿宋" w:eastAsia="仿宋"/>
          <w:color w:val="auto"/>
          <w:sz w:val="28"/>
          <w:highlight w:val="none"/>
          <w:lang w:val="zh-CN"/>
        </w:rPr>
        <w:t xml:space="preserve">拒绝下述条件的投标人参加本次采购活动：（格式</w:t>
      </w:r>
      <w:r>
        <w:rPr>
          <w:rFonts w:hint="eastAsia" w:ascii="仿宋" w:hAnsi="仿宋" w:eastAsia="仿宋"/>
          <w:color w:val="auto"/>
          <w:sz w:val="28"/>
          <w:highlight w:val="none"/>
          <w:lang w:val="en-US" w:eastAsia="zh-CN"/>
        </w:rPr>
        <w:t xml:space="preserve">自拟</w:t>
      </w:r>
      <w:r>
        <w:rPr>
          <w:rFonts w:hint="eastAsia" w:ascii="仿宋" w:hAnsi="仿宋" w:eastAsia="仿宋"/>
          <w:color w:val="auto"/>
          <w:sz w:val="28"/>
          <w:highlight w:val="none"/>
          <w:lang w:val="zh-CN"/>
        </w:rPr>
        <w:t xml:space="preserve">，提供承诺书上传至电子标文件中，并进行电子签章）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val="zh-CN"/>
        </w:rPr>
        <w:t xml:space="preserve">投标人单位负责人为同一人或者存在直接控股、管理关系的不同投标人，不得同时参加同一合同项下的政府采购活动。</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zh-CN"/>
        </w:rPr>
        <w:t xml:space="preserve">凡为采购项目提供整体设计、规范编制或者项目管理、监理、检测等服务的投标人，不得再参加本项目的采购活动。</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en-US" w:eastAsia="zh-CN"/>
        </w:rPr>
        <w:t xml:space="preserve">3</w:t>
      </w: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zh-CN"/>
        </w:rPr>
        <w:t xml:space="preserve">投标人被“信用中国”网站、“中国政府采购网”列入失信被执行人、重大税收违法案件当事人名单、政府采购严重违法失信行为记录名单。</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 xml:space="preserve">5</w:t>
      </w:r>
      <w:r>
        <w:rPr>
          <w:rFonts w:hint="eastAsia" w:ascii="仿宋" w:hAnsi="仿宋" w:eastAsia="仿宋"/>
          <w:color w:val="auto"/>
          <w:sz w:val="28"/>
          <w:highlight w:val="none"/>
          <w:lang w:eastAsia="zh-CN"/>
        </w:rPr>
        <w:t xml:space="preserve">.</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1428"/>
        <w:jc w:val="left"/>
        <w:spacing w:line="520" w:lineRule="exact"/>
        <w:widowControl/>
        <w:rPr>
          <w:rFonts w:hint="eastAsia" w:ascii="宋体" w:hAnsi="宋体"/>
          <w:b/>
          <w:color w:val="auto"/>
          <w:sz w:val="36"/>
          <w:highlight w:val="none"/>
        </w:rPr>
      </w:pPr>
      <w:r>
        <w:rPr>
          <w:rFonts w:ascii="宋体" w:hAnsi="宋体"/>
          <w:b/>
          <w:color w:val="auto"/>
          <w:sz w:val="36"/>
          <w:highlight w:val="none"/>
        </w:rPr>
        <w:br w:type="page" w:clear="all"/>
      </w:r>
      <w:bookmarkStart w:id="43" w:name="_Toc157775454"/>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六、综合评分时</w:t>
      </w:r>
      <w:r>
        <w:rPr>
          <w:rFonts w:hint="eastAsia" w:ascii="仿宋" w:hAnsi="仿宋" w:eastAsia="仿宋" w:cs="Arial"/>
          <w:b/>
          <w:bCs/>
          <w:color w:val="auto"/>
          <w:sz w:val="32"/>
          <w:highlight w:val="none"/>
          <w:lang w:eastAsia="zh-CN"/>
        </w:rPr>
        <w:t xml:space="preserve">投标人</w:t>
      </w:r>
      <w:r>
        <w:rPr>
          <w:rFonts w:hint="eastAsia" w:ascii="仿宋" w:hAnsi="仿宋" w:eastAsia="仿宋" w:cs="Arial"/>
          <w:b/>
          <w:bCs/>
          <w:color w:val="auto"/>
          <w:sz w:val="32"/>
          <w:highlight w:val="none"/>
        </w:rPr>
        <w:t xml:space="preserve">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lang w:eastAsia="zh-CN"/>
        </w:rPr>
        <w:t xml:space="preserve">投标人</w:t>
      </w:r>
      <w:r>
        <w:rPr>
          <w:rFonts w:hint="eastAsia" w:ascii="仿宋" w:hAnsi="仿宋" w:eastAsia="仿宋" w:cs="楷体_GB2312"/>
          <w:color w:val="auto"/>
          <w:sz w:val="28"/>
          <w:szCs w:val="28"/>
          <w:highlight w:val="none"/>
          <w:lang w:val="zh-CN"/>
        </w:rPr>
        <w:t xml:space="preserve">根据第三章评标标准的要求提供相关材料）</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3"/>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33"/>
        <w:ind w:left="4760" w:right="560" w:hanging="1820"/>
        <w:spacing w:before="0" w:after="0"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淮安市淮阴区城市管理局</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420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w:t>
      </w:r>
      <w:r/>
    </w:p>
    <w:p>
      <w:pPr>
        <w:ind w:firstLine="420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651"/>
        <w:rPr>
          <w:rFonts w:hint="eastAsia"/>
        </w:rPr>
      </w:pPr>
      <w:r>
        <w:rPr>
          <w:rFonts w:hint="eastAsia"/>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w:t>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的声明函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48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 xml:space="preserve">承诺人</w:t>
      </w:r>
      <w:r>
        <w:rPr>
          <w:rFonts w:hint="eastAsia" w:ascii="仿宋" w:hAnsi="仿宋" w:eastAsia="仿宋"/>
          <w:color w:val="auto"/>
          <w:sz w:val="28"/>
          <w:szCs w:val="28"/>
          <w:highlight w:val="none"/>
          <w:lang w:eastAsia="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44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86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6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6"/>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6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66"/>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392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66"/>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注：从业人员、营业收入、资产总额填报上一年度数据，无上一年度数据的新成立企业可不填报。</w:t>
      </w:r>
      <w:r/>
    </w:p>
    <w:p>
      <w:pPr>
        <w:pStyle w:val="866"/>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866"/>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6"/>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6"/>
        <w:ind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866"/>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66"/>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66"/>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66"/>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66"/>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640" w:lineRule="exact"/>
        <w:rPr>
          <w:rFonts w:hint="eastAsia" w:ascii="仿宋" w:hAnsi="仿宋" w:eastAsia="仿宋"/>
          <w:color w:val="auto"/>
          <w:sz w:val="28"/>
          <w:szCs w:val="28"/>
          <w:highlight w:val="none"/>
        </w:rPr>
        <w:sectPr>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olor w:val="auto"/>
          <w:sz w:val="28"/>
          <w:szCs w:val="28"/>
          <w:highlight w:val="none"/>
        </w:rPr>
      </w:r>
      <w:r/>
    </w:p>
    <w:p>
      <w:pPr>
        <w:pStyle w:val="866"/>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示范格式六</w:t>
      </w:r>
      <w:r/>
    </w:p>
    <w:p>
      <w:pPr>
        <w:pStyle w:val="866"/>
        <w:ind w:firstLine="0"/>
        <w:jc w:val="center"/>
        <w:keepLines w:val="0"/>
        <w:keepNext w:val="0"/>
        <w:pageBreakBefore w:val="0"/>
        <w:spacing w:line="336"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32"/>
          <w:szCs w:val="32"/>
          <w:highlight w:val="none"/>
        </w:rPr>
        <w:t xml:space="preserve">关于符合本国产品标准的声明函（采购包号：**）</w:t>
      </w:r>
      <w:r/>
    </w:p>
    <w:p>
      <w:pPr>
        <w:pStyle w:val="866"/>
        <w:ind w:firstLine="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u w:val="single"/>
        </w:rPr>
        <w:t xml:space="preserve">（采购人）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pStyle w:val="86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u w:val="single"/>
          <w:vertAlign w:val="superscript"/>
        </w:rPr>
        <w:t xml:space="preserve">1</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vertAlign w:val="superscript"/>
        </w:rPr>
        <w:t xml:space="preserve">2</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vertAlign w:val="superscript"/>
        </w:rPr>
        <w:t xml:space="preserve">3</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vertAlign w:val="superscript"/>
        </w:rPr>
        <w:t xml:space="preserve">4</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vertAlign w:val="superscript"/>
        </w:rPr>
        <w:t xml:space="preserve">5</w:t>
      </w:r>
      <w:r>
        <w:rPr>
          <w:rFonts w:hint="eastAsia" w:ascii="仿宋" w:hAnsi="仿宋" w:eastAsia="仿宋"/>
          <w:bCs/>
          <w:color w:val="auto"/>
          <w:sz w:val="28"/>
          <w:szCs w:val="28"/>
          <w:highlight w:val="none"/>
        </w:rPr>
        <w:t xml:space="preserve">在中国境内完成。</w:t>
      </w:r>
      <w:r/>
    </w:p>
    <w:p>
      <w:pPr>
        <w:pStyle w:val="86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rPr>
        <w:t xml:space="preserve">在中国境内完成。</w:t>
      </w:r>
      <w:r/>
    </w:p>
    <w:p>
      <w:pPr>
        <w:pStyle w:val="86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p>
    <w:p>
      <w:pPr>
        <w:pStyle w:val="866"/>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本公司（单位）对上述声明内容的真实性负责。如有虚假，愿承担相应法律责任。</w:t>
      </w:r>
      <w:r/>
    </w:p>
    <w:p>
      <w:pPr>
        <w:pStyle w:val="866"/>
        <w:ind w:firstLine="4934"/>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公司（单位）名称（</w:t>
      </w:r>
      <w:r>
        <w:rPr>
          <w:rFonts w:hint="eastAsia" w:ascii="仿宋" w:hAnsi="仿宋" w:eastAsia="仿宋"/>
          <w:bCs/>
          <w:color w:val="auto"/>
          <w:sz w:val="28"/>
          <w:szCs w:val="28"/>
          <w:highlight w:val="none"/>
          <w:lang w:val="en-US" w:eastAsia="zh-CN"/>
        </w:rPr>
        <w:t xml:space="preserve">电子签</w:t>
      </w:r>
      <w:r>
        <w:rPr>
          <w:rFonts w:hint="eastAsia" w:ascii="仿宋" w:hAnsi="仿宋" w:eastAsia="仿宋"/>
          <w:bCs/>
          <w:color w:val="auto"/>
          <w:sz w:val="28"/>
          <w:szCs w:val="28"/>
          <w:highlight w:val="none"/>
        </w:rPr>
        <w:t xml:space="preserve">章）：　</w:t>
      </w:r>
      <w:r/>
    </w:p>
    <w:p>
      <w:pPr>
        <w:pStyle w:val="866"/>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日期：   年　  月　  日         </w:t>
      </w:r>
      <w:r/>
    </w:p>
    <w:p>
      <w:pPr>
        <w:pStyle w:val="866"/>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注：1.产品如有型号，请在“产品名称”栏一并填写。</w:t>
      </w:r>
      <w:r/>
    </w:p>
    <w:p>
      <w:pPr>
        <w:pStyle w:val="866"/>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2.生产厂名与厂址应与生产厂营业执照载明的相关信息保持一致。</w:t>
      </w:r>
      <w:r/>
    </w:p>
    <w:p>
      <w:pPr>
        <w:pStyle w:val="866"/>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3.该产品的中国境内生产的组件成本占比相关要求实施前，“规定比例”栏可不填，下同。</w:t>
      </w:r>
      <w:r/>
    </w:p>
    <w:p>
      <w:pPr>
        <w:pStyle w:val="866"/>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4.该产品的关键组件要求实施前，“关键组件”栏可不填，下同。</w:t>
      </w:r>
      <w:r/>
    </w:p>
    <w:p>
      <w:pPr>
        <w:pStyle w:val="866"/>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Wingdings">
    <w:panose1 w:val="05000000000000000000"/>
  </w:font>
  <w:font w:name="Times New Roman (正文 CS 字体)">
    <w:panose1 w:val="02020603050405020304"/>
  </w:font>
  <w:font w:name="Symbol">
    <w:panose1 w:val="05050102010706020507"/>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280"/>
      <w:rPr>
        <w:rFonts w:hint="eastAsia" w:ascii="华文行楷" w:hAnsi="黑体" w:eastAsia="华文行楷"/>
        <w:sz w:val="28"/>
        <w:szCs w:val="28"/>
      </w:rPr>
    </w:pPr>
    <w:r>
      <w:rPr>
        <w:rFonts w:hint="eastAsia" w:ascii="华文行楷" w:hAnsi="华文行楷" w:eastAsia="华文行楷" w:cs="华文行楷"/>
        <w:color w:val="000000"/>
        <w:sz w:val="28"/>
        <w:szCs w:val="28"/>
      </w:rPr>
      <w:t xml:space="preserve">淮安市</w:t>
    </w:r>
    <w:r>
      <w:rPr>
        <w:rFonts w:hint="eastAsia" w:ascii="华文行楷" w:hAnsi="华文行楷" w:eastAsia="华文行楷" w:cs="华文行楷"/>
        <w:color w:val="000000"/>
        <w:sz w:val="28"/>
        <w:szCs w:val="28"/>
        <w:lang w:val="en-US" w:eastAsia="zh-CN"/>
      </w:rPr>
      <w:t xml:space="preserve">淮阴区</w:t>
    </w:r>
    <w:r>
      <w:rPr>
        <w:rFonts w:hint="eastAsia" w:ascii="华文行楷" w:hAnsi="华文行楷" w:eastAsia="华文行楷" w:cs="华文行楷"/>
        <w:color w:val="000000"/>
        <w:sz w:val="28"/>
        <w:szCs w:val="28"/>
      </w:rPr>
      <w:t xml:space="preserve">政府采购项目</w:t>
    </w:r>
    <w:r>
      <w:rPr>
        <w:rFonts w:hint="eastAsia" w:ascii="华文行楷" w:hAnsi="华文行楷" w:eastAsia="华文行楷" w:cs="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3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4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8">
    <w:name w:val="Heading 1"/>
    <w:basedOn w:val="637"/>
    <w:next w:val="637"/>
    <w:link w:val="716"/>
    <w:uiPriority w:val="9"/>
    <w:qFormat/>
    <w:pPr>
      <w:keepLines/>
      <w:keepNext/>
      <w:spacing w:before="480" w:after="200"/>
      <w:outlineLvl w:val="0"/>
    </w:pPr>
    <w:rPr>
      <w:rFonts w:ascii="Arial" w:hAnsi="Arial" w:eastAsia="Arial" w:cs="Arial"/>
      <w:sz w:val="40"/>
      <w:szCs w:val="40"/>
    </w:rPr>
  </w:style>
  <w:style w:type="paragraph" w:styleId="639">
    <w:name w:val="Heading 2"/>
    <w:basedOn w:val="637"/>
    <w:next w:val="637"/>
    <w:link w:val="717"/>
    <w:uiPriority w:val="9"/>
    <w:unhideWhenUsed/>
    <w:qFormat/>
    <w:pPr>
      <w:keepLines/>
      <w:keepNext/>
      <w:spacing w:before="360" w:after="200"/>
      <w:outlineLvl w:val="1"/>
    </w:pPr>
    <w:rPr>
      <w:rFonts w:ascii="Arial" w:hAnsi="Arial" w:eastAsia="Arial" w:cs="Arial"/>
      <w:sz w:val="34"/>
    </w:rPr>
  </w:style>
  <w:style w:type="paragraph" w:styleId="640">
    <w:name w:val="Heading 3"/>
    <w:basedOn w:val="637"/>
    <w:next w:val="637"/>
    <w:link w:val="718"/>
    <w:uiPriority w:val="9"/>
    <w:unhideWhenUsed/>
    <w:qFormat/>
    <w:pPr>
      <w:keepLines/>
      <w:keepNext/>
      <w:spacing w:before="320" w:after="200"/>
      <w:outlineLvl w:val="2"/>
    </w:pPr>
    <w:rPr>
      <w:rFonts w:ascii="Arial" w:hAnsi="Arial" w:eastAsia="Arial" w:cs="Arial"/>
      <w:sz w:val="30"/>
      <w:szCs w:val="30"/>
    </w:rPr>
  </w:style>
  <w:style w:type="paragraph" w:styleId="641">
    <w:name w:val="Heading 4"/>
    <w:basedOn w:val="637"/>
    <w:next w:val="637"/>
    <w:link w:val="719"/>
    <w:uiPriority w:val="9"/>
    <w:unhideWhenUsed/>
    <w:qFormat/>
    <w:pPr>
      <w:keepLines/>
      <w:keepNext/>
      <w:spacing w:before="320" w:after="200"/>
      <w:outlineLvl w:val="3"/>
    </w:pPr>
    <w:rPr>
      <w:rFonts w:ascii="Arial" w:hAnsi="Arial" w:eastAsia="Arial" w:cs="Arial"/>
      <w:b/>
      <w:bCs/>
      <w:sz w:val="26"/>
      <w:szCs w:val="26"/>
    </w:rPr>
  </w:style>
  <w:style w:type="paragraph" w:styleId="642">
    <w:name w:val="Heading 5"/>
    <w:basedOn w:val="637"/>
    <w:next w:val="637"/>
    <w:link w:val="720"/>
    <w:uiPriority w:val="9"/>
    <w:unhideWhenUsed/>
    <w:qFormat/>
    <w:pPr>
      <w:keepLines/>
      <w:keepNext/>
      <w:spacing w:before="320" w:after="200"/>
      <w:outlineLvl w:val="4"/>
    </w:pPr>
    <w:rPr>
      <w:rFonts w:ascii="Arial" w:hAnsi="Arial" w:eastAsia="Arial" w:cs="Arial"/>
      <w:b/>
      <w:bCs/>
      <w:sz w:val="24"/>
    </w:rPr>
  </w:style>
  <w:style w:type="paragraph" w:styleId="643">
    <w:name w:val="Heading 6"/>
    <w:basedOn w:val="637"/>
    <w:next w:val="637"/>
    <w:link w:val="721"/>
    <w:uiPriority w:val="9"/>
    <w:unhideWhenUsed/>
    <w:qFormat/>
    <w:pPr>
      <w:keepLines/>
      <w:keepNext/>
      <w:spacing w:before="320" w:after="200"/>
      <w:outlineLvl w:val="5"/>
    </w:pPr>
    <w:rPr>
      <w:rFonts w:ascii="Arial" w:hAnsi="Arial" w:eastAsia="Arial" w:cs="Arial"/>
      <w:b/>
      <w:bCs/>
      <w:sz w:val="22"/>
      <w:szCs w:val="22"/>
    </w:rPr>
  </w:style>
  <w:style w:type="paragraph" w:styleId="644">
    <w:name w:val="Heading 7"/>
    <w:basedOn w:val="637"/>
    <w:next w:val="637"/>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45">
    <w:name w:val="Heading 8"/>
    <w:basedOn w:val="637"/>
    <w:next w:val="637"/>
    <w:link w:val="723"/>
    <w:uiPriority w:val="9"/>
    <w:unhideWhenUsed/>
    <w:qFormat/>
    <w:pPr>
      <w:keepLines/>
      <w:keepNext/>
      <w:spacing w:before="320" w:after="200"/>
      <w:outlineLvl w:val="7"/>
    </w:pPr>
    <w:rPr>
      <w:rFonts w:ascii="Arial" w:hAnsi="Arial" w:eastAsia="Arial" w:cs="Arial"/>
      <w:i/>
      <w:iCs/>
      <w:sz w:val="22"/>
      <w:szCs w:val="22"/>
    </w:rPr>
  </w:style>
  <w:style w:type="paragraph" w:styleId="646">
    <w:name w:val="Heading 9"/>
    <w:basedOn w:val="637"/>
    <w:next w:val="637"/>
    <w:link w:val="724"/>
    <w:uiPriority w:val="9"/>
    <w:unhideWhenUsed/>
    <w:qFormat/>
    <w:pPr>
      <w:keepLines/>
      <w:keepNext/>
      <w:spacing w:before="320" w:after="200"/>
      <w:outlineLvl w:val="8"/>
    </w:pPr>
    <w:rPr>
      <w:rFonts w:ascii="Arial" w:hAnsi="Arial" w:eastAsia="Arial" w:cs="Arial"/>
      <w:i/>
      <w:iCs/>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toc 7"/>
    <w:basedOn w:val="637"/>
    <w:next w:val="637"/>
    <w:uiPriority w:val="39"/>
    <w:unhideWhenUsed/>
    <w:qFormat/>
    <w:pPr>
      <w:ind w:left="1701"/>
      <w:spacing w:after="57"/>
    </w:pPr>
  </w:style>
  <w:style w:type="paragraph" w:styleId="650">
    <w:name w:val="Caption"/>
    <w:basedOn w:val="637"/>
    <w:next w:val="6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1">
    <w:name w:val="Body Text"/>
    <w:basedOn w:val="637"/>
    <w:next w:val="63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2">
    <w:name w:val="Body Text Indent"/>
    <w:basedOn w:val="637"/>
    <w:next w:val="653"/>
    <w:uiPriority w:val="0"/>
    <w:qFormat/>
    <w:pPr>
      <w:ind w:firstLine="352"/>
    </w:pPr>
    <w:rPr>
      <w:rFonts w:ascii="仿宋_GB2312" w:eastAsia="仿宋_GB2312"/>
      <w:sz w:val="32"/>
    </w:rPr>
  </w:style>
  <w:style w:type="paragraph" w:styleId="653">
    <w:name w:val="Body Text First Indent 2"/>
    <w:basedOn w:val="652"/>
    <w:next w:val="637"/>
    <w:uiPriority w:val="0"/>
    <w:qFormat/>
    <w:pPr>
      <w:jc w:val="left"/>
    </w:pPr>
  </w:style>
  <w:style w:type="paragraph" w:styleId="654">
    <w:name w:val="toc 5"/>
    <w:basedOn w:val="637"/>
    <w:next w:val="637"/>
    <w:uiPriority w:val="39"/>
    <w:unhideWhenUsed/>
    <w:qFormat/>
    <w:pPr>
      <w:ind w:left="1134"/>
      <w:spacing w:after="57"/>
    </w:pPr>
  </w:style>
  <w:style w:type="paragraph" w:styleId="655">
    <w:name w:val="toc 3"/>
    <w:basedOn w:val="637"/>
    <w:next w:val="637"/>
    <w:uiPriority w:val="39"/>
    <w:unhideWhenUsed/>
    <w:qFormat/>
    <w:pPr>
      <w:ind w:left="567"/>
      <w:spacing w:after="57"/>
    </w:pPr>
  </w:style>
  <w:style w:type="paragraph" w:styleId="656">
    <w:name w:val="Plain Text"/>
    <w:basedOn w:val="637"/>
    <w:uiPriority w:val="0"/>
    <w:qFormat/>
    <w:rPr>
      <w:rFonts w:ascii="宋体" w:hAnsi="Courier New"/>
      <w:szCs w:val="20"/>
    </w:rPr>
  </w:style>
  <w:style w:type="paragraph" w:styleId="657">
    <w:name w:val="toc 8"/>
    <w:basedOn w:val="637"/>
    <w:next w:val="637"/>
    <w:uiPriority w:val="39"/>
    <w:unhideWhenUsed/>
    <w:qFormat/>
    <w:pPr>
      <w:ind w:left="1984"/>
      <w:spacing w:after="57"/>
    </w:pPr>
  </w:style>
  <w:style w:type="paragraph" w:styleId="658">
    <w:name w:val="endnote text"/>
    <w:basedOn w:val="637"/>
    <w:link w:val="862"/>
    <w:uiPriority w:val="99"/>
    <w:semiHidden/>
    <w:unhideWhenUsed/>
    <w:qFormat/>
    <w:rPr>
      <w:sz w:val="20"/>
    </w:rPr>
  </w:style>
  <w:style w:type="paragraph" w:styleId="659">
    <w:name w:val="Footer"/>
    <w:basedOn w:val="637"/>
    <w:link w:val="735"/>
    <w:uiPriority w:val="99"/>
    <w:unhideWhenUsed/>
    <w:qFormat/>
    <w:pPr>
      <w:tabs>
        <w:tab w:val="center" w:pos="7143" w:leader="none"/>
        <w:tab w:val="right" w:pos="14287" w:leader="none"/>
      </w:tabs>
    </w:pPr>
  </w:style>
  <w:style w:type="paragraph" w:styleId="660">
    <w:name w:val="Header"/>
    <w:basedOn w:val="637"/>
    <w:link w:val="733"/>
    <w:uiPriority w:val="99"/>
    <w:unhideWhenUsed/>
    <w:qFormat/>
    <w:pPr>
      <w:tabs>
        <w:tab w:val="center" w:pos="7143" w:leader="none"/>
        <w:tab w:val="right" w:pos="14287" w:leader="none"/>
      </w:tabs>
    </w:pPr>
  </w:style>
  <w:style w:type="paragraph" w:styleId="661">
    <w:name w:val="toc 1"/>
    <w:basedOn w:val="637"/>
    <w:next w:val="637"/>
    <w:uiPriority w:val="39"/>
    <w:unhideWhenUsed/>
    <w:qFormat/>
    <w:pPr>
      <w:spacing w:after="57"/>
    </w:pPr>
  </w:style>
  <w:style w:type="paragraph" w:styleId="662">
    <w:name w:val="toc 4"/>
    <w:basedOn w:val="637"/>
    <w:next w:val="637"/>
    <w:uiPriority w:val="39"/>
    <w:unhideWhenUsed/>
    <w:qFormat/>
    <w:pPr>
      <w:ind w:left="850"/>
      <w:spacing w:after="57"/>
    </w:pPr>
  </w:style>
  <w:style w:type="paragraph" w:styleId="663">
    <w:name w:val="Subtitle"/>
    <w:basedOn w:val="637"/>
    <w:next w:val="637"/>
    <w:link w:val="728"/>
    <w:uiPriority w:val="11"/>
    <w:qFormat/>
    <w:pPr>
      <w:spacing w:before="200" w:after="200"/>
    </w:pPr>
    <w:rPr>
      <w:sz w:val="24"/>
    </w:rPr>
  </w:style>
  <w:style w:type="paragraph" w:styleId="664">
    <w:name w:val="footnote text"/>
    <w:basedOn w:val="637"/>
    <w:link w:val="861"/>
    <w:uiPriority w:val="99"/>
    <w:semiHidden/>
    <w:unhideWhenUsed/>
    <w:qFormat/>
    <w:pPr>
      <w:spacing w:after="40"/>
    </w:pPr>
    <w:rPr>
      <w:sz w:val="18"/>
    </w:rPr>
  </w:style>
  <w:style w:type="paragraph" w:styleId="665">
    <w:name w:val="toc 6"/>
    <w:basedOn w:val="637"/>
    <w:next w:val="637"/>
    <w:uiPriority w:val="39"/>
    <w:unhideWhenUsed/>
    <w:qFormat/>
    <w:pPr>
      <w:ind w:left="1417"/>
      <w:spacing w:after="57"/>
    </w:pPr>
  </w:style>
  <w:style w:type="paragraph" w:styleId="666">
    <w:name w:val="table of figures"/>
    <w:basedOn w:val="637"/>
    <w:next w:val="637"/>
    <w:uiPriority w:val="99"/>
    <w:unhideWhenUsed/>
    <w:qFormat/>
  </w:style>
  <w:style w:type="paragraph" w:styleId="667">
    <w:name w:val="toc 2"/>
    <w:basedOn w:val="637"/>
    <w:next w:val="637"/>
    <w:uiPriority w:val="39"/>
    <w:unhideWhenUsed/>
    <w:qFormat/>
    <w:pPr>
      <w:ind w:left="283"/>
      <w:spacing w:after="57"/>
    </w:pPr>
  </w:style>
  <w:style w:type="paragraph" w:styleId="668">
    <w:name w:val="toc 9"/>
    <w:basedOn w:val="637"/>
    <w:next w:val="637"/>
    <w:uiPriority w:val="39"/>
    <w:unhideWhenUsed/>
    <w:qFormat/>
    <w:pPr>
      <w:ind w:left="2268"/>
      <w:spacing w:after="57"/>
    </w:pPr>
  </w:style>
  <w:style w:type="paragraph" w:styleId="669">
    <w:name w:val="Normal (Web)"/>
    <w:basedOn w:val="637"/>
    <w:uiPriority w:val="0"/>
    <w:qFormat/>
    <w:pPr>
      <w:jc w:val="center"/>
      <w:spacing w:before="120" w:after="120" w:line="360" w:lineRule="auto"/>
    </w:pPr>
    <w:rPr>
      <w:rFonts w:ascii="仿宋" w:hAnsi="仿宋" w:eastAsia="仿宋" w:cs="Arial"/>
      <w:color w:val="000000"/>
      <w:sz w:val="28"/>
      <w:szCs w:val="28"/>
    </w:rPr>
  </w:style>
  <w:style w:type="paragraph" w:styleId="670">
    <w:name w:val="Title"/>
    <w:basedOn w:val="637"/>
    <w:next w:val="637"/>
    <w:link w:val="727"/>
    <w:uiPriority w:val="10"/>
    <w:qFormat/>
    <w:pPr>
      <w:contextualSpacing/>
      <w:spacing w:before="300" w:after="200"/>
    </w:pPr>
    <w:rPr>
      <w:sz w:val="48"/>
      <w:szCs w:val="48"/>
    </w:rPr>
  </w:style>
  <w:style w:type="table" w:styleId="6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Strong"/>
    <w:basedOn w:val="647"/>
    <w:uiPriority w:val="22"/>
    <w:qFormat/>
    <w:rPr>
      <w:b/>
    </w:rPr>
  </w:style>
  <w:style w:type="character" w:styleId="673">
    <w:name w:val="endnote reference"/>
    <w:uiPriority w:val="99"/>
    <w:semiHidden/>
    <w:unhideWhenUsed/>
    <w:qFormat/>
    <w:rPr>
      <w:vertAlign w:val="superscript"/>
    </w:rPr>
  </w:style>
  <w:style w:type="character" w:styleId="674">
    <w:name w:val="Hyperlink"/>
    <w:uiPriority w:val="99"/>
    <w:unhideWhenUsed/>
    <w:qFormat/>
    <w:rPr>
      <w:color w:val="0000ff" w:themeColor="hyperlink"/>
      <w:u w:val="single"/>
      <w14:textFill>
        <w14:solidFill>
          <w14:schemeClr w14:val="hlink"/>
        </w14:solidFill>
      </w14:textFill>
    </w:rPr>
  </w:style>
  <w:style w:type="character" w:styleId="675">
    <w:name w:val="footnote reference"/>
    <w:uiPriority w:val="99"/>
    <w:unhideWhenUsed/>
    <w:qFormat/>
    <w:rPr>
      <w:vertAlign w:val="superscript"/>
    </w:rPr>
  </w:style>
  <w:style w:type="character" w:styleId="676" w:customStyle="1">
    <w:name w:val="标题 2 Char"/>
    <w:uiPriority w:val="0"/>
    <w:qFormat/>
    <w:rPr>
      <w:rFonts w:ascii="Arial" w:hAnsi="Arial" w:eastAsia="黑体"/>
      <w:b/>
      <w:sz w:val="32"/>
      <w:lang w:val="en-US" w:eastAsia="zh-CN"/>
    </w:rPr>
  </w:style>
  <w:style w:type="character" w:styleId="677" w:customStyle="1">
    <w:name w:val="默认段落字体1"/>
    <w:uiPriority w:val="0"/>
    <w:semiHidden/>
    <w:qFormat/>
  </w:style>
  <w:style w:type="character" w:styleId="678" w:customStyle="1">
    <w:name w:val="Heading 1 Char"/>
    <w:basedOn w:val="647"/>
    <w:uiPriority w:val="9"/>
    <w:qFormat/>
    <w:rPr>
      <w:rFonts w:ascii="Arial" w:hAnsi="Arial" w:eastAsia="Arial" w:cs="Arial"/>
      <w:sz w:val="40"/>
      <w:szCs w:val="40"/>
    </w:rPr>
  </w:style>
  <w:style w:type="character" w:styleId="679" w:customStyle="1">
    <w:name w:val="Heading 2 Char"/>
    <w:basedOn w:val="647"/>
    <w:uiPriority w:val="9"/>
    <w:qFormat/>
    <w:rPr>
      <w:rFonts w:ascii="Arial" w:hAnsi="Arial" w:eastAsia="Arial" w:cs="Arial"/>
      <w:sz w:val="34"/>
    </w:rPr>
  </w:style>
  <w:style w:type="character" w:styleId="680" w:customStyle="1">
    <w:name w:val="Heading 3 Char"/>
    <w:basedOn w:val="647"/>
    <w:uiPriority w:val="9"/>
    <w:qFormat/>
    <w:rPr>
      <w:rFonts w:ascii="Arial" w:hAnsi="Arial" w:eastAsia="Arial" w:cs="Arial"/>
      <w:sz w:val="30"/>
      <w:szCs w:val="30"/>
    </w:rPr>
  </w:style>
  <w:style w:type="character" w:styleId="681" w:customStyle="1">
    <w:name w:val="Heading 4 Char"/>
    <w:basedOn w:val="647"/>
    <w:uiPriority w:val="9"/>
    <w:qFormat/>
    <w:rPr>
      <w:rFonts w:ascii="Arial" w:hAnsi="Arial" w:eastAsia="Arial" w:cs="Arial"/>
      <w:b/>
      <w:bCs/>
      <w:sz w:val="26"/>
      <w:szCs w:val="26"/>
    </w:rPr>
  </w:style>
  <w:style w:type="character" w:styleId="682" w:customStyle="1">
    <w:name w:val="Heading 5 Char"/>
    <w:basedOn w:val="647"/>
    <w:uiPriority w:val="9"/>
    <w:qFormat/>
    <w:rPr>
      <w:rFonts w:ascii="Arial" w:hAnsi="Arial" w:eastAsia="Arial" w:cs="Arial"/>
      <w:b/>
      <w:bCs/>
      <w:sz w:val="24"/>
      <w:szCs w:val="24"/>
    </w:rPr>
  </w:style>
  <w:style w:type="character" w:styleId="683" w:customStyle="1">
    <w:name w:val="Heading 6 Char"/>
    <w:basedOn w:val="647"/>
    <w:uiPriority w:val="9"/>
    <w:qFormat/>
    <w:rPr>
      <w:rFonts w:ascii="Arial" w:hAnsi="Arial" w:eastAsia="Arial" w:cs="Arial"/>
      <w:b/>
      <w:bCs/>
      <w:sz w:val="22"/>
      <w:szCs w:val="22"/>
    </w:rPr>
  </w:style>
  <w:style w:type="character" w:styleId="684" w:customStyle="1">
    <w:name w:val="Heading 7 Char"/>
    <w:basedOn w:val="647"/>
    <w:uiPriority w:val="9"/>
    <w:qFormat/>
    <w:rPr>
      <w:rFonts w:ascii="Arial" w:hAnsi="Arial" w:eastAsia="Arial" w:cs="Arial"/>
      <w:b/>
      <w:bCs/>
      <w:i/>
      <w:iCs/>
      <w:sz w:val="22"/>
      <w:szCs w:val="22"/>
    </w:rPr>
  </w:style>
  <w:style w:type="character" w:styleId="685" w:customStyle="1">
    <w:name w:val="Heading 8 Char"/>
    <w:basedOn w:val="647"/>
    <w:uiPriority w:val="9"/>
    <w:qFormat/>
    <w:rPr>
      <w:rFonts w:ascii="Arial" w:hAnsi="Arial" w:eastAsia="Arial" w:cs="Arial"/>
      <w:i/>
      <w:iCs/>
      <w:sz w:val="22"/>
      <w:szCs w:val="22"/>
    </w:rPr>
  </w:style>
  <w:style w:type="character" w:styleId="686" w:customStyle="1">
    <w:name w:val="Heading 9 Char"/>
    <w:basedOn w:val="647"/>
    <w:uiPriority w:val="9"/>
    <w:qFormat/>
    <w:rPr>
      <w:rFonts w:ascii="Arial" w:hAnsi="Arial" w:eastAsia="Arial" w:cs="Arial"/>
      <w:i/>
      <w:iCs/>
      <w:sz w:val="21"/>
      <w:szCs w:val="21"/>
    </w:rPr>
  </w:style>
  <w:style w:type="character" w:styleId="687" w:customStyle="1">
    <w:name w:val="Title Char"/>
    <w:basedOn w:val="647"/>
    <w:uiPriority w:val="10"/>
    <w:qFormat/>
    <w:rPr>
      <w:sz w:val="48"/>
      <w:szCs w:val="48"/>
    </w:rPr>
  </w:style>
  <w:style w:type="character" w:styleId="688" w:customStyle="1">
    <w:name w:val="Subtitle Char"/>
    <w:basedOn w:val="647"/>
    <w:uiPriority w:val="11"/>
    <w:qFormat/>
    <w:rPr>
      <w:sz w:val="24"/>
      <w:szCs w:val="24"/>
    </w:rPr>
  </w:style>
  <w:style w:type="character" w:styleId="689" w:customStyle="1">
    <w:name w:val="Quote Char"/>
    <w:uiPriority w:val="29"/>
    <w:qFormat/>
    <w:rPr>
      <w:i/>
    </w:rPr>
  </w:style>
  <w:style w:type="character" w:styleId="690" w:customStyle="1">
    <w:name w:val="Intense Quote Char"/>
    <w:uiPriority w:val="30"/>
    <w:qFormat/>
    <w:rPr>
      <w:i/>
    </w:rPr>
  </w:style>
  <w:style w:type="character" w:styleId="691" w:customStyle="1">
    <w:name w:val="Header Char"/>
    <w:basedOn w:val="647"/>
    <w:uiPriority w:val="99"/>
    <w:qFormat/>
  </w:style>
  <w:style w:type="character" w:styleId="692" w:customStyle="1">
    <w:name w:val="Caption Char"/>
    <w:uiPriority w:val="99"/>
    <w:qFormat/>
  </w:style>
  <w:style w:type="table" w:styleId="693" w:customStyle="1">
    <w:name w:val="Plain Table 1"/>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basedOn w:val="6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basedOn w:val="6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3"/>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4"/>
    <w:basedOn w:val="6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Grid Table 5 Dark"/>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customStyle="1">
    <w:name w:val="Grid Table 6 Colorful"/>
    <w:basedOn w:val="6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4" w:customStyle="1">
    <w:name w:val="Grid Table 7 Colorful"/>
    <w:basedOn w:val="6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5" w:customStyle="1">
    <w:name w:val="List Table 1 Light"/>
    <w:basedOn w:val="6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customStyle="1">
    <w:name w:val="List Table 2"/>
    <w:basedOn w:val="6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7" w:customStyle="1">
    <w:name w:val="List Table 3"/>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customStyle="1">
    <w:name w:val="List Table 4"/>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customStyle="1">
    <w:name w:val="List Table 5 Dark"/>
    <w:basedOn w:val="6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0" w:customStyle="1">
    <w:name w:val="List Table 6 Colorful"/>
    <w:basedOn w:val="6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1" w:customStyle="1">
    <w:name w:val="List Table 7 Colorful"/>
    <w:basedOn w:val="6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2" w:customStyle="1">
    <w:name w:val="Footnote Text Char"/>
    <w:uiPriority w:val="99"/>
    <w:qFormat/>
    <w:rPr>
      <w:sz w:val="18"/>
    </w:rPr>
  </w:style>
  <w:style w:type="character" w:styleId="713" w:customStyle="1">
    <w:name w:val="Endnote Text Char"/>
    <w:uiPriority w:val="99"/>
    <w:qFormat/>
    <w:rPr>
      <w:sz w:val="20"/>
    </w:rPr>
  </w:style>
  <w:style w:type="paragraph" w:styleId="714" w:customStyle="1">
    <w:name w:val="TOC Heading"/>
    <w:uiPriority w:val="39"/>
    <w:unhideWhenUsed/>
    <w:qFormat/>
    <w:rPr>
      <w:rFonts w:hint="default" w:ascii="Times New Roman" w:hAnsi="Times New Roman" w:eastAsia="宋体" w:cs="Times New Roman"/>
    </w:rPr>
  </w:style>
  <w:style w:type="paragraph" w:styleId="715" w:customStyle="1">
    <w:name w:val="Char Char Char Char Char Char Char Char Char Char Char Char Char"/>
    <w:basedOn w:val="637"/>
    <w:uiPriority w:val="0"/>
    <w:qFormat/>
    <w:pPr>
      <w:jc w:val="left"/>
      <w:spacing w:after="160" w:line="240" w:lineRule="exact"/>
      <w:widowControl/>
    </w:pPr>
    <w:rPr>
      <w:rFonts w:ascii="Verdana" w:hAnsi="Verdana"/>
      <w:sz w:val="20"/>
      <w:szCs w:val="20"/>
      <w:lang w:eastAsia="en-US"/>
    </w:rPr>
  </w:style>
  <w:style w:type="character" w:styleId="716" w:customStyle="1">
    <w:name w:val="标题 1 字符"/>
    <w:link w:val="638"/>
    <w:uiPriority w:val="9"/>
    <w:qFormat/>
    <w:rPr>
      <w:rFonts w:ascii="Arial" w:hAnsi="Arial" w:eastAsia="Arial" w:cs="Arial"/>
      <w:sz w:val="40"/>
      <w:szCs w:val="40"/>
    </w:rPr>
  </w:style>
  <w:style w:type="character" w:styleId="717" w:customStyle="1">
    <w:name w:val="标题 2 字符"/>
    <w:link w:val="639"/>
    <w:uiPriority w:val="9"/>
    <w:qFormat/>
    <w:rPr>
      <w:rFonts w:ascii="Arial" w:hAnsi="Arial" w:eastAsia="Arial" w:cs="Arial"/>
      <w:sz w:val="34"/>
    </w:rPr>
  </w:style>
  <w:style w:type="character" w:styleId="718" w:customStyle="1">
    <w:name w:val="标题 3 字符"/>
    <w:link w:val="640"/>
    <w:uiPriority w:val="9"/>
    <w:qFormat/>
    <w:rPr>
      <w:rFonts w:ascii="Arial" w:hAnsi="Arial" w:eastAsia="Arial" w:cs="Arial"/>
      <w:sz w:val="30"/>
      <w:szCs w:val="30"/>
    </w:rPr>
  </w:style>
  <w:style w:type="character" w:styleId="719" w:customStyle="1">
    <w:name w:val="标题 4 字符"/>
    <w:link w:val="641"/>
    <w:uiPriority w:val="9"/>
    <w:qFormat/>
    <w:rPr>
      <w:rFonts w:ascii="Arial" w:hAnsi="Arial" w:eastAsia="Arial" w:cs="Arial"/>
      <w:b/>
      <w:bCs/>
      <w:sz w:val="26"/>
      <w:szCs w:val="26"/>
    </w:rPr>
  </w:style>
  <w:style w:type="character" w:styleId="720" w:customStyle="1">
    <w:name w:val="标题 5 字符"/>
    <w:link w:val="642"/>
    <w:uiPriority w:val="9"/>
    <w:qFormat/>
    <w:rPr>
      <w:rFonts w:ascii="Arial" w:hAnsi="Arial" w:eastAsia="Arial" w:cs="Arial"/>
      <w:b/>
      <w:bCs/>
      <w:sz w:val="24"/>
      <w:szCs w:val="24"/>
    </w:rPr>
  </w:style>
  <w:style w:type="character" w:styleId="721" w:customStyle="1">
    <w:name w:val="标题 6 字符"/>
    <w:link w:val="643"/>
    <w:uiPriority w:val="9"/>
    <w:qFormat/>
    <w:rPr>
      <w:rFonts w:ascii="Arial" w:hAnsi="Arial" w:eastAsia="Arial" w:cs="Arial"/>
      <w:b/>
      <w:bCs/>
      <w:sz w:val="22"/>
      <w:szCs w:val="22"/>
    </w:rPr>
  </w:style>
  <w:style w:type="character" w:styleId="722" w:customStyle="1">
    <w:name w:val="标题 7 字符"/>
    <w:link w:val="644"/>
    <w:uiPriority w:val="9"/>
    <w:qFormat/>
    <w:rPr>
      <w:rFonts w:ascii="Arial" w:hAnsi="Arial" w:eastAsia="Arial" w:cs="Arial"/>
      <w:b/>
      <w:bCs/>
      <w:i/>
      <w:iCs/>
      <w:sz w:val="22"/>
      <w:szCs w:val="22"/>
    </w:rPr>
  </w:style>
  <w:style w:type="character" w:styleId="723" w:customStyle="1">
    <w:name w:val="标题 8 字符"/>
    <w:link w:val="645"/>
    <w:uiPriority w:val="9"/>
    <w:qFormat/>
    <w:rPr>
      <w:rFonts w:ascii="Arial" w:hAnsi="Arial" w:eastAsia="Arial" w:cs="Arial"/>
      <w:i/>
      <w:iCs/>
      <w:sz w:val="22"/>
      <w:szCs w:val="22"/>
    </w:rPr>
  </w:style>
  <w:style w:type="character" w:styleId="724" w:customStyle="1">
    <w:name w:val="标题 9 字符"/>
    <w:link w:val="646"/>
    <w:uiPriority w:val="9"/>
    <w:qFormat/>
    <w:rPr>
      <w:rFonts w:ascii="Arial" w:hAnsi="Arial" w:eastAsia="Arial" w:cs="Arial"/>
      <w:i/>
      <w:iCs/>
      <w:sz w:val="21"/>
      <w:szCs w:val="21"/>
    </w:rPr>
  </w:style>
  <w:style w:type="paragraph" w:styleId="725">
    <w:name w:val="List Paragraph"/>
    <w:basedOn w:val="637"/>
    <w:uiPriority w:val="34"/>
    <w:qFormat/>
    <w:pPr>
      <w:contextualSpacing/>
      <w:ind w:left="720"/>
    </w:pPr>
  </w:style>
  <w:style w:type="paragraph" w:styleId="726">
    <w:name w:val="No Spacing"/>
    <w:uiPriority w:val="1"/>
    <w:qFormat/>
    <w:rPr>
      <w:rFonts w:hint="default" w:ascii="Times New Roman" w:hAnsi="Times New Roman" w:eastAsia="宋体" w:cs="Times New Roman"/>
      <w:lang w:val="en-US" w:eastAsia="zh-CN" w:bidi="ar-SA"/>
    </w:rPr>
  </w:style>
  <w:style w:type="character" w:styleId="727" w:customStyle="1">
    <w:name w:val="标题 字符"/>
    <w:link w:val="670"/>
    <w:uiPriority w:val="10"/>
    <w:qFormat/>
    <w:rPr>
      <w:sz w:val="48"/>
      <w:szCs w:val="48"/>
    </w:rPr>
  </w:style>
  <w:style w:type="character" w:styleId="728" w:customStyle="1">
    <w:name w:val="副标题 字符"/>
    <w:link w:val="663"/>
    <w:uiPriority w:val="11"/>
    <w:qFormat/>
    <w:rPr>
      <w:sz w:val="24"/>
      <w:szCs w:val="24"/>
    </w:rPr>
  </w:style>
  <w:style w:type="paragraph" w:styleId="729">
    <w:name w:val="Quote"/>
    <w:basedOn w:val="637"/>
    <w:next w:val="637"/>
    <w:link w:val="730"/>
    <w:uiPriority w:val="29"/>
    <w:qFormat/>
    <w:pPr>
      <w:ind w:left="720" w:right="720"/>
    </w:pPr>
    <w:rPr>
      <w:i/>
    </w:rPr>
  </w:style>
  <w:style w:type="character" w:styleId="730" w:customStyle="1">
    <w:name w:val="引用 字符"/>
    <w:link w:val="729"/>
    <w:uiPriority w:val="29"/>
    <w:qFormat/>
    <w:rPr>
      <w:i/>
    </w:rPr>
  </w:style>
  <w:style w:type="paragraph" w:styleId="731">
    <w:name w:val="Intense Quote"/>
    <w:basedOn w:val="637"/>
    <w:next w:val="637"/>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30"/>
    <w:qFormat/>
    <w:rPr>
      <w:i/>
    </w:rPr>
  </w:style>
  <w:style w:type="character" w:styleId="733" w:customStyle="1">
    <w:name w:val="页眉 字符"/>
    <w:link w:val="660"/>
    <w:uiPriority w:val="99"/>
    <w:qFormat/>
  </w:style>
  <w:style w:type="character" w:styleId="734" w:customStyle="1">
    <w:name w:val="Footer Char"/>
    <w:uiPriority w:val="99"/>
    <w:qFormat/>
  </w:style>
  <w:style w:type="character" w:styleId="735" w:customStyle="1">
    <w:name w:val="页脚 字符"/>
    <w:link w:val="659"/>
    <w:uiPriority w:val="99"/>
    <w:qFormat/>
  </w:style>
  <w:style w:type="table" w:styleId="7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脚注文本 字符"/>
    <w:link w:val="664"/>
    <w:uiPriority w:val="99"/>
    <w:qFormat/>
    <w:rPr>
      <w:sz w:val="18"/>
    </w:rPr>
  </w:style>
  <w:style w:type="character" w:styleId="862" w:customStyle="1">
    <w:name w:val="尾注文本 字符"/>
    <w:link w:val="658"/>
    <w:uiPriority w:val="99"/>
    <w:qFormat/>
    <w:rPr>
      <w:sz w:val="20"/>
    </w:rPr>
  </w:style>
  <w:style w:type="paragraph" w:styleId="863" w:customStyle="1">
    <w:name w:val="TOC 标题1"/>
    <w:uiPriority w:val="39"/>
    <w:unhideWhenUsed/>
    <w:qFormat/>
    <w:rPr>
      <w:rFonts w:hint="default" w:ascii="Times New Roman" w:hAnsi="Times New Roman" w:eastAsia="宋体" w:cs="Times New Roman"/>
      <w:lang w:val="en-US" w:eastAsia="zh-CN" w:bidi="ar-SA"/>
    </w:rPr>
  </w:style>
  <w:style w:type="paragraph" w:styleId="864" w:customStyle="1">
    <w:name w:val="标题 11"/>
    <w:basedOn w:val="637"/>
    <w:next w:val="637"/>
    <w:uiPriority w:val="9"/>
    <w:qFormat/>
    <w:pPr>
      <w:keepLines/>
      <w:keepNext/>
      <w:spacing w:before="340" w:after="330" w:line="578" w:lineRule="auto"/>
      <w:outlineLvl w:val="0"/>
    </w:pPr>
    <w:rPr>
      <w:b/>
      <w:bCs/>
      <w:sz w:val="44"/>
      <w:szCs w:val="44"/>
    </w:rPr>
  </w:style>
  <w:style w:type="paragraph" w:styleId="865" w:customStyle="1">
    <w:name w:val="标题 21"/>
    <w:basedOn w:val="637"/>
    <w:next w:val="866"/>
    <w:uiPriority w:val="9"/>
    <w:qFormat/>
    <w:pPr>
      <w:keepLines/>
      <w:keepNext/>
      <w:spacing w:before="260" w:after="260" w:line="413" w:lineRule="auto"/>
      <w:outlineLvl w:val="1"/>
    </w:pPr>
    <w:rPr>
      <w:rFonts w:ascii="Arial" w:hAnsi="Arial" w:eastAsia="黑体"/>
      <w:b/>
      <w:sz w:val="32"/>
      <w:szCs w:val="20"/>
    </w:rPr>
  </w:style>
  <w:style w:type="paragraph" w:styleId="866" w:customStyle="1">
    <w:name w:val="正文缩进1"/>
    <w:basedOn w:val="637"/>
    <w:link w:val="871"/>
    <w:uiPriority w:val="0"/>
    <w:qFormat/>
    <w:pPr>
      <w:ind w:firstLine="420"/>
    </w:pPr>
    <w:rPr>
      <w:szCs w:val="20"/>
    </w:rPr>
  </w:style>
  <w:style w:type="paragraph" w:styleId="867" w:customStyle="1">
    <w:name w:val="标题 31"/>
    <w:basedOn w:val="637"/>
    <w:next w:val="637"/>
    <w:uiPriority w:val="9"/>
    <w:qFormat/>
    <w:pPr>
      <w:keepLines/>
      <w:keepNext/>
      <w:spacing w:before="260" w:after="260" w:line="413" w:lineRule="auto"/>
      <w:outlineLvl w:val="2"/>
    </w:pPr>
    <w:rPr>
      <w:rFonts w:ascii="Arial" w:hAnsi="Arial"/>
      <w:b/>
      <w:sz w:val="32"/>
      <w:szCs w:val="20"/>
    </w:rPr>
  </w:style>
  <w:style w:type="paragraph" w:styleId="868" w:customStyle="1">
    <w:name w:val="标题 41"/>
    <w:basedOn w:val="637"/>
    <w:next w:val="637"/>
    <w:link w:val="872"/>
    <w:uiPriority w:val="9"/>
    <w:qFormat/>
    <w:pPr>
      <w:keepLines/>
      <w:keepNext/>
      <w:spacing w:before="280" w:after="290" w:line="376" w:lineRule="auto"/>
      <w:outlineLvl w:val="3"/>
    </w:pPr>
    <w:rPr>
      <w:rFonts w:ascii="Cambria" w:hAnsi="Cambria"/>
      <w:b/>
      <w:bCs/>
      <w:sz w:val="28"/>
      <w:szCs w:val="28"/>
    </w:rPr>
  </w:style>
  <w:style w:type="paragraph" w:styleId="869" w:customStyle="1">
    <w:name w:val="标题 51"/>
    <w:basedOn w:val="637"/>
    <w:next w:val="637"/>
    <w:link w:val="873"/>
    <w:uiPriority w:val="9"/>
    <w:qFormat/>
    <w:pPr>
      <w:keepLines/>
      <w:keepNext/>
      <w:spacing w:before="280" w:after="290" w:line="376" w:lineRule="auto"/>
      <w:outlineLvl w:val="4"/>
    </w:pPr>
    <w:rPr>
      <w:b/>
      <w:bCs/>
      <w:sz w:val="28"/>
      <w:szCs w:val="28"/>
    </w:rPr>
  </w:style>
  <w:style w:type="table" w:styleId="870"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71" w:customStyle="1">
    <w:name w:val="正文缩进 Char"/>
    <w:link w:val="866"/>
    <w:uiPriority w:val="0"/>
    <w:qFormat/>
    <w:rPr>
      <w:sz w:val="21"/>
    </w:rPr>
  </w:style>
  <w:style w:type="character" w:styleId="872" w:customStyle="1">
    <w:name w:val="标题 4 Char"/>
    <w:link w:val="868"/>
    <w:uiPriority w:val="9"/>
    <w:qFormat/>
    <w:rPr>
      <w:rFonts w:ascii="Cambria" w:hAnsi="Cambria"/>
      <w:b/>
      <w:bCs/>
      <w:sz w:val="28"/>
      <w:szCs w:val="28"/>
    </w:rPr>
  </w:style>
  <w:style w:type="character" w:styleId="873" w:customStyle="1">
    <w:name w:val="标题 5 Char"/>
    <w:link w:val="869"/>
    <w:uiPriority w:val="9"/>
    <w:qFormat/>
    <w:rPr>
      <w:b/>
      <w:bCs/>
      <w:sz w:val="28"/>
      <w:szCs w:val="28"/>
    </w:rPr>
  </w:style>
  <w:style w:type="paragraph" w:styleId="874" w:customStyle="1">
    <w:name w:val="题注1"/>
    <w:basedOn w:val="637"/>
    <w:next w:val="637"/>
    <w:uiPriority w:val="35"/>
    <w:qFormat/>
    <w:pPr>
      <w:jc w:val="center"/>
      <w:spacing w:before="156" w:after="156" w:line="360" w:lineRule="auto"/>
    </w:pPr>
    <w:rPr>
      <w:rFonts w:ascii="Arial" w:hAnsi="Arial" w:cs="Arial"/>
      <w:sz w:val="24"/>
      <w:szCs w:val="20"/>
    </w:rPr>
  </w:style>
  <w:style w:type="paragraph" w:styleId="875" w:customStyle="1">
    <w:name w:val="文档结构图1"/>
    <w:basedOn w:val="637"/>
    <w:uiPriority w:val="0"/>
    <w:semiHidden/>
    <w:qFormat/>
    <w:pPr>
      <w:shd w:val="clear" w:color="auto" w:fill="000080"/>
    </w:pPr>
  </w:style>
  <w:style w:type="paragraph" w:styleId="876" w:customStyle="1">
    <w:name w:val="批注文字1"/>
    <w:basedOn w:val="637"/>
    <w:link w:val="877"/>
    <w:uiPriority w:val="99"/>
    <w:unhideWhenUsed/>
    <w:qFormat/>
    <w:pPr>
      <w:jc w:val="left"/>
    </w:pPr>
  </w:style>
  <w:style w:type="character" w:styleId="877" w:customStyle="1">
    <w:name w:val="批注文字 Char"/>
    <w:link w:val="876"/>
    <w:uiPriority w:val="99"/>
    <w:qFormat/>
    <w:rPr>
      <w:sz w:val="21"/>
      <w:szCs w:val="24"/>
    </w:rPr>
  </w:style>
  <w:style w:type="paragraph" w:styleId="878" w:customStyle="1">
    <w:name w:val="正文文本 31"/>
    <w:basedOn w:val="637"/>
    <w:uiPriority w:val="0"/>
    <w:qFormat/>
    <w:rPr>
      <w:rFonts w:ascii="楷体_GB2312" w:hAnsi="Arial" w:eastAsia="楷体_GB2312" w:cs="Arial"/>
      <w:b/>
      <w:bCs/>
      <w:color w:val="000000"/>
      <w:sz w:val="24"/>
    </w:rPr>
  </w:style>
  <w:style w:type="paragraph" w:styleId="879" w:customStyle="1">
    <w:name w:val="正文文本11"/>
    <w:basedOn w:val="637"/>
    <w:next w:val="63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0" w:customStyle="1">
    <w:name w:val="正文文本缩进1"/>
    <w:basedOn w:val="637"/>
    <w:uiPriority w:val="0"/>
    <w:qFormat/>
    <w:pPr>
      <w:ind w:firstLine="630"/>
    </w:pPr>
    <w:rPr>
      <w:rFonts w:ascii="楷体_GB2312" w:eastAsia="楷体_GB2312"/>
      <w:sz w:val="32"/>
      <w:szCs w:val="20"/>
    </w:rPr>
  </w:style>
  <w:style w:type="paragraph" w:styleId="881" w:customStyle="1">
    <w:name w:val="文本块1"/>
    <w:basedOn w:val="637"/>
    <w:uiPriority w:val="0"/>
    <w:qFormat/>
    <w:pPr>
      <w:ind w:left="420" w:right="33"/>
      <w:jc w:val="left"/>
    </w:pPr>
    <w:rPr>
      <w:sz w:val="24"/>
      <w:szCs w:val="20"/>
    </w:rPr>
  </w:style>
  <w:style w:type="paragraph" w:styleId="882" w:customStyle="1">
    <w:name w:val="目录 31"/>
    <w:basedOn w:val="637"/>
    <w:next w:val="637"/>
    <w:uiPriority w:val="0"/>
    <w:semiHidden/>
    <w:qFormat/>
    <w:pPr>
      <w:ind w:left="840"/>
      <w:spacing w:line="300" w:lineRule="auto"/>
      <w:tabs>
        <w:tab w:val="right" w:pos="9344" w:leader="dot"/>
      </w:tabs>
    </w:pPr>
    <w:rPr>
      <w:rFonts w:ascii="Arial" w:hAnsi="Arial" w:cs="Arial"/>
      <w:szCs w:val="21"/>
    </w:rPr>
  </w:style>
  <w:style w:type="paragraph" w:styleId="883" w:customStyle="1">
    <w:name w:val="纯文本11"/>
    <w:basedOn w:val="637"/>
    <w:link w:val="884"/>
    <w:uiPriority w:val="0"/>
    <w:qFormat/>
    <w:rPr>
      <w:rFonts w:ascii="宋体" w:hAnsi="Courier New"/>
      <w:szCs w:val="20"/>
    </w:rPr>
  </w:style>
  <w:style w:type="character" w:styleId="884" w:customStyle="1">
    <w:name w:val="纯文本 Char"/>
    <w:link w:val="883"/>
    <w:uiPriority w:val="0"/>
    <w:qFormat/>
    <w:rPr>
      <w:rFonts w:ascii="宋体" w:hAnsi="Courier New" w:eastAsia="宋体"/>
      <w:sz w:val="21"/>
      <w:lang w:val="en-US" w:eastAsia="zh-CN" w:bidi="ar-SA"/>
    </w:rPr>
  </w:style>
  <w:style w:type="paragraph" w:styleId="885" w:customStyle="1">
    <w:name w:val="正文文本缩进 21"/>
    <w:basedOn w:val="637"/>
    <w:uiPriority w:val="0"/>
    <w:qFormat/>
    <w:pPr>
      <w:ind w:left="420"/>
      <w:spacing w:after="120" w:line="480" w:lineRule="auto"/>
    </w:pPr>
  </w:style>
  <w:style w:type="paragraph" w:styleId="886" w:customStyle="1">
    <w:name w:val="批注框文本1"/>
    <w:basedOn w:val="637"/>
    <w:link w:val="887"/>
    <w:uiPriority w:val="0"/>
    <w:qFormat/>
    <w:rPr>
      <w:sz w:val="18"/>
      <w:szCs w:val="18"/>
    </w:rPr>
  </w:style>
  <w:style w:type="character" w:styleId="887" w:customStyle="1">
    <w:name w:val="批注框文本 Char"/>
    <w:link w:val="886"/>
    <w:uiPriority w:val="0"/>
    <w:qFormat/>
    <w:rPr>
      <w:sz w:val="18"/>
      <w:szCs w:val="18"/>
    </w:rPr>
  </w:style>
  <w:style w:type="paragraph" w:styleId="888" w:customStyle="1">
    <w:name w:val="页脚1"/>
    <w:basedOn w:val="637"/>
    <w:link w:val="889"/>
    <w:uiPriority w:val="0"/>
    <w:qFormat/>
    <w:pPr>
      <w:jc w:val="left"/>
      <w:tabs>
        <w:tab w:val="center" w:pos="4153" w:leader="none"/>
        <w:tab w:val="right" w:pos="8306" w:leader="none"/>
      </w:tabs>
    </w:pPr>
    <w:rPr>
      <w:sz w:val="18"/>
      <w:szCs w:val="18"/>
    </w:rPr>
  </w:style>
  <w:style w:type="character" w:styleId="889" w:customStyle="1">
    <w:name w:val="页脚 Char"/>
    <w:link w:val="888"/>
    <w:uiPriority w:val="0"/>
    <w:qFormat/>
    <w:rPr>
      <w:sz w:val="18"/>
      <w:szCs w:val="18"/>
    </w:rPr>
  </w:style>
  <w:style w:type="paragraph" w:styleId="890" w:customStyle="1">
    <w:name w:val="页眉1"/>
    <w:basedOn w:val="637"/>
    <w:link w:val="891"/>
    <w:uiPriority w:val="0"/>
    <w:qFormat/>
    <w:pPr>
      <w:jc w:val="center"/>
      <w:tabs>
        <w:tab w:val="center" w:pos="4153" w:leader="none"/>
        <w:tab w:val="right" w:pos="8306" w:leader="none"/>
      </w:tabs>
      <w:pBdr>
        <w:bottom w:val="single" w:color="000000" w:sz="6" w:space="1"/>
      </w:pBdr>
    </w:pPr>
    <w:rPr>
      <w:sz w:val="18"/>
      <w:szCs w:val="18"/>
    </w:rPr>
  </w:style>
  <w:style w:type="character" w:styleId="891" w:customStyle="1">
    <w:name w:val="页眉 Char"/>
    <w:link w:val="890"/>
    <w:uiPriority w:val="0"/>
    <w:qFormat/>
    <w:rPr>
      <w:sz w:val="18"/>
      <w:szCs w:val="18"/>
    </w:rPr>
  </w:style>
  <w:style w:type="paragraph" w:styleId="892" w:customStyle="1">
    <w:name w:val="目录 11"/>
    <w:basedOn w:val="637"/>
    <w:next w:val="637"/>
    <w:uiPriority w:val="0"/>
    <w:semiHidden/>
    <w:qFormat/>
  </w:style>
  <w:style w:type="paragraph" w:styleId="893" w:customStyle="1">
    <w:name w:val="正文文本缩进 311"/>
    <w:basedOn w:val="637"/>
    <w:uiPriority w:val="99"/>
    <w:qFormat/>
    <w:pPr>
      <w:ind w:firstLine="420"/>
    </w:pPr>
    <w:rPr>
      <w:rFonts w:eastAsia="楷体_GB2312"/>
    </w:rPr>
  </w:style>
  <w:style w:type="paragraph" w:styleId="894" w:customStyle="1">
    <w:name w:val="目录 21"/>
    <w:basedOn w:val="637"/>
    <w:next w:val="637"/>
    <w:uiPriority w:val="0"/>
    <w:semiHidden/>
    <w:qFormat/>
    <w:pPr>
      <w:ind w:left="420"/>
    </w:pPr>
    <w:rPr>
      <w:szCs w:val="20"/>
    </w:rPr>
  </w:style>
  <w:style w:type="paragraph" w:styleId="895" w:customStyle="1">
    <w:name w:val="正文文本 21"/>
    <w:basedOn w:val="637"/>
    <w:link w:val="896"/>
    <w:uiPriority w:val="0"/>
    <w:qFormat/>
    <w:pPr>
      <w:spacing w:line="440" w:lineRule="exact"/>
    </w:pPr>
    <w:rPr>
      <w:rFonts w:ascii="楷体_GB2312" w:eastAsia="楷体_GB2312"/>
      <w:sz w:val="28"/>
    </w:rPr>
  </w:style>
  <w:style w:type="character" w:styleId="896" w:customStyle="1">
    <w:name w:val="正文文本 2 Char"/>
    <w:link w:val="895"/>
    <w:uiPriority w:val="0"/>
    <w:qFormat/>
    <w:rPr>
      <w:rFonts w:ascii="楷体_GB2312" w:eastAsia="楷体_GB2312"/>
      <w:sz w:val="28"/>
      <w:szCs w:val="24"/>
    </w:rPr>
  </w:style>
  <w:style w:type="paragraph" w:styleId="897" w:customStyle="1">
    <w:name w:val="批注主题1"/>
    <w:basedOn w:val="876"/>
    <w:next w:val="876"/>
    <w:link w:val="898"/>
    <w:uiPriority w:val="0"/>
    <w:qFormat/>
    <w:rPr>
      <w:b/>
      <w:bCs/>
    </w:rPr>
  </w:style>
  <w:style w:type="character" w:styleId="898" w:customStyle="1">
    <w:name w:val="批注主题 Char"/>
    <w:link w:val="897"/>
    <w:uiPriority w:val="0"/>
    <w:qFormat/>
    <w:rPr>
      <w:b/>
      <w:bCs/>
      <w:sz w:val="21"/>
      <w:szCs w:val="24"/>
    </w:rPr>
  </w:style>
  <w:style w:type="paragraph" w:styleId="899" w:customStyle="1">
    <w:name w:val="正文首行缩进 21"/>
    <w:basedOn w:val="880"/>
    <w:uiPriority w:val="0"/>
    <w:qFormat/>
    <w:pPr>
      <w:ind w:left="420" w:firstLine="420"/>
      <w:spacing w:after="120"/>
      <w:widowControl/>
    </w:pPr>
    <w:rPr>
      <w:rFonts w:ascii="仿宋_GB2312" w:eastAsia="仿宋_GB2312"/>
      <w:color w:val="ff6600"/>
      <w:sz w:val="21"/>
    </w:rPr>
  </w:style>
  <w:style w:type="table" w:styleId="900" w:customStyle="1">
    <w:name w:val="网格型1"/>
    <w:basedOn w:val="870"/>
    <w:uiPriority w:val="0"/>
    <w:qFormat/>
    <w:tblPr>
      <w:tblCellMar>
        <w:left w:w="0" w:type="dxa"/>
        <w:top w:w="0" w:type="dxa"/>
        <w:right w:w="0" w:type="dxa"/>
        <w:bottom w:w="0" w:type="dxa"/>
      </w:tblCellMar>
    </w:tblPr>
  </w:style>
  <w:style w:type="character" w:styleId="901" w:customStyle="1">
    <w:name w:val="要点1"/>
    <w:uiPriority w:val="0"/>
    <w:qFormat/>
  </w:style>
  <w:style w:type="character" w:styleId="902" w:customStyle="1">
    <w:name w:val="页码1"/>
    <w:uiPriority w:val="0"/>
    <w:qFormat/>
  </w:style>
  <w:style w:type="character" w:styleId="903" w:customStyle="1">
    <w:name w:val="已访问的超链接1"/>
    <w:uiPriority w:val="0"/>
    <w:qFormat/>
    <w:rPr>
      <w:color w:val="800080"/>
      <w:u w:val="none"/>
    </w:rPr>
  </w:style>
  <w:style w:type="character" w:styleId="904" w:customStyle="1">
    <w:name w:val="强调1"/>
    <w:uiPriority w:val="0"/>
    <w:qFormat/>
  </w:style>
  <w:style w:type="character" w:styleId="905" w:customStyle="1">
    <w:name w:val="HTML 定义1"/>
    <w:uiPriority w:val="0"/>
    <w:qFormat/>
  </w:style>
  <w:style w:type="character" w:styleId="906" w:customStyle="1">
    <w:name w:val="HTML 打字机1"/>
    <w:uiPriority w:val="0"/>
    <w:qFormat/>
    <w:rPr>
      <w:rFonts w:ascii="monospace" w:hAnsi="monospace" w:eastAsia="monospace" w:cs="monospace"/>
      <w:sz w:val="20"/>
    </w:rPr>
  </w:style>
  <w:style w:type="character" w:styleId="907" w:customStyle="1">
    <w:name w:val="HTML 缩写1"/>
    <w:uiPriority w:val="0"/>
    <w:qFormat/>
  </w:style>
  <w:style w:type="character" w:styleId="908" w:customStyle="1">
    <w:name w:val="HTML 变量1"/>
    <w:uiPriority w:val="0"/>
    <w:qFormat/>
  </w:style>
  <w:style w:type="character" w:styleId="909" w:customStyle="1">
    <w:name w:val="超链接1"/>
    <w:uiPriority w:val="0"/>
    <w:qFormat/>
    <w:rPr>
      <w:color w:val="0000ff"/>
      <w:u w:val="none"/>
    </w:rPr>
  </w:style>
  <w:style w:type="character" w:styleId="910" w:customStyle="1">
    <w:name w:val="HTML 代码1"/>
    <w:uiPriority w:val="0"/>
    <w:qFormat/>
    <w:rPr>
      <w:rFonts w:ascii="monospace" w:hAnsi="monospace" w:eastAsia="monospace" w:cs="monospace"/>
      <w:sz w:val="20"/>
    </w:rPr>
  </w:style>
  <w:style w:type="character" w:styleId="911" w:customStyle="1">
    <w:name w:val="批注引用1"/>
    <w:uiPriority w:val="0"/>
    <w:qFormat/>
    <w:rPr>
      <w:sz w:val="21"/>
      <w:szCs w:val="21"/>
    </w:rPr>
  </w:style>
  <w:style w:type="character" w:styleId="912" w:customStyle="1">
    <w:name w:val="HTML 引文1"/>
    <w:uiPriority w:val="0"/>
    <w:qFormat/>
  </w:style>
  <w:style w:type="character" w:styleId="913" w:customStyle="1">
    <w:name w:val="HTML 键盘1"/>
    <w:uiPriority w:val="0"/>
    <w:qFormat/>
    <w:rPr>
      <w:rFonts w:ascii="monospace" w:hAnsi="monospace" w:eastAsia="monospace" w:cs="monospace"/>
      <w:sz w:val="20"/>
    </w:rPr>
  </w:style>
  <w:style w:type="character" w:styleId="914" w:customStyle="1">
    <w:name w:val="HTML 样本1"/>
    <w:uiPriority w:val="0"/>
    <w:qFormat/>
    <w:rPr>
      <w:rFonts w:ascii="monospace" w:hAnsi="monospace" w:eastAsia="monospace" w:cs="monospace"/>
    </w:rPr>
  </w:style>
  <w:style w:type="character" w:styleId="915" w:customStyle="1">
    <w:name w:val="Font Style30"/>
    <w:uiPriority w:val="0"/>
    <w:qFormat/>
    <w:rPr>
      <w:rFonts w:ascii="宋体" w:eastAsia="宋体" w:cs="宋体"/>
      <w:sz w:val="14"/>
      <w:szCs w:val="14"/>
    </w:rPr>
  </w:style>
  <w:style w:type="character" w:styleId="916" w:customStyle="1">
    <w:name w:val="glyphicon"/>
    <w:uiPriority w:val="0"/>
    <w:qFormat/>
  </w:style>
  <w:style w:type="character" w:styleId="917" w:customStyle="1">
    <w:name w:val="Font Style36"/>
    <w:uiPriority w:val="0"/>
    <w:qFormat/>
    <w:rPr>
      <w:rFonts w:ascii="宋体" w:eastAsia="宋体" w:cs="宋体"/>
      <w:sz w:val="16"/>
      <w:szCs w:val="16"/>
    </w:rPr>
  </w:style>
  <w:style w:type="character" w:styleId="918" w:customStyle="1">
    <w:name w:val="hour_am"/>
    <w:uiPriority w:val="0"/>
    <w:qFormat/>
  </w:style>
  <w:style w:type="character" w:styleId="919" w:customStyle="1">
    <w:name w:val="old"/>
    <w:uiPriority w:val="0"/>
    <w:qFormat/>
    <w:rPr>
      <w:color w:val="999999"/>
    </w:rPr>
  </w:style>
  <w:style w:type="character" w:styleId="920" w:customStyle="1">
    <w:name w:val="hover"/>
    <w:uiPriority w:val="0"/>
    <w:qFormat/>
    <w:rPr>
      <w:shd w:val="clear" w:color="auto" w:fill="eeeeee"/>
    </w:rPr>
  </w:style>
  <w:style w:type="character" w:styleId="921" w:customStyle="1">
    <w:name w:val="hour_pm"/>
    <w:uiPriority w:val="0"/>
    <w:qFormat/>
  </w:style>
  <w:style w:type="character" w:styleId="922" w:customStyle="1">
    <w:name w:val="Font Style28"/>
    <w:uiPriority w:val="0"/>
    <w:qFormat/>
    <w:rPr>
      <w:rFonts w:ascii="Constantia" w:hAnsi="Constantia" w:cs="Constantia"/>
      <w:sz w:val="28"/>
      <w:szCs w:val="28"/>
    </w:rPr>
  </w:style>
  <w:style w:type="character" w:styleId="923" w:customStyle="1">
    <w:name w:val="Font Style29"/>
    <w:uiPriority w:val="0"/>
    <w:qFormat/>
    <w:rPr>
      <w:rFonts w:ascii="Arial" w:hAnsi="Arial" w:cs="Arial"/>
      <w:sz w:val="14"/>
      <w:szCs w:val="14"/>
    </w:rPr>
  </w:style>
  <w:style w:type="character" w:styleId="924" w:customStyle="1">
    <w:name w:val="Font Style37"/>
    <w:uiPriority w:val="0"/>
    <w:qFormat/>
    <w:rPr>
      <w:rFonts w:ascii="Arial" w:hAnsi="Arial" w:cs="Arial"/>
      <w:sz w:val="16"/>
      <w:szCs w:val="16"/>
    </w:rPr>
  </w:style>
  <w:style w:type="character" w:styleId="925" w:customStyle="1">
    <w:name w:val="Plain Text Char"/>
    <w:uiPriority w:val="0"/>
    <w:qFormat/>
    <w:rPr>
      <w:rFonts w:ascii="宋体" w:hAnsi="Courier New" w:eastAsia="宋体"/>
      <w:sz w:val="21"/>
      <w:lang w:val="en-US" w:eastAsia="zh-CN" w:bidi="ar-SA"/>
    </w:rPr>
  </w:style>
  <w:style w:type="paragraph" w:styleId="92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7" w:customStyle="1">
    <w:name w:val="默认段落字体 Para Char Char Char Char Char Char Char Char Char1 Char Char Char Char Char Char Char"/>
    <w:basedOn w:val="875"/>
    <w:uiPriority w:val="0"/>
    <w:qFormat/>
    <w:rPr>
      <w:rFonts w:ascii="Tahoma" w:hAnsi="Tahoma"/>
      <w:sz w:val="24"/>
    </w:rPr>
  </w:style>
  <w:style w:type="paragraph" w:styleId="928" w:customStyle="1">
    <w:name w:val="Style9"/>
    <w:basedOn w:val="637"/>
    <w:uiPriority w:val="0"/>
    <w:qFormat/>
    <w:pPr>
      <w:jc w:val="left"/>
    </w:pPr>
    <w:rPr>
      <w:rFonts w:ascii="宋体"/>
      <w:sz w:val="24"/>
    </w:rPr>
  </w:style>
  <w:style w:type="paragraph" w:styleId="929" w:customStyle="1">
    <w:name w:val="Char"/>
    <w:basedOn w:val="637"/>
    <w:uiPriority w:val="0"/>
    <w:qFormat/>
    <w:pPr>
      <w:tabs>
        <w:tab w:val="left" w:pos="360" w:leader="none"/>
      </w:tabs>
    </w:pPr>
    <w:rPr>
      <w:sz w:val="24"/>
    </w:rPr>
  </w:style>
  <w:style w:type="paragraph" w:styleId="930" w:customStyle="1">
    <w:name w:val="Char Char Char1 Char Char Char Char"/>
    <w:basedOn w:val="637"/>
    <w:uiPriority w:val="0"/>
    <w:qFormat/>
    <w:pPr>
      <w:jc w:val="left"/>
      <w:spacing w:after="160" w:line="240" w:lineRule="exact"/>
      <w:widowControl/>
    </w:pPr>
    <w:rPr>
      <w:rFonts w:ascii="宋体" w:hAnsi="宋体"/>
      <w:b/>
      <w:sz w:val="28"/>
      <w:szCs w:val="28"/>
    </w:rPr>
  </w:style>
  <w:style w:type="paragraph" w:styleId="931" w:customStyle="1">
    <w:name w:val="Style10"/>
    <w:basedOn w:val="637"/>
    <w:uiPriority w:val="0"/>
    <w:qFormat/>
    <w:pPr>
      <w:jc w:val="left"/>
    </w:pPr>
    <w:rPr>
      <w:rFonts w:ascii="宋体"/>
      <w:sz w:val="24"/>
    </w:rPr>
  </w:style>
  <w:style w:type="paragraph" w:styleId="932" w:customStyle="1">
    <w:name w:val="首行缩进"/>
    <w:basedOn w:val="637"/>
    <w:uiPriority w:val="0"/>
    <w:qFormat/>
    <w:pPr>
      <w:ind w:firstLine="420"/>
      <w:spacing w:line="360" w:lineRule="auto"/>
    </w:pPr>
    <w:rPr>
      <w:sz w:val="20"/>
    </w:rPr>
  </w:style>
  <w:style w:type="paragraph" w:styleId="933" w:customStyle="1">
    <w:name w:val="普通正文"/>
    <w:basedOn w:val="637"/>
    <w:uiPriority w:val="0"/>
    <w:qFormat/>
    <w:pPr>
      <w:ind w:firstLine="480"/>
      <w:jc w:val="left"/>
      <w:spacing w:before="120" w:after="120" w:line="360" w:lineRule="auto"/>
    </w:pPr>
    <w:rPr>
      <w:rFonts w:ascii="Arial" w:hAnsi="Arial"/>
      <w:sz w:val="24"/>
    </w:rPr>
  </w:style>
  <w:style w:type="paragraph" w:styleId="934" w:customStyle="1">
    <w:name w:val="要点标题"/>
    <w:basedOn w:val="637"/>
    <w:uiPriority w:val="0"/>
    <w:qFormat/>
    <w:pPr>
      <w:numPr>
        <w:ilvl w:val="0"/>
        <w:numId w:val="1"/>
      </w:numPr>
      <w:jc w:val="left"/>
    </w:pPr>
    <w:rPr>
      <w:rFonts w:ascii="宋体" w:hAnsi="宋体"/>
      <w:b/>
      <w:sz w:val="24"/>
    </w:rPr>
  </w:style>
  <w:style w:type="paragraph" w:styleId="935" w:customStyle="1">
    <w:name w:val="文档正文"/>
    <w:basedOn w:val="637"/>
    <w:uiPriority w:val="0"/>
    <w:qFormat/>
    <w:pPr>
      <w:ind w:firstLine="567"/>
      <w:spacing w:line="480" w:lineRule="atLeast"/>
    </w:pPr>
    <w:rPr>
      <w:rFonts w:ascii="仿宋_GB2312"/>
      <w:szCs w:val="20"/>
    </w:rPr>
  </w:style>
  <w:style w:type="paragraph" w:styleId="936" w:customStyle="1">
    <w:name w:val="Char Char Char Char"/>
    <w:basedOn w:val="875"/>
    <w:uiPriority w:val="0"/>
    <w:qFormat/>
    <w:pPr>
      <w:spacing w:line="360" w:lineRule="auto"/>
    </w:pPr>
    <w:rPr>
      <w:rFonts w:ascii="Tahoma" w:hAnsi="Tahoma"/>
      <w:sz w:val="24"/>
    </w:rPr>
  </w:style>
  <w:style w:type="paragraph" w:styleId="937" w:customStyle="1">
    <w:name w:val="Char11"/>
    <w:basedOn w:val="637"/>
    <w:uiPriority w:val="0"/>
    <w:qFormat/>
    <w:pPr>
      <w:ind w:left="420" w:hanging="420"/>
      <w:jc w:val="left"/>
      <w:tabs>
        <w:tab w:val="left" w:pos="420" w:leader="none"/>
      </w:tabs>
    </w:pPr>
    <w:rPr>
      <w:szCs w:val="20"/>
    </w:rPr>
  </w:style>
  <w:style w:type="paragraph" w:styleId="938" w:customStyle="1">
    <w:name w:val="正文（无缩进）"/>
    <w:basedOn w:val="637"/>
    <w:uiPriority w:val="0"/>
    <w:qFormat/>
    <w:pPr>
      <w:spacing w:line="360" w:lineRule="auto"/>
    </w:pPr>
    <w:rPr>
      <w:rFonts w:ascii="Calibri" w:hAnsi="Calibri"/>
      <w:sz w:val="24"/>
      <w:szCs w:val="21"/>
    </w:rPr>
  </w:style>
  <w:style w:type="paragraph" w:styleId="939" w:customStyle="1">
    <w:name w:val="Style11"/>
    <w:basedOn w:val="637"/>
    <w:uiPriority w:val="0"/>
    <w:qFormat/>
    <w:pPr>
      <w:jc w:val="left"/>
      <w:spacing w:line="446" w:lineRule="exact"/>
    </w:pPr>
    <w:rPr>
      <w:rFonts w:ascii="宋体"/>
      <w:sz w:val="24"/>
    </w:rPr>
  </w:style>
  <w:style w:type="paragraph" w:styleId="940" w:customStyle="1">
    <w:name w:val="样式1"/>
    <w:basedOn w:val="637"/>
    <w:uiPriority w:val="0"/>
    <w:qFormat/>
    <w:pPr>
      <w:ind w:left="432" w:firstLine="288"/>
      <w:tabs>
        <w:tab w:val="left" w:pos="1110" w:leader="none"/>
      </w:tabs>
    </w:pPr>
    <w:rPr>
      <w:rFonts w:ascii="宋体" w:hAnsi="宋体"/>
      <w:szCs w:val="21"/>
    </w:rPr>
  </w:style>
  <w:style w:type="paragraph" w:styleId="941" w:customStyle="1">
    <w:name w:val="_Style 56"/>
    <w:basedOn w:val="875"/>
    <w:uiPriority w:val="0"/>
    <w:qFormat/>
    <w:pPr>
      <w:spacing w:line="436" w:lineRule="exact"/>
    </w:pPr>
    <w:rPr>
      <w:szCs w:val="20"/>
    </w:rPr>
  </w:style>
  <w:style w:type="paragraph" w:styleId="942" w:customStyle="1">
    <w:name w:val="Char Char1 Char Char Char Char Char Char"/>
    <w:basedOn w:val="637"/>
    <w:uiPriority w:val="0"/>
    <w:qFormat/>
    <w:pPr>
      <w:jc w:val="center"/>
      <w:widowControl/>
    </w:pPr>
    <w:rPr>
      <w:rFonts w:ascii="宋体" w:hAnsi="宋体"/>
      <w:b/>
      <w:sz w:val="24"/>
      <w:lang w:eastAsia="en-US"/>
    </w:rPr>
  </w:style>
  <w:style w:type="paragraph" w:styleId="943" w:customStyle="1">
    <w:name w:val="Char1"/>
    <w:basedOn w:val="637"/>
    <w:uiPriority w:val="0"/>
    <w:qFormat/>
    <w:pPr>
      <w:ind w:left="840" w:hanging="420"/>
      <w:tabs>
        <w:tab w:val="left" w:pos="840" w:leader="none"/>
      </w:tabs>
    </w:pPr>
    <w:rPr>
      <w:sz w:val="24"/>
    </w:rPr>
  </w:style>
  <w:style w:type="paragraph" w:styleId="944" w:customStyle="1">
    <w:name w:val="我的样式"/>
    <w:basedOn w:val="864"/>
    <w:next w:val="637"/>
    <w:uiPriority w:val="0"/>
    <w:qFormat/>
    <w:pPr>
      <w:numPr>
        <w:ilvl w:val="0"/>
        <w:numId w:val="2"/>
      </w:numPr>
      <w:spacing w:line="360" w:lineRule="auto"/>
    </w:pPr>
    <w:rPr>
      <w:rFonts w:ascii="仿宋_GB2312" w:eastAsia="仿宋_GB2312"/>
      <w:sz w:val="32"/>
      <w:szCs w:val="30"/>
    </w:rPr>
  </w:style>
  <w:style w:type="paragraph" w:styleId="945"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6" w:customStyle="1">
    <w:name w:val="Char Char Char Char Char Char Char Char Char Char Char Char Char1"/>
    <w:basedOn w:val="637"/>
    <w:uiPriority w:val="0"/>
    <w:qFormat/>
    <w:pPr>
      <w:jc w:val="left"/>
      <w:spacing w:after="160" w:line="240" w:lineRule="exact"/>
      <w:widowControl/>
    </w:pPr>
    <w:rPr>
      <w:rFonts w:ascii="Verdana" w:hAnsi="Verdana"/>
      <w:sz w:val="20"/>
      <w:szCs w:val="20"/>
      <w:lang w:eastAsia="en-US"/>
    </w:rPr>
  </w:style>
  <w:style w:type="paragraph" w:styleId="947" w:customStyle="1">
    <w:name w:val="标题1"/>
    <w:basedOn w:val="864"/>
    <w:next w:val="637"/>
    <w:uiPriority w:val="0"/>
    <w:qFormat/>
    <w:pPr>
      <w:numPr>
        <w:ilvl w:val="0"/>
        <w:numId w:val="3"/>
      </w:numPr>
      <w:jc w:val="left"/>
      <w:spacing w:line="578" w:lineRule="atLeast"/>
    </w:pPr>
  </w:style>
  <w:style w:type="paragraph" w:styleId="948" w:customStyle="1">
    <w:name w:val="正文（缩进） Char1"/>
    <w:basedOn w:val="637"/>
    <w:uiPriority w:val="0"/>
    <w:qFormat/>
    <w:pPr>
      <w:ind w:firstLine="480"/>
      <w:spacing w:before="156" w:after="156" w:line="360" w:lineRule="auto"/>
    </w:pPr>
    <w:rPr>
      <w:sz w:val="24"/>
    </w:rPr>
  </w:style>
  <w:style w:type="paragraph" w:styleId="94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50" w:customStyle="1">
    <w:name w:val="Style12"/>
    <w:basedOn w:val="637"/>
    <w:uiPriority w:val="0"/>
    <w:qFormat/>
    <w:pPr>
      <w:jc w:val="left"/>
    </w:pPr>
    <w:rPr>
      <w:rFonts w:ascii="宋体"/>
      <w:sz w:val="24"/>
    </w:rPr>
  </w:style>
  <w:style w:type="paragraph" w:styleId="951" w:customStyle="1">
    <w:name w:val="纯文本1"/>
    <w:basedOn w:val="637"/>
    <w:uiPriority w:val="0"/>
    <w:qFormat/>
    <w:rPr>
      <w:rFonts w:ascii="宋体" w:hAnsi="Courier New"/>
      <w:szCs w:val="20"/>
    </w:rPr>
  </w:style>
  <w:style w:type="paragraph" w:styleId="952" w:customStyle="1">
    <w:name w:val="正文1"/>
    <w:basedOn w:val="953"/>
    <w:uiPriority w:val="0"/>
    <w:qFormat/>
    <w:pPr>
      <w:contextualSpacing/>
      <w:ind w:firstLine="200"/>
      <w:spacing w:before="120" w:after="120" w:line="180" w:lineRule="auto"/>
    </w:pPr>
    <w:rPr>
      <w:rFonts w:ascii="Calibri" w:hAnsi="Calibri" w:eastAsia="Adobe 仿宋 Std R"/>
      <w:szCs w:val="21"/>
    </w:rPr>
  </w:style>
  <w:style w:type="paragraph" w:styleId="953" w:customStyle="1">
    <w:name w:val="正文111"/>
    <w:next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文本缩进11"/>
    <w:basedOn w:val="953"/>
    <w:uiPriority w:val="0"/>
    <w:qFormat/>
    <w:pPr>
      <w:ind w:firstLine="425"/>
      <w:spacing w:line="360" w:lineRule="auto"/>
    </w:pPr>
  </w:style>
  <w:style w:type="paragraph" w:styleId="955" w:customStyle="1">
    <w:name w:val="_Style 2"/>
    <w:basedOn w:val="637"/>
    <w:uiPriority w:val="34"/>
    <w:qFormat/>
    <w:pPr>
      <w:contextualSpacing/>
      <w:ind w:left="720"/>
      <w:jc w:val="left"/>
      <w:widowControl/>
    </w:pPr>
    <w:rPr>
      <w:rFonts w:ascii="Calibri" w:hAnsi="Calibri"/>
      <w:sz w:val="24"/>
      <w:lang w:eastAsia="en-US" w:bidi="en-US"/>
    </w:rPr>
  </w:style>
  <w:style w:type="paragraph" w:styleId="956" w:customStyle="1">
    <w:name w:val="_Style 3"/>
    <w:next w:val="957"/>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7" w:customStyle="1">
    <w:name w:val="正文文本缩进 31"/>
    <w:basedOn w:val="637"/>
    <w:uiPriority w:val="99"/>
    <w:qFormat/>
    <w:pPr>
      <w:ind w:firstLine="420"/>
    </w:pPr>
    <w:rPr>
      <w:rFonts w:eastAsia="楷体_GB2312"/>
    </w:rPr>
  </w:style>
  <w:style w:type="paragraph" w:styleId="958" w:customStyle="1">
    <w:name w:val="正文首行缩进1"/>
    <w:basedOn w:val="959"/>
    <w:uiPriority w:val="99"/>
    <w:qFormat/>
    <w:pPr>
      <w:ind w:firstLine="420"/>
      <w:tabs>
        <w:tab w:val="left" w:pos="2020" w:leader="none"/>
        <w:tab w:val="center" w:pos="4535" w:leader="none"/>
      </w:tabs>
    </w:pPr>
  </w:style>
  <w:style w:type="paragraph" w:styleId="959" w:customStyle="1">
    <w:name w:val="正文文本1"/>
    <w:basedOn w:val="63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60" w:customStyle="1">
    <w:name w:val="font51"/>
    <w:basedOn w:val="647"/>
    <w:uiPriority w:val="0"/>
    <w:qFormat/>
    <w:rPr>
      <w:rFonts w:hint="eastAsia" w:ascii="宋体" w:hAnsi="宋体" w:eastAsia="宋体" w:cs="宋体"/>
      <w:color w:val="000000"/>
      <w:sz w:val="22"/>
      <w:szCs w:val="22"/>
      <w:u w:val="none"/>
    </w:rPr>
  </w:style>
  <w:style w:type="character" w:styleId="961" w:customStyle="1">
    <w:name w:val="font71"/>
    <w:basedOn w:val="647"/>
    <w:uiPriority w:val="0"/>
    <w:qFormat/>
    <w:rPr>
      <w:rFonts w:hint="default" w:ascii="Arial" w:hAnsi="Arial" w:cs="Arial"/>
      <w:color w:val="000000"/>
      <w:sz w:val="22"/>
      <w:szCs w:val="22"/>
      <w:u w:val="none"/>
    </w:rPr>
  </w:style>
  <w:style w:type="character" w:styleId="962" w:customStyle="1">
    <w:name w:val="font81"/>
    <w:basedOn w:val="647"/>
    <w:uiPriority w:val="0"/>
    <w:qFormat/>
    <w:rPr>
      <w:rFonts w:ascii="Symbol" w:hAnsi="Symbol" w:cs="Symbol"/>
      <w:color w:val="000000"/>
      <w:sz w:val="22"/>
      <w:szCs w:val="22"/>
      <w:u w:val="none"/>
    </w:rPr>
  </w:style>
  <w:style w:type="character" w:styleId="963" w:customStyle="1">
    <w:name w:val="font61"/>
    <w:basedOn w:val="647"/>
    <w:uiPriority w:val="0"/>
    <w:qFormat/>
    <w:rPr>
      <w:rFonts w:hint="default" w:ascii="Arial" w:hAnsi="Arial" w:cs="Arial"/>
      <w:color w:val="000000"/>
      <w:sz w:val="22"/>
      <w:szCs w:val="22"/>
      <w:u w:val="none"/>
    </w:rPr>
  </w:style>
  <w:style w:type="character" w:styleId="964" w:customStyle="1">
    <w:name w:val="font31"/>
    <w:basedOn w:val="647"/>
    <w:uiPriority w:val="0"/>
    <w:qFormat/>
    <w:rPr>
      <w:rFonts w:hint="eastAsia" w:ascii="微软雅黑" w:hAnsi="微软雅黑" w:eastAsia="微软雅黑" w:cs="微软雅黑"/>
      <w:color w:val="000000"/>
      <w:sz w:val="18"/>
      <w:szCs w:val="18"/>
      <w:u w:val="none"/>
    </w:rPr>
  </w:style>
  <w:style w:type="character" w:styleId="965" w:customStyle="1">
    <w:name w:val="font91"/>
    <w:basedOn w:val="647"/>
    <w:uiPriority w:val="0"/>
    <w:qFormat/>
    <w:rPr>
      <w:rFonts w:ascii="Symbol" w:hAnsi="Symbol" w:cs="Symbol"/>
      <w:color w:val="000000"/>
      <w:sz w:val="18"/>
      <w:szCs w:val="18"/>
      <w:u w:val="none"/>
    </w:rPr>
  </w:style>
  <w:style w:type="paragraph" w:styleId="966" w:customStyle="1">
    <w:name w:val="列出段落2"/>
    <w:basedOn w:val="637"/>
    <w:uiPriority w:val="0"/>
    <w:qFormat/>
    <w:pPr>
      <w:ind w:firstLine="420"/>
    </w:pPr>
    <w:rPr>
      <w:rFonts w:ascii="Calibri" w:hAnsi="Calibri" w:cs="Calibri"/>
    </w:rPr>
  </w:style>
  <w:style w:type="character" w:styleId="967" w:customStyle="1">
    <w:name w:val="font101"/>
    <w:basedOn w:val="647"/>
    <w:uiPriority w:val="0"/>
    <w:qFormat/>
    <w:rPr>
      <w:rFonts w:hint="default" w:ascii="Arial" w:hAnsi="Arial" w:cs="Arial"/>
      <w:color w:val="000000"/>
      <w:sz w:val="22"/>
      <w:szCs w:val="22"/>
      <w:u w:val="none"/>
    </w:rPr>
  </w:style>
  <w:style w:type="character" w:styleId="968" w:customStyle="1">
    <w:name w:val="NormalCharacter"/>
    <w:uiPriority w:val="0"/>
    <w:qFormat/>
  </w:style>
  <w:style w:type="paragraph" w:styleId="969"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970" w:customStyle="1">
    <w:name w:val="正文_2_0"/>
    <w:uiPriority w:val="0"/>
    <w:qFormat/>
    <w:pPr>
      <w:jc w:val="both"/>
      <w:widowControl w:val="off"/>
    </w:pPr>
    <w:rPr>
      <w:rFonts w:hint="default" w:ascii="Calibri" w:hAnsi="Calibri" w:eastAsia="宋体" w:cs="Times New Roman"/>
      <w:sz w:val="21"/>
      <w:lang w:val="en-US" w:eastAsia="zh-CN" w:bidi="ar-SA"/>
    </w:rPr>
  </w:style>
  <w:style w:type="table" w:styleId="971" w:customStyle="1">
    <w:name w:val="Table Normal"/>
    <w:uiPriority w:val="0"/>
    <w:qFormat/>
    <w:tblPr>
      <w:tblCellMar>
        <w:left w:w="0" w:type="dxa"/>
        <w:top w:w="0" w:type="dxa"/>
        <w:right w:w="0" w:type="dxa"/>
        <w:bottom w:w="0" w:type="dxa"/>
      </w:tblCellMar>
    </w:tblPr>
  </w:style>
  <w:style w:type="paragraph" w:styleId="972" w:customStyle="1">
    <w:name w:val="Table Paragraph"/>
    <w:basedOn w:val="637"/>
    <w:uiPriority w:val="1"/>
    <w:qFormat/>
    <w:pPr>
      <w:jc w:val="left"/>
    </w:pPr>
    <w:rPr>
      <w:rFonts w:ascii="宋体" w:hAnsi="宋体" w:cs="宋体"/>
      <w:sz w:val="22"/>
      <w:szCs w:val="22"/>
      <w:lang w:val="zh-CN" w:bidi="zh-CN"/>
    </w:rPr>
  </w:style>
  <w:style w:type="paragraph" w:styleId="973" w:customStyle="1">
    <w:name w:val="Table Text"/>
    <w:basedOn w:val="637"/>
    <w:uiPriority w:val="0"/>
    <w:semiHidden/>
    <w:qFormat/>
    <w:rPr>
      <w:rFonts w:ascii="宋体" w:hAnsi="宋体" w:eastAsia="宋体" w:cs="宋体"/>
      <w:sz w:val="23"/>
      <w:szCs w:val="23"/>
    </w:rPr>
  </w:style>
  <w:style w:type="numbering" w:styleId="117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78a85a2a-b83a-4891-b5ab-4a99e0f066f0</errorID>
      <errorWord>:</errorWord>
      <group>L1_Format</group>
      <groupName>格式问题</groupName>
      <ability>L2_HalfPunc_CN</ability>
      <abilityName>全半角问题</abilityName>
      <candidateList>
        <item>：</item>
      </candidateList>
      <explain>文本全半角错误。</explain>
      <paraID>7FCD4D96</paraID>
      <start>4</start>
      <end>5</end>
      <status>unmodified</status>
      <modifiedWord/>
      <trackRevisions>false</trackRevisions>
    </reviewItem>
    <reviewItem>
      <errorID>108cc0a4-cac5-40f1-af82-d69155dfcd8a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7FDF3C90</paraID>
      <start>9</start>
      <end>10</end>
      <status>unmodified</status>
      <modifiedWord/>
      <trackRevisions>false</trackRevisions>
    </reviewItem>
    <reviewItem>
      <errorID>dd0a036a-6988-43a7-a75d-23604f82de1e</errorID>
      <errorWord>[2022]002号</errorWord>
      <group>L1_Knowledge</group>
      <groupName>知识性问题</groupName>
      <ability>L2_Knowledge</ability>
      <abilityName>其他知识</abilityName>
      <candidateList>
        <item>〔2022〕2号</item>
      </candidateList>
      <explain>发文字号格式错误。</explain>
      <paraID>7AA66FD7</paraID>
      <start>16</start>
      <end>26</end>
      <status>unmodified</status>
      <modifiedWord/>
      <trackRevisions>false</trackRevisions>
    </reviewItem>
    <reviewItem>
      <errorID>f6a2cf65-bfd8-4dee-91e7-3162ecfa8b9f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71E7EA00</paraID>
      <start>13</start>
      <end>16</end>
      <status>unmodified</status>
      <modifiedWord/>
      <trackRevisions>false</trackRevisions>
    </reviewItem>
    <reviewItem>
      <errorID>bd0924e6-1fae-4db8-97be-95db62b3b0a6</errorID>
      <errorWord>保持通讯畅通</errorWord>
      <group>L1_Word</group>
      <groupName>字词问题</groupName>
      <ability>L2_Typo</ability>
      <abilityName>字词错误</abilityName>
      <candidateList>
        <item>保持通信畅通</item>
      </candidateList>
      <explain/>
      <paraID>510762F2</paraID>
      <start>17</start>
      <end>23</end>
      <status>unmodified</status>
      <modifiedWord/>
      <trackRevisions>false</trackRevisions>
    </reviewItem>
    <reviewItem>
      <errorID>d0c31074-9e0b-463b-be93-87195407ce70</errorID>
      <errorWord>&lt;</errorWord>
      <group>L1_Format</group>
      <groupName>格式问题</groupName>
      <ability>L2_HalfPunc_CN</ability>
      <abilityName>全半角问题</abilityName>
      <candidateList>
        <item>〈</item>
      </candidateList>
      <explain>文本全半角错误。</explain>
      <paraID>322E3356</paraID>
      <start>50</start>
      <end>51</end>
      <status>unmodified</status>
      <modifiedWord/>
      <trackRevisions>false</trackRevisions>
    </reviewItem>
    <reviewItem>
      <errorID>951d5427-bc35-43a4-ab5e-a69139b0a3a5</errorID>
      <errorWord>&lt;</errorWord>
      <group>L1_Format</group>
      <groupName>格式问题</groupName>
      <ability>L2_HalfPunc_CN</ability>
      <abilityName>全半角问题</abilityName>
      <candidateList>
        <item>〈</item>
      </candidateList>
      <explain>文本全半角错误。</explain>
      <paraID>4C737B78</paraID>
      <start>50</start>
      <end>51</end>
      <status>unmodified</status>
      <modifiedWord/>
      <trackRevisions>false</trackRevisions>
    </reviewItem>
    <reviewItem>
      <errorID>35d71ac8-1f2c-4e55-95a6-b2c4d50da869</errorID>
      <errorWord>&lt;</errorWord>
      <group>L1_Format</group>
      <groupName>格式问题</groupName>
      <ability>L2_HalfPunc_CN</ability>
      <abilityName>全半角问题</abilityName>
      <candidateList>
        <item>〈</item>
      </candidateList>
      <explain>文本全半角错误。</explain>
      <paraID> D4AE5E2</paraID>
      <start>35</start>
      <end>36</end>
      <status>unmodified</status>
      <modifiedWord/>
      <trackRevisions>false</trackRevisions>
    </reviewItem>
    <reviewItem>
      <errorID>d2e4534c-486f-477a-af6a-f0f6b2ef7642</errorID>
      <errorWord>，</errorWord>
      <group>L1_Word</group>
      <groupName>字词问题</groupName>
      <ability>L2_Typo</ability>
      <abilityName>字词错误</abilityName>
      <candidateList>
        <item>，并</item>
      </candidateList>
      <explain/>
      <paraID> 401D2A2</paraID>
      <start>76</start>
      <end>77</end>
      <status>unmodified</status>
      <modifiedWord/>
      <trackRevisions>false</trackRevisions>
    </reviewItem>
    <reviewItem>
      <errorID>c0fc86f8-0a61-4e33-b5a9-106dfd2caa76</errorID>
      <errorWord>（</errorWord>
      <group>L1_Punc</group>
      <groupName>标点问题</groupName>
      <ability>L2_Punc_CN</ability>
      <abilityName>标点符号问题</abilityName>
      <candidateList/>
      <explain>同一形式括号套用。</explain>
      <paraID>56CD01F6</paraID>
      <start>47</start>
      <end>48</end>
      <status>unmodified</status>
      <modifiedWord/>
      <trackRevisions>false</trackRevisions>
    </reviewItem>
    <reviewItem>
      <errorID>46daf251-b05e-475c-8d30-1c18a6dc8113</errorID>
      <errorWord>）</errorWord>
      <group>L1_Punc</group>
      <groupName>标点问题</groupName>
      <ability>L2_Punc_CN</ability>
      <abilityName>标点符号问题</abilityName>
      <candidateList/>
      <explain>同一形式括号套用。</explain>
      <paraID>56CD01F6</paraID>
      <start>51</start>
      <end>52</end>
      <status>unmodified</status>
      <modifiedWord/>
      <trackRevisions>false</trackRevisions>
    </reviewItem>
    <reviewItem>
      <errorID>c38a1081-651c-400b-9e7a-912414bacfd3</errorID>
      <errorWord>&gt;</errorWord>
      <group>L1_Format</group>
      <groupName>格式问题</groupName>
      <ability>L2_HalfPunc_CN</ability>
      <abilityName>全半角问题</abilityName>
      <candidateList>
        <item>〉</item>
      </candidateList>
      <explain>文本全半角错误。</explain>
      <paraID>78B8D140</paraID>
      <start>78</start>
      <end>79</end>
      <status>unmodified</status>
      <modifiedWord/>
      <trackRevisions>false</trackRevisions>
    </reviewItem>
    <reviewItem>
      <errorID>7ae07fe8-a8ca-46fa-82dd-e5c240704467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78B8D140</paraID>
      <start>98</start>
      <end>102</end>
      <status>unmodified</status>
      <modifiedWord/>
      <trackRevisions>false</trackRevisions>
    </reviewItem>
    <reviewItem>
      <errorID>170c14b5-26f0-449d-87f9-17f8aa354208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26160DE4</paraID>
      <start>29</start>
      <end>33</end>
      <status>unmodified</status>
      <modifiedWord/>
      <trackRevisions>false</trackRevisions>
    </reviewItem>
    <reviewItem>
      <errorID>98667180-f5fb-4f43-aff4-586dfedbf7ab</errorID>
      <errorWord>（</errorWord>
      <group>L1_Word</group>
      <groupName>字词问题</groupName>
      <ability>L2_Typo</ability>
      <abilityName>字词错误</abilityName>
      <candidateList>
        <item>（在</item>
      </candidateList>
      <explain/>
      <paraID>18D900C6</paraID>
      <start>61</start>
      <end>62</end>
      <status>unmodified</status>
      <modifiedWord/>
      <trackRevisions>false</trackRevisions>
    </reviewItem>
    <reviewItem>
      <errorID>ce4eb21f-b682-4716-aad5-ebae55151e3b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2F56B128</paraID>
      <start>0</start>
      <end>2</end>
      <status>unmodified</status>
      <modifiedWord/>
      <trackRevisions>false</trackRevisions>
    </reviewItem>
    <reviewItem>
      <errorID>eac95c0d-8d0e-459e-8c77-5a7cd6c7d10f</errorID>
      <errorWord>:</errorWord>
      <group>L1_Format</group>
      <groupName>格式问题</groupName>
      <ability>L2_HalfPunc_CN</ability>
      <abilityName>全半角问题</abilityName>
      <candidateList>
        <item>：</item>
      </candidateList>
      <explain>文本全半角错误。</explain>
      <paraID>2F56B128</paraID>
      <start>4</start>
      <end>5</end>
      <status>unmodified</status>
      <modifiedWord/>
      <trackRevisions>false</trackRevisions>
    </reviewItem>
    <reviewItem>
      <errorID>98d9dc1b-0193-4efb-8a2f-9b5b0ab8c136</errorID>
      <errorWord>:</errorWord>
      <group>L1_Format</group>
      <groupName>格式问题</groupName>
      <ability>L2_HalfPunc_CN</ability>
      <abilityName>全半角问题</abilityName>
      <candidateList>
        <item>：</item>
      </candidateList>
      <explain>文本全半角错误。</explain>
      <paraID>2A97521F</paraID>
      <start>74</start>
      <end>75</end>
      <status>unmodified</status>
      <modifiedWord/>
      <trackRevisions>false</trackRevisions>
    </reviewItem>
    <reviewItem>
      <errorID>cace76c7-40fe-4f68-a3fd-0229a2d8cc36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67299769</paraID>
      <start>0</start>
      <end>2</end>
      <status>unmodified</status>
      <modifiedWord/>
      <trackRevisions>false</trackRevisions>
    </reviewItem>
    <reviewItem>
      <errorID>5012435e-5b9d-4a55-ab5c-acdfcdd36087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6BF93BE5</paraID>
      <start>0</start>
      <end>2</end>
      <status>unmodified</status>
      <modifiedWord/>
      <trackRevisions>false</trackRevisions>
    </reviewItem>
    <reviewItem>
      <errorID>9fb772d1-a17c-4f7d-ab0f-b7262e0a163c</errorID>
      <errorWord>:</errorWord>
      <group>L1_Format</group>
      <groupName>格式问题</groupName>
      <ability>L2_HalfPunc_CN</ability>
      <abilityName>全半角问题</abilityName>
      <candidateList>
        <item>：</item>
      </candidateList>
      <explain>文本全半角错误。</explain>
      <paraID>6BF93BE5</paraID>
      <start>6</start>
      <end>7</end>
      <status>unmodified</status>
      <modifiedWord/>
      <trackRevisions>false</trackRevisions>
    </reviewItem>
    <reviewItem>
      <errorID>85cdb349-d5d3-4788-866a-b8aa511d6246</errorID>
      <errorWord>(</errorWord>
      <group>L1_Format</group>
      <groupName>格式问题</groupName>
      <ability>L2_HalfPunc_CN</ability>
      <abilityName>全半角问题</abilityName>
      <candidateList>
        <item>（</item>
      </candidateList>
      <explain>文本全半角错误。</explain>
      <paraID>212AC29C</paraID>
      <start>75</start>
      <end>76</end>
      <status>unmodified</status>
      <modifiedWord/>
      <trackRevisions>false</trackRevisions>
    </reviewItem>
    <reviewItem>
      <errorID>b01ff53b-2a7c-4fc8-b06a-556dd77394f6</errorID>
      <errorWord>)</errorWord>
      <group>L1_Format</group>
      <groupName>格式问题</groupName>
      <ability>L2_HalfPunc_CN</ability>
      <abilityName>全半角问题</abilityName>
      <candidateList>
        <item>）</item>
      </candidateList>
      <explain>文本全半角错误。</explain>
      <paraID>212AC29C</paraID>
      <start>111</start>
      <end>112</end>
      <status>unmodified</status>
      <modifiedWord/>
      <trackRevisions>false</trackRevisions>
    </reviewItem>
    <reviewItem>
      <errorID>8d6a1044-4e57-4d88-a379-2f6f444c06ab</errorID>
      <errorWord>(</errorWord>
      <group>L1_Format</group>
      <groupName>格式问题</groupName>
      <ability>L2_HalfPunc_CN</ability>
      <abilityName>全半角问题</abilityName>
      <candidateList>
        <item>（</item>
      </candidateList>
      <explain>文本全半角错误。</explain>
      <paraID>71F3F895</paraID>
      <start>66</start>
      <end>67</end>
      <status>unmodified</status>
      <modifiedWord/>
      <trackRevisions>false</trackRevisions>
    </reviewItem>
    <reviewItem>
      <errorID>2ce17306-381e-4e4d-9f6f-6a4d642e8394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6CD20986</paraID>
      <start>0</start>
      <end>2</end>
      <status>unmodified</status>
      <modifiedWord/>
      <trackRevisions>false</trackRevisions>
    </reviewItem>
    <reviewItem>
      <errorID>31d6de3c-0371-47e6-9e92-95765e5a819f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645904A8</paraID>
      <start>0</start>
      <end>2</end>
      <status>unmodified</status>
      <modifiedWord/>
      <trackRevisions>false</trackRevisions>
    </reviewItem>
    <reviewItem>
      <errorID>8282b9e8-9b98-4b05-920d-ed30d9eb05c8</errorID>
      <errorWord>:</errorWord>
      <group>L1_Format</group>
      <groupName>格式问题</groupName>
      <ability>L2_HalfPunc_CN</ability>
      <abilityName>全半角问题</abilityName>
      <candidateList>
        <item>：</item>
      </candidateList>
      <explain>文本全半角错误。</explain>
      <paraID>645904A8</paraID>
      <start>4</start>
      <end>5</end>
      <status>unmodified</status>
      <modifiedWord/>
      <trackRevisions>false</trackRevisions>
    </reviewItem>
    <reviewItem>
      <errorID>9412b21e-18a9-4df7-a8f8-8cd533cac5b1</errorID>
      <errorWord>:</errorWord>
      <group>L1_Format</group>
      <groupName>格式问题</groupName>
      <ability>L2_HalfPunc_CN</ability>
      <abilityName>全半角问题</abilityName>
      <candidateList>
        <item>：</item>
      </candidateList>
      <explain>文本全半角错误。</explain>
      <paraID>662B5C11</paraID>
      <start>74</start>
      <end>75</end>
      <status>unmodified</status>
      <modifiedWord/>
      <trackRevisions>false</trackRevisions>
    </reviewItem>
    <reviewItem>
      <errorID>73177c02-195e-4328-9bfd-bdb4910a12f7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5EBF8081</paraID>
      <start>0</start>
      <end>2</end>
      <status>unmodified</status>
      <modifiedWord/>
      <trackRevisions>false</trackRevisions>
    </reviewItem>
    <reviewItem>
      <errorID>49665019-cbda-46e6-b2a9-f319e1a9d1d2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766A1639</paraID>
      <start>0</start>
      <end>2</end>
      <status>unmodified</status>
      <modifiedWord/>
      <trackRevisions>false</trackRevisions>
    </reviewItem>
    <reviewItem>
      <errorID>a5ff79ce-ae99-4c64-a729-76eaebd6a289</errorID>
      <errorWord>:</errorWord>
      <group>L1_Format</group>
      <groupName>格式问题</groupName>
      <ability>L2_HalfPunc_CN</ability>
      <abilityName>全半角问题</abilityName>
      <candidateList>
        <item>：</item>
      </candidateList>
      <explain>文本全半角错误。</explain>
      <paraID>766A1639</paraID>
      <start>6</start>
      <end>7</end>
      <status>unmodified</status>
      <modifiedWord/>
      <trackRevisions>false</trackRevisions>
    </reviewItem>
    <reviewItem>
      <errorID>b9af72d0-a5c3-4e6b-a180-ec6475756e97</errorID>
      <errorWord>(</errorWord>
      <group>L1_Format</group>
      <groupName>格式问题</groupName>
      <ability>L2_HalfPunc_CN</ability>
      <abilityName>全半角问题</abilityName>
      <candidateList>
        <item>（</item>
      </candidateList>
      <explain>文本全半角错误。</explain>
      <paraID> 3DF4A29</paraID>
      <start>75</start>
      <end>76</end>
      <status>unmodified</status>
      <modifiedWord/>
      <trackRevisions>false</trackRevisions>
    </reviewItem>
    <reviewItem>
      <errorID>7cd03f2c-820b-438f-95f1-008c47ebc1fd</errorID>
      <errorWord>)</errorWord>
      <group>L1_Format</group>
      <groupName>格式问题</groupName>
      <ability>L2_HalfPunc_CN</ability>
      <abilityName>全半角问题</abilityName>
      <candidateList>
        <item>）</item>
      </candidateList>
      <explain>文本全半角错误。</explain>
      <paraID> 3DF4A29</paraID>
      <start>111</start>
      <end>112</end>
      <status>unmodified</status>
      <modifiedWord/>
      <trackRevisions>false</trackRevisions>
    </reviewItem>
    <reviewItem>
      <errorID>9f85f385-cbbb-4633-a893-2d67010a5ef0</errorID>
      <errorWord>(</errorWord>
      <group>L1_Format</group>
      <groupName>格式问题</groupName>
      <ability>L2_HalfPunc_CN</ability>
      <abilityName>全半角问题</abilityName>
      <candidateList>
        <item>（</item>
      </candidateList>
      <explain>文本全半角错误。</explain>
      <paraID> 69315ED</paraID>
      <start>66</start>
      <end>67</end>
      <status>unmodified</status>
      <modifiedWord/>
      <trackRevisions>false</trackRevisions>
    </reviewItem>
    <reviewItem>
      <errorID>35df2f23-56f4-4c30-a5ba-ba82a462ff2c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32B3418C</paraID>
      <start>0</start>
      <end>2</end>
      <status>unmodified</status>
      <modifiedWord/>
      <trackRevisions>false</trackRevisions>
    </reviewItem>
    <reviewItem>
      <errorID>d52a63b0-d276-4e67-833a-fcf72069935a</errorID>
      <errorWord>。。</errorWord>
      <group>L1_Punc</group>
      <groupName>标点问题</groupName>
      <ability>L2_Punc_CN</ability>
      <abilityName>标点符号问题</abilityName>
      <candidateList>
        <item>。</item>
      </candidateList>
      <explain/>
      <paraID>4B7A84B9</paraID>
      <start>162</start>
      <end>164</end>
      <status>unmodified</status>
      <modifiedWord/>
      <trackRevisions>false</trackRevisions>
    </reviewItem>
    <reviewItem>
      <errorID>351b85a2-0d81-4ddd-b28e-48b8923f1dfd</errorID>
      <errorWord>（</errorWord>
      <group>L1_Punc</group>
      <groupName>标点问题</groupName>
      <ability>L2_Punc_CN</ability>
      <abilityName>标点符号问题</abilityName>
      <candidateList/>
      <explain>同一形式括号套用。</explain>
      <paraID>57772CF0</paraID>
      <start>23</start>
      <end>24</end>
      <status>unmodified</status>
      <modifiedWord/>
      <trackRevisions>false</trackRevisions>
    </reviewItem>
    <reviewItem>
      <errorID>1514ac50-0bcb-471a-a83b-2c873e50ac17</errorID>
      <errorWord>）</errorWord>
      <group>L1_Punc</group>
      <groupName>标点问题</groupName>
      <ability>L2_Punc_CN</ability>
      <abilityName>标点符号问题</abilityName>
      <candidateList/>
      <explain>同一形式括号套用。</explain>
      <paraID>57772CF0</paraID>
      <start>28</start>
      <end>29</end>
      <status>unmodified</status>
      <modifiedWord/>
      <trackRevisions>false</trackRevisions>
    </reviewItem>
    <reviewItem>
      <errorID>06b788f1-df0d-4e53-825f-7a65d8b16db2</errorID>
      <errorWord>（</errorWord>
      <group>L1_Punc</group>
      <groupName>标点问题</groupName>
      <ability>L2_Punc_CN</ability>
      <abilityName>标点符号问题</abilityName>
      <candidateList/>
      <explain>同一形式括号套用。</explain>
      <paraID>57772CF0</paraID>
      <start>36</start>
      <end>37</end>
      <status>unmodified</status>
      <modifiedWord/>
      <trackRevisions>false</trackRevisions>
    </reviewItem>
    <reviewItem>
      <errorID>14eaed9d-f7fb-43d0-8b04-6ccb3334944f</errorID>
      <errorWord>）</errorWord>
      <group>L1_Punc</group>
      <groupName>标点问题</groupName>
      <ability>L2_Punc_CN</ability>
      <abilityName>标点符号问题</abilityName>
      <candidateList/>
      <explain>同一形式括号套用。</explain>
      <paraID>57772CF0</paraID>
      <start>43</start>
      <end>44</end>
      <status>unmodified</status>
      <modifiedWord/>
      <trackRevisions>false</trackRevisions>
    </reviewItem>
    <reviewItem>
      <errorID>0f34feb1-6b2f-4556-be60-aa66601f17be</errorID>
      <errorWord>、或</errorWord>
      <group>L1_Word</group>
      <groupName>字词问题</groupName>
      <ability>L2_Typo</ability>
      <abilityName>字词错误</abilityName>
      <candidateList>
        <item>或</item>
      </candidateList>
      <explain/>
      <paraID>57772CF0</paraID>
      <start>63</start>
      <end>65</end>
      <status>unmodified</status>
      <modifiedWord/>
      <trackRevisions>false</trackRevisions>
    </reviewItem>
    <reviewItem>
      <errorID>bd7d50dd-9c70-4ea4-bf3a-6aee4390c8d1</errorID>
      <errorWord>、或</errorWord>
      <group>L1_Word</group>
      <groupName>字词问题</groupName>
      <ability>L2_Typo</ability>
      <abilityName>字词错误</abilityName>
      <candidateList>
        <item>或</item>
      </candidateList>
      <explain/>
      <paraID>57772CF0</paraID>
      <start>73</start>
      <end>75</end>
      <status>unmodified</status>
      <modifiedWord/>
      <trackRevisions>false</trackRevisions>
    </reviewItem>
    <reviewItem>
      <errorID>04fbfb5b-a91a-44bd-a980-a048efb34652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747270FC</paraID>
      <start>23</start>
      <end>26</end>
      <status>unmodified</status>
      <modifiedWord/>
      <trackRevisions>false</trackRevisions>
    </reviewItem>
    <reviewItem>
      <errorID>e359d54c-4388-454f-9b6e-324745995f09</errorID>
      <errorWord>》</errorWord>
      <group>L1_Word</group>
      <groupName>字词问题</groupName>
      <ability>L2_Typo</ability>
      <abilityName>字词错误</abilityName>
      <candidateList>
        <item>》等</item>
      </candidateList>
      <explain/>
      <paraID>747270FC</paraID>
      <start>38</start>
      <end>39</end>
      <status>unmodified</status>
      <modifiedWord/>
      <trackRevisions>false</trackRevisions>
    </reviewItem>
    <reviewItem>
      <errorID>6cd053b0-f0a4-4cfe-9809-c5bee4349072</errorID>
      <errorWord>其他的</errorWord>
      <group>L1_Word</group>
      <groupName>字词问题</groupName>
      <ability>L2_Typo</ability>
      <abilityName>字词错误</abilityName>
      <candidateList>
        <item>其他</item>
      </candidateList>
      <explain/>
      <paraID>550B4EE5</paraID>
      <start>40</start>
      <end>43</end>
      <status>unmodified</status>
      <modifiedWord/>
      <trackRevisions>false</trackRevisions>
    </reviewItem>
    <reviewItem>
      <errorID>4e8d3546-d216-4a53-94c9-90c6cb315a12</errorID>
      <errorWord>《</errorWord>
      <group>L1_Punc</group>
      <groupName>标点问题</groupName>
      <ability>L2_Punc_CN</ability>
      <abilityName>标点符号问题</abilityName>
      <candidateList/>
      <explain>同一形式括号套用。</explain>
      <paraID>4F1B5C90</paraID>
      <start>36</start>
      <end>37</end>
      <status>unmodified</status>
      <modifiedWord/>
      <trackRevisions>false</trackRevisions>
    </reviewItem>
    <reviewItem>
      <errorID>666a244e-4f3a-43c1-89b4-e27423b96c11</errorID>
      <errorWord>》</errorWord>
      <group>L1_Punc</group>
      <groupName>标点问题</groupName>
      <ability>L2_Punc_CN</ability>
      <abilityName>标点符号问题</abilityName>
      <candidateList/>
      <explain>同一形式括号套用。</explain>
      <paraID>4F1B5C90</paraID>
      <start>53</start>
      <end>54</end>
      <status>unmodified</status>
      <modifiedWord/>
      <trackRevisions>false</trackRevisions>
    </reviewItem>
    <reviewItem>
      <errorID>97a3d1c8-02fe-4438-a5d8-7ce432616a22</errorID>
      <errorWord>《</errorWord>
      <group>L1_Punc</group>
      <groupName>标点问题</groupName>
      <ability>L2_Punc_CN</ability>
      <abilityName>标点符号问题</abilityName>
      <candidateList/>
      <explain>同一形式括号套用。</explain>
      <paraID>4F1B5C90</paraID>
      <start>54</start>
      <end>55</end>
      <status>unmodified</status>
      <modifiedWord/>
      <trackRevisions>false</trackRevisions>
    </reviewItem>
    <reviewItem>
      <errorID>1d578bec-e545-44d5-8972-4489d52d5b6b</errorID>
      <errorWord>》</errorWord>
      <group>L1_Punc</group>
      <groupName>标点问题</groupName>
      <ability>L2_Punc_CN</ability>
      <abilityName>标点符号问题</abilityName>
      <candidateList/>
      <explain>同一形式括号套用。</explain>
      <paraID>4F1B5C90</paraID>
      <start>71</start>
      <end>72</end>
      <status>unmodified</status>
      <modifiedWord/>
      <trackRevisions>false</trackRevisions>
    </reviewItem>
    <reviewItem>
      <errorID>06a1f86e-6efa-4d68-aa1e-c9ee337c2234</errorID>
      <errorWord>承担的</errorWord>
      <group>L1_Word</group>
      <groupName>字词问题</groupName>
      <ability>L2_Typo</ability>
      <abilityName>字词错误</abilityName>
      <candidateList>
        <item>承担</item>
      </candidateList>
      <explain/>
      <paraID>3A3E958D</paraID>
      <start>172</start>
      <end>175</end>
      <status>unmodified</status>
      <modifiedWord/>
      <trackRevisions>false</trackRevisions>
    </reviewItem>
    <reviewItem>
      <errorID>c449ec86-1642-422c-8c7d-5fadacb346ff</errorID>
      <errorWord>承担的</errorWord>
      <group>L1_Word</group>
      <groupName>字词问题</groupName>
      <ability>L2_Typo</ability>
      <abilityName>字词错误</abilityName>
      <candidateList>
        <item>承担</item>
      </candidateList>
      <explain/>
      <paraID> D052AF7</paraID>
      <start>19</start>
      <end>22</end>
      <status>unmodified</status>
      <modifiedWord/>
      <trackRevisions>false</trackRevisions>
    </reviewItem>
    <reviewItem>
      <errorID>8d8758be-4eeb-4d9e-92af-2d76e72e6622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EB29C86</paraID>
      <start>5</start>
      <end>10</end>
      <status>unmodified</status>
      <modifiedWord/>
      <trackRevisions>false</trackRevisions>
    </reviewItem>
    <reviewItem>
      <errorID>20c403f4-d840-4402-8b8d-05352b47f743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DB9491A</paraID>
      <start>0</start>
      <end>2</end>
      <status>unmodified</status>
      <modifiedWord/>
      <trackRevisions>false</trackRevisions>
    </reviewItem>
    <reviewItem>
      <errorID>5d2a7a2b-e31b-4d5a-9b7e-92081adcfb98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24F6165F</paraID>
      <start>0</start>
      <end>2</end>
      <status>unmodified</status>
      <modifiedWord/>
      <trackRevisions>false</trackRevisions>
    </reviewItem>
    <reviewItem>
      <errorID>e86ef5ab-8e11-420d-a8a8-aa28e28af372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1330024</paraID>
      <start>0</start>
      <end>2</end>
      <status>unmodified</status>
      <modifiedWord/>
      <trackRevisions>false</trackRevisions>
    </reviewItem>
    <reviewItem>
      <errorID>17907d7d-b092-4e8c-bce8-700161138085</errorID>
      <errorWord>中心中</errorWord>
      <group>L1_Word</group>
      <groupName>字词问题</groupName>
      <ability>L2_Typo</ability>
      <abilityName>字词错误</abilityName>
      <candidateList>
        <item>中心</item>
      </candidateList>
      <explain/>
      <paraID>782D6BA0</paraID>
      <start>21</start>
      <end>24</end>
      <status>unmodified</status>
      <modifiedWord/>
      <trackRevisions>false</trackRevisions>
    </reviewItem>
    <reviewItem>
      <errorID>f2c6cdaa-3f7b-4954-8dc7-46b1fa6a96ff</errorID>
      <errorWord>～</errorWord>
      <group>L1_Format</group>
      <groupName>格式问题</groupName>
      <ability>L2_HalfPunc_CN</ability>
      <abilityName>全半角问题</abilityName>
      <candidateList>
        <item>~</item>
      </candidateList>
      <explain>文本全半角错误。</explain>
      <paraID>  94F378</paraID>
      <start>1</start>
      <end>2</end>
      <status>unmodified</status>
      <modifiedWord/>
      <trackRevisions>false</trackRevisions>
    </reviewItem>
    <reviewItem>
      <errorID>9aa39371-4caf-4203-a312-a698eed3c363</errorID>
      <errorWord>kw</errorWord>
      <group>L1_Word</group>
      <groupName>字词问题</groupName>
      <ability>L2_Typo</ability>
      <abilityName>字词错误</abilityName>
      <candidateList>
        <item>kW</item>
      </candidateList>
      <explain/>
      <paraID>46B66746</paraID>
      <start>4</start>
      <end>6</end>
      <status>unmodified</status>
      <modifiedWord/>
      <trackRevisions>false</trackRevisions>
    </reviewItem>
    <reviewItem>
      <errorID>7a9fa86c-6b1f-4c85-9ddc-c8bff350226e</errorID>
      <errorWord>结构形</errorWord>
      <group>L1_Word</group>
      <groupName>字词问题</groupName>
      <ability>L2_Typo</ability>
      <abilityName>字词错误</abilityName>
      <candidateList>
        <item>结构型</item>
      </candidateList>
      <explain/>
      <paraID>43A824E0</paraID>
      <start>14</start>
      <end>17</end>
      <status>unmodified</status>
      <modifiedWord/>
      <trackRevisions>false</trackRevisions>
    </reviewItem>
    <reviewItem>
      <errorID>e6bffe3f-68a1-477b-8419-b45371d80857</errorID>
      <errorWord>的</errorWord>
      <group>L1_Word</group>
      <groupName>字词问题</groupName>
      <ability>L2_DDD</ability>
      <abilityName>的地得用法</abilityName>
      <candidateList>
        <item>地</item>
      </candidateList>
      <explain/>
      <paraID>6D697961</paraID>
      <start>30</start>
      <end>31</end>
      <status>unmodified</status>
      <modifiedWord/>
      <trackRevisions>false</trackRevisions>
    </reviewItem>
    <reviewItem>
      <errorID>e9960bd0-f5be-4bfd-9d36-fc8ac95ea65f</errorID>
      <errorWord>中心中</errorWord>
      <group>L1_Word</group>
      <groupName>字词问题</groupName>
      <ability>L2_Typo</ability>
      <abilityName>字词错误</abilityName>
      <candidateList>
        <item>中心</item>
      </candidateList>
      <explain/>
      <paraID>2847F872</paraID>
      <start>21</start>
      <end>24</end>
      <status>unmodified</status>
      <modifiedWord/>
      <trackRevisions>false</trackRevisions>
    </reviewItem>
    <reviewItem>
      <errorID>73a948f3-c5ce-4b5e-9773-24b24b4cb3e0</errorID>
      <errorWord>kw</errorWord>
      <group>L1_Word</group>
      <groupName>字词问题</groupName>
      <ability>L2_Typo</ability>
      <abilityName>字词错误</abilityName>
      <candidateList>
        <item>kW</item>
      </candidateList>
      <explain/>
      <paraID> 50F021F</paraID>
      <start>4</start>
      <end>6</end>
      <status>unmodified</status>
      <modifiedWord/>
      <trackRevisions>false</trackRevisions>
    </reviewItem>
    <reviewItem>
      <errorID>4e523b2e-a618-4466-81f7-444e4bff2013</errorID>
      <errorWord>减低</errorWord>
      <group>L1_Word</group>
      <groupName>字词问题</groupName>
      <ability>L2_Typo</ability>
      <abilityName>字词错误</abilityName>
      <candidateList>
        <item>降低</item>
      </candidateList>
      <explain>存在发音相近字词的误用。</explain>
      <paraID>4E4E5B6F</paraID>
      <start>56</start>
      <end>58</end>
      <status>unmodified</status>
      <modifiedWord/>
      <trackRevisions>false</trackRevisions>
    </reviewItem>
    <reviewItem>
      <errorID>386ce56e-4de8-45f4-8676-adef09ea73b4</errorID>
      <errorWord>中心中</errorWord>
      <group>L1_Word</group>
      <groupName>字词问题</groupName>
      <ability>L2_Typo</ability>
      <abilityName>字词错误</abilityName>
      <candidateList>
        <item>中心</item>
      </candidateList>
      <explain/>
      <paraID>3B6FC0A1</paraID>
      <start>21</start>
      <end>24</end>
      <status>unmodified</status>
      <modifiedWord/>
      <trackRevisions>false</trackRevisions>
    </reviewItem>
    <reviewItem>
      <errorID>0fa8e9c2-a8c7-4688-9f4b-9831e8307550</errorID>
      <errorWord>kw</errorWord>
      <group>L1_Word</group>
      <groupName>字词问题</groupName>
      <ability>L2_Typo</ability>
      <abilityName>字词错误</abilityName>
      <candidateList>
        <item>kW</item>
      </candidateList>
      <explain/>
      <paraID>79484B86</paraID>
      <start>4</start>
      <end>6</end>
      <status>unmodified</status>
      <modifiedWord/>
      <trackRevisions>false</trackRevisions>
    </reviewItem>
    <reviewItem>
      <errorID>a79b7e4b-0a0d-4ed2-aecc-dcdb65bdbdf2</errorID>
      <errorWord>程</errorWord>
      <group>L1_Word</group>
      <groupName>字词问题</groupName>
      <ability>L2_Typo</ability>
      <abilityName>字词错误</abilityName>
      <candidateList>
        <item>程中</item>
      </candidateList>
      <explain/>
      <paraID> B6DBC95</paraID>
      <start>20</start>
      <end>22</end>
      <status>modified</status>
      <modifiedWord>程中</modifiedWord>
      <trackRevisions>false</trackRevisions>
    </reviewItem>
    <reviewItem>
      <errorID>588ff814-797b-43b4-910b-ea810aca4842</errorID>
      <errorWord>(</errorWord>
      <group>L1_Format</group>
      <groupName>格式问题</groupName>
      <ability>L2_HalfPunc_CN</ability>
      <abilityName>全半角问题</abilityName>
      <candidateList>
        <item>（</item>
      </candidateList>
      <explain>文本全半角错误。</explain>
      <paraID>64F4F4F6</paraID>
      <start>6</start>
      <end>7</end>
      <status>unmodified</status>
      <modifiedWord/>
      <trackRevisions>false</trackRevisions>
    </reviewItem>
    <reviewItem>
      <errorID>bbda7a3c-5e44-436c-9946-10903c0a54c6</errorID>
      <errorWord>)</errorWord>
      <group>L1_Format</group>
      <groupName>格式问题</groupName>
      <ability>L2_HalfPunc_CN</ability>
      <abilityName>全半角问题</abilityName>
      <candidateList>
        <item>）</item>
      </candidateList>
      <explain>文本全半角错误。</explain>
      <paraID>64F4F4F6</paraID>
      <start>8</start>
      <end>9</end>
      <status>unmodified</status>
      <modifiedWord/>
      <trackRevisions>false</trackRevisions>
    </reviewItem>
    <reviewItem>
      <errorID>c9512297-46c1-4bbe-b328-96201dcd66cd</errorID>
      <errorWord>中心中</errorWord>
      <group>L1_Word</group>
      <groupName>字词问题</groupName>
      <ability>L2_Typo</ability>
      <abilityName>字词错误</abilityName>
      <candidateList>
        <item>中心</item>
      </candidateList>
      <explain/>
      <paraID>14BEF20F</paraID>
      <start>21</start>
      <end>24</end>
      <status>unmodified</status>
      <modifiedWord/>
      <trackRevisions>false</trackRevisions>
    </reviewItem>
    <reviewItem>
      <errorID>eb433750-73d9-4d40-b570-4666935261dd</errorID>
      <errorWord>档手动</errorWord>
      <group>L1_Word</group>
      <groupName>字词问题</groupName>
      <ability>L2_Typo</ability>
      <abilityName>字词错误</abilityName>
      <candidateList>
        <item>挡手动</item>
      </candidateList>
      <explain/>
      <paraID>6BD83435</paraID>
      <start>3</start>
      <end>6</end>
      <status>unmodified</status>
      <modifiedWord/>
      <trackRevisions>false</trackRevisions>
    </reviewItem>
    <reviewItem>
      <errorID>97108f94-cd60-412b-bf59-737ebb092555</errorID>
      <errorWord>(</errorWord>
      <group>L1_Format</group>
      <groupName>格式问题</groupName>
      <ability>L2_HalfPunc_CN</ability>
      <abilityName>全半角问题</abilityName>
      <candidateList>
        <item>（</item>
      </candidateList>
      <explain>文本全半角错误。</explain>
      <paraID>12AA437E</paraID>
      <start>6</start>
      <end>7</end>
      <status>unmodified</status>
      <modifiedWord/>
      <trackRevisions>false</trackRevisions>
    </reviewItem>
    <reviewItem>
      <errorID>b0f4323b-d1d3-4f7a-bb65-1ac57ea679a5</errorID>
      <errorWord>)</errorWord>
      <group>L1_Format</group>
      <groupName>格式问题</groupName>
      <ability>L2_HalfPunc_CN</ability>
      <abilityName>全半角问题</abilityName>
      <candidateList>
        <item>）</item>
      </candidateList>
      <explain>文本全半角错误。</explain>
      <paraID>12AA437E</paraID>
      <start>9</start>
      <end>10</end>
      <status>unmodified</status>
      <modifiedWord/>
      <trackRevisions>false</trackRevisions>
    </reviewItem>
    <reviewItem>
      <errorID>d8b42fcf-2c50-4652-9290-db474c06dbe3</errorID>
      <errorWord>rpm</errorWord>
      <group>L1_Knowledge</group>
      <groupName>知识性问题</groupName>
      <ability>L2_Knowledge</ability>
      <abilityName>其他知识</abilityName>
      <candidateList/>
      <explain>非法定单位</explain>
      <paraID>55963AD5</paraID>
      <start>7</start>
      <end>10</end>
      <status>unmodified</status>
      <modifiedWord/>
      <trackRevisions>false</trackRevisions>
    </reviewItem>
    <reviewItem>
      <errorID>92ff0524-169d-42ae-950e-266b8badc8c3</errorID>
      <errorWord>搭</errorWord>
      <group>L1_Word</group>
      <groupName>字词问题</groupName>
      <ability>L2_Typo</ability>
      <abilityName>字词错误</abilityName>
      <candidateList>
        <item>倒</item>
      </candidateList>
      <explain>存在发音相近字词的误用。</explain>
      <paraID>20AF19D0</paraID>
      <start>58</start>
      <end>59</end>
      <status>unmodified</status>
      <modifiedWord/>
      <trackRevisions>false</trackRevisions>
    </reviewItem>
    <reviewItem>
      <errorID>576470df-f16a-4ef1-92ed-428898aa31cf</errorID>
      <errorWord>其它杂质</errorWord>
      <group>L1_Word</group>
      <groupName>字词问题</groupName>
      <ability>L2_Alias</ability>
      <abilityName>也作/曾用词</abilityName>
      <candidateList>
        <item>其他杂质</item>
      </candidateList>
      <explain>词汇[其它杂质]为不规范表述或旧称，其规范书面表述为[其他杂质]。</explain>
      <paraID>491D259B</paraID>
      <start>14</start>
      <end>18</end>
      <status>unmodified</status>
      <modifiedWord/>
      <trackRevisions>false</trackRevisions>
    </reviewItem>
    <reviewItem>
      <errorID>7f22733d-db6f-416d-8901-86c104b7c4f4</errorID>
      <errorWord>(</errorWord>
      <group>L1_Format</group>
      <groupName>格式问题</groupName>
      <ability>L2_HalfPunc_CN</ability>
      <abilityName>全半角问题</abilityName>
      <candidateList>
        <item>（</item>
      </candidateList>
      <explain>文本全半角错误。</explain>
      <paraID>5BC8A51D</paraID>
      <start>79</start>
      <end>80</end>
      <status>unmodified</status>
      <modifiedWord/>
      <trackRevisions>false</trackRevisions>
    </reviewItem>
    <reviewItem>
      <errorID>9a84ebe0-db5a-4a6f-a3de-d49079ed02c9</errorID>
      <errorWord>)</errorWord>
      <group>L1_Format</group>
      <groupName>格式问题</groupName>
      <ability>L2_HalfPunc_CN</ability>
      <abilityName>全半角问题</abilityName>
      <candidateList>
        <item>）</item>
      </candidateList>
      <explain>文本全半角错误。</explain>
      <paraID>5BC8A51D</paraID>
      <start>82</start>
      <end>83</end>
      <status>unmodified</status>
      <modifiedWord/>
      <trackRevisions>false</trackRevisions>
    </reviewItem>
    <reviewItem>
      <errorID>02f61e81-9a8f-4bfb-9d02-7c4933d5fa1a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4B87AC8C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3A773AA-F8DB-49AB-BE8B-EA2708A02B6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MHGC002</cp:lastModifiedBy>
  <cp:revision>10</cp:revision>
  <dcterms:created xsi:type="dcterms:W3CDTF">2024-01-08T08:47:00Z</dcterms:created>
  <dcterms:modified xsi:type="dcterms:W3CDTF">2026-11-06T02:44:25Z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eyJoZGlkIjoiZTJhODQ3NTYxOWZlZmE1MDgzZmM4MTFiZDVjNzI2ZGIiLCJ1c2VySWQiOiIxMjY3MjM4ODQ2In0=</vt:lpwstr>
  </property>
  <property fmtid="{D5CDD505-2E9C-101B-9397-08002B2CF9AE}" pid="3" name="KSOProductBuildVer">
    <vt:lpwstr>2052-12.1.0.29161</vt:lpwstr>
  </property>
  <property fmtid="{D5CDD505-2E9C-101B-9397-08002B2CF9AE}" pid="4" name="ICV">
    <vt:lpwstr>DA19C6EE576C4E48BC00D761AA04A5CA_13</vt:lpwstr>
  </property>
</Properties>
</file>