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A8B4C">
      <w:pPr>
        <w:tabs>
          <w:tab w:val="center" w:pos="4621"/>
        </w:tabs>
        <w:ind w:firstLine="522" w:firstLineChars="100"/>
        <w:jc w:val="center"/>
        <w:rPr>
          <w:rFonts w:hint="eastAsia" w:ascii="宋体" w:hAnsi="宋体" w:eastAsia="宋体"/>
          <w:b/>
          <w:sz w:val="52"/>
          <w:szCs w:val="52"/>
          <w:lang w:eastAsia="zh-CN"/>
        </w:rPr>
      </w:pPr>
      <w:bookmarkStart w:id="0" w:name="OLE_LINK1"/>
      <w:r>
        <w:rPr>
          <w:rFonts w:hint="eastAsia" w:ascii="宋体" w:hAnsi="宋体"/>
          <w:b/>
          <w:sz w:val="52"/>
          <w:szCs w:val="52"/>
        </w:rPr>
        <w:t>淮安市</w:t>
      </w:r>
      <w:r>
        <w:rPr>
          <w:rFonts w:hint="eastAsia" w:ascii="宋体" w:hAnsi="宋体"/>
          <w:b/>
          <w:sz w:val="52"/>
          <w:szCs w:val="52"/>
          <w:lang w:eastAsia="zh-CN"/>
        </w:rPr>
        <w:t>涟水县政府</w:t>
      </w:r>
      <w:r>
        <w:rPr>
          <w:rFonts w:hint="eastAsia" w:ascii="宋体" w:hAnsi="宋体"/>
          <w:b/>
          <w:sz w:val="52"/>
          <w:szCs w:val="52"/>
        </w:rPr>
        <w:t>采购项目</w:t>
      </w:r>
    </w:p>
    <w:p w14:paraId="32BC206B">
      <w:pPr>
        <w:tabs>
          <w:tab w:val="center" w:pos="4621"/>
        </w:tabs>
        <w:ind w:firstLine="522" w:firstLineChars="100"/>
        <w:jc w:val="center"/>
        <w:rPr>
          <w:rFonts w:ascii="宋体" w:hAnsi="宋体"/>
          <w:b/>
          <w:sz w:val="52"/>
          <w:szCs w:val="52"/>
        </w:rPr>
      </w:pPr>
      <w:r>
        <w:rPr>
          <w:rFonts w:hint="eastAsia" w:ascii="宋体" w:hAnsi="宋体"/>
          <w:b/>
          <w:sz w:val="52"/>
          <w:szCs w:val="52"/>
        </w:rPr>
        <w:t>“</w:t>
      </w:r>
      <w:r>
        <w:rPr>
          <w:rFonts w:hint="eastAsia" w:ascii="宋体" w:hAnsi="宋体"/>
          <w:b/>
          <w:sz w:val="52"/>
          <w:szCs w:val="52"/>
          <w:lang w:eastAsia="zh-CN"/>
        </w:rPr>
        <w:t>苏采云</w:t>
      </w:r>
      <w:r>
        <w:rPr>
          <w:rFonts w:hint="eastAsia" w:ascii="宋体" w:hAnsi="宋体"/>
          <w:b/>
          <w:sz w:val="52"/>
          <w:szCs w:val="52"/>
        </w:rPr>
        <w:t>全流程不见面交易”</w:t>
      </w:r>
    </w:p>
    <w:p w14:paraId="08DF5F48">
      <w:pPr>
        <w:spacing w:line="920" w:lineRule="exact"/>
        <w:ind w:left="506" w:hanging="506" w:hangingChars="97"/>
        <w:jc w:val="center"/>
        <w:rPr>
          <w:rFonts w:ascii="宋体" w:hAnsi="宋体"/>
          <w:b/>
          <w:sz w:val="52"/>
          <w:szCs w:val="52"/>
        </w:rPr>
      </w:pPr>
      <w:r>
        <w:rPr>
          <w:rFonts w:hint="eastAsia" w:ascii="宋体" w:hAnsi="宋体"/>
          <w:b/>
          <w:sz w:val="52"/>
          <w:szCs w:val="52"/>
        </w:rPr>
        <w:t>竞争性谈判文件</w:t>
      </w:r>
    </w:p>
    <w:p w14:paraId="5A950939">
      <w:pPr>
        <w:ind w:firstLine="2862" w:firstLineChars="795"/>
        <w:rPr>
          <w:rFonts w:hint="eastAsia" w:ascii="宋体" w:hAnsi="宋体"/>
          <w:bCs/>
          <w:sz w:val="36"/>
        </w:rPr>
      </w:pPr>
      <w:r>
        <w:rPr>
          <w:rFonts w:hint="eastAsia" w:ascii="宋体" w:hAnsi="宋体"/>
          <w:bCs/>
          <w:sz w:val="36"/>
        </w:rPr>
        <w:t xml:space="preserve">                                           </w:t>
      </w:r>
    </w:p>
    <w:p w14:paraId="6D17CE4E">
      <w:pPr>
        <w:ind w:firstLine="2862" w:firstLineChars="795"/>
        <w:rPr>
          <w:rFonts w:hint="eastAsia" w:ascii="宋体" w:hAnsi="宋体"/>
          <w:bCs/>
          <w:sz w:val="36"/>
        </w:rPr>
      </w:pPr>
    </w:p>
    <w:p w14:paraId="7ADB007C">
      <w:pPr>
        <w:ind w:firstLine="2862" w:firstLineChars="795"/>
        <w:rPr>
          <w:rFonts w:hint="eastAsia" w:ascii="宋体" w:hAnsi="宋体"/>
          <w:bCs/>
          <w:sz w:val="36"/>
        </w:rPr>
      </w:pPr>
    </w:p>
    <w:p w14:paraId="44106133">
      <w:pPr>
        <w:rPr>
          <w:rFonts w:hint="eastAsia" w:ascii="宋体" w:hAnsi="宋体"/>
          <w:bCs/>
          <w:sz w:val="36"/>
          <w:szCs w:val="36"/>
        </w:rPr>
      </w:pPr>
    </w:p>
    <w:p w14:paraId="7D72AF2B">
      <w:pPr>
        <w:jc w:val="center"/>
        <w:rPr>
          <w:rFonts w:hint="eastAsia" w:ascii="宋体" w:hAnsi="宋体"/>
          <w:b/>
          <w:bCs/>
          <w:sz w:val="36"/>
          <w:szCs w:val="36"/>
          <w:u w:val="single"/>
          <w:lang w:eastAsia="zh-CN"/>
        </w:rPr>
      </w:pPr>
      <w:r>
        <w:rPr>
          <w:rFonts w:hint="eastAsia" w:ascii="宋体" w:hAnsi="宋体"/>
          <w:b/>
          <w:bCs/>
          <w:sz w:val="36"/>
          <w:szCs w:val="36"/>
          <w:lang w:val="en-US" w:eastAsia="zh-CN"/>
        </w:rPr>
        <w:t xml:space="preserve">  </w:t>
      </w:r>
      <w:r>
        <w:rPr>
          <w:rFonts w:hint="eastAsia" w:ascii="宋体" w:hAnsi="宋体"/>
          <w:b/>
          <w:bCs/>
          <w:sz w:val="36"/>
          <w:szCs w:val="36"/>
        </w:rPr>
        <w:t>项目名称</w:t>
      </w:r>
      <w:r>
        <w:rPr>
          <w:rFonts w:hint="eastAsia" w:ascii="宋体" w:hAnsi="宋体"/>
          <w:b/>
          <w:bCs/>
          <w:sz w:val="36"/>
          <w:szCs w:val="36"/>
          <w:lang w:eastAsia="zh-CN"/>
        </w:rPr>
        <w:t>：</w:t>
      </w:r>
      <w:r>
        <w:rPr>
          <w:rFonts w:hint="eastAsia" w:ascii="宋体" w:hAnsi="宋体"/>
          <w:b/>
          <w:bCs/>
          <w:sz w:val="36"/>
          <w:szCs w:val="36"/>
          <w:u w:val="single"/>
          <w:lang w:eastAsia="zh-CN"/>
        </w:rPr>
        <w:t>涟水县2025年占补平衡项目补充耕地质量鉴定</w:t>
      </w:r>
    </w:p>
    <w:p w14:paraId="489A2A7F">
      <w:pPr>
        <w:ind w:firstLine="361" w:firstLineChars="100"/>
        <w:jc w:val="both"/>
        <w:rPr>
          <w:rFonts w:hint="default" w:ascii="宋体" w:hAnsi="宋体" w:eastAsia="宋体"/>
          <w:b/>
          <w:sz w:val="28"/>
          <w:lang w:val="en-US" w:eastAsia="zh-CN"/>
        </w:rPr>
      </w:pPr>
      <w:r>
        <w:rPr>
          <w:rFonts w:hint="eastAsia" w:ascii="宋体" w:hAnsi="宋体"/>
          <w:b/>
          <w:bCs/>
          <w:sz w:val="36"/>
          <w:szCs w:val="36"/>
        </w:rPr>
        <w:t>项目编号</w:t>
      </w:r>
      <w:r>
        <w:rPr>
          <w:rFonts w:hint="eastAsia" w:ascii="宋体" w:hAnsi="宋体"/>
          <w:b/>
          <w:bCs/>
          <w:sz w:val="36"/>
          <w:szCs w:val="36"/>
          <w:highlight w:val="none"/>
          <w:lang w:eastAsia="zh-CN"/>
        </w:rPr>
        <w:t>：</w:t>
      </w:r>
      <w:r>
        <w:rPr>
          <w:rFonts w:hint="eastAsia" w:ascii="宋体" w:hAnsi="宋体"/>
          <w:b/>
          <w:bCs/>
          <w:sz w:val="36"/>
          <w:szCs w:val="36"/>
          <w:highlight w:val="none"/>
          <w:u w:val="single"/>
          <w:lang w:eastAsia="zh-CN"/>
        </w:rPr>
        <w:t>JSZC-320826-YHDL-T2026-0003</w:t>
      </w:r>
      <w:r>
        <w:rPr>
          <w:rFonts w:hint="eastAsia" w:ascii="宋体" w:hAnsi="宋体"/>
          <w:b/>
          <w:bCs/>
          <w:sz w:val="36"/>
          <w:szCs w:val="36"/>
          <w:highlight w:val="none"/>
          <w:u w:val="single"/>
          <w:lang w:val="en-US" w:eastAsia="zh-CN"/>
        </w:rPr>
        <w:t xml:space="preserve"> </w:t>
      </w:r>
    </w:p>
    <w:p w14:paraId="55410DCE">
      <w:pPr>
        <w:jc w:val="center"/>
        <w:rPr>
          <w:rFonts w:hint="eastAsia" w:ascii="宋体" w:hAnsi="宋体"/>
          <w:b/>
          <w:sz w:val="28"/>
        </w:rPr>
      </w:pPr>
    </w:p>
    <w:p w14:paraId="4CB4E82F">
      <w:pPr>
        <w:spacing w:line="480" w:lineRule="auto"/>
        <w:ind w:firstLine="361" w:firstLineChars="100"/>
        <w:jc w:val="both"/>
        <w:rPr>
          <w:rFonts w:hint="default" w:ascii="宋体" w:hAnsi="宋体" w:eastAsia="宋体" w:cs="Times New Roman"/>
          <w:b/>
          <w:sz w:val="36"/>
          <w:szCs w:val="36"/>
          <w:u w:val="single"/>
          <w:lang w:val="en-US" w:eastAsia="zh-CN"/>
        </w:rPr>
      </w:pPr>
      <w:r>
        <w:rPr>
          <w:rFonts w:hint="eastAsia" w:ascii="宋体" w:hAnsi="宋体" w:eastAsia="宋体" w:cs="Times New Roman"/>
          <w:b/>
          <w:sz w:val="36"/>
          <w:szCs w:val="36"/>
        </w:rPr>
        <w:t>采购单位</w:t>
      </w:r>
      <w:r>
        <w:rPr>
          <w:rFonts w:hint="eastAsia" w:ascii="宋体" w:hAnsi="宋体" w:eastAsia="宋体" w:cs="Times New Roman"/>
          <w:b/>
          <w:sz w:val="36"/>
          <w:szCs w:val="36"/>
          <w:lang w:eastAsia="zh-CN"/>
        </w:rPr>
        <w:t>：</w:t>
      </w:r>
      <w:r>
        <w:rPr>
          <w:rFonts w:hint="eastAsia" w:ascii="宋体" w:hAnsi="宋体" w:eastAsia="宋体" w:cs="Times New Roman"/>
          <w:b/>
          <w:sz w:val="36"/>
          <w:szCs w:val="36"/>
          <w:u w:val="single"/>
          <w:lang w:eastAsia="zh-CN"/>
        </w:rPr>
        <w:t>涟水县农业技术综合服务中心</w:t>
      </w:r>
      <w:r>
        <w:rPr>
          <w:rFonts w:hint="eastAsia" w:ascii="宋体" w:hAnsi="宋体" w:eastAsia="宋体" w:cs="Times New Roman"/>
          <w:b/>
          <w:sz w:val="36"/>
          <w:szCs w:val="36"/>
          <w:u w:val="single"/>
          <w:lang w:val="en-US" w:eastAsia="zh-CN"/>
        </w:rPr>
        <w:t xml:space="preserve"> </w:t>
      </w:r>
    </w:p>
    <w:p w14:paraId="6670C7FE">
      <w:pPr>
        <w:spacing w:line="480" w:lineRule="auto"/>
        <w:ind w:firstLine="723" w:firstLineChars="200"/>
        <w:jc w:val="both"/>
        <w:rPr>
          <w:rFonts w:hint="eastAsia" w:ascii="宋体" w:hAnsi="宋体" w:eastAsia="宋体" w:cs="Times New Roman"/>
          <w:b/>
          <w:sz w:val="36"/>
          <w:szCs w:val="36"/>
        </w:rPr>
      </w:pPr>
    </w:p>
    <w:p w14:paraId="16EE87C9">
      <w:pPr>
        <w:spacing w:line="480" w:lineRule="auto"/>
        <w:ind w:firstLine="361" w:firstLineChars="100"/>
        <w:jc w:val="both"/>
        <w:rPr>
          <w:rFonts w:hint="default" w:ascii="宋体" w:hAnsi="宋体" w:eastAsia="宋体" w:cs="Times New Roman"/>
          <w:b/>
          <w:sz w:val="36"/>
          <w:szCs w:val="36"/>
          <w:lang w:val="en-US" w:eastAsia="zh-CN"/>
        </w:rPr>
      </w:pPr>
      <w:r>
        <w:rPr>
          <w:rFonts w:hint="eastAsia" w:ascii="宋体" w:hAnsi="宋体" w:eastAsia="宋体" w:cs="Times New Roman"/>
          <w:b/>
          <w:sz w:val="36"/>
          <w:szCs w:val="36"/>
        </w:rPr>
        <w:t>代理机构：</w:t>
      </w:r>
      <w:r>
        <w:rPr>
          <w:rFonts w:hint="eastAsia" w:ascii="宋体" w:hAnsi="宋体" w:eastAsia="宋体" w:cs="Times New Roman"/>
          <w:b/>
          <w:sz w:val="36"/>
          <w:szCs w:val="36"/>
          <w:u w:val="single"/>
          <w:lang w:eastAsia="zh-CN"/>
        </w:rPr>
        <w:t>江苏</w:t>
      </w:r>
      <w:r>
        <w:rPr>
          <w:rFonts w:hint="eastAsia" w:ascii="宋体" w:hAnsi="宋体" w:eastAsia="宋体" w:cs="Times New Roman"/>
          <w:b/>
          <w:sz w:val="36"/>
          <w:szCs w:val="36"/>
          <w:u w:val="single"/>
          <w:lang w:val="en-US" w:eastAsia="zh-CN"/>
        </w:rPr>
        <w:t>宇杭</w:t>
      </w:r>
      <w:r>
        <w:rPr>
          <w:rFonts w:hint="eastAsia" w:ascii="宋体" w:hAnsi="宋体" w:eastAsia="宋体" w:cs="Times New Roman"/>
          <w:b/>
          <w:sz w:val="36"/>
          <w:szCs w:val="36"/>
          <w:u w:val="single"/>
          <w:lang w:eastAsia="zh-CN"/>
        </w:rPr>
        <w:t>项目管理有限公司</w:t>
      </w:r>
      <w:r>
        <w:rPr>
          <w:rFonts w:hint="eastAsia" w:ascii="宋体" w:hAnsi="宋体" w:eastAsia="宋体" w:cs="Times New Roman"/>
          <w:b/>
          <w:sz w:val="36"/>
          <w:szCs w:val="36"/>
          <w:u w:val="single"/>
          <w:lang w:val="en-US" w:eastAsia="zh-CN"/>
        </w:rPr>
        <w:t xml:space="preserve">   </w:t>
      </w:r>
    </w:p>
    <w:p w14:paraId="5E1CFC28">
      <w:pPr>
        <w:jc w:val="center"/>
        <w:rPr>
          <w:rFonts w:ascii="宋体" w:hAnsi="宋体"/>
          <w:b/>
          <w:sz w:val="36"/>
          <w:szCs w:val="36"/>
        </w:rPr>
      </w:pPr>
    </w:p>
    <w:p w14:paraId="39E561C9">
      <w:pPr>
        <w:jc w:val="center"/>
        <w:rPr>
          <w:rFonts w:ascii="宋体" w:hAnsi="宋体"/>
          <w:b/>
          <w:sz w:val="36"/>
          <w:szCs w:val="36"/>
        </w:rPr>
      </w:pPr>
    </w:p>
    <w:p w14:paraId="42EC3406">
      <w:pPr>
        <w:jc w:val="center"/>
        <w:rPr>
          <w:rFonts w:hint="eastAsia" w:ascii="宋体" w:hAnsi="宋体"/>
          <w:b/>
          <w:sz w:val="36"/>
          <w:szCs w:val="36"/>
          <w:highlight w:val="none"/>
        </w:rPr>
      </w:pPr>
      <w:r>
        <w:rPr>
          <w:rFonts w:hint="eastAsia" w:ascii="宋体" w:hAnsi="宋体"/>
          <w:b/>
          <w:sz w:val="36"/>
          <w:szCs w:val="36"/>
          <w:highlight w:val="none"/>
        </w:rPr>
        <w:t>二〇二</w:t>
      </w:r>
      <w:r>
        <w:rPr>
          <w:rFonts w:hint="eastAsia" w:ascii="宋体" w:hAnsi="宋体"/>
          <w:b/>
          <w:sz w:val="36"/>
          <w:szCs w:val="36"/>
          <w:highlight w:val="none"/>
          <w:lang w:eastAsia="zh-CN"/>
        </w:rPr>
        <w:t>六</w:t>
      </w:r>
      <w:r>
        <w:rPr>
          <w:rFonts w:hint="eastAsia" w:ascii="宋体" w:hAnsi="宋体"/>
          <w:b/>
          <w:sz w:val="36"/>
          <w:szCs w:val="36"/>
          <w:highlight w:val="none"/>
        </w:rPr>
        <w:t>年</w:t>
      </w:r>
      <w:r>
        <w:rPr>
          <w:rFonts w:hint="eastAsia" w:ascii="宋体" w:hAnsi="宋体"/>
          <w:b/>
          <w:sz w:val="36"/>
          <w:szCs w:val="36"/>
          <w:highlight w:val="none"/>
          <w:lang w:val="en-US" w:eastAsia="zh-CN"/>
        </w:rPr>
        <w:t>十</w:t>
      </w:r>
      <w:r>
        <w:rPr>
          <w:rFonts w:hint="eastAsia" w:ascii="宋体" w:hAnsi="宋体"/>
          <w:b/>
          <w:sz w:val="36"/>
          <w:szCs w:val="36"/>
          <w:highlight w:val="none"/>
        </w:rPr>
        <w:t>月</w:t>
      </w:r>
      <w:r>
        <w:rPr>
          <w:rFonts w:hint="eastAsia" w:ascii="宋体" w:hAnsi="宋体"/>
          <w:b/>
          <w:sz w:val="36"/>
          <w:szCs w:val="36"/>
          <w:highlight w:val="none"/>
          <w:lang w:val="en-US" w:eastAsia="zh-CN"/>
        </w:rPr>
        <w:t>二十五</w:t>
      </w:r>
      <w:r>
        <w:rPr>
          <w:rFonts w:hint="eastAsia" w:ascii="宋体" w:hAnsi="宋体"/>
          <w:b/>
          <w:sz w:val="36"/>
          <w:szCs w:val="36"/>
          <w:highlight w:val="none"/>
        </w:rPr>
        <w:t>日</w:t>
      </w:r>
    </w:p>
    <w:p w14:paraId="63819DAB">
      <w:pPr>
        <w:pStyle w:val="2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eastAsia="宋体"/>
          <w:bCs/>
        </w:rPr>
      </w:pPr>
    </w:p>
    <w:p w14:paraId="322EDFCE">
      <w:pPr>
        <w:pStyle w:val="29"/>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宋体" w:eastAsia="宋体"/>
          <w:bCs/>
        </w:rPr>
      </w:pPr>
    </w:p>
    <w:p w14:paraId="67A99640">
      <w:pPr>
        <w:jc w:val="center"/>
        <w:rPr>
          <w:rFonts w:hint="eastAsia" w:ascii="宋体" w:hAnsi="宋体" w:eastAsia="宋体" w:cs="Times New Roman"/>
          <w:b/>
          <w:bCs w:val="0"/>
          <w:sz w:val="44"/>
          <w:szCs w:val="44"/>
        </w:rPr>
        <w:sectPr>
          <w:headerReference r:id="rId3" w:type="default"/>
          <w:footerReference r:id="rId4" w:type="even"/>
          <w:pgSz w:w="11906" w:h="16838"/>
          <w:pgMar w:top="1440" w:right="1701" w:bottom="1440" w:left="1701" w:header="851" w:footer="992" w:gutter="0"/>
          <w:cols w:space="720" w:num="1"/>
          <w:docGrid w:type="lines" w:linePitch="312" w:charSpace="0"/>
        </w:sectPr>
      </w:pPr>
    </w:p>
    <w:p w14:paraId="2D49FF68">
      <w:pPr>
        <w:jc w:val="center"/>
        <w:rPr>
          <w:rFonts w:hint="eastAsia" w:ascii="宋体" w:hAnsi="宋体"/>
          <w:bCs/>
          <w:sz w:val="40"/>
        </w:rPr>
      </w:pPr>
    </w:p>
    <w:p w14:paraId="191A967D">
      <w:pPr>
        <w:jc w:val="center"/>
        <w:rPr>
          <w:rFonts w:hint="eastAsia" w:ascii="宋体" w:hAnsi="宋体"/>
          <w:bCs/>
          <w:sz w:val="40"/>
        </w:rPr>
      </w:pPr>
      <w:r>
        <w:rPr>
          <w:rFonts w:hint="eastAsia" w:ascii="宋体" w:hAnsi="宋体"/>
          <w:bCs/>
          <w:sz w:val="40"/>
        </w:rPr>
        <w:t>目   录</w:t>
      </w:r>
    </w:p>
    <w:p w14:paraId="28EE6AAD">
      <w:pPr>
        <w:pStyle w:val="14"/>
        <w:rPr>
          <w:rFonts w:hint="eastAsia"/>
        </w:rPr>
      </w:pPr>
    </w:p>
    <w:p w14:paraId="31279458">
      <w:pPr>
        <w:pStyle w:val="229"/>
        <w:tabs>
          <w:tab w:val="right" w:leader="dot" w:pos="9530"/>
        </w:tabs>
        <w:rPr>
          <w:rFonts w:ascii="宋体" w:hAnsi="宋体"/>
          <w:color w:val="000000" w:themeColor="text1"/>
          <w:sz w:val="28"/>
          <w:szCs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begin"/>
      </w:r>
      <w:r>
        <w:rPr>
          <w:rFonts w:ascii="宋体" w:hAnsi="宋体"/>
          <w:bCs/>
          <w:color w:val="000000" w:themeColor="text1"/>
          <w:sz w:val="28"/>
          <w14:textFill>
            <w14:solidFill>
              <w14:schemeClr w14:val="tx1"/>
            </w14:solidFill>
          </w14:textFill>
        </w:rPr>
        <w:instrText xml:space="preserve"> </w:instrText>
      </w:r>
      <w:r>
        <w:rPr>
          <w:rFonts w:hint="eastAsia" w:ascii="宋体" w:hAnsi="宋体"/>
          <w:bCs/>
          <w:color w:val="000000" w:themeColor="text1"/>
          <w:sz w:val="28"/>
          <w14:textFill>
            <w14:solidFill>
              <w14:schemeClr w14:val="tx1"/>
            </w14:solidFill>
          </w14:textFill>
        </w:rPr>
        <w:instrText xml:space="preserve">TOC \o "1-3" \h \z \u</w:instrText>
      </w:r>
      <w:r>
        <w:rPr>
          <w:rFonts w:ascii="宋体" w:hAnsi="宋体"/>
          <w:bCs/>
          <w:color w:val="000000" w:themeColor="text1"/>
          <w:sz w:val="28"/>
          <w14:textFill>
            <w14:solidFill>
              <w14:schemeClr w14:val="tx1"/>
            </w14:solidFill>
          </w14:textFill>
        </w:rPr>
        <w:instrText xml:space="preserve"> </w:instrText>
      </w:r>
      <w:r>
        <w:rPr>
          <w:rFonts w:ascii="宋体" w:hAnsi="宋体"/>
          <w:bCs/>
          <w:color w:val="000000" w:themeColor="text1"/>
          <w:sz w:val="28"/>
          <w14:textFill>
            <w14:solidFill>
              <w14:schemeClr w14:val="tx1"/>
            </w14:solidFill>
          </w14:textFill>
        </w:rPr>
        <w:fldChar w:fldCharType="separate"/>
      </w: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"_Toc148347148"</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第一章   谈判文件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1</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267C09FB">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"_Toc148347149"</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第一部分   谈判邀请</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1</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3F492978">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"_Toc148347150"</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第二部分  供应商</w:t>
      </w:r>
      <w:bookmarkStart w:id="1" w:name="_Hlt149900259"/>
      <w:bookmarkStart w:id="2" w:name="_Hlt149900258"/>
      <w:r>
        <w:rPr>
          <w:rStyle w:val="255"/>
          <w:rFonts w:ascii="宋体" w:hAnsi="宋体"/>
          <w:bCs/>
          <w:color w:val="000000" w:themeColor="text1"/>
          <w:sz w:val="28"/>
          <w:szCs w:val="28"/>
          <w14:textFill>
            <w14:solidFill>
              <w14:schemeClr w14:val="tx1"/>
            </w14:solidFill>
          </w14:textFill>
        </w:rPr>
        <w:t>须</w:t>
      </w:r>
      <w:bookmarkEnd w:id="1"/>
      <w:bookmarkEnd w:id="2"/>
      <w:r>
        <w:rPr>
          <w:rStyle w:val="255"/>
          <w:rFonts w:ascii="宋体" w:hAnsi="宋体"/>
          <w:bCs/>
          <w:color w:val="000000" w:themeColor="text1"/>
          <w:sz w:val="28"/>
          <w:szCs w:val="28"/>
          <w14:textFill>
            <w14:solidFill>
              <w14:schemeClr w14:val="tx1"/>
            </w14:solidFill>
          </w14:textFill>
        </w:rPr>
        <w:t>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_Toc148347150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6</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59BCFEAB">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"_Toc148347151"</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第三部分  成交</w:t>
      </w:r>
      <w:bookmarkStart w:id="3" w:name="_Hlt149900297"/>
      <w:r>
        <w:rPr>
          <w:rStyle w:val="255"/>
          <w:rFonts w:ascii="宋体" w:hAnsi="宋体"/>
          <w:bCs/>
          <w:color w:val="000000" w:themeColor="text1"/>
          <w:sz w:val="28"/>
          <w:szCs w:val="28"/>
          <w14:textFill>
            <w14:solidFill>
              <w14:schemeClr w14:val="tx1"/>
            </w14:solidFill>
          </w14:textFill>
        </w:rPr>
        <w:t>标</w:t>
      </w:r>
      <w:bookmarkEnd w:id="3"/>
      <w:r>
        <w:rPr>
          <w:rStyle w:val="255"/>
          <w:rFonts w:ascii="宋体" w:hAnsi="宋体"/>
          <w:bCs/>
          <w:color w:val="000000" w:themeColor="text1"/>
          <w:sz w:val="28"/>
          <w:szCs w:val="28"/>
          <w14:textFill>
            <w14:solidFill>
              <w14:schemeClr w14:val="tx1"/>
            </w14:solidFill>
          </w14:textFill>
        </w:rPr>
        <w:t>准</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27</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56673DD1">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"_Toc148347152"</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第四部分  合同主要条</w:t>
      </w:r>
      <w:bookmarkStart w:id="4" w:name="_Hlt149901373"/>
      <w:r>
        <w:rPr>
          <w:rStyle w:val="255"/>
          <w:rFonts w:ascii="宋体" w:hAnsi="宋体"/>
          <w:bCs/>
          <w:color w:val="000000" w:themeColor="text1"/>
          <w:sz w:val="28"/>
          <w:szCs w:val="28"/>
          <w14:textFill>
            <w14:solidFill>
              <w14:schemeClr w14:val="tx1"/>
            </w14:solidFill>
          </w14:textFill>
        </w:rPr>
        <w:t>款</w:t>
      </w:r>
      <w:bookmarkEnd w:id="4"/>
      <w:r>
        <w:rPr>
          <w:rStyle w:val="255"/>
          <w:rFonts w:ascii="宋体" w:hAnsi="宋体"/>
          <w:bCs/>
          <w:color w:val="000000" w:themeColor="text1"/>
          <w:sz w:val="28"/>
          <w:szCs w:val="28"/>
          <w14:textFill>
            <w14:solidFill>
              <w14:schemeClr w14:val="tx1"/>
            </w14:solidFill>
          </w14:textFill>
        </w:rPr>
        <w:t>、通用条款及合同格式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28</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60841A42">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"_Toc148347153"</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color w:val="000000" w:themeColor="text1"/>
          <w:sz w:val="28"/>
          <w:szCs w:val="28"/>
          <w14:textFill>
            <w14:solidFill>
              <w14:schemeClr w14:val="tx1"/>
            </w14:solidFill>
          </w14:textFill>
        </w:rPr>
        <w:t>第五部分   项目采</w:t>
      </w:r>
      <w:bookmarkStart w:id="5" w:name="_Hlt149901680"/>
      <w:bookmarkStart w:id="6" w:name="_Hlt149900981"/>
      <w:r>
        <w:rPr>
          <w:rStyle w:val="255"/>
          <w:rFonts w:ascii="宋体" w:hAnsi="宋体"/>
          <w:color w:val="000000" w:themeColor="text1"/>
          <w:sz w:val="28"/>
          <w:szCs w:val="28"/>
          <w14:textFill>
            <w14:solidFill>
              <w14:schemeClr w14:val="tx1"/>
            </w14:solidFill>
          </w14:textFill>
        </w:rPr>
        <w:t>购</w:t>
      </w:r>
      <w:bookmarkEnd w:id="5"/>
      <w:bookmarkEnd w:id="6"/>
      <w:r>
        <w:rPr>
          <w:rStyle w:val="255"/>
          <w:rFonts w:ascii="宋体" w:hAnsi="宋体"/>
          <w:color w:val="000000" w:themeColor="text1"/>
          <w:sz w:val="28"/>
          <w:szCs w:val="28"/>
          <w14:textFill>
            <w14:solidFill>
              <w14:schemeClr w14:val="tx1"/>
            </w14:solidFill>
          </w14:textFill>
        </w:rPr>
        <w:t>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43</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17F2F90C">
      <w:pPr>
        <w:pStyle w:val="229"/>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"_Toc148347154"</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第二章   响 应 文 件 格 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43</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2AD91440">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"_Toc148347155"</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一、谈判函</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_Toc148347155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49</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4B83C6DB">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"_Toc148347156"</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ascii="宋体" w:hAnsi="宋体"/>
          <w:bCs/>
          <w:color w:val="000000" w:themeColor="text1"/>
          <w:sz w:val="28"/>
          <w:szCs w:val="28"/>
          <w14:textFill>
            <w14:solidFill>
              <w14:schemeClr w14:val="tx1"/>
            </w14:solidFill>
          </w14:textFill>
        </w:rPr>
        <w:t>二、报价一览表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_Toc148347156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51</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41ED68C2">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"_Toc148347158"</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三</w:t>
      </w:r>
      <w:r>
        <w:rPr>
          <w:rStyle w:val="255"/>
          <w:rFonts w:ascii="宋体" w:hAnsi="宋体"/>
          <w:bCs/>
          <w:color w:val="000000" w:themeColor="text1"/>
          <w:sz w:val="28"/>
          <w:szCs w:val="28"/>
          <w14:textFill>
            <w14:solidFill>
              <w14:schemeClr w14:val="tx1"/>
            </w14:solidFill>
          </w14:textFill>
        </w:rPr>
        <w:t>、技术规格响应偏离表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53</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52DC0714">
      <w:pPr>
        <w:pStyle w:val="235"/>
        <w:tabs>
          <w:tab w:val="right" w:leader="dot" w:pos="9530"/>
        </w:tabs>
        <w:rPr>
          <w:rFonts w:hint="eastAsia" w:ascii="宋体" w:hAnsi="宋体" w:eastAsia="宋体"/>
          <w:color w:val="000000" w:themeColor="text1"/>
          <w:sz w:val="28"/>
          <w:szCs w:val="28"/>
          <w:lang w:val="en-US" w:eastAsia="zh-CN"/>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"_Toc148347159"</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四</w:t>
      </w:r>
      <w:r>
        <w:rPr>
          <w:rStyle w:val="255"/>
          <w:rFonts w:ascii="宋体" w:hAnsi="宋体"/>
          <w:bCs/>
          <w:color w:val="000000" w:themeColor="text1"/>
          <w:sz w:val="28"/>
          <w:szCs w:val="28"/>
          <w14:textFill>
            <w14:solidFill>
              <w14:schemeClr w14:val="tx1"/>
            </w14:solidFill>
          </w14:textFill>
        </w:rPr>
        <w:t>、服务承诺</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4</w:t>
      </w:r>
      <w:r>
        <w:rPr>
          <w:rStyle w:val="255"/>
          <w:rFonts w:ascii="宋体" w:hAnsi="宋体"/>
          <w:color w:val="000000" w:themeColor="text1"/>
          <w:sz w:val="28"/>
          <w:szCs w:val="28"/>
          <w14:textFill>
            <w14:solidFill>
              <w14:schemeClr w14:val="tx1"/>
            </w14:solidFill>
          </w14:textFill>
        </w:rPr>
        <w:fldChar w:fldCharType="end"/>
      </w:r>
      <w:r>
        <w:rPr>
          <w:rStyle w:val="255"/>
          <w:rFonts w:hint="eastAsia" w:ascii="宋体" w:hAnsi="宋体"/>
          <w:color w:val="000000" w:themeColor="text1"/>
          <w:sz w:val="28"/>
          <w:szCs w:val="28"/>
          <w:lang w:val="en-US" w:eastAsia="zh-CN"/>
          <w14:textFill>
            <w14:solidFill>
              <w14:schemeClr w14:val="tx1"/>
            </w14:solidFill>
          </w14:textFill>
        </w:rPr>
        <w:t>9</w:t>
      </w:r>
    </w:p>
    <w:p w14:paraId="20777DC8">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"_Toc148347161"</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五</w:t>
      </w:r>
      <w:r>
        <w:rPr>
          <w:rStyle w:val="255"/>
          <w:rFonts w:ascii="宋体" w:hAnsi="宋体"/>
          <w:bCs/>
          <w:color w:val="000000" w:themeColor="text1"/>
          <w:sz w:val="28"/>
          <w:szCs w:val="28"/>
          <w14:textFill>
            <w14:solidFill>
              <w14:schemeClr w14:val="tx1"/>
            </w14:solidFill>
          </w14:textFill>
        </w:rPr>
        <w:t>、资质审查时谈判供应商必须提交的资格证明文件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54</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0DAC5112">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"_Toc148347162"</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六</w:t>
      </w:r>
      <w:r>
        <w:rPr>
          <w:rStyle w:val="255"/>
          <w:rFonts w:ascii="宋体" w:hAnsi="宋体"/>
          <w:bCs/>
          <w:color w:val="000000" w:themeColor="text1"/>
          <w:sz w:val="28"/>
          <w:szCs w:val="28"/>
          <w14:textFill>
            <w14:solidFill>
              <w14:schemeClr w14:val="tx1"/>
            </w14:solidFill>
          </w14:textFill>
        </w:rPr>
        <w:t>、最终价格评审时谈判供应商需提供的证明文件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57</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684C370B">
      <w:pPr>
        <w:pStyle w:val="235"/>
        <w:tabs>
          <w:tab w:val="right" w:leader="dot" w:pos="9530"/>
        </w:tabs>
        <w:rPr>
          <w:rFonts w:ascii="宋体" w:hAnsi="宋体"/>
          <w:color w:val="000000" w:themeColor="text1"/>
          <w:sz w:val="28"/>
          <w:szCs w:val="28"/>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"_Toc148347163"</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七</w:t>
      </w:r>
      <w:r>
        <w:rPr>
          <w:rStyle w:val="255"/>
          <w:rFonts w:ascii="宋体" w:hAnsi="宋体"/>
          <w:bCs/>
          <w:color w:val="000000" w:themeColor="text1"/>
          <w:sz w:val="28"/>
          <w:szCs w:val="28"/>
          <w14:textFill>
            <w14:solidFill>
              <w14:schemeClr w14:val="tx1"/>
            </w14:solidFill>
          </w14:textFill>
        </w:rPr>
        <w:t>、谈判供应商认为有必要提供并说明的其它资料</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57</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3F3153A4">
      <w:pPr>
        <w:pStyle w:val="235"/>
        <w:tabs>
          <w:tab w:val="right" w:leader="dot" w:pos="9530"/>
        </w:tabs>
        <w:rPr>
          <w:rFonts w:ascii="等线" w:hAnsi="等线" w:eastAsia="等线"/>
          <w:color w:val="000000" w:themeColor="text1"/>
          <w:szCs w:val="22"/>
          <w14:textFill>
            <w14:solidFill>
              <w14:schemeClr w14:val="tx1"/>
            </w14:solidFill>
          </w14:textFill>
        </w:rPr>
      </w:pPr>
      <w:r>
        <w:rPr>
          <w:rStyle w:val="255"/>
          <w:rFonts w:ascii="宋体" w:hAnsi="宋体"/>
          <w:color w:val="000000" w:themeColor="text1"/>
          <w:sz w:val="28"/>
          <w:szCs w:val="28"/>
          <w14:textFill>
            <w14:solidFill>
              <w14:schemeClr w14:val="tx1"/>
            </w14:solidFill>
          </w14:textFill>
        </w:rPr>
        <w:fldChar w:fldCharType="begin"/>
      </w:r>
      <w:r>
        <w:rPr>
          <w:rStyle w:val="255"/>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"_Toc148347164"</w:instrText>
      </w:r>
      <w:r>
        <w:rPr>
          <w:rStyle w:val="255"/>
          <w:rFonts w:ascii="宋体" w:hAnsi="宋体"/>
          <w:color w:val="000000" w:themeColor="text1"/>
          <w:sz w:val="28"/>
          <w:szCs w:val="28"/>
          <w14:textFill>
            <w14:solidFill>
              <w14:schemeClr w14:val="tx1"/>
            </w14:solidFill>
          </w14:textFill>
        </w:rPr>
        <w:instrText xml:space="preserve"> </w:instrText>
      </w:r>
      <w:r>
        <w:rPr>
          <w:rStyle w:val="255"/>
          <w:rFonts w:ascii="宋体" w:hAnsi="宋体"/>
          <w:color w:val="000000" w:themeColor="text1"/>
          <w:sz w:val="28"/>
          <w:szCs w:val="28"/>
          <w14:textFill>
            <w14:solidFill>
              <w14:schemeClr w14:val="tx1"/>
            </w14:solidFill>
          </w14:textFill>
        </w:rPr>
        <w:fldChar w:fldCharType="separate"/>
      </w:r>
      <w:r>
        <w:rPr>
          <w:rStyle w:val="255"/>
          <w:rFonts w:hint="eastAsia" w:ascii="宋体" w:hAnsi="宋体"/>
          <w:bCs/>
          <w:color w:val="000000" w:themeColor="text1"/>
          <w:sz w:val="28"/>
          <w:szCs w:val="28"/>
          <w:lang w:val="en-US" w:eastAsia="zh-CN"/>
          <w14:textFill>
            <w14:solidFill>
              <w14:schemeClr w14:val="tx1"/>
            </w14:solidFill>
          </w14:textFill>
        </w:rPr>
        <w:t>八</w:t>
      </w:r>
      <w:r>
        <w:rPr>
          <w:rStyle w:val="255"/>
          <w:rFonts w:ascii="宋体" w:hAnsi="宋体"/>
          <w:bCs/>
          <w:color w:val="000000" w:themeColor="text1"/>
          <w:sz w:val="28"/>
          <w:szCs w:val="28"/>
          <w14:textFill>
            <w14:solidFill>
              <w14:schemeClr w14:val="tx1"/>
            </w14:solidFill>
          </w14:textFill>
        </w:rPr>
        <w:t>、示范格式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58</w:t>
      </w:r>
      <w:r>
        <w:rPr>
          <w:rFonts w:ascii="宋体" w:hAnsi="宋体"/>
          <w:color w:val="000000" w:themeColor="text1"/>
          <w:sz w:val="28"/>
          <w:szCs w:val="28"/>
          <w14:textFill>
            <w14:solidFill>
              <w14:schemeClr w14:val="tx1"/>
            </w14:solidFill>
          </w14:textFill>
        </w:rPr>
        <w:fldChar w:fldCharType="end"/>
      </w:r>
      <w:r>
        <w:rPr>
          <w:rStyle w:val="255"/>
          <w:rFonts w:ascii="宋体" w:hAnsi="宋体"/>
          <w:color w:val="000000" w:themeColor="text1"/>
          <w:sz w:val="28"/>
          <w:szCs w:val="28"/>
          <w14:textFill>
            <w14:solidFill>
              <w14:schemeClr w14:val="tx1"/>
            </w14:solidFill>
          </w14:textFill>
        </w:rPr>
        <w:fldChar w:fldCharType="end"/>
      </w:r>
    </w:p>
    <w:p w14:paraId="4C8759E8">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both"/>
        <w:textAlignment w:val="auto"/>
        <w:rPr>
          <w:rFonts w:ascii="宋体" w:hAnsi="宋体"/>
          <w:bCs/>
          <w:color w:val="000000" w:themeColor="text1"/>
          <w:sz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end"/>
      </w:r>
    </w:p>
    <w:p w14:paraId="28BEFD6B">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both"/>
        <w:textAlignment w:val="auto"/>
        <w:rPr>
          <w:rFonts w:ascii="宋体" w:hAnsi="宋体"/>
          <w:bCs/>
          <w:color w:val="000000" w:themeColor="text1"/>
          <w:sz w:val="28"/>
          <w14:textFill>
            <w14:solidFill>
              <w14:schemeClr w14:val="tx1"/>
            </w14:solidFill>
          </w14:textFill>
        </w:rPr>
      </w:pPr>
    </w:p>
    <w:p w14:paraId="1319FA7B">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both"/>
        <w:textAlignment w:val="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尊敬的供应商：</w:t>
      </w:r>
    </w:p>
    <w:p w14:paraId="32582ECD">
      <w:pPr>
        <w:keepNext w:val="0"/>
        <w:keepLines w:val="0"/>
        <w:pageBreakBefore w:val="0"/>
        <w:widowControl w:val="0"/>
        <w:kinsoku/>
        <w:wordWrap/>
        <w:overflowPunct/>
        <w:topLinePunct w:val="0"/>
        <w:autoSpaceDE/>
        <w:autoSpaceDN/>
        <w:bidi w:val="0"/>
        <w:adjustRightInd/>
        <w:snapToGrid/>
        <w:spacing w:line="520" w:lineRule="exact"/>
        <w:ind w:firstLine="489" w:firstLineChars="204"/>
        <w:jc w:val="both"/>
        <w:textAlignment w:val="auto"/>
        <w:rPr>
          <w:rFonts w:hint="eastAsia"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t>欢迎参加本次项目的竞争性谈判。为了保证谈判顺利进行，请在制作响应文件之前，仔细阅读谈判文件的各项条款，并严格按要求制作和递交响应文件。谢谢合作！</w:t>
      </w:r>
    </w:p>
    <w:p w14:paraId="371FF2AB">
      <w:pPr>
        <w:pStyle w:val="234"/>
        <w:spacing w:line="640" w:lineRule="exact"/>
        <w:ind w:firstLine="571"/>
        <w:rPr>
          <w:rFonts w:hint="eastAsia" w:ascii="宋体" w:eastAsia="宋体"/>
          <w:sz w:val="24"/>
          <w:szCs w:val="24"/>
          <w:highlight w:val="none"/>
        </w:rPr>
      </w:pPr>
    </w:p>
    <w:p w14:paraId="7A08CAD1">
      <w:pPr>
        <w:pStyle w:val="234"/>
        <w:spacing w:line="640" w:lineRule="exact"/>
        <w:ind w:firstLine="571"/>
        <w:rPr>
          <w:rFonts w:hint="eastAsia" w:ascii="宋体" w:eastAsia="宋体"/>
          <w:sz w:val="24"/>
          <w:szCs w:val="24"/>
        </w:rPr>
      </w:pPr>
    </w:p>
    <w:p w14:paraId="501AA310">
      <w:pPr>
        <w:pStyle w:val="234"/>
        <w:spacing w:line="640" w:lineRule="exact"/>
        <w:ind w:firstLine="571"/>
        <w:rPr>
          <w:rFonts w:hint="eastAsia" w:ascii="宋体" w:eastAsia="宋体"/>
          <w:sz w:val="24"/>
          <w:szCs w:val="24"/>
        </w:rPr>
      </w:pPr>
    </w:p>
    <w:p w14:paraId="051160D7">
      <w:pPr>
        <w:pStyle w:val="234"/>
        <w:spacing w:line="640" w:lineRule="exact"/>
        <w:ind w:firstLine="571"/>
        <w:rPr>
          <w:rFonts w:hint="eastAsia" w:ascii="宋体" w:eastAsia="宋体"/>
          <w:sz w:val="24"/>
          <w:szCs w:val="24"/>
        </w:rPr>
      </w:pPr>
    </w:p>
    <w:p w14:paraId="51814776">
      <w:pPr>
        <w:pStyle w:val="234"/>
        <w:spacing w:line="640" w:lineRule="exact"/>
        <w:ind w:firstLine="571"/>
        <w:rPr>
          <w:rFonts w:hint="eastAsia" w:ascii="宋体" w:eastAsia="宋体"/>
          <w:sz w:val="24"/>
          <w:szCs w:val="24"/>
        </w:rPr>
      </w:pPr>
    </w:p>
    <w:p w14:paraId="61FE0E37">
      <w:pPr>
        <w:pStyle w:val="234"/>
        <w:spacing w:line="640" w:lineRule="exact"/>
        <w:ind w:firstLine="571"/>
        <w:rPr>
          <w:rFonts w:hint="eastAsia" w:ascii="宋体" w:eastAsia="宋体"/>
          <w:sz w:val="24"/>
          <w:szCs w:val="24"/>
        </w:rPr>
      </w:pPr>
    </w:p>
    <w:p w14:paraId="0DFB6928">
      <w:pPr>
        <w:pStyle w:val="191"/>
        <w:spacing w:before="0" w:after="0" w:line="360" w:lineRule="auto"/>
        <w:jc w:val="both"/>
        <w:rPr>
          <w:rFonts w:hint="eastAsia" w:hAnsi="宋体"/>
          <w:bCs/>
          <w:color w:val="000000"/>
          <w:sz w:val="36"/>
          <w:szCs w:val="44"/>
        </w:rPr>
        <w:sectPr>
          <w:footerReference r:id="rId5" w:type="default"/>
          <w:footerReference r:id="rId6" w:type="even"/>
          <w:pgSz w:w="11906" w:h="16838"/>
          <w:pgMar w:top="1440" w:right="1106" w:bottom="1440" w:left="1260" w:header="851" w:footer="992" w:gutter="0"/>
          <w:cols w:space="1701" w:num="1"/>
          <w:docGrid w:linePitch="360" w:charSpace="0"/>
        </w:sectPr>
      </w:pPr>
      <w:bookmarkStart w:id="7" w:name="_Toc148347148"/>
      <w:bookmarkStart w:id="8" w:name="_Toc455472177"/>
    </w:p>
    <w:p w14:paraId="44897122">
      <w:pPr>
        <w:pStyle w:val="191"/>
        <w:spacing w:before="0" w:after="0" w:line="360" w:lineRule="auto"/>
        <w:jc w:val="center"/>
        <w:rPr>
          <w:rFonts w:hint="eastAsia" w:hAnsi="宋体"/>
          <w:bCs/>
          <w:color w:val="000000"/>
          <w:sz w:val="36"/>
          <w:szCs w:val="44"/>
        </w:rPr>
      </w:pPr>
      <w:r>
        <w:rPr>
          <w:rFonts w:hint="eastAsia" w:hAnsi="宋体"/>
          <w:bCs/>
          <w:color w:val="000000"/>
          <w:sz w:val="36"/>
          <w:szCs w:val="44"/>
        </w:rPr>
        <w:t>第一章   谈判文件</w:t>
      </w:r>
      <w:bookmarkEnd w:id="7"/>
      <w:bookmarkEnd w:id="8"/>
    </w:p>
    <w:p w14:paraId="11E5B2D0">
      <w:pPr>
        <w:pStyle w:val="192"/>
        <w:spacing w:before="0" w:after="0" w:line="300" w:lineRule="auto"/>
        <w:jc w:val="center"/>
        <w:rPr>
          <w:rFonts w:hint="eastAsia" w:ascii="宋体" w:hAnsi="宋体" w:eastAsia="宋体"/>
          <w:bCs/>
          <w:sz w:val="28"/>
          <w:szCs w:val="28"/>
        </w:rPr>
      </w:pPr>
      <w:bookmarkStart w:id="9" w:name="_Toc455472178"/>
      <w:bookmarkStart w:id="10" w:name="_Toc148347149"/>
      <w:r>
        <w:rPr>
          <w:rFonts w:hint="eastAsia" w:ascii="宋体" w:hAnsi="宋体" w:eastAsia="宋体"/>
          <w:bCs/>
          <w:sz w:val="28"/>
          <w:szCs w:val="28"/>
        </w:rPr>
        <w:t>第一部分   谈判邀请</w:t>
      </w:r>
      <w:bookmarkEnd w:id="9"/>
      <w:bookmarkEnd w:id="10"/>
    </w:p>
    <w:p w14:paraId="21039B3E">
      <w:pPr>
        <w:keepNext w:val="0"/>
        <w:keepLines w:val="0"/>
        <w:pageBreakBefore w:val="0"/>
        <w:widowControl w:val="0"/>
        <w:spacing w:line="480" w:lineRule="exact"/>
        <w:ind w:firstLine="480"/>
        <w:rPr>
          <w:rFonts w:hint="eastAsia" w:ascii="宋体" w:hAnsi="宋体" w:eastAsia="宋体" w:cs="Times New Roman"/>
          <w:sz w:val="24"/>
        </w:rPr>
      </w:pPr>
      <w:r>
        <w:rPr>
          <w:rFonts w:hint="eastAsia" w:ascii="宋体" w:hAnsi="宋体" w:eastAsia="宋体" w:cs="Times New Roman"/>
          <w:sz w:val="24"/>
        </w:rPr>
        <w:t>项目概况</w:t>
      </w:r>
    </w:p>
    <w:p w14:paraId="5B516AF6">
      <w:pPr>
        <w:pBdr>
          <w:top w:val="none" w:color="000000" w:sz="0" w:space="0"/>
          <w:left w:val="none" w:color="000000" w:sz="0" w:space="0"/>
          <w:bottom w:val="none" w:color="000000" w:sz="0" w:space="0"/>
          <w:right w:val="none" w:color="000000" w:sz="0" w:space="0"/>
        </w:pBdr>
        <w:spacing w:before="0" w:after="0"/>
        <w:ind w:left="0" w:right="0" w:firstLine="480"/>
        <w:jc w:val="both"/>
        <w:rPr>
          <w:color w:val="000000" w:themeColor="text1"/>
          <w14:textFill>
            <w14:solidFill>
              <w14:schemeClr w14:val="tx1"/>
            </w14:solidFill>
          </w14:textFill>
        </w:rPr>
      </w:pPr>
      <w:r>
        <w:rPr>
          <w:rFonts w:hint="eastAsia" w:ascii="宋体" w:hAnsi="宋体" w:cs="Times New Roman"/>
          <w:sz w:val="24"/>
          <w:u w:val="single"/>
          <w:lang w:eastAsia="zh-CN"/>
        </w:rPr>
        <w:t>涟水县农业技术综合服务中心</w:t>
      </w:r>
      <w:r>
        <w:rPr>
          <w:rFonts w:hint="eastAsia" w:ascii="宋体" w:hAnsi="宋体" w:cs="Times New Roman"/>
          <w:sz w:val="24"/>
          <w:lang w:val="en-US" w:eastAsia="zh-CN"/>
        </w:rPr>
        <w:t>关于</w:t>
      </w:r>
      <w:r>
        <w:rPr>
          <w:rFonts w:hint="eastAsia" w:ascii="宋体" w:hAnsi="宋体" w:cs="Times New Roman"/>
          <w:sz w:val="24"/>
          <w:u w:val="single"/>
          <w:lang w:eastAsia="zh-CN"/>
        </w:rPr>
        <w:t>涟水县2025年占补平衡项目补充耕地质量鉴定</w:t>
      </w:r>
      <w:r>
        <w:rPr>
          <w:rFonts w:hint="eastAsia" w:ascii="宋体" w:hAnsi="宋体" w:cs="Times New Roman"/>
          <w:color w:val="000000" w:themeColor="text1"/>
          <w:sz w:val="24"/>
          <w:highlight w:val="none"/>
          <w:u w:val="single"/>
          <w:lang w:eastAsia="zh-CN"/>
          <w14:textFill>
            <w14:solidFill>
              <w14:schemeClr w14:val="tx1"/>
            </w14:solidFill>
          </w14:textFill>
        </w:rPr>
        <w:t>JSZC-320826-YHDL-T2026-0003</w:t>
      </w:r>
      <w:r>
        <w:rPr>
          <w:rFonts w:hint="eastAsia" w:ascii="宋体" w:hAnsi="宋体" w:eastAsia="宋体" w:cs="Times New Roman"/>
          <w:color w:val="000000" w:themeColor="text1"/>
          <w:sz w:val="24"/>
          <w:highlight w:val="none"/>
          <w14:textFill>
            <w14:solidFill>
              <w14:schemeClr w14:val="tx1"/>
            </w14:solidFill>
          </w14:textFill>
        </w:rPr>
        <w:t>采</w:t>
      </w:r>
      <w:r>
        <w:rPr>
          <w:rFonts w:hint="eastAsia" w:ascii="宋体" w:hAnsi="宋体" w:eastAsia="宋体" w:cs="Times New Roman"/>
          <w:color w:val="000000" w:themeColor="text1"/>
          <w:sz w:val="24"/>
          <w14:textFill>
            <w14:solidFill>
              <w14:schemeClr w14:val="tx1"/>
            </w14:solidFill>
          </w14:textFill>
        </w:rPr>
        <w:t>购项目的潜在供应商应在http://jszfcg.jsczt.cn/jszc/login获取采购文件，并</w:t>
      </w:r>
      <w:r>
        <w:rPr>
          <w:rFonts w:hint="eastAsia" w:ascii="宋体" w:hAnsi="宋体" w:eastAsia="宋体" w:cs="Times New Roman"/>
          <w:color w:val="000000" w:themeColor="text1"/>
          <w:sz w:val="24"/>
          <w:highlight w:val="none"/>
          <w14:textFill>
            <w14:solidFill>
              <w14:schemeClr w14:val="tx1"/>
            </w14:solidFill>
          </w14:textFill>
        </w:rPr>
        <w:t>于</w:t>
      </w:r>
      <w:r>
        <w:rPr>
          <w:rFonts w:hint="eastAsia" w:ascii="宋体" w:hAnsi="宋体" w:cs="Times New Roman"/>
          <w:color w:val="000000" w:themeColor="text1"/>
          <w:sz w:val="24"/>
          <w:highlight w:val="none"/>
          <w:lang w:eastAsia="zh-CN"/>
          <w14:textFill>
            <w14:solidFill>
              <w14:schemeClr w14:val="tx1"/>
            </w14:solidFill>
          </w14:textFill>
        </w:rPr>
        <w:t>2026-10-30 09:00</w:t>
      </w:r>
      <w:r>
        <w:rPr>
          <w:rFonts w:hint="eastAsia" w:ascii="宋体" w:hAnsi="宋体" w:eastAsia="宋体" w:cs="Times New Roman"/>
          <w:color w:val="000000" w:themeColor="text1"/>
          <w:sz w:val="24"/>
          <w:highlight w:val="none"/>
          <w14:textFill>
            <w14:solidFill>
              <w14:schemeClr w14:val="tx1"/>
            </w14:solidFill>
          </w14:textFill>
        </w:rPr>
        <w:t>（北京时间）</w:t>
      </w:r>
      <w:r>
        <w:rPr>
          <w:rFonts w:hint="eastAsia" w:ascii="宋体" w:hAnsi="宋体" w:eastAsia="宋体" w:cs="Times New Roman"/>
          <w:color w:val="000000" w:themeColor="text1"/>
          <w:sz w:val="24"/>
          <w14:textFill>
            <w14:solidFill>
              <w14:schemeClr w14:val="tx1"/>
            </w14:solidFill>
          </w14:textFill>
        </w:rPr>
        <w:t>前提交响应文件。</w:t>
      </w:r>
    </w:p>
    <w:p w14:paraId="156704C2">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bookmarkStart w:id="11" w:name="_Toc35393798"/>
      <w:bookmarkStart w:id="12" w:name="_Toc28359089"/>
      <w:bookmarkStart w:id="13" w:name="_Toc35393629"/>
      <w:bookmarkStart w:id="14" w:name="_Toc28359012"/>
      <w:r>
        <w:rPr>
          <w:rFonts w:hint="eastAsia" w:ascii="宋体" w:hAnsi="宋体" w:eastAsia="宋体" w:cs="Times New Roman"/>
          <w:color w:val="000000" w:themeColor="text1"/>
          <w:sz w:val="24"/>
          <w14:textFill>
            <w14:solidFill>
              <w14:schemeClr w14:val="tx1"/>
            </w14:solidFill>
          </w14:textFill>
        </w:rPr>
        <w:t>一、项目基本情况</w:t>
      </w:r>
      <w:bookmarkEnd w:id="11"/>
      <w:bookmarkEnd w:id="12"/>
      <w:bookmarkEnd w:id="13"/>
      <w:bookmarkEnd w:id="14"/>
    </w:p>
    <w:p w14:paraId="35A59BAC">
      <w:pPr>
        <w:keepNext w:val="0"/>
        <w:keepLines w:val="0"/>
        <w:pageBreakBefore w:val="0"/>
        <w:widowControl w:val="0"/>
        <w:spacing w:line="480" w:lineRule="exact"/>
        <w:ind w:firstLine="480"/>
        <w:rPr>
          <w:rFonts w:hint="eastAsia" w:ascii="宋体" w:hAnsi="宋体" w:cs="Times New Roman"/>
          <w:color w:val="000000" w:themeColor="text1"/>
          <w:sz w:val="24"/>
          <w:highlight w:val="yellow"/>
          <w:u w:val="single"/>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项目</w:t>
      </w:r>
      <w:r>
        <w:rPr>
          <w:rFonts w:hint="eastAsia" w:ascii="宋体" w:hAnsi="宋体" w:eastAsia="宋体" w:cs="Times New Roman"/>
          <w:color w:val="000000" w:themeColor="text1"/>
          <w:sz w:val="24"/>
          <w:highlight w:val="none"/>
          <w14:textFill>
            <w14:solidFill>
              <w14:schemeClr w14:val="tx1"/>
            </w14:solidFill>
          </w14:textFill>
        </w:rPr>
        <w:t>编号：</w:t>
      </w:r>
      <w:r>
        <w:rPr>
          <w:rFonts w:hint="eastAsia" w:ascii="宋体" w:hAnsi="宋体" w:cs="Times New Roman"/>
          <w:color w:val="000000" w:themeColor="text1"/>
          <w:sz w:val="24"/>
          <w:highlight w:val="none"/>
          <w:u w:val="single"/>
          <w:lang w:eastAsia="zh-CN"/>
          <w14:textFill>
            <w14:solidFill>
              <w14:schemeClr w14:val="tx1"/>
            </w14:solidFill>
          </w14:textFill>
        </w:rPr>
        <w:t>JSZC-320826-YHDL-T2026-0003</w:t>
      </w:r>
    </w:p>
    <w:p w14:paraId="0EFC91D2">
      <w:pPr>
        <w:keepNext w:val="0"/>
        <w:keepLines w:val="0"/>
        <w:pageBreakBefore w:val="0"/>
        <w:widowControl w:val="0"/>
        <w:spacing w:line="480" w:lineRule="exact"/>
        <w:ind w:firstLine="480"/>
        <w:rPr>
          <w:rFonts w:ascii="宋体" w:hAnsi="宋体" w:eastAsia="宋体" w:cs="Times New Roman"/>
          <w:sz w:val="24"/>
        </w:rPr>
      </w:pPr>
      <w:r>
        <w:rPr>
          <w:rFonts w:hint="eastAsia" w:ascii="宋体" w:hAnsi="宋体" w:eastAsia="宋体" w:cs="Times New Roman"/>
          <w:sz w:val="24"/>
        </w:rPr>
        <w:t>项目名称：</w:t>
      </w:r>
      <w:r>
        <w:rPr>
          <w:rFonts w:hint="eastAsia" w:ascii="宋体" w:hAnsi="宋体" w:cs="Times New Roman"/>
          <w:sz w:val="24"/>
          <w:lang w:eastAsia="zh-CN"/>
        </w:rPr>
        <w:t>涟水县2025年占补平衡项目补充耕地质量鉴定</w:t>
      </w:r>
    </w:p>
    <w:p w14:paraId="5A8D03C4">
      <w:pPr>
        <w:spacing w:line="520" w:lineRule="exact"/>
        <w:ind w:firstLine="480"/>
        <w:rPr>
          <w:rFonts w:hint="eastAsia" w:ascii="宋体" w:hAnsi="宋体" w:eastAsia="宋体" w:cs="Times New Roman"/>
          <w:sz w:val="24"/>
        </w:rPr>
      </w:pPr>
      <w:r>
        <w:rPr>
          <w:rFonts w:hint="eastAsia" w:ascii="宋体" w:hAnsi="宋体" w:eastAsia="宋体" w:cs="Times New Roman"/>
          <w:sz w:val="24"/>
        </w:rPr>
        <w:t xml:space="preserve">采购方式：竞争性谈判 </w:t>
      </w:r>
    </w:p>
    <w:p w14:paraId="6AABD2FB">
      <w:pPr>
        <w:spacing w:line="520" w:lineRule="exact"/>
        <w:ind w:firstLine="480"/>
        <w:rPr>
          <w:rFonts w:hint="eastAsia" w:ascii="宋体" w:hAnsi="宋体" w:cs="Times New Roman"/>
          <w:sz w:val="24"/>
          <w:lang w:val="en-US" w:eastAsia="zh-CN"/>
        </w:rPr>
      </w:pPr>
      <w:r>
        <w:rPr>
          <w:rFonts w:hint="eastAsia" w:ascii="宋体" w:hAnsi="宋体" w:eastAsia="宋体" w:cs="Times New Roman"/>
          <w:sz w:val="24"/>
        </w:rPr>
        <w:t>预算金</w:t>
      </w:r>
      <w:r>
        <w:rPr>
          <w:rFonts w:hint="eastAsia" w:ascii="宋体" w:hAnsi="宋体" w:eastAsia="宋体" w:cs="Times New Roman"/>
          <w:color w:val="auto"/>
          <w:sz w:val="24"/>
          <w:highlight w:val="none"/>
        </w:rPr>
        <w:t>额：</w:t>
      </w:r>
      <w:r>
        <w:rPr>
          <w:rFonts w:hint="eastAsia" w:ascii="宋体" w:hAnsi="宋体" w:eastAsia="宋体" w:cs="Times New Roman"/>
          <w:color w:val="auto"/>
          <w:sz w:val="24"/>
          <w:highlight w:val="none"/>
          <w:lang w:val="en-US" w:eastAsia="zh-CN"/>
        </w:rPr>
        <w:t>人民币</w:t>
      </w:r>
      <w:r>
        <w:rPr>
          <w:rFonts w:hint="eastAsia" w:ascii="宋体" w:hAnsi="宋体" w:cs="Times New Roman"/>
          <w:color w:val="auto"/>
          <w:sz w:val="24"/>
          <w:highlight w:val="none"/>
          <w:lang w:val="en-US" w:eastAsia="zh-CN"/>
        </w:rPr>
        <w:t>壹佰捌拾贰万陆仟柒佰叁拾元整</w:t>
      </w:r>
      <w:r>
        <w:rPr>
          <w:rFonts w:hint="eastAsia" w:ascii="宋体" w:hAnsi="宋体" w:eastAsia="宋体" w:cs="Times New Roman"/>
          <w:color w:val="auto"/>
          <w:sz w:val="24"/>
          <w:highlight w:val="none"/>
          <w:lang w:val="en-US" w:eastAsia="zh-CN"/>
        </w:rPr>
        <w:t>（￥</w:t>
      </w:r>
      <w:r>
        <w:rPr>
          <w:rFonts w:hint="eastAsia" w:ascii="宋体" w:hAnsi="宋体" w:cs="Times New Roman"/>
          <w:color w:val="auto"/>
          <w:sz w:val="24"/>
          <w:highlight w:val="none"/>
          <w:lang w:val="en-US" w:eastAsia="zh-CN"/>
        </w:rPr>
        <w:t>1826730</w:t>
      </w:r>
      <w:r>
        <w:rPr>
          <w:rFonts w:hint="eastAsia" w:ascii="宋体" w:hAnsi="宋体" w:eastAsia="宋体" w:cs="Times New Roman"/>
          <w:color w:val="auto"/>
          <w:sz w:val="24"/>
          <w:highlight w:val="none"/>
          <w:lang w:val="en-US" w:eastAsia="zh-CN"/>
        </w:rPr>
        <w:t>.00元）</w:t>
      </w:r>
      <w:r>
        <w:rPr>
          <w:rFonts w:hint="eastAsia" w:ascii="宋体" w:hAnsi="宋体" w:cs="Times New Roman"/>
          <w:color w:val="auto"/>
          <w:sz w:val="24"/>
          <w:highlight w:val="none"/>
          <w:lang w:val="en-US" w:eastAsia="zh-CN"/>
        </w:rPr>
        <w:t>，分项</w:t>
      </w:r>
      <w:r>
        <w:rPr>
          <w:rFonts w:hint="eastAsia" w:ascii="宋体" w:hAnsi="宋体" w:cs="Times New Roman"/>
          <w:sz w:val="24"/>
          <w:highlight w:val="none"/>
          <w:lang w:val="en-US" w:eastAsia="zh-CN"/>
        </w:rPr>
        <w:t>价格详</w:t>
      </w:r>
      <w:r>
        <w:rPr>
          <w:rFonts w:hint="eastAsia" w:ascii="宋体" w:hAnsi="宋体" w:cs="Times New Roman"/>
          <w:sz w:val="24"/>
          <w:lang w:val="en-US" w:eastAsia="zh-CN"/>
        </w:rPr>
        <w:t>见采购需求</w:t>
      </w:r>
      <w:r>
        <w:rPr>
          <w:rFonts w:hint="eastAsia" w:ascii="宋体" w:hAnsi="宋体" w:eastAsia="宋体" w:cs="Times New Roman"/>
          <w:sz w:val="24"/>
          <w:lang w:val="en-US" w:eastAsia="zh-CN"/>
        </w:rPr>
        <w:t>，如果报价超过预算均为无效报价</w:t>
      </w:r>
      <w:r>
        <w:rPr>
          <w:rFonts w:hint="eastAsia" w:ascii="宋体" w:hAnsi="宋体" w:cs="Times New Roman"/>
          <w:sz w:val="24"/>
          <w:lang w:val="en-US" w:eastAsia="zh-CN"/>
        </w:rPr>
        <w:t>。</w:t>
      </w:r>
    </w:p>
    <w:p w14:paraId="020FA0C9">
      <w:pPr>
        <w:spacing w:line="520" w:lineRule="exact"/>
        <w:ind w:firstLine="48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合同履行期限：</w:t>
      </w:r>
      <w:bookmarkStart w:id="15" w:name="_Toc28359013"/>
      <w:bookmarkStart w:id="16" w:name="_Toc35393799"/>
      <w:bookmarkStart w:id="17" w:name="_Toc35393630"/>
      <w:bookmarkStart w:id="18" w:name="_Toc28359090"/>
      <w:r>
        <w:rPr>
          <w:rFonts w:hint="eastAsia" w:ascii="宋体" w:hAnsi="宋体" w:eastAsia="宋体" w:cs="Times New Roman"/>
          <w:color w:val="000000" w:themeColor="text1"/>
          <w:sz w:val="24"/>
          <w:lang w:eastAsia="zh-CN"/>
          <w14:textFill>
            <w14:solidFill>
              <w14:schemeClr w14:val="tx1"/>
            </w14:solidFill>
          </w14:textFill>
        </w:rPr>
        <w:t>自合同签订之</w:t>
      </w:r>
      <w:r>
        <w:rPr>
          <w:rFonts w:hint="eastAsia" w:ascii="宋体" w:hAnsi="宋体" w:eastAsia="宋体" w:cs="Times New Roman"/>
          <w:color w:val="000000" w:themeColor="text1"/>
          <w:sz w:val="24"/>
          <w:highlight w:val="none"/>
          <w:lang w:eastAsia="zh-CN"/>
          <w14:textFill>
            <w14:solidFill>
              <w14:schemeClr w14:val="tx1"/>
            </w14:solidFill>
          </w14:textFill>
        </w:rPr>
        <w:t>日起</w:t>
      </w:r>
      <w:r>
        <w:rPr>
          <w:rFonts w:hint="eastAsia" w:ascii="宋体" w:hAnsi="宋体" w:cs="Times New Roman"/>
          <w:color w:val="000000" w:themeColor="text1"/>
          <w:sz w:val="24"/>
          <w:highlight w:val="none"/>
          <w:lang w:val="en-US" w:eastAsia="zh-CN"/>
          <w14:textFill>
            <w14:solidFill>
              <w14:schemeClr w14:val="tx1"/>
            </w14:solidFill>
          </w14:textFill>
        </w:rPr>
        <w:t>6个月内（具体时间根据甲方实际要求）</w:t>
      </w:r>
      <w:r>
        <w:rPr>
          <w:rFonts w:hint="eastAsia" w:ascii="宋体" w:hAnsi="宋体" w:eastAsia="宋体" w:cs="Times New Roman"/>
          <w:color w:val="000000" w:themeColor="text1"/>
          <w:sz w:val="24"/>
          <w:highlight w:val="none"/>
          <w:lang w:eastAsia="zh-CN"/>
          <w14:textFill>
            <w14:solidFill>
              <w14:schemeClr w14:val="tx1"/>
            </w14:solidFill>
          </w14:textFill>
        </w:rPr>
        <w:t>。</w:t>
      </w:r>
    </w:p>
    <w:p w14:paraId="407D9A69">
      <w:pPr>
        <w:spacing w:line="520" w:lineRule="exact"/>
        <w:ind w:firstLine="480"/>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履约地点：</w:t>
      </w:r>
      <w:r>
        <w:rPr>
          <w:rFonts w:hint="eastAsia" w:ascii="宋体" w:hAnsi="宋体" w:cs="Times New Roman"/>
          <w:color w:val="000000" w:themeColor="text1"/>
          <w:sz w:val="24"/>
          <w:lang w:val="en-US" w:eastAsia="zh-CN"/>
          <w14:textFill>
            <w14:solidFill>
              <w14:schemeClr w14:val="tx1"/>
            </w14:solidFill>
          </w14:textFill>
        </w:rPr>
        <w:t>项目覆盖全县16个镇（街道）：陈师街道、保滩街道、涟城街道、朱码街道、成集镇、梁岔镇、高沟镇、岔庙镇、红窑镇、五港镇、大东镇、东胡集镇、南集镇、黄营镇、石湖镇、唐集镇等镇（街）。</w:t>
      </w:r>
    </w:p>
    <w:p w14:paraId="58862BE1">
      <w:pPr>
        <w:numPr>
          <w:ilvl w:val="0"/>
          <w:numId w:val="0"/>
        </w:numPr>
        <w:spacing w:line="520" w:lineRule="exact"/>
        <w:ind w:firstLine="480"/>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本项目（是/否）接受联合体：</w:t>
      </w:r>
      <w:r>
        <w:rPr>
          <w:rFonts w:hint="eastAsia" w:ascii="宋体" w:hAnsi="宋体" w:cs="Times New Roman"/>
          <w:color w:val="000000" w:themeColor="text1"/>
          <w:sz w:val="24"/>
          <w:lang w:val="en-US" w:eastAsia="zh-CN"/>
          <w14:textFill>
            <w14:solidFill>
              <w14:schemeClr w14:val="tx1"/>
            </w14:solidFill>
          </w14:textFill>
        </w:rPr>
        <w:t>是</w:t>
      </w:r>
    </w:p>
    <w:p w14:paraId="47A07775">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二、申请人的资格要求</w:t>
      </w:r>
      <w:bookmarkEnd w:id="15"/>
      <w:bookmarkEnd w:id="16"/>
      <w:bookmarkEnd w:id="17"/>
      <w:bookmarkEnd w:id="18"/>
      <w:r>
        <w:rPr>
          <w:rFonts w:hint="eastAsia" w:ascii="宋体" w:hAnsi="宋体" w:cs="Times New Roman"/>
          <w:color w:val="000000" w:themeColor="text1"/>
          <w:sz w:val="24"/>
          <w:lang w:eastAsia="zh-CN"/>
          <w14:textFill>
            <w14:solidFill>
              <w14:schemeClr w14:val="tx1"/>
            </w14:solidFill>
          </w14:textFill>
        </w:rPr>
        <w:t>：</w:t>
      </w:r>
    </w:p>
    <w:p w14:paraId="7FEEBAE9">
      <w:pPr>
        <w:keepNext w:val="0"/>
        <w:keepLines w:val="0"/>
        <w:pageBreakBefore w:val="0"/>
        <w:widowControl w:val="0"/>
        <w:spacing w:line="480" w:lineRule="exact"/>
        <w:ind w:firstLine="600"/>
        <w:rPr>
          <w:rFonts w:hint="default" w:ascii="宋体" w:hAnsi="宋体" w:eastAsia="宋体" w:cs="Times New Roman"/>
          <w:color w:val="000000" w:themeColor="text1"/>
          <w:sz w:val="24"/>
          <w:lang w:val="en-US" w:eastAsia="zh-CN"/>
          <w14:textFill>
            <w14:solidFill>
              <w14:schemeClr w14:val="tx1"/>
            </w14:solidFill>
          </w14:textFill>
        </w:rPr>
      </w:pPr>
      <w:bookmarkStart w:id="19" w:name="_Toc28359014"/>
      <w:bookmarkStart w:id="20" w:name="_Toc28359091"/>
      <w:r>
        <w:rPr>
          <w:rFonts w:hint="eastAsia" w:ascii="宋体" w:hAnsi="宋体" w:eastAsia="宋体" w:cs="Times New Roman"/>
          <w:color w:val="000000" w:themeColor="text1"/>
          <w:sz w:val="24"/>
          <w14:textFill>
            <w14:solidFill>
              <w14:schemeClr w14:val="tx1"/>
            </w14:solidFill>
          </w14:textFill>
        </w:rPr>
        <w:t>（一）满足《中华人民共和国政府采购法》第二十二条规定</w:t>
      </w:r>
      <w:r>
        <w:rPr>
          <w:rFonts w:hint="eastAsia" w:ascii="宋体" w:hAnsi="宋体" w:cs="Times New Roman"/>
          <w:color w:val="000000" w:themeColor="text1"/>
          <w:sz w:val="24"/>
          <w:lang w:val="en-US" w:eastAsia="zh-CN"/>
          <w14:textFill>
            <w14:solidFill>
              <w14:schemeClr w14:val="tx1"/>
            </w14:solidFill>
          </w14:textFill>
        </w:rPr>
        <w:t>并提供下列材料：</w:t>
      </w:r>
    </w:p>
    <w:p w14:paraId="66B56E22">
      <w:pPr>
        <w:keepNext w:val="0"/>
        <w:keepLines w:val="0"/>
        <w:pageBreakBefore w:val="0"/>
        <w:widowControl w:val="0"/>
        <w:spacing w:line="480" w:lineRule="exact"/>
        <w:ind w:firstLine="6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1.供应商提供下列材料之一</w:t>
      </w:r>
      <w:r>
        <w:rPr>
          <w:rFonts w:hint="eastAsia" w:ascii="宋体" w:hAnsi="宋体" w:cs="Times New Roman"/>
          <w:color w:val="000000" w:themeColor="text1"/>
          <w:sz w:val="24"/>
          <w:lang w:eastAsia="zh-CN"/>
          <w14:textFill>
            <w14:solidFill>
              <w14:schemeClr w14:val="tx1"/>
            </w14:solidFill>
          </w14:textFill>
        </w:rPr>
        <w:t>：</w:t>
      </w:r>
      <w:r>
        <w:rPr>
          <w:rFonts w:hint="eastAsia" w:ascii="宋体" w:hAnsi="宋体" w:eastAsia="宋体" w:cs="Times New Roman"/>
          <w:color w:val="000000" w:themeColor="text1"/>
          <w:sz w:val="24"/>
          <w14:textFill>
            <w14:solidFill>
              <w14:schemeClr w14:val="tx1"/>
            </w14:solidFill>
          </w14:textFill>
        </w:rPr>
        <w:t xml:space="preserve"> （1）供应商提供法定代表人资格证明（必须提供，格式按照第九部分示范格式一）和法定代表人身份证（扫描件并加盖供应商</w:t>
      </w:r>
      <w:r>
        <w:rPr>
          <w:rFonts w:hint="eastAsia" w:ascii="宋体" w:hAnsi="宋体" w:cs="Times New Roman"/>
          <w:color w:val="000000" w:themeColor="text1"/>
          <w:sz w:val="24"/>
          <w:lang w:eastAsia="zh-CN"/>
          <w14:textFill>
            <w14:solidFill>
              <w14:schemeClr w14:val="tx1"/>
            </w14:solidFill>
          </w14:textFill>
        </w:rPr>
        <w:t>电子签章</w:t>
      </w:r>
      <w:r>
        <w:rPr>
          <w:rFonts w:hint="eastAsia" w:ascii="宋体" w:hAnsi="宋体" w:eastAsia="宋体" w:cs="Times New Roman"/>
          <w:color w:val="000000" w:themeColor="text1"/>
          <w:sz w:val="24"/>
          <w14:textFill>
            <w14:solidFill>
              <w14:schemeClr w14:val="tx1"/>
            </w14:solidFill>
          </w14:textFill>
        </w:rPr>
        <w:t>）； （2）供应商提供授权委托书（必须提供，格式按照第九部分示范格式二）和受托人身份证（扫描件并加盖供应商</w:t>
      </w:r>
      <w:r>
        <w:rPr>
          <w:rFonts w:hint="eastAsia" w:ascii="宋体" w:hAnsi="宋体" w:cs="Times New Roman"/>
          <w:color w:val="000000" w:themeColor="text1"/>
          <w:sz w:val="24"/>
          <w:lang w:eastAsia="zh-CN"/>
          <w14:textFill>
            <w14:solidFill>
              <w14:schemeClr w14:val="tx1"/>
            </w14:solidFill>
          </w14:textFill>
        </w:rPr>
        <w:t>电子签章</w:t>
      </w:r>
      <w:r>
        <w:rPr>
          <w:rFonts w:hint="eastAsia" w:ascii="宋体" w:hAnsi="宋体" w:eastAsia="宋体" w:cs="Times New Roman"/>
          <w:color w:val="000000" w:themeColor="text1"/>
          <w:sz w:val="24"/>
          <w14:textFill>
            <w14:solidFill>
              <w14:schemeClr w14:val="tx1"/>
            </w14:solidFill>
          </w14:textFill>
        </w:rPr>
        <w:t>）。</w:t>
      </w:r>
    </w:p>
    <w:p w14:paraId="7084F064">
      <w:pPr>
        <w:keepNext w:val="0"/>
        <w:keepLines w:val="0"/>
        <w:pageBreakBefore w:val="0"/>
        <w:widowControl w:val="0"/>
        <w:spacing w:line="480" w:lineRule="exact"/>
        <w:ind w:firstLine="6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（二）落实政府采购政策需满足的资格要求：</w:t>
      </w:r>
    </w:p>
    <w:p w14:paraId="0E9B5990">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本项目按照以下第</w:t>
      </w:r>
      <w:r>
        <w:rPr>
          <w:rFonts w:ascii="宋体" w:hAnsi="宋体" w:eastAsia="宋体" w:cs="Times New Roman"/>
          <w:color w:val="000000" w:themeColor="text1"/>
          <w:sz w:val="24"/>
          <w:u w:val="single"/>
          <w14:textFill>
            <w14:solidFill>
              <w14:schemeClr w14:val="tx1"/>
            </w14:solidFill>
          </w14:textFill>
        </w:rPr>
        <w:t>1</w:t>
      </w:r>
      <w:r>
        <w:rPr>
          <w:rFonts w:hint="eastAsia" w:ascii="宋体" w:hAnsi="宋体" w:eastAsia="宋体" w:cs="Times New Roman"/>
          <w:color w:val="000000" w:themeColor="text1"/>
          <w:sz w:val="24"/>
          <w14:textFill>
            <w14:solidFill>
              <w14:schemeClr w14:val="tx1"/>
            </w14:solidFill>
          </w14:textFill>
        </w:rPr>
        <w:t>种方式落实政府采购促进中小企业发展的要求：</w:t>
      </w:r>
    </w:p>
    <w:p w14:paraId="3174E8FC">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1）本项目为专门面向中小企业采购的项目。</w:t>
      </w:r>
    </w:p>
    <w:p w14:paraId="6314DFC4">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2）本项目通过以下第（）种方式预留部分采购份额采购中小企业服务：</w:t>
      </w:r>
    </w:p>
    <w:p w14:paraId="7BCFA52B">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（1）本项目要求供应商以联合体形式参加，中小企业合同金额应当达到的比例为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%（两项比例均应符合《政府采购促进中小企业发展管理办法》第八条规定）。</w:t>
      </w:r>
    </w:p>
    <w:p w14:paraId="46182470">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（2）本项目要求供应商进行合同分包，中小企业合同金额应当达到的比例为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%（两项比例均应符合《政府采购促进中小企业发展管理办法》第八条规定）。</w:t>
      </w:r>
    </w:p>
    <w:p w14:paraId="4E1CF37F">
      <w:pPr>
        <w:keepNext w:val="0"/>
        <w:keepLines w:val="0"/>
        <w:pageBreakBefore w:val="0"/>
        <w:widowControl w:val="0"/>
        <w:spacing w:line="480" w:lineRule="exact"/>
        <w:ind w:firstLine="60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3）本项目为非预留份额的采购项目，对小微企业报价给予扣除，用扣除后的价格参加评审，具体详见第一章“供应商须知”第</w:t>
      </w:r>
      <w:r>
        <w:rPr>
          <w:rFonts w:hint="eastAsia" w:ascii="宋体" w:hAnsi="宋体" w:cs="Times New Roman"/>
          <w:color w:val="000000" w:themeColor="text1"/>
          <w:sz w:val="24"/>
          <w:lang w:val="en-US" w:eastAsia="zh-CN"/>
          <w14:textFill>
            <w14:solidFill>
              <w14:schemeClr w14:val="tx1"/>
            </w14:solidFill>
          </w14:textFill>
        </w:rPr>
        <w:t>30</w:t>
      </w:r>
      <w:r>
        <w:rPr>
          <w:rFonts w:hint="eastAsia" w:ascii="宋体" w:hAnsi="宋体" w:eastAsia="宋体" w:cs="Times New Roman"/>
          <w:color w:val="000000" w:themeColor="text1"/>
          <w:sz w:val="24"/>
          <w14:textFill>
            <w14:solidFill>
              <w14:schemeClr w14:val="tx1"/>
            </w14:solidFill>
          </w14:textFill>
        </w:rPr>
        <w:t>.1项。</w:t>
      </w:r>
    </w:p>
    <w:p w14:paraId="38686FC9">
      <w:pPr>
        <w:keepNext w:val="0"/>
        <w:keepLines w:val="0"/>
        <w:pageBreakBefore w:val="0"/>
        <w:widowControl w:val="0"/>
        <w:spacing w:line="480" w:lineRule="exact"/>
        <w:ind w:firstLine="60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注</w:t>
      </w:r>
      <w:r>
        <w:rPr>
          <w:rFonts w:hint="eastAsia" w:ascii="宋体" w:hAnsi="宋体" w:cs="Times New Roman"/>
          <w:color w:val="000000" w:themeColor="text1"/>
          <w:sz w:val="24"/>
          <w:lang w:eastAsia="zh-CN"/>
          <w14:textFill>
            <w14:solidFill>
              <w14:schemeClr w14:val="tx1"/>
            </w14:solidFill>
          </w14:textFill>
        </w:rPr>
        <w:t>：</w:t>
      </w:r>
      <w:r>
        <w:rPr>
          <w:rFonts w:hint="eastAsia" w:ascii="宋体" w:hAnsi="宋体" w:eastAsia="宋体" w:cs="Times New Roman"/>
          <w:color w:val="000000" w:themeColor="text1"/>
          <w:sz w:val="24"/>
          <w14:textFill>
            <w14:solidFill>
              <w14:schemeClr w14:val="tx1"/>
            </w14:solidFill>
          </w14:textFill>
        </w:rPr>
        <w:t>监狱企业、残疾人福利性单位视同小微企业。符合中小企业划分标准的个体工商户，在政府采购活动中视同中小企业，享受政府采购支持中小企业发展政策。</w:t>
      </w:r>
      <w:r>
        <w:rPr>
          <w:rFonts w:ascii="宋体" w:hAnsi="宋体" w:eastAsia="宋体" w:cs="Times New Roman"/>
          <w:color w:val="000000" w:themeColor="text1"/>
          <w:sz w:val="24"/>
          <w14:textFill>
            <w14:solidFill>
              <w14:schemeClr w14:val="tx1"/>
            </w14:solidFill>
          </w14:textFill>
        </w:rPr>
        <w:t xml:space="preserve"> </w:t>
      </w:r>
    </w:p>
    <w:p w14:paraId="0E09E265">
      <w:pPr>
        <w:keepNext w:val="0"/>
        <w:keepLines w:val="0"/>
        <w:pageBreakBefore w:val="0"/>
        <w:widowControl w:val="0"/>
        <w:numPr>
          <w:ilvl w:val="0"/>
          <w:numId w:val="4"/>
        </w:numPr>
        <w:spacing w:line="480" w:lineRule="exact"/>
        <w:ind w:firstLine="480"/>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本项目的特定资格要求：</w:t>
      </w:r>
    </w:p>
    <w:p w14:paraId="7C2AC76E">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1、</w:t>
      </w:r>
      <w:r>
        <w:rPr>
          <w:rFonts w:hint="eastAsia" w:ascii="宋体" w:hAnsi="宋体" w:eastAsia="宋体" w:cs="Times New Roman"/>
          <w:bCs/>
          <w:color w:val="000000" w:themeColor="text1"/>
          <w:sz w:val="24"/>
          <w:lang w:val="zh-CN"/>
          <w14:textFill>
            <w14:solidFill>
              <w14:schemeClr w14:val="tx1"/>
            </w14:solidFill>
          </w14:textFill>
        </w:rPr>
        <w:t>（联合）供应商需具有独立承担民事责任能力（提供有效的法人、社会组织或团体、协会及其他组织的营业执照等证明文件复印件并加盖供应商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53358ACD">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2、</w:t>
      </w:r>
      <w:r>
        <w:rPr>
          <w:rFonts w:hint="eastAsia" w:ascii="宋体" w:hAnsi="宋体" w:eastAsia="宋体" w:cs="Times New Roman"/>
          <w:bCs/>
          <w:color w:val="000000" w:themeColor="text1"/>
          <w:sz w:val="24"/>
          <w:lang w:val="zh-CN"/>
          <w14:textFill>
            <w14:solidFill>
              <w14:schemeClr w14:val="tx1"/>
            </w14:solidFill>
          </w14:textFill>
        </w:rPr>
        <w:t>（联合）供应商需具有良好的商业信誉和健全的财务会计制度（提供2025年度经审计的财务状况报告等证明文件或银行出具的资信证明复印件并加盖供应商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06D02C55">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3、</w:t>
      </w:r>
      <w:r>
        <w:rPr>
          <w:rFonts w:hint="eastAsia" w:ascii="宋体" w:hAnsi="宋体" w:eastAsia="宋体" w:cs="Times New Roman"/>
          <w:bCs/>
          <w:color w:val="000000" w:themeColor="text1"/>
          <w:sz w:val="24"/>
          <w:lang w:val="zh-CN"/>
          <w14:textFill>
            <w14:solidFill>
              <w14:schemeClr w14:val="tx1"/>
            </w14:solidFill>
          </w14:textFill>
        </w:rPr>
        <w:t>（联合）供应商需有依法缴纳税收和社会保障资金的良好记录（提供投标文件递交当月或前3个月任一月份的依法缴纳税收完税凭证（或无欠税证明）复印件和社会保障资金缴纳凭证并加盖供应商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5A8D5C4E">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4、</w:t>
      </w:r>
      <w:r>
        <w:rPr>
          <w:rFonts w:hint="eastAsia" w:ascii="宋体" w:hAnsi="宋体" w:eastAsia="宋体" w:cs="Times New Roman"/>
          <w:bCs/>
          <w:color w:val="000000" w:themeColor="text1"/>
          <w:sz w:val="24"/>
          <w:lang w:val="zh-CN"/>
          <w14:textFill>
            <w14:solidFill>
              <w14:schemeClr w14:val="tx1"/>
            </w14:solidFill>
          </w14:textFill>
        </w:rPr>
        <w:t>（联合）供应商在“信用中国（http://www.creditchina.gov.cn/）”网站中未被列入《失信被执行人名单》、《重大税收违法案件当事人名单》或《政府采购严重违法失信行为记录名单》（提供2026年6月以后网站截图打印件）；</w:t>
      </w:r>
    </w:p>
    <w:p w14:paraId="55F900AC">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5、</w:t>
      </w:r>
      <w:r>
        <w:rPr>
          <w:rFonts w:hint="eastAsia" w:ascii="宋体" w:hAnsi="宋体" w:eastAsia="宋体" w:cs="Times New Roman"/>
          <w:bCs/>
          <w:color w:val="000000" w:themeColor="text1"/>
          <w:sz w:val="24"/>
          <w:lang w:val="zh-CN"/>
          <w14:textFill>
            <w14:solidFill>
              <w14:schemeClr w14:val="tx1"/>
            </w14:solidFill>
          </w14:textFill>
        </w:rPr>
        <w:t>本项目专门面向中小/小微企业采购。即：提供的服务全部由符合政策要求的中小/小微企业承接。（联合）供应商提供中小/小微企业声明。（并加盖供应商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72CEEBF4">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注：以上条款参与竞标供应商（所有企业）均需响应。</w:t>
      </w:r>
    </w:p>
    <w:p w14:paraId="261A3042">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auto"/>
          <w:sz w:val="24"/>
          <w:lang w:val="zh-CN"/>
        </w:rPr>
      </w:pPr>
      <w:r>
        <w:rPr>
          <w:rFonts w:hint="eastAsia" w:ascii="宋体" w:hAnsi="宋体" w:eastAsia="宋体" w:cs="Times New Roman"/>
          <w:bCs/>
          <w:color w:val="auto"/>
          <w:sz w:val="24"/>
        </w:rPr>
        <w:t>6、</w:t>
      </w:r>
      <w:r>
        <w:rPr>
          <w:rFonts w:hint="eastAsia" w:ascii="宋体" w:hAnsi="宋体" w:eastAsia="宋体" w:cs="Times New Roman"/>
          <w:bCs/>
          <w:color w:val="auto"/>
          <w:sz w:val="24"/>
          <w:lang w:val="zh-CN"/>
        </w:rPr>
        <w:t>（联合）供应商需确定项目外业踏勘技术领队不低于10人，技术领队需具有土壤学、测绘及相关专业中级及以上职称；或持有国家或省级土壤普查办颁发的第三次全国土壤普查外业调查采样技术领队或质量检查员资格证书，其中具备土壤学及相关专业中级及以上职称人员或“三普”外业调查采样技术领队或质量检查员不低于5人；同时需确定项目负责人1名，具有土壤学、测绘及相关专业副高级及以上职称。项目负责人可兼任技术领队。实地踏勘工作每组参与人员不低于1名技术领队。且因项目涉及地块数较多，为确保</w:t>
      </w:r>
      <w:r>
        <w:rPr>
          <w:rFonts w:hint="eastAsia" w:ascii="宋体" w:hAnsi="宋体" w:cs="Times New Roman"/>
          <w:bCs/>
          <w:color w:val="auto"/>
          <w:sz w:val="24"/>
          <w:lang w:val="zh-CN"/>
        </w:rPr>
        <w:t>涟水县2025年占补平衡项目补充耕地质量鉴定</w:t>
      </w:r>
      <w:r>
        <w:rPr>
          <w:rFonts w:hint="eastAsia" w:ascii="宋体" w:hAnsi="宋体" w:eastAsia="宋体" w:cs="Times New Roman"/>
          <w:bCs/>
          <w:color w:val="auto"/>
          <w:sz w:val="24"/>
          <w:lang w:val="zh-CN"/>
        </w:rPr>
        <w:t>工作的顺利开展，成交供应商需具备同时组织6-8支专业队伍开展工作的能力（提供相应人员职称证书或“三普”技术领队或质量检查员资格证书复印件，相关人员自2026年1月以来任意1个月社保证明及其他有效证明资料复印件并加盖供应商</w:t>
      </w:r>
      <w:r>
        <w:rPr>
          <w:rFonts w:hint="eastAsia" w:ascii="宋体" w:hAnsi="宋体" w:cs="Times New Roman"/>
          <w:bCs/>
          <w:color w:val="auto"/>
          <w:sz w:val="24"/>
          <w:lang w:val="zh-CN"/>
        </w:rPr>
        <w:t>电子签章</w:t>
      </w:r>
      <w:r>
        <w:rPr>
          <w:rFonts w:hint="eastAsia" w:ascii="宋体" w:hAnsi="宋体" w:eastAsia="宋体" w:cs="Times New Roman"/>
          <w:bCs/>
          <w:color w:val="auto"/>
          <w:sz w:val="24"/>
          <w:lang w:val="zh-CN"/>
        </w:rPr>
        <w:t>，并提供组织专业队伍承诺函，格式自拟）。</w:t>
      </w:r>
    </w:p>
    <w:p w14:paraId="4D7EA018">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注：（</w:t>
      </w:r>
      <w:r>
        <w:rPr>
          <w:rFonts w:hint="eastAsia" w:ascii="宋体" w:hAnsi="宋体" w:eastAsia="宋体" w:cs="Times New Roman"/>
          <w:bCs/>
          <w:color w:val="000000" w:themeColor="text1"/>
          <w:sz w:val="24"/>
          <w14:textFill>
            <w14:solidFill>
              <w14:schemeClr w14:val="tx1"/>
            </w14:solidFill>
          </w14:textFill>
        </w:rPr>
        <w:t>1</w:t>
      </w:r>
      <w:r>
        <w:rPr>
          <w:rFonts w:hint="eastAsia" w:ascii="宋体" w:hAnsi="宋体" w:eastAsia="宋体" w:cs="Times New Roman"/>
          <w:bCs/>
          <w:color w:val="000000" w:themeColor="text1"/>
          <w:sz w:val="24"/>
          <w:lang w:val="zh-CN"/>
          <w14:textFill>
            <w14:solidFill>
              <w14:schemeClr w14:val="tx1"/>
            </w14:solidFill>
          </w14:textFill>
        </w:rPr>
        <w:t>）土壤学及相关专业清单：</w:t>
      </w:r>
    </w:p>
    <w:p w14:paraId="2DEDEA47">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①</w:t>
      </w:r>
      <w:r>
        <w:rPr>
          <w:rFonts w:hint="eastAsia" w:ascii="宋体" w:hAnsi="宋体" w:eastAsia="宋体" w:cs="Times New Roman"/>
          <w:bCs/>
          <w:color w:val="000000" w:themeColor="text1"/>
          <w:sz w:val="24"/>
          <w:lang w:val="zh-CN"/>
          <w14:textFill>
            <w14:solidFill>
              <w14:schemeClr w14:val="tx1"/>
            </w14:solidFill>
          </w14:textFill>
        </w:rPr>
        <w:t xml:space="preserve">土壤学相关核心专业：土壤学、农业资源与环境、农业资源利用、土壤农化、植物营养学。 </w:t>
      </w:r>
    </w:p>
    <w:p w14:paraId="54001DCA">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②</w:t>
      </w:r>
      <w:r>
        <w:rPr>
          <w:rFonts w:hint="eastAsia" w:ascii="宋体" w:hAnsi="宋体" w:eastAsia="宋体" w:cs="Times New Roman"/>
          <w:bCs/>
          <w:color w:val="000000" w:themeColor="text1"/>
          <w:sz w:val="24"/>
          <w:lang w:val="zh-CN"/>
          <w14:textFill>
            <w14:solidFill>
              <w14:schemeClr w14:val="tx1"/>
            </w14:solidFill>
          </w14:textFill>
        </w:rPr>
        <w:t>其他相关专业：水土保持与荒漠化防治、生态学、园艺学、作物栽培学与耕作学、</w:t>
      </w:r>
      <w:r>
        <w:rPr>
          <w:rFonts w:hint="eastAsia" w:ascii="宋体" w:hAnsi="宋体" w:eastAsia="宋体" w:cs="Times New Roman"/>
          <w:bCs/>
          <w:color w:val="000000" w:themeColor="text1"/>
          <w:sz w:val="24"/>
          <w14:textFill>
            <w14:solidFill>
              <w14:schemeClr w14:val="tx1"/>
            </w14:solidFill>
          </w14:textFill>
        </w:rPr>
        <w:t>农艺与种业、</w:t>
      </w:r>
      <w:r>
        <w:rPr>
          <w:rFonts w:hint="eastAsia" w:ascii="宋体" w:hAnsi="宋体" w:eastAsia="宋体" w:cs="Times New Roman"/>
          <w:bCs/>
          <w:color w:val="000000" w:themeColor="text1"/>
          <w:sz w:val="24"/>
          <w:lang w:val="zh-CN"/>
          <w14:textFill>
            <w14:solidFill>
              <w14:schemeClr w14:val="tx1"/>
            </w14:solidFill>
          </w14:textFill>
        </w:rPr>
        <w:t>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w:t>
      </w:r>
      <w:r>
        <w:rPr>
          <w:rFonts w:hint="eastAsia" w:ascii="宋体" w:hAnsi="宋体" w:eastAsia="宋体" w:cs="Times New Roman"/>
          <w:bCs/>
          <w:color w:val="000000" w:themeColor="text1"/>
          <w:sz w:val="24"/>
          <w14:textFill>
            <w14:solidFill>
              <w14:schemeClr w14:val="tx1"/>
            </w14:solidFill>
          </w14:textFill>
        </w:rPr>
        <w:t>生态环境监测与分析、</w:t>
      </w:r>
      <w:r>
        <w:rPr>
          <w:rFonts w:hint="eastAsia" w:ascii="宋体" w:hAnsi="宋体" w:eastAsia="宋体" w:cs="Times New Roman"/>
          <w:bCs/>
          <w:color w:val="000000" w:themeColor="text1"/>
          <w:sz w:val="24"/>
          <w:lang w:val="zh-CN"/>
          <w14:textFill>
            <w14:solidFill>
              <w14:schemeClr w14:val="tx1"/>
            </w14:solidFill>
          </w14:textFill>
        </w:rPr>
        <w:t xml:space="preserve">草学等。 </w:t>
      </w:r>
    </w:p>
    <w:p w14:paraId="36B4330D">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2</w:t>
      </w:r>
      <w:r>
        <w:rPr>
          <w:rFonts w:hint="eastAsia" w:ascii="宋体" w:hAnsi="宋体" w:cs="Times New Roman"/>
          <w:bCs/>
          <w:color w:val="000000" w:themeColor="text1"/>
          <w:sz w:val="24"/>
          <w:lang w:eastAsia="zh-CN"/>
          <w14:textFill>
            <w14:solidFill>
              <w14:schemeClr w14:val="tx1"/>
            </w14:solidFill>
          </w14:textFill>
        </w:rPr>
        <w:t>）</w:t>
      </w:r>
      <w:r>
        <w:rPr>
          <w:rFonts w:hint="eastAsia" w:ascii="宋体" w:hAnsi="宋体" w:eastAsia="宋体" w:cs="Times New Roman"/>
          <w:bCs/>
          <w:color w:val="000000" w:themeColor="text1"/>
          <w:sz w:val="24"/>
          <w14:textFill>
            <w14:solidFill>
              <w14:schemeClr w14:val="tx1"/>
            </w14:solidFill>
          </w14:textFill>
        </w:rPr>
        <w:t>测绘及相关专业清单：</w:t>
      </w:r>
    </w:p>
    <w:p w14:paraId="33C72022">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①测绘相关核心专业：测绘工程、遥感科学与技术、导航工程、地理国情监测、地理空间信息工程、时空信息工程。</w:t>
      </w:r>
    </w:p>
    <w:p w14:paraId="3E6BA21D">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②</w:t>
      </w:r>
      <w:r>
        <w:rPr>
          <w:rFonts w:hint="eastAsia" w:ascii="宋体" w:hAnsi="宋体" w:eastAsia="宋体" w:cs="Times New Roman"/>
          <w:bCs/>
          <w:color w:val="000000" w:themeColor="text1"/>
          <w:sz w:val="24"/>
          <w:lang w:val="zh-CN"/>
          <w14:textFill>
            <w14:solidFill>
              <w14:schemeClr w14:val="tx1"/>
            </w14:solidFill>
          </w14:textFill>
        </w:rPr>
        <w:t>其他相关专业：</w:t>
      </w:r>
      <w:r>
        <w:rPr>
          <w:rFonts w:hint="eastAsia" w:ascii="宋体" w:hAnsi="宋体" w:eastAsia="宋体" w:cs="Times New Roman"/>
          <w:bCs/>
          <w:color w:val="000000" w:themeColor="text1"/>
          <w:sz w:val="24"/>
          <w14:textFill>
            <w14:solidFill>
              <w14:schemeClr w14:val="tx1"/>
            </w14:solidFill>
          </w14:textFill>
        </w:rPr>
        <w:t>测绘工程技术、测绘地理信息技术、地籍测绘与土地管理、国土空间规划与测绘、无人机测绘技术、地理科学、地图学与地理信息系统、国土空间规划等。</w:t>
      </w:r>
    </w:p>
    <w:p w14:paraId="431DE8FC">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FF0000"/>
          <w:sz w:val="24"/>
          <w:lang w:val="zh-CN"/>
        </w:rPr>
      </w:pPr>
      <w:r>
        <w:rPr>
          <w:rFonts w:hint="eastAsia" w:ascii="宋体" w:hAnsi="宋体" w:eastAsia="宋体" w:cs="Times New Roman"/>
          <w:bCs/>
          <w:color w:val="auto"/>
          <w:sz w:val="24"/>
        </w:rPr>
        <w:t>7、</w:t>
      </w:r>
      <w:r>
        <w:rPr>
          <w:rFonts w:hint="eastAsia" w:ascii="宋体" w:hAnsi="宋体" w:eastAsia="宋体" w:cs="Times New Roman"/>
          <w:bCs/>
          <w:color w:val="FF0000"/>
          <w:sz w:val="24"/>
          <w:lang w:val="zh-CN"/>
        </w:rPr>
        <w:t>供应商</w:t>
      </w:r>
      <w:r>
        <w:rPr>
          <w:rFonts w:hint="eastAsia" w:ascii="宋体" w:hAnsi="宋体" w:cs="Times New Roman"/>
          <w:bCs/>
          <w:color w:val="FF0000"/>
          <w:sz w:val="24"/>
          <w:lang w:val="en-US" w:eastAsia="zh-CN"/>
        </w:rPr>
        <w:t>或协作单位</w:t>
      </w:r>
      <w:r>
        <w:rPr>
          <w:rFonts w:hint="eastAsia" w:ascii="宋体" w:hAnsi="宋体" w:eastAsia="宋体" w:cs="Times New Roman"/>
          <w:bCs/>
          <w:color w:val="FF0000"/>
          <w:sz w:val="24"/>
          <w:lang w:val="zh-CN"/>
        </w:rPr>
        <w:t>需提供CMA证书及资质附表，确定资质能力覆盖本次项目需检测的pH值、容重、有机质含量、全氮含量、有效磷含量、速效钾含量、土壤机械组成和水溶性盐总量等</w:t>
      </w:r>
      <w:r>
        <w:rPr>
          <w:rFonts w:hint="eastAsia" w:ascii="宋体" w:hAnsi="宋体" w:cs="Times New Roman"/>
          <w:bCs/>
          <w:color w:val="FF0000"/>
          <w:sz w:val="24"/>
          <w:lang w:val="en-US" w:eastAsia="zh-CN"/>
        </w:rPr>
        <w:t>8</w:t>
      </w:r>
      <w:r>
        <w:rPr>
          <w:rFonts w:hint="eastAsia" w:ascii="宋体" w:hAnsi="宋体" w:eastAsia="宋体" w:cs="Times New Roman"/>
          <w:bCs/>
          <w:color w:val="FF0000"/>
          <w:sz w:val="24"/>
          <w:lang w:val="zh-CN"/>
        </w:rPr>
        <w:t>个常规指标和铬、镍、铜、锌、镉、铅、汞、砷等8项重金属指标。(提供检测资质证书及检验项目资质附表复印件并加盖供应商</w:t>
      </w:r>
      <w:r>
        <w:rPr>
          <w:rFonts w:hint="eastAsia" w:ascii="宋体" w:hAnsi="宋体" w:cs="Times New Roman"/>
          <w:bCs/>
          <w:color w:val="FF0000"/>
          <w:sz w:val="24"/>
          <w:lang w:val="zh-CN"/>
        </w:rPr>
        <w:t>电子签章</w:t>
      </w:r>
      <w:r>
        <w:rPr>
          <w:rFonts w:hint="eastAsia" w:ascii="宋体" w:hAnsi="宋体" w:cs="Times New Roman"/>
          <w:bCs/>
          <w:color w:val="FF0000"/>
          <w:sz w:val="24"/>
          <w:lang w:val="en-US" w:eastAsia="zh-CN"/>
        </w:rPr>
        <w:t>；协作单位需提供合作协议</w:t>
      </w:r>
      <w:r>
        <w:rPr>
          <w:rFonts w:hint="eastAsia" w:ascii="宋体" w:hAnsi="宋体" w:eastAsia="宋体" w:cs="Times New Roman"/>
          <w:bCs/>
          <w:color w:val="FF0000"/>
          <w:sz w:val="24"/>
          <w:lang w:val="zh-CN"/>
        </w:rPr>
        <w:t>)。</w:t>
      </w:r>
    </w:p>
    <w:p w14:paraId="37C8C414">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auto"/>
          <w:sz w:val="24"/>
          <w:highlight w:val="yellow"/>
          <w:lang w:val="zh-CN"/>
        </w:rPr>
      </w:pPr>
      <w:r>
        <w:rPr>
          <w:rFonts w:hint="eastAsia" w:ascii="宋体" w:hAnsi="宋体" w:eastAsia="宋体" w:cs="Times New Roman"/>
          <w:bCs/>
          <w:color w:val="auto"/>
          <w:sz w:val="24"/>
        </w:rPr>
        <w:t>8、</w:t>
      </w:r>
      <w:r>
        <w:rPr>
          <w:rFonts w:hint="eastAsia" w:ascii="宋体" w:hAnsi="宋体" w:eastAsia="宋体" w:cs="Times New Roman"/>
          <w:bCs/>
          <w:color w:val="auto"/>
          <w:sz w:val="24"/>
          <w:lang w:val="zh-CN"/>
        </w:rPr>
        <w:t>（联合）供应商需提供2023年以来履约</w:t>
      </w:r>
      <w:r>
        <w:rPr>
          <w:rFonts w:hint="eastAsia" w:ascii="宋体" w:hAnsi="宋体" w:eastAsia="宋体" w:cs="Times New Roman"/>
          <w:bCs/>
          <w:color w:val="auto"/>
          <w:sz w:val="24"/>
          <w:highlight w:val="none"/>
          <w:lang w:val="zh-CN"/>
        </w:rPr>
        <w:t>的补充耕地质量</w:t>
      </w:r>
      <w:r>
        <w:rPr>
          <w:rFonts w:hint="eastAsia" w:ascii="宋体" w:hAnsi="宋体" w:cs="Times New Roman"/>
          <w:bCs/>
          <w:color w:val="auto"/>
          <w:sz w:val="24"/>
          <w:highlight w:val="none"/>
          <w:lang w:val="en-US" w:eastAsia="zh-CN"/>
        </w:rPr>
        <w:t>评定（</w:t>
      </w:r>
      <w:r>
        <w:rPr>
          <w:rFonts w:hint="eastAsia" w:ascii="宋体" w:hAnsi="宋体" w:eastAsia="宋体" w:cs="Times New Roman"/>
          <w:bCs/>
          <w:color w:val="auto"/>
          <w:sz w:val="24"/>
          <w:highlight w:val="none"/>
          <w:lang w:val="zh-CN"/>
        </w:rPr>
        <w:t>鉴定</w:t>
      </w:r>
      <w:r>
        <w:rPr>
          <w:rFonts w:hint="eastAsia" w:ascii="宋体" w:hAnsi="宋体" w:cs="Times New Roman"/>
          <w:bCs/>
          <w:color w:val="auto"/>
          <w:sz w:val="24"/>
          <w:highlight w:val="none"/>
          <w:lang w:val="en-US" w:eastAsia="zh-CN"/>
        </w:rPr>
        <w:t>）或污染状况调查</w:t>
      </w:r>
      <w:r>
        <w:rPr>
          <w:rFonts w:hint="eastAsia" w:ascii="宋体" w:hAnsi="宋体" w:eastAsia="宋体" w:cs="Times New Roman"/>
          <w:bCs/>
          <w:color w:val="auto"/>
          <w:sz w:val="24"/>
          <w:highlight w:val="none"/>
          <w:lang w:val="zh-CN"/>
        </w:rPr>
        <w:t>合同复印件及甲方出具的合同履约完成证明，</w:t>
      </w:r>
      <w:r>
        <w:rPr>
          <w:rFonts w:hint="eastAsia" w:ascii="宋体" w:hAnsi="宋体" w:eastAsia="宋体" w:cs="Times New Roman"/>
          <w:bCs/>
          <w:color w:val="auto"/>
          <w:sz w:val="24"/>
          <w:highlight w:val="none"/>
        </w:rPr>
        <w:t>需提供</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rPr>
        <w:t>份</w:t>
      </w:r>
      <w:r>
        <w:rPr>
          <w:rFonts w:hint="eastAsia" w:ascii="宋体" w:hAnsi="宋体" w:eastAsia="宋体" w:cs="Times New Roman"/>
          <w:bCs/>
          <w:color w:val="auto"/>
          <w:sz w:val="24"/>
          <w:highlight w:val="none"/>
          <w:lang w:val="zh-CN"/>
        </w:rPr>
        <w:t>（加盖供应商</w:t>
      </w:r>
      <w:r>
        <w:rPr>
          <w:rFonts w:hint="eastAsia" w:ascii="宋体" w:hAnsi="宋体" w:cs="Times New Roman"/>
          <w:bCs/>
          <w:color w:val="auto"/>
          <w:sz w:val="24"/>
          <w:highlight w:val="none"/>
          <w:lang w:val="zh-CN"/>
        </w:rPr>
        <w:t>电子签章</w:t>
      </w:r>
      <w:r>
        <w:rPr>
          <w:rFonts w:hint="eastAsia" w:ascii="宋体" w:hAnsi="宋体" w:eastAsia="宋体" w:cs="Times New Roman"/>
          <w:bCs/>
          <w:color w:val="auto"/>
          <w:sz w:val="24"/>
          <w:highlight w:val="none"/>
          <w:lang w:val="zh-CN"/>
        </w:rPr>
        <w:t>）。</w:t>
      </w:r>
    </w:p>
    <w:p w14:paraId="701F0BE5">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9、</w:t>
      </w:r>
      <w:r>
        <w:rPr>
          <w:rFonts w:hint="eastAsia" w:ascii="宋体" w:hAnsi="宋体" w:eastAsia="宋体" w:cs="Times New Roman"/>
          <w:bCs/>
          <w:color w:val="000000" w:themeColor="text1"/>
          <w:sz w:val="24"/>
          <w:lang w:val="zh-CN"/>
          <w14:textFill>
            <w14:solidFill>
              <w14:schemeClr w14:val="tx1"/>
            </w14:solidFill>
          </w14:textFill>
        </w:rPr>
        <w:t>本次采购接受联合体投标，联合体参与单位不超过2家，联合体需提供《共同投标协议》，明确各方责任分工、责任划定。（并加盖供应商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12925845">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10、</w:t>
      </w:r>
      <w:r>
        <w:rPr>
          <w:rFonts w:hint="eastAsia" w:ascii="宋体" w:hAnsi="宋体" w:eastAsia="宋体" w:cs="Times New Roman"/>
          <w:bCs/>
          <w:color w:val="000000" w:themeColor="text1"/>
          <w:sz w:val="24"/>
          <w:lang w:val="zh-CN"/>
          <w14:textFill>
            <w14:solidFill>
              <w14:schemeClr w14:val="tx1"/>
            </w14:solidFill>
          </w14:textFill>
        </w:rPr>
        <w:t>法律、行政法规规定的其他条件。</w:t>
      </w:r>
    </w:p>
    <w:p w14:paraId="0E819661">
      <w:pPr>
        <w:keepNext w:val="0"/>
        <w:keepLines w:val="0"/>
        <w:pageBreakBefore w:val="0"/>
        <w:widowControl w:val="0"/>
        <w:numPr>
          <w:ilvl w:val="0"/>
          <w:numId w:val="0"/>
        </w:numPr>
        <w:spacing w:line="480" w:lineRule="exact"/>
        <w:ind w:firstLine="480"/>
        <w:jc w:val="both"/>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本项目要求提交的相关资格证明材料，如为复印件、扫描或截图打印件则需加盖供应商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；如提供虚假材料，查实后，取消投标、中标资格。</w:t>
      </w:r>
    </w:p>
    <w:p w14:paraId="74CBF41C">
      <w:pPr>
        <w:keepNext w:val="0"/>
        <w:keepLines w:val="0"/>
        <w:pageBreakBefore w:val="0"/>
        <w:widowControl w:val="0"/>
        <w:spacing w:line="480" w:lineRule="exact"/>
        <w:ind w:firstLine="600"/>
        <w:rPr>
          <w:rFonts w:hint="eastAsia" w:ascii="宋体" w:hAnsi="宋体" w:eastAsia="宋体" w:cs="Times New Roman"/>
          <w:color w:val="000000" w:themeColor="text1"/>
          <w:sz w:val="24"/>
          <w:lang w:val="zh-CN" w:eastAsia="zh-CN"/>
          <w14:textFill>
            <w14:solidFill>
              <w14:schemeClr w14:val="tx1"/>
            </w14:solidFill>
          </w14:textFill>
        </w:rPr>
      </w:pPr>
      <w:bookmarkStart w:id="21" w:name="_Toc35393800"/>
      <w:bookmarkStart w:id="22" w:name="_Toc35393631"/>
      <w:r>
        <w:rPr>
          <w:rFonts w:hint="eastAsia" w:ascii="宋体" w:hAnsi="宋体" w:eastAsia="宋体" w:cs="Times New Roman"/>
          <w:color w:val="000000" w:themeColor="text1"/>
          <w:sz w:val="24"/>
          <w:lang w:val="zh-CN" w:eastAsia="zh-CN"/>
          <w14:textFill>
            <w14:solidFill>
              <w14:schemeClr w14:val="tx1"/>
            </w14:solidFill>
          </w14:textFill>
        </w:rPr>
        <w:t>（四）拒绝下述条件的供应商参加本次采购活动：</w:t>
      </w:r>
    </w:p>
    <w:p w14:paraId="409DBEC6">
      <w:pPr>
        <w:keepNext w:val="0"/>
        <w:keepLines w:val="0"/>
        <w:pageBreakBefore w:val="0"/>
        <w:widowControl w:val="0"/>
        <w:spacing w:line="480" w:lineRule="exact"/>
        <w:ind w:firstLine="600"/>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1</w:t>
      </w:r>
      <w:r>
        <w:rPr>
          <w:rFonts w:hint="eastAsia" w:ascii="宋体" w:hAnsi="宋体" w:eastAsia="宋体" w:cs="Times New Roman"/>
          <w:color w:val="000000" w:themeColor="text1"/>
          <w:sz w:val="24"/>
          <w:lang w:val="en-US" w:eastAsia="zh-CN"/>
          <w14:textFill>
            <w14:solidFill>
              <w14:schemeClr w14:val="tx1"/>
            </w14:solidFill>
          </w14:textFill>
        </w:rPr>
        <w:t>.</w:t>
      </w:r>
      <w:r>
        <w:rPr>
          <w:rFonts w:hint="eastAsia" w:ascii="宋体" w:hAnsi="宋体" w:eastAsia="宋体" w:cs="Times New Roman"/>
          <w:color w:val="000000" w:themeColor="text1"/>
          <w:sz w:val="24"/>
          <w:lang w:val="zh-CN" w:eastAsia="zh-CN"/>
          <w14:textFill>
            <w14:solidFill>
              <w14:schemeClr w14:val="tx1"/>
            </w14:solidFill>
          </w14:textFill>
        </w:rPr>
        <w:t>供应商单位负责人为同一人或者存在直接控股、管理关系的不同供应商，不得同时参加同一合同项下的政府采购活动。</w:t>
      </w:r>
    </w:p>
    <w:p w14:paraId="6F071922">
      <w:pPr>
        <w:keepNext w:val="0"/>
        <w:keepLines w:val="0"/>
        <w:pageBreakBefore w:val="0"/>
        <w:widowControl w:val="0"/>
        <w:spacing w:line="480" w:lineRule="exact"/>
        <w:ind w:firstLine="600"/>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2</w:t>
      </w:r>
      <w:r>
        <w:rPr>
          <w:rFonts w:hint="eastAsia" w:ascii="宋体" w:hAnsi="宋体" w:eastAsia="宋体" w:cs="Times New Roman"/>
          <w:color w:val="000000" w:themeColor="text1"/>
          <w:sz w:val="24"/>
          <w:lang w:val="en-US" w:eastAsia="zh-CN"/>
          <w14:textFill>
            <w14:solidFill>
              <w14:schemeClr w14:val="tx1"/>
            </w14:solidFill>
          </w14:textFill>
        </w:rPr>
        <w:t>.</w:t>
      </w:r>
      <w:r>
        <w:rPr>
          <w:rFonts w:hint="eastAsia" w:ascii="宋体" w:hAnsi="宋体" w:eastAsia="宋体" w:cs="Times New Roman"/>
          <w:color w:val="000000" w:themeColor="text1"/>
          <w:sz w:val="24"/>
          <w:lang w:val="zh-CN" w:eastAsia="zh-CN"/>
          <w14:textFill>
            <w14:solidFill>
              <w14:schemeClr w14:val="tx1"/>
            </w14:solidFill>
          </w14:textFill>
        </w:rPr>
        <w:t>凡为采购项目提供整体设计、规范编制或者项目管理、监理、检测等服务的供应商，不得再参加本项目的采购活动。</w:t>
      </w:r>
    </w:p>
    <w:p w14:paraId="3E9AC409">
      <w:pPr>
        <w:keepNext w:val="0"/>
        <w:keepLines w:val="0"/>
        <w:pageBreakBefore w:val="0"/>
        <w:widowControl w:val="0"/>
        <w:spacing w:line="480" w:lineRule="exact"/>
        <w:ind w:firstLine="600"/>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3</w:t>
      </w:r>
      <w:r>
        <w:rPr>
          <w:rFonts w:hint="eastAsia" w:ascii="宋体" w:hAnsi="宋体" w:eastAsia="宋体" w:cs="Times New Roman"/>
          <w:color w:val="000000" w:themeColor="text1"/>
          <w:sz w:val="24"/>
          <w:lang w:val="en-US" w:eastAsia="zh-CN"/>
          <w14:textFill>
            <w14:solidFill>
              <w14:schemeClr w14:val="tx1"/>
            </w14:solidFill>
          </w14:textFill>
        </w:rPr>
        <w:t>.</w:t>
      </w:r>
      <w:r>
        <w:rPr>
          <w:rFonts w:hint="eastAsia" w:ascii="宋体" w:hAnsi="宋体" w:eastAsia="宋体" w:cs="Times New Roman"/>
          <w:color w:val="000000" w:themeColor="text1"/>
          <w:sz w:val="24"/>
          <w:lang w:val="zh-CN" w:eastAsia="zh-CN"/>
          <w14:textFill>
            <w14:solidFill>
              <w14:schemeClr w14:val="tx1"/>
            </w14:solidFill>
          </w14:textFill>
        </w:rPr>
        <w:t>供应商被“信用中国”网站、“中国政府采购网”列入失信被执行人、重大税收违法案件当事人名单、政府采购严重违法失信行为记录名单。</w:t>
      </w:r>
    </w:p>
    <w:p w14:paraId="1008704F">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三、</w:t>
      </w:r>
      <w:bookmarkEnd w:id="19"/>
      <w:bookmarkEnd w:id="20"/>
      <w:bookmarkEnd w:id="21"/>
      <w:bookmarkEnd w:id="22"/>
      <w:r>
        <w:rPr>
          <w:rFonts w:hint="eastAsia" w:ascii="宋体" w:hAnsi="宋体" w:eastAsia="宋体" w:cs="Times New Roman"/>
          <w:color w:val="000000" w:themeColor="text1"/>
          <w:sz w:val="24"/>
          <w14:textFill>
            <w14:solidFill>
              <w14:schemeClr w14:val="tx1"/>
            </w14:solidFill>
          </w14:textFill>
        </w:rPr>
        <w:t>获取采购文件</w:t>
      </w:r>
    </w:p>
    <w:p w14:paraId="4CCDF7E9">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bookmarkStart w:id="23" w:name="_Toc35393632"/>
      <w:bookmarkStart w:id="24" w:name="_Toc28359015"/>
      <w:bookmarkStart w:id="25" w:name="_Toc35393801"/>
      <w:bookmarkStart w:id="26" w:name="_Toc28359092"/>
      <w:r>
        <w:rPr>
          <w:rFonts w:hint="eastAsia" w:ascii="宋体" w:hAnsi="宋体" w:eastAsia="宋体" w:cs="Times New Roman"/>
          <w:color w:val="000000" w:themeColor="text1"/>
          <w:sz w:val="24"/>
          <w14:textFill>
            <w14:solidFill>
              <w14:schemeClr w14:val="tx1"/>
            </w14:solidFill>
          </w14:textFill>
        </w:rPr>
        <w:t>时间：自谈判文件公告发布之日起3个工作日</w:t>
      </w:r>
    </w:p>
    <w:p w14:paraId="4BD498C5">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地点：http://jszfcg.jsczt.cn/jszc/login</w:t>
      </w:r>
    </w:p>
    <w:p w14:paraId="555BE209">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7C4C34A8">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售价：0.00元</w:t>
      </w:r>
    </w:p>
    <w:p w14:paraId="779887F9">
      <w:pPr>
        <w:keepNext w:val="0"/>
        <w:keepLines w:val="0"/>
        <w:pageBreakBefore w:val="0"/>
        <w:widowControl w:val="0"/>
        <w:spacing w:line="480" w:lineRule="exact"/>
        <w:ind w:firstLine="480"/>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四、</w:t>
      </w:r>
      <w:bookmarkEnd w:id="23"/>
      <w:bookmarkEnd w:id="24"/>
      <w:bookmarkEnd w:id="25"/>
      <w:bookmarkEnd w:id="26"/>
      <w:r>
        <w:rPr>
          <w:rFonts w:hint="eastAsia" w:ascii="宋体" w:hAnsi="宋体" w:eastAsia="宋体" w:cs="Times New Roman"/>
          <w:color w:val="000000" w:themeColor="text1"/>
          <w:sz w:val="24"/>
          <w:highlight w:val="none"/>
          <w14:textFill>
            <w14:solidFill>
              <w14:schemeClr w14:val="tx1"/>
            </w14:solidFill>
          </w14:textFill>
        </w:rPr>
        <w:t>响应文件提交</w:t>
      </w:r>
    </w:p>
    <w:p w14:paraId="329C2861">
      <w:pPr>
        <w:keepNext w:val="0"/>
        <w:keepLines w:val="0"/>
        <w:pageBreakBefore w:val="0"/>
        <w:widowControl w:val="0"/>
        <w:spacing w:line="480" w:lineRule="exact"/>
        <w:ind w:firstLine="480"/>
        <w:rPr>
          <w:rFonts w:hint="eastAsia" w:ascii="宋体" w:hAnsi="宋体" w:eastAsia="宋体" w:cs="Times New Roman"/>
          <w:color w:val="000000" w:themeColor="text1"/>
          <w:sz w:val="24"/>
          <w:highlight w:val="none"/>
          <w14:textFill>
            <w14:solidFill>
              <w14:schemeClr w14:val="tx1"/>
            </w14:solidFill>
          </w14:textFill>
        </w:rPr>
      </w:pPr>
      <w:bookmarkStart w:id="27" w:name="_Toc35393803"/>
      <w:bookmarkStart w:id="28" w:name="_Toc28359017"/>
      <w:bookmarkStart w:id="29" w:name="_Toc28359094"/>
      <w:bookmarkStart w:id="30" w:name="_Toc35393634"/>
      <w:r>
        <w:rPr>
          <w:rFonts w:hint="eastAsia" w:ascii="宋体" w:hAnsi="宋体" w:eastAsia="宋体" w:cs="Times New Roman"/>
          <w:color w:val="000000" w:themeColor="text1"/>
          <w:sz w:val="24"/>
          <w:highlight w:val="none"/>
          <w14:textFill>
            <w14:solidFill>
              <w14:schemeClr w14:val="tx1"/>
            </w14:solidFill>
          </w14:textFill>
        </w:rPr>
        <w:t>截止时间：</w:t>
      </w:r>
      <w:r>
        <w:rPr>
          <w:rFonts w:hint="eastAsia" w:ascii="宋体" w:hAnsi="宋体" w:cs="Times New Roman"/>
          <w:color w:val="000000" w:themeColor="text1"/>
          <w:sz w:val="24"/>
          <w:highlight w:val="none"/>
          <w:lang w:eastAsia="zh-CN"/>
          <w14:textFill>
            <w14:solidFill>
              <w14:schemeClr w14:val="tx1"/>
            </w14:solidFill>
          </w14:textFill>
        </w:rPr>
        <w:t>2026-1</w:t>
      </w:r>
      <w:r>
        <w:rPr>
          <w:rFonts w:hint="eastAsia" w:ascii="宋体" w:hAnsi="宋体" w:cs="Times New Roman"/>
          <w:color w:val="000000" w:themeColor="text1"/>
          <w:sz w:val="24"/>
          <w:highlight w:val="none"/>
          <w:lang w:val="en-US" w:eastAsia="zh-CN"/>
          <w14:textFill>
            <w14:solidFill>
              <w14:schemeClr w14:val="tx1"/>
            </w14:solidFill>
          </w14:textFill>
        </w:rPr>
        <w:t>1</w:t>
      </w:r>
      <w:r>
        <w:rPr>
          <w:rFonts w:hint="eastAsia" w:ascii="宋体" w:hAnsi="宋体" w:cs="Times New Roman"/>
          <w:color w:val="000000" w:themeColor="text1"/>
          <w:sz w:val="24"/>
          <w:highlight w:val="none"/>
          <w:lang w:eastAsia="zh-CN"/>
          <w14:textFill>
            <w14:solidFill>
              <w14:schemeClr w14:val="tx1"/>
            </w14:solidFill>
          </w14:textFill>
        </w:rPr>
        <w:t>-0</w:t>
      </w:r>
      <w:r>
        <w:rPr>
          <w:rFonts w:hint="eastAsia" w:ascii="宋体" w:hAnsi="宋体" w:cs="Times New Roman"/>
          <w:color w:val="000000" w:themeColor="text1"/>
          <w:sz w:val="24"/>
          <w:highlight w:val="none"/>
          <w:lang w:val="en-US" w:eastAsia="zh-CN"/>
          <w14:textFill>
            <w14:solidFill>
              <w14:schemeClr w14:val="tx1"/>
            </w14:solidFill>
          </w14:textFill>
        </w:rPr>
        <w:t>3</w:t>
      </w:r>
      <w:r>
        <w:rPr>
          <w:rFonts w:hint="eastAsia" w:ascii="宋体" w:hAnsi="宋体" w:cs="Times New Roman"/>
          <w:color w:val="000000" w:themeColor="text1"/>
          <w:sz w:val="24"/>
          <w:highlight w:val="none"/>
          <w:lang w:eastAsia="zh-CN"/>
          <w14:textFill>
            <w14:solidFill>
              <w14:schemeClr w14:val="tx1"/>
            </w14:solidFill>
          </w14:textFill>
        </w:rPr>
        <w:t xml:space="preserve"> 09:00</w:t>
      </w:r>
      <w:r>
        <w:rPr>
          <w:rFonts w:hint="eastAsia" w:ascii="宋体" w:hAnsi="宋体" w:eastAsia="宋体" w:cs="Times New Roman"/>
          <w:color w:val="000000" w:themeColor="text1"/>
          <w:sz w:val="24"/>
          <w:highlight w:val="none"/>
          <w14:textFill>
            <w14:solidFill>
              <w14:schemeClr w14:val="tx1"/>
            </w14:solidFill>
          </w14:textFill>
        </w:rPr>
        <w:t>（北京时间）</w:t>
      </w:r>
    </w:p>
    <w:p w14:paraId="6365E25D">
      <w:pPr>
        <w:keepNext w:val="0"/>
        <w:keepLines w:val="0"/>
        <w:pageBreakBefore w:val="0"/>
        <w:widowControl w:val="0"/>
        <w:spacing w:line="480" w:lineRule="exact"/>
        <w:ind w:firstLine="480"/>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地点：本项目采用网上“不见面”开标方式，谈判供应商无需到达现场，仅需在响应文件提交截止时间前登录苏采云政府采购一体化平台（网址：http://jszfcg.jsczt.cn/jszc/login）递交响应文件。</w:t>
      </w:r>
    </w:p>
    <w:p w14:paraId="0475979C">
      <w:pPr>
        <w:keepNext w:val="0"/>
        <w:keepLines w:val="0"/>
        <w:pageBreakBefore w:val="0"/>
        <w:widowControl w:val="0"/>
        <w:numPr>
          <w:ilvl w:val="0"/>
          <w:numId w:val="5"/>
        </w:numPr>
        <w:spacing w:line="480" w:lineRule="exact"/>
        <w:ind w:firstLine="480"/>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开启</w:t>
      </w:r>
    </w:p>
    <w:p w14:paraId="1A5C21B3">
      <w:pPr>
        <w:keepNext w:val="0"/>
        <w:keepLines w:val="0"/>
        <w:pageBreakBefore w:val="0"/>
        <w:widowControl w:val="0"/>
        <w:numPr>
          <w:ilvl w:val="0"/>
          <w:numId w:val="0"/>
        </w:numPr>
        <w:spacing w:line="480" w:lineRule="exact"/>
        <w:rPr>
          <w:rFonts w:hint="eastAsia" w:ascii="宋体" w:hAnsi="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     时间：2026-11-03 09:00（北京时间）</w:t>
      </w:r>
    </w:p>
    <w:p w14:paraId="6D180216">
      <w:pPr>
        <w:keepNext w:val="0"/>
        <w:keepLines w:val="0"/>
        <w:pageBreakBefore w:val="0"/>
        <w:widowControl w:val="0"/>
        <w:numPr>
          <w:ilvl w:val="0"/>
          <w:numId w:val="0"/>
        </w:numPr>
        <w:spacing w:line="480" w:lineRule="exact"/>
        <w:ind w:firstLine="480" w:firstLineChars="200"/>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地点：涟水县政务中心东三楼不见面开标二室</w:t>
      </w:r>
    </w:p>
    <w:p w14:paraId="5408C959">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六</w:t>
      </w:r>
      <w:r>
        <w:rPr>
          <w:rFonts w:hint="eastAsia" w:ascii="宋体" w:hAnsi="宋体" w:eastAsia="宋体" w:cs="Times New Roman"/>
          <w:color w:val="000000" w:themeColor="text1"/>
          <w:sz w:val="24"/>
          <w14:textFill>
            <w14:solidFill>
              <w14:schemeClr w14:val="tx1"/>
            </w14:solidFill>
          </w14:textFill>
        </w:rPr>
        <w:t>、公告期限</w:t>
      </w:r>
      <w:bookmarkEnd w:id="27"/>
      <w:bookmarkEnd w:id="28"/>
      <w:bookmarkEnd w:id="29"/>
      <w:bookmarkEnd w:id="30"/>
    </w:p>
    <w:p w14:paraId="657D81C5">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自本公告发布之日起</w:t>
      </w:r>
      <w:r>
        <w:rPr>
          <w:rFonts w:hint="eastAsia" w:ascii="宋体" w:hAnsi="宋体" w:eastAsia="宋体" w:cs="Times New Roman"/>
          <w:color w:val="000000" w:themeColor="text1"/>
          <w:sz w:val="24"/>
          <w:lang w:val="en-US" w:eastAsia="zh-CN"/>
          <w14:textFill>
            <w14:solidFill>
              <w14:schemeClr w14:val="tx1"/>
            </w14:solidFill>
          </w14:textFill>
        </w:rPr>
        <w:t>3</w:t>
      </w:r>
      <w:r>
        <w:rPr>
          <w:rFonts w:hint="eastAsia" w:ascii="宋体" w:hAnsi="宋体" w:eastAsia="宋体" w:cs="Times New Roman"/>
          <w:color w:val="000000" w:themeColor="text1"/>
          <w:sz w:val="24"/>
          <w14:textFill>
            <w14:solidFill>
              <w14:schemeClr w14:val="tx1"/>
            </w14:solidFill>
          </w14:textFill>
        </w:rPr>
        <w:t>个工作日。</w:t>
      </w:r>
    </w:p>
    <w:p w14:paraId="4174F2EE">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bookmarkStart w:id="31" w:name="_Toc35393804"/>
      <w:bookmarkStart w:id="32" w:name="_Toc35393635"/>
      <w:r>
        <w:rPr>
          <w:rFonts w:hint="eastAsia" w:ascii="宋体" w:hAnsi="宋体" w:eastAsia="宋体" w:cs="Times New Roman"/>
          <w:color w:val="000000" w:themeColor="text1"/>
          <w:sz w:val="24"/>
          <w:lang w:val="en-US" w:eastAsia="zh-CN"/>
          <w14:textFill>
            <w14:solidFill>
              <w14:schemeClr w14:val="tx1"/>
            </w14:solidFill>
          </w14:textFill>
        </w:rPr>
        <w:t>七</w:t>
      </w:r>
      <w:r>
        <w:rPr>
          <w:rFonts w:hint="eastAsia" w:ascii="宋体" w:hAnsi="宋体" w:eastAsia="宋体" w:cs="Times New Roman"/>
          <w:color w:val="000000" w:themeColor="text1"/>
          <w:sz w:val="24"/>
          <w14:textFill>
            <w14:solidFill>
              <w14:schemeClr w14:val="tx1"/>
            </w14:solidFill>
          </w14:textFill>
        </w:rPr>
        <w:t>、其他补充事宜</w:t>
      </w:r>
      <w:bookmarkEnd w:id="31"/>
      <w:bookmarkEnd w:id="32"/>
    </w:p>
    <w:p w14:paraId="46B80375">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bookmarkStart w:id="33" w:name="_Toc28359018"/>
      <w:bookmarkStart w:id="34" w:name="_Toc35393636"/>
      <w:bookmarkStart w:id="35" w:name="_Toc28359095"/>
      <w:bookmarkStart w:id="36" w:name="_Toc35393805"/>
      <w:r>
        <w:rPr>
          <w:rFonts w:hint="eastAsia" w:ascii="宋体" w:hAnsi="宋体" w:eastAsia="宋体" w:cs="Times New Roman"/>
          <w:color w:val="000000" w:themeColor="text1"/>
          <w:sz w:val="24"/>
          <w14:textFill>
            <w14:solidFill>
              <w14:schemeClr w14:val="tx1"/>
            </w14:solidFill>
          </w14:textFill>
        </w:rPr>
        <w:t>1.本项目仅采购非进口产品（注：本文件所称进口产品是指通过中国海关报关验放进入中国境内且产自关境外的产品）。</w:t>
      </w:r>
    </w:p>
    <w:p w14:paraId="5D6EF900">
      <w:pPr>
        <w:keepNext w:val="0"/>
        <w:keepLines w:val="0"/>
        <w:pageBreakBefore w:val="0"/>
        <w:widowControl w:val="0"/>
        <w:spacing w:line="480" w:lineRule="exact"/>
        <w:ind w:firstLine="48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2.有关本次谈判活动的事项若存在变动或修改，敬请及时关注“江苏政府采购网”或者“淮安市政府采购网”发布的更正公告。</w:t>
      </w:r>
    </w:p>
    <w:p w14:paraId="086DE4F8">
      <w:pPr>
        <w:keepNext w:val="0"/>
        <w:keepLines w:val="0"/>
        <w:pageBreakBefore w:val="0"/>
        <w:widowControl w:val="0"/>
        <w:spacing w:line="480" w:lineRule="exact"/>
        <w:ind w:firstLine="48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八</w:t>
      </w:r>
      <w:r>
        <w:rPr>
          <w:rFonts w:hint="eastAsia" w:ascii="宋体" w:hAnsi="宋体" w:eastAsia="宋体" w:cs="Times New Roman"/>
          <w:color w:val="000000" w:themeColor="text1"/>
          <w:sz w:val="24"/>
          <w14:textFill>
            <w14:solidFill>
              <w14:schemeClr w14:val="tx1"/>
            </w14:solidFill>
          </w14:textFill>
        </w:rPr>
        <w:t>、凡对本次采购提出询问，请按</w:t>
      </w:r>
      <w:r>
        <w:rPr>
          <w:rFonts w:ascii="宋体" w:hAnsi="宋体" w:eastAsia="宋体" w:cs="Times New Roman"/>
          <w:color w:val="000000" w:themeColor="text1"/>
          <w:sz w:val="24"/>
          <w14:textFill>
            <w14:solidFill>
              <w14:schemeClr w14:val="tx1"/>
            </w14:solidFill>
          </w14:textFill>
        </w:rPr>
        <w:t>以下方式</w:t>
      </w:r>
      <w:r>
        <w:rPr>
          <w:rFonts w:hint="eastAsia" w:ascii="宋体" w:hAnsi="宋体" w:eastAsia="宋体" w:cs="Times New Roman"/>
          <w:color w:val="000000" w:themeColor="text1"/>
          <w:sz w:val="24"/>
          <w14:textFill>
            <w14:solidFill>
              <w14:schemeClr w14:val="tx1"/>
            </w14:solidFill>
          </w14:textFill>
        </w:rPr>
        <w:t>联系</w:t>
      </w:r>
      <w:bookmarkEnd w:id="33"/>
      <w:bookmarkEnd w:id="34"/>
      <w:bookmarkEnd w:id="35"/>
      <w:bookmarkEnd w:id="36"/>
    </w:p>
    <w:p w14:paraId="6426CC31">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1.采购人信息</w:t>
      </w:r>
    </w:p>
    <w:p w14:paraId="071F7A6E">
      <w:pPr>
        <w:keepNext w:val="0"/>
        <w:keepLines w:val="0"/>
        <w:pageBreakBefore w:val="0"/>
        <w:widowControl w:val="0"/>
        <w:spacing w:line="480" w:lineRule="exact"/>
        <w:ind w:firstLine="480"/>
        <w:rPr>
          <w:rFonts w:hint="eastAsia" w:ascii="宋体" w:hAnsi="宋体" w:eastAsia="宋体" w:cs="Times New Roman"/>
          <w:color w:val="000000" w:themeColor="text1"/>
          <w:sz w:val="24"/>
          <w:lang w:eastAsia="zh-CN"/>
          <w14:textFill>
            <w14:solidFill>
              <w14:schemeClr w14:val="tx1"/>
            </w14:solidFill>
          </w14:textFill>
        </w:rPr>
      </w:pPr>
      <w:bookmarkStart w:id="37" w:name="_Toc28359020"/>
      <w:bookmarkStart w:id="38" w:name="_Toc35393638"/>
      <w:bookmarkStart w:id="39" w:name="_Toc28359097"/>
      <w:bookmarkStart w:id="40" w:name="_Toc35393807"/>
      <w:r>
        <w:rPr>
          <w:rFonts w:hint="eastAsia" w:ascii="宋体" w:hAnsi="宋体" w:eastAsia="宋体" w:cs="Times New Roman"/>
          <w:color w:val="000000" w:themeColor="text1"/>
          <w:sz w:val="24"/>
          <w14:textFill>
            <w14:solidFill>
              <w14:schemeClr w14:val="tx1"/>
            </w14:solidFill>
          </w14:textFill>
        </w:rPr>
        <w:t>名    称：</w:t>
      </w:r>
      <w:r>
        <w:rPr>
          <w:rFonts w:hint="eastAsia" w:ascii="宋体" w:hAnsi="宋体" w:cs="Times New Roman"/>
          <w:color w:val="000000" w:themeColor="text1"/>
          <w:sz w:val="24"/>
          <w:lang w:eastAsia="zh-CN"/>
          <w14:textFill>
            <w14:solidFill>
              <w14:schemeClr w14:val="tx1"/>
            </w14:solidFill>
          </w14:textFill>
        </w:rPr>
        <w:t>涟水县农业技术综合服务中心</w:t>
      </w:r>
    </w:p>
    <w:p w14:paraId="68B89D94">
      <w:pPr>
        <w:keepNext w:val="0"/>
        <w:keepLines w:val="0"/>
        <w:pageBreakBefore w:val="0"/>
        <w:widowControl w:val="0"/>
        <w:spacing w:line="480" w:lineRule="exact"/>
        <w:ind w:firstLine="480"/>
        <w:rPr>
          <w:rFonts w:hint="eastAsia" w:ascii="宋体" w:hAnsi="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地    址：</w:t>
      </w:r>
      <w:r>
        <w:rPr>
          <w:rFonts w:hint="eastAsia" w:ascii="宋体" w:hAnsi="宋体" w:cs="Times New Roman"/>
          <w:color w:val="000000" w:themeColor="text1"/>
          <w:sz w:val="24"/>
          <w:lang w:val="en-US" w:eastAsia="zh-CN"/>
          <w14:textFill>
            <w14:solidFill>
              <w14:schemeClr w14:val="tx1"/>
            </w14:solidFill>
          </w14:textFill>
        </w:rPr>
        <w:t>涟水县常青东路2号</w:t>
      </w:r>
    </w:p>
    <w:p w14:paraId="76913020">
      <w:pPr>
        <w:keepNext w:val="0"/>
        <w:keepLines w:val="0"/>
        <w:pageBreakBefore w:val="0"/>
        <w:widowControl w:val="0"/>
        <w:spacing w:line="480" w:lineRule="exact"/>
        <w:ind w:firstLine="480"/>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联系方式：</w:t>
      </w:r>
      <w:r>
        <w:rPr>
          <w:rFonts w:hint="eastAsia" w:ascii="宋体" w:hAnsi="宋体" w:cs="Times New Roman"/>
          <w:color w:val="000000" w:themeColor="text1"/>
          <w:sz w:val="24"/>
          <w:lang w:val="en-US" w:eastAsia="zh-CN"/>
          <w14:textFill>
            <w14:solidFill>
              <w14:schemeClr w14:val="tx1"/>
            </w14:solidFill>
          </w14:textFill>
        </w:rPr>
        <w:t>冯女士</w:t>
      </w:r>
      <w:r>
        <w:rPr>
          <w:rFonts w:hint="eastAsia"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en-US" w:eastAsia="zh-CN"/>
          <w14:textFill>
            <w14:solidFill>
              <w14:schemeClr w14:val="tx1"/>
            </w14:solidFill>
          </w14:textFill>
        </w:rPr>
        <w:t xml:space="preserve">  电话：13852261498</w:t>
      </w:r>
    </w:p>
    <w:p w14:paraId="17A56408">
      <w:pPr>
        <w:keepNext w:val="0"/>
        <w:keepLines w:val="0"/>
        <w:pageBreakBefore w:val="0"/>
        <w:widowControl w:val="0"/>
        <w:spacing w:line="480" w:lineRule="exact"/>
        <w:ind w:firstLine="480"/>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2.采购代理机构信息</w:t>
      </w:r>
      <w:bookmarkEnd w:id="37"/>
      <w:bookmarkEnd w:id="38"/>
      <w:bookmarkEnd w:id="39"/>
      <w:bookmarkEnd w:id="40"/>
    </w:p>
    <w:p w14:paraId="467DA567">
      <w:pPr>
        <w:keepNext w:val="0"/>
        <w:keepLines w:val="0"/>
        <w:pageBreakBefore w:val="0"/>
        <w:widowControl w:val="0"/>
        <w:spacing w:line="480" w:lineRule="exact"/>
        <w:ind w:firstLine="480"/>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名称：</w:t>
      </w:r>
      <w:r>
        <w:rPr>
          <w:rFonts w:hint="eastAsia" w:ascii="宋体" w:hAnsi="宋体" w:cs="Times New Roman"/>
          <w:color w:val="000000" w:themeColor="text1"/>
          <w:sz w:val="24"/>
          <w:lang w:val="en-US" w:eastAsia="zh-CN"/>
          <w14:textFill>
            <w14:solidFill>
              <w14:schemeClr w14:val="tx1"/>
            </w14:solidFill>
          </w14:textFill>
        </w:rPr>
        <w:t>江苏宇杭项目管理有限公司</w:t>
      </w:r>
      <w:r>
        <w:rPr>
          <w:rFonts w:hint="eastAsia" w:ascii="宋体" w:hAnsi="宋体" w:eastAsia="宋体" w:cs="Times New Roman"/>
          <w:color w:val="000000" w:themeColor="text1"/>
          <w:sz w:val="24"/>
          <w:lang w:val="en-US" w:eastAsia="zh-CN"/>
          <w14:textFill>
            <w14:solidFill>
              <w14:schemeClr w14:val="tx1"/>
            </w14:solidFill>
          </w14:textFill>
        </w:rPr>
        <w:t xml:space="preserve"> </w:t>
      </w:r>
    </w:p>
    <w:p w14:paraId="705979D3">
      <w:pPr>
        <w:keepNext w:val="0"/>
        <w:keepLines w:val="0"/>
        <w:pageBreakBefore w:val="0"/>
        <w:widowControl w:val="0"/>
        <w:spacing w:line="480" w:lineRule="exact"/>
        <w:ind w:firstLine="480"/>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地址：</w:t>
      </w:r>
      <w:r>
        <w:rPr>
          <w:rFonts w:hint="eastAsia" w:ascii="宋体" w:hAnsi="宋体" w:cs="Times New Roman"/>
          <w:color w:val="000000" w:themeColor="text1"/>
          <w:sz w:val="24"/>
          <w:lang w:val="en-US" w:eastAsia="zh-CN"/>
          <w14:textFill>
            <w14:solidFill>
              <w14:schemeClr w14:val="tx1"/>
            </w14:solidFill>
          </w14:textFill>
        </w:rPr>
        <w:t>淮安市淮阴区荣鑫花苑3-7号</w:t>
      </w:r>
    </w:p>
    <w:p w14:paraId="6A328132">
      <w:pPr>
        <w:keepNext w:val="0"/>
        <w:keepLines w:val="0"/>
        <w:pageBreakBefore w:val="0"/>
        <w:widowControl w:val="0"/>
        <w:spacing w:line="480" w:lineRule="exact"/>
        <w:ind w:firstLine="480"/>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联系方式</w:t>
      </w:r>
      <w:r>
        <w:rPr>
          <w:rFonts w:hint="eastAsia" w:ascii="宋体" w:hAnsi="宋体" w:cs="Times New Roman"/>
          <w:color w:val="000000" w:themeColor="text1"/>
          <w:sz w:val="24"/>
          <w:lang w:val="en-US" w:eastAsia="zh-CN"/>
          <w14:textFill>
            <w14:solidFill>
              <w14:schemeClr w14:val="tx1"/>
            </w14:solidFill>
          </w14:textFill>
        </w:rPr>
        <w:t>：韩先生</w:t>
      </w:r>
      <w:r>
        <w:rPr>
          <w:rFonts w:hint="eastAsia" w:ascii="宋体" w:hAnsi="宋体" w:eastAsia="宋体" w:cs="Times New Roman"/>
          <w:color w:val="000000" w:themeColor="text1"/>
          <w:sz w:val="24"/>
          <w:lang w:val="en-US" w:eastAsia="zh-CN"/>
          <w14:textFill>
            <w14:solidFill>
              <w14:schemeClr w14:val="tx1"/>
            </w14:solidFill>
          </w14:textFill>
        </w:rPr>
        <w:t xml:space="preserve">      电话：</w:t>
      </w:r>
      <w:r>
        <w:rPr>
          <w:rFonts w:hint="eastAsia" w:ascii="宋体" w:hAnsi="宋体" w:cs="Times New Roman"/>
          <w:color w:val="000000" w:themeColor="text1"/>
          <w:sz w:val="24"/>
          <w:lang w:val="en-US" w:eastAsia="zh-CN"/>
          <w14:textFill>
            <w14:solidFill>
              <w14:schemeClr w14:val="tx1"/>
            </w14:solidFill>
          </w14:textFill>
        </w:rPr>
        <w:t>15161748552</w:t>
      </w:r>
    </w:p>
    <w:p w14:paraId="318821A0">
      <w:pPr>
        <w:pStyle w:val="192"/>
        <w:spacing w:before="0" w:after="0" w:line="300" w:lineRule="auto"/>
        <w:ind w:firstLine="3373"/>
        <w:rPr>
          <w:rFonts w:hint="eastAsia" w:ascii="宋体" w:hAnsi="宋体" w:eastAsia="宋体"/>
          <w:bCs/>
          <w:sz w:val="28"/>
          <w:szCs w:val="28"/>
        </w:rPr>
      </w:pPr>
      <w:bookmarkStart w:id="41" w:name="_Toc455472179"/>
      <w:r>
        <w:rPr>
          <w:rFonts w:ascii="宋体" w:hAnsi="宋体" w:eastAsia="宋体"/>
          <w:bCs/>
          <w:sz w:val="28"/>
          <w:szCs w:val="28"/>
        </w:rPr>
        <w:br w:type="page" w:clear="all"/>
      </w:r>
      <w:bookmarkStart w:id="42" w:name="_Toc148347150"/>
      <w:r>
        <w:rPr>
          <w:rFonts w:hint="eastAsia" w:ascii="宋体" w:hAnsi="宋体" w:eastAsia="宋体"/>
          <w:bCs/>
          <w:sz w:val="28"/>
          <w:szCs w:val="28"/>
        </w:rPr>
        <w:t>第二部分  供应商须知</w:t>
      </w:r>
      <w:bookmarkEnd w:id="41"/>
      <w:bookmarkEnd w:id="42"/>
    </w:p>
    <w:p w14:paraId="2B73C24B">
      <w:pPr>
        <w:spacing w:line="520" w:lineRule="exact"/>
        <w:ind w:firstLine="525"/>
        <w:rPr>
          <w:rFonts w:hint="eastAsia" w:ascii="宋体" w:hAnsi="宋体"/>
          <w:sz w:val="24"/>
        </w:rPr>
      </w:pPr>
      <w:r>
        <w:rPr>
          <w:rFonts w:hint="eastAsia" w:ascii="宋体" w:hAnsi="宋体"/>
          <w:sz w:val="24"/>
        </w:rPr>
        <w:t>友情提醒</w:t>
      </w:r>
      <w:r>
        <w:rPr>
          <w:rFonts w:hint="eastAsia" w:ascii="宋体" w:hAnsi="宋体"/>
          <w:sz w:val="24"/>
          <w:lang w:eastAsia="zh-CN"/>
        </w:rPr>
        <w:t>：</w:t>
      </w:r>
      <w:r>
        <w:rPr>
          <w:rFonts w:hint="eastAsia" w:ascii="宋体" w:hAnsi="宋体"/>
          <w:sz w:val="24"/>
        </w:rPr>
        <w:t>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p>
    <w:p w14:paraId="11116A52">
      <w:pPr>
        <w:spacing w:line="520" w:lineRule="exact"/>
        <w:jc w:val="left"/>
        <w:rPr>
          <w:rFonts w:hint="eastAsia" w:ascii="宋体" w:hAnsi="宋体"/>
          <w:b/>
          <w:bCs/>
          <w:sz w:val="24"/>
        </w:rPr>
      </w:pPr>
      <w:r>
        <w:rPr>
          <w:rFonts w:hint="eastAsia" w:ascii="宋体" w:hAnsi="宋体"/>
          <w:b/>
          <w:bCs/>
          <w:sz w:val="24"/>
        </w:rPr>
        <w:t>一、总  则</w:t>
      </w:r>
    </w:p>
    <w:p w14:paraId="0243EDB8">
      <w:pPr>
        <w:spacing w:line="520" w:lineRule="exact"/>
        <w:ind w:firstLine="480"/>
        <w:rPr>
          <w:rFonts w:hint="eastAsia" w:ascii="宋体" w:hAnsi="宋体"/>
          <w:sz w:val="24"/>
        </w:rPr>
      </w:pPr>
      <w:r>
        <w:rPr>
          <w:rFonts w:hint="eastAsia" w:ascii="宋体" w:hAnsi="宋体"/>
          <w:sz w:val="24"/>
        </w:rPr>
        <w:t>1.适用范围</w:t>
      </w:r>
    </w:p>
    <w:p w14:paraId="5BAF78B1">
      <w:pPr>
        <w:spacing w:line="520" w:lineRule="exact"/>
        <w:ind w:firstLine="480"/>
        <w:rPr>
          <w:rFonts w:hint="eastAsia" w:ascii="宋体" w:hAnsi="宋体"/>
          <w:sz w:val="24"/>
        </w:rPr>
      </w:pPr>
      <w:r>
        <w:rPr>
          <w:rFonts w:hint="eastAsia" w:ascii="宋体" w:hAnsi="宋体"/>
          <w:sz w:val="24"/>
        </w:rPr>
        <w:t>本谈判文件仅适用于本次谈判邀请中所述项目的采购。</w:t>
      </w:r>
    </w:p>
    <w:p w14:paraId="2D577970">
      <w:pPr>
        <w:spacing w:line="520" w:lineRule="exact"/>
        <w:ind w:firstLine="480"/>
        <w:rPr>
          <w:rFonts w:hint="eastAsia" w:ascii="宋体" w:hAnsi="宋体"/>
          <w:bCs/>
          <w:sz w:val="24"/>
        </w:rPr>
      </w:pPr>
      <w:r>
        <w:rPr>
          <w:rFonts w:hint="eastAsia" w:ascii="宋体" w:hAnsi="宋体"/>
          <w:bCs/>
          <w:sz w:val="24"/>
        </w:rPr>
        <w:t>2.合格的谈判供应商</w:t>
      </w:r>
    </w:p>
    <w:p w14:paraId="4E2B5EDE">
      <w:pPr>
        <w:spacing w:line="520" w:lineRule="exact"/>
        <w:ind w:left="-359" w:firstLine="784"/>
        <w:rPr>
          <w:rFonts w:hint="eastAsia" w:ascii="宋体" w:hAnsi="宋体"/>
          <w:sz w:val="24"/>
        </w:rPr>
      </w:pPr>
      <w:r>
        <w:rPr>
          <w:rFonts w:hint="eastAsia" w:ascii="宋体" w:hAnsi="宋体"/>
          <w:sz w:val="24"/>
        </w:rPr>
        <w:t xml:space="preserve">2.1谈判供应商必须符合第一部分谈判邀请中谈判供应商资质要求； </w:t>
      </w:r>
    </w:p>
    <w:p w14:paraId="42DB54C8">
      <w:pPr>
        <w:spacing w:line="520" w:lineRule="exact"/>
        <w:ind w:firstLine="488"/>
        <w:rPr>
          <w:rFonts w:hint="eastAsia" w:ascii="宋体" w:hAnsi="宋体"/>
          <w:sz w:val="24"/>
        </w:rPr>
      </w:pPr>
      <w:r>
        <w:rPr>
          <w:rFonts w:hint="eastAsia" w:ascii="宋体" w:hAnsi="宋体" w:cs="Arial"/>
          <w:spacing w:val="6"/>
          <w:sz w:val="24"/>
        </w:rPr>
        <w:t>2.2</w:t>
      </w:r>
      <w:r>
        <w:rPr>
          <w:rFonts w:hint="eastAsia" w:ascii="宋体" w:hAnsi="宋体"/>
          <w:sz w:val="24"/>
        </w:rPr>
        <w:t>凡有能力按照谈判文件规定的要求交付货物、工程和服务的谈判供应商均为合格的谈判供应商。</w:t>
      </w:r>
    </w:p>
    <w:p w14:paraId="5C4875B5">
      <w:pPr>
        <w:spacing w:line="520" w:lineRule="exact"/>
        <w:ind w:firstLine="480"/>
        <w:rPr>
          <w:rFonts w:hint="eastAsia" w:ascii="宋体" w:hAnsi="宋体"/>
          <w:sz w:val="24"/>
        </w:rPr>
      </w:pPr>
      <w:r>
        <w:rPr>
          <w:rFonts w:hint="eastAsia" w:ascii="宋体" w:hAnsi="宋体"/>
          <w:sz w:val="24"/>
        </w:rPr>
        <w:t>3.谈判费用</w:t>
      </w:r>
    </w:p>
    <w:p w14:paraId="33A1A034">
      <w:pPr>
        <w:spacing w:line="520" w:lineRule="exact"/>
        <w:ind w:firstLine="480"/>
        <w:rPr>
          <w:rFonts w:hint="eastAsia" w:ascii="宋体" w:hAnsi="宋体"/>
          <w:sz w:val="24"/>
        </w:rPr>
      </w:pPr>
      <w:r>
        <w:rPr>
          <w:rFonts w:hint="eastAsia" w:ascii="宋体" w:hAnsi="宋体"/>
          <w:sz w:val="24"/>
        </w:rPr>
        <w:t>3.1谈判供应商应自行承担所有与参加谈判有关的费用。不论谈判的结果如何，采购人或代理机构在任何情况下均无义务和责任承担这些费用。</w:t>
      </w:r>
    </w:p>
    <w:p w14:paraId="05780F74">
      <w:pPr>
        <w:keepNext w:val="0"/>
        <w:keepLines w:val="0"/>
        <w:pageBreakBefore w:val="0"/>
        <w:widowControl w:val="0"/>
        <w:spacing w:line="500" w:lineRule="exact"/>
        <w:ind w:left="0" w:right="0" w:firstLine="482"/>
        <w:rPr>
          <w:rFonts w:hint="eastAsia" w:ascii="宋体" w:hAnsi="宋体"/>
          <w:sz w:val="24"/>
          <w:lang w:eastAsia="zh-CN"/>
        </w:rPr>
      </w:pPr>
      <w:r>
        <w:rPr>
          <w:rFonts w:hint="eastAsia" w:ascii="宋体" w:hAnsi="宋体"/>
          <w:sz w:val="24"/>
        </w:rPr>
        <w:t>3.2</w:t>
      </w:r>
      <w:r>
        <w:rPr>
          <w:rFonts w:hint="eastAsia" w:ascii="宋体" w:hAnsi="宋体"/>
          <w:sz w:val="24"/>
          <w:lang w:eastAsia="zh-CN"/>
        </w:rPr>
        <w:t>本次采购项目由采购人委托江苏</w:t>
      </w:r>
      <w:r>
        <w:rPr>
          <w:rFonts w:hint="eastAsia" w:ascii="宋体" w:hAnsi="宋体"/>
          <w:sz w:val="24"/>
          <w:lang w:val="en-US" w:eastAsia="zh-CN"/>
        </w:rPr>
        <w:t>宇杭</w:t>
      </w:r>
      <w:r>
        <w:rPr>
          <w:rFonts w:hint="eastAsia" w:ascii="宋体" w:hAnsi="宋体"/>
          <w:sz w:val="24"/>
          <w:lang w:eastAsia="zh-CN"/>
        </w:rPr>
        <w:t>项目管理有限公司代理，经双方约定由成交人支付本项目代理费用，收费标准按苏政采协[2024]20号文件收费标准收取贰万</w:t>
      </w:r>
      <w:r>
        <w:rPr>
          <w:rFonts w:hint="eastAsia" w:ascii="宋体" w:hAnsi="宋体"/>
          <w:sz w:val="24"/>
          <w:lang w:val="en-US" w:eastAsia="zh-CN"/>
        </w:rPr>
        <w:t>肆</w:t>
      </w:r>
      <w:r>
        <w:rPr>
          <w:rFonts w:hint="eastAsia" w:ascii="宋体" w:hAnsi="宋体"/>
          <w:sz w:val="24"/>
          <w:lang w:eastAsia="zh-CN"/>
        </w:rPr>
        <w:t>仟元整，谈判供应商报价时予以考虑。成交人必须在成交通知书发出前向代理机构缴纳以上费用，此费用须包含在谈判供应商报价中，但无须单独列项计取。</w:t>
      </w:r>
    </w:p>
    <w:p w14:paraId="6C329885">
      <w:pPr>
        <w:keepNext w:val="0"/>
        <w:keepLines w:val="0"/>
        <w:pageBreakBefore w:val="0"/>
        <w:widowControl w:val="0"/>
        <w:spacing w:line="500" w:lineRule="exact"/>
        <w:ind w:left="0" w:right="0" w:firstLine="482"/>
        <w:rPr>
          <w:rFonts w:hint="default" w:ascii="宋体" w:hAnsi="宋体"/>
          <w:sz w:val="24"/>
          <w:lang w:val="en-US" w:eastAsia="zh-CN"/>
        </w:rPr>
      </w:pPr>
      <w:r>
        <w:rPr>
          <w:rFonts w:hint="eastAsia" w:ascii="宋体" w:hAnsi="宋体"/>
          <w:sz w:val="24"/>
          <w:lang w:val="en-US" w:eastAsia="zh-CN"/>
        </w:rPr>
        <w:t>3.3本项目成交人在成交公告发布后，须向代理机构提供与电子响应文件内容一致的纸质版响应文件叁份（正本壹份、副本贰份）。采用邮寄或书面方式递交至江苏宇杭项目管理有限公司（地址：淮安市淮阴区荣鑫花苑3-7号，联系电话：15161748552）。</w:t>
      </w:r>
    </w:p>
    <w:p w14:paraId="4D102B00">
      <w:pPr>
        <w:spacing w:line="520" w:lineRule="exact"/>
        <w:ind w:firstLine="480" w:firstLineChars="200"/>
        <w:rPr>
          <w:rFonts w:hint="eastAsia" w:ascii="宋体" w:hAnsi="宋体"/>
          <w:sz w:val="24"/>
        </w:rPr>
      </w:pPr>
      <w:r>
        <w:rPr>
          <w:rFonts w:hint="eastAsia" w:ascii="宋体" w:hAnsi="宋体"/>
          <w:sz w:val="24"/>
        </w:rPr>
        <w:t>4.法律适用</w:t>
      </w:r>
    </w:p>
    <w:p w14:paraId="105E58B8">
      <w:pPr>
        <w:spacing w:line="520" w:lineRule="exact"/>
        <w:ind w:firstLine="480"/>
        <w:rPr>
          <w:rFonts w:hint="eastAsia" w:ascii="宋体" w:hAnsi="宋体"/>
          <w:sz w:val="24"/>
        </w:rPr>
      </w:pPr>
      <w:r>
        <w:rPr>
          <w:rFonts w:hint="eastAsia" w:ascii="宋体" w:hAnsi="宋体"/>
          <w:sz w:val="24"/>
        </w:rPr>
        <w:t>4.1《中华人民共和国政府采购法》、《中华人民共和国政府采购法实施条例》、《政府采购非招标采购方式管理办法》等有关法律、规章和规定。</w:t>
      </w:r>
    </w:p>
    <w:p w14:paraId="1A3B1664">
      <w:pPr>
        <w:spacing w:line="520" w:lineRule="exact"/>
        <w:rPr>
          <w:rFonts w:hint="eastAsia" w:ascii="宋体" w:hAnsi="宋体"/>
          <w:sz w:val="24"/>
        </w:rPr>
      </w:pPr>
      <w:r>
        <w:rPr>
          <w:rFonts w:hint="eastAsia" w:ascii="宋体" w:hAnsi="宋体"/>
          <w:sz w:val="24"/>
        </w:rPr>
        <w:t>5.谈判文件的约束力</w:t>
      </w:r>
    </w:p>
    <w:p w14:paraId="64637B17">
      <w:pPr>
        <w:spacing w:line="520" w:lineRule="exact"/>
        <w:ind w:firstLine="480"/>
        <w:rPr>
          <w:rFonts w:hint="eastAsia" w:ascii="宋体" w:hAnsi="宋体"/>
          <w:sz w:val="24"/>
        </w:rPr>
      </w:pPr>
      <w:r>
        <w:rPr>
          <w:rFonts w:hint="eastAsia" w:ascii="宋体" w:hAnsi="宋体"/>
          <w:sz w:val="24"/>
        </w:rPr>
        <w:t>5.1谈判供应商一旦参加谈判，即被认为接受了本谈判文件中的所有要求和规定。</w:t>
      </w:r>
    </w:p>
    <w:p w14:paraId="4F27CAAE">
      <w:pPr>
        <w:spacing w:line="520" w:lineRule="exact"/>
        <w:jc w:val="left"/>
        <w:rPr>
          <w:rFonts w:hint="eastAsia" w:ascii="宋体" w:hAnsi="宋体"/>
          <w:b/>
          <w:bCs/>
          <w:sz w:val="24"/>
        </w:rPr>
      </w:pPr>
      <w:r>
        <w:rPr>
          <w:rFonts w:hint="eastAsia" w:ascii="宋体" w:hAnsi="宋体"/>
          <w:b/>
          <w:bCs/>
          <w:sz w:val="24"/>
        </w:rPr>
        <w:t>二、谈判文件</w:t>
      </w:r>
    </w:p>
    <w:p w14:paraId="6FBCD6B2">
      <w:pPr>
        <w:spacing w:line="520" w:lineRule="exact"/>
        <w:ind w:firstLine="480"/>
        <w:rPr>
          <w:rFonts w:hint="eastAsia" w:ascii="宋体" w:hAnsi="宋体"/>
          <w:bCs/>
          <w:sz w:val="24"/>
        </w:rPr>
      </w:pPr>
      <w:r>
        <w:rPr>
          <w:rFonts w:hint="eastAsia" w:ascii="宋体" w:hAnsi="宋体"/>
          <w:bCs/>
          <w:sz w:val="24"/>
        </w:rPr>
        <w:t>6.谈判文件构成</w:t>
      </w:r>
      <w:r>
        <w:rPr>
          <w:rFonts w:hint="eastAsia" w:ascii="宋体" w:hAnsi="宋体"/>
          <w:sz w:val="24"/>
        </w:rPr>
        <w:t>包括：</w:t>
      </w:r>
    </w:p>
    <w:p w14:paraId="53BADFE3">
      <w:pPr>
        <w:spacing w:line="520" w:lineRule="exact"/>
        <w:rPr>
          <w:rFonts w:hint="eastAsia" w:ascii="宋体" w:hAnsi="宋体"/>
          <w:sz w:val="24"/>
        </w:rPr>
      </w:pPr>
      <w:r>
        <w:rPr>
          <w:rFonts w:hint="eastAsia" w:ascii="宋体" w:hAnsi="宋体"/>
          <w:sz w:val="24"/>
        </w:rPr>
        <w:t xml:space="preserve">      第一章  谈判文件</w:t>
      </w:r>
    </w:p>
    <w:p w14:paraId="320A0879">
      <w:pPr>
        <w:spacing w:line="520" w:lineRule="exact"/>
        <w:ind w:firstLine="720"/>
        <w:rPr>
          <w:rFonts w:hint="eastAsia" w:ascii="宋体" w:hAnsi="宋体"/>
          <w:sz w:val="24"/>
        </w:rPr>
      </w:pPr>
      <w:r>
        <w:rPr>
          <w:rFonts w:hint="eastAsia" w:ascii="宋体" w:hAnsi="宋体"/>
          <w:sz w:val="24"/>
        </w:rPr>
        <w:t>第二章  响应文件格式</w:t>
      </w:r>
    </w:p>
    <w:p w14:paraId="62CF5033">
      <w:pPr>
        <w:spacing w:line="520" w:lineRule="exact"/>
        <w:ind w:firstLine="480"/>
        <w:rPr>
          <w:rFonts w:hint="eastAsia" w:ascii="宋体" w:hAnsi="宋体"/>
          <w:bCs/>
          <w:sz w:val="24"/>
        </w:rPr>
      </w:pPr>
      <w:r>
        <w:rPr>
          <w:rFonts w:hint="eastAsia" w:ascii="宋体" w:hAnsi="宋体"/>
          <w:bCs/>
          <w:sz w:val="24"/>
        </w:rPr>
        <w:t>7.谈判文件的澄清</w:t>
      </w:r>
    </w:p>
    <w:p w14:paraId="1B80936F">
      <w:pPr>
        <w:spacing w:line="520" w:lineRule="exact"/>
        <w:ind w:firstLine="460"/>
        <w:rPr>
          <w:rFonts w:hint="eastAsia" w:ascii="宋体" w:hAnsi="宋体"/>
          <w:bCs/>
          <w:sz w:val="24"/>
        </w:rPr>
      </w:pPr>
      <w:r>
        <w:rPr>
          <w:rFonts w:hint="eastAsia" w:ascii="宋体" w:hAnsi="宋体"/>
          <w:sz w:val="24"/>
        </w:rPr>
        <w:t>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由于谈判供应商所留联系方式有问题而导致</w:t>
      </w:r>
      <w:r>
        <w:rPr>
          <w:rFonts w:hint="eastAsia" w:ascii="宋体" w:hAnsi="宋体"/>
          <w:sz w:val="24"/>
        </w:rPr>
        <w:t>采购人或代理机构</w:t>
      </w:r>
      <w:r>
        <w:rPr>
          <w:rFonts w:hint="eastAsia" w:ascii="宋体" w:hAnsi="宋体"/>
          <w:bCs/>
          <w:sz w:val="24"/>
        </w:rPr>
        <w:t>无法通知的，其责任由谈判供应商自行承担（逾期递交对谈判文件要求进行澄清的</w:t>
      </w:r>
      <w:r>
        <w:rPr>
          <w:rFonts w:hint="eastAsia" w:ascii="宋体" w:hAnsi="宋体"/>
          <w:sz w:val="24"/>
        </w:rPr>
        <w:t>采购人或代理机构</w:t>
      </w:r>
      <w:r>
        <w:rPr>
          <w:rFonts w:hint="eastAsia" w:ascii="宋体" w:hAnsi="宋体"/>
          <w:bCs/>
          <w:sz w:val="24"/>
        </w:rPr>
        <w:t>将不予受理）。</w:t>
      </w:r>
    </w:p>
    <w:p w14:paraId="2016B5D0">
      <w:pPr>
        <w:spacing w:line="520" w:lineRule="exact"/>
        <w:ind w:firstLine="460"/>
        <w:rPr>
          <w:rFonts w:hint="eastAsia" w:ascii="宋体" w:hAnsi="宋体" w:cs="楷体_GB2312"/>
          <w:sz w:val="24"/>
          <w:lang w:val="zh-CN"/>
        </w:rPr>
      </w:pPr>
      <w:r>
        <w:rPr>
          <w:rFonts w:hint="eastAsia" w:ascii="宋体" w:hAnsi="宋体"/>
          <w:bCs/>
          <w:sz w:val="24"/>
        </w:rPr>
        <w:t>8.谈判文件的更正或补充</w:t>
      </w:r>
    </w:p>
    <w:p w14:paraId="77EF075E">
      <w:pPr>
        <w:spacing w:line="520" w:lineRule="exact"/>
        <w:ind w:firstLine="480"/>
        <w:rPr>
          <w:rFonts w:hint="eastAsia" w:ascii="宋体" w:hAnsi="宋体"/>
          <w:sz w:val="24"/>
        </w:rPr>
      </w:pPr>
      <w:r>
        <w:rPr>
          <w:rFonts w:hint="eastAsia" w:ascii="宋体" w:hAnsi="宋体"/>
          <w:sz w:val="24"/>
        </w:rPr>
        <w:t>8.1在谈判截止时间三日前，采购人或代理机构可主动或在解答谈判供应商提出的澄清问题时对谈判文件用更正公告的方式进行修正。</w:t>
      </w:r>
    </w:p>
    <w:p w14:paraId="77D0D749">
      <w:pPr>
        <w:spacing w:line="520" w:lineRule="exact"/>
        <w:ind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2对谈判文件的更正将在</w:t>
      </w:r>
      <w:r>
        <w:rPr>
          <w:rFonts w:hint="eastAsia" w:ascii="宋体" w:hAnsi="宋体"/>
          <w:sz w:val="24"/>
          <w:lang w:eastAsia="zh-CN"/>
        </w:rPr>
        <w:t>“江苏政府采购网”或者“淮安市政府采购网”</w:t>
      </w:r>
      <w:r>
        <w:rPr>
          <w:rFonts w:hint="eastAsia" w:ascii="宋体" w:hAnsi="宋体"/>
          <w:sz w:val="24"/>
        </w:rPr>
        <w:t>进行公告。更正公告将作为谈判文件的组成部分，对所有参加本次谈判的谈判供应商都具有约束力。</w:t>
      </w:r>
    </w:p>
    <w:p w14:paraId="53692945">
      <w:pPr>
        <w:spacing w:line="520" w:lineRule="exact"/>
        <w:ind w:firstLine="480"/>
        <w:rPr>
          <w:rFonts w:hint="eastAsia" w:ascii="宋体" w:hAnsi="宋体"/>
          <w:sz w:val="24"/>
        </w:rPr>
      </w:pPr>
      <w:r>
        <w:rPr>
          <w:rFonts w:hint="eastAsia" w:ascii="宋体" w:hAnsi="宋体"/>
          <w:sz w:val="24"/>
        </w:rPr>
        <w:t>8.3为使谈判供应商有足够的时间按谈判文件的更正要求修正响应文件，采购人或代理机构有权按照相关法定的要求推迟响应文件递交截止时间和谈判日期。</w:t>
      </w:r>
    </w:p>
    <w:p w14:paraId="34568B19">
      <w:pPr>
        <w:spacing w:line="520" w:lineRule="exact"/>
        <w:rPr>
          <w:rFonts w:hint="eastAsia" w:ascii="宋体" w:hAnsi="宋体"/>
          <w:b/>
          <w:bCs/>
          <w:sz w:val="24"/>
        </w:rPr>
      </w:pPr>
      <w:r>
        <w:rPr>
          <w:rFonts w:hint="eastAsia" w:ascii="宋体" w:hAnsi="宋体"/>
          <w:b/>
          <w:bCs/>
          <w:sz w:val="24"/>
        </w:rPr>
        <w:t>三、响应文件的编制</w:t>
      </w:r>
    </w:p>
    <w:p w14:paraId="3878ECC2">
      <w:pPr>
        <w:spacing w:line="520" w:lineRule="exact"/>
        <w:ind w:firstLine="480"/>
        <w:rPr>
          <w:rFonts w:hint="eastAsia" w:ascii="宋体" w:hAnsi="宋体"/>
          <w:bCs/>
          <w:sz w:val="24"/>
        </w:rPr>
      </w:pPr>
      <w:r>
        <w:rPr>
          <w:rFonts w:hint="eastAsia" w:ascii="宋体" w:hAnsi="宋体"/>
          <w:bCs/>
          <w:sz w:val="24"/>
        </w:rPr>
        <w:t>9.响应文件的语言及计量单位</w:t>
      </w:r>
    </w:p>
    <w:p w14:paraId="45667C51">
      <w:pPr>
        <w:spacing w:line="520" w:lineRule="exact"/>
        <w:ind w:firstLine="460"/>
        <w:rPr>
          <w:rFonts w:hint="eastAsia" w:ascii="宋体" w:hAnsi="宋体"/>
          <w:sz w:val="24"/>
        </w:rPr>
      </w:pPr>
      <w:r>
        <w:rPr>
          <w:rFonts w:hint="eastAsia" w:ascii="宋体" w:hAnsi="宋体"/>
          <w:sz w:val="24"/>
        </w:rPr>
        <w:t>9.1谈判供应商提交的响应文件以及谈判供应商与采购人或代理机构就有关谈判的所有来往函电均应使用简体中文。</w:t>
      </w:r>
    </w:p>
    <w:p w14:paraId="54394E61">
      <w:pPr>
        <w:spacing w:line="520" w:lineRule="exact"/>
        <w:ind w:firstLine="480"/>
        <w:rPr>
          <w:rFonts w:hint="eastAsia" w:ascii="宋体" w:hAnsi="宋体"/>
          <w:sz w:val="24"/>
        </w:rPr>
      </w:pPr>
      <w:r>
        <w:rPr>
          <w:rFonts w:hint="eastAsia" w:ascii="宋体" w:hAnsi="宋体"/>
          <w:sz w:val="24"/>
        </w:rPr>
        <w:t>9.2</w:t>
      </w:r>
      <w:r>
        <w:rPr>
          <w:rFonts w:hint="eastAsia" w:ascii="宋体" w:hAnsi="宋体" w:cs="仿宋_GB2312"/>
          <w:sz w:val="24"/>
          <w:lang w:val="zh-CN"/>
        </w:rPr>
        <w:t>除谈判文件中另有规定外，</w:t>
      </w:r>
      <w:r>
        <w:rPr>
          <w:rFonts w:hint="eastAsia" w:ascii="宋体" w:hAnsi="宋体"/>
          <w:sz w:val="24"/>
        </w:rPr>
        <w:t>响应文件所使用的计量单位，均须采用国家法定计量单位。</w:t>
      </w:r>
    </w:p>
    <w:p w14:paraId="6FE5C130">
      <w:pPr>
        <w:spacing w:line="520" w:lineRule="exact"/>
        <w:ind w:firstLine="480"/>
        <w:rPr>
          <w:rFonts w:hint="eastAsia" w:ascii="宋体" w:hAnsi="宋体"/>
          <w:bCs/>
          <w:sz w:val="24"/>
        </w:rPr>
      </w:pPr>
      <w:r>
        <w:rPr>
          <w:rFonts w:hint="eastAsia" w:ascii="宋体" w:hAnsi="宋体"/>
          <w:bCs/>
          <w:sz w:val="24"/>
        </w:rPr>
        <w:t>10.响应文件构成</w:t>
      </w:r>
    </w:p>
    <w:p w14:paraId="1E7CF438">
      <w:pPr>
        <w:spacing w:line="520" w:lineRule="exact"/>
        <w:ind w:firstLine="480"/>
        <w:rPr>
          <w:rFonts w:hint="eastAsia" w:ascii="宋体" w:hAnsi="宋体"/>
          <w:sz w:val="24"/>
        </w:rPr>
      </w:pPr>
      <w:r>
        <w:rPr>
          <w:rFonts w:hint="eastAsia" w:ascii="宋体" w:hAnsi="宋体"/>
          <w:sz w:val="24"/>
        </w:rPr>
        <w:t>10.1谈判供应商编写的响应文件应按谈判文件第二章“响应文件格式”中的要求进行编写。如标书制作工具中格式和内容与“淮安市政府采购网”发布的谈判文件不一致，请以“淮安市政府采购网”发布的谈判文件为准。</w:t>
      </w:r>
    </w:p>
    <w:p w14:paraId="4C57A203">
      <w:pPr>
        <w:spacing w:line="520" w:lineRule="exact"/>
        <w:ind w:firstLine="480"/>
        <w:rPr>
          <w:rFonts w:hint="eastAsia" w:ascii="宋体" w:hAnsi="宋体"/>
          <w:sz w:val="24"/>
        </w:rPr>
      </w:pPr>
      <w:r>
        <w:rPr>
          <w:rFonts w:hint="eastAsia" w:ascii="宋体" w:hAnsi="宋体"/>
          <w:sz w:val="24"/>
        </w:rPr>
        <w:t>10.2电子响应文件编制必须按“苏采云政府采购一体化平台”要求制作，具体操作详见《操作手册》。</w:t>
      </w:r>
    </w:p>
    <w:p w14:paraId="6C45A0E5">
      <w:pPr>
        <w:spacing w:line="520" w:lineRule="exact"/>
        <w:ind w:firstLine="480"/>
        <w:rPr>
          <w:rFonts w:hint="eastAsia" w:ascii="宋体" w:hAnsi="宋体"/>
          <w:sz w:val="24"/>
        </w:rPr>
      </w:pPr>
      <w:r>
        <w:rPr>
          <w:rFonts w:hint="eastAsia" w:ascii="宋体" w:hAnsi="宋体"/>
          <w:bCs/>
          <w:sz w:val="24"/>
        </w:rPr>
        <w:t>11.谈判报价</w:t>
      </w:r>
    </w:p>
    <w:p w14:paraId="3B4D9058">
      <w:pPr>
        <w:spacing w:line="520" w:lineRule="exact"/>
        <w:ind w:firstLine="482"/>
        <w:rPr>
          <w:rFonts w:ascii="宋体" w:hAnsi="宋体"/>
          <w:b/>
          <w:sz w:val="24"/>
        </w:rPr>
      </w:pPr>
      <w:r>
        <w:rPr>
          <w:rFonts w:hint="eastAsia" w:ascii="宋体" w:hAnsi="宋体"/>
          <w:b/>
          <w:sz w:val="24"/>
        </w:rPr>
        <w:t>11.1本项目采用总承包方式，谈判供应商的报价应包含货物设计、制造、包装、仓储、运输装</w:t>
      </w:r>
      <w:r>
        <w:rPr>
          <w:rFonts w:hint="eastAsia" w:ascii="宋体" w:hAnsi="宋体"/>
          <w:b/>
          <w:sz w:val="24"/>
          <w:lang w:eastAsia="zh-CN"/>
        </w:rPr>
        <w:t>卸</w:t>
      </w:r>
      <w:r>
        <w:rPr>
          <w:rFonts w:hint="eastAsia" w:ascii="宋体" w:hAnsi="宋体"/>
          <w:b/>
          <w:sz w:val="24"/>
        </w:rPr>
        <w:t>、保险、安装、调试</w:t>
      </w:r>
      <w:r>
        <w:rPr>
          <w:rFonts w:hint="eastAsia" w:ascii="宋体" w:hAnsi="宋体"/>
          <w:b/>
          <w:sz w:val="24"/>
          <w:lang w:eastAsia="zh-CN"/>
        </w:rPr>
        <w:t>及</w:t>
      </w:r>
      <w:r>
        <w:rPr>
          <w:rFonts w:hint="eastAsia" w:ascii="宋体" w:hAnsi="宋体"/>
          <w:b/>
          <w:sz w:val="24"/>
        </w:rPr>
        <w:t>材料及验收合格之前保管及保修期内备品备件、专用工具、伴随服务、技术图纸资料、人员培训发生的所有含税费用、支付给员工的工资和国家强制缴纳的各种社会保障资金，以及与本项目有关的所有费用。</w:t>
      </w:r>
    </w:p>
    <w:p w14:paraId="3CF34FAF">
      <w:pPr>
        <w:spacing w:line="520" w:lineRule="exact"/>
        <w:ind w:firstLine="482"/>
        <w:rPr>
          <w:rFonts w:hint="eastAsia" w:ascii="宋体" w:hAnsi="宋体"/>
          <w:sz w:val="24"/>
        </w:rPr>
      </w:pPr>
      <w:r>
        <w:rPr>
          <w:rFonts w:ascii="宋体" w:hAnsi="宋体"/>
          <w:b/>
          <w:sz w:val="24"/>
        </w:rPr>
        <w:t>11</w:t>
      </w:r>
      <w:r>
        <w:rPr>
          <w:rFonts w:hint="eastAsia" w:ascii="宋体" w:hAnsi="宋体"/>
          <w:b/>
          <w:sz w:val="24"/>
        </w:rPr>
        <w:t>.2 供应商的任何错漏、优惠、竞争性报价不得作为减轻责任、减少服务、增加收费、降低质量的理由。</w:t>
      </w:r>
    </w:p>
    <w:p w14:paraId="2DC9DC29">
      <w:pPr>
        <w:spacing w:line="520" w:lineRule="exact"/>
        <w:ind w:left="-359" w:firstLine="770"/>
        <w:rPr>
          <w:rFonts w:hint="eastAsia"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采购人或代理机构不接受备选的谈判方案或有选择的报价。</w:t>
      </w:r>
    </w:p>
    <w:p w14:paraId="305ACC12">
      <w:pPr>
        <w:spacing w:line="520" w:lineRule="exact"/>
        <w:ind w:firstLine="460"/>
        <w:rPr>
          <w:rFonts w:ascii="宋体" w:hAnsi="宋体"/>
          <w:sz w:val="24"/>
        </w:rPr>
      </w:pPr>
      <w:r>
        <w:rPr>
          <w:rFonts w:hint="eastAsia" w:ascii="宋体" w:hAnsi="宋体"/>
          <w:sz w:val="24"/>
        </w:rPr>
        <w:t>11.</w:t>
      </w:r>
      <w:r>
        <w:rPr>
          <w:rFonts w:ascii="宋体" w:hAnsi="宋体"/>
          <w:sz w:val="24"/>
        </w:rPr>
        <w:t>4</w:t>
      </w:r>
      <w:r>
        <w:rPr>
          <w:rFonts w:hint="eastAsia" w:ascii="宋体" w:hAnsi="宋体"/>
          <w:sz w:val="24"/>
        </w:rPr>
        <w:t>本次谈判项目报价均须以人民币为货币单位。</w:t>
      </w:r>
    </w:p>
    <w:p w14:paraId="6312AFB9">
      <w:pPr>
        <w:spacing w:line="520" w:lineRule="exact"/>
        <w:ind w:left="420"/>
        <w:rPr>
          <w:rFonts w:ascii="宋体" w:hAnsi="宋体"/>
          <w:bCs/>
          <w:sz w:val="24"/>
        </w:rPr>
      </w:pPr>
      <w:r>
        <w:rPr>
          <w:rFonts w:ascii="宋体" w:hAnsi="宋体"/>
          <w:bCs/>
          <w:sz w:val="24"/>
        </w:rPr>
        <w:t>12.谈判保证金</w:t>
      </w:r>
    </w:p>
    <w:p w14:paraId="44F8FCD8">
      <w:pPr>
        <w:spacing w:line="520" w:lineRule="exact"/>
        <w:ind w:left="420"/>
        <w:rPr>
          <w:rFonts w:hint="eastAsia" w:ascii="宋体" w:hAnsi="宋体" w:cs="楷体_GB2312"/>
          <w:b/>
          <w:bCs/>
          <w:sz w:val="24"/>
          <w:lang w:val="zh-CN"/>
        </w:rPr>
      </w:pPr>
      <w:r>
        <w:rPr>
          <w:rFonts w:hint="eastAsia"/>
          <w:b/>
          <w:bCs/>
          <w:sz w:val="24"/>
        </w:rPr>
        <w:t>本项目</w:t>
      </w:r>
      <w:r>
        <w:rPr>
          <w:b/>
          <w:bCs/>
          <w:sz w:val="24"/>
        </w:rPr>
        <w:t>无需缴纳谈判保证金</w:t>
      </w:r>
      <w:r>
        <w:rPr>
          <w:rFonts w:hint="eastAsia"/>
          <w:b/>
          <w:bCs/>
          <w:sz w:val="24"/>
        </w:rPr>
        <w:t>。</w:t>
      </w:r>
    </w:p>
    <w:p w14:paraId="0502D013">
      <w:pPr>
        <w:spacing w:line="520" w:lineRule="exact"/>
        <w:ind w:firstLine="480"/>
        <w:rPr>
          <w:rFonts w:hint="eastAsia" w:ascii="宋体" w:hAnsi="宋体"/>
          <w:bCs/>
          <w:sz w:val="24"/>
        </w:rPr>
      </w:pPr>
      <w:r>
        <w:rPr>
          <w:rFonts w:hint="eastAsia" w:ascii="宋体" w:hAnsi="宋体"/>
          <w:bCs/>
          <w:sz w:val="24"/>
        </w:rPr>
        <w:t>13.谈判有效期</w:t>
      </w:r>
    </w:p>
    <w:p w14:paraId="36B6BBF4">
      <w:pPr>
        <w:spacing w:line="520" w:lineRule="exact"/>
        <w:ind w:firstLine="540"/>
        <w:rPr>
          <w:rFonts w:hint="eastAsia" w:ascii="宋体" w:hAnsi="宋体"/>
          <w:bCs/>
          <w:sz w:val="24"/>
        </w:rPr>
      </w:pPr>
      <w:r>
        <w:rPr>
          <w:rFonts w:hint="eastAsia" w:ascii="宋体" w:hAnsi="宋体"/>
          <w:sz w:val="24"/>
        </w:rPr>
        <w:t>13.1谈判有效期为从谈判之日起计算的</w:t>
      </w:r>
      <w:r>
        <w:rPr>
          <w:rFonts w:hint="eastAsia" w:ascii="宋体" w:hAnsi="宋体"/>
          <w:bCs/>
          <w:sz w:val="24"/>
        </w:rPr>
        <w:t>6</w:t>
      </w:r>
      <w:r>
        <w:rPr>
          <w:rFonts w:ascii="宋体" w:hAnsi="宋体"/>
          <w:bCs/>
          <w:sz w:val="24"/>
        </w:rPr>
        <w:t>0</w:t>
      </w:r>
      <w:r>
        <w:rPr>
          <w:rFonts w:hint="eastAsia" w:ascii="宋体" w:hAnsi="宋体"/>
          <w:bCs/>
          <w:sz w:val="24"/>
        </w:rPr>
        <w:t>天</w:t>
      </w:r>
      <w:r>
        <w:rPr>
          <w:rFonts w:hint="eastAsia" w:ascii="宋体" w:hAnsi="宋体"/>
          <w:sz w:val="24"/>
        </w:rPr>
        <w:t>，谈判有效期短于此规定的将被视为</w:t>
      </w:r>
      <w:r>
        <w:rPr>
          <w:rFonts w:hint="eastAsia" w:ascii="宋体" w:hAnsi="宋体" w:cs="仿宋_GB2312"/>
          <w:sz w:val="24"/>
          <w:lang w:val="zh-CN"/>
        </w:rPr>
        <w:t>非响应谈判而予以拒绝。</w:t>
      </w:r>
    </w:p>
    <w:p w14:paraId="15247475">
      <w:pPr>
        <w:spacing w:line="520" w:lineRule="exact"/>
        <w:ind w:firstLine="540"/>
        <w:rPr>
          <w:rFonts w:hint="eastAsia" w:ascii="宋体" w:hAnsi="宋体"/>
          <w:bCs/>
          <w:sz w:val="24"/>
        </w:rPr>
      </w:pPr>
      <w:r>
        <w:rPr>
          <w:rFonts w:hint="eastAsia" w:ascii="宋体" w:hAnsi="宋体"/>
          <w:bCs/>
          <w:sz w:val="24"/>
        </w:rPr>
        <w:t>13.2</w:t>
      </w:r>
      <w:r>
        <w:rPr>
          <w:rFonts w:hint="eastAsia" w:ascii="宋体" w:hAnsi="宋体"/>
          <w:sz w:val="24"/>
        </w:rPr>
        <w:t>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p>
    <w:p w14:paraId="4FF60FD1">
      <w:pPr>
        <w:spacing w:line="520" w:lineRule="exact"/>
        <w:ind w:firstLine="480"/>
        <w:rPr>
          <w:rFonts w:hint="eastAsia" w:ascii="宋体" w:hAnsi="宋体"/>
          <w:bCs/>
          <w:sz w:val="24"/>
        </w:rPr>
      </w:pPr>
      <w:r>
        <w:rPr>
          <w:rFonts w:hint="eastAsia" w:ascii="宋体" w:hAnsi="宋体"/>
          <w:bCs/>
          <w:sz w:val="24"/>
        </w:rPr>
        <w:t>1</w:t>
      </w:r>
      <w:r>
        <w:rPr>
          <w:rFonts w:ascii="宋体" w:hAnsi="宋体"/>
          <w:bCs/>
          <w:sz w:val="24"/>
        </w:rPr>
        <w:t>4</w:t>
      </w:r>
      <w:r>
        <w:rPr>
          <w:rFonts w:hint="eastAsia" w:ascii="宋体" w:hAnsi="宋体"/>
          <w:bCs/>
          <w:sz w:val="24"/>
        </w:rPr>
        <w:t>.响应文件的签署</w:t>
      </w:r>
    </w:p>
    <w:p w14:paraId="2E8ED01D">
      <w:pPr>
        <w:spacing w:line="520" w:lineRule="exact"/>
        <w:ind w:firstLine="480"/>
        <w:rPr>
          <w:rFonts w:hint="eastAsia" w:ascii="宋体" w:hAnsi="宋体"/>
          <w:sz w:val="24"/>
        </w:rPr>
      </w:pPr>
      <w:r>
        <w:rPr>
          <w:rFonts w:hint="eastAsia" w:ascii="宋体" w:hAnsi="宋体"/>
          <w:bCs/>
          <w:sz w:val="24"/>
        </w:rPr>
        <w:t>1</w:t>
      </w:r>
      <w:r>
        <w:rPr>
          <w:rFonts w:ascii="宋体" w:hAnsi="宋体"/>
          <w:bCs/>
          <w:sz w:val="24"/>
        </w:rPr>
        <w:t>4</w:t>
      </w:r>
      <w:r>
        <w:rPr>
          <w:rFonts w:hint="eastAsia" w:ascii="宋体" w:hAnsi="宋体"/>
          <w:bCs/>
          <w:sz w:val="24"/>
        </w:rPr>
        <w:t>.1响应文件仅需要在供应商进行签章的位置进行电子签章。电子响应文件不得涂改、行间插字或删除，如果出现上述情况应重新编制。</w:t>
      </w:r>
    </w:p>
    <w:p w14:paraId="23367F54">
      <w:pPr>
        <w:spacing w:line="520" w:lineRule="exact"/>
        <w:rPr>
          <w:rFonts w:hint="eastAsia" w:ascii="宋体" w:hAnsi="宋体" w:eastAsia="宋体"/>
          <w:b/>
          <w:bCs/>
          <w:sz w:val="24"/>
          <w:lang w:eastAsia="zh-CN"/>
        </w:rPr>
      </w:pPr>
      <w:r>
        <w:rPr>
          <w:rFonts w:hint="eastAsia" w:ascii="宋体" w:hAnsi="宋体"/>
          <w:b/>
          <w:bCs/>
          <w:sz w:val="24"/>
        </w:rPr>
        <w:t>四、响应文件的</w:t>
      </w:r>
      <w:r>
        <w:rPr>
          <w:rFonts w:hint="eastAsia" w:ascii="宋体" w:hAnsi="宋体"/>
          <w:b/>
          <w:bCs/>
          <w:sz w:val="24"/>
          <w:lang w:val="en-US" w:eastAsia="zh-CN"/>
        </w:rPr>
        <w:t>上传</w:t>
      </w:r>
    </w:p>
    <w:p w14:paraId="56DE7514">
      <w:pPr>
        <w:spacing w:line="520" w:lineRule="exact"/>
        <w:ind w:firstLine="480" w:firstLineChars="200"/>
        <w:jc w:val="left"/>
        <w:rPr>
          <w:rFonts w:hint="eastAsia" w:ascii="宋体" w:hAnsi="宋体"/>
          <w:bCs/>
          <w:sz w:val="24"/>
        </w:rPr>
      </w:pPr>
      <w:r>
        <w:rPr>
          <w:rFonts w:hint="eastAsia" w:ascii="宋体" w:hAnsi="宋体"/>
          <w:bCs/>
          <w:sz w:val="24"/>
        </w:rPr>
        <w:t>15.响应文件的上传</w:t>
      </w:r>
    </w:p>
    <w:p w14:paraId="3A6E13B8">
      <w:pPr>
        <w:spacing w:line="520" w:lineRule="exact"/>
        <w:ind w:firstLine="480" w:firstLineChars="200"/>
        <w:jc w:val="left"/>
        <w:rPr>
          <w:rFonts w:hint="eastAsia" w:ascii="宋体" w:hAnsi="宋体"/>
          <w:bCs/>
          <w:sz w:val="24"/>
        </w:rPr>
      </w:pPr>
      <w:r>
        <w:rPr>
          <w:rFonts w:hint="eastAsia" w:ascii="宋体" w:hAnsi="宋体"/>
          <w:bCs/>
          <w:sz w:val="24"/>
        </w:rPr>
        <w:t>15.1谈判供应商应当按照《操作手册》的规定，在谈判响应文件接收截止时间前制作并上传电子响应文件。</w:t>
      </w:r>
    </w:p>
    <w:p w14:paraId="3F97C06F">
      <w:pPr>
        <w:spacing w:line="520" w:lineRule="exact"/>
        <w:ind w:firstLine="480" w:firstLineChars="200"/>
        <w:jc w:val="left"/>
        <w:rPr>
          <w:rFonts w:hint="eastAsia" w:ascii="宋体" w:hAnsi="宋体"/>
          <w:bCs/>
          <w:sz w:val="24"/>
        </w:rPr>
      </w:pPr>
      <w:r>
        <w:rPr>
          <w:rFonts w:hint="eastAsia" w:ascii="宋体" w:hAnsi="宋体"/>
          <w:bCs/>
          <w:sz w:val="24"/>
        </w:rPr>
        <w:t>15.2谈判供应商上传的电子响应文件内容不清楚或不清晰的（含扫描件），造成无法评审或部分影响评审的，责任由谈判供应商自负。</w:t>
      </w:r>
    </w:p>
    <w:p w14:paraId="1A3ACBA5">
      <w:pPr>
        <w:spacing w:line="520" w:lineRule="exact"/>
        <w:ind w:firstLine="480" w:firstLineChars="200"/>
        <w:jc w:val="left"/>
        <w:rPr>
          <w:rFonts w:hint="eastAsia" w:ascii="宋体" w:hAnsi="宋体"/>
          <w:bCs/>
          <w:sz w:val="24"/>
        </w:rPr>
      </w:pPr>
      <w:r>
        <w:rPr>
          <w:rFonts w:hint="eastAsia" w:ascii="宋体" w:hAnsi="宋体"/>
          <w:bCs/>
          <w:sz w:val="24"/>
        </w:rPr>
        <w:t>15.3谈判供应商上传电子响应文件的时间不得迟于谈判邀请中规定的截止时间。</w:t>
      </w:r>
    </w:p>
    <w:p w14:paraId="75B83547">
      <w:pPr>
        <w:spacing w:line="520" w:lineRule="exact"/>
        <w:ind w:firstLine="480" w:firstLineChars="200"/>
        <w:jc w:val="left"/>
        <w:rPr>
          <w:rFonts w:hint="eastAsia" w:ascii="宋体" w:hAnsi="宋体"/>
          <w:bCs/>
          <w:sz w:val="24"/>
        </w:rPr>
      </w:pPr>
      <w:r>
        <w:rPr>
          <w:rFonts w:hint="eastAsia" w:ascii="宋体" w:hAnsi="宋体"/>
          <w:bCs/>
          <w:sz w:val="24"/>
        </w:rPr>
        <w:t>15.4采购人或代理机构可以按第8条规定，通过修改谈判文件有权酌情延长响应文件接收截止时间。在此情况下，谈判供应商的所有权利和义务以及谈判供应商受制约的截止日期均应以延长后新的截止日期为准。</w:t>
      </w:r>
    </w:p>
    <w:p w14:paraId="713B76EF">
      <w:pPr>
        <w:spacing w:line="520" w:lineRule="exact"/>
        <w:ind w:firstLine="480" w:firstLineChars="200"/>
        <w:jc w:val="left"/>
        <w:rPr>
          <w:rFonts w:hint="eastAsia" w:ascii="宋体" w:hAnsi="宋体"/>
          <w:bCs/>
          <w:sz w:val="24"/>
        </w:rPr>
      </w:pPr>
      <w:r>
        <w:rPr>
          <w:rFonts w:hint="eastAsia" w:ascii="宋体" w:hAnsi="宋体"/>
          <w:bCs/>
          <w:sz w:val="24"/>
        </w:rPr>
        <w:t>16.响应文件被拒绝接收的情形</w:t>
      </w:r>
    </w:p>
    <w:p w14:paraId="5CC27767">
      <w:pPr>
        <w:spacing w:line="520" w:lineRule="exact"/>
        <w:ind w:firstLine="480" w:firstLineChars="200"/>
        <w:jc w:val="left"/>
        <w:rPr>
          <w:rFonts w:hint="eastAsia" w:ascii="宋体" w:hAnsi="宋体"/>
          <w:bCs/>
          <w:sz w:val="24"/>
        </w:rPr>
      </w:pPr>
      <w:r>
        <w:rPr>
          <w:rFonts w:hint="eastAsia" w:ascii="宋体" w:hAnsi="宋体"/>
          <w:bCs/>
          <w:sz w:val="24"/>
        </w:rPr>
        <w:t>16.1在谈判文件规定的提交响应文件截止时间后上传的电子响应文件。</w:t>
      </w:r>
    </w:p>
    <w:p w14:paraId="7D58CE98">
      <w:pPr>
        <w:spacing w:line="520" w:lineRule="exact"/>
        <w:ind w:firstLine="480" w:firstLineChars="200"/>
        <w:jc w:val="left"/>
        <w:rPr>
          <w:rFonts w:hint="eastAsia" w:ascii="宋体" w:hAnsi="宋体"/>
          <w:bCs/>
          <w:sz w:val="24"/>
        </w:rPr>
      </w:pPr>
      <w:r>
        <w:rPr>
          <w:rFonts w:hint="eastAsia" w:ascii="宋体" w:hAnsi="宋体"/>
          <w:bCs/>
          <w:sz w:val="24"/>
        </w:rPr>
        <w:t>17.响应文件的修改和撤回</w:t>
      </w:r>
    </w:p>
    <w:p w14:paraId="3E0905FA">
      <w:pPr>
        <w:spacing w:line="520" w:lineRule="exact"/>
        <w:ind w:firstLine="480" w:firstLineChars="200"/>
        <w:jc w:val="left"/>
        <w:rPr>
          <w:rFonts w:hint="eastAsia" w:ascii="宋体" w:hAnsi="宋体"/>
          <w:bCs/>
          <w:sz w:val="24"/>
        </w:rPr>
      </w:pPr>
      <w:r>
        <w:rPr>
          <w:rFonts w:hint="eastAsia" w:ascii="宋体" w:hAnsi="宋体"/>
          <w:bCs/>
          <w:sz w:val="24"/>
        </w:rPr>
        <w:t>17.1谈判供应商在上传电子响应文件后可以对其修改或撤回，但这种修改和撤回，必须在规定的谈判时间之前。</w:t>
      </w:r>
    </w:p>
    <w:p w14:paraId="2B5BD243">
      <w:pPr>
        <w:spacing w:line="520" w:lineRule="exact"/>
        <w:ind w:firstLine="480" w:firstLineChars="200"/>
        <w:jc w:val="left"/>
        <w:rPr>
          <w:rFonts w:hint="eastAsia" w:ascii="宋体" w:hAnsi="宋体"/>
          <w:bCs/>
          <w:sz w:val="24"/>
        </w:rPr>
      </w:pPr>
      <w:r>
        <w:rPr>
          <w:rFonts w:hint="eastAsia" w:ascii="宋体" w:hAnsi="宋体"/>
          <w:bCs/>
          <w:sz w:val="24"/>
        </w:rPr>
        <w:t>17.2对于电子响应文件的修改，谈判供应商可在谈判时间前登录“苏采云政府采购一体化平台”撤回电子响应文件，并上传新的电子响应文件。电子响应文件以最终完成上传的为准。</w:t>
      </w:r>
    </w:p>
    <w:p w14:paraId="3177E495">
      <w:pPr>
        <w:spacing w:line="520" w:lineRule="exact"/>
        <w:ind w:firstLine="480" w:firstLineChars="200"/>
        <w:jc w:val="left"/>
        <w:rPr>
          <w:rFonts w:hint="eastAsia" w:ascii="宋体" w:hAnsi="宋体"/>
          <w:bCs/>
          <w:sz w:val="24"/>
        </w:rPr>
      </w:pPr>
      <w:r>
        <w:rPr>
          <w:rFonts w:hint="eastAsia" w:ascii="宋体" w:hAnsi="宋体"/>
          <w:bCs/>
          <w:sz w:val="24"/>
        </w:rPr>
        <w:t>17.3谈判供应商不得在谈判时间以后修改电子响应文件。</w:t>
      </w:r>
    </w:p>
    <w:p w14:paraId="4C45460C">
      <w:pPr>
        <w:spacing w:line="520" w:lineRule="exact"/>
        <w:ind w:firstLine="480" w:firstLineChars="200"/>
        <w:jc w:val="left"/>
        <w:rPr>
          <w:rFonts w:hint="eastAsia" w:ascii="宋体" w:hAnsi="宋体"/>
          <w:bCs/>
          <w:sz w:val="24"/>
        </w:rPr>
      </w:pPr>
      <w:r>
        <w:rPr>
          <w:rFonts w:hint="eastAsia" w:ascii="宋体" w:hAnsi="宋体"/>
          <w:bCs/>
          <w:sz w:val="24"/>
        </w:rPr>
        <w:t>17.4谈判供应商不得在提交电子响应文件截止时间起至谈判有效期满前撤回电子响应文件。</w:t>
      </w:r>
    </w:p>
    <w:p w14:paraId="66BDD794">
      <w:pPr>
        <w:spacing w:line="520" w:lineRule="exact"/>
        <w:ind w:firstLine="482" w:firstLineChars="200"/>
        <w:jc w:val="left"/>
        <w:rPr>
          <w:rFonts w:hint="eastAsia" w:ascii="宋体" w:hAnsi="宋体"/>
          <w:b/>
          <w:bCs/>
          <w:sz w:val="24"/>
        </w:rPr>
      </w:pPr>
      <w:r>
        <w:rPr>
          <w:rFonts w:hint="eastAsia" w:ascii="宋体" w:hAnsi="宋体"/>
          <w:b/>
          <w:bCs/>
          <w:sz w:val="24"/>
        </w:rPr>
        <w:t>五、谈判、推荐成交候选人</w:t>
      </w:r>
    </w:p>
    <w:p w14:paraId="7D9BAE0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1</w:t>
      </w:r>
      <w:r>
        <w:rPr>
          <w:rFonts w:ascii="宋体" w:hAnsi="宋体"/>
          <w:bCs/>
          <w:color w:val="auto"/>
          <w:sz w:val="24"/>
          <w:highlight w:val="none"/>
        </w:rPr>
        <w:t>8</w:t>
      </w:r>
      <w:r>
        <w:rPr>
          <w:rFonts w:hint="eastAsia" w:ascii="宋体" w:hAnsi="宋体"/>
          <w:bCs/>
          <w:color w:val="auto"/>
          <w:sz w:val="24"/>
          <w:highlight w:val="none"/>
        </w:rPr>
        <w:t>.谈判组织</w:t>
      </w:r>
    </w:p>
    <w:p w14:paraId="0DFFE5A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bCs/>
          <w:sz w:val="24"/>
          <w:highlight w:val="none"/>
        </w:rPr>
      </w:pPr>
      <w:r>
        <w:rPr>
          <w:rFonts w:hint="eastAsia" w:ascii="宋体" w:hAnsi="宋体"/>
          <w:bCs/>
          <w:sz w:val="24"/>
        </w:rPr>
        <w:t>1</w:t>
      </w:r>
      <w:r>
        <w:rPr>
          <w:rFonts w:ascii="宋体" w:hAnsi="宋体"/>
          <w:bCs/>
          <w:sz w:val="24"/>
        </w:rPr>
        <w:t>8</w:t>
      </w:r>
      <w:r>
        <w:rPr>
          <w:rFonts w:hint="eastAsia" w:ascii="宋体" w:hAnsi="宋体"/>
          <w:bCs/>
          <w:sz w:val="24"/>
        </w:rPr>
        <w:t>.1本项目采用</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w:t>
      </w:r>
      <w:r>
        <w:rPr>
          <w:rFonts w:hint="eastAsia" w:ascii="宋体" w:hAnsi="宋体"/>
          <w:bCs/>
          <w:sz w:val="24"/>
        </w:rPr>
        <w:t>模式，通过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及相应的配套硬件设备（摄像头、话筒、麦克风等）完成远程解密、公布报价、澄清等交互环节。</w:t>
      </w:r>
      <w:r>
        <w:rPr>
          <w:rFonts w:hint="eastAsia" w:ascii="宋体" w:hAnsi="宋体"/>
          <w:bCs/>
          <w:sz w:val="24"/>
          <w:highlight w:val="none"/>
          <w:lang w:eastAsia="zh-CN"/>
        </w:rPr>
        <w:t>采购人或代理机构</w:t>
      </w:r>
      <w:r>
        <w:rPr>
          <w:rFonts w:hint="eastAsia" w:ascii="宋体" w:hAnsi="宋体"/>
          <w:bCs/>
          <w:sz w:val="24"/>
          <w:highlight w:val="none"/>
        </w:rPr>
        <w:t>将按照1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rPr>
        <w:t>的要求组织本项目的“不见面交易”活动。</w:t>
      </w:r>
      <w:r>
        <w:rPr>
          <w:rFonts w:hint="eastAsia" w:ascii="宋体" w:hAnsi="宋体"/>
          <w:bCs/>
          <w:sz w:val="24"/>
          <w:lang w:eastAsia="zh-CN"/>
        </w:rPr>
        <w:t>谈判</w:t>
      </w:r>
      <w:r>
        <w:rPr>
          <w:rFonts w:hint="eastAsia" w:ascii="宋体" w:hAnsi="宋体"/>
          <w:bCs/>
          <w:sz w:val="24"/>
          <w:highlight w:val="none"/>
        </w:rPr>
        <w:t>供应商仅需在任意地点登录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w:t>
      </w:r>
    </w:p>
    <w:p w14:paraId="68AA698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default" w:ascii="宋体" w:hAnsi="宋体" w:eastAsia="宋体"/>
          <w:bCs/>
          <w:sz w:val="24"/>
          <w:highlight w:val="none"/>
          <w:lang w:val="en-US" w:eastAsia="zh-CN"/>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.2</w:t>
      </w:r>
      <w:r>
        <w:rPr>
          <w:rFonts w:hint="eastAsia" w:ascii="宋体" w:hAnsi="宋体"/>
          <w:bCs/>
          <w:sz w:val="24"/>
          <w:highlight w:val="none"/>
          <w:lang w:eastAsia="zh-CN"/>
        </w:rPr>
        <w:t>开标</w:t>
      </w:r>
      <w:r>
        <w:rPr>
          <w:rFonts w:hint="eastAsia" w:ascii="宋体" w:hAnsi="宋体"/>
          <w:bCs/>
          <w:sz w:val="24"/>
          <w:highlight w:val="none"/>
          <w:lang w:val="en-US" w:eastAsia="zh-CN"/>
        </w:rPr>
        <w:t>程序</w:t>
      </w:r>
    </w:p>
    <w:p w14:paraId="67EE225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1代理机构将在采购公告中规定的时间和地点组织谈判开始仪式。</w:t>
      </w:r>
      <w:r>
        <w:rPr>
          <w:rFonts w:hint="eastAsia" w:ascii="宋体" w:hAnsi="宋体"/>
          <w:bCs/>
          <w:sz w:val="24"/>
          <w:highlight w:val="none"/>
          <w:lang w:eastAsia="zh-CN"/>
        </w:rPr>
        <w:t>谈判</w:t>
      </w:r>
      <w:r>
        <w:rPr>
          <w:rFonts w:hint="eastAsia" w:ascii="宋体" w:hAnsi="宋体"/>
          <w:bCs/>
          <w:sz w:val="24"/>
          <w:highlight w:val="none"/>
        </w:rPr>
        <w:t>供应商应当按照《操作手册》规定，参加谈判活动。</w:t>
      </w:r>
    </w:p>
    <w:p w14:paraId="7572A11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yellow"/>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2</w:t>
      </w:r>
      <w:r>
        <w:rPr>
          <w:rFonts w:hint="eastAsia" w:ascii="宋体" w:hAnsi="宋体"/>
          <w:bCs/>
          <w:sz w:val="24"/>
          <w:highlight w:val="none"/>
          <w:lang w:eastAsia="zh-CN"/>
        </w:rPr>
        <w:t>谈判</w:t>
      </w:r>
      <w:r>
        <w:rPr>
          <w:rFonts w:hint="eastAsia" w:ascii="宋体" w:hAnsi="宋体"/>
          <w:bCs/>
          <w:sz w:val="24"/>
          <w:highlight w:val="none"/>
        </w:rPr>
        <w:t>供应商在谈判过程中涉及响应文件解密等工作，应按照《操作手册》规定执行。</w:t>
      </w:r>
    </w:p>
    <w:p w14:paraId="25C6A1C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2.3</w:t>
      </w:r>
      <w:r>
        <w:rPr>
          <w:rFonts w:hint="eastAsia" w:ascii="宋体" w:hAnsi="宋体"/>
          <w:bCs/>
          <w:sz w:val="24"/>
          <w:highlight w:val="none"/>
        </w:rPr>
        <w:t>响应文件提交截止时间结束后参加</w:t>
      </w:r>
      <w:r>
        <w:rPr>
          <w:rFonts w:hint="eastAsia" w:ascii="宋体" w:hAnsi="宋体"/>
          <w:bCs/>
          <w:sz w:val="24"/>
          <w:highlight w:val="none"/>
          <w:lang w:eastAsia="zh-CN"/>
        </w:rPr>
        <w:t>谈判</w:t>
      </w:r>
      <w:r>
        <w:rPr>
          <w:rFonts w:hint="eastAsia" w:ascii="宋体" w:hAnsi="宋体"/>
          <w:bCs/>
          <w:sz w:val="24"/>
          <w:highlight w:val="none"/>
        </w:rPr>
        <w:t>的供应商不足三家情况的，除采购任务取消情形外，按财政部令第74号第二十七条条款进行处理。</w:t>
      </w:r>
    </w:p>
    <w:p w14:paraId="4DE6FCF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交易采购说明</w:t>
      </w:r>
    </w:p>
    <w:p w14:paraId="2D5D4D7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.1由于</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自身原因导致项目不能正常进行的，项目作废标处理。</w:t>
      </w:r>
    </w:p>
    <w:p w14:paraId="76702CA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.2本项目中的时间均以国家授时中心发布的时间为准。</w:t>
      </w:r>
    </w:p>
    <w:p w14:paraId="5513A08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.3本项目下载谈判文件、上传响应文件均通过互联网操作，请</w:t>
      </w:r>
      <w:r>
        <w:rPr>
          <w:rFonts w:hint="eastAsia" w:ascii="宋体" w:hAnsi="宋体"/>
          <w:bCs/>
          <w:sz w:val="24"/>
          <w:highlight w:val="none"/>
          <w:lang w:eastAsia="zh-CN"/>
        </w:rPr>
        <w:t>谈判</w:t>
      </w:r>
      <w:r>
        <w:rPr>
          <w:rFonts w:hint="eastAsia" w:ascii="宋体" w:hAnsi="宋体"/>
          <w:bCs/>
          <w:sz w:val="24"/>
          <w:highlight w:val="none"/>
        </w:rPr>
        <w:t>供应商充分考虑网络拥堵及平台操作所需时间等因素。因</w:t>
      </w:r>
      <w:r>
        <w:rPr>
          <w:rFonts w:hint="eastAsia" w:ascii="宋体" w:hAnsi="宋体"/>
          <w:bCs/>
          <w:sz w:val="24"/>
          <w:highlight w:val="none"/>
          <w:lang w:eastAsia="zh-CN"/>
        </w:rPr>
        <w:t>谈判</w:t>
      </w:r>
      <w:r>
        <w:rPr>
          <w:rFonts w:hint="eastAsia" w:ascii="宋体" w:hAnsi="宋体"/>
          <w:bCs/>
          <w:sz w:val="24"/>
          <w:highlight w:val="none"/>
        </w:rPr>
        <w:t>供应商自身原因导致操作失败的，其责任自负。</w:t>
      </w:r>
    </w:p>
    <w:p w14:paraId="5614B80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.4本项目响应文件的编制使用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w:t>
      </w:r>
      <w:r>
        <w:rPr>
          <w:rFonts w:hint="eastAsia" w:ascii="宋体" w:hAnsi="宋体"/>
          <w:bCs/>
          <w:sz w:val="24"/>
          <w:highlight w:val="none"/>
          <w:lang w:eastAsia="zh-CN"/>
        </w:rPr>
        <w:t>谈判</w:t>
      </w:r>
      <w:r>
        <w:rPr>
          <w:rFonts w:hint="eastAsia" w:ascii="宋体" w:hAnsi="宋体"/>
          <w:bCs/>
          <w:sz w:val="24"/>
          <w:highlight w:val="none"/>
        </w:rPr>
        <w:t>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谈判</w:t>
      </w:r>
      <w:r>
        <w:rPr>
          <w:rFonts w:hint="eastAsia" w:ascii="宋体" w:hAnsi="宋体"/>
          <w:bCs/>
          <w:sz w:val="24"/>
          <w:highlight w:val="none"/>
        </w:rPr>
        <w:t>供应商自负。</w:t>
      </w:r>
      <w:r>
        <w:rPr>
          <w:rFonts w:hint="eastAsia" w:ascii="宋体" w:hAnsi="宋体"/>
          <w:bCs/>
          <w:sz w:val="24"/>
          <w:highlight w:val="none"/>
          <w:lang w:eastAsia="zh-CN"/>
        </w:rPr>
        <w:t>谈判</w:t>
      </w:r>
      <w:r>
        <w:rPr>
          <w:rFonts w:hint="eastAsia" w:ascii="宋体" w:hAnsi="宋体"/>
          <w:bCs/>
          <w:sz w:val="24"/>
          <w:highlight w:val="none"/>
        </w:rPr>
        <w:t>供应商如对正确使用</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客户端有疑问的，请与软件公司技术人员联系。</w:t>
      </w:r>
    </w:p>
    <w:p w14:paraId="0229339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.5“全流程</w:t>
      </w:r>
      <w:r>
        <w:rPr>
          <w:rFonts w:hint="eastAsia" w:ascii="宋体" w:hAnsi="宋体"/>
          <w:bCs/>
          <w:sz w:val="24"/>
          <w:highlight w:val="none"/>
          <w:lang w:eastAsia="zh-CN"/>
        </w:rPr>
        <w:t>不见面</w:t>
      </w:r>
      <w:r>
        <w:rPr>
          <w:rFonts w:hint="eastAsia" w:ascii="宋体" w:hAnsi="宋体"/>
          <w:bCs/>
          <w:sz w:val="24"/>
          <w:highlight w:val="none"/>
        </w:rPr>
        <w:t>交易”活动当日，</w:t>
      </w:r>
      <w:r>
        <w:rPr>
          <w:rFonts w:hint="eastAsia" w:ascii="宋体" w:hAnsi="宋体"/>
          <w:bCs/>
          <w:sz w:val="24"/>
          <w:highlight w:val="none"/>
          <w:lang w:eastAsia="zh-CN"/>
        </w:rPr>
        <w:t>谈判</w:t>
      </w:r>
      <w:r>
        <w:rPr>
          <w:rFonts w:hint="eastAsia" w:ascii="宋体" w:hAnsi="宋体"/>
          <w:bCs/>
          <w:sz w:val="24"/>
          <w:highlight w:val="none"/>
        </w:rPr>
        <w:t>供应商不必抵达现场，仅需在任意地点登录</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观看项目的活动组织。为保障</w:t>
      </w:r>
      <w:r>
        <w:rPr>
          <w:rFonts w:hint="eastAsia" w:ascii="宋体" w:hAnsi="宋体"/>
          <w:bCs/>
          <w:sz w:val="24"/>
          <w:highlight w:val="none"/>
          <w:lang w:eastAsia="zh-CN"/>
        </w:rPr>
        <w:t>谈判</w:t>
      </w:r>
      <w:r>
        <w:rPr>
          <w:rFonts w:hint="eastAsia" w:ascii="宋体" w:hAnsi="宋体"/>
          <w:bCs/>
          <w:sz w:val="24"/>
          <w:highlight w:val="none"/>
        </w:rPr>
        <w:t>供应商权益以及避免围标串标的情况，</w:t>
      </w:r>
      <w:r>
        <w:rPr>
          <w:rFonts w:hint="eastAsia" w:ascii="宋体" w:hAnsi="宋体"/>
          <w:bCs/>
          <w:sz w:val="24"/>
          <w:highlight w:val="none"/>
          <w:lang w:eastAsia="zh-CN"/>
        </w:rPr>
        <w:t>谈判</w:t>
      </w:r>
      <w:r>
        <w:rPr>
          <w:rFonts w:hint="eastAsia" w:ascii="宋体" w:hAnsi="宋体"/>
          <w:bCs/>
          <w:sz w:val="24"/>
          <w:highlight w:val="none"/>
        </w:rPr>
        <w:t>供应商必须插CA锁登录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lang w:eastAsia="zh-CN"/>
        </w:rPr>
        <w:t>，</w:t>
      </w:r>
      <w:r>
        <w:rPr>
          <w:rFonts w:hint="eastAsia" w:ascii="宋体" w:hAnsi="宋体"/>
          <w:bCs/>
          <w:sz w:val="24"/>
          <w:highlight w:val="none"/>
        </w:rPr>
        <w:t>具体操作详见《操作手册》。</w:t>
      </w:r>
    </w:p>
    <w:p w14:paraId="625F4F6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.6电子响应文件开启时间前，各</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受托</w:t>
      </w:r>
      <w:r>
        <w:rPr>
          <w:rFonts w:hint="eastAsia" w:ascii="宋体" w:hAnsi="宋体"/>
          <w:bCs/>
          <w:sz w:val="24"/>
          <w:highlight w:val="none"/>
        </w:rPr>
        <w:t>人或法</w:t>
      </w:r>
      <w:r>
        <w:rPr>
          <w:rFonts w:hint="eastAsia" w:ascii="宋体" w:hAnsi="宋体"/>
          <w:bCs/>
          <w:sz w:val="24"/>
          <w:highlight w:val="none"/>
          <w:lang w:eastAsia="zh-CN"/>
        </w:rPr>
        <w:t>定</w:t>
      </w:r>
      <w:r>
        <w:rPr>
          <w:rFonts w:hint="eastAsia" w:ascii="宋体" w:hAnsi="宋体"/>
          <w:bCs/>
          <w:sz w:val="24"/>
          <w:highlight w:val="none"/>
        </w:rPr>
        <w:t>代表人提前进入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 xml:space="preserve">，根据操作手册验证CA与签章是否正常，以免影响响应文件的解密。 </w:t>
      </w:r>
    </w:p>
    <w:p w14:paraId="3B4CB24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.7电子响应文件开启后，代理机构将在</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内公布</w:t>
      </w:r>
      <w:r>
        <w:rPr>
          <w:rFonts w:hint="eastAsia" w:ascii="宋体" w:hAnsi="宋体"/>
          <w:bCs/>
          <w:sz w:val="24"/>
          <w:highlight w:val="none"/>
          <w:lang w:eastAsia="zh-CN"/>
        </w:rPr>
        <w:t>谈判</w:t>
      </w:r>
      <w:r>
        <w:rPr>
          <w:rFonts w:hint="eastAsia" w:ascii="宋体" w:hAnsi="宋体"/>
          <w:bCs/>
          <w:sz w:val="24"/>
          <w:highlight w:val="none"/>
        </w:rPr>
        <w:t>供应商名单，然后通过大厅操作区发出响应文件解密的指令，</w:t>
      </w:r>
      <w:r>
        <w:rPr>
          <w:rFonts w:hint="eastAsia" w:ascii="宋体" w:hAnsi="宋体"/>
          <w:bCs/>
          <w:sz w:val="24"/>
          <w:highlight w:val="none"/>
          <w:lang w:eastAsia="zh-CN"/>
        </w:rPr>
        <w:t>谈判</w:t>
      </w:r>
      <w:r>
        <w:rPr>
          <w:rFonts w:hint="eastAsia" w:ascii="宋体" w:hAnsi="宋体"/>
          <w:bCs/>
          <w:sz w:val="24"/>
          <w:highlight w:val="none"/>
        </w:rPr>
        <w:t>供应商在各自地点按规定时间自行实施远程解密，</w:t>
      </w:r>
      <w:r>
        <w:rPr>
          <w:rFonts w:hint="eastAsia" w:ascii="宋体" w:hAnsi="宋体"/>
          <w:bCs/>
          <w:sz w:val="24"/>
          <w:highlight w:val="none"/>
          <w:lang w:eastAsia="zh-CN"/>
        </w:rPr>
        <w:t>谈判</w:t>
      </w:r>
      <w:r>
        <w:rPr>
          <w:rFonts w:hint="eastAsia" w:ascii="宋体" w:hAnsi="宋体"/>
          <w:bCs/>
          <w:sz w:val="24"/>
          <w:highlight w:val="none"/>
        </w:rPr>
        <w:t>供应商解密限定在主持人发布解密指令后</w:t>
      </w:r>
      <w:r>
        <w:rPr>
          <w:rFonts w:hint="eastAsia" w:ascii="宋体" w:hAnsi="宋体"/>
          <w:bCs/>
          <w:sz w:val="24"/>
          <w:highlight w:val="none"/>
          <w:lang w:val="en-US" w:eastAsia="zh-CN"/>
        </w:rPr>
        <w:t>30</w:t>
      </w:r>
      <w:r>
        <w:rPr>
          <w:rFonts w:hint="eastAsia" w:ascii="宋体" w:hAnsi="宋体"/>
          <w:bCs/>
          <w:sz w:val="24"/>
          <w:highlight w:val="none"/>
        </w:rPr>
        <w:t>分钟内完成</w:t>
      </w:r>
      <w:r>
        <w:rPr>
          <w:rFonts w:hint="eastAsia" w:ascii="宋体" w:hAnsi="宋体"/>
          <w:bCs/>
          <w:sz w:val="24"/>
          <w:highlight w:val="none"/>
          <w:lang w:eastAsia="zh-CN"/>
        </w:rPr>
        <w:t>（具体时长以系统规定为准）</w:t>
      </w:r>
      <w:r>
        <w:rPr>
          <w:rFonts w:hint="eastAsia" w:ascii="宋体" w:hAnsi="宋体"/>
          <w:bCs/>
          <w:sz w:val="24"/>
          <w:highlight w:val="none"/>
        </w:rPr>
        <w:t>。因</w:t>
      </w:r>
      <w:r>
        <w:rPr>
          <w:rFonts w:hint="eastAsia" w:ascii="宋体" w:hAnsi="宋体"/>
          <w:bCs/>
          <w:sz w:val="24"/>
          <w:highlight w:val="none"/>
          <w:lang w:eastAsia="zh-CN"/>
        </w:rPr>
        <w:t>谈判</w:t>
      </w:r>
      <w:r>
        <w:rPr>
          <w:rFonts w:hint="eastAsia" w:ascii="宋体" w:hAnsi="宋体"/>
          <w:bCs/>
          <w:sz w:val="24"/>
          <w:highlight w:val="none"/>
        </w:rPr>
        <w:t>供应商网络与电源不稳定、未按《操作手册》要求配置软硬件</w:t>
      </w:r>
      <w:r>
        <w:rPr>
          <w:rFonts w:hint="eastAsia" w:ascii="宋体" w:hAnsi="宋体"/>
          <w:bCs/>
          <w:sz w:val="24"/>
          <w:highlight w:val="none"/>
          <w:lang w:eastAsia="zh-CN"/>
        </w:rPr>
        <w:t>、</w:t>
      </w:r>
      <w:r>
        <w:rPr>
          <w:rFonts w:hint="eastAsia" w:ascii="宋体" w:hAnsi="宋体"/>
          <w:bCs/>
          <w:sz w:val="24"/>
          <w:highlight w:val="none"/>
        </w:rPr>
        <w:t>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发生故障，导致无法按时完成响应文件解密，可根据实际情况相应延迟解密时间。本项目在限定的解密时间内，只要有任一家</w:t>
      </w:r>
      <w:r>
        <w:rPr>
          <w:rFonts w:hint="eastAsia" w:ascii="宋体" w:hAnsi="宋体"/>
          <w:bCs/>
          <w:sz w:val="24"/>
          <w:highlight w:val="none"/>
          <w:lang w:eastAsia="zh-CN"/>
        </w:rPr>
        <w:t>谈判供应商</w:t>
      </w:r>
      <w:r>
        <w:rPr>
          <w:rFonts w:hint="eastAsia" w:ascii="宋体" w:hAnsi="宋体"/>
          <w:bCs/>
          <w:sz w:val="24"/>
          <w:highlight w:val="none"/>
        </w:rPr>
        <w:t>解密成功，即视为</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运行无故障。</w:t>
      </w:r>
    </w:p>
    <w:p w14:paraId="173BAF8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.8活动全过程中，各</w:t>
      </w:r>
      <w:r>
        <w:rPr>
          <w:rFonts w:hint="eastAsia" w:ascii="宋体" w:hAnsi="宋体"/>
          <w:bCs/>
          <w:sz w:val="24"/>
          <w:highlight w:val="none"/>
          <w:lang w:eastAsia="zh-CN"/>
        </w:rPr>
        <w:t>谈判</w:t>
      </w:r>
      <w:r>
        <w:rPr>
          <w:rFonts w:hint="eastAsia" w:ascii="宋体" w:hAnsi="宋体"/>
          <w:bCs/>
          <w:sz w:val="24"/>
          <w:highlight w:val="none"/>
        </w:rPr>
        <w:t>供应商参与澄清、说明、补正、远程交互的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代表人应始终为同一个人，中途不得更换，在澄清、说明、补正、异议提出等特殊情况下需要交互时，</w:t>
      </w:r>
      <w:r>
        <w:rPr>
          <w:rFonts w:hint="eastAsia" w:ascii="宋体" w:hAnsi="宋体"/>
          <w:bCs/>
          <w:sz w:val="24"/>
          <w:highlight w:val="none"/>
          <w:lang w:eastAsia="zh-CN"/>
        </w:rPr>
        <w:t>谈判</w:t>
      </w:r>
      <w:r>
        <w:rPr>
          <w:rFonts w:hint="eastAsia" w:ascii="宋体" w:hAnsi="宋体"/>
          <w:bCs/>
          <w:sz w:val="24"/>
          <w:highlight w:val="none"/>
        </w:rPr>
        <w:t>供应商一端参与交互的人员将均被视为是</w:t>
      </w:r>
      <w:r>
        <w:rPr>
          <w:rFonts w:hint="eastAsia" w:ascii="宋体" w:hAnsi="宋体"/>
          <w:bCs/>
          <w:sz w:val="24"/>
          <w:highlight w:val="none"/>
          <w:lang w:eastAsia="zh-CN"/>
        </w:rPr>
        <w:t>谈判</w:t>
      </w:r>
      <w:r>
        <w:rPr>
          <w:rFonts w:hint="eastAsia" w:ascii="宋体" w:hAnsi="宋体"/>
          <w:bCs/>
          <w:sz w:val="24"/>
          <w:highlight w:val="none"/>
        </w:rPr>
        <w:t>供应商的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bCs/>
          <w:sz w:val="24"/>
          <w:highlight w:val="none"/>
          <w:lang w:eastAsia="zh-CN"/>
        </w:rPr>
        <w:t>谈判</w:t>
      </w:r>
      <w:r>
        <w:rPr>
          <w:rFonts w:hint="eastAsia" w:ascii="宋体" w:hAnsi="宋体"/>
          <w:bCs/>
          <w:sz w:val="24"/>
          <w:highlight w:val="none"/>
        </w:rPr>
        <w:t>供应商不得以不承认交互人员的资格或身份等为借口抵赖推脱，</w:t>
      </w:r>
      <w:r>
        <w:rPr>
          <w:rFonts w:hint="eastAsia" w:ascii="宋体" w:hAnsi="宋体"/>
          <w:bCs/>
          <w:sz w:val="24"/>
          <w:highlight w:val="none"/>
          <w:lang w:eastAsia="zh-CN"/>
        </w:rPr>
        <w:t>谈判</w:t>
      </w:r>
      <w:r>
        <w:rPr>
          <w:rFonts w:hint="eastAsia" w:ascii="宋体" w:hAnsi="宋体"/>
          <w:bCs/>
          <w:sz w:val="24"/>
          <w:highlight w:val="none"/>
        </w:rPr>
        <w:t>供应商自行承担随意更换人员所导致的一切后果。</w:t>
      </w:r>
    </w:p>
    <w:p w14:paraId="4411BD2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highlight w:val="none"/>
          <w:lang w:eastAsia="zh-CN"/>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.9为顺利实现本项目交易活动组织的远程交互，建议</w:t>
      </w:r>
      <w:r>
        <w:rPr>
          <w:rFonts w:hint="eastAsia" w:ascii="宋体" w:hAnsi="宋体"/>
          <w:bCs/>
          <w:sz w:val="24"/>
          <w:highlight w:val="none"/>
          <w:lang w:eastAsia="zh-CN"/>
        </w:rPr>
        <w:t>谈判</w:t>
      </w:r>
      <w:r>
        <w:rPr>
          <w:rFonts w:hint="eastAsia" w:ascii="宋体" w:hAnsi="宋体"/>
          <w:bCs/>
          <w:sz w:val="24"/>
          <w:highlight w:val="none"/>
        </w:rPr>
        <w:t>供应商配置相关软硬件设施，具体包括</w:t>
      </w:r>
      <w:r>
        <w:rPr>
          <w:rFonts w:hint="eastAsia" w:ascii="宋体" w:hAnsi="宋体"/>
          <w:bCs/>
          <w:sz w:val="24"/>
          <w:highlight w:val="none"/>
          <w:lang w:eastAsia="zh-CN"/>
        </w:rPr>
        <w:t>：</w:t>
      </w:r>
    </w:p>
    <w:p w14:paraId="5260D94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.9.1软件设施</w:t>
      </w:r>
      <w:r>
        <w:rPr>
          <w:rFonts w:hint="eastAsia" w:ascii="宋体" w:hAnsi="宋体"/>
          <w:bCs/>
          <w:sz w:val="24"/>
          <w:highlight w:val="none"/>
          <w:lang w:eastAsia="zh-CN"/>
        </w:rPr>
        <w:t>：</w:t>
      </w:r>
      <w:r>
        <w:rPr>
          <w:rFonts w:hint="eastAsia" w:ascii="宋体" w:hAnsi="宋体"/>
          <w:bCs/>
          <w:sz w:val="24"/>
          <w:highlight w:val="none"/>
        </w:rPr>
        <w:t>谷歌浏览器或360安全浏览器，同时必须安装</w:t>
      </w:r>
      <w:r>
        <w:rPr>
          <w:rFonts w:hint="eastAsia" w:ascii="宋体" w:hAnsi="宋体"/>
          <w:color w:val="000000"/>
          <w:sz w:val="24"/>
          <w:highlight w:val="none"/>
        </w:rPr>
        <w:t>“</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客户端所要求的驱动。</w:t>
      </w:r>
    </w:p>
    <w:p w14:paraId="46E838B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.9.2硬件设施</w:t>
      </w:r>
      <w:r>
        <w:rPr>
          <w:rFonts w:hint="eastAsia" w:ascii="宋体" w:hAnsi="宋体"/>
          <w:bCs/>
          <w:sz w:val="24"/>
          <w:highlight w:val="none"/>
          <w:lang w:eastAsia="zh-CN"/>
        </w:rPr>
        <w:t>：</w:t>
      </w:r>
      <w:r>
        <w:rPr>
          <w:rFonts w:hint="eastAsia" w:ascii="宋体" w:hAnsi="宋体"/>
          <w:bCs/>
          <w:sz w:val="24"/>
          <w:highlight w:val="none"/>
        </w:rPr>
        <w:t>高配置电脑（内存4G以上，建议屏幕分辨率</w:t>
      </w:r>
      <w:r>
        <w:rPr>
          <w:rFonts w:hint="eastAsia" w:ascii="宋体" w:hAnsi="宋体"/>
          <w:bCs/>
          <w:sz w:val="24"/>
          <w:highlight w:val="none"/>
          <w:lang w:eastAsia="zh-CN"/>
        </w:rPr>
        <w:t>为</w:t>
      </w:r>
      <w:r>
        <w:rPr>
          <w:rFonts w:hint="eastAsia" w:ascii="宋体" w:hAnsi="宋体"/>
          <w:bCs/>
          <w:sz w:val="24"/>
          <w:highlight w:val="none"/>
        </w:rPr>
        <w:t>1024*768像素或以上，不要使用上网本）、高速稳定的网络、CA锁、音视频设备</w:t>
      </w:r>
      <w:r>
        <w:rPr>
          <w:rFonts w:hint="eastAsia" w:ascii="宋体" w:hAnsi="宋体"/>
          <w:bCs/>
          <w:sz w:val="24"/>
          <w:highlight w:val="none"/>
          <w:lang w:eastAsia="zh-CN"/>
        </w:rPr>
        <w:t>〔</w:t>
      </w:r>
      <w:r>
        <w:rPr>
          <w:rFonts w:hint="eastAsia" w:ascii="宋体" w:hAnsi="宋体"/>
          <w:bCs/>
          <w:sz w:val="24"/>
          <w:highlight w:val="none"/>
        </w:rPr>
        <w:t>话筒、耳麦、高清摄像头（支持分辨率720P及以上）、音响</w:t>
      </w:r>
      <w:r>
        <w:rPr>
          <w:rFonts w:hint="eastAsia" w:ascii="宋体" w:hAnsi="宋体"/>
          <w:bCs/>
          <w:sz w:val="24"/>
          <w:highlight w:val="none"/>
          <w:lang w:eastAsia="zh-CN"/>
        </w:rPr>
        <w:t>〕</w:t>
      </w:r>
      <w:r>
        <w:rPr>
          <w:rFonts w:hint="eastAsia" w:ascii="宋体" w:hAnsi="宋体"/>
          <w:bCs/>
          <w:sz w:val="24"/>
          <w:highlight w:val="none"/>
        </w:rPr>
        <w:t>等。</w:t>
      </w:r>
    </w:p>
    <w:p w14:paraId="3E58F3E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.9.3为保证交互效果，要求</w:t>
      </w:r>
      <w:r>
        <w:rPr>
          <w:rFonts w:hint="eastAsia" w:ascii="宋体" w:hAnsi="宋体"/>
          <w:bCs/>
          <w:sz w:val="24"/>
          <w:highlight w:val="none"/>
          <w:lang w:eastAsia="zh-CN"/>
        </w:rPr>
        <w:t>谈判</w:t>
      </w:r>
      <w:r>
        <w:rPr>
          <w:rFonts w:hint="eastAsia" w:ascii="宋体" w:hAnsi="宋体"/>
          <w:bCs/>
          <w:sz w:val="24"/>
          <w:highlight w:val="none"/>
        </w:rPr>
        <w:t>供应商按上述要求配置相关软硬件并选择封闭安静的地点参与远程交互。因</w:t>
      </w:r>
      <w:r>
        <w:rPr>
          <w:rFonts w:hint="eastAsia" w:ascii="宋体" w:hAnsi="宋体"/>
          <w:bCs/>
          <w:sz w:val="24"/>
          <w:highlight w:val="none"/>
          <w:lang w:eastAsia="zh-CN"/>
        </w:rPr>
        <w:t>谈判</w:t>
      </w:r>
      <w:r>
        <w:rPr>
          <w:rFonts w:hint="eastAsia" w:ascii="宋体" w:hAnsi="宋体"/>
          <w:bCs/>
          <w:sz w:val="24"/>
          <w:highlight w:val="none"/>
        </w:rPr>
        <w:t>供应商自身软硬件配备不齐全或发生故障等问题而导致在交互过程中出现不稳定或中断等情况的，由</w:t>
      </w:r>
      <w:r>
        <w:rPr>
          <w:rFonts w:hint="eastAsia" w:ascii="宋体" w:hAnsi="宋体"/>
          <w:bCs/>
          <w:sz w:val="24"/>
          <w:highlight w:val="none"/>
          <w:lang w:eastAsia="zh-CN"/>
        </w:rPr>
        <w:t>谈判</w:t>
      </w:r>
      <w:r>
        <w:rPr>
          <w:rFonts w:hint="eastAsia" w:ascii="宋体" w:hAnsi="宋体"/>
          <w:bCs/>
          <w:sz w:val="24"/>
          <w:highlight w:val="none"/>
        </w:rPr>
        <w:t>供应商自身承担一切后果。</w:t>
      </w:r>
    </w:p>
    <w:p w14:paraId="55313E8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.10</w:t>
      </w:r>
      <w:r>
        <w:rPr>
          <w:rFonts w:hint="eastAsia" w:ascii="宋体" w:hAnsi="宋体"/>
          <w:bCs/>
          <w:sz w:val="24"/>
          <w:highlight w:val="none"/>
          <w:lang w:eastAsia="zh-CN"/>
        </w:rPr>
        <w:t>谈判</w:t>
      </w:r>
      <w:r>
        <w:rPr>
          <w:rFonts w:hint="eastAsia" w:ascii="宋体" w:hAnsi="宋体"/>
          <w:bCs/>
          <w:sz w:val="24"/>
          <w:highlight w:val="none"/>
        </w:rPr>
        <w:t>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w:t>
      </w:r>
      <w:r>
        <w:rPr>
          <w:rFonts w:hint="eastAsia" w:ascii="宋体" w:hAnsi="宋体" w:eastAsia="宋体" w:cs="Times New Roman"/>
          <w:b w:val="0"/>
          <w:bCs/>
          <w:kern w:val="2"/>
          <w:sz w:val="24"/>
          <w:szCs w:val="24"/>
          <w:highlight w:val="none"/>
          <w:lang w:val="en-US" w:eastAsia="zh-CN" w:bidi="ar-SA"/>
        </w:rPr>
        <w:t>0517-83638013</w:t>
      </w:r>
      <w:r>
        <w:rPr>
          <w:rFonts w:hint="eastAsia" w:ascii="宋体" w:hAnsi="宋体"/>
          <w:bCs/>
          <w:sz w:val="24"/>
          <w:highlight w:val="none"/>
        </w:rPr>
        <w:t>。</w:t>
      </w:r>
    </w:p>
    <w:p w14:paraId="5A97F5C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谈判工作由</w:t>
      </w:r>
      <w:r>
        <w:rPr>
          <w:rFonts w:hint="eastAsia" w:ascii="宋体" w:hAnsi="宋体"/>
          <w:bCs/>
          <w:sz w:val="24"/>
          <w:highlight w:val="none"/>
          <w:lang w:eastAsia="zh-CN"/>
        </w:rPr>
        <w:t>代理机构</w:t>
      </w:r>
      <w:r>
        <w:rPr>
          <w:rFonts w:hint="eastAsia" w:ascii="宋体" w:hAnsi="宋体"/>
          <w:bCs/>
          <w:sz w:val="24"/>
          <w:highlight w:val="none"/>
        </w:rPr>
        <w:t>负责组织，具体谈判事务由依法组建的谈判小组负责。</w:t>
      </w:r>
    </w:p>
    <w:p w14:paraId="51E70F9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.1谈判小组由采购人代表和评审专家共3人以上单数组成。</w:t>
      </w:r>
    </w:p>
    <w:p w14:paraId="0B56939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.2谈判小组应以科学、公正的态度参加评审工作并推荐成交候选人。谈判小组在评审过程中不受任何干扰，独立、负责地提出评审意见，并对自己的评审意见承担责任。</w:t>
      </w:r>
    </w:p>
    <w:p w14:paraId="30B3EC7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.3谈</w:t>
      </w:r>
      <w:r>
        <w:rPr>
          <w:rFonts w:hint="eastAsia" w:ascii="宋体" w:hAnsi="宋体"/>
          <w:bCs/>
          <w:sz w:val="24"/>
        </w:rPr>
        <w:t>判小组应对供应商的商业、技术秘密予以保密。</w:t>
      </w:r>
    </w:p>
    <w:p w14:paraId="3EA9F2B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.谈判程序</w:t>
      </w:r>
    </w:p>
    <w:p w14:paraId="3F5ABED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.1响应文件的资格审查</w:t>
      </w:r>
    </w:p>
    <w:p w14:paraId="5AD9F1C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.1.1谈判小组依法对</w:t>
      </w:r>
      <w:r>
        <w:rPr>
          <w:rFonts w:hint="eastAsia" w:ascii="宋体" w:hAnsi="宋体"/>
          <w:bCs/>
          <w:sz w:val="24"/>
          <w:lang w:eastAsia="zh-CN"/>
        </w:rPr>
        <w:t>谈判</w:t>
      </w:r>
      <w:r>
        <w:rPr>
          <w:rFonts w:hint="eastAsia" w:ascii="宋体" w:hAnsi="宋体"/>
          <w:bCs/>
          <w:sz w:val="24"/>
        </w:rPr>
        <w:t>供应商的资格进行审查。</w:t>
      </w:r>
    </w:p>
    <w:p w14:paraId="365BFFF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ascii="宋体" w:hAnsi="宋体"/>
          <w:bCs/>
          <w:sz w:val="24"/>
        </w:rPr>
        <w:t>19</w:t>
      </w:r>
      <w:r>
        <w:rPr>
          <w:rFonts w:hint="eastAsia" w:ascii="宋体" w:hAnsi="宋体"/>
          <w:bCs/>
          <w:sz w:val="24"/>
          <w:lang w:val="zh-CN"/>
        </w:rPr>
        <w:t>.1.1.1资格性审查：依据法律法规和谈判文件的规定，对响应文件中的资格证明文件进行审查，以确定谈判供应商是否具备谈判资格。</w:t>
      </w:r>
    </w:p>
    <w:p w14:paraId="00F7292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ascii="宋体" w:hAnsi="宋体"/>
          <w:bCs/>
          <w:sz w:val="24"/>
        </w:rPr>
        <w:t>19</w:t>
      </w:r>
      <w:r>
        <w:rPr>
          <w:rFonts w:hint="eastAsia" w:ascii="宋体" w:hAnsi="宋体"/>
          <w:bCs/>
          <w:sz w:val="24"/>
          <w:lang w:val="zh-CN"/>
        </w:rPr>
        <w:t>.1.1.2在进行资格性审查的同时，将在“信用中国”网站、“中国政府采购网”对</w:t>
      </w:r>
      <w:r>
        <w:rPr>
          <w:rFonts w:hint="eastAsia" w:ascii="宋体" w:hAnsi="宋体"/>
          <w:bCs/>
          <w:sz w:val="24"/>
          <w:highlight w:val="none"/>
          <w:lang w:eastAsia="zh-CN"/>
        </w:rPr>
        <w:t>谈判</w:t>
      </w:r>
      <w:r>
        <w:rPr>
          <w:rFonts w:hint="eastAsia" w:ascii="宋体" w:hAnsi="宋体"/>
          <w:bCs/>
          <w:sz w:val="24"/>
          <w:lang w:val="zh-CN"/>
        </w:rPr>
        <w:t>供应商是否被列入失信被执行人、重大税收违法案件当事人名单、政府采购严重违法失信行为记录名单的情况进行查询，以确定谈判供应商是否具备谈判资格。</w:t>
      </w:r>
    </w:p>
    <w:p w14:paraId="2631370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lang w:val="zh-CN"/>
        </w:rPr>
        <w:t>.1.1.3响应文件有下列情况之一的，在资格性审查时按照无效响应文件处理：</w:t>
      </w:r>
    </w:p>
    <w:p w14:paraId="6BAF2A0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val="zh-CN" w:eastAsia="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）不具备谈判文件中规定的资格要求的；</w:t>
      </w:r>
    </w:p>
    <w:p w14:paraId="106BDD3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red"/>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）谈判</w:t>
      </w:r>
      <w:r>
        <w:rPr>
          <w:rFonts w:hint="eastAsia" w:ascii="宋体" w:hAnsi="宋体"/>
          <w:bCs/>
          <w:sz w:val="24"/>
          <w:highlight w:val="none"/>
          <w:lang w:val="zh-CN"/>
        </w:rPr>
        <w:t>供应商被“信用中国”网站、</w:t>
      </w:r>
      <w:r>
        <w:rPr>
          <w:rFonts w:hint="eastAsia" w:ascii="宋体" w:hAnsi="宋体"/>
          <w:bCs/>
          <w:sz w:val="24"/>
          <w:highlight w:val="none"/>
        </w:rPr>
        <w:t>“中国政府采购网”</w:t>
      </w:r>
      <w:r>
        <w:rPr>
          <w:rFonts w:hint="eastAsia" w:ascii="宋体" w:hAnsi="宋体"/>
          <w:bCs/>
          <w:sz w:val="24"/>
        </w:rPr>
        <w:t>列入失信被执行人</w:t>
      </w:r>
      <w:r>
        <w:rPr>
          <w:rFonts w:hint="eastAsia" w:ascii="宋体" w:hAnsi="宋体"/>
          <w:bCs/>
          <w:sz w:val="24"/>
          <w:lang w:eastAsia="zh-CN"/>
        </w:rPr>
        <w:t>，或</w:t>
      </w:r>
      <w:r>
        <w:rPr>
          <w:rFonts w:hint="eastAsia" w:ascii="宋体" w:hAnsi="宋体"/>
          <w:bCs/>
          <w:sz w:val="24"/>
        </w:rPr>
        <w:t>重大税收违法案件当事人名单</w:t>
      </w:r>
      <w:r>
        <w:rPr>
          <w:rFonts w:hint="eastAsia" w:ascii="宋体" w:hAnsi="宋体"/>
          <w:bCs/>
          <w:sz w:val="24"/>
          <w:lang w:eastAsia="zh-CN"/>
        </w:rPr>
        <w:t>，或</w:t>
      </w:r>
      <w:r>
        <w:rPr>
          <w:rFonts w:hint="eastAsia" w:ascii="宋体" w:hAnsi="宋体"/>
          <w:bCs/>
          <w:sz w:val="24"/>
        </w:rPr>
        <w:t>政府采购严重违法失信行为记录名单。</w:t>
      </w:r>
    </w:p>
    <w:p w14:paraId="18BD031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ascii="宋体" w:hAnsi="宋体"/>
          <w:bCs/>
          <w:sz w:val="24"/>
        </w:rPr>
        <w:t>19</w:t>
      </w:r>
      <w:r>
        <w:rPr>
          <w:rFonts w:hint="eastAsia" w:ascii="宋体" w:hAnsi="宋体"/>
          <w:bCs/>
          <w:sz w:val="24"/>
        </w:rPr>
        <w:t>.2响应文件</w:t>
      </w:r>
      <w:r>
        <w:rPr>
          <w:rFonts w:hint="eastAsia" w:ascii="宋体" w:hAnsi="宋体"/>
          <w:bCs/>
          <w:sz w:val="24"/>
          <w:lang w:eastAsia="zh-CN"/>
        </w:rPr>
        <w:t>的</w:t>
      </w:r>
      <w:r>
        <w:rPr>
          <w:rFonts w:hint="eastAsia" w:ascii="宋体" w:hAnsi="宋体"/>
          <w:bCs/>
          <w:sz w:val="24"/>
        </w:rPr>
        <w:t>符合性审查</w:t>
      </w:r>
    </w:p>
    <w:p w14:paraId="2066CE7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ascii="宋体" w:hAnsi="宋体"/>
          <w:bCs/>
          <w:sz w:val="24"/>
        </w:rPr>
        <w:t>19</w:t>
      </w:r>
      <w:r>
        <w:rPr>
          <w:rFonts w:hint="eastAsia" w:ascii="宋体" w:hAnsi="宋体"/>
          <w:bCs/>
          <w:sz w:val="24"/>
        </w:rPr>
        <w:t>.2.1谈判小组</w:t>
      </w:r>
      <w:r>
        <w:rPr>
          <w:rFonts w:hint="eastAsia" w:ascii="宋体" w:hAnsi="宋体"/>
          <w:bCs/>
          <w:sz w:val="24"/>
          <w:lang w:eastAsia="zh-CN"/>
        </w:rPr>
        <w:t>应</w:t>
      </w:r>
      <w:r>
        <w:rPr>
          <w:rFonts w:hint="eastAsia" w:ascii="宋体" w:hAnsi="宋体"/>
          <w:bCs/>
          <w:sz w:val="24"/>
        </w:rPr>
        <w:t>对响应文件的有效性、完整性和对谈判文件的响应程度进行审查，</w:t>
      </w:r>
      <w:r>
        <w:rPr>
          <w:rFonts w:hint="eastAsia" w:ascii="宋体" w:hAnsi="宋体"/>
          <w:bCs/>
          <w:sz w:val="24"/>
          <w:lang w:val="zh-CN"/>
        </w:rPr>
        <w:t>以确定是否对谈判文件的实质性要求作出响应。</w:t>
      </w:r>
    </w:p>
    <w:p w14:paraId="0BCB7B4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供货期、供货范围、</w:t>
      </w:r>
      <w:r>
        <w:rPr>
          <w:rFonts w:hint="eastAsia" w:ascii="宋体" w:hAnsi="宋体"/>
          <w:bCs/>
          <w:sz w:val="24"/>
          <w:highlight w:val="none"/>
          <w:lang w:eastAsia="zh-CN"/>
        </w:rPr>
        <w:t>服务、</w:t>
      </w:r>
      <w:r>
        <w:rPr>
          <w:rFonts w:hint="eastAsia" w:ascii="宋体" w:hAnsi="宋体"/>
          <w:bCs/>
          <w:sz w:val="24"/>
          <w:highlight w:val="none"/>
        </w:rPr>
        <w:t>质量和性能</w:t>
      </w:r>
      <w:r>
        <w:rPr>
          <w:rFonts w:hint="eastAsia" w:ascii="宋体" w:hAnsi="宋体"/>
          <w:bCs/>
          <w:sz w:val="24"/>
        </w:rPr>
        <w:t>；或者在实质上与谈判文件不一致，或限制了采购人的权力和</w:t>
      </w:r>
      <w:r>
        <w:rPr>
          <w:rFonts w:hint="eastAsia" w:ascii="宋体" w:hAnsi="宋体"/>
          <w:bCs/>
          <w:sz w:val="24"/>
          <w:lang w:eastAsia="zh-CN"/>
        </w:rPr>
        <w:t>谈判</w:t>
      </w:r>
      <w:r>
        <w:rPr>
          <w:rFonts w:hint="eastAsia" w:ascii="宋体" w:hAnsi="宋体"/>
          <w:bCs/>
          <w:sz w:val="24"/>
        </w:rPr>
        <w:t>供应商的义务，而纠正这些偏离将会对其他提交了实质性响应文件的</w:t>
      </w:r>
      <w:r>
        <w:rPr>
          <w:rFonts w:hint="eastAsia" w:ascii="宋体" w:hAnsi="宋体"/>
          <w:bCs/>
          <w:sz w:val="24"/>
          <w:lang w:eastAsia="zh-CN"/>
        </w:rPr>
        <w:t>谈判</w:t>
      </w:r>
      <w:r>
        <w:rPr>
          <w:rFonts w:hint="eastAsia" w:ascii="宋体" w:hAnsi="宋体"/>
          <w:bCs/>
          <w:sz w:val="24"/>
        </w:rPr>
        <w:t>供应商的竞争地位产生不公正的影响。重大负偏离的认定必须经谈判小组三分之二以上（含）成员同意。谈判小组判断响应文件的响应性只根据响应文件本身的内容，而不寻求外部的证据。</w:t>
      </w:r>
    </w:p>
    <w:p w14:paraId="503FA7C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.2.3如果响应文件没有实质上响应谈判文件的要求，谈判小组将予以拒绝。</w:t>
      </w:r>
    </w:p>
    <w:p w14:paraId="01E0B92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eastAsia="zh-CN"/>
        </w:rPr>
      </w:pPr>
      <w:r>
        <w:rPr>
          <w:rFonts w:ascii="宋体" w:hAnsi="宋体"/>
          <w:bCs/>
          <w:sz w:val="24"/>
        </w:rPr>
        <w:t>19</w:t>
      </w:r>
      <w:r>
        <w:rPr>
          <w:rFonts w:hint="eastAsia" w:ascii="宋体" w:hAnsi="宋体"/>
          <w:bCs/>
          <w:sz w:val="24"/>
        </w:rPr>
        <w:t>.2.4谈判小组将对确定为实质性响应的响应文件进行进一步初审，看其是否有计算上或累加上的算术错误，修正错误的原则如下</w:t>
      </w:r>
      <w:r>
        <w:rPr>
          <w:rFonts w:hint="eastAsia" w:ascii="宋体" w:hAnsi="宋体"/>
          <w:bCs/>
          <w:sz w:val="24"/>
          <w:lang w:eastAsia="zh-CN"/>
        </w:rPr>
        <w:t>：</w:t>
      </w:r>
    </w:p>
    <w:p w14:paraId="6F7BE78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（1）大写金额和小写金额不一致的，以大写金额为准。</w:t>
      </w:r>
    </w:p>
    <w:p w14:paraId="6BE0795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bCs/>
          <w:sz w:val="24"/>
        </w:rPr>
        <w:t>（2）</w:t>
      </w:r>
      <w:r>
        <w:rPr>
          <w:rFonts w:hint="eastAsia" w:ascii="宋体" w:hAnsi="宋体" w:eastAsia="宋体" w:cs="Times New Roman"/>
          <w:bCs/>
          <w:sz w:val="24"/>
          <w:highlight w:val="none"/>
        </w:rPr>
        <w:t>单价金额小数点</w:t>
      </w:r>
      <w:r>
        <w:rPr>
          <w:rFonts w:hint="eastAsia" w:ascii="宋体" w:hAnsi="宋体" w:eastAsia="宋体" w:cs="Times New Roman"/>
          <w:bCs/>
          <w:sz w:val="24"/>
          <w:highlight w:val="none"/>
          <w:lang w:eastAsia="zh-CN"/>
        </w:rPr>
        <w:t>或百分比</w:t>
      </w:r>
      <w:r>
        <w:rPr>
          <w:rFonts w:hint="eastAsia" w:ascii="宋体" w:hAnsi="宋体" w:eastAsia="宋体" w:cs="Times New Roman"/>
          <w:bCs/>
          <w:sz w:val="24"/>
          <w:highlight w:val="none"/>
        </w:rPr>
        <w:t>有明显错位的，以</w:t>
      </w:r>
      <w:r>
        <w:rPr>
          <w:rFonts w:hint="eastAsia" w:ascii="宋体" w:hAnsi="宋体" w:eastAsia="宋体" w:cs="Times New Roman"/>
          <w:bCs/>
          <w:sz w:val="24"/>
          <w:highlight w:val="none"/>
          <w:lang w:eastAsia="zh-CN"/>
        </w:rPr>
        <w:t>报价</w:t>
      </w:r>
      <w:r>
        <w:rPr>
          <w:rFonts w:hint="eastAsia" w:ascii="宋体" w:hAnsi="宋体" w:eastAsia="宋体" w:cs="Times New Roman"/>
          <w:bCs/>
          <w:sz w:val="24"/>
          <w:highlight w:val="none"/>
        </w:rPr>
        <w:t>一览表</w:t>
      </w:r>
      <w:r>
        <w:rPr>
          <w:rFonts w:hint="eastAsia" w:ascii="宋体" w:hAnsi="宋体" w:eastAsia="宋体" w:cs="Times New Roman"/>
          <w:bCs/>
          <w:sz w:val="24"/>
          <w:highlight w:val="none"/>
          <w:lang w:eastAsia="zh-CN"/>
        </w:rPr>
        <w:t>的总价</w:t>
      </w:r>
      <w:r>
        <w:rPr>
          <w:rFonts w:hint="eastAsia" w:ascii="宋体" w:hAnsi="宋体" w:eastAsia="宋体" w:cs="Times New Roman"/>
          <w:bCs/>
          <w:sz w:val="24"/>
          <w:highlight w:val="none"/>
        </w:rPr>
        <w:t>为准</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并修改单价。</w:t>
      </w:r>
    </w:p>
    <w:p w14:paraId="65FD9FA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eastAsia="宋体" w:cs="Times New Roman"/>
          <w:bCs/>
          <w:sz w:val="24"/>
          <w:highlight w:val="none"/>
        </w:rPr>
        <w:t>（</w:t>
      </w:r>
      <w:r>
        <w:rPr>
          <w:rFonts w:hint="eastAsia" w:ascii="宋体" w:hAnsi="宋体" w:eastAsia="宋体" w:cs="Times New Roman"/>
          <w:bCs/>
          <w:sz w:val="24"/>
          <w:highlight w:val="none"/>
          <w:lang w:val="en-US" w:eastAsia="zh-CN"/>
        </w:rPr>
        <w:t>3</w:t>
      </w:r>
      <w:r>
        <w:rPr>
          <w:rFonts w:hint="eastAsia" w:ascii="宋体" w:hAnsi="宋体" w:eastAsia="宋体" w:cs="Times New Roman"/>
          <w:bCs/>
          <w:sz w:val="24"/>
          <w:highlight w:val="none"/>
        </w:rPr>
        <w:t>）总价金额与按单价汇总金额不一致的，以单价金额计算结果为准。</w:t>
      </w:r>
    </w:p>
    <w:p w14:paraId="686730E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同时出现两种以上错误的，按照前款规定的顺序修正。</w:t>
      </w:r>
    </w:p>
    <w:p w14:paraId="2977E41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谈判小组将按上述修正错误的方法调整响应文件中的谈判报价，调整后的价格应对</w:t>
      </w:r>
      <w:r>
        <w:rPr>
          <w:rFonts w:hint="eastAsia" w:ascii="宋体" w:hAnsi="宋体"/>
          <w:bCs/>
          <w:sz w:val="24"/>
          <w:lang w:eastAsia="zh-CN"/>
        </w:rPr>
        <w:t>谈判</w:t>
      </w:r>
      <w:r>
        <w:rPr>
          <w:rFonts w:hint="eastAsia" w:ascii="宋体" w:hAnsi="宋体"/>
          <w:bCs/>
          <w:sz w:val="24"/>
        </w:rPr>
        <w:t>供应商具有约束力。如果</w:t>
      </w:r>
      <w:r>
        <w:rPr>
          <w:rFonts w:hint="eastAsia" w:ascii="宋体" w:hAnsi="宋体"/>
          <w:bCs/>
          <w:sz w:val="24"/>
          <w:lang w:eastAsia="zh-CN"/>
        </w:rPr>
        <w:t>谈判</w:t>
      </w:r>
      <w:r>
        <w:rPr>
          <w:rFonts w:hint="eastAsia" w:ascii="宋体" w:hAnsi="宋体"/>
          <w:bCs/>
          <w:sz w:val="24"/>
        </w:rPr>
        <w:t>供应商不同意修正的，其响应文件无效。</w:t>
      </w:r>
    </w:p>
    <w:p w14:paraId="6B4B637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.3谈判小组通过“苏采云</w:t>
      </w:r>
      <w:r>
        <w:rPr>
          <w:rFonts w:hint="eastAsia" w:ascii="宋体" w:hAnsi="宋体"/>
          <w:bCs/>
          <w:sz w:val="24"/>
          <w:lang w:eastAsia="zh-CN"/>
        </w:rPr>
        <w:t>政府采购一体化平台</w:t>
      </w:r>
      <w:r>
        <w:rPr>
          <w:rFonts w:hint="eastAsia" w:ascii="宋体" w:hAnsi="宋体"/>
          <w:bCs/>
          <w:sz w:val="24"/>
        </w:rPr>
        <w:t>”与单一</w:t>
      </w:r>
      <w:r>
        <w:rPr>
          <w:rFonts w:hint="eastAsia" w:ascii="宋体" w:hAnsi="宋体"/>
          <w:bCs/>
          <w:sz w:val="24"/>
          <w:lang w:eastAsia="zh-CN"/>
        </w:rPr>
        <w:t>谈判</w:t>
      </w:r>
      <w:r>
        <w:rPr>
          <w:rFonts w:hint="eastAsia" w:ascii="宋体" w:hAnsi="宋体"/>
          <w:bCs/>
          <w:sz w:val="24"/>
        </w:rPr>
        <w:t>供应商以视频</w:t>
      </w:r>
      <w:r>
        <w:rPr>
          <w:rFonts w:hint="eastAsia" w:ascii="宋体" w:hAnsi="宋体"/>
          <w:bCs/>
          <w:sz w:val="24"/>
          <w:lang w:eastAsia="zh-CN"/>
        </w:rPr>
        <w:t>等</w:t>
      </w:r>
      <w:r>
        <w:rPr>
          <w:rFonts w:hint="eastAsia" w:ascii="宋体" w:hAnsi="宋体"/>
          <w:bCs/>
          <w:sz w:val="24"/>
        </w:rPr>
        <w:t>方式分别进行谈判，并给予所有参加谈判的供应商平等的谈判机会。</w:t>
      </w:r>
      <w:r>
        <w:rPr>
          <w:rFonts w:hint="eastAsia" w:ascii="宋体" w:hAnsi="宋体"/>
          <w:bCs/>
          <w:sz w:val="24"/>
          <w:highlight w:val="none"/>
        </w:rPr>
        <w:t>谈判可以是多轮次进行。</w:t>
      </w:r>
    </w:p>
    <w:p w14:paraId="1FCA793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.3.1在视频</w:t>
      </w:r>
      <w:r>
        <w:rPr>
          <w:rFonts w:hint="eastAsia" w:ascii="宋体" w:hAnsi="宋体"/>
          <w:bCs/>
          <w:sz w:val="24"/>
          <w:lang w:eastAsia="zh-CN"/>
        </w:rPr>
        <w:t>等方式</w:t>
      </w:r>
      <w:r>
        <w:rPr>
          <w:rFonts w:hint="eastAsia" w:ascii="宋体" w:hAnsi="宋体"/>
          <w:bCs/>
          <w:sz w:val="24"/>
        </w:rPr>
        <w:t>单一谈判时，谈判小组首先会核实</w:t>
      </w:r>
      <w:r>
        <w:rPr>
          <w:rFonts w:hint="eastAsia" w:ascii="宋体" w:hAnsi="宋体"/>
          <w:bCs/>
          <w:sz w:val="24"/>
          <w:lang w:eastAsia="zh-CN"/>
        </w:rPr>
        <w:t>受</w:t>
      </w:r>
      <w:r>
        <w:rPr>
          <w:rFonts w:hint="eastAsia" w:ascii="宋体" w:hAnsi="宋体"/>
          <w:bCs/>
          <w:sz w:val="24"/>
        </w:rPr>
        <w:t>托人或法</w:t>
      </w:r>
      <w:r>
        <w:rPr>
          <w:rFonts w:hint="eastAsia" w:ascii="宋体" w:hAnsi="宋体"/>
          <w:bCs/>
          <w:sz w:val="24"/>
          <w:lang w:eastAsia="zh-CN"/>
        </w:rPr>
        <w:t>定</w:t>
      </w:r>
      <w:r>
        <w:rPr>
          <w:rFonts w:hint="eastAsia" w:ascii="宋体" w:hAnsi="宋体"/>
          <w:bCs/>
          <w:sz w:val="24"/>
        </w:rPr>
        <w:t>代表人的身份信息，如身份信息不符视同</w:t>
      </w:r>
      <w:r>
        <w:rPr>
          <w:rFonts w:hint="eastAsia" w:ascii="宋体" w:hAnsi="宋体"/>
          <w:bCs/>
          <w:sz w:val="24"/>
          <w:lang w:eastAsia="zh-CN"/>
        </w:rPr>
        <w:t>谈判</w:t>
      </w:r>
      <w:r>
        <w:rPr>
          <w:rFonts w:hint="eastAsia" w:ascii="宋体" w:hAnsi="宋体"/>
          <w:bCs/>
          <w:sz w:val="24"/>
        </w:rPr>
        <w:t>供应商放弃谈判的权利。</w:t>
      </w:r>
    </w:p>
    <w:p w14:paraId="7694ED63">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textAlignment w:val="auto"/>
        <w:rPr>
          <w:rFonts w:hint="eastAsia" w:ascii="宋体" w:hAnsi="宋体"/>
          <w:b/>
          <w:bCs/>
          <w:sz w:val="24"/>
        </w:rPr>
      </w:pPr>
      <w:r>
        <w:rPr>
          <w:rFonts w:ascii="宋体" w:hAnsi="宋体"/>
          <w:b/>
          <w:bCs/>
          <w:sz w:val="24"/>
        </w:rPr>
        <w:t>19</w:t>
      </w:r>
      <w:r>
        <w:rPr>
          <w:rFonts w:hint="eastAsia" w:ascii="宋体" w:hAnsi="宋体"/>
          <w:b/>
          <w:bCs/>
          <w:sz w:val="24"/>
        </w:rPr>
        <w:t>.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权利。</w:t>
      </w:r>
    </w:p>
    <w:p w14:paraId="5F2AE89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ascii="宋体" w:hAnsi="宋体"/>
          <w:bCs/>
          <w:sz w:val="24"/>
        </w:rPr>
        <w:t>19</w:t>
      </w:r>
      <w:r>
        <w:rPr>
          <w:rFonts w:hint="eastAsia" w:ascii="宋体" w:hAnsi="宋体"/>
          <w:bCs/>
          <w:sz w:val="24"/>
        </w:rPr>
        <w:t>.4谈判过程中，谈判小组根据谈判文件和谈判情况可能实质性变动采购需求中的技术、服务要求以及合同草案条款</w:t>
      </w:r>
      <w:r>
        <w:rPr>
          <w:rFonts w:hint="eastAsia" w:ascii="宋体" w:hAnsi="宋体"/>
          <w:bCs/>
          <w:sz w:val="24"/>
          <w:lang w:eastAsia="zh-CN"/>
        </w:rPr>
        <w:t>等</w:t>
      </w:r>
      <w:r>
        <w:rPr>
          <w:rFonts w:hint="eastAsia" w:ascii="宋体" w:hAnsi="宋体"/>
          <w:bCs/>
          <w:sz w:val="24"/>
        </w:rPr>
        <w:t>。实质性变动是谈判文件的有效组成部分，</w:t>
      </w:r>
      <w:r>
        <w:rPr>
          <w:rFonts w:ascii="宋体" w:hAnsi="宋体"/>
          <w:bCs/>
          <w:sz w:val="24"/>
        </w:rPr>
        <w:t>谈判小组将以电子文件形式通知所有参加谈判的供应商，所有参加谈判的供应商必须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06CECB1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19.5谈判中，谈判的任何一方不得透露与谈判有关的其他参加供应商的技术资料、价格和其他信息。如果参加</w:t>
      </w:r>
      <w:r>
        <w:rPr>
          <w:rFonts w:hint="eastAsia" w:ascii="宋体" w:hAnsi="宋体"/>
          <w:bCs/>
          <w:sz w:val="24"/>
          <w:lang w:eastAsia="zh-CN"/>
        </w:rPr>
        <w:t>谈判</w:t>
      </w:r>
      <w:r>
        <w:rPr>
          <w:rFonts w:hint="eastAsia" w:ascii="宋体" w:hAnsi="宋体"/>
          <w:bCs/>
          <w:sz w:val="24"/>
        </w:rPr>
        <w:t>供应商试图向采购人、代理机构和谈判小组人员施加任何影响，都将会导致其谈判被拒绝。</w:t>
      </w:r>
    </w:p>
    <w:p w14:paraId="594B9C6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19.6响应文件的澄清</w:t>
      </w:r>
    </w:p>
    <w:p w14:paraId="116B26C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19.6.1在谈判期间，为有助于响应文件的审查、评价和比较，谈判小组有权通过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进行视频</w:t>
      </w:r>
      <w:r>
        <w:rPr>
          <w:rFonts w:hint="eastAsia" w:ascii="宋体" w:hAnsi="宋体"/>
          <w:bCs/>
          <w:sz w:val="24"/>
          <w:highlight w:val="none"/>
          <w:lang w:eastAsia="zh-CN"/>
        </w:rPr>
        <w:t>等方式</w:t>
      </w:r>
      <w:r>
        <w:rPr>
          <w:rFonts w:hint="eastAsia" w:ascii="宋体" w:hAnsi="宋体"/>
          <w:bCs/>
          <w:sz w:val="24"/>
        </w:rPr>
        <w:t>交流并要求</w:t>
      </w:r>
      <w:r>
        <w:rPr>
          <w:rFonts w:hint="eastAsia" w:ascii="宋体" w:hAnsi="宋体"/>
          <w:bCs/>
          <w:sz w:val="24"/>
          <w:lang w:eastAsia="zh-CN"/>
        </w:rPr>
        <w:t>谈判</w:t>
      </w:r>
      <w:r>
        <w:rPr>
          <w:rFonts w:hint="eastAsia" w:ascii="宋体" w:hAnsi="宋体"/>
          <w:bCs/>
          <w:sz w:val="24"/>
        </w:rPr>
        <w:t>供应商对其响应文件中含义不明确、同类问题表述不一致或者有明显文字和计算错误的内容进行澄清</w:t>
      </w:r>
      <w:r>
        <w:rPr>
          <w:rFonts w:hint="eastAsia" w:ascii="宋体" w:hAnsi="宋体"/>
          <w:b/>
          <w:bCs/>
          <w:sz w:val="24"/>
        </w:rPr>
        <w:t>（在视频</w:t>
      </w:r>
      <w:r>
        <w:rPr>
          <w:rFonts w:hint="eastAsia" w:ascii="宋体" w:hAnsi="宋体"/>
          <w:b/>
          <w:bCs/>
          <w:sz w:val="24"/>
          <w:highlight w:val="none"/>
          <w:lang w:eastAsia="zh-CN"/>
        </w:rPr>
        <w:t>等方式</w:t>
      </w:r>
      <w:r>
        <w:rPr>
          <w:rFonts w:hint="eastAsia" w:ascii="宋体" w:hAnsi="宋体"/>
          <w:b/>
          <w:bCs/>
          <w:sz w:val="24"/>
        </w:rPr>
        <w:t>交流时，谈判小组首先会核实</w:t>
      </w:r>
      <w:r>
        <w:rPr>
          <w:rFonts w:hint="eastAsia" w:ascii="宋体" w:hAnsi="宋体"/>
          <w:b/>
          <w:bCs/>
          <w:sz w:val="24"/>
          <w:lang w:eastAsia="zh-CN"/>
        </w:rPr>
        <w:t>受</w:t>
      </w:r>
      <w:r>
        <w:rPr>
          <w:rFonts w:hint="eastAsia" w:ascii="宋体" w:hAnsi="宋体"/>
          <w:b/>
          <w:bCs/>
          <w:sz w:val="24"/>
        </w:rPr>
        <w:t>托人或法</w:t>
      </w:r>
      <w:r>
        <w:rPr>
          <w:rFonts w:hint="eastAsia" w:ascii="宋体" w:hAnsi="宋体"/>
          <w:b/>
          <w:bCs/>
          <w:sz w:val="24"/>
          <w:lang w:eastAsia="zh-CN"/>
        </w:rPr>
        <w:t>定</w:t>
      </w:r>
      <w:r>
        <w:rPr>
          <w:rFonts w:hint="eastAsia" w:ascii="宋体" w:hAnsi="宋体"/>
          <w:b/>
          <w:bCs/>
          <w:sz w:val="24"/>
        </w:rPr>
        <w:t>代表人的身份信息，如身份信息不符或者</w:t>
      </w:r>
      <w:r>
        <w:rPr>
          <w:rFonts w:hint="eastAsia" w:ascii="宋体" w:hAnsi="宋体"/>
          <w:b/>
          <w:bCs/>
          <w:sz w:val="24"/>
          <w:lang w:eastAsia="zh-CN"/>
        </w:rPr>
        <w:t>谈判</w:t>
      </w:r>
      <w:r>
        <w:rPr>
          <w:rFonts w:hint="eastAsia" w:ascii="宋体" w:hAnsi="宋体"/>
          <w:b/>
          <w:bCs/>
          <w:sz w:val="24"/>
        </w:rPr>
        <w:t>供应商在谈判小组发起澄清邀请后未能及时响应的，则视同</w:t>
      </w:r>
      <w:r>
        <w:rPr>
          <w:rFonts w:hint="eastAsia" w:ascii="宋体" w:hAnsi="宋体"/>
          <w:b/>
          <w:bCs/>
          <w:sz w:val="24"/>
          <w:lang w:eastAsia="zh-CN"/>
        </w:rPr>
        <w:t>谈判</w:t>
      </w:r>
      <w:r>
        <w:rPr>
          <w:rFonts w:hint="eastAsia" w:ascii="宋体" w:hAnsi="宋体"/>
          <w:b/>
          <w:bCs/>
          <w:sz w:val="24"/>
        </w:rPr>
        <w:t>供应商放弃澄清、说明或者补正的权利）</w:t>
      </w:r>
      <w:r>
        <w:rPr>
          <w:rFonts w:hint="eastAsia" w:ascii="宋体" w:hAnsi="宋体"/>
          <w:bCs/>
          <w:sz w:val="24"/>
        </w:rPr>
        <w:t>。谈判供应商的澄清要通过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向谈判小组进行澄清回复，同时必须将澄清内容形成电子文件加盖电子签章通过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上传。</w:t>
      </w:r>
    </w:p>
    <w:p w14:paraId="1BD2C32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19.6.2接到谈判小组澄清要求的</w:t>
      </w:r>
      <w:r>
        <w:rPr>
          <w:rFonts w:hint="eastAsia" w:ascii="宋体" w:hAnsi="宋体"/>
          <w:bCs/>
          <w:sz w:val="24"/>
          <w:lang w:eastAsia="zh-CN"/>
        </w:rPr>
        <w:t>谈判</w:t>
      </w:r>
      <w:r>
        <w:rPr>
          <w:rFonts w:hint="eastAsia" w:ascii="宋体" w:hAnsi="宋体"/>
          <w:bCs/>
          <w:sz w:val="24"/>
        </w:rPr>
        <w:t>供应商如未按第19.6.1的规定作出澄清的，将视为放弃该澄清权利。</w:t>
      </w:r>
    </w:p>
    <w:p w14:paraId="23BE112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19.7</w:t>
      </w:r>
      <w:r>
        <w:rPr>
          <w:rFonts w:hint="eastAsia" w:ascii="宋体" w:hAnsi="宋体" w:eastAsia="宋体" w:cs="Times New Roman"/>
          <w:bCs/>
          <w:sz w:val="24"/>
          <w:highlight w:val="none"/>
        </w:rPr>
        <w:t>采用最低评标价法的采购项目，提供相同品牌产品的不同供应商参加同一合同项下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的，以其中通过资格审查、符合性审查且报价最低的参加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；报价相同的，由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小组通过随机抽取的方式确定一个参加</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的供应商，其他响应文件无效。</w:t>
      </w:r>
      <w:r>
        <w:rPr>
          <w:rFonts w:hint="eastAsia" w:ascii="宋体" w:hAnsi="宋体" w:eastAsia="宋体" w:cs="Times New Roman"/>
          <w:bCs/>
          <w:sz w:val="24"/>
          <w:highlight w:val="none"/>
        </w:rPr>
        <w:br w:type="textWrapping"/>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小组通过随机抽取的方式确定一个成交候选人，其他同品牌供应商不作为成交候选人。</w:t>
      </w:r>
      <w:r>
        <w:rPr>
          <w:rFonts w:hint="eastAsia" w:ascii="宋体" w:hAnsi="宋体" w:eastAsia="宋体" w:cs="Times New Roman"/>
          <w:bCs/>
          <w:sz w:val="24"/>
          <w:highlight w:val="none"/>
        </w:rPr>
        <w:br w:type="textWrapping"/>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非单一产品采购项目，</w:t>
      </w:r>
      <w:r>
        <w:rPr>
          <w:rFonts w:hint="eastAsia" w:ascii="宋体" w:hAnsi="宋体" w:eastAsia="宋体" w:cs="Times New Roman"/>
          <w:bCs/>
          <w:sz w:val="24"/>
          <w:highlight w:val="none"/>
          <w:lang w:eastAsia="zh-CN"/>
        </w:rPr>
        <w:t>谈判</w:t>
      </w:r>
      <w:r>
        <w:rPr>
          <w:rFonts w:hint="eastAsia" w:ascii="宋体" w:hAnsi="宋体" w:eastAsia="宋体" w:cs="Times New Roman"/>
          <w:bCs/>
          <w:sz w:val="24"/>
          <w:highlight w:val="none"/>
        </w:rPr>
        <w:t>文件中将载明其中的核心产品（如未载明则按所投产品类型分项报价从高到低累计占总报价50%的产品为核心产品）。多家供应商提供的核心产品品牌相同的，按前两款规定处理。</w:t>
      </w:r>
    </w:p>
    <w:p w14:paraId="1289ED07">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textAlignment w:val="auto"/>
        <w:rPr>
          <w:rFonts w:hint="eastAsia" w:ascii="宋体" w:hAnsi="宋体" w:eastAsia="宋体"/>
          <w:b/>
          <w:bCs w:val="0"/>
          <w:color w:val="FF0000"/>
          <w:sz w:val="24"/>
          <w:highlight w:val="none"/>
          <w:lang w:eastAsia="zh-CN"/>
        </w:rPr>
      </w:pPr>
      <w:r>
        <w:rPr>
          <w:rFonts w:hint="eastAsia" w:ascii="宋体" w:hAnsi="宋体"/>
          <w:b/>
          <w:bCs w:val="0"/>
          <w:color w:val="FF0000"/>
          <w:sz w:val="24"/>
          <w:highlight w:val="none"/>
        </w:rPr>
        <w:t>19.</w:t>
      </w:r>
      <w:r>
        <w:rPr>
          <w:rFonts w:hint="eastAsia" w:ascii="宋体" w:hAnsi="宋体"/>
          <w:b/>
          <w:bCs w:val="0"/>
          <w:color w:val="FF0000"/>
          <w:sz w:val="24"/>
          <w:highlight w:val="none"/>
          <w:lang w:val="en-US" w:eastAsia="zh-CN"/>
        </w:rPr>
        <w:t>8</w:t>
      </w:r>
      <w:r>
        <w:rPr>
          <w:rFonts w:hint="eastAsia" w:ascii="宋体" w:hAnsi="宋体"/>
          <w:b/>
          <w:bCs w:val="0"/>
          <w:color w:val="FF0000"/>
          <w:sz w:val="24"/>
          <w:highlight w:val="none"/>
          <w:lang w:eastAsia="zh-CN"/>
        </w:rPr>
        <w:t>谈判</w:t>
      </w:r>
      <w:r>
        <w:rPr>
          <w:rFonts w:hint="eastAsia" w:ascii="宋体" w:hAnsi="宋体"/>
          <w:b/>
          <w:bCs w:val="0"/>
          <w:color w:val="FF0000"/>
          <w:sz w:val="24"/>
          <w:highlight w:val="none"/>
        </w:rPr>
        <w:t>结束后，</w:t>
      </w:r>
      <w:r>
        <w:rPr>
          <w:rFonts w:hint="eastAsia" w:ascii="宋体" w:hAnsi="宋体"/>
          <w:b/>
          <w:bCs w:val="0"/>
          <w:color w:val="FF0000"/>
          <w:sz w:val="24"/>
          <w:highlight w:val="none"/>
          <w:lang w:eastAsia="zh-CN"/>
        </w:rPr>
        <w:t>谈判</w:t>
      </w:r>
      <w:r>
        <w:rPr>
          <w:rFonts w:hint="eastAsia" w:ascii="宋体" w:hAnsi="宋体"/>
          <w:b/>
          <w:bCs w:val="0"/>
          <w:color w:val="FF0000"/>
          <w:sz w:val="24"/>
          <w:highlight w:val="none"/>
        </w:rPr>
        <w:t>小组将要求所有继续参加</w:t>
      </w:r>
      <w:r>
        <w:rPr>
          <w:rFonts w:hint="eastAsia" w:ascii="宋体" w:hAnsi="宋体"/>
          <w:b/>
          <w:bCs w:val="0"/>
          <w:color w:val="FF0000"/>
          <w:sz w:val="24"/>
          <w:highlight w:val="none"/>
          <w:lang w:eastAsia="zh-CN"/>
        </w:rPr>
        <w:t>谈判</w:t>
      </w:r>
      <w:r>
        <w:rPr>
          <w:rFonts w:hint="eastAsia" w:ascii="宋体" w:hAnsi="宋体"/>
          <w:b/>
          <w:bCs w:val="0"/>
          <w:color w:val="FF0000"/>
          <w:sz w:val="24"/>
          <w:highlight w:val="none"/>
        </w:rPr>
        <w:t>的供应商凭CA锁登</w:t>
      </w:r>
      <w:r>
        <w:rPr>
          <w:rFonts w:hint="eastAsia" w:ascii="宋体" w:hAnsi="宋体"/>
          <w:b/>
          <w:bCs w:val="0"/>
          <w:color w:val="FF0000"/>
          <w:sz w:val="24"/>
          <w:highlight w:val="none"/>
          <w:lang w:eastAsia="zh-CN"/>
        </w:rPr>
        <w:t>录</w:t>
      </w:r>
      <w:r>
        <w:rPr>
          <w:rFonts w:hint="eastAsia" w:ascii="宋体" w:hAnsi="宋体"/>
          <w:b/>
          <w:bCs w:val="0"/>
          <w:color w:val="FF0000"/>
          <w:sz w:val="24"/>
          <w:highlight w:val="none"/>
        </w:rPr>
        <w:t>“苏采云</w:t>
      </w:r>
      <w:r>
        <w:rPr>
          <w:rFonts w:hint="eastAsia" w:ascii="宋体" w:hAnsi="宋体"/>
          <w:b/>
          <w:bCs w:val="0"/>
          <w:color w:val="FF0000"/>
          <w:sz w:val="24"/>
          <w:highlight w:val="none"/>
          <w:lang w:eastAsia="zh-CN"/>
        </w:rPr>
        <w:t>政府采购一体化平台</w:t>
      </w:r>
      <w:r>
        <w:rPr>
          <w:rFonts w:hint="eastAsia" w:ascii="宋体" w:hAnsi="宋体"/>
          <w:b/>
          <w:bCs w:val="0"/>
          <w:color w:val="FF0000"/>
          <w:sz w:val="24"/>
          <w:highlight w:val="none"/>
        </w:rPr>
        <w:t>”在规定的时间内进行</w:t>
      </w:r>
      <w:r>
        <w:rPr>
          <w:rFonts w:hint="eastAsia" w:ascii="宋体" w:hAnsi="宋体"/>
          <w:b/>
          <w:bCs w:val="0"/>
          <w:color w:val="FF0000"/>
          <w:sz w:val="24"/>
          <w:highlight w:val="none"/>
          <w:lang w:eastAsia="zh-CN"/>
        </w:rPr>
        <w:t>最终</w:t>
      </w:r>
      <w:r>
        <w:rPr>
          <w:rFonts w:hint="eastAsia" w:ascii="宋体" w:hAnsi="宋体"/>
          <w:b/>
          <w:bCs w:val="0"/>
          <w:color w:val="FF0000"/>
          <w:sz w:val="24"/>
          <w:highlight w:val="none"/>
        </w:rPr>
        <w:t>报价</w:t>
      </w:r>
      <w:r>
        <w:rPr>
          <w:rFonts w:hint="eastAsia" w:ascii="宋体" w:hAnsi="宋体"/>
          <w:b/>
          <w:bCs w:val="0"/>
          <w:color w:val="FF0000"/>
          <w:sz w:val="24"/>
          <w:highlight w:val="none"/>
          <w:lang w:eastAsia="zh-CN"/>
        </w:rPr>
        <w:t>，未在规定时间内完成最终报价的，视为谈判供应商自动放弃谈判资格</w:t>
      </w:r>
      <w:r>
        <w:rPr>
          <w:rFonts w:hint="eastAsia" w:ascii="宋体" w:hAnsi="宋体"/>
          <w:b/>
          <w:bCs w:val="0"/>
          <w:color w:val="FF0000"/>
          <w:sz w:val="24"/>
          <w:highlight w:val="none"/>
        </w:rPr>
        <w:t>。</w:t>
      </w:r>
    </w:p>
    <w:p w14:paraId="4CCD1EB7">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19.9异常低价审查</w:t>
      </w:r>
    </w:p>
    <w:p w14:paraId="3A889F83">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b/>
          <w:bCs w:val="0"/>
          <w:sz w:val="24"/>
          <w:highlight w:val="none"/>
        </w:rPr>
      </w:pPr>
      <w:r>
        <w:rPr>
          <w:rFonts w:hint="eastAsia" w:ascii="宋体" w:hAnsi="宋体" w:eastAsia="宋体" w:cs="Times New Roman"/>
          <w:color w:val="000000"/>
          <w:sz w:val="24"/>
          <w:lang w:val="en-US" w:eastAsia="zh-CN"/>
        </w:rPr>
        <w:t>19.9.1</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过程中出现下列情形之一的，</w:t>
      </w:r>
      <w:r>
        <w:rPr>
          <w:rFonts w:hint="eastAsia" w:ascii="宋体" w:hAnsi="宋体" w:eastAsia="宋体" w:cs="Times New Roman"/>
          <w:color w:val="000000"/>
          <w:sz w:val="24"/>
          <w:lang w:eastAsia="zh-CN"/>
        </w:rPr>
        <w:t>谈判小组</w:t>
      </w:r>
      <w:r>
        <w:rPr>
          <w:rFonts w:hint="eastAsia" w:ascii="宋体" w:hAnsi="宋体" w:eastAsia="宋体" w:cs="Times New Roman"/>
          <w:color w:val="000000"/>
          <w:sz w:val="24"/>
        </w:rPr>
        <w:t>应当启动异常低价</w:t>
      </w:r>
      <w:r>
        <w:rPr>
          <w:rFonts w:hint="eastAsia" w:ascii="宋体" w:hAnsi="宋体" w:eastAsia="宋体" w:cs="Times New Roman"/>
          <w:color w:val="000000"/>
          <w:sz w:val="24"/>
          <w:lang w:eastAsia="zh-CN"/>
        </w:rPr>
        <w:t>谈判</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13B755A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（1）响应报价低于全部通过符合性审查谈判供应商响应报价平均值50%的，即响应报价＜全部通过符合性审查谈判供应商响应报价平均值×50%； </w:t>
      </w:r>
    </w:p>
    <w:p w14:paraId="3E6A493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（2）响应报价低于通过符合性审查的次低报价谈判供应商响应报价50%的，即响应报价＜通过符合性审查的次低报价谈判供应商响应报价×50%； </w:t>
      </w:r>
    </w:p>
    <w:p w14:paraId="32A7EB2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（3）响应报价低于采购项目最高限价45%的，即响应报价＜采购项目最高限价×45%； </w:t>
      </w:r>
    </w:p>
    <w:p w14:paraId="7E1AECB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（4）谈判小组基于专业判断，认为谈判供应商报价过低，有可能影响产品质量或者不能诚信履约的其他情形。 </w:t>
      </w:r>
    </w:p>
    <w:p w14:paraId="3098E05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p>
    <w:p w14:paraId="405609E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p>
    <w:p w14:paraId="4BC170A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p>
    <w:p w14:paraId="4113E650">
      <w:pPr>
        <w:keepNext w:val="0"/>
        <w:keepLines w:val="0"/>
        <w:pageBreakBefore w:val="0"/>
        <w:widowControl w:val="0"/>
        <w:kinsoku/>
        <w:wordWrap/>
        <w:overflowPunct/>
        <w:topLinePunct w:val="0"/>
        <w:autoSpaceDE/>
        <w:autoSpaceDN/>
        <w:bidi w:val="0"/>
        <w:adjustRightInd/>
        <w:snapToGrid/>
        <w:spacing w:line="520" w:lineRule="exact"/>
        <w:ind w:right="0" w:rightChars="0"/>
        <w:textAlignment w:val="auto"/>
        <w:rPr>
          <w:rFonts w:hint="eastAsia" w:ascii="宋体" w:hAnsi="宋体" w:eastAsia="宋体"/>
          <w:b/>
          <w:bCs/>
          <w:sz w:val="24"/>
          <w:highlight w:val="none"/>
          <w:lang w:eastAsia="zh-CN"/>
        </w:rPr>
      </w:pPr>
      <w:r>
        <w:rPr>
          <w:rFonts w:hint="eastAsia" w:ascii="宋体" w:hAnsi="宋体"/>
          <w:bCs/>
          <w:sz w:val="24"/>
          <w:highlight w:val="none"/>
          <w:lang w:val="en-US" w:eastAsia="zh-CN"/>
        </w:rPr>
        <w:t>20.</w:t>
      </w:r>
      <w:r>
        <w:rPr>
          <w:rFonts w:hint="eastAsia" w:ascii="宋体" w:hAnsi="宋体"/>
          <w:bCs/>
          <w:sz w:val="24"/>
          <w:highlight w:val="none"/>
        </w:rPr>
        <w:t>出现下列情形之一的，响应文件按照无效处理</w:t>
      </w:r>
      <w:r>
        <w:rPr>
          <w:rFonts w:hint="eastAsia" w:ascii="宋体" w:hAnsi="宋体"/>
          <w:bCs/>
          <w:sz w:val="24"/>
          <w:highlight w:val="none"/>
          <w:lang w:eastAsia="zh-CN"/>
        </w:rPr>
        <w:t>：</w:t>
      </w:r>
    </w:p>
    <w:p w14:paraId="6F80F49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（1）</w:t>
      </w:r>
      <w:r>
        <w:rPr>
          <w:rFonts w:hint="eastAsia" w:ascii="宋体" w:hAnsi="宋体"/>
          <w:bCs/>
          <w:sz w:val="24"/>
          <w:lang w:val="zh-CN" w:eastAsia="zh-CN"/>
        </w:rPr>
        <w:t>谈判</w:t>
      </w:r>
      <w:r>
        <w:rPr>
          <w:rFonts w:hint="eastAsia" w:ascii="宋体" w:hAnsi="宋体"/>
          <w:bCs/>
          <w:sz w:val="24"/>
          <w:lang w:val="zh-CN"/>
        </w:rPr>
        <w:t>供应商未按照采购文件要求上传电子响应文件的。</w:t>
      </w:r>
    </w:p>
    <w:p w14:paraId="4875BB9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供应商未成功解密电子响应文件的。</w:t>
      </w:r>
    </w:p>
    <w:p w14:paraId="48A36EF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供应商在报价时采用选择性报价的。</w:t>
      </w:r>
    </w:p>
    <w:p w14:paraId="0C32BCB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供应商不具备采购文件中规定资格要求的。</w:t>
      </w:r>
    </w:p>
    <w:p w14:paraId="3BB79BA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供应商的报价超过了采购预算</w:t>
      </w:r>
      <w:r>
        <w:rPr>
          <w:rFonts w:hint="eastAsia" w:ascii="宋体" w:hAnsi="宋体"/>
          <w:bCs/>
          <w:sz w:val="24"/>
          <w:highlight w:val="none"/>
          <w:lang w:val="zh-CN"/>
        </w:rPr>
        <w:t>或最高限价的</w:t>
      </w:r>
      <w:r>
        <w:rPr>
          <w:rFonts w:hint="eastAsia" w:ascii="宋体" w:hAnsi="宋体"/>
          <w:bCs/>
          <w:sz w:val="24"/>
          <w:lang w:val="zh-CN"/>
        </w:rPr>
        <w:t>。</w:t>
      </w:r>
    </w:p>
    <w:p w14:paraId="2416B36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6EF2848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6E1CDCD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w:t>
      </w:r>
      <w:r>
        <w:rPr>
          <w:rFonts w:hint="eastAsia" w:ascii="宋体" w:hAnsi="宋体"/>
          <w:bCs/>
          <w:sz w:val="24"/>
          <w:lang w:val="zh-CN" w:eastAsia="zh-CN"/>
        </w:rPr>
        <w:t>谈判</w:t>
      </w:r>
      <w:r>
        <w:rPr>
          <w:rFonts w:hint="eastAsia" w:ascii="宋体" w:hAnsi="宋体"/>
          <w:bCs/>
          <w:sz w:val="24"/>
          <w:lang w:val="zh-CN"/>
        </w:rPr>
        <w:t>供应商被 “信用中国”网站（www.creditchina.gov.cn）、“中国政府采购网”（www.ccgp.gov.cn）列入失信被执行人</w:t>
      </w:r>
      <w:r>
        <w:rPr>
          <w:rFonts w:hint="eastAsia" w:ascii="宋体" w:hAnsi="宋体"/>
          <w:bCs/>
          <w:sz w:val="24"/>
          <w:highlight w:val="none"/>
          <w:lang w:val="zh-CN"/>
        </w:rPr>
        <w:t>，或重大税收违法案件当事人名单，或政</w:t>
      </w:r>
      <w:r>
        <w:rPr>
          <w:rFonts w:hint="eastAsia" w:ascii="宋体" w:hAnsi="宋体"/>
          <w:bCs/>
          <w:sz w:val="24"/>
          <w:lang w:val="zh-CN"/>
        </w:rPr>
        <w:t>府采购严重失信行为记录名单。若接受联合体的项目，两个以上的自然人、法人或者其他组织组成一个联合体，以一个谈判供应商的身份共同参加政府采购活动的，联合体成员存在不良信用记录的，视同联合体存在不良信用记录。</w:t>
      </w:r>
    </w:p>
    <w:p w14:paraId="5EC3AC8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（9）响应文件含有采购人不能接受的附加条件的。</w:t>
      </w:r>
    </w:p>
    <w:p w14:paraId="7A49DED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）本项目采购产品被财政部、国家发展改革委、生态环境部等列入“节能产品品目清单”“环境标志产品品目清单”强制采购范围，而供应商所响应产品不在强制采购范围内的。</w:t>
      </w:r>
    </w:p>
    <w:p w14:paraId="1285C07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w:t>
      </w:r>
      <w:r>
        <w:rPr>
          <w:rFonts w:hint="eastAsia" w:ascii="宋体" w:hAnsi="宋体"/>
          <w:bCs/>
          <w:sz w:val="24"/>
          <w:highlight w:val="none"/>
          <w:lang w:val="zh-CN"/>
        </w:rPr>
        <w:t>或电子签字的</w:t>
      </w:r>
      <w:r>
        <w:rPr>
          <w:rFonts w:hint="eastAsia" w:ascii="宋体" w:hAnsi="宋体"/>
          <w:bCs/>
          <w:sz w:val="24"/>
          <w:lang w:val="zh-CN"/>
        </w:rPr>
        <w:t>。</w:t>
      </w:r>
    </w:p>
    <w:p w14:paraId="4B9AF9B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eastAsia="zh-CN"/>
        </w:rPr>
      </w:pPr>
      <w:r>
        <w:rPr>
          <w:rFonts w:hint="eastAsia" w:ascii="宋体" w:hAnsi="宋体"/>
          <w:bCs/>
          <w:sz w:val="24"/>
        </w:rPr>
        <w:t>（</w:t>
      </w:r>
      <w:r>
        <w:rPr>
          <w:rFonts w:ascii="宋体" w:hAnsi="宋体"/>
          <w:bCs/>
          <w:sz w:val="24"/>
        </w:rPr>
        <w:t>12</w:t>
      </w:r>
      <w:r>
        <w:rPr>
          <w:rFonts w:hint="eastAsia" w:ascii="宋体" w:hAnsi="宋体"/>
          <w:bCs/>
          <w:sz w:val="24"/>
        </w:rPr>
        <w:t>）经谈判，谈判供应商仍不承诺满足谈判文件要求的</w:t>
      </w:r>
      <w:r>
        <w:rPr>
          <w:rFonts w:hint="eastAsia" w:ascii="宋体" w:hAnsi="宋体"/>
          <w:bCs/>
          <w:sz w:val="24"/>
          <w:lang w:eastAsia="zh-CN"/>
        </w:rPr>
        <w:t>。</w:t>
      </w:r>
    </w:p>
    <w:p w14:paraId="135256F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31D1C83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w:t>
      </w:r>
      <w:r>
        <w:rPr>
          <w:rFonts w:ascii="宋体" w:hAnsi="宋体"/>
          <w:bCs/>
          <w:sz w:val="24"/>
        </w:rPr>
        <w:t>14</w:t>
      </w:r>
      <w:r>
        <w:rPr>
          <w:rFonts w:hint="eastAsia" w:ascii="宋体" w:hAnsi="宋体"/>
          <w:bCs/>
          <w:sz w:val="24"/>
        </w:rPr>
        <w:t>）谈判</w:t>
      </w:r>
      <w:r>
        <w:rPr>
          <w:rFonts w:hint="eastAsia" w:ascii="宋体" w:hAnsi="宋体" w:eastAsia="宋体" w:cs="Times New Roman"/>
          <w:bCs/>
          <w:sz w:val="24"/>
        </w:rPr>
        <w:t>供应商所报产品</w:t>
      </w:r>
      <w:r>
        <w:rPr>
          <w:rFonts w:hint="eastAsia" w:ascii="宋体" w:hAnsi="宋体" w:eastAsia="宋体" w:cs="Times New Roman"/>
          <w:bCs/>
          <w:sz w:val="24"/>
          <w:lang w:eastAsia="zh-CN"/>
        </w:rPr>
        <w:t>与谈判</w:t>
      </w:r>
      <w:r>
        <w:rPr>
          <w:rFonts w:hint="eastAsia" w:ascii="宋体" w:hAnsi="宋体" w:eastAsia="宋体" w:cs="Times New Roman"/>
          <w:bCs/>
          <w:sz w:val="24"/>
        </w:rPr>
        <w:t>文件</w:t>
      </w:r>
      <w:r>
        <w:rPr>
          <w:rFonts w:hint="eastAsia" w:ascii="宋体" w:hAnsi="宋体" w:eastAsia="宋体" w:cs="Times New Roman"/>
          <w:bCs/>
          <w:sz w:val="24"/>
          <w:lang w:eastAsia="zh-CN"/>
        </w:rPr>
        <w:t>“第一章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w:t>
      </w:r>
      <w:r>
        <w:rPr>
          <w:rFonts w:hint="eastAsia" w:ascii="宋体" w:hAnsi="宋体" w:eastAsia="宋体" w:cs="Times New Roman"/>
          <w:bCs/>
          <w:sz w:val="24"/>
        </w:rPr>
        <w:t>中所有参数要求</w:t>
      </w:r>
      <w:r>
        <w:rPr>
          <w:rFonts w:hint="eastAsia" w:ascii="宋体" w:hAnsi="宋体" w:eastAsia="宋体" w:cs="Times New Roman"/>
          <w:bCs/>
          <w:sz w:val="24"/>
          <w:lang w:eastAsia="zh-CN"/>
        </w:rPr>
        <w:t>有重大负偏离的</w:t>
      </w:r>
      <w:r>
        <w:rPr>
          <w:rFonts w:hint="eastAsia" w:ascii="宋体" w:hAnsi="宋体" w:eastAsia="宋体" w:cs="Times New Roman"/>
          <w:bCs/>
          <w:sz w:val="24"/>
        </w:rPr>
        <w:t>。</w:t>
      </w:r>
    </w:p>
    <w:p w14:paraId="46675AD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bCs/>
          <w:sz w:val="24"/>
        </w:rPr>
      </w:pPr>
      <w:r>
        <w:rPr>
          <w:rFonts w:hint="eastAsia" w:ascii="宋体" w:hAnsi="宋体"/>
          <w:bCs/>
          <w:sz w:val="24"/>
        </w:rPr>
        <w:t>（</w:t>
      </w:r>
      <w:r>
        <w:rPr>
          <w:rFonts w:ascii="宋体" w:hAnsi="宋体"/>
          <w:bCs/>
          <w:sz w:val="24"/>
        </w:rPr>
        <w:t>15</w:t>
      </w:r>
      <w:r>
        <w:rPr>
          <w:rFonts w:hint="eastAsia" w:ascii="宋体" w:hAnsi="宋体"/>
          <w:bCs/>
          <w:sz w:val="24"/>
        </w:rPr>
        <w:t>）谈判供应商参加谈判时，未按照谈判文件</w:t>
      </w:r>
      <w:r>
        <w:rPr>
          <w:rFonts w:hint="eastAsia" w:ascii="宋体" w:hAnsi="宋体"/>
          <w:bCs/>
          <w:sz w:val="24"/>
          <w:lang w:eastAsia="zh-CN"/>
        </w:rPr>
        <w:t>“第一章</w:t>
      </w:r>
      <w:r>
        <w:rPr>
          <w:rFonts w:hint="eastAsia" w:ascii="宋体" w:hAnsi="宋体"/>
          <w:bCs/>
          <w:sz w:val="24"/>
          <w:lang w:val="en-US" w:eastAsia="zh-CN"/>
        </w:rPr>
        <w:t xml:space="preserve"> </w:t>
      </w:r>
      <w:r>
        <w:rPr>
          <w:rFonts w:hint="eastAsia" w:ascii="宋体" w:hAnsi="宋体"/>
          <w:bCs/>
          <w:sz w:val="24"/>
        </w:rPr>
        <w:t>第五部分</w:t>
      </w:r>
      <w:r>
        <w:rPr>
          <w:rFonts w:hint="eastAsia" w:ascii="宋体" w:hAnsi="宋体"/>
          <w:bCs/>
          <w:sz w:val="24"/>
          <w:lang w:val="en-US" w:eastAsia="zh-CN"/>
        </w:rPr>
        <w:t xml:space="preserve"> 项目采购需求</w:t>
      </w:r>
      <w:r>
        <w:rPr>
          <w:rFonts w:hint="eastAsia" w:ascii="宋体" w:hAnsi="宋体"/>
          <w:bCs/>
          <w:sz w:val="24"/>
          <w:lang w:eastAsia="zh-CN"/>
        </w:rPr>
        <w:t>”</w:t>
      </w:r>
      <w:r>
        <w:rPr>
          <w:rFonts w:hint="eastAsia" w:ascii="宋体" w:hAnsi="宋体"/>
          <w:bCs/>
          <w:sz w:val="24"/>
        </w:rPr>
        <w:t>中的要求提供相关证明材料的。</w:t>
      </w:r>
    </w:p>
    <w:p w14:paraId="15ACA76E">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bCs/>
          <w:sz w:val="24"/>
          <w:lang w:eastAsia="zh-CN"/>
        </w:rPr>
      </w:pPr>
      <w:r>
        <w:rPr>
          <w:rFonts w:hint="eastAsia" w:ascii="宋体" w:hAnsi="宋体"/>
          <w:bCs/>
          <w:sz w:val="24"/>
        </w:rPr>
        <w:t>（1</w:t>
      </w:r>
      <w:r>
        <w:rPr>
          <w:rFonts w:ascii="宋体" w:hAnsi="宋体"/>
          <w:bCs/>
          <w:sz w:val="24"/>
        </w:rPr>
        <w:t>6</w:t>
      </w:r>
      <w:r>
        <w:rPr>
          <w:rFonts w:hint="eastAsia" w:ascii="宋体" w:hAnsi="宋体"/>
          <w:bCs/>
          <w:sz w:val="24"/>
        </w:rPr>
        <w:t>）</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认为</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的报价</w:t>
      </w:r>
      <w:r>
        <w:rPr>
          <w:rFonts w:hint="eastAsia" w:ascii="宋体" w:hAnsi="宋体" w:eastAsia="宋体" w:cs="Times New Roman"/>
          <w:color w:val="000000"/>
          <w:sz w:val="24"/>
          <w:highlight w:val="none"/>
          <w:lang w:eastAsia="zh-CN"/>
        </w:rPr>
        <w:t>属于《关于推动解决政府采购异常低价问题的通知》（财库〔202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w:t>
      </w:r>
      <w:r>
        <w:rPr>
          <w:rFonts w:hint="eastAsia" w:ascii="宋体" w:hAnsi="宋体" w:eastAsia="宋体" w:cs="Times New Roman"/>
          <w:color w:val="000000"/>
          <w:sz w:val="24"/>
          <w:highlight w:val="none"/>
          <w:lang w:val="en-US" w:eastAsia="zh-CN"/>
        </w:rPr>
        <w:t>异常低价情形的，</w:t>
      </w:r>
      <w:r>
        <w:rPr>
          <w:rFonts w:hint="eastAsia" w:ascii="宋体" w:hAnsi="宋体" w:eastAsia="宋体" w:cs="Times New Roman"/>
          <w:color w:val="000000"/>
          <w:sz w:val="24"/>
          <w:highlight w:val="none"/>
        </w:rPr>
        <w:t>将通过</w:t>
      </w:r>
      <w:r>
        <w:rPr>
          <w:rFonts w:hint="eastAsia" w:ascii="宋体" w:hAnsi="宋体" w:eastAsia="宋体" w:cs="Times New Roman"/>
          <w:sz w:val="24"/>
          <w:highlight w:val="none"/>
        </w:rPr>
        <w:t>“苏采云</w:t>
      </w:r>
      <w:r>
        <w:rPr>
          <w:rFonts w:hint="eastAsia" w:ascii="宋体" w:hAnsi="宋体" w:eastAsia="宋体" w:cs="Times New Roman"/>
          <w:sz w:val="24"/>
          <w:highlight w:val="none"/>
          <w:lang w:eastAsia="zh-CN"/>
        </w:rPr>
        <w:t>政府采购一体化平台</w:t>
      </w:r>
      <w:r>
        <w:rPr>
          <w:rFonts w:hint="eastAsia" w:ascii="宋体" w:hAnsi="宋体" w:eastAsia="宋体" w:cs="Times New Roman"/>
          <w:sz w:val="24"/>
          <w:highlight w:val="none"/>
        </w:rPr>
        <w:t>”</w:t>
      </w:r>
      <w:r>
        <w:rPr>
          <w:rFonts w:hint="eastAsia" w:ascii="宋体" w:hAnsi="宋体" w:eastAsia="宋体" w:cs="Times New Roman"/>
          <w:color w:val="000000"/>
          <w:sz w:val="24"/>
          <w:highlight w:val="none"/>
          <w:lang w:eastAsia="zh-CN"/>
        </w:rPr>
        <w:t>，按照财库〔202</w:t>
      </w:r>
      <w:r>
        <w:rPr>
          <w:rFonts w:hint="eastAsia" w:ascii="宋体" w:hAnsi="宋体" w:eastAsia="宋体" w:cs="Times New Roman"/>
          <w:color w:val="000000"/>
          <w:sz w:val="24"/>
          <w:highlight w:val="none"/>
          <w:lang w:val="en-US" w:eastAsia="zh-CN"/>
        </w:rPr>
        <w:t>6</w:t>
      </w:r>
      <w:r>
        <w:rPr>
          <w:rFonts w:hint="eastAsia" w:ascii="宋体" w:hAnsi="宋体" w:eastAsia="宋体" w:cs="Times New Roman"/>
          <w:color w:val="000000"/>
          <w:sz w:val="24"/>
          <w:highlight w:val="none"/>
          <w:lang w:eastAsia="zh-CN"/>
        </w:rPr>
        <w:t>〕2号文件要求启动异常低价</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审查程序，</w:t>
      </w:r>
      <w:r>
        <w:rPr>
          <w:rFonts w:hint="eastAsia" w:ascii="宋体" w:hAnsi="宋体" w:eastAsia="宋体" w:cs="Times New Roman"/>
          <w:color w:val="000000"/>
          <w:sz w:val="24"/>
          <w:highlight w:val="none"/>
        </w:rPr>
        <w:t>要求其在合理的时间内提供说明，必要时提交相关证明材料；</w:t>
      </w:r>
      <w:r>
        <w:rPr>
          <w:rFonts w:hint="eastAsia" w:ascii="宋体" w:hAnsi="宋体" w:eastAsia="宋体" w:cs="Times New Roman"/>
          <w:bCs/>
          <w:sz w:val="24"/>
          <w:lang w:eastAsia="zh-CN"/>
        </w:rPr>
        <w:t>谈判</w:t>
      </w:r>
      <w:r>
        <w:rPr>
          <w:rFonts w:hint="eastAsia" w:ascii="宋体" w:hAnsi="宋体" w:eastAsia="宋体" w:cs="Times New Roman"/>
          <w:color w:val="000000"/>
          <w:sz w:val="24"/>
          <w:highlight w:val="none"/>
          <w:lang w:eastAsia="zh-CN"/>
        </w:rPr>
        <w:t>供应商</w:t>
      </w:r>
      <w:r>
        <w:rPr>
          <w:rFonts w:hint="eastAsia" w:ascii="宋体" w:hAnsi="宋体" w:eastAsia="宋体" w:cs="Times New Roman"/>
          <w:color w:val="000000"/>
          <w:sz w:val="24"/>
          <w:highlight w:val="none"/>
        </w:rPr>
        <w:t>不能证明其报价合理性的，</w:t>
      </w:r>
      <w:r>
        <w:rPr>
          <w:rFonts w:hint="eastAsia" w:ascii="宋体" w:hAnsi="宋体" w:eastAsia="宋体" w:cs="Times New Roman"/>
          <w:bCs/>
          <w:sz w:val="24"/>
          <w:lang w:eastAsia="zh-CN"/>
        </w:rPr>
        <w:t>谈判</w:t>
      </w:r>
      <w:r>
        <w:rPr>
          <w:rFonts w:hint="eastAsia" w:ascii="宋体" w:hAnsi="宋体" w:eastAsia="宋体" w:cs="Times New Roman"/>
          <w:bCs/>
          <w:sz w:val="24"/>
        </w:rPr>
        <w:t>小组</w:t>
      </w:r>
      <w:r>
        <w:rPr>
          <w:rFonts w:hint="eastAsia" w:ascii="宋体" w:hAnsi="宋体" w:eastAsia="宋体" w:cs="Times New Roman"/>
          <w:color w:val="000000"/>
          <w:sz w:val="24"/>
          <w:highlight w:val="none"/>
        </w:rPr>
        <w:t>应当将其作为无效投标处理。</w:t>
      </w:r>
    </w:p>
    <w:p w14:paraId="456E402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eastAsia="zh-CN"/>
        </w:rPr>
      </w:pPr>
      <w:r>
        <w:rPr>
          <w:rFonts w:hint="eastAsia" w:ascii="宋体" w:hAnsi="宋体"/>
          <w:bCs/>
          <w:sz w:val="24"/>
          <w:lang w:val="zh-CN"/>
        </w:rPr>
        <w:t>（</w:t>
      </w:r>
      <w:r>
        <w:rPr>
          <w:rFonts w:hint="eastAsia" w:ascii="宋体" w:hAnsi="宋体"/>
          <w:bCs/>
          <w:sz w:val="24"/>
          <w:lang w:val="en-US" w:eastAsia="zh-CN"/>
        </w:rPr>
        <w:t>17</w:t>
      </w:r>
      <w:r>
        <w:rPr>
          <w:rFonts w:hint="eastAsia" w:ascii="宋体" w:hAnsi="宋体"/>
          <w:bCs/>
          <w:sz w:val="24"/>
          <w:lang w:val="zh-CN"/>
        </w:rPr>
        <w:t>）其他法律法规及本谈判文件规定的属无效响应的情形。</w:t>
      </w:r>
    </w:p>
    <w:p w14:paraId="43E95AB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eastAsia="zh-CN"/>
        </w:rPr>
      </w:pPr>
      <w:r>
        <w:rPr>
          <w:rFonts w:hint="eastAsia" w:ascii="宋体" w:hAnsi="宋体"/>
          <w:bCs/>
          <w:sz w:val="24"/>
          <w:lang w:val="en-US" w:eastAsia="zh-CN"/>
        </w:rPr>
        <w:t>21.</w:t>
      </w:r>
      <w:r>
        <w:rPr>
          <w:rFonts w:hint="eastAsia" w:ascii="宋体" w:hAnsi="宋体"/>
          <w:bCs/>
          <w:sz w:val="24"/>
        </w:rPr>
        <w:t>出现下列情形之一的，谈判终止</w:t>
      </w:r>
      <w:r>
        <w:rPr>
          <w:rFonts w:hint="eastAsia" w:ascii="宋体" w:hAnsi="宋体"/>
          <w:bCs/>
          <w:sz w:val="24"/>
          <w:lang w:eastAsia="zh-CN"/>
        </w:rPr>
        <w:t>：</w:t>
      </w:r>
    </w:p>
    <w:p w14:paraId="5EC9624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（1）因情况变化，不再符合规定的竞争性谈判采购方式适用情形的；</w:t>
      </w:r>
    </w:p>
    <w:p w14:paraId="2F50B7E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（2）出现影响采购公正的违法、违规行为的；</w:t>
      </w:r>
    </w:p>
    <w:p w14:paraId="304A7B7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（3）</w:t>
      </w:r>
      <w:r>
        <w:rPr>
          <w:rFonts w:hint="eastAsia" w:ascii="宋体" w:hAnsi="宋体"/>
          <w:bCs/>
          <w:sz w:val="24"/>
          <w:lang w:eastAsia="zh-CN"/>
        </w:rPr>
        <w:t>除</w:t>
      </w:r>
      <w:r>
        <w:rPr>
          <w:rFonts w:hint="eastAsia" w:ascii="宋体" w:hAnsi="宋体"/>
          <w:bCs/>
          <w:sz w:val="24"/>
        </w:rPr>
        <w:t>《政府采购非招标采购方式管理办法》财政部第74号令第二十七条第二款规定的情形外</w:t>
      </w:r>
      <w:r>
        <w:rPr>
          <w:rFonts w:hint="eastAsia" w:ascii="宋体" w:hAnsi="宋体"/>
          <w:bCs/>
          <w:sz w:val="24"/>
          <w:lang w:eastAsia="zh-CN"/>
        </w:rPr>
        <w:t>，</w:t>
      </w:r>
      <w:r>
        <w:rPr>
          <w:rFonts w:hint="eastAsia" w:ascii="宋体" w:hAnsi="宋体"/>
          <w:bCs/>
          <w:sz w:val="24"/>
        </w:rPr>
        <w:t>在采购过程中符合竞争要求的</w:t>
      </w:r>
      <w:r>
        <w:rPr>
          <w:rFonts w:hint="eastAsia" w:ascii="宋体" w:hAnsi="宋体"/>
          <w:bCs/>
          <w:sz w:val="24"/>
          <w:lang w:eastAsia="zh-CN"/>
        </w:rPr>
        <w:t>谈判</w:t>
      </w:r>
      <w:r>
        <w:rPr>
          <w:rFonts w:hint="eastAsia" w:ascii="宋体" w:hAnsi="宋体"/>
          <w:bCs/>
          <w:sz w:val="24"/>
        </w:rPr>
        <w:t>供应商或者报价未超过采购预算的</w:t>
      </w:r>
      <w:r>
        <w:rPr>
          <w:rFonts w:hint="eastAsia" w:ascii="宋体" w:hAnsi="宋体"/>
          <w:bCs/>
          <w:sz w:val="24"/>
          <w:lang w:eastAsia="zh-CN"/>
        </w:rPr>
        <w:t>谈判</w:t>
      </w:r>
      <w:r>
        <w:rPr>
          <w:rFonts w:hint="eastAsia" w:ascii="宋体" w:hAnsi="宋体"/>
          <w:bCs/>
          <w:sz w:val="24"/>
        </w:rPr>
        <w:t>供应商不足3家的。</w:t>
      </w:r>
    </w:p>
    <w:p w14:paraId="0565847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.推荐成交候选供应商</w:t>
      </w:r>
    </w:p>
    <w:p w14:paraId="137E216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.1谈判小组将对通过资格性审查和符合性审查的响应文件进行评价和比较。</w:t>
      </w:r>
    </w:p>
    <w:p w14:paraId="5C9CFBB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bCs/>
          <w:sz w:val="24"/>
          <w:highlight w:val="none"/>
        </w:rPr>
      </w:pPr>
      <w:r>
        <w:rPr>
          <w:rFonts w:hint="eastAsia" w:ascii="宋体" w:hAnsi="宋体"/>
          <w:bCs/>
          <w:sz w:val="24"/>
        </w:rPr>
        <w:t>2</w:t>
      </w:r>
      <w:r>
        <w:rPr>
          <w:rFonts w:hint="eastAsia" w:ascii="宋体" w:hAnsi="宋体"/>
          <w:bCs/>
          <w:sz w:val="24"/>
          <w:lang w:val="en-US" w:eastAsia="zh-CN"/>
        </w:rPr>
        <w:t>2</w:t>
      </w:r>
      <w:r>
        <w:rPr>
          <w:rFonts w:hint="eastAsia" w:ascii="宋体" w:hAnsi="宋体"/>
          <w:bCs/>
          <w:sz w:val="24"/>
        </w:rPr>
        <w:t>.2谈判小组按谈判文件</w:t>
      </w:r>
      <w:r>
        <w:rPr>
          <w:rFonts w:hint="eastAsia" w:ascii="宋体" w:hAnsi="宋体"/>
          <w:bCs/>
          <w:sz w:val="24"/>
          <w:highlight w:val="none"/>
        </w:rPr>
        <w:t>第</w:t>
      </w:r>
      <w:r>
        <w:rPr>
          <w:rFonts w:hint="eastAsia" w:ascii="宋体" w:hAnsi="宋体"/>
          <w:bCs/>
          <w:sz w:val="24"/>
          <w:highlight w:val="none"/>
          <w:lang w:eastAsia="zh-CN"/>
        </w:rPr>
        <w:t>一章第三部分</w:t>
      </w:r>
      <w:r>
        <w:rPr>
          <w:rFonts w:hint="eastAsia" w:ascii="宋体" w:hAnsi="宋体"/>
          <w:bCs/>
          <w:sz w:val="24"/>
          <w:highlight w:val="none"/>
        </w:rPr>
        <w:t>中</w:t>
      </w:r>
      <w:r>
        <w:rPr>
          <w:rFonts w:hint="eastAsia" w:ascii="宋体" w:hAnsi="宋体"/>
          <w:bCs/>
          <w:sz w:val="24"/>
        </w:rPr>
        <w:t>公布的成交标准对每份合格响应文件进行评审，</w:t>
      </w:r>
      <w:r>
        <w:rPr>
          <w:rFonts w:hint="eastAsia" w:ascii="宋体" w:hAnsi="宋体"/>
          <w:bCs/>
          <w:sz w:val="24"/>
          <w:highlight w:val="none"/>
        </w:rPr>
        <w:t>推荐3名成交候选供应商。</w:t>
      </w:r>
      <w:r>
        <w:rPr>
          <w:rFonts w:ascii="宋体" w:hAnsi="宋体"/>
          <w:bCs/>
          <w:sz w:val="24"/>
          <w:highlight w:val="none"/>
        </w:rPr>
        <w:t xml:space="preserve"> </w:t>
      </w:r>
    </w:p>
    <w:p w14:paraId="283AF8D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hint="eastAsia" w:ascii="宋体" w:hAnsi="宋体" w:eastAsia="宋体" w:cs="Times New Roman"/>
          <w:bCs/>
          <w:sz w:val="24"/>
        </w:rPr>
        <w:t>22</w:t>
      </w:r>
      <w:r>
        <w:rPr>
          <w:rFonts w:ascii="宋体" w:hAnsi="宋体" w:eastAsia="宋体" w:cs="Times New Roman"/>
          <w:bCs/>
          <w:sz w:val="24"/>
        </w:rPr>
        <w:t>.3</w:t>
      </w:r>
      <w:r>
        <w:rPr>
          <w:rFonts w:hint="eastAsia" w:ascii="宋体" w:hAnsi="宋体" w:eastAsia="宋体" w:cs="Times New Roman"/>
          <w:bCs/>
          <w:sz w:val="24"/>
          <w:lang w:eastAsia="zh-CN"/>
        </w:rPr>
        <w:t>谈判</w:t>
      </w:r>
      <w:r>
        <w:rPr>
          <w:rFonts w:hint="eastAsia" w:ascii="宋体" w:hAnsi="宋体" w:eastAsia="宋体" w:cs="Times New Roman"/>
          <w:bCs/>
          <w:sz w:val="24"/>
        </w:rPr>
        <w:t>小组发现</w:t>
      </w:r>
      <w:r>
        <w:rPr>
          <w:rFonts w:hint="eastAsia" w:ascii="宋体" w:hAnsi="宋体" w:eastAsia="宋体" w:cs="Times New Roman"/>
          <w:bCs/>
          <w:sz w:val="24"/>
          <w:lang w:eastAsia="zh-CN"/>
        </w:rPr>
        <w:t>谈判</w:t>
      </w:r>
      <w:r>
        <w:rPr>
          <w:rFonts w:hint="eastAsia" w:ascii="宋体" w:hAnsi="宋体" w:eastAsia="宋体" w:cs="Times New Roman"/>
          <w:bCs/>
          <w:sz w:val="24"/>
        </w:rPr>
        <w:t>文件存在歧义、重大缺陷导致评审工作无法进行，或者</w:t>
      </w:r>
      <w:r>
        <w:rPr>
          <w:rFonts w:hint="eastAsia" w:ascii="宋体" w:hAnsi="宋体" w:eastAsia="宋体" w:cs="Times New Roman"/>
          <w:bCs/>
          <w:sz w:val="24"/>
          <w:lang w:eastAsia="zh-CN"/>
        </w:rPr>
        <w:t>谈判</w:t>
      </w:r>
      <w:r>
        <w:rPr>
          <w:rFonts w:hint="eastAsia" w:ascii="宋体" w:hAnsi="宋体" w:eastAsia="宋体" w:cs="Times New Roman"/>
          <w:bCs/>
          <w:sz w:val="24"/>
        </w:rPr>
        <w:t>文件内容存在违反国家有关规定的，评审工作停止，</w:t>
      </w:r>
      <w:r>
        <w:rPr>
          <w:rFonts w:hint="eastAsia" w:ascii="宋体" w:hAnsi="宋体" w:eastAsia="宋体" w:cs="Times New Roman"/>
          <w:bCs/>
          <w:sz w:val="24"/>
          <w:highlight w:val="none"/>
        </w:rPr>
        <w:t>采购人或</w:t>
      </w:r>
      <w:r>
        <w:rPr>
          <w:rFonts w:hint="eastAsia" w:ascii="宋体" w:hAnsi="宋体" w:eastAsia="宋体" w:cs="Times New Roman"/>
          <w:bCs/>
          <w:sz w:val="24"/>
          <w:highlight w:val="none"/>
          <w:lang w:eastAsia="zh-CN"/>
        </w:rPr>
        <w:t>代理机构</w:t>
      </w:r>
      <w:r>
        <w:rPr>
          <w:rFonts w:hint="eastAsia" w:ascii="宋体" w:hAnsi="宋体" w:eastAsia="宋体" w:cs="Times New Roman"/>
          <w:bCs/>
          <w:sz w:val="24"/>
        </w:rPr>
        <w:t>修改</w:t>
      </w:r>
      <w:r>
        <w:rPr>
          <w:rFonts w:hint="eastAsia" w:ascii="宋体" w:hAnsi="宋体" w:eastAsia="宋体" w:cs="Times New Roman"/>
          <w:bCs/>
          <w:sz w:val="24"/>
          <w:lang w:eastAsia="zh-CN"/>
        </w:rPr>
        <w:t>谈判</w:t>
      </w:r>
      <w:r>
        <w:rPr>
          <w:rFonts w:hint="eastAsia" w:ascii="宋体" w:hAnsi="宋体" w:eastAsia="宋体" w:cs="Times New Roman"/>
          <w:bCs/>
          <w:sz w:val="24"/>
        </w:rPr>
        <w:t>文件后重新组织采购活动。</w:t>
      </w:r>
    </w:p>
    <w:p w14:paraId="600CC8F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lang w:val="en-US" w:eastAsia="zh-CN"/>
        </w:rPr>
        <w:t>23</w:t>
      </w:r>
      <w:r>
        <w:rPr>
          <w:rFonts w:hint="eastAsia" w:ascii="宋体" w:hAnsi="宋体"/>
          <w:bCs/>
          <w:sz w:val="24"/>
        </w:rPr>
        <w:t>.谈判过程保密</w:t>
      </w:r>
    </w:p>
    <w:p w14:paraId="708CFEA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.1在宣布成交结果前，凡属于审查、澄清、谈判、评审响应文件和确定成交等相关信息，均不得泄露给任何</w:t>
      </w:r>
      <w:r>
        <w:rPr>
          <w:rFonts w:hint="eastAsia" w:ascii="宋体" w:hAnsi="宋体"/>
          <w:bCs/>
          <w:sz w:val="24"/>
          <w:lang w:val="zh-CN"/>
        </w:rPr>
        <w:t>谈判</w:t>
      </w:r>
      <w:r>
        <w:rPr>
          <w:rFonts w:hint="eastAsia" w:ascii="宋体" w:hAnsi="宋体"/>
          <w:bCs/>
          <w:sz w:val="24"/>
        </w:rPr>
        <w:t>供应商或与评审工作无关的人员。</w:t>
      </w:r>
    </w:p>
    <w:p w14:paraId="4B0348B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.2</w:t>
      </w:r>
      <w:r>
        <w:rPr>
          <w:rFonts w:hint="eastAsia" w:ascii="宋体" w:hAnsi="宋体"/>
          <w:bCs/>
          <w:sz w:val="24"/>
          <w:lang w:eastAsia="zh-CN"/>
        </w:rPr>
        <w:t>谈判</w:t>
      </w:r>
      <w:r>
        <w:rPr>
          <w:rFonts w:hint="eastAsia" w:ascii="宋体" w:hAnsi="宋体"/>
          <w:bCs/>
          <w:sz w:val="24"/>
        </w:rPr>
        <w:t>供应商不得探听上述信息，不得以任何行为影响谈判过程，否则将被取消成交资格。</w:t>
      </w:r>
    </w:p>
    <w:p w14:paraId="32ED287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bCs/>
          <w:sz w:val="24"/>
        </w:rPr>
        <w:t>2</w:t>
      </w:r>
      <w:r>
        <w:rPr>
          <w:rFonts w:hint="eastAsia" w:ascii="宋体" w:hAnsi="宋体"/>
          <w:bCs/>
          <w:sz w:val="24"/>
          <w:lang w:val="en-US" w:eastAsia="zh-CN"/>
        </w:rPr>
        <w:t>3</w:t>
      </w:r>
      <w:r>
        <w:rPr>
          <w:rFonts w:hint="eastAsia" w:ascii="宋体" w:hAnsi="宋体"/>
          <w:bCs/>
          <w:sz w:val="24"/>
        </w:rPr>
        <w:t>.3谈判小组名单在谈判前确定，并在成交结果确定前保密。</w:t>
      </w:r>
    </w:p>
    <w:p w14:paraId="0B3C9CE2">
      <w:pPr>
        <w:spacing w:line="520" w:lineRule="exact"/>
        <w:ind w:right="-634"/>
        <w:rPr>
          <w:rFonts w:hint="eastAsia" w:ascii="宋体" w:hAnsi="宋体"/>
          <w:b/>
          <w:bCs/>
          <w:sz w:val="24"/>
        </w:rPr>
      </w:pPr>
      <w:r>
        <w:rPr>
          <w:rFonts w:hint="eastAsia" w:ascii="宋体" w:hAnsi="宋体"/>
          <w:b/>
          <w:bCs/>
          <w:sz w:val="24"/>
        </w:rPr>
        <w:t>六、确定成交及签订合同</w:t>
      </w:r>
    </w:p>
    <w:p w14:paraId="6AEE605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.确定成交供应商</w:t>
      </w:r>
    </w:p>
    <w:p w14:paraId="282E514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.1采购人将从谈判小组推荐的符合采购需求的成交候选供应商中按排名先后确定成交供应商。</w:t>
      </w:r>
    </w:p>
    <w:p w14:paraId="47C1DD4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.2采购人或代理机构将在</w:t>
      </w:r>
      <w:r>
        <w:rPr>
          <w:rFonts w:hint="eastAsia" w:ascii="宋体" w:hAnsi="宋体"/>
          <w:color w:val="000000"/>
          <w:sz w:val="24"/>
          <w:highlight w:val="none"/>
        </w:rPr>
        <w:t>“江苏政府采购网”或者“淮安市政府采购网”</w:t>
      </w:r>
      <w:r>
        <w:rPr>
          <w:rFonts w:hint="eastAsia" w:ascii="宋体" w:hAnsi="宋体"/>
          <w:bCs/>
          <w:sz w:val="24"/>
        </w:rPr>
        <w:t>发布成交结果公告。</w:t>
      </w:r>
    </w:p>
    <w:p w14:paraId="2735B94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3</w:t>
      </w:r>
      <w:r>
        <w:rPr>
          <w:rFonts w:hint="eastAsia" w:ascii="宋体" w:hAnsi="宋体"/>
          <w:bCs/>
          <w:sz w:val="24"/>
        </w:rPr>
        <w:t>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报财政部门</w:t>
      </w:r>
      <w:r>
        <w:rPr>
          <w:rFonts w:hint="eastAsia" w:ascii="宋体" w:hAnsi="宋体"/>
          <w:bCs/>
          <w:sz w:val="24"/>
        </w:rPr>
        <w:t>取消其成交资格。</w:t>
      </w:r>
    </w:p>
    <w:p w14:paraId="234B90E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highlight w:val="none"/>
          <w:lang w:eastAsia="zh-CN"/>
        </w:rPr>
      </w:pPr>
      <w:r>
        <w:rPr>
          <w:rFonts w:hint="eastAsia" w:ascii="宋体" w:hAnsi="宋体"/>
          <w:bCs/>
          <w:sz w:val="24"/>
          <w:highlight w:val="none"/>
        </w:rPr>
        <w:t>2</w:t>
      </w:r>
      <w:r>
        <w:rPr>
          <w:rFonts w:hint="eastAsia" w:ascii="宋体" w:hAnsi="宋体"/>
          <w:bCs/>
          <w:sz w:val="24"/>
          <w:highlight w:val="none"/>
          <w:lang w:val="en-US" w:eastAsia="zh-CN"/>
        </w:rPr>
        <w:t>5</w:t>
      </w:r>
      <w:r>
        <w:rPr>
          <w:rFonts w:hint="eastAsia" w:ascii="宋体" w:hAnsi="宋体"/>
          <w:bCs/>
          <w:sz w:val="24"/>
          <w:highlight w:val="none"/>
        </w:rPr>
        <w:t>.成交通知书</w:t>
      </w:r>
    </w:p>
    <w:p w14:paraId="120E29C9">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textAlignment w:val="auto"/>
        <w:rPr>
          <w:rFonts w:hint="eastAsia" w:ascii="宋体" w:hAnsi="宋体"/>
          <w:b/>
          <w:bCs/>
          <w:sz w:val="24"/>
          <w:highlight w:val="none"/>
          <w:lang w:eastAsia="zh-CN"/>
        </w:rPr>
      </w:pPr>
      <w:r>
        <w:rPr>
          <w:rFonts w:hint="eastAsia" w:ascii="宋体" w:hAnsi="宋体"/>
          <w:b/>
          <w:bCs/>
          <w:sz w:val="24"/>
          <w:highlight w:val="none"/>
        </w:rPr>
        <w:t>2</w:t>
      </w:r>
      <w:r>
        <w:rPr>
          <w:rFonts w:hint="eastAsia" w:ascii="宋体" w:hAnsi="宋体"/>
          <w:b/>
          <w:bCs/>
          <w:sz w:val="24"/>
          <w:highlight w:val="none"/>
          <w:lang w:val="en-US" w:eastAsia="zh-CN"/>
        </w:rPr>
        <w:t>5</w:t>
      </w:r>
      <w:r>
        <w:rPr>
          <w:rFonts w:hint="eastAsia" w:ascii="宋体" w:hAnsi="宋体"/>
          <w:b/>
          <w:bCs/>
          <w:sz w:val="24"/>
          <w:highlight w:val="none"/>
        </w:rPr>
        <w:t>.1</w:t>
      </w:r>
      <w:r>
        <w:rPr>
          <w:rFonts w:hint="eastAsia" w:ascii="宋体" w:hAnsi="宋体" w:eastAsia="宋体" w:cs="Times New Roman"/>
          <w:b/>
          <w:bCs/>
          <w:sz w:val="24"/>
        </w:rPr>
        <w:t>成交结果确定后，代理机构将向成交供应商发出成交通知书。请成交供应商在成交结果公告届满之日起30日内，使用CA数字证书登录</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及时下载成交通知书。因系统存储空间有限，自成交结果公告届满之日起30日后，</w:t>
      </w:r>
      <w:r>
        <w:rPr>
          <w:rFonts w:hint="eastAsia" w:ascii="宋体" w:hAnsi="宋体"/>
          <w:b/>
          <w:bCs/>
          <w:sz w:val="24"/>
          <w:highlight w:val="none"/>
        </w:rPr>
        <w:t>“苏采云</w:t>
      </w:r>
      <w:r>
        <w:rPr>
          <w:rFonts w:hint="eastAsia" w:ascii="宋体" w:hAnsi="宋体"/>
          <w:b/>
          <w:bCs/>
          <w:sz w:val="24"/>
          <w:highlight w:val="none"/>
          <w:lang w:eastAsia="zh-CN"/>
        </w:rPr>
        <w:t>政府采购一体化平台</w:t>
      </w:r>
      <w:r>
        <w:rPr>
          <w:rFonts w:hint="eastAsia" w:ascii="宋体" w:hAnsi="宋体"/>
          <w:b/>
          <w:bCs/>
          <w:sz w:val="24"/>
          <w:highlight w:val="none"/>
        </w:rPr>
        <w:t>”</w:t>
      </w:r>
      <w:r>
        <w:rPr>
          <w:rFonts w:hint="eastAsia" w:ascii="宋体" w:hAnsi="宋体" w:eastAsia="宋体" w:cs="Times New Roman"/>
          <w:b/>
          <w:bCs/>
          <w:sz w:val="24"/>
        </w:rPr>
        <w:t>不再保证提供下载成交通知书服务，因未及时下载而造成的不利后果由成交供应商自行承担。</w:t>
      </w:r>
    </w:p>
    <w:p w14:paraId="579C066B">
      <w:pPr>
        <w:keepNext w:val="0"/>
        <w:keepLines w:val="0"/>
        <w:pageBreakBefore w:val="0"/>
        <w:widowControl w:val="0"/>
        <w:kinsoku/>
        <w:wordWrap/>
        <w:overflowPunct/>
        <w:topLinePunct w:val="0"/>
        <w:autoSpaceDE/>
        <w:autoSpaceDN/>
        <w:bidi w:val="0"/>
        <w:adjustRightInd/>
        <w:snapToGrid/>
        <w:spacing w:line="520" w:lineRule="exact"/>
        <w:ind w:right="0" w:rightChars="0" w:firstLine="460" w:firstLineChars="192"/>
        <w:textAlignment w:val="auto"/>
        <w:rPr>
          <w:rFonts w:hint="eastAsia" w:ascii="宋体" w:hAnsi="宋体"/>
          <w:b w:val="0"/>
          <w:bCs w:val="0"/>
          <w:sz w:val="24"/>
          <w:highlight w:val="none"/>
        </w:rPr>
      </w:pPr>
      <w:r>
        <w:rPr>
          <w:rFonts w:hint="eastAsia" w:ascii="宋体" w:hAnsi="宋体"/>
          <w:b w:val="0"/>
          <w:bCs w:val="0"/>
          <w:sz w:val="24"/>
          <w:highlight w:val="none"/>
        </w:rPr>
        <w:t>2</w:t>
      </w:r>
      <w:r>
        <w:rPr>
          <w:rFonts w:hint="eastAsia" w:ascii="宋体" w:hAnsi="宋体"/>
          <w:b w:val="0"/>
          <w:bCs w:val="0"/>
          <w:sz w:val="24"/>
          <w:highlight w:val="none"/>
          <w:lang w:val="en-US" w:eastAsia="zh-CN"/>
        </w:rPr>
        <w:t>5</w:t>
      </w:r>
      <w:r>
        <w:rPr>
          <w:rFonts w:hint="eastAsia" w:ascii="宋体" w:hAnsi="宋体"/>
          <w:b w:val="0"/>
          <w:bCs w:val="0"/>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70B47D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2</w:t>
      </w:r>
      <w:r>
        <w:rPr>
          <w:rFonts w:hint="eastAsia" w:ascii="宋体" w:hAnsi="宋体"/>
          <w:bCs/>
          <w:color w:val="auto"/>
          <w:sz w:val="24"/>
          <w:highlight w:val="none"/>
          <w:lang w:val="en-US" w:eastAsia="zh-CN"/>
        </w:rPr>
        <w:t>6</w:t>
      </w:r>
      <w:r>
        <w:rPr>
          <w:rFonts w:hint="eastAsia" w:ascii="宋体" w:hAnsi="宋体"/>
          <w:bCs/>
          <w:color w:val="auto"/>
          <w:sz w:val="24"/>
          <w:highlight w:val="none"/>
        </w:rPr>
        <w:t>.签订合同</w:t>
      </w:r>
    </w:p>
    <w:p w14:paraId="2C1690A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.1采购人与成交供应商应在</w:t>
      </w:r>
      <w:r>
        <w:rPr>
          <w:rFonts w:hint="eastAsia" w:ascii="宋体" w:hAnsi="宋体"/>
          <w:bCs/>
          <w:sz w:val="24"/>
          <w:lang w:eastAsia="zh-CN"/>
        </w:rPr>
        <w:t>成交</w:t>
      </w:r>
      <w:r>
        <w:rPr>
          <w:rFonts w:hint="eastAsia" w:ascii="宋体" w:hAnsi="宋体"/>
          <w:bCs/>
          <w:sz w:val="24"/>
        </w:rPr>
        <w:t>通知书发出之日起</w:t>
      </w:r>
      <w:r>
        <w:rPr>
          <w:rFonts w:hint="eastAsia" w:ascii="宋体" w:hAnsi="宋体"/>
          <w:bCs/>
          <w:sz w:val="24"/>
          <w:lang w:eastAsia="zh-CN"/>
        </w:rPr>
        <w:t>三</w:t>
      </w:r>
      <w:r>
        <w:rPr>
          <w:rFonts w:hint="eastAsia" w:ascii="宋体" w:hAnsi="宋体"/>
          <w:bCs/>
          <w:sz w:val="24"/>
        </w:rPr>
        <w:t>十日内</w:t>
      </w:r>
      <w:r>
        <w:rPr>
          <w:rFonts w:hint="eastAsia" w:ascii="宋体" w:hAnsi="宋体"/>
          <w:bCs/>
          <w:sz w:val="24"/>
          <w:lang w:eastAsia="zh-CN"/>
        </w:rPr>
        <w:t>，</w:t>
      </w:r>
      <w:r>
        <w:rPr>
          <w:rFonts w:hint="eastAsia" w:ascii="宋体" w:hAnsi="宋体"/>
          <w:color w:val="000000"/>
          <w:sz w:val="24"/>
        </w:rPr>
        <w:t>及时使用CA锁登录“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color w:val="000000"/>
          <w:sz w:val="24"/>
        </w:rPr>
        <w:t>”完成政府采购合同签订工作。</w:t>
      </w:r>
      <w:r>
        <w:rPr>
          <w:rFonts w:hint="eastAsia" w:ascii="宋体" w:hAnsi="宋体"/>
          <w:bCs/>
          <w:sz w:val="24"/>
        </w:rPr>
        <w:t>谈判文件、成交供应商的响应文件及澄清文件等均为签订合同依据。</w:t>
      </w:r>
    </w:p>
    <w:p w14:paraId="1A17C7A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6</w:t>
      </w:r>
      <w:r>
        <w:rPr>
          <w:rFonts w:hint="eastAsia" w:ascii="宋体" w:hAnsi="宋体"/>
          <w:bCs/>
          <w:sz w:val="24"/>
        </w:rPr>
        <w:t>.2成交供应商自成交通知书发出之日起</w:t>
      </w:r>
      <w:r>
        <w:rPr>
          <w:rFonts w:hint="eastAsia" w:ascii="宋体" w:hAnsi="宋体"/>
          <w:bCs/>
          <w:sz w:val="24"/>
          <w:lang w:eastAsia="zh-CN"/>
        </w:rPr>
        <w:t>三</w:t>
      </w:r>
      <w:r>
        <w:rPr>
          <w:rFonts w:hint="eastAsia" w:ascii="宋体" w:hAnsi="宋体"/>
          <w:bCs/>
          <w:sz w:val="24"/>
        </w:rPr>
        <w:t>十日内无正当理由不与采购人签订合同，将按相关规定进行处理。</w:t>
      </w:r>
    </w:p>
    <w:p w14:paraId="51A2832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rPr>
      </w:pPr>
      <w:r>
        <w:rPr>
          <w:rFonts w:hint="eastAsia" w:ascii="宋体" w:hAnsi="宋体" w:eastAsia="宋体" w:cs="Times New Roman"/>
          <w:bCs/>
          <w:sz w:val="24"/>
          <w:lang w:val="en-US" w:eastAsia="zh-CN"/>
        </w:rPr>
        <w:t>26.3</w:t>
      </w:r>
      <w:r>
        <w:rPr>
          <w:rFonts w:hint="eastAsia" w:ascii="宋体" w:hAnsi="宋体" w:eastAsia="宋体" w:cs="Times New Roman"/>
          <w:bCs/>
          <w:sz w:val="24"/>
        </w:rPr>
        <w:t>如果成交</w:t>
      </w:r>
      <w:r>
        <w:rPr>
          <w:rFonts w:hint="eastAsia" w:ascii="宋体" w:hAnsi="宋体"/>
          <w:bCs/>
          <w:sz w:val="24"/>
        </w:rPr>
        <w:t>供应商</w:t>
      </w:r>
      <w:r>
        <w:rPr>
          <w:rFonts w:hint="eastAsia" w:ascii="宋体" w:hAnsi="宋体" w:eastAsia="宋体" w:cs="Times New Roman"/>
          <w:bCs/>
          <w:sz w:val="24"/>
        </w:rPr>
        <w:t>没有按照</w:t>
      </w:r>
      <w:r>
        <w:rPr>
          <w:rFonts w:hint="eastAsia" w:ascii="宋体" w:hAnsi="宋体" w:eastAsia="宋体" w:cs="Times New Roman"/>
          <w:bCs/>
          <w:sz w:val="24"/>
          <w:lang w:eastAsia="zh-CN"/>
        </w:rPr>
        <w:t>第25</w:t>
      </w:r>
      <w:r>
        <w:rPr>
          <w:rFonts w:hint="eastAsia" w:ascii="宋体" w:hAnsi="宋体" w:eastAsia="宋体" w:cs="Times New Roman"/>
          <w:bCs/>
          <w:sz w:val="24"/>
        </w:rPr>
        <w:t>条或</w:t>
      </w:r>
      <w:r>
        <w:rPr>
          <w:rFonts w:hint="eastAsia" w:ascii="宋体" w:hAnsi="宋体" w:eastAsia="宋体" w:cs="Times New Roman"/>
          <w:bCs/>
          <w:sz w:val="24"/>
          <w:lang w:eastAsia="zh-CN"/>
        </w:rPr>
        <w:t>第26</w:t>
      </w:r>
      <w:r>
        <w:rPr>
          <w:rFonts w:hint="eastAsia" w:ascii="宋体" w:hAnsi="宋体" w:eastAsia="宋体" w:cs="Times New Roman"/>
          <w:bCs/>
          <w:sz w:val="24"/>
        </w:rPr>
        <w:t>条的规定去做，采购人或代理机构可报财政部门取消其</w:t>
      </w:r>
      <w:r>
        <w:rPr>
          <w:rFonts w:hint="eastAsia" w:ascii="宋体" w:hAnsi="宋体" w:eastAsia="宋体" w:cs="Times New Roman"/>
          <w:bCs/>
          <w:sz w:val="24"/>
          <w:lang w:eastAsia="zh-CN"/>
        </w:rPr>
        <w:t>成交</w:t>
      </w:r>
      <w:r>
        <w:rPr>
          <w:rFonts w:hint="eastAsia" w:ascii="宋体" w:hAnsi="宋体" w:eastAsia="宋体" w:cs="Times New Roman"/>
          <w:bCs/>
          <w:sz w:val="24"/>
        </w:rPr>
        <w:t>资格。在此情况下采购人可将标授予下一个</w:t>
      </w:r>
      <w:r>
        <w:rPr>
          <w:rFonts w:hint="eastAsia" w:ascii="宋体" w:hAnsi="宋体" w:eastAsia="宋体" w:cs="Times New Roman"/>
          <w:bCs/>
          <w:sz w:val="24"/>
          <w:lang w:eastAsia="zh-CN"/>
        </w:rPr>
        <w:t>成交</w:t>
      </w:r>
      <w:r>
        <w:rPr>
          <w:rFonts w:hint="eastAsia" w:ascii="宋体" w:hAnsi="宋体" w:eastAsia="宋体" w:cs="Times New Roman"/>
          <w:bCs/>
          <w:sz w:val="24"/>
        </w:rPr>
        <w:t>候选人，或重新</w:t>
      </w:r>
      <w:r>
        <w:rPr>
          <w:rFonts w:hint="eastAsia" w:ascii="宋体" w:hAnsi="宋体" w:eastAsia="宋体" w:cs="Times New Roman"/>
          <w:bCs/>
          <w:sz w:val="24"/>
          <w:lang w:eastAsia="zh-CN"/>
        </w:rPr>
        <w:t>开展采购活动</w:t>
      </w:r>
      <w:r>
        <w:rPr>
          <w:rFonts w:hint="eastAsia" w:ascii="宋体" w:hAnsi="宋体" w:eastAsia="宋体" w:cs="Times New Roman"/>
          <w:bCs/>
          <w:sz w:val="24"/>
        </w:rPr>
        <w:t>。</w:t>
      </w:r>
    </w:p>
    <w:p w14:paraId="306A6D4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的减少</w:t>
      </w:r>
    </w:p>
    <w:p w14:paraId="60C6E24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bCs/>
          <w:sz w:val="24"/>
        </w:rPr>
      </w:pPr>
      <w:r>
        <w:rPr>
          <w:rFonts w:hint="eastAsia" w:ascii="宋体" w:hAnsi="宋体"/>
          <w:bCs/>
          <w:sz w:val="24"/>
        </w:rPr>
        <w:t>2</w:t>
      </w:r>
      <w:r>
        <w:rPr>
          <w:rFonts w:hint="eastAsia" w:ascii="宋体" w:hAnsi="宋体"/>
          <w:bCs/>
          <w:sz w:val="24"/>
          <w:lang w:val="en-US" w:eastAsia="zh-CN"/>
        </w:rPr>
        <w:t>7</w:t>
      </w:r>
      <w:r>
        <w:rPr>
          <w:rFonts w:hint="eastAsia" w:ascii="宋体" w:hAnsi="宋体"/>
          <w:bCs/>
          <w:sz w:val="24"/>
        </w:rPr>
        <w:t>.1采购结束后，采购人若由于各种客观原因，必须对采购项目所牵涉的货物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进行适当的减少时，在双方协商一致的前提下，可以按照谈判时的价格水平做相应的调减，并据此签订补充合同。</w:t>
      </w:r>
    </w:p>
    <w:p w14:paraId="065C19B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bCs/>
          <w:sz w:val="24"/>
          <w:highlight w:val="none"/>
        </w:rPr>
      </w:pPr>
      <w:r>
        <w:rPr>
          <w:rFonts w:ascii="宋体" w:hAnsi="宋体"/>
          <w:bCs/>
          <w:sz w:val="24"/>
          <w:highlight w:val="none"/>
        </w:rPr>
        <w:t>2</w:t>
      </w:r>
      <w:r>
        <w:rPr>
          <w:rFonts w:hint="eastAsia" w:ascii="宋体" w:hAnsi="宋体"/>
          <w:bCs/>
          <w:sz w:val="24"/>
          <w:highlight w:val="none"/>
          <w:lang w:val="en-US" w:eastAsia="zh-CN"/>
        </w:rPr>
        <w:t>8</w:t>
      </w:r>
      <w:r>
        <w:rPr>
          <w:rFonts w:ascii="宋体" w:hAnsi="宋体"/>
          <w:bCs/>
          <w:sz w:val="24"/>
          <w:highlight w:val="none"/>
        </w:rPr>
        <w:t>.</w:t>
      </w:r>
      <w:r>
        <w:rPr>
          <w:rFonts w:hint="eastAsia" w:ascii="宋体" w:hAnsi="宋体"/>
          <w:bCs/>
          <w:sz w:val="24"/>
          <w:highlight w:val="none"/>
        </w:rPr>
        <w:t>履约保证金</w:t>
      </w:r>
      <w:r>
        <w:rPr>
          <w:rFonts w:hint="eastAsia" w:ascii="宋体" w:hAnsi="宋体"/>
          <w:b/>
          <w:bCs w:val="0"/>
          <w:color w:val="FF0000"/>
          <w:sz w:val="24"/>
          <w:highlight w:val="none"/>
        </w:rPr>
        <w:t>（本项目按下列第</w:t>
      </w:r>
      <w:r>
        <w:rPr>
          <w:rFonts w:hint="eastAsia" w:ascii="宋体" w:hAnsi="宋体"/>
          <w:b/>
          <w:bCs w:val="0"/>
          <w:color w:val="FF0000"/>
          <w:sz w:val="24"/>
          <w:highlight w:val="none"/>
          <w:lang w:val="en-US" w:eastAsia="zh-CN"/>
        </w:rPr>
        <w:t>28.1</w:t>
      </w:r>
      <w:r>
        <w:rPr>
          <w:rFonts w:hint="eastAsia" w:ascii="宋体" w:hAnsi="宋体"/>
          <w:b/>
          <w:bCs w:val="0"/>
          <w:color w:val="FF0000"/>
          <w:sz w:val="24"/>
          <w:highlight w:val="none"/>
        </w:rPr>
        <w:t>条执行）</w:t>
      </w:r>
    </w:p>
    <w:p w14:paraId="2D92723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bCs/>
          <w:sz w:val="24"/>
          <w:lang w:eastAsia="zh-CN"/>
        </w:rPr>
      </w:pPr>
      <w:r>
        <w:rPr>
          <w:rFonts w:hint="eastAsia" w:ascii="宋体" w:hAnsi="宋体"/>
          <w:bCs/>
          <w:sz w:val="24"/>
        </w:rPr>
        <w:t>2</w:t>
      </w:r>
      <w:r>
        <w:rPr>
          <w:rFonts w:hint="eastAsia" w:ascii="宋体" w:hAnsi="宋体"/>
          <w:bCs/>
          <w:sz w:val="24"/>
          <w:lang w:val="en-US" w:eastAsia="zh-CN"/>
        </w:rPr>
        <w:t>8</w:t>
      </w:r>
      <w:r>
        <w:rPr>
          <w:rFonts w:hint="eastAsia" w:ascii="宋体" w:hAnsi="宋体"/>
          <w:bCs/>
          <w:sz w:val="24"/>
        </w:rPr>
        <w:t>.1本项目无需缴纳履约保证金</w:t>
      </w:r>
      <w:r>
        <w:rPr>
          <w:rFonts w:hint="eastAsia" w:ascii="宋体" w:hAnsi="宋体"/>
          <w:bCs/>
          <w:sz w:val="24"/>
          <w:lang w:eastAsia="zh-CN"/>
        </w:rPr>
        <w:t>。</w:t>
      </w:r>
    </w:p>
    <w:p w14:paraId="7EC90CD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28.2</w:t>
      </w:r>
      <w:r>
        <w:rPr>
          <w:rFonts w:hint="eastAsia" w:ascii="宋体" w:hAnsi="宋体" w:eastAsia="宋体" w:cs="Times New Roman"/>
          <w:bCs/>
          <w:sz w:val="24"/>
          <w:highlight w:val="none"/>
        </w:rPr>
        <w:t>为保证合同的顺利执行，成交供应商在领取成交通知书后</w:t>
      </w:r>
      <w:r>
        <w:rPr>
          <w:rFonts w:hint="eastAsia" w:ascii="宋体" w:hAnsi="宋体" w:eastAsia="宋体" w:cs="Times New Roman"/>
          <w:bCs/>
          <w:sz w:val="24"/>
          <w:highlight w:val="none"/>
          <w:lang w:eastAsia="zh-CN"/>
        </w:rPr>
        <w:t>，在</w:t>
      </w:r>
      <w:r>
        <w:rPr>
          <w:rFonts w:hint="eastAsia" w:ascii="宋体" w:hAnsi="宋体" w:eastAsia="宋体" w:cs="Times New Roman"/>
          <w:bCs/>
          <w:sz w:val="24"/>
          <w:highlight w:val="none"/>
        </w:rPr>
        <w:t>签订合同之前，向采购单位缴纳成交价1</w:t>
      </w:r>
      <w:r>
        <w:rPr>
          <w:rFonts w:hint="eastAsia" w:ascii="宋体" w:hAnsi="宋体" w:eastAsia="宋体" w:cs="Times New Roman"/>
          <w:bCs/>
          <w:sz w:val="24"/>
          <w:highlight w:val="none"/>
          <w:lang w:val="en-US" w:eastAsia="zh-CN"/>
        </w:rPr>
        <w:t>0</w:t>
      </w:r>
      <w:r>
        <w:rPr>
          <w:rFonts w:hint="eastAsia" w:ascii="宋体" w:hAnsi="宋体" w:eastAsia="宋体" w:cs="Times New Roman"/>
          <w:bCs/>
          <w:sz w:val="24"/>
          <w:highlight w:val="none"/>
        </w:rPr>
        <w:t>%的履约保证金。</w:t>
      </w:r>
    </w:p>
    <w:p w14:paraId="1F0C528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28.3</w:t>
      </w:r>
      <w:r>
        <w:rPr>
          <w:rFonts w:hint="eastAsia" w:ascii="宋体" w:hAnsi="宋体" w:eastAsia="宋体" w:cs="Times New Roman"/>
          <w:bCs/>
          <w:sz w:val="24"/>
          <w:highlight w:val="none"/>
        </w:rPr>
        <w:t>成交供应商提供的履约保证金可以是人民币形式（银行本票、汇票、支票、电汇），或银行保函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或保险公司的保证保险等多种形式。</w:t>
      </w:r>
    </w:p>
    <w:p w14:paraId="0D3F645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28.4</w:t>
      </w:r>
      <w:r>
        <w:rPr>
          <w:rFonts w:hint="eastAsia" w:ascii="宋体" w:hAnsi="宋体" w:eastAsia="宋体" w:cs="Times New Roman"/>
          <w:bCs/>
          <w:sz w:val="24"/>
          <w:highlight w:val="none"/>
        </w:rPr>
        <w:t>成交供应商选取银行保函</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担保公司的保证担保</w:t>
      </w:r>
      <w:r>
        <w:rPr>
          <w:rFonts w:hint="eastAsia" w:ascii="宋体" w:hAnsi="宋体" w:eastAsia="宋体" w:cs="Times New Roman"/>
          <w:bCs/>
          <w:sz w:val="24"/>
          <w:highlight w:val="none"/>
          <w:lang w:eastAsia="zh-CN"/>
        </w:rPr>
        <w:t>或</w:t>
      </w:r>
      <w:r>
        <w:rPr>
          <w:rFonts w:hint="eastAsia" w:ascii="宋体" w:hAnsi="宋体" w:eastAsia="宋体" w:cs="Times New Roman"/>
          <w:bCs/>
          <w:sz w:val="24"/>
          <w:highlight w:val="none"/>
        </w:rPr>
        <w:t>保险公司的保证保险等形式向采购单位缴纳的，如保函（担保、保险等）的约定期到期但成交供应商履约仍未结束的，成交供应商须进行续保。</w:t>
      </w:r>
    </w:p>
    <w:p w14:paraId="094A987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28.5</w:t>
      </w:r>
      <w:r>
        <w:rPr>
          <w:rFonts w:hint="eastAsia" w:ascii="宋体" w:hAnsi="宋体" w:eastAsia="宋体" w:cs="Times New Roman"/>
          <w:bCs/>
          <w:sz w:val="24"/>
          <w:highlight w:val="none"/>
        </w:rPr>
        <w:t>成交供应商选取以履约保函（保险）形式向采购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缴纳的，按照《关于在全省政府采购领域推行电子履约保函（保险）的通知》（苏财购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150号）的要求，登录“政府采购电子履约保函（保险）平台”，选择第三方机构并提交保函（保险）申请，经审核通过后支付相关费用。</w:t>
      </w:r>
    </w:p>
    <w:p w14:paraId="3FC5139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28.6</w:t>
      </w:r>
      <w:r>
        <w:rPr>
          <w:rFonts w:hint="eastAsia" w:ascii="宋体" w:hAnsi="宋体" w:eastAsia="宋体" w:cs="Times New Roman"/>
          <w:bCs/>
          <w:sz w:val="24"/>
          <w:highlight w:val="none"/>
        </w:rPr>
        <w:t>如成交供应商未能履行合同规定的义务，采购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Times New Roman"/>
          <w:bCs/>
          <w:sz w:val="24"/>
          <w:highlight w:val="none"/>
        </w:rPr>
        <w:t>有权从履约保证金中取得补偿。</w:t>
      </w:r>
    </w:p>
    <w:p w14:paraId="33E6905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28.7</w:t>
      </w:r>
      <w:r>
        <w:rPr>
          <w:rFonts w:hint="eastAsia" w:ascii="宋体" w:hAnsi="宋体" w:eastAsia="宋体" w:cs="宋体"/>
          <w:sz w:val="24"/>
        </w:rPr>
        <w:t>履约保证金在合同约定期间内不予退还或者应完全有效，</w:t>
      </w:r>
      <w:r>
        <w:rPr>
          <w:rFonts w:hint="eastAsia" w:ascii="宋体" w:hAnsi="宋体" w:eastAsia="宋体" w:cs="宋体"/>
          <w:kern w:val="0"/>
          <w:sz w:val="24"/>
        </w:rPr>
        <w:t>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kern w:val="0"/>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lang w:eastAsia="zh-CN"/>
        </w:rPr>
        <w:t>；</w:t>
      </w:r>
      <w:r>
        <w:rPr>
          <w:rFonts w:hint="eastAsia" w:ascii="宋体" w:hAnsi="宋体" w:eastAsia="宋体" w:cs="Times New Roman"/>
          <w:bCs/>
          <w:sz w:val="24"/>
          <w:highlight w:val="none"/>
        </w:rPr>
        <w:t>逾期退还的，按中国人民银行同期贷款基利率上浮20%后的利率支付超期资金占用费，但因成交供应商自身原因导致无法及时退还的除外。</w:t>
      </w:r>
    </w:p>
    <w:p w14:paraId="6D9D439C">
      <w:pPr>
        <w:spacing w:line="520" w:lineRule="exact"/>
        <w:ind w:firstLine="480" w:firstLineChars="200"/>
        <w:rPr>
          <w:rFonts w:hint="eastAsia" w:ascii="宋体" w:hAnsi="宋体" w:eastAsia="宋体" w:cs="Times New Roman"/>
          <w:b w:val="0"/>
          <w:bCs/>
          <w:kern w:val="2"/>
          <w:sz w:val="24"/>
          <w:szCs w:val="24"/>
          <w:highlight w:val="none"/>
          <w:lang w:val="en-US" w:eastAsia="zh-CN" w:bidi="ar-SA"/>
        </w:rPr>
      </w:pPr>
      <w:r>
        <w:rPr>
          <w:rFonts w:hint="eastAsia" w:ascii="宋体" w:hAnsi="宋体" w:eastAsia="宋体" w:cs="Times New Roman"/>
          <w:b w:val="0"/>
          <w:bCs/>
          <w:kern w:val="2"/>
          <w:sz w:val="24"/>
          <w:szCs w:val="24"/>
          <w:highlight w:val="none"/>
          <w:lang w:val="en-US" w:eastAsia="zh-CN" w:bidi="ar-SA"/>
        </w:rPr>
        <w:t>28.8履约保证金在项目验收合格后无息退还给成交供应商。</w:t>
      </w:r>
    </w:p>
    <w:p w14:paraId="6EF3C6A7">
      <w:pPr>
        <w:spacing w:line="520" w:lineRule="exact"/>
        <w:ind w:firstLine="482" w:firstLineChars="200"/>
        <w:rPr>
          <w:rFonts w:ascii="宋体" w:hAnsi="宋体"/>
          <w:bCs/>
          <w:sz w:val="24"/>
        </w:rPr>
      </w:pPr>
      <w:r>
        <w:rPr>
          <w:rFonts w:hint="eastAsia" w:ascii="宋体" w:hAnsi="宋体"/>
          <w:b/>
          <w:bCs/>
          <w:sz w:val="24"/>
        </w:rPr>
        <w:t>七、质疑处理</w:t>
      </w:r>
    </w:p>
    <w:p w14:paraId="1D8054B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w:t>
      </w:r>
      <w:r>
        <w:rPr>
          <w:rFonts w:hint="eastAsia" w:ascii="宋体" w:hAnsi="宋体"/>
          <w:sz w:val="24"/>
        </w:rPr>
        <w:t>质疑处理</w:t>
      </w:r>
    </w:p>
    <w:p w14:paraId="7E824AA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sz w:val="24"/>
          <w:highlight w:val="red"/>
          <w:lang w:eastAsia="zh-CN"/>
        </w:rPr>
      </w:pPr>
      <w:r>
        <w:rPr>
          <w:rFonts w:ascii="宋体" w:hAnsi="宋体"/>
          <w:sz w:val="24"/>
        </w:rPr>
        <w:t>2</w:t>
      </w:r>
      <w:r>
        <w:rPr>
          <w:rFonts w:hint="eastAsia" w:ascii="宋体" w:hAnsi="宋体"/>
          <w:sz w:val="24"/>
          <w:lang w:val="en-US" w:eastAsia="zh-CN"/>
        </w:rPr>
        <w:t>9</w:t>
      </w:r>
      <w:r>
        <w:rPr>
          <w:rFonts w:ascii="宋体" w:hAnsi="宋体"/>
          <w:sz w:val="24"/>
        </w:rPr>
        <w:t>.1</w:t>
      </w:r>
      <w:r>
        <w:rPr>
          <w:rFonts w:hint="eastAsia" w:ascii="宋体" w:hAnsi="宋体"/>
          <w:sz w:val="24"/>
          <w:highlight w:val="none"/>
          <w:lang w:eastAsia="zh-CN"/>
        </w:rPr>
        <w:t>谈判</w:t>
      </w:r>
      <w:r>
        <w:rPr>
          <w:rFonts w:hint="eastAsia" w:ascii="宋体" w:hAnsi="宋体"/>
          <w:sz w:val="24"/>
          <w:highlight w:val="none"/>
        </w:rPr>
        <w:t>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w:t>
      </w:r>
      <w:r>
        <w:rPr>
          <w:rFonts w:hint="eastAsia" w:ascii="宋体" w:hAnsi="宋体"/>
          <w:sz w:val="24"/>
          <w:highlight w:val="none"/>
        </w:rPr>
        <w:t>以书面</w:t>
      </w:r>
      <w:r>
        <w:rPr>
          <w:rFonts w:hint="eastAsia" w:ascii="宋体" w:hAnsi="宋体"/>
          <w:sz w:val="24"/>
          <w:highlight w:val="none"/>
          <w:lang w:eastAsia="zh-CN"/>
        </w:rPr>
        <w:t>形</w:t>
      </w:r>
      <w:r>
        <w:rPr>
          <w:rFonts w:hint="eastAsia" w:ascii="宋体" w:hAnsi="宋体"/>
          <w:sz w:val="24"/>
          <w:highlight w:val="none"/>
        </w:rPr>
        <w:t>式向采购人或代理机构一次性提出质疑。非书面形式、分批次质疑、超出质疑期限以及匿名的质疑将不予受理。</w:t>
      </w:r>
    </w:p>
    <w:p w14:paraId="6C6E9F9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ascii="宋体" w:hAnsi="宋体"/>
          <w:sz w:val="24"/>
          <w:highlight w:val="none"/>
        </w:rPr>
        <w:t>2</w:t>
      </w:r>
      <w:r>
        <w:rPr>
          <w:rFonts w:hint="eastAsia" w:ascii="宋体" w:hAnsi="宋体"/>
          <w:sz w:val="24"/>
          <w:highlight w:val="none"/>
          <w:lang w:val="en-US" w:eastAsia="zh-CN"/>
        </w:rPr>
        <w:t>9</w:t>
      </w:r>
      <w:r>
        <w:rPr>
          <w:rFonts w:ascii="宋体" w:hAnsi="宋体"/>
          <w:sz w:val="24"/>
          <w:highlight w:val="none"/>
        </w:rPr>
        <w:t>.2</w:t>
      </w:r>
      <w:r>
        <w:rPr>
          <w:rFonts w:hint="eastAsia" w:ascii="宋体" w:hAnsi="宋体"/>
          <w:sz w:val="24"/>
          <w:highlight w:val="none"/>
          <w:lang w:eastAsia="zh-CN"/>
        </w:rPr>
        <w:t>谈判</w:t>
      </w:r>
      <w:r>
        <w:rPr>
          <w:rFonts w:hint="eastAsia" w:ascii="宋体" w:hAnsi="宋体"/>
          <w:sz w:val="24"/>
          <w:highlight w:val="none"/>
        </w:rPr>
        <w:t>供应商提出书面质疑必须有理、有据，不得恶意质疑或提交虚假质疑。否则，一经查实，采购人或</w:t>
      </w:r>
      <w:r>
        <w:rPr>
          <w:rFonts w:hint="eastAsia" w:ascii="宋体" w:hAnsi="宋体"/>
          <w:sz w:val="24"/>
          <w:highlight w:val="none"/>
          <w:lang w:eastAsia="zh-CN"/>
        </w:rPr>
        <w:t>代理机构</w:t>
      </w:r>
      <w:r>
        <w:rPr>
          <w:rFonts w:hint="eastAsia" w:ascii="宋体" w:hAnsi="宋体"/>
          <w:sz w:val="24"/>
          <w:highlight w:val="none"/>
        </w:rPr>
        <w:t>有权依据政府采购的有关规定，报请政府采购监管部门对该</w:t>
      </w:r>
      <w:r>
        <w:rPr>
          <w:rFonts w:hint="eastAsia" w:ascii="宋体" w:hAnsi="宋体"/>
          <w:sz w:val="24"/>
          <w:highlight w:val="none"/>
          <w:lang w:eastAsia="zh-CN"/>
        </w:rPr>
        <w:t>谈判</w:t>
      </w:r>
      <w:r>
        <w:rPr>
          <w:rFonts w:hint="eastAsia" w:ascii="宋体" w:hAnsi="宋体"/>
          <w:sz w:val="24"/>
          <w:highlight w:val="none"/>
        </w:rPr>
        <w:t>供应商列入失信行为或不良行为记录名单，进行相应的行政处罚。</w:t>
      </w:r>
    </w:p>
    <w:p w14:paraId="2D860A2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.3</w:t>
      </w:r>
      <w:r>
        <w:rPr>
          <w:rFonts w:hint="eastAsia" w:ascii="宋体" w:hAnsi="宋体"/>
          <w:sz w:val="24"/>
          <w:highlight w:val="none"/>
        </w:rPr>
        <w:t>质疑必须由</w:t>
      </w:r>
      <w:r>
        <w:rPr>
          <w:rFonts w:hint="eastAsia" w:ascii="宋体" w:hAnsi="宋体"/>
          <w:sz w:val="24"/>
          <w:highlight w:val="none"/>
          <w:lang w:eastAsia="zh-CN"/>
        </w:rPr>
        <w:t>谈判</w:t>
      </w:r>
      <w:r>
        <w:rPr>
          <w:rFonts w:hint="eastAsia" w:ascii="宋体" w:hAnsi="宋体"/>
          <w:sz w:val="24"/>
          <w:highlight w:val="none"/>
        </w:rPr>
        <w:t>供应商的法定代表人或授权代表</w:t>
      </w:r>
      <w:r>
        <w:rPr>
          <w:rFonts w:hint="eastAsia" w:ascii="宋体" w:hAnsi="宋体"/>
          <w:sz w:val="24"/>
          <w:highlight w:val="none"/>
          <w:lang w:eastAsia="zh-CN"/>
        </w:rPr>
        <w:t>〔</w:t>
      </w:r>
      <w:r>
        <w:rPr>
          <w:rFonts w:hint="eastAsia" w:ascii="宋体" w:hAnsi="宋体"/>
          <w:sz w:val="24"/>
          <w:highlight w:val="none"/>
        </w:rPr>
        <w:t>响应文件中所确定的，如递交质疑者不是响应文件中确定的授权代表，须由</w:t>
      </w:r>
      <w:r>
        <w:rPr>
          <w:rFonts w:hint="eastAsia" w:ascii="宋体" w:hAnsi="宋体"/>
          <w:sz w:val="24"/>
          <w:highlight w:val="none"/>
          <w:lang w:eastAsia="zh-CN"/>
        </w:rPr>
        <w:t>谈判</w:t>
      </w:r>
      <w:r>
        <w:rPr>
          <w:rFonts w:hint="eastAsia" w:ascii="宋体" w:hAnsi="宋体"/>
          <w:sz w:val="24"/>
          <w:highlight w:val="none"/>
        </w:rPr>
        <w:t>供应商另行出具授权（授权中必须载明具体权限和事项）</w:t>
      </w:r>
      <w:r>
        <w:rPr>
          <w:rFonts w:hint="eastAsia" w:ascii="宋体" w:hAnsi="宋体"/>
          <w:sz w:val="24"/>
          <w:highlight w:val="none"/>
          <w:lang w:eastAsia="zh-CN"/>
        </w:rPr>
        <w:t>〕</w:t>
      </w:r>
      <w:r>
        <w:rPr>
          <w:rFonts w:hint="eastAsia" w:ascii="宋体" w:hAnsi="宋体"/>
          <w:sz w:val="24"/>
          <w:highlight w:val="none"/>
        </w:rPr>
        <w:t>以送达或邮寄</w:t>
      </w:r>
      <w:r>
        <w:rPr>
          <w:rFonts w:hint="eastAsia" w:ascii="宋体" w:hAnsi="宋体"/>
          <w:sz w:val="24"/>
          <w:highlight w:val="none"/>
          <w:lang w:eastAsia="zh-CN"/>
        </w:rPr>
        <w:t>或电子件</w:t>
      </w:r>
      <w:r>
        <w:rPr>
          <w:rFonts w:hint="eastAsia" w:ascii="宋体" w:hAnsi="宋体"/>
          <w:sz w:val="24"/>
          <w:highlight w:val="none"/>
        </w:rPr>
        <w:t>方式提交，未按上述要求提交的质疑函采购人或</w:t>
      </w:r>
      <w:r>
        <w:rPr>
          <w:rFonts w:hint="eastAsia" w:ascii="宋体" w:hAnsi="宋体"/>
          <w:sz w:val="24"/>
          <w:highlight w:val="none"/>
          <w:lang w:eastAsia="zh-CN"/>
        </w:rPr>
        <w:t>代理机构</w:t>
      </w:r>
      <w:r>
        <w:rPr>
          <w:rFonts w:hint="eastAsia" w:ascii="宋体" w:hAnsi="宋体"/>
          <w:sz w:val="24"/>
          <w:highlight w:val="none"/>
        </w:rPr>
        <w:t>有权不予受理。</w:t>
      </w:r>
    </w:p>
    <w:p w14:paraId="609111D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.4</w:t>
      </w:r>
      <w:r>
        <w:rPr>
          <w:rFonts w:hint="eastAsia" w:ascii="宋体" w:hAnsi="宋体"/>
          <w:sz w:val="24"/>
        </w:rPr>
        <w:t>质疑供应商在法定质疑期内应当一次性提出针对同一采购环节提出质疑。</w:t>
      </w:r>
    </w:p>
    <w:p w14:paraId="283520B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.5</w:t>
      </w:r>
      <w:r>
        <w:rPr>
          <w:rFonts w:hint="eastAsia" w:ascii="宋体" w:hAnsi="宋体"/>
          <w:sz w:val="24"/>
        </w:rPr>
        <w:t>质疑函应当包括以下主要内容，附上相关证明材料。否则，采购人或代理机构不予受理。</w:t>
      </w:r>
    </w:p>
    <w:p w14:paraId="35BEBC5B">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15784A3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674451A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601DEE7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2BF3B80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）质疑函应当署名：应当由法定代表人签字并加盖单位</w:t>
      </w:r>
      <w:r>
        <w:rPr>
          <w:rFonts w:hint="eastAsia" w:ascii="宋体" w:hAnsi="宋体"/>
          <w:sz w:val="24"/>
          <w:lang w:eastAsia="zh-CN"/>
        </w:rPr>
        <w:t>电子签章</w:t>
      </w:r>
      <w:r>
        <w:rPr>
          <w:rFonts w:hint="eastAsia" w:ascii="宋体" w:hAnsi="宋体"/>
          <w:sz w:val="24"/>
        </w:rPr>
        <w:t>。</w:t>
      </w:r>
      <w:r>
        <w:rPr>
          <w:rFonts w:ascii="宋体" w:hAnsi="宋体"/>
          <w:sz w:val="24"/>
        </w:rPr>
        <w:t xml:space="preserve"> </w:t>
      </w:r>
    </w:p>
    <w:p w14:paraId="39215B4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.6</w:t>
      </w:r>
      <w:r>
        <w:rPr>
          <w:rFonts w:hint="eastAsia" w:ascii="宋体" w:hAnsi="宋体"/>
          <w:sz w:val="24"/>
        </w:rPr>
        <w:t>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p>
    <w:p w14:paraId="1D70FD0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ascii="宋体" w:hAnsi="宋体"/>
          <w:sz w:val="24"/>
        </w:rPr>
      </w:pPr>
      <w:r>
        <w:rPr>
          <w:rFonts w:ascii="宋体" w:hAnsi="宋体"/>
          <w:sz w:val="24"/>
        </w:rPr>
        <w:t>2</w:t>
      </w:r>
      <w:r>
        <w:rPr>
          <w:rFonts w:hint="eastAsia" w:ascii="宋体" w:hAnsi="宋体"/>
          <w:sz w:val="24"/>
          <w:lang w:val="en-US" w:eastAsia="zh-CN"/>
        </w:rPr>
        <w:t>9</w:t>
      </w:r>
      <w:r>
        <w:rPr>
          <w:rFonts w:ascii="宋体" w:hAnsi="宋体"/>
          <w:sz w:val="24"/>
        </w:rPr>
        <w:t>.7</w:t>
      </w:r>
      <w:r>
        <w:rPr>
          <w:rFonts w:hint="eastAsia" w:ascii="宋体" w:hAnsi="宋体"/>
          <w:sz w:val="24"/>
        </w:rPr>
        <w:t>对于内容、格式符合规定的质疑函，采购人或代理机构将在七个工作日内以书面</w:t>
      </w:r>
      <w:r>
        <w:rPr>
          <w:rFonts w:hint="eastAsia" w:ascii="宋体" w:hAnsi="宋体"/>
          <w:sz w:val="24"/>
          <w:lang w:eastAsia="zh-CN"/>
        </w:rPr>
        <w:t>或电子文件</w:t>
      </w:r>
      <w:r>
        <w:rPr>
          <w:rFonts w:hint="eastAsia" w:ascii="宋体" w:hAnsi="宋体"/>
          <w:sz w:val="24"/>
          <w:highlight w:val="none"/>
        </w:rPr>
        <w:t>形式</w:t>
      </w:r>
      <w:r>
        <w:rPr>
          <w:rFonts w:hint="eastAsia" w:ascii="宋体" w:hAnsi="宋体"/>
          <w:sz w:val="24"/>
        </w:rPr>
        <w:t>作出答复。</w:t>
      </w:r>
    </w:p>
    <w:p w14:paraId="5474D8AE">
      <w:pPr>
        <w:spacing w:line="520" w:lineRule="exact"/>
        <w:rPr>
          <w:rFonts w:hint="eastAsia" w:ascii="宋体" w:hAnsi="宋体"/>
          <w:b/>
          <w:bCs/>
          <w:sz w:val="24"/>
        </w:rPr>
      </w:pPr>
      <w:r>
        <w:rPr>
          <w:rFonts w:hint="eastAsia" w:ascii="宋体" w:hAnsi="宋体"/>
          <w:b/>
          <w:bCs/>
          <w:sz w:val="24"/>
        </w:rPr>
        <w:t>八、政府采购政策功能落实</w:t>
      </w:r>
    </w:p>
    <w:p w14:paraId="19C6AF7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.政策功能落实</w:t>
      </w:r>
    </w:p>
    <w:p w14:paraId="2690AFD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.1小微型企业价格扣除</w:t>
      </w:r>
    </w:p>
    <w:p w14:paraId="21B300F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20</w:t>
      </w:r>
      <w:r>
        <w:rPr>
          <w:rFonts w:hint="eastAsia" w:ascii="宋体" w:hAnsi="宋体"/>
          <w:sz w:val="24"/>
        </w:rPr>
        <w:t>%的扣除，用扣除后的价格参与评审：</w:t>
      </w:r>
    </w:p>
    <w:p w14:paraId="0368346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（1）在货物采购项目中，货物由中小企业制造，即货物由中小企业生产且使用该中小企业商号或者注册商标；</w:t>
      </w:r>
    </w:p>
    <w:p w14:paraId="1A3EA2D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4FFD9DA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.1.2在货物采购项目中，供应商提供的货物既有中小企业制造货物，也有大型企业制造货物的，不享受本办法规定的中小企业扶持政策。</w:t>
      </w:r>
    </w:p>
    <w:p w14:paraId="0D3E9B7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.2联合体及分包</w:t>
      </w:r>
    </w:p>
    <w:p w14:paraId="5C7BBBF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5B15245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.2.2享受扶持政策获得政府采购合同的，小微企业不得将合同分包给大中型企业，中型企业不得将合同分包给大型企业。</w:t>
      </w:r>
    </w:p>
    <w:p w14:paraId="5535C46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5</w:t>
      </w:r>
      <w:r>
        <w:rPr>
          <w:rFonts w:hint="eastAsia" w:ascii="宋体" w:hAnsi="宋体"/>
          <w:sz w:val="24"/>
        </w:rPr>
        <w:t>%的扣除，用扣除后的价格参加评审。</w:t>
      </w:r>
    </w:p>
    <w:p w14:paraId="08CD0E5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D5FD52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.3小微型企业</w:t>
      </w:r>
    </w:p>
    <w:p w14:paraId="01B3D5C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（1）谈判供应商须按照谈判文件的要求提供相应的《</w:t>
      </w:r>
      <w:r>
        <w:rPr>
          <w:rFonts w:hint="eastAsia" w:ascii="宋体" w:hAnsi="宋体"/>
          <w:sz w:val="24"/>
          <w:highlight w:val="none"/>
          <w:lang w:eastAsia="zh-CN"/>
        </w:rPr>
        <w:t>中小</w:t>
      </w:r>
      <w:r>
        <w:rPr>
          <w:rFonts w:hint="eastAsia" w:ascii="宋体" w:hAnsi="宋体"/>
          <w:sz w:val="24"/>
        </w:rPr>
        <w:t>企业声明函》，详见谈判文件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6E8009A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（2）企业标准请参照《政府采购促进中小企业发展管理办法》（财库</w:t>
      </w:r>
      <w:r>
        <w:rPr>
          <w:rFonts w:hint="eastAsia" w:ascii="宋体" w:hAnsi="宋体"/>
          <w:color w:val="000000"/>
          <w:sz w:val="24"/>
          <w:highlight w:val="none"/>
          <w:lang w:eastAsia="zh-CN"/>
        </w:rPr>
        <w:t>〔</w:t>
      </w:r>
      <w:r>
        <w:rPr>
          <w:rFonts w:hint="eastAsia" w:ascii="宋体" w:hAnsi="宋体"/>
          <w:sz w:val="24"/>
        </w:rPr>
        <w:t>2020</w:t>
      </w:r>
      <w:r>
        <w:rPr>
          <w:rFonts w:hint="eastAsia" w:ascii="宋体" w:hAnsi="宋体"/>
          <w:color w:val="000000"/>
          <w:sz w:val="24"/>
          <w:highlight w:val="none"/>
          <w:lang w:eastAsia="zh-CN"/>
        </w:rPr>
        <w:t>〕</w:t>
      </w:r>
      <w:r>
        <w:rPr>
          <w:rFonts w:hint="eastAsia" w:ascii="宋体" w:hAnsi="宋体"/>
          <w:sz w:val="24"/>
        </w:rPr>
        <w:t>46号）文件规定自行填写。</w:t>
      </w:r>
    </w:p>
    <w:p w14:paraId="2BFCD13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4</w:t>
      </w:r>
      <w:r>
        <w:rPr>
          <w:rFonts w:hint="eastAsia" w:ascii="宋体" w:hAnsi="宋体"/>
          <w:sz w:val="24"/>
        </w:rPr>
        <w:t>残疾人福利单位价格扣除</w:t>
      </w:r>
    </w:p>
    <w:p w14:paraId="23549F1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（1）本项目对残疾人福利性单位视同小型、微型企业，给予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37D4A03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（2）残疾人福利单位需按照谈判文件的要求提供《残疾人福利性单位声明函》，详见谈判文件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sz w:val="24"/>
        </w:rPr>
        <w:t>示范格式。</w:t>
      </w:r>
    </w:p>
    <w:p w14:paraId="423FC36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（3）残疾人福利单位标准请参照《关于促进残疾人就业政府采购政策的通知》（财库〔2017〕141号）。</w:t>
      </w:r>
    </w:p>
    <w:p w14:paraId="721F1A0B">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5</w:t>
      </w:r>
      <w:r>
        <w:rPr>
          <w:rFonts w:hint="eastAsia" w:ascii="宋体" w:hAnsi="宋体"/>
          <w:sz w:val="24"/>
        </w:rPr>
        <w:t>监狱和戒毒企业价格扣除</w:t>
      </w:r>
    </w:p>
    <w:p w14:paraId="2096505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（1）本项目对监狱和戒毒企业（简称监狱企业）视同小型、微型企业，给予</w:t>
      </w:r>
      <w:r>
        <w:rPr>
          <w:rFonts w:hint="eastAsia" w:ascii="宋体" w:hAnsi="宋体"/>
          <w:sz w:val="24"/>
          <w:lang w:val="en-US" w:eastAsia="zh-CN"/>
        </w:rPr>
        <w:t>20</w:t>
      </w:r>
      <w:r>
        <w:rPr>
          <w:rFonts w:hint="eastAsia" w:ascii="宋体" w:hAnsi="宋体"/>
          <w:sz w:val="24"/>
        </w:rPr>
        <w:t>%的价格扣除，用扣除后的价格参与评审。</w:t>
      </w:r>
    </w:p>
    <w:p w14:paraId="6A360AA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highlight w:val="yellow"/>
        </w:rPr>
      </w:pPr>
      <w:r>
        <w:rPr>
          <w:rFonts w:hint="eastAsia" w:ascii="宋体" w:hAnsi="宋体"/>
          <w:sz w:val="24"/>
          <w:highlight w:val="none"/>
        </w:rPr>
        <w:t>（2）监狱企业参加政府采购活动时，需提供由省级以上监狱管理局、戒毒管理局（含新疆生产建设兵团）出具的属于监狱企业的证明文件（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在</w:t>
      </w:r>
      <w:r>
        <w:rPr>
          <w:rFonts w:hint="eastAsia" w:ascii="宋体" w:hAnsi="宋体"/>
          <w:sz w:val="24"/>
          <w:highlight w:val="none"/>
        </w:rPr>
        <w:t>谈判响应文件中上传加盖出具单位</w:t>
      </w:r>
      <w:r>
        <w:rPr>
          <w:rFonts w:hint="eastAsia" w:ascii="宋体" w:hAnsi="宋体"/>
          <w:sz w:val="24"/>
          <w:highlight w:val="none"/>
          <w:lang w:eastAsia="zh-CN"/>
        </w:rPr>
        <w:t>电子签章</w:t>
      </w:r>
      <w:r>
        <w:rPr>
          <w:rFonts w:hint="eastAsia" w:ascii="宋体" w:hAnsi="宋体"/>
          <w:sz w:val="24"/>
          <w:highlight w:val="none"/>
        </w:rPr>
        <w:t>的电子件）。如不提供上述证明文件，价格将不做相应扣除。</w:t>
      </w:r>
    </w:p>
    <w:p w14:paraId="1042790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rPr>
        <w:t>（3）监狱企业标准请参照《关于政府采购支持监狱企业发展有关问题的通知》（财库</w:t>
      </w:r>
      <w:r>
        <w:rPr>
          <w:rFonts w:hint="eastAsia" w:ascii="宋体" w:hAnsi="宋体"/>
          <w:color w:val="000000"/>
          <w:sz w:val="24"/>
          <w:highlight w:val="none"/>
          <w:lang w:eastAsia="zh-CN"/>
        </w:rPr>
        <w:t>〔</w:t>
      </w:r>
      <w:r>
        <w:rPr>
          <w:rFonts w:hint="eastAsia" w:ascii="宋体" w:hAnsi="宋体"/>
          <w:sz w:val="24"/>
        </w:rPr>
        <w:t>2014</w:t>
      </w:r>
      <w:r>
        <w:rPr>
          <w:rFonts w:hint="eastAsia" w:ascii="宋体" w:hAnsi="宋体"/>
          <w:color w:val="000000"/>
          <w:sz w:val="24"/>
          <w:highlight w:val="none"/>
          <w:lang w:eastAsia="zh-CN"/>
        </w:rPr>
        <w:t>〕</w:t>
      </w:r>
      <w:r>
        <w:rPr>
          <w:rFonts w:hint="eastAsia" w:ascii="宋体" w:hAnsi="宋体"/>
          <w:sz w:val="24"/>
        </w:rPr>
        <w:t>68号）。</w:t>
      </w:r>
    </w:p>
    <w:p w14:paraId="2A8AB3A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sz w:val="24"/>
        </w:rPr>
      </w:pPr>
      <w:r>
        <w:rPr>
          <w:rFonts w:hint="eastAsia" w:ascii="宋体" w:hAnsi="宋体"/>
          <w:sz w:val="24"/>
          <w:lang w:val="en-US" w:eastAsia="zh-CN"/>
        </w:rPr>
        <w:t>30</w:t>
      </w:r>
      <w:r>
        <w:rPr>
          <w:rFonts w:hint="eastAsia" w:ascii="宋体" w:hAnsi="宋体"/>
          <w:sz w:val="24"/>
        </w:rPr>
        <w:t>.</w:t>
      </w:r>
      <w:r>
        <w:rPr>
          <w:rFonts w:hint="eastAsia" w:ascii="宋体" w:hAnsi="宋体"/>
          <w:sz w:val="24"/>
          <w:lang w:val="en-US" w:eastAsia="zh-CN"/>
        </w:rPr>
        <w:t>6</w:t>
      </w:r>
      <w:r>
        <w:rPr>
          <w:rFonts w:hint="eastAsia" w:ascii="宋体" w:hAnsi="宋体"/>
          <w:sz w:val="24"/>
        </w:rPr>
        <w:t>对于同时属于小型、微型企业、残疾人福利单位、监狱企业的视同小微企业</w:t>
      </w:r>
      <w:r>
        <w:rPr>
          <w:rFonts w:hint="eastAsia" w:ascii="宋体" w:hAnsi="宋体"/>
          <w:sz w:val="24"/>
          <w:lang w:eastAsia="zh-CN"/>
        </w:rPr>
        <w:t>，</w:t>
      </w:r>
      <w:r>
        <w:rPr>
          <w:rFonts w:hint="eastAsia" w:ascii="宋体" w:hAnsi="宋体"/>
          <w:sz w:val="24"/>
        </w:rPr>
        <w:t>不重复享受政策。</w:t>
      </w:r>
    </w:p>
    <w:p w14:paraId="4947A6CB">
      <w:pPr>
        <w:pageBreakBefore w:val="0"/>
        <w:widowControl w:val="0"/>
        <w:kinsoku/>
        <w:wordWrap/>
        <w:overflowPunct/>
        <w:topLinePunct w:val="0"/>
        <w:bidi w:val="0"/>
        <w:spacing w:line="520" w:lineRule="exact"/>
        <w:ind w:right="0" w:rightChars="0"/>
        <w:textAlignment w:val="auto"/>
        <w:rPr>
          <w:rFonts w:hint="eastAsia" w:ascii="宋体" w:hAnsi="宋体" w:eastAsia="宋体" w:cs="Times New Roman"/>
          <w:sz w:val="24"/>
        </w:rPr>
      </w:pPr>
      <w:r>
        <w:rPr>
          <w:rFonts w:hint="eastAsia" w:ascii="宋体" w:hAnsi="宋体" w:eastAsia="宋体" w:cs="Times New Roman"/>
          <w:sz w:val="24"/>
          <w:lang w:val="en-US" w:eastAsia="zh-CN"/>
        </w:rPr>
        <w:t>31.</w:t>
      </w:r>
      <w:r>
        <w:rPr>
          <w:rFonts w:hint="eastAsia" w:ascii="宋体" w:hAnsi="宋体" w:eastAsia="宋体" w:cs="Times New Roman"/>
          <w:sz w:val="24"/>
        </w:rPr>
        <w:t>节能、环保政策</w:t>
      </w:r>
    </w:p>
    <w:p w14:paraId="4BB76A21">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.1根据《财政部发展改革委 生态环境部 市场监管总局关于调整优化节能产品、环境标志产品政府采购执行机制的通知》</w:t>
      </w:r>
      <w:r>
        <w:rPr>
          <w:rFonts w:hint="eastAsia" w:ascii="宋体" w:hAnsi="宋体" w:eastAsia="宋体" w:cs="Times New Roman"/>
          <w:sz w:val="24"/>
          <w:lang w:eastAsia="zh-CN"/>
        </w:rPr>
        <w:t>（</w:t>
      </w:r>
      <w:r>
        <w:rPr>
          <w:rFonts w:hint="eastAsia" w:ascii="宋体" w:hAnsi="宋体" w:eastAsia="宋体" w:cs="Times New Roman"/>
          <w:sz w:val="24"/>
        </w:rPr>
        <w:t>财库〔2019〕9号</w:t>
      </w:r>
      <w:r>
        <w:rPr>
          <w:rFonts w:hint="eastAsia" w:ascii="宋体" w:hAnsi="宋体" w:eastAsia="宋体" w:cs="Times New Roman"/>
          <w:sz w:val="24"/>
          <w:lang w:eastAsia="zh-CN"/>
        </w:rPr>
        <w:t>）</w:t>
      </w:r>
      <w:r>
        <w:rPr>
          <w:rFonts w:hint="eastAsia" w:ascii="宋体" w:hAnsi="宋体" w:eastAsia="宋体" w:cs="Times New Roman"/>
          <w:sz w:val="24"/>
        </w:rPr>
        <w:t>要求，依据品目清单对获得节能产品、环境标志产品认证证书的产品实施政府优先采购或强制采购。</w:t>
      </w:r>
    </w:p>
    <w:p w14:paraId="7A5E4FAB">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.2节能产品</w:t>
      </w:r>
      <w:r>
        <w:rPr>
          <w:rFonts w:hint="eastAsia" w:ascii="宋体" w:hAnsi="宋体" w:eastAsia="宋体" w:cs="Times New Roman"/>
          <w:sz w:val="24"/>
          <w:highlight w:val="none"/>
        </w:rPr>
        <w:t>（本项目不涉及）</w:t>
      </w:r>
    </w:p>
    <w:p w14:paraId="3144143E">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本项目</w:t>
      </w:r>
      <w:r>
        <w:rPr>
          <w:rFonts w:hint="eastAsia" w:ascii="宋体" w:hAnsi="宋体" w:eastAsia="宋体" w:cs="Times New Roman"/>
          <w:sz w:val="24"/>
          <w:lang w:eastAsia="zh-CN"/>
        </w:rPr>
        <w:t>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rPr>
        <w:t>被列入“节能产品品目清单”的，实行（优先</w:t>
      </w:r>
      <w:r>
        <w:rPr>
          <w:rFonts w:hint="eastAsia" w:ascii="宋体" w:hAnsi="宋体" w:eastAsia="宋体" w:cs="Times New Roman"/>
          <w:sz w:val="24"/>
          <w:highlight w:val="none"/>
        </w:rPr>
        <w:t>采购/强制</w:t>
      </w:r>
      <w:r>
        <w:rPr>
          <w:rFonts w:hint="eastAsia" w:ascii="宋体" w:hAnsi="宋体" w:eastAsia="宋体" w:cs="Times New Roman"/>
          <w:sz w:val="24"/>
        </w:rPr>
        <w:t>采购）。</w:t>
      </w:r>
    </w:p>
    <w:p w14:paraId="6E32F3A4">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.3环保产品</w:t>
      </w:r>
      <w:r>
        <w:rPr>
          <w:rFonts w:hint="eastAsia" w:ascii="宋体" w:hAnsi="宋体" w:eastAsia="宋体" w:cs="Times New Roman"/>
          <w:sz w:val="24"/>
          <w:highlight w:val="none"/>
        </w:rPr>
        <w:t>（本项目不涉及）</w:t>
      </w:r>
    </w:p>
    <w:p w14:paraId="35E56713">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本项目中</w:t>
      </w:r>
      <w:r>
        <w:rPr>
          <w:rFonts w:hint="eastAsia" w:ascii="宋体" w:hAnsi="宋体" w:cs="Times New Roman"/>
          <w:sz w:val="24"/>
          <w:u w:val="single"/>
          <w:lang w:val="en-US" w:eastAsia="zh-CN"/>
        </w:rPr>
        <w:t xml:space="preserve"> / </w:t>
      </w:r>
      <w:r>
        <w:rPr>
          <w:rFonts w:hint="eastAsia" w:ascii="宋体" w:hAnsi="宋体" w:eastAsia="宋体" w:cs="Times New Roman"/>
          <w:sz w:val="24"/>
        </w:rPr>
        <w:t>列入“环境标志产品品目清单”的，实行优先采购。</w:t>
      </w:r>
    </w:p>
    <w:p w14:paraId="7990A47F">
      <w:pPr>
        <w:spacing w:line="520" w:lineRule="exact"/>
        <w:ind w:firstLine="482" w:firstLineChars="200"/>
        <w:rPr>
          <w:rFonts w:hint="eastAsia" w:ascii="宋体" w:hAnsi="宋体" w:eastAsia="宋体" w:cs="Times New Roman"/>
          <w:b/>
          <w:bCs/>
          <w:sz w:val="24"/>
          <w:highlight w:val="yellow"/>
          <w:lang w:eastAsia="zh-CN"/>
        </w:rPr>
      </w:pPr>
      <w:r>
        <w:rPr>
          <w:rFonts w:hint="eastAsia" w:ascii="宋体" w:hAnsi="宋体" w:eastAsia="宋体" w:cs="Times New Roman"/>
          <w:b/>
          <w:bCs/>
          <w:sz w:val="24"/>
        </w:rPr>
        <w:t>3</w:t>
      </w:r>
      <w:r>
        <w:rPr>
          <w:rFonts w:hint="eastAsia" w:ascii="宋体" w:hAnsi="宋体" w:eastAsia="宋体" w:cs="Times New Roman"/>
          <w:b/>
          <w:bCs/>
          <w:sz w:val="24"/>
          <w:lang w:val="en-US" w:eastAsia="zh-CN"/>
        </w:rPr>
        <w:t>1</w:t>
      </w:r>
      <w:r>
        <w:rPr>
          <w:rFonts w:hint="eastAsia" w:ascii="宋体" w:hAnsi="宋体" w:eastAsia="宋体" w:cs="Times New Roman"/>
          <w:b/>
          <w:bCs/>
          <w:sz w:val="24"/>
        </w:rPr>
        <w:t>.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b/>
          <w:bCs/>
          <w:sz w:val="24"/>
          <w:lang w:eastAsia="zh-CN"/>
        </w:rPr>
        <w:t>。</w:t>
      </w:r>
      <w:r>
        <w:rPr>
          <w:rFonts w:hint="eastAsia" w:ascii="宋体" w:hAnsi="宋体"/>
          <w:b/>
          <w:bCs/>
          <w:color w:val="000000"/>
          <w:sz w:val="24"/>
        </w:rPr>
        <w:t>实行“优先采购”的，在评分标准的“政策导向”处参与加分（详见</w:t>
      </w:r>
      <w:r>
        <w:rPr>
          <w:rFonts w:hint="eastAsia" w:ascii="宋体" w:hAnsi="宋体"/>
          <w:b/>
          <w:bCs/>
          <w:color w:val="000000"/>
          <w:sz w:val="24"/>
          <w:lang w:val="en-US" w:eastAsia="zh-CN"/>
        </w:rPr>
        <w:t>第一章</w:t>
      </w:r>
      <w:r>
        <w:rPr>
          <w:rFonts w:hint="eastAsia" w:ascii="宋体" w:hAnsi="宋体"/>
          <w:b/>
          <w:bCs/>
          <w:color w:val="000000"/>
          <w:sz w:val="24"/>
        </w:rPr>
        <w:t>第三部分评标标准）。</w:t>
      </w:r>
    </w:p>
    <w:p w14:paraId="6B069E7C">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162E823">
      <w:pPr>
        <w:pageBreakBefore w:val="0"/>
        <w:widowControl w:val="0"/>
        <w:kinsoku/>
        <w:wordWrap/>
        <w:overflowPunct/>
        <w:topLinePunct w:val="0"/>
        <w:bidi w:val="0"/>
        <w:spacing w:line="520" w:lineRule="exact"/>
        <w:ind w:right="0" w:rightChars="0"/>
        <w:textAlignment w:val="auto"/>
        <w:rPr>
          <w:rFonts w:hint="eastAsia" w:ascii="宋体" w:hAnsi="宋体" w:eastAsia="宋体" w:cs="Times New Roman"/>
          <w:sz w:val="24"/>
        </w:rPr>
      </w:pPr>
      <w:r>
        <w:rPr>
          <w:rFonts w:hint="eastAsia" w:ascii="宋体" w:hAnsi="宋体" w:eastAsia="宋体" w:cs="Times New Roman"/>
          <w:sz w:val="24"/>
          <w:lang w:val="en-US" w:eastAsia="zh-CN"/>
        </w:rPr>
        <w:t>32.</w:t>
      </w:r>
      <w:r>
        <w:rPr>
          <w:rFonts w:hint="eastAsia" w:ascii="宋体" w:hAnsi="宋体" w:eastAsia="宋体" w:cs="Times New Roman"/>
          <w:sz w:val="24"/>
        </w:rPr>
        <w:t>政府绿色采购</w:t>
      </w:r>
    </w:p>
    <w:p w14:paraId="1BFDF559">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根据《江苏省财政厅关于加强政府绿色采购有关事项的通知》（苏财购〔2023〕65号）的要求，落实政府绿色采购相关政策，具体如下：</w:t>
      </w:r>
    </w:p>
    <w:p w14:paraId="7A918C64">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.1本项目为货物类采购项目的，所提供的产品需综合考虑节能环保、节水、循环再生、低碳、有机等因素；本项目为物业、合同能源管理等服务类采购项目的，应在服务中加强绿色低碳管理。</w:t>
      </w:r>
    </w:p>
    <w:p w14:paraId="5795B51A">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w:t>
      </w:r>
      <w:r>
        <w:rPr>
          <w:rFonts w:hint="eastAsia" w:ascii="宋体" w:hAnsi="宋体" w:eastAsia="宋体" w:cs="Times New Roman"/>
          <w:sz w:val="24"/>
        </w:rPr>
        <w:t>在供货、安装过程中</w:t>
      </w:r>
      <w:r>
        <w:rPr>
          <w:rFonts w:hint="eastAsia" w:ascii="宋体" w:hAnsi="宋体" w:eastAsia="宋体" w:cs="Times New Roman"/>
          <w:sz w:val="24"/>
          <w:lang w:eastAsia="zh-CN"/>
        </w:rPr>
        <w:t>能</w:t>
      </w:r>
      <w:r>
        <w:rPr>
          <w:rFonts w:hint="eastAsia" w:ascii="宋体" w:hAnsi="宋体" w:eastAsia="宋体" w:cs="Times New Roman"/>
          <w:sz w:val="24"/>
        </w:rPr>
        <w:t>做到低碳物流、环保节约、提高资源利用率；涉及设备运维参考《绿色数据中心政府采购需求标准（试行）》（财库〔202</w:t>
      </w:r>
      <w:r>
        <w:rPr>
          <w:rFonts w:hint="eastAsia" w:ascii="宋体" w:hAnsi="宋体" w:eastAsia="宋体" w:cs="Times New Roman"/>
          <w:sz w:val="24"/>
          <w:lang w:val="en-US" w:eastAsia="zh-CN"/>
        </w:rPr>
        <w:t>3</w:t>
      </w:r>
      <w:r>
        <w:rPr>
          <w:rFonts w:hint="eastAsia" w:ascii="宋体" w:hAnsi="宋体" w:eastAsia="宋体" w:cs="Times New Roman"/>
          <w:sz w:val="24"/>
        </w:rPr>
        <w:t>〕7号文）执行。</w:t>
      </w:r>
    </w:p>
    <w:p w14:paraId="2EADF16E">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highlight w:val="none"/>
        </w:rPr>
      </w:pPr>
      <w:r>
        <w:rPr>
          <w:rFonts w:hint="eastAsia" w:ascii="宋体" w:hAnsi="宋体" w:eastAsia="宋体" w:cs="Times New Roman"/>
          <w:sz w:val="24"/>
          <w:highlight w:val="none"/>
        </w:rPr>
        <w:t>3</w:t>
      </w: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rPr>
        <w:t>.3本项目中涉及涂料、胶黏剂、油墨、清洗剂等挥发性有机物产品的，要执行国家和江苏省VOCs含量限制标准，优先使用低挥发性原辅材料，使用低VOCs含量的涂料、胶黏剂等。</w:t>
      </w:r>
    </w:p>
    <w:p w14:paraId="3A482F46">
      <w:pPr>
        <w:pageBreakBefore w:val="0"/>
        <w:widowControl w:val="0"/>
        <w:kinsoku/>
        <w:wordWrap/>
        <w:overflowPunct/>
        <w:topLinePunct w:val="0"/>
        <w:bidi w:val="0"/>
        <w:spacing w:line="520" w:lineRule="exact"/>
        <w:ind w:right="0" w:rightChars="0" w:firstLine="480" w:firstLineChars="200"/>
        <w:textAlignment w:val="auto"/>
        <w:rPr>
          <w:rFonts w:hint="default" w:ascii="宋体" w:hAnsi="宋体" w:eastAsia="宋体" w:cs="Times New Roman"/>
          <w:sz w:val="24"/>
          <w:lang w:val="en-US" w:eastAsia="zh-CN"/>
        </w:rPr>
      </w:pPr>
      <w:r>
        <w:rPr>
          <w:rFonts w:hint="eastAsia" w:ascii="宋体" w:hAnsi="宋体" w:eastAsia="宋体" w:cs="Times New Roman"/>
          <w:sz w:val="24"/>
          <w:highlight w:val="none"/>
        </w:rPr>
        <w:t>3</w:t>
      </w: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rPr>
        <w:t>.</w:t>
      </w:r>
      <w:r>
        <w:rPr>
          <w:rFonts w:hint="eastAsia" w:ascii="宋体" w:hAnsi="宋体" w:eastAsia="宋体" w:cs="Times New Roman"/>
          <w:sz w:val="24"/>
          <w:highlight w:val="none"/>
          <w:lang w:val="en-US" w:eastAsia="zh-CN"/>
        </w:rPr>
        <w:t>4</w:t>
      </w:r>
      <w:r>
        <w:rPr>
          <w:rFonts w:hint="eastAsia" w:ascii="宋体" w:hAnsi="宋体" w:eastAsia="宋体" w:cs="Times New Roman"/>
          <w:sz w:val="24"/>
          <w:highlight w:val="none"/>
        </w:rPr>
        <w:t>根据淮财购〔2025〕12号关于</w:t>
      </w:r>
      <w:r>
        <w:rPr>
          <w:rFonts w:hint="eastAsia" w:ascii="宋体" w:hAnsi="宋体" w:eastAsia="宋体" w:cs="Times New Roman"/>
          <w:sz w:val="24"/>
        </w:rPr>
        <w:t>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w:t>
      </w:r>
      <w:r>
        <w:rPr>
          <w:rFonts w:hint="eastAsia" w:ascii="宋体" w:hAnsi="宋体" w:eastAsia="宋体" w:cs="Times New Roman"/>
          <w:sz w:val="24"/>
        </w:rPr>
        <w:t>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本项目不涉及）</w:t>
      </w:r>
    </w:p>
    <w:p w14:paraId="3B449FA3">
      <w:pPr>
        <w:pageBreakBefore w:val="0"/>
        <w:widowControl w:val="0"/>
        <w:kinsoku/>
        <w:wordWrap/>
        <w:overflowPunct/>
        <w:topLinePunct w:val="0"/>
        <w:bidi w:val="0"/>
        <w:spacing w:line="520" w:lineRule="exact"/>
        <w:ind w:right="0" w:rightChars="0"/>
        <w:textAlignment w:val="auto"/>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rPr>
        <w:t>采购本国产品的支持政策</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本项目不涉及</w:t>
      </w:r>
      <w:r>
        <w:rPr>
          <w:rFonts w:hint="eastAsia" w:ascii="宋体" w:hAnsi="宋体" w:eastAsia="宋体" w:cs="Times New Roman"/>
          <w:sz w:val="24"/>
          <w:lang w:eastAsia="zh-CN"/>
        </w:rPr>
        <w:t>）</w:t>
      </w:r>
    </w:p>
    <w:p w14:paraId="678AA5B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6122957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eastAsia="宋体" w:cs="Times New Roman"/>
          <w:sz w:val="24"/>
          <w:lang w:eastAsia="zh-CN"/>
        </w:rPr>
        <w:t>供应商</w:t>
      </w:r>
      <w:r>
        <w:rPr>
          <w:rFonts w:hint="eastAsia" w:ascii="宋体" w:hAnsi="宋体" w:eastAsia="宋体" w:cs="Times New Roman"/>
          <w:sz w:val="24"/>
        </w:rPr>
        <w:t>为该采购项目或者采购包提供的符合本国产品标准的产品成本之和占该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提供的全部产品成本之和的比例达到80%以上时，依法对该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提供的全部产品给予价格评审优惠，即对该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提供的全部产品的总报价给予20%的价格扣除，用扣除后的价格参与评审。</w:t>
      </w:r>
      <w:r>
        <w:rPr>
          <w:rFonts w:hint="eastAsia" w:ascii="宋体" w:hAnsi="宋体" w:eastAsia="宋体" w:cs="Times New Roman"/>
          <w:sz w:val="24"/>
          <w:lang w:eastAsia="zh-CN"/>
        </w:rPr>
        <w:t>供应商</w:t>
      </w:r>
      <w:r>
        <w:rPr>
          <w:rFonts w:hint="eastAsia" w:ascii="宋体" w:hAnsi="宋体" w:eastAsia="宋体" w:cs="Times New Roman"/>
          <w:sz w:val="24"/>
        </w:rPr>
        <w:t>未填写比例数值，或比例数值未达到80%的，将不享受本国产品价格评审优惠。</w:t>
      </w:r>
    </w:p>
    <w:p w14:paraId="7FB107F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供应商</w:t>
      </w:r>
      <w:r>
        <w:rPr>
          <w:rFonts w:hint="eastAsia" w:ascii="宋体" w:hAnsi="宋体" w:eastAsia="宋体" w:cs="Times New Roman"/>
          <w:sz w:val="24"/>
        </w:rPr>
        <w:t>需按照</w:t>
      </w:r>
      <w:r>
        <w:rPr>
          <w:rFonts w:hint="eastAsia" w:ascii="宋体" w:hAnsi="宋体" w:eastAsia="宋体" w:cs="Times New Roman"/>
          <w:sz w:val="24"/>
          <w:lang w:eastAsia="zh-CN"/>
        </w:rPr>
        <w:t>谈判文件</w:t>
      </w:r>
      <w:r>
        <w:rPr>
          <w:rFonts w:hint="eastAsia" w:ascii="宋体" w:hAnsi="宋体" w:eastAsia="宋体" w:cs="Times New Roman"/>
          <w:sz w:val="24"/>
        </w:rPr>
        <w:t>的要求提供《关于符合本国产品标准的声明函》，</w:t>
      </w:r>
      <w:r>
        <w:rPr>
          <w:rFonts w:hint="eastAsia" w:ascii="宋体" w:hAnsi="宋体" w:cs="Times New Roman"/>
          <w:sz w:val="24"/>
          <w:lang w:val="en-US" w:eastAsia="zh-CN"/>
        </w:rPr>
        <w:t>格式</w:t>
      </w:r>
      <w:r>
        <w:rPr>
          <w:rFonts w:hint="eastAsia" w:ascii="宋体" w:hAnsi="宋体" w:eastAsia="宋体" w:cs="Times New Roman"/>
          <w:sz w:val="24"/>
        </w:rPr>
        <w:t>详见第</w:t>
      </w:r>
      <w:r>
        <w:rPr>
          <w:rFonts w:hint="eastAsia" w:ascii="宋体" w:hAnsi="宋体" w:cs="Times New Roman"/>
          <w:sz w:val="24"/>
          <w:lang w:val="en-US" w:eastAsia="zh-CN"/>
        </w:rPr>
        <w:t>二</w:t>
      </w:r>
      <w:r>
        <w:rPr>
          <w:rFonts w:hint="eastAsia" w:ascii="宋体" w:hAnsi="宋体" w:eastAsia="宋体" w:cs="Times New Roman"/>
          <w:sz w:val="24"/>
        </w:rPr>
        <w:t>章</w:t>
      </w:r>
      <w:r>
        <w:rPr>
          <w:rFonts w:hint="eastAsia" w:ascii="宋体" w:hAnsi="宋体" w:cs="Times New Roman"/>
          <w:sz w:val="24"/>
          <w:highlight w:val="none"/>
          <w:lang w:val="en-US" w:eastAsia="zh-CN"/>
        </w:rPr>
        <w:t>第九部分</w:t>
      </w:r>
      <w:r>
        <w:rPr>
          <w:rFonts w:hint="eastAsia" w:ascii="宋体" w:hAnsi="宋体" w:eastAsia="宋体" w:cs="Times New Roman"/>
          <w:sz w:val="24"/>
          <w:highlight w:val="none"/>
        </w:rPr>
        <w:t>“示范格式</w:t>
      </w:r>
      <w:r>
        <w:rPr>
          <w:rFonts w:hint="eastAsia" w:ascii="宋体" w:hAnsi="宋体" w:eastAsia="宋体" w:cs="Times New Roman"/>
          <w:sz w:val="24"/>
          <w:highlight w:val="none"/>
          <w:lang w:val="en-US" w:eastAsia="zh-CN"/>
        </w:rPr>
        <w:t>五</w:t>
      </w:r>
      <w:r>
        <w:rPr>
          <w:rFonts w:hint="eastAsia" w:ascii="宋体" w:hAnsi="宋体" w:eastAsia="宋体" w:cs="Times New Roman"/>
          <w:sz w:val="24"/>
          <w:highlight w:val="none"/>
        </w:rPr>
        <w:t>”</w:t>
      </w:r>
      <w:r>
        <w:rPr>
          <w:rFonts w:hint="eastAsia" w:ascii="宋体" w:hAnsi="宋体" w:eastAsia="宋体" w:cs="Times New Roman"/>
          <w:sz w:val="24"/>
          <w:lang w:eastAsia="zh-CN"/>
        </w:rPr>
        <w:t>，</w:t>
      </w:r>
      <w:r>
        <w:rPr>
          <w:rFonts w:hint="eastAsia" w:ascii="宋体" w:hAnsi="宋体" w:eastAsia="宋体" w:cs="Times New Roman"/>
          <w:sz w:val="24"/>
        </w:rPr>
        <w:t>如不提供将不享受本国产品价格评审优惠。</w:t>
      </w:r>
    </w:p>
    <w:p w14:paraId="73CAC5C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lang w:eastAsia="zh-CN"/>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供应商</w:t>
      </w:r>
      <w:r>
        <w:rPr>
          <w:rFonts w:hint="eastAsia" w:ascii="宋体" w:hAnsi="宋体" w:eastAsia="宋体" w:cs="Times New Roman"/>
          <w:sz w:val="24"/>
        </w:rPr>
        <w:t>需在《关于符合本国产品标准的声明函》中逐一、准确填写产品名称、厂名、生产厂址三项信息，三项信息中任意一项未填写的视为该项产品不符合本国产品标准，不享受本国产品价格评审优惠。</w:t>
      </w:r>
    </w:p>
    <w:p w14:paraId="6114BEB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eastAsia="宋体" w:cs="Times New Roman"/>
          <w:sz w:val="24"/>
          <w:lang w:eastAsia="zh-CN"/>
        </w:rPr>
        <w:t>供应商</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谈判小组</w:t>
      </w:r>
      <w:r>
        <w:rPr>
          <w:rFonts w:hint="eastAsia" w:ascii="宋体" w:hAnsi="宋体" w:eastAsia="宋体" w:cs="Times New Roman"/>
          <w:sz w:val="24"/>
        </w:rPr>
        <w:t>应当以书面形式要求</w:t>
      </w:r>
      <w:r>
        <w:rPr>
          <w:rFonts w:hint="eastAsia" w:ascii="宋体" w:hAnsi="宋体" w:eastAsia="宋体" w:cs="Times New Roman"/>
          <w:sz w:val="24"/>
          <w:lang w:eastAsia="zh-CN"/>
        </w:rPr>
        <w:t>供应商</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谈判文件</w:t>
      </w:r>
      <w:r>
        <w:rPr>
          <w:rFonts w:hint="eastAsia" w:ascii="宋体" w:hAnsi="宋体" w:eastAsia="宋体" w:cs="Times New Roman"/>
          <w:sz w:val="24"/>
        </w:rPr>
        <w:t>规定的，</w:t>
      </w:r>
      <w:r>
        <w:rPr>
          <w:rFonts w:hint="eastAsia" w:ascii="宋体" w:hAnsi="宋体" w:eastAsia="宋体" w:cs="Times New Roman"/>
          <w:sz w:val="24"/>
          <w:lang w:eastAsia="zh-CN"/>
        </w:rPr>
        <w:t>供应商</w:t>
      </w:r>
      <w:r>
        <w:rPr>
          <w:rFonts w:hint="eastAsia" w:ascii="宋体" w:hAnsi="宋体" w:eastAsia="宋体" w:cs="Times New Roman"/>
          <w:sz w:val="24"/>
        </w:rPr>
        <w:t>提供的相关产品视为不符合本国产品标准。</w:t>
      </w:r>
    </w:p>
    <w:p w14:paraId="2E575FF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textAlignment w:val="auto"/>
        <w:rPr>
          <w:rFonts w:hint="eastAsia"/>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D8CFA1D">
      <w:pPr>
        <w:pageBreakBefore w:val="0"/>
        <w:widowControl w:val="0"/>
        <w:kinsoku/>
        <w:wordWrap/>
        <w:overflowPunct/>
        <w:topLinePunct w:val="0"/>
        <w:bidi w:val="0"/>
        <w:spacing w:line="520" w:lineRule="exact"/>
        <w:ind w:right="0" w:rightChars="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履约资金扶持政策</w:t>
      </w:r>
    </w:p>
    <w:p w14:paraId="218506CA">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.1政府采购合同信用融资是为支持中小企业发展，缓解中小企业融资难题推出的一项融资服务举措，</w:t>
      </w:r>
      <w:r>
        <w:rPr>
          <w:rFonts w:hint="eastAsia" w:ascii="宋体" w:hAnsi="宋体" w:eastAsia="宋体" w:cs="Times New Roman"/>
          <w:sz w:val="24"/>
          <w:lang w:eastAsia="zh-CN"/>
        </w:rPr>
        <w:t>成交</w:t>
      </w:r>
      <w:r>
        <w:rPr>
          <w:rFonts w:hint="eastAsia" w:ascii="宋体" w:hAnsi="宋体" w:eastAsia="宋体" w:cs="Times New Roman"/>
          <w:sz w:val="24"/>
        </w:rPr>
        <w:t>人可凭政府采购合同办理融资贷款。该贷款无需抵押、担保，按照双方自愿的原则提供便捷、优惠的贷款服务。详情请见江苏政府采购网“政采贷”专栏。</w:t>
      </w:r>
    </w:p>
    <w:p w14:paraId="10473D17">
      <w:pPr>
        <w:pageBreakBefore w:val="0"/>
        <w:widowControl w:val="0"/>
        <w:kinsoku/>
        <w:wordWrap/>
        <w:overflowPunct/>
        <w:topLinePunct w:val="0"/>
        <w:bidi w:val="0"/>
        <w:spacing w:line="520" w:lineRule="exact"/>
        <w:ind w:right="0" w:rightChars="0" w:firstLine="480" w:firstLineChars="200"/>
        <w:textAlignment w:val="auto"/>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4</w:t>
      </w:r>
      <w:r>
        <w:rPr>
          <w:rFonts w:hint="eastAsia" w:ascii="宋体" w:hAnsi="宋体" w:eastAsia="宋体" w:cs="Times New Roman"/>
          <w:sz w:val="24"/>
        </w:rPr>
        <w:t>.2有融资贷款需求的</w:t>
      </w:r>
      <w:r>
        <w:rPr>
          <w:rFonts w:hint="eastAsia" w:ascii="宋体" w:hAnsi="宋体" w:eastAsia="宋体" w:cs="Times New Roman"/>
          <w:sz w:val="24"/>
          <w:lang w:eastAsia="zh-CN"/>
        </w:rPr>
        <w:t>成交</w:t>
      </w:r>
      <w:r>
        <w:rPr>
          <w:rFonts w:hint="eastAsia" w:ascii="宋体" w:hAnsi="宋体" w:eastAsia="宋体" w:cs="Times New Roman"/>
          <w:sz w:val="24"/>
        </w:rPr>
        <w:t>人，与采购人在苏采云【合同在线签订】模块中进行合同在线签订时，【账户信息完善】的“是否融资”一栏中需选择“是”，同时完善收款账号信息和合同补充协议（融资账号）。</w:t>
      </w:r>
    </w:p>
    <w:p w14:paraId="4DD1F842">
      <w:pPr>
        <w:pageBreakBefore w:val="0"/>
        <w:widowControl w:val="0"/>
        <w:kinsoku/>
        <w:wordWrap/>
        <w:overflowPunct/>
        <w:topLinePunct w:val="0"/>
        <w:bidi w:val="0"/>
        <w:spacing w:line="520" w:lineRule="exact"/>
        <w:ind w:right="0" w:rightChars="0"/>
        <w:jc w:val="center"/>
        <w:textAlignment w:val="auto"/>
        <w:rPr>
          <w:rFonts w:hint="eastAsia" w:ascii="宋体" w:hAnsi="宋体" w:eastAsia="宋体"/>
          <w:b/>
          <w:sz w:val="24"/>
          <w:lang w:eastAsia="zh-CN"/>
        </w:rPr>
      </w:pPr>
      <w:bookmarkStart w:id="43" w:name="_Toc455472180"/>
      <w:r>
        <w:rPr>
          <w:rFonts w:hint="eastAsia" w:ascii="宋体" w:hAnsi="宋体"/>
          <w:b/>
          <w:sz w:val="24"/>
        </w:rPr>
        <w:t>九、</w:t>
      </w:r>
      <w:r>
        <w:rPr>
          <w:rFonts w:ascii="宋体" w:hAnsi="宋体"/>
          <w:b/>
          <w:sz w:val="24"/>
        </w:rPr>
        <w:t>失信情形</w:t>
      </w:r>
    </w:p>
    <w:p w14:paraId="07520309">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left"/>
        <w:textAlignment w:val="auto"/>
        <w:rPr>
          <w:rFonts w:hint="eastAsia" w:ascii="宋体" w:hAnsi="宋体" w:eastAsia="宋体"/>
          <w:b/>
          <w:bCs/>
          <w:sz w:val="24"/>
          <w:lang w:eastAsia="zh-CN"/>
        </w:rPr>
      </w:pPr>
      <w:r>
        <w:rPr>
          <w:rFonts w:hint="eastAsia" w:ascii="宋体" w:hAnsi="宋体"/>
          <w:b/>
          <w:bCs/>
          <w:sz w:val="24"/>
          <w:lang w:val="en-US" w:eastAsia="zh-CN"/>
        </w:rPr>
        <w:t>35</w:t>
      </w:r>
      <w:r>
        <w:rPr>
          <w:rFonts w:ascii="宋体" w:hAnsi="宋体"/>
          <w:b/>
          <w:bCs/>
          <w:sz w:val="24"/>
        </w:rPr>
        <w:t>.根据《江苏省政府采购信用管理暂行办法》有关规定</w:t>
      </w:r>
      <w:r>
        <w:rPr>
          <w:rFonts w:hint="eastAsia" w:ascii="宋体" w:hAnsi="宋体"/>
          <w:b/>
          <w:bCs/>
          <w:sz w:val="24"/>
          <w:lang w:eastAsia="zh-CN"/>
        </w:rPr>
        <w:t>，谈判</w:t>
      </w:r>
      <w:r>
        <w:rPr>
          <w:rFonts w:ascii="宋体" w:hAnsi="宋体"/>
          <w:b/>
          <w:bCs/>
          <w:sz w:val="24"/>
        </w:rPr>
        <w:t>供应商有下列情形之一的，属于失信行为，将其失信情形推送到公共信用信息系统</w:t>
      </w:r>
      <w:r>
        <w:rPr>
          <w:rFonts w:hint="eastAsia" w:ascii="宋体" w:hAnsi="宋体"/>
          <w:b/>
          <w:bCs/>
          <w:sz w:val="24"/>
          <w:lang w:eastAsia="zh-CN"/>
        </w:rPr>
        <w:t>。</w:t>
      </w:r>
    </w:p>
    <w:p w14:paraId="3347A765">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sz w:val="24"/>
        </w:rPr>
      </w:pPr>
      <w:r>
        <w:rPr>
          <w:rFonts w:hint="eastAsia" w:ascii="宋体" w:hAnsi="宋体"/>
          <w:sz w:val="24"/>
          <w:lang w:val="en-US" w:eastAsia="zh-CN"/>
        </w:rPr>
        <w:t>35</w:t>
      </w:r>
      <w:r>
        <w:rPr>
          <w:rFonts w:hint="eastAsia" w:ascii="宋体" w:hAnsi="宋体"/>
          <w:sz w:val="24"/>
        </w:rPr>
        <w:t>.1</w:t>
      </w:r>
      <w:r>
        <w:rPr>
          <w:rFonts w:ascii="宋体" w:hAnsi="宋体"/>
          <w:sz w:val="24"/>
        </w:rPr>
        <w:t>响应、开标、谈判、评审环节</w:t>
      </w:r>
    </w:p>
    <w:p w14:paraId="78C21F2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.1.1</w:t>
      </w:r>
      <w:r>
        <w:rPr>
          <w:rFonts w:ascii="宋体" w:hAnsi="宋体"/>
          <w:sz w:val="24"/>
        </w:rPr>
        <w:t>提供虚假证明材料谋取成交；</w:t>
      </w:r>
    </w:p>
    <w:p w14:paraId="6CEF6EE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.1.2</w:t>
      </w:r>
      <w:r>
        <w:rPr>
          <w:rFonts w:ascii="宋体" w:hAnsi="宋体"/>
          <w:sz w:val="24"/>
        </w:rPr>
        <w:t>采取不正当手段诋毁、排挤其他供应商；</w:t>
      </w:r>
    </w:p>
    <w:p w14:paraId="36CAF64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1.3</w:t>
      </w:r>
      <w:r>
        <w:rPr>
          <w:rFonts w:ascii="宋体" w:hAnsi="宋体"/>
          <w:sz w:val="24"/>
        </w:rPr>
        <w:t>与采购人、采购代理机构或者其他供应商恶意串通；</w:t>
      </w:r>
    </w:p>
    <w:p w14:paraId="3A96F0D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1.4</w:t>
      </w:r>
      <w:r>
        <w:rPr>
          <w:rFonts w:ascii="宋体" w:hAnsi="宋体"/>
          <w:sz w:val="24"/>
        </w:rPr>
        <w:t>向采购人或者采购代理机构行贿或者提供其他不正当利益；</w:t>
      </w:r>
    </w:p>
    <w:p w14:paraId="0D40770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1.5</w:t>
      </w:r>
      <w:r>
        <w:rPr>
          <w:rFonts w:ascii="宋体" w:hAnsi="宋体"/>
          <w:sz w:val="24"/>
        </w:rPr>
        <w:t>在采购过程中与采购人进行协商谈判；</w:t>
      </w:r>
    </w:p>
    <w:p w14:paraId="5CFEE8B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1.6</w:t>
      </w:r>
      <w:r>
        <w:rPr>
          <w:rFonts w:ascii="宋体" w:hAnsi="宋体"/>
          <w:sz w:val="24"/>
        </w:rPr>
        <w:t>向谈判小组成员行贿或者提供其他不正当利益；</w:t>
      </w:r>
    </w:p>
    <w:p w14:paraId="22BE264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.1.7</w:t>
      </w:r>
      <w:r>
        <w:rPr>
          <w:rFonts w:ascii="宋体" w:hAnsi="宋体"/>
          <w:sz w:val="24"/>
        </w:rPr>
        <w:t>资格预审合格的</w:t>
      </w:r>
      <w:r>
        <w:rPr>
          <w:rFonts w:hint="eastAsia" w:ascii="宋体" w:hAnsi="宋体"/>
          <w:sz w:val="24"/>
          <w:lang w:eastAsia="zh-CN"/>
        </w:rPr>
        <w:t>谈判</w:t>
      </w:r>
      <w:r>
        <w:rPr>
          <w:rFonts w:ascii="宋体" w:hAnsi="宋体"/>
          <w:sz w:val="24"/>
        </w:rPr>
        <w:t>供应商在评审阶段资格发生变化时未通知采购人和采购代理机构；</w:t>
      </w:r>
    </w:p>
    <w:p w14:paraId="02F126C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.1.8</w:t>
      </w:r>
      <w:r>
        <w:rPr>
          <w:rFonts w:ascii="宋体" w:hAnsi="宋体"/>
          <w:sz w:val="24"/>
        </w:rPr>
        <w:t>存在视为串通投标的情形。</w:t>
      </w:r>
    </w:p>
    <w:p w14:paraId="50CB5D7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w:t>
      </w:r>
      <w:r>
        <w:rPr>
          <w:rFonts w:ascii="宋体" w:hAnsi="宋体"/>
          <w:sz w:val="24"/>
        </w:rPr>
        <w:t>成交和合同签订、履约环节</w:t>
      </w:r>
    </w:p>
    <w:p w14:paraId="747509F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.2.1</w:t>
      </w:r>
      <w:r>
        <w:rPr>
          <w:rFonts w:ascii="宋体" w:hAnsi="宋体"/>
          <w:sz w:val="24"/>
        </w:rPr>
        <w:t>成交后无正当理由拒不与采购人签订政府采购合同；</w:t>
      </w:r>
    </w:p>
    <w:p w14:paraId="0B77A0E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.2.2</w:t>
      </w:r>
      <w:r>
        <w:rPr>
          <w:rFonts w:ascii="宋体" w:hAnsi="宋体"/>
          <w:sz w:val="24"/>
        </w:rPr>
        <w:t>未按照采购文件确定的事项签订政府采购合同，或者与采购人另行订立背离合同实质性内容的协议；</w:t>
      </w:r>
    </w:p>
    <w:p w14:paraId="3F76E7EE">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.2.3</w:t>
      </w:r>
      <w:r>
        <w:rPr>
          <w:rFonts w:ascii="宋体" w:hAnsi="宋体"/>
          <w:sz w:val="24"/>
        </w:rPr>
        <w:t>将政府采购合同转包，或者采用分包方式履行合同，将合同的主体和关键部分分包给其他供应商；</w:t>
      </w:r>
    </w:p>
    <w:p w14:paraId="475D11D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.2.4</w:t>
      </w:r>
      <w:r>
        <w:rPr>
          <w:rFonts w:ascii="宋体" w:hAnsi="宋体"/>
          <w:sz w:val="24"/>
        </w:rPr>
        <w:t>擅自变更、中止或者终止政府采购合同；</w:t>
      </w:r>
    </w:p>
    <w:p w14:paraId="2FEB5A56">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.2.5</w:t>
      </w:r>
      <w:r>
        <w:rPr>
          <w:rFonts w:ascii="宋体" w:hAnsi="宋体"/>
          <w:sz w:val="24"/>
        </w:rPr>
        <w:t>提供假冒伪劣产品；</w:t>
      </w:r>
    </w:p>
    <w:p w14:paraId="23392D8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.2.6</w:t>
      </w:r>
      <w:r>
        <w:rPr>
          <w:rFonts w:ascii="宋体" w:hAnsi="宋体"/>
          <w:sz w:val="24"/>
        </w:rPr>
        <w:t>拒绝履行合同义务。</w:t>
      </w:r>
    </w:p>
    <w:p w14:paraId="3147BB5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.3</w:t>
      </w:r>
      <w:r>
        <w:rPr>
          <w:rFonts w:ascii="宋体" w:hAnsi="宋体"/>
          <w:sz w:val="24"/>
        </w:rPr>
        <w:t>质疑投诉环节</w:t>
      </w:r>
    </w:p>
    <w:p w14:paraId="6F36A670">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.3.1</w:t>
      </w:r>
      <w:r>
        <w:rPr>
          <w:rFonts w:ascii="宋体" w:hAnsi="宋体"/>
          <w:sz w:val="24"/>
        </w:rPr>
        <w:t>在全国范围12个月内三次以上投诉查无实据；</w:t>
      </w:r>
    </w:p>
    <w:p w14:paraId="74F184B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eastAsia="宋体"/>
          <w:sz w:val="24"/>
          <w:lang w:eastAsia="zh-CN"/>
        </w:rPr>
      </w:pPr>
      <w:r>
        <w:rPr>
          <w:rFonts w:hint="eastAsia" w:ascii="宋体" w:hAnsi="宋体"/>
          <w:sz w:val="24"/>
          <w:lang w:val="en-US" w:eastAsia="zh-CN"/>
        </w:rPr>
        <w:t>35</w:t>
      </w:r>
      <w:r>
        <w:rPr>
          <w:rFonts w:hint="eastAsia" w:ascii="宋体" w:hAnsi="宋体"/>
          <w:sz w:val="24"/>
        </w:rPr>
        <w:t>.3.2</w:t>
      </w:r>
      <w:r>
        <w:rPr>
          <w:rFonts w:ascii="宋体" w:hAnsi="宋体"/>
          <w:sz w:val="24"/>
        </w:rPr>
        <w:t>采用捏造事实、提供虚假材料或者以非法手段取得证明材料等方式进行虚假、恶意投诉</w:t>
      </w:r>
      <w:r>
        <w:rPr>
          <w:rFonts w:hint="eastAsia" w:ascii="宋体" w:hAnsi="宋体"/>
          <w:sz w:val="24"/>
          <w:lang w:eastAsia="zh-CN"/>
        </w:rPr>
        <w:t>；</w:t>
      </w:r>
    </w:p>
    <w:p w14:paraId="1C8C7C7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.3.3</w:t>
      </w:r>
      <w:r>
        <w:rPr>
          <w:rFonts w:ascii="宋体" w:hAnsi="宋体"/>
          <w:sz w:val="24"/>
        </w:rPr>
        <w:t>证据来源的合法性存在明显疑问，投诉人无法证明其取得方式合法的，视为以非法手段取得证明材料。</w:t>
      </w:r>
    </w:p>
    <w:p w14:paraId="4376139C">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.4</w:t>
      </w:r>
      <w:r>
        <w:rPr>
          <w:rFonts w:ascii="宋体" w:hAnsi="宋体"/>
          <w:sz w:val="24"/>
        </w:rPr>
        <w:t>监督检查环节</w:t>
      </w:r>
    </w:p>
    <w:p w14:paraId="270D44AF">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hint="eastAsia" w:ascii="宋体" w:hAnsi="宋体"/>
          <w:sz w:val="24"/>
        </w:rPr>
        <w:t>.4.1</w:t>
      </w:r>
      <w:r>
        <w:rPr>
          <w:rFonts w:ascii="宋体" w:hAnsi="宋体"/>
          <w:sz w:val="24"/>
        </w:rPr>
        <w:t>拒绝有关部门监督检查或者提供虚假情况。</w:t>
      </w:r>
    </w:p>
    <w:p w14:paraId="7758FFA2">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hint="eastAsia" w:ascii="宋体" w:hAnsi="宋体"/>
          <w:sz w:val="24"/>
        </w:rPr>
      </w:pPr>
      <w:r>
        <w:rPr>
          <w:rFonts w:hint="eastAsia" w:ascii="宋体" w:hAnsi="宋体"/>
          <w:sz w:val="24"/>
          <w:lang w:val="en-US" w:eastAsia="zh-CN"/>
        </w:rPr>
        <w:t>35</w:t>
      </w:r>
      <w:r>
        <w:rPr>
          <w:rFonts w:ascii="宋体" w:hAnsi="宋体"/>
          <w:sz w:val="24"/>
        </w:rPr>
        <w:t>.5</w:t>
      </w:r>
      <w:r>
        <w:rPr>
          <w:rFonts w:hint="eastAsia" w:ascii="宋体" w:hAnsi="宋体"/>
          <w:sz w:val="24"/>
          <w:lang w:eastAsia="zh-CN"/>
        </w:rPr>
        <w:t>谈判</w:t>
      </w:r>
      <w:r>
        <w:rPr>
          <w:rFonts w:ascii="宋体" w:hAnsi="宋体"/>
          <w:sz w:val="24"/>
        </w:rPr>
        <w:t>供应商</w:t>
      </w:r>
      <w:r>
        <w:rPr>
          <w:rFonts w:hint="eastAsia" w:ascii="宋体" w:hAnsi="宋体"/>
          <w:sz w:val="24"/>
          <w:lang w:eastAsia="zh-CN"/>
        </w:rPr>
        <w:t>有</w:t>
      </w:r>
      <w:r>
        <w:rPr>
          <w:rFonts w:ascii="宋体" w:hAnsi="宋体"/>
          <w:sz w:val="24"/>
        </w:rPr>
        <w:t>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720A0AD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left"/>
        <w:textAlignment w:val="auto"/>
        <w:rPr>
          <w:rFonts w:ascii="宋体" w:hAnsi="宋体"/>
          <w:sz w:val="24"/>
        </w:rPr>
      </w:pPr>
      <w:r>
        <w:rPr>
          <w:rFonts w:hint="eastAsia" w:ascii="宋体" w:hAnsi="宋体"/>
          <w:sz w:val="24"/>
          <w:lang w:val="en-US" w:eastAsia="zh-CN"/>
        </w:rPr>
        <w:t>35</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573F241B">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162DDAE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ascii="宋体" w:hAnsi="宋体"/>
          <w:sz w:val="24"/>
        </w:rPr>
        <w:t>.5.3已响应参加政府采购活动而无故不参加的</w:t>
      </w:r>
      <w:r>
        <w:rPr>
          <w:rFonts w:hint="eastAsia" w:ascii="宋体" w:hAnsi="宋体"/>
          <w:sz w:val="24"/>
        </w:rPr>
        <w:t>；</w:t>
      </w:r>
    </w:p>
    <w:p w14:paraId="7055C4F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5.4未按合同规定履行合同义务的</w:t>
      </w:r>
      <w:r>
        <w:rPr>
          <w:rFonts w:hint="eastAsia" w:ascii="宋体" w:hAnsi="宋体"/>
          <w:sz w:val="24"/>
        </w:rPr>
        <w:t>；</w:t>
      </w:r>
    </w:p>
    <w:p w14:paraId="6892D909">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5.5不按规定或不及时变更供应商库中的有关信息的</w:t>
      </w:r>
      <w:r>
        <w:rPr>
          <w:rFonts w:hint="eastAsia" w:ascii="宋体" w:hAnsi="宋体"/>
          <w:sz w:val="24"/>
        </w:rPr>
        <w:t>；</w:t>
      </w:r>
    </w:p>
    <w:p w14:paraId="57EC12B7">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1CAD3293">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ABC88C8">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176FB83A">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rPr>
          <w:rFonts w:hint="eastAsia" w:ascii="宋体" w:hAnsi="宋体"/>
          <w:sz w:val="24"/>
        </w:rPr>
      </w:pPr>
      <w:r>
        <w:rPr>
          <w:rFonts w:hint="eastAsia" w:ascii="宋体" w:hAnsi="宋体"/>
          <w:sz w:val="24"/>
          <w:lang w:val="en-US" w:eastAsia="zh-CN"/>
        </w:rPr>
        <w:t>35</w:t>
      </w:r>
      <w:r>
        <w:rPr>
          <w:rFonts w:hint="eastAsia" w:ascii="宋体" w:hAnsi="宋体"/>
          <w:sz w:val="24"/>
        </w:rPr>
        <w:t>.</w:t>
      </w:r>
      <w:r>
        <w:rPr>
          <w:rFonts w:ascii="宋体" w:hAnsi="宋体"/>
          <w:sz w:val="24"/>
        </w:rPr>
        <w:t>5.9各级政府采购监管部门认定的其他失信行为</w:t>
      </w:r>
      <w:r>
        <w:rPr>
          <w:rFonts w:hint="eastAsia" w:ascii="宋体" w:hAnsi="宋体"/>
          <w:sz w:val="24"/>
        </w:rPr>
        <w:t>。</w:t>
      </w:r>
    </w:p>
    <w:p w14:paraId="0B361517">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both"/>
        <w:textAlignment w:val="auto"/>
        <w:rPr>
          <w:rFonts w:ascii="宋体" w:hAnsi="宋体"/>
          <w:b/>
          <w:sz w:val="24"/>
        </w:rPr>
      </w:pPr>
      <w:r>
        <w:rPr>
          <w:rFonts w:hint="eastAsia" w:ascii="宋体" w:hAnsi="宋体"/>
          <w:b/>
          <w:bCs/>
          <w:sz w:val="24"/>
          <w:lang w:val="en-US" w:eastAsia="zh-CN"/>
        </w:rPr>
        <w:t>36.</w:t>
      </w:r>
      <w:r>
        <w:rPr>
          <w:rFonts w:ascii="宋体" w:hAnsi="宋体"/>
          <w:b/>
          <w:sz w:val="24"/>
        </w:rPr>
        <w:t>有下列情形之一的，视为</w:t>
      </w:r>
      <w:r>
        <w:rPr>
          <w:rFonts w:hint="eastAsia" w:ascii="宋体" w:hAnsi="宋体"/>
          <w:b/>
          <w:sz w:val="24"/>
          <w:lang w:eastAsia="zh-CN"/>
        </w:rPr>
        <w:t>谈判</w:t>
      </w:r>
      <w:r>
        <w:rPr>
          <w:rFonts w:ascii="宋体" w:hAnsi="宋体"/>
          <w:b/>
          <w:sz w:val="24"/>
        </w:rPr>
        <w:t>供应商串通投标，其谈判文件无效：</w:t>
      </w:r>
    </w:p>
    <w:p w14:paraId="7950ADD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36.1</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供应商的谈判响应文件由同一单位或者个人编制（注：同一台电脑生成谈判响应文件或同一台电脑上传谈判响应文件等情况均视为谈判响应文件由同一单位或者个人编制）；</w:t>
      </w:r>
    </w:p>
    <w:p w14:paraId="18049A9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36.2</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供应商委托同一单位或者个人办理谈判事宜；</w:t>
      </w:r>
    </w:p>
    <w:p w14:paraId="1B80186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36.3</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供应商的谈判响应文件载明的项目管理成员或者联系人员为同一人；</w:t>
      </w:r>
    </w:p>
    <w:p w14:paraId="398D12A0">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36.4</w:t>
      </w:r>
      <w:r>
        <w:rPr>
          <w:rFonts w:hint="eastAsia" w:ascii="宋体" w:hAnsi="宋体" w:eastAsia="宋体" w:cs="宋体"/>
          <w:b/>
          <w:bCs/>
          <w:sz w:val="24"/>
          <w:szCs w:val="24"/>
        </w:rPr>
        <w:t>不同</w:t>
      </w:r>
      <w:r>
        <w:rPr>
          <w:rFonts w:hint="eastAsia" w:ascii="宋体" w:hAnsi="宋体" w:eastAsia="宋体" w:cs="宋体"/>
          <w:b/>
          <w:bCs/>
          <w:sz w:val="24"/>
          <w:szCs w:val="24"/>
          <w:lang w:eastAsia="zh-CN"/>
        </w:rPr>
        <w:t>谈判</w:t>
      </w:r>
      <w:r>
        <w:rPr>
          <w:rFonts w:hint="eastAsia" w:ascii="宋体" w:hAnsi="宋体" w:eastAsia="宋体" w:cs="宋体"/>
          <w:b/>
          <w:bCs/>
          <w:sz w:val="24"/>
          <w:szCs w:val="24"/>
        </w:rPr>
        <w:t>供应商的谈判响应文件异常一致或者投标报价呈规律性差异；</w:t>
      </w:r>
      <w:r>
        <w:rPr>
          <w:rFonts w:hint="eastAsia" w:ascii="宋体" w:hAnsi="宋体" w:eastAsia="宋体" w:cs="宋体"/>
          <w:b/>
          <w:bCs/>
          <w:sz w:val="24"/>
          <w:szCs w:val="24"/>
          <w:lang w:eastAsia="zh-CN"/>
        </w:rPr>
        <w:t>　</w:t>
      </w:r>
    </w:p>
    <w:p w14:paraId="18AE7ED8">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36.5不同谈判供应商的谈判响应文件相互混装。</w:t>
      </w:r>
    </w:p>
    <w:p w14:paraId="2F8895BC">
      <w:pPr>
        <w:spacing w:line="520" w:lineRule="exact"/>
        <w:ind w:firstLine="480"/>
        <w:rPr>
          <w:rFonts w:hint="default" w:ascii="宋体" w:hAnsi="宋体" w:eastAsia="宋体"/>
          <w:sz w:val="24"/>
          <w:lang w:val="en-US" w:eastAsia="zh-CN"/>
        </w:rPr>
      </w:pPr>
    </w:p>
    <w:p w14:paraId="4C4D20B6">
      <w:pPr>
        <w:spacing w:line="520" w:lineRule="exact"/>
        <w:ind w:firstLine="480"/>
        <w:rPr>
          <w:rFonts w:ascii="宋体" w:hAnsi="宋体"/>
          <w:sz w:val="24"/>
        </w:rPr>
      </w:pPr>
    </w:p>
    <w:p w14:paraId="111C59BD">
      <w:pPr>
        <w:pStyle w:val="192"/>
        <w:spacing w:before="0" w:after="0" w:line="300" w:lineRule="auto"/>
        <w:jc w:val="center"/>
        <w:rPr>
          <w:rFonts w:ascii="宋体" w:hAnsi="宋体"/>
          <w:sz w:val="24"/>
        </w:rPr>
      </w:pPr>
      <w:bookmarkStart w:id="44" w:name="_Toc148347151"/>
      <w:r>
        <w:rPr>
          <w:rFonts w:hint="eastAsia" w:ascii="宋体" w:hAnsi="宋体" w:eastAsia="宋体"/>
          <w:bCs/>
          <w:sz w:val="28"/>
          <w:szCs w:val="28"/>
        </w:rPr>
        <w:br w:type="page" w:clear="all"/>
      </w:r>
      <w:r>
        <w:rPr>
          <w:rFonts w:hint="eastAsia" w:ascii="宋体" w:hAnsi="宋体" w:eastAsia="宋体"/>
          <w:bCs/>
          <w:sz w:val="28"/>
          <w:szCs w:val="28"/>
        </w:rPr>
        <w:t>第三部分  成交标准</w:t>
      </w:r>
      <w:bookmarkEnd w:id="44"/>
    </w:p>
    <w:p w14:paraId="356BAE2C">
      <w:pPr>
        <w:spacing w:line="520" w:lineRule="exact"/>
        <w:ind w:firstLine="470" w:firstLineChars="196"/>
        <w:rPr>
          <w:rFonts w:hint="eastAsia" w:ascii="宋体" w:hAnsi="宋体" w:eastAsia="宋体"/>
          <w:b/>
          <w:sz w:val="24"/>
          <w:highlight w:val="none"/>
          <w:lang w:eastAsia="zh-CN"/>
        </w:rPr>
      </w:pPr>
      <w:r>
        <w:rPr>
          <w:rFonts w:hint="eastAsia" w:ascii="宋体" w:hAnsi="宋体"/>
          <w:sz w:val="24"/>
          <w:highlight w:val="none"/>
        </w:rPr>
        <w:t>一、谈判小组在推荐成交候选供应商时将考虑以下因素</w:t>
      </w:r>
      <w:r>
        <w:rPr>
          <w:rFonts w:hint="eastAsia" w:ascii="宋体" w:hAnsi="宋体"/>
          <w:sz w:val="24"/>
          <w:highlight w:val="none"/>
          <w:lang w:eastAsia="zh-CN"/>
        </w:rPr>
        <w:t>：</w:t>
      </w:r>
    </w:p>
    <w:p w14:paraId="48E673B3">
      <w:pPr>
        <w:spacing w:line="520" w:lineRule="exact"/>
        <w:ind w:firstLine="470" w:firstLineChars="196"/>
        <w:rPr>
          <w:rFonts w:hint="eastAsia" w:ascii="宋体" w:hAnsi="宋体"/>
          <w:b/>
          <w:sz w:val="24"/>
          <w:highlight w:val="none"/>
        </w:rPr>
      </w:pPr>
      <w:r>
        <w:rPr>
          <w:rFonts w:hint="eastAsia" w:ascii="宋体" w:hAnsi="宋体"/>
          <w:sz w:val="24"/>
          <w:highlight w:val="none"/>
          <w:lang w:val="en-US" w:eastAsia="zh-CN"/>
        </w:rPr>
        <w:t>1.</w:t>
      </w:r>
      <w:r>
        <w:rPr>
          <w:rFonts w:hint="eastAsia" w:ascii="宋体" w:hAnsi="宋体"/>
          <w:sz w:val="24"/>
          <w:highlight w:val="none"/>
        </w:rPr>
        <w:t>谈判报价；</w:t>
      </w:r>
    </w:p>
    <w:p w14:paraId="6DDECB5A">
      <w:pPr>
        <w:spacing w:line="520" w:lineRule="exact"/>
        <w:ind w:firstLine="470" w:firstLineChars="196"/>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rPr>
        <w:t>货物</w:t>
      </w:r>
      <w:r>
        <w:rPr>
          <w:rFonts w:hint="eastAsia" w:ascii="宋体" w:hAnsi="宋体" w:eastAsia="宋体" w:cs="Times New Roman"/>
          <w:sz w:val="24"/>
          <w:highlight w:val="none"/>
          <w:lang w:eastAsia="zh-CN"/>
        </w:rPr>
        <w:t>的质量、服务内容响应；</w:t>
      </w:r>
    </w:p>
    <w:p w14:paraId="03266318">
      <w:pPr>
        <w:spacing w:line="520" w:lineRule="exact"/>
        <w:ind w:firstLine="470" w:firstLineChars="196"/>
        <w:rPr>
          <w:rFonts w:hint="eastAsia" w:ascii="宋体" w:hAnsi="宋体" w:eastAsia="宋体" w:cs="Times New Roman"/>
          <w:b/>
          <w:sz w:val="24"/>
          <w:highlight w:val="none"/>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rPr>
        <w:t>供应商承诺的售后服务等。</w:t>
      </w:r>
    </w:p>
    <w:p w14:paraId="25473D78">
      <w:pPr>
        <w:spacing w:line="520" w:lineRule="exact"/>
        <w:ind w:firstLine="460" w:firstLineChars="192"/>
        <w:rPr>
          <w:rFonts w:hint="eastAsia" w:ascii="宋体" w:hAnsi="宋体"/>
          <w:sz w:val="24"/>
          <w:highlight w:val="none"/>
        </w:rPr>
      </w:pPr>
      <w:r>
        <w:rPr>
          <w:rFonts w:hint="eastAsia" w:ascii="宋体" w:hAnsi="宋体"/>
          <w:sz w:val="24"/>
          <w:highlight w:val="none"/>
        </w:rPr>
        <w:t>二、成交标准</w:t>
      </w:r>
    </w:p>
    <w:p w14:paraId="5C3328DC">
      <w:pPr>
        <w:spacing w:line="520" w:lineRule="exact"/>
        <w:ind w:firstLine="460" w:firstLineChars="192"/>
        <w:rPr>
          <w:rFonts w:hint="eastAsia" w:ascii="宋体" w:hAnsi="宋体"/>
          <w:sz w:val="24"/>
          <w:highlight w:val="none"/>
        </w:rPr>
      </w:pPr>
      <w:r>
        <w:rPr>
          <w:rFonts w:hint="eastAsia" w:ascii="宋体" w:hAnsi="宋体"/>
          <w:sz w:val="24"/>
          <w:highlight w:val="none"/>
        </w:rPr>
        <w:t>在满足采购基本要求的前提下谈判小组将按上述第一条所列各项因素对</w:t>
      </w:r>
      <w:r>
        <w:rPr>
          <w:rFonts w:hint="eastAsia" w:ascii="宋体" w:hAnsi="宋体"/>
          <w:sz w:val="24"/>
          <w:highlight w:val="none"/>
          <w:lang w:eastAsia="zh-CN"/>
        </w:rPr>
        <w:t>谈判</w:t>
      </w:r>
      <w:r>
        <w:rPr>
          <w:rFonts w:hint="eastAsia" w:ascii="宋体" w:hAnsi="宋体"/>
          <w:sz w:val="24"/>
          <w:highlight w:val="none"/>
        </w:rPr>
        <w:t>供应商及其所</w:t>
      </w:r>
      <w:r>
        <w:rPr>
          <w:rFonts w:hint="eastAsia" w:ascii="宋体" w:hAnsi="宋体"/>
          <w:sz w:val="24"/>
          <w:highlight w:val="none"/>
          <w:lang w:eastAsia="zh-CN"/>
        </w:rPr>
        <w:t>投</w:t>
      </w:r>
      <w:r>
        <w:rPr>
          <w:rFonts w:hint="eastAsia" w:ascii="宋体" w:hAnsi="宋体"/>
          <w:sz w:val="24"/>
          <w:highlight w:val="none"/>
          <w:lang w:val="en-US" w:eastAsia="zh-CN"/>
        </w:rPr>
        <w:t>货物</w:t>
      </w:r>
      <w:r>
        <w:rPr>
          <w:rFonts w:hint="eastAsia" w:ascii="宋体" w:hAnsi="宋体"/>
          <w:sz w:val="24"/>
          <w:highlight w:val="none"/>
        </w:rPr>
        <w:t>进行评审，</w:t>
      </w:r>
      <w:r>
        <w:rPr>
          <w:rFonts w:hint="eastAsia" w:ascii="宋体" w:hAnsi="宋体"/>
          <w:sz w:val="24"/>
          <w:highlight w:val="none"/>
          <w:lang w:eastAsia="zh-CN"/>
        </w:rPr>
        <w:t>最后</w:t>
      </w:r>
      <w:r>
        <w:rPr>
          <w:rFonts w:hint="eastAsia" w:ascii="宋体" w:hAnsi="宋体"/>
          <w:sz w:val="24"/>
          <w:highlight w:val="none"/>
        </w:rPr>
        <w:t>通过对采购需求、质量和服务相等且报价最低的原则来确定</w:t>
      </w:r>
      <w:r>
        <w:rPr>
          <w:rFonts w:hint="eastAsia" w:ascii="宋体" w:hAnsi="宋体"/>
          <w:sz w:val="24"/>
          <w:highlight w:val="none"/>
          <w:lang w:eastAsia="zh-CN"/>
        </w:rPr>
        <w:t>，</w:t>
      </w:r>
      <w:r>
        <w:rPr>
          <w:rFonts w:hint="eastAsia" w:ascii="宋体" w:hAnsi="宋体"/>
          <w:sz w:val="24"/>
          <w:highlight w:val="none"/>
        </w:rPr>
        <w:t>并推荐出</w:t>
      </w:r>
      <w:r>
        <w:rPr>
          <w:rFonts w:hint="eastAsia" w:ascii="宋体" w:hAnsi="宋体"/>
          <w:sz w:val="24"/>
          <w:highlight w:val="none"/>
          <w:lang w:val="en-US" w:eastAsia="zh-CN"/>
        </w:rPr>
        <w:t>3</w:t>
      </w:r>
      <w:r>
        <w:rPr>
          <w:rFonts w:hint="eastAsia" w:ascii="宋体" w:hAnsi="宋体"/>
          <w:sz w:val="24"/>
          <w:highlight w:val="none"/>
        </w:rPr>
        <w:t>名成交候选</w:t>
      </w:r>
      <w:r>
        <w:rPr>
          <w:rFonts w:hint="eastAsia" w:ascii="宋体" w:hAnsi="宋体"/>
          <w:sz w:val="24"/>
          <w:highlight w:val="none"/>
          <w:lang w:eastAsia="zh-CN"/>
        </w:rPr>
        <w:t>供应商</w:t>
      </w:r>
      <w:r>
        <w:rPr>
          <w:rFonts w:hint="eastAsia" w:ascii="宋体" w:hAnsi="宋体"/>
          <w:sz w:val="24"/>
          <w:highlight w:val="none"/>
        </w:rPr>
        <w:t>。</w:t>
      </w:r>
    </w:p>
    <w:p w14:paraId="7A1175BE">
      <w:pPr>
        <w:spacing w:line="520" w:lineRule="exact"/>
        <w:ind w:firstLine="460" w:firstLineChars="192"/>
        <w:rPr>
          <w:rFonts w:hint="eastAsia" w:ascii="宋体" w:hAnsi="宋体" w:eastAsia="宋体" w:cs="Times New Roman"/>
          <w:sz w:val="24"/>
          <w:highlight w:val="none"/>
        </w:rPr>
      </w:pPr>
      <w:r>
        <w:rPr>
          <w:rFonts w:hint="eastAsia" w:ascii="宋体" w:hAnsi="宋体" w:eastAsia="宋体" w:cs="Times New Roman"/>
          <w:sz w:val="24"/>
          <w:highlight w:val="none"/>
        </w:rPr>
        <w:t>当最低报价或次低报价的供应商</w:t>
      </w:r>
      <w:r>
        <w:rPr>
          <w:rFonts w:hint="eastAsia" w:ascii="宋体" w:hAnsi="宋体" w:eastAsia="宋体" w:cs="Times New Roman"/>
          <w:sz w:val="24"/>
          <w:highlight w:val="none"/>
          <w:lang w:val="en-US" w:eastAsia="zh-CN"/>
        </w:rPr>
        <w:t>同</w:t>
      </w:r>
      <w:r>
        <w:rPr>
          <w:rFonts w:hint="eastAsia" w:ascii="宋体" w:hAnsi="宋体" w:eastAsia="宋体" w:cs="Times New Roman"/>
          <w:sz w:val="24"/>
          <w:highlight w:val="none"/>
        </w:rPr>
        <w:t>于一家时（报价相等），须进行再次报价（如果采购需求没有实质性改动,再次报价不得高于上一次报价，否则作无效报价处理），直到确定出成交候选供应商。</w:t>
      </w:r>
    </w:p>
    <w:p w14:paraId="5A80765D">
      <w:pPr>
        <w:spacing w:line="520" w:lineRule="exact"/>
        <w:rPr>
          <w:rFonts w:ascii="宋体" w:hAnsi="宋体"/>
          <w:sz w:val="24"/>
        </w:rPr>
      </w:pPr>
    </w:p>
    <w:p w14:paraId="2ABBAC1C">
      <w:pPr>
        <w:spacing w:line="520" w:lineRule="exact"/>
        <w:rPr>
          <w:rFonts w:ascii="宋体" w:hAnsi="宋体"/>
          <w:sz w:val="24"/>
        </w:rPr>
      </w:pPr>
    </w:p>
    <w:p w14:paraId="5BD1449D">
      <w:pPr>
        <w:spacing w:line="520" w:lineRule="exact"/>
        <w:rPr>
          <w:rFonts w:ascii="宋体" w:hAnsi="宋体"/>
          <w:sz w:val="24"/>
        </w:rPr>
      </w:pPr>
    </w:p>
    <w:p w14:paraId="611B4C0B">
      <w:pPr>
        <w:spacing w:line="520" w:lineRule="exact"/>
        <w:rPr>
          <w:rFonts w:ascii="宋体" w:hAnsi="宋体"/>
          <w:sz w:val="24"/>
        </w:rPr>
      </w:pPr>
    </w:p>
    <w:p w14:paraId="0B3FF4A7">
      <w:pPr>
        <w:spacing w:line="520" w:lineRule="exact"/>
        <w:rPr>
          <w:rFonts w:ascii="宋体" w:hAnsi="宋体"/>
          <w:sz w:val="24"/>
        </w:rPr>
      </w:pPr>
    </w:p>
    <w:p w14:paraId="546EDA60">
      <w:pPr>
        <w:spacing w:line="520" w:lineRule="exact"/>
        <w:rPr>
          <w:rFonts w:hint="eastAsia" w:ascii="宋体" w:hAnsi="宋体"/>
          <w:sz w:val="24"/>
        </w:rPr>
      </w:pPr>
    </w:p>
    <w:p w14:paraId="2FFCFF5C">
      <w:pPr>
        <w:pStyle w:val="192"/>
        <w:spacing w:before="0" w:after="0" w:line="300" w:lineRule="auto"/>
        <w:jc w:val="center"/>
        <w:rPr>
          <w:rFonts w:ascii="宋体" w:hAnsi="宋体" w:eastAsia="宋体"/>
          <w:bCs/>
          <w:sz w:val="28"/>
          <w:szCs w:val="28"/>
        </w:rPr>
      </w:pPr>
      <w:r>
        <w:rPr>
          <w:rFonts w:ascii="宋体" w:hAnsi="宋体" w:eastAsia="宋体"/>
          <w:bCs/>
          <w:sz w:val="28"/>
          <w:szCs w:val="28"/>
        </w:rPr>
        <w:br w:type="page" w:clear="all"/>
      </w:r>
      <w:bookmarkStart w:id="45" w:name="_Toc148347152"/>
    </w:p>
    <w:p w14:paraId="0F7194A9">
      <w:pPr>
        <w:pStyle w:val="192"/>
        <w:spacing w:before="0" w:after="0" w:line="300" w:lineRule="auto"/>
        <w:jc w:val="center"/>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注：</w:t>
      </w:r>
      <w:r>
        <w:rPr>
          <w:rFonts w:hint="eastAsia" w:ascii="黑体" w:hAnsi="黑体" w:eastAsia="黑体" w:cs="黑体"/>
          <w:b/>
          <w:bCs/>
          <w:sz w:val="24"/>
          <w:szCs w:val="24"/>
        </w:rPr>
        <w:t>甲、乙双方通过</w:t>
      </w:r>
      <w:r>
        <w:rPr>
          <w:rFonts w:hint="eastAsia" w:ascii="黑体" w:hAnsi="黑体" w:eastAsia="黑体" w:cs="黑体"/>
          <w:b/>
          <w:bCs/>
          <w:sz w:val="24"/>
          <w:szCs w:val="24"/>
          <w:lang w:eastAsia="zh-CN"/>
        </w:rPr>
        <w:t>苏采云政府采购一体化</w:t>
      </w:r>
      <w:r>
        <w:rPr>
          <w:rFonts w:hint="eastAsia" w:ascii="黑体" w:hAnsi="黑体" w:eastAsia="黑体" w:cs="黑体"/>
          <w:b/>
          <w:bCs/>
          <w:sz w:val="24"/>
          <w:szCs w:val="24"/>
        </w:rPr>
        <w:t>平台签订电子合同</w:t>
      </w:r>
      <w:r>
        <w:rPr>
          <w:rFonts w:hint="eastAsia" w:ascii="黑体" w:hAnsi="黑体" w:eastAsia="黑体" w:cs="黑体"/>
          <w:b/>
          <w:bCs/>
          <w:sz w:val="24"/>
          <w:szCs w:val="24"/>
          <w:lang w:eastAsia="zh-CN"/>
        </w:rPr>
        <w:t>，并</w:t>
      </w:r>
      <w:r>
        <w:rPr>
          <w:rFonts w:hint="eastAsia" w:ascii="黑体" w:hAnsi="黑体" w:eastAsia="黑体" w:cs="黑体"/>
          <w:b/>
          <w:bCs/>
          <w:sz w:val="24"/>
          <w:szCs w:val="24"/>
        </w:rPr>
        <w:t>加盖电子签章</w:t>
      </w:r>
      <w:r>
        <w:rPr>
          <w:rFonts w:hint="eastAsia" w:ascii="黑体" w:hAnsi="黑体" w:eastAsia="黑体" w:cs="黑体"/>
          <w:b/>
          <w:bCs/>
          <w:sz w:val="24"/>
          <w:szCs w:val="24"/>
          <w:lang w:eastAsia="zh-CN"/>
        </w:rPr>
        <w:t>，网址：</w:t>
      </w:r>
      <w:r>
        <w:rPr>
          <w:rFonts w:hint="eastAsia" w:ascii="黑体" w:hAnsi="黑体" w:eastAsia="黑体" w:cs="黑体"/>
          <w:b/>
          <w:bCs/>
          <w:sz w:val="24"/>
          <w:szCs w:val="24"/>
          <w:lang w:eastAsia="zh-CN"/>
        </w:rPr>
        <w:fldChar w:fldCharType="begin"/>
      </w:r>
      <w:r>
        <w:rPr>
          <w:rFonts w:hint="eastAsia" w:ascii="黑体" w:hAnsi="黑体" w:eastAsia="黑体" w:cs="黑体"/>
          <w:b/>
          <w:bCs/>
          <w:sz w:val="24"/>
          <w:szCs w:val="24"/>
          <w:lang w:eastAsia="zh-CN"/>
        </w:rPr>
        <w:instrText xml:space="preserve"> HYPERLINK "http://jszfcg.jsczt.cn/jszc/login。" </w:instrText>
      </w:r>
      <w:r>
        <w:rPr>
          <w:rFonts w:hint="eastAsia" w:ascii="黑体" w:hAnsi="黑体" w:eastAsia="黑体" w:cs="黑体"/>
          <w:b/>
          <w:bCs/>
          <w:sz w:val="24"/>
          <w:szCs w:val="24"/>
          <w:lang w:eastAsia="zh-CN"/>
        </w:rPr>
        <w:fldChar w:fldCharType="separate"/>
      </w:r>
      <w:r>
        <w:rPr>
          <w:rStyle w:val="40"/>
          <w:rFonts w:hint="eastAsia" w:ascii="黑体" w:hAnsi="黑体" w:eastAsia="黑体" w:cs="黑体"/>
          <w:b/>
          <w:bCs/>
          <w:sz w:val="24"/>
          <w:szCs w:val="24"/>
          <w:lang w:eastAsia="zh-CN"/>
        </w:rPr>
        <w:t>http://jszfcg.jsczt.cn/jszc/login。</w:t>
      </w:r>
      <w:r>
        <w:rPr>
          <w:rFonts w:hint="eastAsia" w:ascii="黑体" w:hAnsi="黑体" w:eastAsia="黑体" w:cs="黑体"/>
          <w:b/>
          <w:bCs/>
          <w:sz w:val="24"/>
          <w:szCs w:val="24"/>
          <w:lang w:eastAsia="zh-CN"/>
        </w:rPr>
        <w:fldChar w:fldCharType="end"/>
      </w:r>
    </w:p>
    <w:p w14:paraId="144CDAF5">
      <w:pPr>
        <w:pStyle w:val="193"/>
      </w:pPr>
    </w:p>
    <w:p w14:paraId="6FA9D757">
      <w:pPr>
        <w:pStyle w:val="192"/>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第四部分  合同主要条款、通用条款</w:t>
      </w:r>
      <w:bookmarkEnd w:id="43"/>
      <w:r>
        <w:rPr>
          <w:rFonts w:hint="eastAsia" w:ascii="宋体" w:hAnsi="宋体" w:eastAsia="宋体"/>
          <w:bCs/>
          <w:sz w:val="28"/>
          <w:szCs w:val="28"/>
        </w:rPr>
        <w:t>及合同格式</w:t>
      </w:r>
      <w:bookmarkEnd w:id="45"/>
    </w:p>
    <w:p w14:paraId="714DA832">
      <w:pPr>
        <w:spacing w:line="640" w:lineRule="exact"/>
        <w:ind w:firstLine="472"/>
        <w:rPr>
          <w:rFonts w:hint="eastAsia" w:ascii="宋体" w:hAnsi="宋体"/>
          <w:bCs/>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以下为采购人提出成交后签订本项目合同的主要条款及通用条款，谈判供应商必须实质性响应，成交供应商不得提出实质性的修改，关于专用条款将由采购人与成交供应商结合本项目具体情况协商后签订。</w:t>
      </w:r>
    </w:p>
    <w:p w14:paraId="0EDE64F8">
      <w:pPr>
        <w:spacing w:line="640" w:lineRule="exact"/>
        <w:ind w:firstLine="3871"/>
        <w:rPr>
          <w:rFonts w:hint="eastAsia" w:ascii="宋体" w:hAnsi="宋体" w:eastAsia="宋体"/>
          <w:sz w:val="24"/>
          <w:lang w:val="en-US" w:eastAsia="zh-CN"/>
        </w:rPr>
      </w:pPr>
      <w:r>
        <w:rPr>
          <w:rFonts w:hint="eastAsia" w:ascii="宋体" w:hAnsi="宋体"/>
          <w:sz w:val="24"/>
        </w:rPr>
        <w:t>一、合同主要条款</w:t>
      </w:r>
      <w:r>
        <w:rPr>
          <w:rFonts w:hint="eastAsia" w:ascii="宋体" w:hAnsi="宋体"/>
          <w:sz w:val="24"/>
          <w:lang w:val="en-US" w:eastAsia="zh-CN"/>
        </w:rPr>
        <w:t xml:space="preserve"> </w:t>
      </w:r>
    </w:p>
    <w:p w14:paraId="1FAD768D">
      <w:pPr>
        <w:spacing w:line="480" w:lineRule="auto"/>
        <w:ind w:firstLine="482"/>
        <w:rPr>
          <w:rFonts w:hint="eastAsia" w:ascii="宋体" w:hAnsi="宋体"/>
          <w:b/>
          <w:sz w:val="24"/>
        </w:rPr>
      </w:pPr>
    </w:p>
    <w:p w14:paraId="3A34CA86">
      <w:pPr>
        <w:spacing w:line="480" w:lineRule="auto"/>
        <w:ind w:firstLine="482"/>
        <w:rPr>
          <w:rFonts w:hint="eastAsia" w:ascii="宋体" w:hAnsi="宋体" w:eastAsia="宋体" w:cs="Times New Roman"/>
          <w:sz w:val="24"/>
          <w:szCs w:val="24"/>
          <w:lang w:val="en-US" w:eastAsia="zh-CN" w:bidi="ar-SA"/>
        </w:rPr>
      </w:pPr>
      <w:r>
        <w:rPr>
          <w:rFonts w:hint="eastAsia" w:ascii="宋体" w:hAnsi="宋体"/>
          <w:b/>
          <w:sz w:val="24"/>
        </w:rPr>
        <w:t>1、付款方式：</w:t>
      </w:r>
      <w:r>
        <w:rPr>
          <w:rFonts w:hint="eastAsia" w:ascii="宋体" w:hAnsi="宋体"/>
          <w:b w:val="0"/>
          <w:bCs/>
          <w:sz w:val="24"/>
        </w:rPr>
        <w:t>合同签订，服务完成，提交成果经采购人确认后，最终按实际完成工作量据实结算（不计利息）。技术服务费根据各工作环节实际工作量按中标单价进行价格结算，成交供应商需提供详细清单及附件，佐证相关技术服务费用组成</w:t>
      </w:r>
      <w:r>
        <w:rPr>
          <w:rFonts w:hint="eastAsia" w:ascii="宋体" w:hAnsi="宋体"/>
          <w:b w:val="0"/>
          <w:bCs/>
          <w:sz w:val="24"/>
          <w:lang w:eastAsia="zh-CN"/>
        </w:rPr>
        <w:t>；</w:t>
      </w:r>
    </w:p>
    <w:p w14:paraId="6A8CB6B2">
      <w:pPr>
        <w:spacing w:line="480" w:lineRule="auto"/>
        <w:ind w:firstLine="482"/>
        <w:rPr>
          <w:rFonts w:hint="eastAsia" w:ascii="宋体" w:hAnsi="宋体" w:eastAsia="宋体" w:cs="Times New Roman"/>
          <w:sz w:val="24"/>
          <w:szCs w:val="24"/>
          <w:lang w:val="zh-CN" w:eastAsia="zh-CN" w:bidi="ar-SA"/>
        </w:rPr>
      </w:pPr>
      <w:r>
        <w:rPr>
          <w:rFonts w:hint="eastAsia" w:ascii="宋体" w:hAnsi="宋体"/>
          <w:b/>
          <w:sz w:val="24"/>
        </w:rPr>
        <w:t>2、履约时间：</w:t>
      </w:r>
      <w:r>
        <w:rPr>
          <w:rFonts w:hint="eastAsia" w:ascii="宋体" w:hAnsi="宋体"/>
          <w:b w:val="0"/>
          <w:bCs/>
          <w:sz w:val="24"/>
        </w:rPr>
        <w:t xml:space="preserve"> 自合同签订之日起</w:t>
      </w:r>
      <w:r>
        <w:rPr>
          <w:rFonts w:hint="eastAsia" w:ascii="宋体" w:hAnsi="宋体"/>
          <w:b w:val="0"/>
          <w:bCs/>
          <w:sz w:val="24"/>
          <w:lang w:val="en-US" w:eastAsia="zh-CN"/>
        </w:rPr>
        <w:t>6个月内（具体时间根据甲方实际要求）</w:t>
      </w:r>
      <w:r>
        <w:rPr>
          <w:rFonts w:hint="eastAsia" w:ascii="宋体" w:hAnsi="宋体"/>
          <w:b w:val="0"/>
          <w:bCs/>
          <w:sz w:val="24"/>
          <w:lang w:eastAsia="zh-CN"/>
        </w:rPr>
        <w:t>；</w:t>
      </w:r>
    </w:p>
    <w:p w14:paraId="5A934668">
      <w:pPr>
        <w:spacing w:line="480" w:lineRule="auto"/>
        <w:ind w:firstLine="482"/>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b/>
          <w:sz w:val="24"/>
        </w:rPr>
        <w:t>3、</w:t>
      </w:r>
      <w:r>
        <w:rPr>
          <w:rFonts w:hint="eastAsia" w:ascii="宋体" w:hAnsi="宋体"/>
          <w:b/>
          <w:sz w:val="24"/>
          <w:lang w:val="en-US" w:eastAsia="zh-CN"/>
        </w:rPr>
        <w:t>履约地点：</w:t>
      </w:r>
      <w:r>
        <w:rPr>
          <w:rFonts w:hint="eastAsia" w:ascii="宋体" w:hAnsi="宋体"/>
          <w:b w:val="0"/>
          <w:bCs/>
          <w:sz w:val="24"/>
          <w:lang w:val="en-US" w:eastAsia="zh-CN"/>
        </w:rPr>
        <w:t>涟水县16个镇（街道）：陈师街道、保滩街道、涟城街道、朱码街道、成集镇、梁岔镇、高沟镇、岔庙镇、红窑镇、五港镇、大东镇、东胡集镇、南集镇、黄营镇、石湖镇、唐集镇等镇（街）。</w:t>
      </w:r>
    </w:p>
    <w:p w14:paraId="6AC297EF">
      <w:pPr>
        <w:spacing w:line="360" w:lineRule="auto"/>
        <w:rPr>
          <w:rFonts w:hint="eastAsia" w:ascii="宋体" w:hAnsi="宋体" w:eastAsia="宋体" w:cs="Times New Roman"/>
          <w:sz w:val="24"/>
        </w:rPr>
      </w:pPr>
    </w:p>
    <w:p w14:paraId="697B5795">
      <w:pPr>
        <w:pStyle w:val="3"/>
        <w:rPr>
          <w:rFonts w:hint="eastAsia" w:ascii="宋体" w:hAnsi="宋体" w:eastAsia="宋体" w:cs="Times New Roman"/>
          <w:sz w:val="24"/>
        </w:rPr>
      </w:pPr>
    </w:p>
    <w:p w14:paraId="18CC6551">
      <w:pPr>
        <w:rPr>
          <w:rFonts w:hint="eastAsia" w:ascii="宋体" w:hAnsi="宋体" w:eastAsia="宋体" w:cs="Times New Roman"/>
          <w:sz w:val="24"/>
        </w:rPr>
      </w:pPr>
    </w:p>
    <w:p w14:paraId="67E6B43A">
      <w:pPr>
        <w:pStyle w:val="3"/>
        <w:rPr>
          <w:rFonts w:hint="eastAsia" w:ascii="宋体" w:hAnsi="宋体" w:eastAsia="宋体" w:cs="Times New Roman"/>
          <w:sz w:val="24"/>
        </w:rPr>
      </w:pPr>
    </w:p>
    <w:p w14:paraId="7B7C2F3D">
      <w:pPr>
        <w:rPr>
          <w:rFonts w:hint="eastAsia" w:ascii="宋体" w:hAnsi="宋体" w:eastAsia="宋体" w:cs="Times New Roman"/>
          <w:sz w:val="24"/>
        </w:rPr>
      </w:pPr>
    </w:p>
    <w:p w14:paraId="068352B3">
      <w:pPr>
        <w:pStyle w:val="3"/>
        <w:rPr>
          <w:rFonts w:hint="eastAsia" w:ascii="宋体" w:hAnsi="宋体" w:eastAsia="宋体" w:cs="Times New Roman"/>
          <w:sz w:val="24"/>
        </w:rPr>
      </w:pPr>
    </w:p>
    <w:p w14:paraId="744A2C06">
      <w:pPr>
        <w:rPr>
          <w:rFonts w:hint="eastAsia" w:ascii="宋体" w:hAnsi="宋体" w:eastAsia="宋体" w:cs="Times New Roman"/>
          <w:sz w:val="24"/>
        </w:rPr>
      </w:pPr>
    </w:p>
    <w:p w14:paraId="70F0D82D">
      <w:pPr>
        <w:rPr>
          <w:rFonts w:hint="eastAsia"/>
        </w:rPr>
      </w:pPr>
    </w:p>
    <w:p w14:paraId="108630E5">
      <w:pPr>
        <w:rPr>
          <w:rFonts w:hint="eastAsia"/>
        </w:rPr>
      </w:pPr>
    </w:p>
    <w:p w14:paraId="6E9CB81E">
      <w:pPr>
        <w:spacing w:line="640" w:lineRule="exact"/>
        <w:ind w:firstLine="480"/>
        <w:jc w:val="center"/>
        <w:rPr>
          <w:rFonts w:hint="eastAsia" w:ascii="宋体" w:hAnsi="宋体"/>
          <w:sz w:val="24"/>
        </w:rPr>
      </w:pPr>
      <w:r>
        <w:rPr>
          <w:rFonts w:hint="eastAsia" w:ascii="宋体" w:hAnsi="宋体"/>
          <w:sz w:val="24"/>
        </w:rPr>
        <w:t>二、合同通用条款</w:t>
      </w:r>
    </w:p>
    <w:p w14:paraId="01F4C342">
      <w:pPr>
        <w:spacing w:line="520" w:lineRule="exact"/>
        <w:rPr>
          <w:rFonts w:hint="eastAsia" w:ascii="宋体" w:hAnsi="宋体"/>
          <w:sz w:val="24"/>
        </w:rPr>
      </w:pPr>
      <w:r>
        <w:rPr>
          <w:rFonts w:hint="eastAsia" w:ascii="宋体" w:hAnsi="宋体"/>
          <w:sz w:val="24"/>
        </w:rPr>
        <w:t>1.定义</w:t>
      </w:r>
    </w:p>
    <w:p w14:paraId="71A59D57">
      <w:pPr>
        <w:spacing w:line="520" w:lineRule="exact"/>
        <w:ind w:firstLine="660"/>
        <w:rPr>
          <w:rFonts w:hint="eastAsia" w:ascii="宋体" w:hAnsi="宋体"/>
          <w:sz w:val="24"/>
        </w:rPr>
      </w:pPr>
      <w:r>
        <w:rPr>
          <w:rFonts w:hint="eastAsia" w:ascii="宋体" w:hAnsi="宋体"/>
          <w:sz w:val="24"/>
        </w:rPr>
        <w:t>本合同中下列术语应解释为：</w:t>
      </w:r>
    </w:p>
    <w:p w14:paraId="36BECBC0">
      <w:pPr>
        <w:spacing w:line="520" w:lineRule="exact"/>
        <w:ind w:firstLine="660"/>
        <w:rPr>
          <w:rFonts w:hint="eastAsia" w:ascii="宋体" w:hAnsi="宋体"/>
          <w:sz w:val="24"/>
        </w:rPr>
      </w:pPr>
      <w:r>
        <w:rPr>
          <w:rFonts w:hint="eastAsia" w:ascii="宋体" w:hAnsi="宋体"/>
          <w:sz w:val="24"/>
        </w:rPr>
        <w:t>（1）“合同”系指甲方和乙方（以下简称合同双方）签署的、合同格式中列明的合同双方所达成的协议，包括所有的附件、附录和构成合同的所有文件。</w:t>
      </w:r>
    </w:p>
    <w:p w14:paraId="4C193FB5">
      <w:pPr>
        <w:spacing w:line="520" w:lineRule="exact"/>
        <w:ind w:firstLine="660"/>
        <w:rPr>
          <w:rFonts w:hint="eastAsia" w:ascii="宋体" w:hAnsi="宋体"/>
          <w:sz w:val="24"/>
        </w:rPr>
      </w:pPr>
      <w:r>
        <w:rPr>
          <w:rFonts w:hint="eastAsia" w:ascii="宋体" w:hAnsi="宋体"/>
          <w:sz w:val="24"/>
        </w:rPr>
        <w:t>（2）“合同价”系指根据合同规定，乙方在完全履行合同义务后甲方应支付给乙方的价格。</w:t>
      </w:r>
    </w:p>
    <w:p w14:paraId="6108F213">
      <w:pPr>
        <w:spacing w:line="520" w:lineRule="exact"/>
        <w:ind w:firstLine="660"/>
        <w:rPr>
          <w:rFonts w:hint="eastAsia" w:ascii="宋体" w:hAnsi="宋体"/>
          <w:sz w:val="24"/>
        </w:rPr>
      </w:pPr>
      <w:r>
        <w:rPr>
          <w:rFonts w:hint="eastAsia" w:ascii="宋体" w:hAnsi="宋体"/>
          <w:sz w:val="24"/>
        </w:rPr>
        <w:t>（3）“货物（含软件及相关服务）”系指乙方按合同要求，须向甲方提供的一切设备、机械、仪表、备件、工具、技术及手册等有关材料。</w:t>
      </w:r>
    </w:p>
    <w:p w14:paraId="5BFADCA9">
      <w:pPr>
        <w:spacing w:line="520" w:lineRule="exact"/>
        <w:ind w:firstLine="660"/>
        <w:rPr>
          <w:rFonts w:hint="eastAsia" w:ascii="宋体" w:hAnsi="宋体"/>
          <w:sz w:val="24"/>
        </w:rPr>
      </w:pPr>
      <w:r>
        <w:rPr>
          <w:rFonts w:hint="eastAsia" w:ascii="宋体" w:hAnsi="宋体"/>
          <w:sz w:val="24"/>
        </w:rPr>
        <w:t>（4）“服务”系指根据合同规定乙方承担与供货有关的所有辅助服务，如运输、保险以及其它的服务，如安装、调试、提供技术援助、培训和其他类似的义务。</w:t>
      </w:r>
    </w:p>
    <w:p w14:paraId="06AA948C">
      <w:pPr>
        <w:spacing w:line="520" w:lineRule="exact"/>
        <w:ind w:firstLine="660"/>
        <w:rPr>
          <w:rFonts w:hint="eastAsia" w:ascii="宋体" w:hAnsi="宋体"/>
          <w:sz w:val="24"/>
        </w:rPr>
      </w:pPr>
      <w:r>
        <w:rPr>
          <w:rFonts w:hint="eastAsia" w:ascii="宋体" w:hAnsi="宋体"/>
          <w:sz w:val="24"/>
        </w:rPr>
        <w:t>（5）“甲方”系指购买货物（含软件及相关服务）的单位。</w:t>
      </w:r>
    </w:p>
    <w:p w14:paraId="3F1FD288">
      <w:pPr>
        <w:spacing w:line="520" w:lineRule="exact"/>
        <w:ind w:firstLine="660"/>
        <w:rPr>
          <w:rFonts w:hint="eastAsia" w:ascii="宋体" w:hAnsi="宋体"/>
          <w:sz w:val="24"/>
        </w:rPr>
      </w:pPr>
      <w:r>
        <w:rPr>
          <w:rFonts w:hint="eastAsia" w:ascii="宋体" w:hAnsi="宋体"/>
          <w:sz w:val="24"/>
        </w:rPr>
        <w:t>（6）“乙方”系指根据合同规定提供货物（含软件及相关服务）和服务的供应商。</w:t>
      </w:r>
    </w:p>
    <w:p w14:paraId="70DA5800">
      <w:pPr>
        <w:spacing w:line="520" w:lineRule="exact"/>
        <w:ind w:firstLine="660"/>
        <w:rPr>
          <w:rFonts w:hint="eastAsia" w:ascii="宋体" w:hAnsi="宋体"/>
          <w:sz w:val="24"/>
        </w:rPr>
      </w:pPr>
      <w:r>
        <w:rPr>
          <w:rFonts w:hint="eastAsia" w:ascii="宋体" w:hAnsi="宋体"/>
          <w:sz w:val="24"/>
        </w:rPr>
        <w:t>（7）“监管部门”系指</w:t>
      </w:r>
      <w:r>
        <w:rPr>
          <w:rFonts w:hint="eastAsia" w:ascii="宋体" w:hAnsi="宋体"/>
          <w:sz w:val="24"/>
          <w:lang w:val="en-US" w:eastAsia="zh-CN"/>
        </w:rPr>
        <w:t>涟水县</w:t>
      </w:r>
      <w:r>
        <w:rPr>
          <w:rFonts w:hint="eastAsia" w:ascii="宋体" w:hAnsi="宋体"/>
          <w:sz w:val="24"/>
        </w:rPr>
        <w:t>数据局。</w:t>
      </w:r>
    </w:p>
    <w:p w14:paraId="1C03C411">
      <w:pPr>
        <w:spacing w:line="520" w:lineRule="exact"/>
        <w:rPr>
          <w:rFonts w:hint="eastAsia" w:ascii="宋体" w:hAnsi="宋体"/>
          <w:bCs/>
          <w:sz w:val="24"/>
        </w:rPr>
      </w:pPr>
      <w:r>
        <w:rPr>
          <w:rFonts w:hint="eastAsia" w:ascii="宋体" w:hAnsi="宋体"/>
          <w:bCs/>
          <w:sz w:val="24"/>
        </w:rPr>
        <w:t>2.技术规范</w:t>
      </w:r>
    </w:p>
    <w:p w14:paraId="32E906B0">
      <w:pPr>
        <w:spacing w:line="520" w:lineRule="exact"/>
        <w:ind w:firstLine="660"/>
        <w:rPr>
          <w:rFonts w:hint="eastAsia" w:ascii="宋体" w:hAnsi="宋体"/>
          <w:sz w:val="24"/>
        </w:rPr>
      </w:pPr>
      <w:r>
        <w:rPr>
          <w:rFonts w:hint="eastAsia" w:ascii="宋体" w:hAnsi="宋体"/>
          <w:sz w:val="24"/>
        </w:rPr>
        <w:t>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p>
    <w:p w14:paraId="49120E93">
      <w:pPr>
        <w:spacing w:line="520" w:lineRule="exact"/>
        <w:rPr>
          <w:rFonts w:hint="eastAsia" w:ascii="宋体" w:hAnsi="宋体"/>
          <w:sz w:val="24"/>
        </w:rPr>
      </w:pPr>
      <w:r>
        <w:rPr>
          <w:rFonts w:hint="eastAsia" w:ascii="宋体" w:hAnsi="宋体"/>
          <w:sz w:val="24"/>
        </w:rPr>
        <w:t>3.专利权</w:t>
      </w:r>
    </w:p>
    <w:p w14:paraId="7F7ECD64">
      <w:pPr>
        <w:spacing w:line="520" w:lineRule="exact"/>
        <w:ind w:firstLine="660"/>
        <w:rPr>
          <w:rFonts w:hint="eastAsia" w:ascii="宋体" w:hAnsi="宋体"/>
          <w:sz w:val="24"/>
        </w:rPr>
      </w:pPr>
      <w:r>
        <w:rPr>
          <w:rFonts w:hint="eastAsia" w:ascii="宋体" w:hAnsi="宋体"/>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29F5D754">
      <w:pPr>
        <w:spacing w:line="520" w:lineRule="exact"/>
        <w:rPr>
          <w:rFonts w:hint="eastAsia" w:ascii="宋体" w:hAnsi="宋体"/>
          <w:sz w:val="24"/>
        </w:rPr>
      </w:pPr>
      <w:r>
        <w:rPr>
          <w:rFonts w:hint="eastAsia" w:ascii="宋体" w:hAnsi="宋体"/>
          <w:sz w:val="24"/>
        </w:rPr>
        <w:t>4.包装要求</w:t>
      </w:r>
    </w:p>
    <w:p w14:paraId="3341E17C">
      <w:pPr>
        <w:spacing w:line="520" w:lineRule="exact"/>
        <w:ind w:firstLine="660"/>
        <w:rPr>
          <w:rFonts w:hint="eastAsia" w:ascii="宋体" w:hAnsi="宋体" w:eastAsia="宋体" w:cs="Times New Roman"/>
          <w:sz w:val="24"/>
        </w:rPr>
      </w:pPr>
      <w:r>
        <w:rPr>
          <w:rFonts w:hint="eastAsia" w:ascii="宋体" w:hAnsi="宋体" w:eastAsia="宋体" w:cs="Times New Roman"/>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p>
    <w:p w14:paraId="4CFECBF8">
      <w:pPr>
        <w:spacing w:line="520" w:lineRule="exact"/>
        <w:ind w:firstLine="660"/>
        <w:rPr>
          <w:rFonts w:hint="eastAsia" w:ascii="宋体" w:hAnsi="宋体" w:eastAsia="宋体" w:cs="Times New Roman"/>
          <w:sz w:val="24"/>
        </w:rPr>
      </w:pPr>
      <w:r>
        <w:rPr>
          <w:rFonts w:hint="eastAsia" w:ascii="宋体" w:hAnsi="宋体" w:eastAsia="宋体" w:cs="Times New Roman"/>
          <w:sz w:val="24"/>
        </w:rPr>
        <w:t xml:space="preserve">4.2 每件包装箱内应附一份详细装箱单和质量合格标识。 </w:t>
      </w:r>
    </w:p>
    <w:p w14:paraId="6A7F90AF">
      <w:pPr>
        <w:spacing w:line="520" w:lineRule="exact"/>
        <w:ind w:firstLine="660"/>
        <w:rPr>
          <w:rFonts w:hint="eastAsia" w:ascii="宋体" w:hAnsi="宋体" w:eastAsia="宋体" w:cs="Times New Roman"/>
          <w:sz w:val="24"/>
        </w:rPr>
      </w:pPr>
      <w:r>
        <w:rPr>
          <w:rFonts w:hint="eastAsia" w:ascii="宋体" w:hAnsi="宋体" w:eastAsia="宋体" w:cs="Times New Roman"/>
          <w:sz w:val="24"/>
        </w:rPr>
        <w:t>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宋体" w:hAnsi="宋体" w:cs="Times New Roman"/>
          <w:sz w:val="24"/>
          <w:lang w:eastAsia="zh-CN"/>
        </w:rPr>
        <w:t>能</w:t>
      </w:r>
      <w:r>
        <w:rPr>
          <w:rFonts w:hint="eastAsia" w:ascii="宋体" w:hAnsi="宋体" w:eastAsia="宋体" w:cs="Times New Roman"/>
          <w:sz w:val="24"/>
        </w:rPr>
        <w:t>做到低碳物流、环保节约、提高资源利用率。</w:t>
      </w:r>
    </w:p>
    <w:p w14:paraId="065161EC">
      <w:pPr>
        <w:spacing w:line="520" w:lineRule="exact"/>
        <w:rPr>
          <w:rFonts w:hint="eastAsia" w:ascii="宋体" w:hAnsi="宋体"/>
          <w:sz w:val="24"/>
        </w:rPr>
      </w:pPr>
      <w:r>
        <w:rPr>
          <w:rFonts w:hint="eastAsia" w:ascii="宋体" w:hAnsi="宋体"/>
          <w:sz w:val="24"/>
        </w:rPr>
        <w:t>5.装运标志</w:t>
      </w:r>
    </w:p>
    <w:p w14:paraId="1EED3484">
      <w:pPr>
        <w:spacing w:line="520" w:lineRule="exact"/>
        <w:ind w:firstLine="660"/>
        <w:rPr>
          <w:rFonts w:hint="eastAsia" w:ascii="宋体" w:hAnsi="宋体" w:eastAsia="宋体" w:cs="Times New Roman"/>
          <w:sz w:val="24"/>
        </w:rPr>
      </w:pPr>
      <w:r>
        <w:rPr>
          <w:rFonts w:hint="eastAsia" w:ascii="宋体" w:hAnsi="宋体" w:eastAsia="宋体" w:cs="Times New Roman"/>
          <w:sz w:val="24"/>
        </w:rPr>
        <w:t>5.1 根据采购人指定地点，卖方负责安排运输，运输费由卖方承担。</w:t>
      </w:r>
    </w:p>
    <w:p w14:paraId="156AD561">
      <w:pPr>
        <w:spacing w:line="520" w:lineRule="exact"/>
        <w:rPr>
          <w:rFonts w:hint="eastAsia" w:ascii="宋体" w:hAnsi="宋体"/>
          <w:sz w:val="24"/>
        </w:rPr>
      </w:pPr>
      <w:r>
        <w:rPr>
          <w:rFonts w:hint="eastAsia" w:ascii="宋体" w:hAnsi="宋体"/>
          <w:sz w:val="24"/>
        </w:rPr>
        <w:t>6.付款方式</w:t>
      </w:r>
    </w:p>
    <w:p w14:paraId="1C878487">
      <w:pPr>
        <w:spacing w:line="520" w:lineRule="exact"/>
        <w:ind w:firstLine="660"/>
        <w:rPr>
          <w:rFonts w:hint="eastAsia" w:ascii="宋体" w:hAnsi="宋体"/>
          <w:sz w:val="24"/>
        </w:rPr>
      </w:pPr>
      <w:r>
        <w:rPr>
          <w:rFonts w:hint="eastAsia" w:ascii="宋体" w:hAnsi="宋体"/>
          <w:sz w:val="24"/>
        </w:rPr>
        <w:t>6.1本合同以人民币付款。</w:t>
      </w:r>
    </w:p>
    <w:p w14:paraId="404B4C87">
      <w:pPr>
        <w:spacing w:line="520" w:lineRule="exact"/>
        <w:ind w:firstLine="660"/>
        <w:rPr>
          <w:rFonts w:hint="eastAsia" w:ascii="宋体" w:hAnsi="宋体"/>
          <w:sz w:val="24"/>
        </w:rPr>
      </w:pPr>
      <w:r>
        <w:rPr>
          <w:rFonts w:hint="eastAsia" w:ascii="宋体" w:hAnsi="宋体"/>
          <w:sz w:val="24"/>
        </w:rPr>
        <w:t>6.2乙方应按照与甲方签订的合同规定交货。交货后乙方向甲方提供下列单据，甲方按合同规定审核后付款：</w:t>
      </w:r>
    </w:p>
    <w:p w14:paraId="5834C4E2">
      <w:pPr>
        <w:spacing w:line="520" w:lineRule="exact"/>
        <w:ind w:firstLine="660"/>
        <w:rPr>
          <w:rFonts w:hint="eastAsia" w:ascii="宋体" w:hAnsi="宋体"/>
          <w:sz w:val="24"/>
        </w:rPr>
      </w:pPr>
      <w:r>
        <w:rPr>
          <w:rFonts w:hint="eastAsia" w:ascii="宋体" w:hAnsi="宋体"/>
          <w:sz w:val="24"/>
        </w:rPr>
        <w:t>（1）发票；</w:t>
      </w:r>
    </w:p>
    <w:p w14:paraId="1B4F7FEB">
      <w:pPr>
        <w:spacing w:line="520" w:lineRule="exact"/>
        <w:ind w:firstLine="660"/>
        <w:rPr>
          <w:rFonts w:hint="eastAsia" w:ascii="宋体" w:hAnsi="宋体"/>
          <w:sz w:val="24"/>
        </w:rPr>
      </w:pPr>
      <w:r>
        <w:rPr>
          <w:rFonts w:hint="eastAsia" w:ascii="宋体" w:hAnsi="宋体"/>
          <w:sz w:val="24"/>
        </w:rPr>
        <w:t>（2）制造厂家出具的质量检验证书等；</w:t>
      </w:r>
    </w:p>
    <w:p w14:paraId="6E83918D">
      <w:pPr>
        <w:spacing w:line="520" w:lineRule="exact"/>
        <w:ind w:firstLine="660"/>
        <w:rPr>
          <w:rFonts w:hint="eastAsia" w:ascii="宋体" w:hAnsi="宋体"/>
          <w:sz w:val="24"/>
        </w:rPr>
      </w:pPr>
      <w:r>
        <w:rPr>
          <w:rFonts w:hint="eastAsia" w:ascii="宋体" w:hAnsi="宋体"/>
          <w:sz w:val="24"/>
        </w:rPr>
        <w:t>（3）装箱单；</w:t>
      </w:r>
    </w:p>
    <w:p w14:paraId="3F379BC2">
      <w:pPr>
        <w:spacing w:line="520" w:lineRule="exact"/>
        <w:ind w:firstLine="660"/>
        <w:rPr>
          <w:rFonts w:hint="eastAsia" w:ascii="宋体" w:hAnsi="宋体"/>
          <w:sz w:val="24"/>
        </w:rPr>
      </w:pPr>
      <w:r>
        <w:rPr>
          <w:rFonts w:hint="eastAsia" w:ascii="宋体" w:hAnsi="宋体"/>
          <w:sz w:val="24"/>
        </w:rPr>
        <w:t>（4）验收合格证；</w:t>
      </w:r>
    </w:p>
    <w:p w14:paraId="48344C59">
      <w:pPr>
        <w:spacing w:line="520" w:lineRule="exact"/>
        <w:ind w:firstLine="660"/>
        <w:rPr>
          <w:rFonts w:hint="eastAsia" w:ascii="宋体" w:hAnsi="宋体"/>
          <w:sz w:val="24"/>
        </w:rPr>
      </w:pPr>
      <w:r>
        <w:rPr>
          <w:rFonts w:hint="eastAsia" w:ascii="宋体" w:hAnsi="宋体"/>
          <w:sz w:val="24"/>
        </w:rPr>
        <w:t>（5）使用方加盖</w:t>
      </w:r>
      <w:r>
        <w:rPr>
          <w:rFonts w:hint="eastAsia" w:ascii="宋体" w:hAnsi="宋体"/>
          <w:sz w:val="24"/>
          <w:lang w:eastAsia="zh-CN"/>
        </w:rPr>
        <w:t>电子签章</w:t>
      </w:r>
      <w:r>
        <w:rPr>
          <w:rFonts w:hint="eastAsia" w:ascii="宋体" w:hAnsi="宋体"/>
          <w:sz w:val="24"/>
        </w:rPr>
        <w:t>证明货物交付使用合格的验收表。</w:t>
      </w:r>
    </w:p>
    <w:p w14:paraId="70855E90">
      <w:pPr>
        <w:spacing w:line="520" w:lineRule="exact"/>
        <w:ind w:firstLine="660"/>
        <w:rPr>
          <w:rFonts w:hint="eastAsia" w:ascii="宋体" w:hAnsi="宋体"/>
          <w:sz w:val="24"/>
        </w:rPr>
      </w:pPr>
      <w:r>
        <w:rPr>
          <w:rFonts w:hint="eastAsia" w:ascii="宋体" w:hAnsi="宋体"/>
          <w:sz w:val="24"/>
        </w:rPr>
        <w:t>6.3甲方将按“合同主要条款及通用条款”规定的付款计划安排付款。</w:t>
      </w:r>
    </w:p>
    <w:p w14:paraId="4A658C02">
      <w:pPr>
        <w:spacing w:line="520" w:lineRule="exact"/>
        <w:rPr>
          <w:rFonts w:hint="eastAsia" w:ascii="宋体" w:hAnsi="宋体"/>
          <w:sz w:val="24"/>
        </w:rPr>
      </w:pPr>
      <w:r>
        <w:rPr>
          <w:rFonts w:hint="eastAsia" w:ascii="宋体" w:hAnsi="宋体"/>
          <w:sz w:val="24"/>
        </w:rPr>
        <w:t>7.伴随服务</w:t>
      </w:r>
    </w:p>
    <w:p w14:paraId="0B62C70D">
      <w:pPr>
        <w:spacing w:line="520" w:lineRule="exact"/>
        <w:ind w:firstLine="660"/>
        <w:rPr>
          <w:rFonts w:hint="eastAsia" w:ascii="宋体" w:hAnsi="宋体"/>
          <w:sz w:val="24"/>
        </w:rPr>
      </w:pPr>
      <w:r>
        <w:rPr>
          <w:rFonts w:hint="eastAsia" w:ascii="宋体" w:hAnsi="宋体"/>
          <w:sz w:val="24"/>
        </w:rPr>
        <w:t>7.1乙方应按照国家有关规定和合同中所附的服务承诺提供服务。</w:t>
      </w:r>
    </w:p>
    <w:p w14:paraId="3B531F85">
      <w:pPr>
        <w:spacing w:line="520" w:lineRule="exact"/>
        <w:ind w:firstLine="660"/>
        <w:rPr>
          <w:rFonts w:hint="eastAsia" w:ascii="宋体" w:hAnsi="宋体"/>
          <w:sz w:val="24"/>
        </w:rPr>
      </w:pPr>
      <w:r>
        <w:rPr>
          <w:rFonts w:hint="eastAsia" w:ascii="宋体" w:hAnsi="宋体"/>
          <w:sz w:val="24"/>
        </w:rPr>
        <w:t>7.2除第7.1条规定外，乙方还应提供下列服务：</w:t>
      </w:r>
    </w:p>
    <w:p w14:paraId="24147B91">
      <w:pPr>
        <w:spacing w:line="520" w:lineRule="exact"/>
        <w:ind w:firstLine="660"/>
        <w:rPr>
          <w:rFonts w:hint="eastAsia" w:ascii="宋体" w:hAnsi="宋体"/>
          <w:sz w:val="24"/>
        </w:rPr>
      </w:pPr>
      <w:r>
        <w:rPr>
          <w:rFonts w:hint="eastAsia" w:ascii="宋体" w:hAnsi="宋体"/>
          <w:sz w:val="24"/>
        </w:rPr>
        <w:t>（1）货物的现场安装和启动监督；</w:t>
      </w:r>
    </w:p>
    <w:p w14:paraId="2BBC85A8">
      <w:pPr>
        <w:spacing w:line="520" w:lineRule="exact"/>
        <w:ind w:firstLine="660"/>
        <w:rPr>
          <w:rFonts w:hint="eastAsia" w:ascii="宋体" w:hAnsi="宋体"/>
          <w:sz w:val="24"/>
        </w:rPr>
      </w:pPr>
      <w:r>
        <w:rPr>
          <w:rFonts w:hint="eastAsia" w:ascii="宋体" w:hAnsi="宋体"/>
          <w:sz w:val="24"/>
        </w:rPr>
        <w:t>（2）提供货物组装和维修所需的工具；</w:t>
      </w:r>
    </w:p>
    <w:p w14:paraId="79D84A55">
      <w:pPr>
        <w:spacing w:line="520" w:lineRule="exact"/>
        <w:ind w:firstLine="660"/>
        <w:rPr>
          <w:rFonts w:hint="eastAsia" w:ascii="宋体" w:hAnsi="宋体"/>
          <w:sz w:val="24"/>
        </w:rPr>
      </w:pPr>
      <w:r>
        <w:rPr>
          <w:rFonts w:hint="eastAsia" w:ascii="宋体" w:hAnsi="宋体"/>
          <w:sz w:val="24"/>
        </w:rPr>
        <w:t>（3）在合同中乙方承诺的期限内对所提供货物实施运行监督、维修，但前提条件是该服务并不能免除乙方在质量保证期内应承担的义务；</w:t>
      </w:r>
    </w:p>
    <w:p w14:paraId="06546D9C">
      <w:pPr>
        <w:spacing w:line="520" w:lineRule="exact"/>
        <w:ind w:firstLine="660"/>
        <w:rPr>
          <w:rFonts w:hint="eastAsia" w:ascii="宋体" w:hAnsi="宋体"/>
          <w:sz w:val="24"/>
        </w:rPr>
      </w:pPr>
      <w:r>
        <w:rPr>
          <w:rFonts w:hint="eastAsia" w:ascii="宋体" w:hAnsi="宋体"/>
          <w:sz w:val="24"/>
        </w:rPr>
        <w:t>（4）在项目交货现场就货物的安装、启动、运行、维护对甲方人员进行培训。</w:t>
      </w:r>
    </w:p>
    <w:p w14:paraId="0CEC5A71">
      <w:pPr>
        <w:spacing w:line="520" w:lineRule="exact"/>
        <w:ind w:firstLine="660"/>
        <w:rPr>
          <w:rFonts w:hint="eastAsia" w:ascii="宋体" w:hAnsi="宋体"/>
          <w:sz w:val="24"/>
        </w:rPr>
      </w:pPr>
      <w:r>
        <w:rPr>
          <w:rFonts w:hint="eastAsia" w:ascii="宋体" w:hAnsi="宋体"/>
          <w:sz w:val="24"/>
        </w:rPr>
        <w:t>7.3伴随服务的费用应含在合同价中，不单独进行支付。</w:t>
      </w:r>
    </w:p>
    <w:p w14:paraId="511F0AD6">
      <w:pPr>
        <w:spacing w:line="520" w:lineRule="exact"/>
        <w:rPr>
          <w:rFonts w:hint="eastAsia" w:ascii="宋体" w:hAnsi="宋体"/>
          <w:sz w:val="24"/>
        </w:rPr>
      </w:pPr>
      <w:r>
        <w:rPr>
          <w:rFonts w:hint="eastAsia" w:ascii="宋体" w:hAnsi="宋体"/>
          <w:sz w:val="24"/>
        </w:rPr>
        <w:t>8.质量保证</w:t>
      </w:r>
    </w:p>
    <w:p w14:paraId="5439E13A">
      <w:pPr>
        <w:spacing w:line="520" w:lineRule="exact"/>
        <w:ind w:firstLine="658"/>
        <w:rPr>
          <w:rFonts w:hint="eastAsia" w:ascii="宋体" w:hAnsi="宋体"/>
          <w:sz w:val="24"/>
        </w:rPr>
      </w:pPr>
      <w:r>
        <w:rPr>
          <w:rFonts w:hint="eastAsia" w:ascii="宋体" w:hAnsi="宋体"/>
          <w:sz w:val="24"/>
        </w:rPr>
        <w:t>8</w:t>
      </w:r>
      <w:r>
        <w:rPr>
          <w:rFonts w:ascii="宋体" w:hAnsi="宋体"/>
          <w:sz w:val="24"/>
        </w:rPr>
        <w:t xml:space="preserve">.l </w:t>
      </w:r>
      <w:r>
        <w:rPr>
          <w:rFonts w:hint="eastAsia" w:ascii="宋体" w:hAnsi="宋体"/>
          <w:sz w:val="24"/>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p>
    <w:p w14:paraId="1762E2FB">
      <w:pPr>
        <w:spacing w:line="520" w:lineRule="exact"/>
        <w:ind w:firstLine="658"/>
        <w:rPr>
          <w:rFonts w:hint="eastAsia" w:ascii="宋体" w:hAnsi="宋体"/>
          <w:sz w:val="24"/>
        </w:rPr>
      </w:pPr>
      <w:r>
        <w:rPr>
          <w:rFonts w:hint="eastAsia" w:ascii="宋体" w:hAnsi="宋体"/>
          <w:sz w:val="24"/>
        </w:rPr>
        <w:t>8</w:t>
      </w:r>
      <w:r>
        <w:rPr>
          <w:rFonts w:ascii="宋体" w:hAnsi="宋体"/>
          <w:sz w:val="24"/>
        </w:rPr>
        <w:t xml:space="preserve">.2 </w:t>
      </w:r>
      <w:r>
        <w:rPr>
          <w:rFonts w:hint="eastAsia" w:ascii="宋体" w:hAnsi="宋体"/>
          <w:sz w:val="24"/>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p>
    <w:p w14:paraId="7DC28F2F">
      <w:pPr>
        <w:spacing w:line="520" w:lineRule="exact"/>
        <w:ind w:firstLine="658"/>
        <w:rPr>
          <w:rFonts w:hint="eastAsia" w:ascii="宋体" w:hAnsi="宋体"/>
          <w:sz w:val="24"/>
        </w:rPr>
      </w:pPr>
      <w:r>
        <w:rPr>
          <w:rFonts w:hint="eastAsia" w:ascii="宋体" w:hAnsi="宋体"/>
          <w:sz w:val="24"/>
        </w:rPr>
        <w:t>8</w:t>
      </w:r>
      <w:r>
        <w:rPr>
          <w:rFonts w:ascii="宋体" w:hAnsi="宋体"/>
          <w:sz w:val="24"/>
        </w:rPr>
        <w:t xml:space="preserve">.3 </w:t>
      </w:r>
      <w:r>
        <w:rPr>
          <w:rFonts w:hint="eastAsia" w:ascii="宋体" w:hAnsi="宋体"/>
          <w:sz w:val="24"/>
        </w:rPr>
        <w:t>乙方在收到通知后三十天内应免费维修或更换有缺陷的货物（含软件及相关服务）或部件。</w:t>
      </w:r>
      <w:r>
        <w:rPr>
          <w:rFonts w:ascii="宋体" w:hAnsi="宋体"/>
          <w:sz w:val="24"/>
        </w:rPr>
        <w:t xml:space="preserve"> </w:t>
      </w:r>
    </w:p>
    <w:p w14:paraId="5470C7D7">
      <w:pPr>
        <w:spacing w:line="520" w:lineRule="exact"/>
        <w:ind w:firstLine="658"/>
        <w:rPr>
          <w:rFonts w:hint="eastAsia" w:ascii="宋体" w:hAnsi="宋体"/>
          <w:sz w:val="24"/>
        </w:rPr>
      </w:pPr>
      <w:r>
        <w:rPr>
          <w:rFonts w:hint="eastAsia" w:ascii="宋体" w:hAnsi="宋体"/>
          <w:sz w:val="24"/>
        </w:rPr>
        <w:t>8</w:t>
      </w:r>
      <w:r>
        <w:rPr>
          <w:rFonts w:ascii="宋体" w:hAnsi="宋体"/>
          <w:sz w:val="24"/>
        </w:rPr>
        <w:t xml:space="preserve">.4 </w:t>
      </w:r>
      <w:r>
        <w:rPr>
          <w:rFonts w:hint="eastAsia" w:ascii="宋体" w:hAnsi="宋体"/>
          <w:sz w:val="24"/>
        </w:rPr>
        <w:t>如果乙方在收到通知后三十天内没有弥补缺陷，甲方可采取必要的补救措施，但风险和费用将由乙方承担。</w:t>
      </w:r>
    </w:p>
    <w:p w14:paraId="74EE3270">
      <w:pPr>
        <w:spacing w:line="520" w:lineRule="exact"/>
        <w:ind w:firstLine="658"/>
        <w:rPr>
          <w:rFonts w:hint="eastAsia" w:ascii="宋体" w:hAnsi="宋体"/>
          <w:sz w:val="24"/>
        </w:rPr>
      </w:pPr>
      <w:r>
        <w:rPr>
          <w:rFonts w:hint="eastAsia" w:ascii="宋体" w:hAnsi="宋体"/>
          <w:sz w:val="24"/>
        </w:rPr>
        <w:t>8</w:t>
      </w:r>
      <w:r>
        <w:rPr>
          <w:rFonts w:ascii="宋体" w:hAnsi="宋体"/>
          <w:sz w:val="24"/>
        </w:rPr>
        <w:t xml:space="preserve">.5 </w:t>
      </w:r>
      <w:r>
        <w:rPr>
          <w:rFonts w:hint="eastAsia" w:ascii="宋体" w:hAnsi="宋体"/>
          <w:sz w:val="24"/>
        </w:rPr>
        <w:t>除合同专用条款规定外，合同项下货物（含软件及相关服务）的质量保证期为自货物（含软件及相关服务）通过最终验收起</w:t>
      </w:r>
      <w:r>
        <w:rPr>
          <w:rFonts w:ascii="宋体" w:hAnsi="宋体"/>
          <w:sz w:val="24"/>
        </w:rPr>
        <w:t>12</w:t>
      </w:r>
      <w:r>
        <w:rPr>
          <w:rFonts w:hint="eastAsia" w:ascii="宋体" w:hAnsi="宋体"/>
          <w:sz w:val="24"/>
        </w:rPr>
        <w:t>个月。</w:t>
      </w:r>
    </w:p>
    <w:p w14:paraId="2699A083">
      <w:pPr>
        <w:spacing w:line="520" w:lineRule="exact"/>
        <w:rPr>
          <w:rFonts w:hint="eastAsia" w:ascii="宋体" w:hAnsi="宋体"/>
          <w:sz w:val="24"/>
        </w:rPr>
      </w:pPr>
      <w:r>
        <w:rPr>
          <w:rFonts w:hint="eastAsia" w:ascii="宋体" w:hAnsi="宋体"/>
          <w:sz w:val="24"/>
        </w:rPr>
        <w:t>9.检验及安装</w:t>
      </w:r>
    </w:p>
    <w:p w14:paraId="00ED03D5">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.l </w:t>
      </w:r>
      <w:r>
        <w:rPr>
          <w:rFonts w:hint="eastAsia" w:ascii="宋体" w:hAnsi="宋体"/>
          <w:sz w:val="24"/>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p>
    <w:p w14:paraId="3BE15A8B">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.2 </w:t>
      </w:r>
      <w:r>
        <w:rPr>
          <w:rFonts w:hint="eastAsia" w:ascii="宋体" w:hAnsi="宋体"/>
          <w:sz w:val="24"/>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90</w:t>
      </w:r>
      <w:r>
        <w:rPr>
          <w:rFonts w:hint="eastAsia" w:ascii="宋体" w:hAnsi="宋体"/>
          <w:sz w:val="24"/>
        </w:rPr>
        <w:t>天内，根据甲方按检验标准自己检验的结果或当地商检部门出具的检验证书向乙方提出索赔，除责任由保险公司或运输部门承担的之外。</w:t>
      </w:r>
      <w:r>
        <w:rPr>
          <w:rFonts w:ascii="宋体" w:hAnsi="宋体"/>
          <w:sz w:val="24"/>
        </w:rPr>
        <w:t xml:space="preserve"> </w:t>
      </w:r>
    </w:p>
    <w:p w14:paraId="591028C7">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.3 </w:t>
      </w:r>
      <w:r>
        <w:rPr>
          <w:rFonts w:hint="eastAsia" w:ascii="宋体" w:hAnsi="宋体"/>
          <w:sz w:val="24"/>
        </w:rPr>
        <w:t>如果货物（含软件及相关服务）的质量和规格与合同不符，或在第</w:t>
      </w:r>
      <w:r>
        <w:rPr>
          <w:rFonts w:ascii="宋体" w:hAnsi="宋体"/>
          <w:sz w:val="24"/>
        </w:rPr>
        <w:t>11</w:t>
      </w:r>
      <w:r>
        <w:rPr>
          <w:rFonts w:hint="eastAsia" w:ascii="宋体" w:hAnsi="宋体"/>
          <w:sz w:val="24"/>
        </w:rPr>
        <w:t>条规定的质量保证期内证实货物（含软件及相关服务）是有缺陷的，包括潜在的缺陷或使用不符合要求的材料，甲方将有权向乙方提出索赔。</w:t>
      </w:r>
      <w:r>
        <w:rPr>
          <w:rFonts w:ascii="宋体" w:hAnsi="宋体"/>
          <w:sz w:val="24"/>
        </w:rPr>
        <w:t xml:space="preserve"> </w:t>
      </w:r>
    </w:p>
    <w:p w14:paraId="458BA7B2">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.4 </w:t>
      </w:r>
      <w:r>
        <w:rPr>
          <w:rFonts w:hint="eastAsia" w:ascii="宋体" w:hAnsi="宋体"/>
          <w:sz w:val="24"/>
        </w:rPr>
        <w:t>甲方有权提出在货物（含软件及相关服务）制造过程中派人到制造厂进行监造，乙方有义务为甲方监造人员提供方便。</w:t>
      </w:r>
    </w:p>
    <w:p w14:paraId="7EF06A9C">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.5 </w:t>
      </w:r>
      <w:r>
        <w:rPr>
          <w:rFonts w:hint="eastAsia" w:ascii="宋体" w:hAnsi="宋体"/>
          <w:sz w:val="24"/>
        </w:rPr>
        <w:t>制造厂对所供货物（含软件及相关服务）进行机械运转试验和性能试验时，必须提前通知甲方。</w:t>
      </w:r>
      <w:r>
        <w:rPr>
          <w:rFonts w:ascii="宋体" w:hAnsi="宋体"/>
          <w:sz w:val="24"/>
        </w:rPr>
        <w:t xml:space="preserve"> </w:t>
      </w:r>
    </w:p>
    <w:p w14:paraId="737030B9">
      <w:pPr>
        <w:spacing w:line="520" w:lineRule="exact"/>
        <w:ind w:firstLine="660"/>
        <w:rPr>
          <w:rFonts w:hint="eastAsia" w:ascii="宋体" w:hAnsi="宋体"/>
          <w:sz w:val="24"/>
        </w:rPr>
      </w:pPr>
      <w:r>
        <w:rPr>
          <w:rFonts w:hint="eastAsia" w:ascii="宋体" w:hAnsi="宋体"/>
          <w:sz w:val="24"/>
        </w:rPr>
        <w:t>9</w:t>
      </w:r>
      <w:r>
        <w:rPr>
          <w:rFonts w:ascii="宋体" w:hAnsi="宋体"/>
          <w:sz w:val="24"/>
        </w:rPr>
        <w:t xml:space="preserve">.6 </w:t>
      </w:r>
      <w:r>
        <w:rPr>
          <w:rFonts w:hint="eastAsia" w:ascii="宋体" w:hAnsi="宋体"/>
          <w:sz w:val="24"/>
        </w:rPr>
        <w:t>货物（含软件及相关服务）的安装按谈判文件要求进行。</w:t>
      </w:r>
    </w:p>
    <w:p w14:paraId="55FB11EE">
      <w:pPr>
        <w:spacing w:line="520" w:lineRule="exact"/>
        <w:rPr>
          <w:rFonts w:hint="eastAsia" w:ascii="宋体" w:hAnsi="宋体"/>
          <w:sz w:val="24"/>
        </w:rPr>
      </w:pPr>
      <w:r>
        <w:rPr>
          <w:rFonts w:hint="eastAsia" w:ascii="宋体" w:hAnsi="宋体"/>
          <w:sz w:val="24"/>
        </w:rPr>
        <w:t>10.索赔</w:t>
      </w:r>
    </w:p>
    <w:p w14:paraId="1DB5DF3A">
      <w:pPr>
        <w:spacing w:line="520" w:lineRule="exact"/>
        <w:ind w:firstLine="658"/>
        <w:rPr>
          <w:rFonts w:hint="eastAsia" w:ascii="宋体" w:hAnsi="宋体"/>
          <w:sz w:val="24"/>
        </w:rPr>
      </w:pPr>
      <w:r>
        <w:rPr>
          <w:rFonts w:ascii="宋体" w:hAnsi="宋体"/>
          <w:sz w:val="24"/>
        </w:rPr>
        <w:t>1</w:t>
      </w:r>
      <w:r>
        <w:rPr>
          <w:rFonts w:hint="eastAsia" w:ascii="宋体" w:hAnsi="宋体"/>
          <w:sz w:val="24"/>
        </w:rPr>
        <w:t>0</w:t>
      </w:r>
      <w:r>
        <w:rPr>
          <w:rFonts w:ascii="宋体" w:hAnsi="宋体"/>
          <w:sz w:val="24"/>
        </w:rPr>
        <w:t xml:space="preserve">.1 </w:t>
      </w:r>
      <w:r>
        <w:rPr>
          <w:rFonts w:hint="eastAsia" w:ascii="宋体" w:hAnsi="宋体"/>
          <w:sz w:val="24"/>
        </w:rPr>
        <w:t>除责任应由保险公司或运输部门承担的之外，甲方有权根据甲方按检验标准自己检验的结果或当地商检部门出具的商检证书向乙方提出索赔。</w:t>
      </w:r>
      <w:r>
        <w:rPr>
          <w:rFonts w:ascii="宋体" w:hAnsi="宋体"/>
          <w:sz w:val="24"/>
        </w:rPr>
        <w:t xml:space="preserve"> </w:t>
      </w:r>
    </w:p>
    <w:p w14:paraId="139A51DD">
      <w:pPr>
        <w:spacing w:line="520" w:lineRule="exact"/>
        <w:ind w:firstLine="658"/>
        <w:rPr>
          <w:rFonts w:hint="eastAsia" w:ascii="宋体" w:hAnsi="宋体"/>
          <w:sz w:val="24"/>
        </w:rPr>
      </w:pPr>
      <w:r>
        <w:rPr>
          <w:rFonts w:ascii="宋体" w:hAnsi="宋体"/>
          <w:sz w:val="24"/>
        </w:rPr>
        <w:t>1</w:t>
      </w:r>
      <w:r>
        <w:rPr>
          <w:rFonts w:hint="eastAsia" w:ascii="宋体" w:hAnsi="宋体"/>
          <w:sz w:val="24"/>
        </w:rPr>
        <w:t>0</w:t>
      </w:r>
      <w:r>
        <w:rPr>
          <w:rFonts w:ascii="宋体" w:hAnsi="宋体"/>
          <w:sz w:val="24"/>
        </w:rPr>
        <w:t xml:space="preserve">.2 </w:t>
      </w:r>
      <w:r>
        <w:rPr>
          <w:rFonts w:hint="eastAsia" w:ascii="宋体" w:hAnsi="宋体"/>
          <w:sz w:val="24"/>
        </w:rPr>
        <w:t>在第</w:t>
      </w:r>
      <w:r>
        <w:rPr>
          <w:rFonts w:ascii="宋体" w:hAnsi="宋体"/>
          <w:sz w:val="24"/>
        </w:rPr>
        <w:t xml:space="preserve"> </w:t>
      </w:r>
      <w:r>
        <w:rPr>
          <w:rFonts w:hint="eastAsia" w:ascii="宋体" w:hAnsi="宋体"/>
          <w:sz w:val="24"/>
        </w:rPr>
        <w:t>8条和第9条规定的检验期和质量保证期内，如果乙方对甲方提出的索赔和差异负有责任，乙方应按照甲方同意的下列一种或多种方式解决索赔事宜：</w:t>
      </w:r>
    </w:p>
    <w:p w14:paraId="0C7E0ED5">
      <w:pPr>
        <w:spacing w:line="520" w:lineRule="exact"/>
        <w:ind w:firstLine="36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4CC4E9A7">
      <w:pPr>
        <w:spacing w:line="520" w:lineRule="exact"/>
        <w:ind w:firstLine="36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）根据货物（含软件及相关服务）的低劣程度、损坏程度以及甲方遭受损失的数额，经买卖双方商定降低货物（含软件及相关服务）的价格。</w:t>
      </w:r>
    </w:p>
    <w:p w14:paraId="12882C00">
      <w:pPr>
        <w:spacing w:line="520" w:lineRule="exact"/>
        <w:ind w:firstLine="36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p>
    <w:p w14:paraId="7F3915F4">
      <w:pPr>
        <w:spacing w:line="520" w:lineRule="exact"/>
        <w:ind w:firstLine="480"/>
        <w:rPr>
          <w:rFonts w:hint="eastAsia" w:ascii="宋体" w:hAnsi="宋体"/>
          <w:sz w:val="24"/>
        </w:rPr>
      </w:pPr>
      <w:r>
        <w:rPr>
          <w:rFonts w:ascii="宋体" w:hAnsi="宋体"/>
          <w:sz w:val="24"/>
        </w:rPr>
        <w:t>1</w:t>
      </w:r>
      <w:r>
        <w:rPr>
          <w:rFonts w:hint="eastAsia" w:ascii="宋体" w:hAnsi="宋体"/>
          <w:sz w:val="24"/>
        </w:rPr>
        <w:t>0</w:t>
      </w:r>
      <w:r>
        <w:rPr>
          <w:rFonts w:ascii="宋体" w:hAnsi="宋体"/>
          <w:sz w:val="24"/>
        </w:rPr>
        <w:t xml:space="preserve">.3 </w:t>
      </w:r>
      <w:r>
        <w:rPr>
          <w:rFonts w:hint="eastAsia" w:ascii="宋体" w:hAnsi="宋体"/>
          <w:sz w:val="24"/>
        </w:rPr>
        <w:t>如果在甲方发出索赔通知后</w:t>
      </w:r>
      <w:r>
        <w:rPr>
          <w:rFonts w:ascii="宋体" w:hAnsi="宋体"/>
          <w:sz w:val="24"/>
        </w:rPr>
        <w:t xml:space="preserve"> 30</w:t>
      </w:r>
      <w:r>
        <w:rPr>
          <w:rFonts w:hint="eastAsia" w:ascii="宋体" w:hAnsi="宋体"/>
          <w:sz w:val="24"/>
        </w:rPr>
        <w:t>天内，乙方未能答复，</w:t>
      </w:r>
      <w:r>
        <w:rPr>
          <w:rFonts w:hint="eastAsia" w:ascii="宋体" w:hAnsi="宋体"/>
          <w:sz w:val="24"/>
          <w:lang w:eastAsia="zh-CN"/>
        </w:rPr>
        <w:t>上述</w:t>
      </w:r>
      <w:r>
        <w:rPr>
          <w:rFonts w:hint="eastAsia" w:ascii="宋体" w:hAnsi="宋体"/>
          <w:sz w:val="24"/>
        </w:rPr>
        <w:t>索赔应视为已被乙方接受。若乙方未能在甲方提出索赔通知后</w:t>
      </w:r>
      <w:r>
        <w:rPr>
          <w:rFonts w:ascii="宋体" w:hAnsi="宋体"/>
          <w:sz w:val="24"/>
        </w:rPr>
        <w:t>30</w:t>
      </w:r>
      <w:r>
        <w:rPr>
          <w:rFonts w:hint="eastAsia" w:ascii="宋体" w:hAnsi="宋体"/>
          <w:sz w:val="24"/>
        </w:rPr>
        <w:t>天内或甲方同意的更长时间内，按照第</w:t>
      </w:r>
      <w:r>
        <w:rPr>
          <w:rFonts w:ascii="宋体" w:hAnsi="宋体"/>
          <w:sz w:val="24"/>
        </w:rPr>
        <w:t>1</w:t>
      </w:r>
      <w:r>
        <w:rPr>
          <w:rFonts w:hint="eastAsia" w:ascii="宋体" w:hAnsi="宋体"/>
          <w:sz w:val="24"/>
        </w:rPr>
        <w:t>0.</w:t>
      </w:r>
      <w:r>
        <w:rPr>
          <w:rFonts w:ascii="宋体" w:hAnsi="宋体"/>
          <w:sz w:val="24"/>
        </w:rPr>
        <w:t>2</w:t>
      </w:r>
      <w:r>
        <w:rPr>
          <w:rFonts w:hint="eastAsia" w:ascii="宋体" w:hAnsi="宋体"/>
          <w:sz w:val="24"/>
        </w:rPr>
        <w:t>条规定的任何一种方法解决索赔事宜，甲方将从已付款或从乙方开具的履约保证金中扣回索赔金额。如果这些金额不足以补偿索赔金额，甲方有权向乙方提出不足部分的补偿。</w:t>
      </w:r>
    </w:p>
    <w:p w14:paraId="18BD5866">
      <w:pPr>
        <w:spacing w:line="520" w:lineRule="exact"/>
        <w:rPr>
          <w:rFonts w:hint="eastAsia" w:ascii="宋体" w:hAnsi="宋体"/>
          <w:sz w:val="24"/>
        </w:rPr>
      </w:pPr>
      <w:r>
        <w:rPr>
          <w:rFonts w:hint="eastAsia" w:ascii="宋体" w:hAnsi="宋体"/>
          <w:sz w:val="24"/>
        </w:rPr>
        <w:t>11.拖延交货</w:t>
      </w:r>
    </w:p>
    <w:p w14:paraId="3A835AE1">
      <w:pPr>
        <w:spacing w:line="520" w:lineRule="exact"/>
        <w:ind w:firstLine="567"/>
        <w:rPr>
          <w:rFonts w:hint="eastAsia" w:ascii="宋体" w:hAnsi="宋体"/>
          <w:sz w:val="24"/>
        </w:rPr>
      </w:pPr>
      <w:r>
        <w:rPr>
          <w:rFonts w:ascii="宋体" w:hAnsi="宋体"/>
          <w:sz w:val="24"/>
        </w:rPr>
        <w:t>1</w:t>
      </w:r>
      <w:r>
        <w:rPr>
          <w:rFonts w:hint="eastAsia" w:ascii="宋体" w:hAnsi="宋体"/>
          <w:sz w:val="24"/>
        </w:rPr>
        <w:t>1</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乙方应按照合同专用条款中规定的交货期交货和提供服务。</w:t>
      </w:r>
      <w:r>
        <w:rPr>
          <w:rFonts w:ascii="宋体" w:hAnsi="宋体"/>
          <w:sz w:val="24"/>
        </w:rPr>
        <w:t xml:space="preserve"> </w:t>
      </w:r>
    </w:p>
    <w:p w14:paraId="453C4EB8">
      <w:pPr>
        <w:spacing w:line="520" w:lineRule="exact"/>
        <w:ind w:firstLine="567"/>
        <w:rPr>
          <w:rFonts w:hint="eastAsia" w:ascii="宋体" w:hAnsi="宋体"/>
          <w:sz w:val="24"/>
        </w:rPr>
      </w:pPr>
      <w:r>
        <w:rPr>
          <w:rFonts w:ascii="宋体" w:hAnsi="宋体"/>
          <w:sz w:val="24"/>
        </w:rPr>
        <w:t>1</w:t>
      </w:r>
      <w:r>
        <w:rPr>
          <w:rFonts w:hint="eastAsia" w:ascii="宋体" w:hAnsi="宋体"/>
          <w:sz w:val="24"/>
        </w:rPr>
        <w:t>1</w:t>
      </w:r>
      <w:r>
        <w:rPr>
          <w:rFonts w:ascii="宋体" w:hAnsi="宋体"/>
          <w:sz w:val="24"/>
        </w:rPr>
        <w:t xml:space="preserve">.2 </w:t>
      </w:r>
      <w:r>
        <w:rPr>
          <w:rFonts w:hint="eastAsia" w:ascii="宋体" w:hAnsi="宋体"/>
          <w:sz w:val="24"/>
        </w:rPr>
        <w:t>如果乙方毫无理由地拖延交货，将受到以下制裁：没收履约保证金，加收违约损失赔偿和／或终止合同。</w:t>
      </w:r>
      <w:r>
        <w:rPr>
          <w:rFonts w:ascii="宋体" w:hAnsi="宋体"/>
          <w:sz w:val="24"/>
        </w:rPr>
        <w:t xml:space="preserve"> </w:t>
      </w:r>
    </w:p>
    <w:p w14:paraId="564FC653">
      <w:pPr>
        <w:spacing w:line="520" w:lineRule="exact"/>
        <w:ind w:firstLine="567"/>
        <w:rPr>
          <w:rFonts w:hint="eastAsia" w:ascii="宋体" w:hAnsi="宋体"/>
          <w:sz w:val="24"/>
        </w:rPr>
      </w:pPr>
      <w:r>
        <w:rPr>
          <w:rFonts w:ascii="宋体" w:hAnsi="宋体"/>
          <w:sz w:val="24"/>
        </w:rPr>
        <w:t>1</w:t>
      </w:r>
      <w:r>
        <w:rPr>
          <w:rFonts w:hint="eastAsia" w:ascii="宋体" w:hAnsi="宋体"/>
          <w:sz w:val="24"/>
        </w:rPr>
        <w:t>1</w:t>
      </w:r>
      <w:r>
        <w:rPr>
          <w:rFonts w:ascii="宋体" w:hAnsi="宋体"/>
          <w:sz w:val="24"/>
        </w:rPr>
        <w:t xml:space="preserve">.3 </w:t>
      </w:r>
      <w:r>
        <w:rPr>
          <w:rFonts w:hint="eastAsia" w:ascii="宋体" w:hAnsi="宋体"/>
          <w:sz w:val="24"/>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p>
    <w:p w14:paraId="44D876D2">
      <w:pPr>
        <w:spacing w:line="520" w:lineRule="exact"/>
        <w:rPr>
          <w:rFonts w:hint="eastAsia" w:ascii="宋体" w:hAnsi="宋体"/>
          <w:sz w:val="24"/>
        </w:rPr>
      </w:pPr>
      <w:r>
        <w:rPr>
          <w:rFonts w:hint="eastAsia" w:ascii="宋体" w:hAnsi="宋体"/>
          <w:sz w:val="24"/>
        </w:rPr>
        <w:t>12.误期赔偿</w:t>
      </w:r>
    </w:p>
    <w:p w14:paraId="451A3042">
      <w:pPr>
        <w:spacing w:line="520" w:lineRule="exact"/>
        <w:ind w:firstLine="567"/>
        <w:rPr>
          <w:rFonts w:hint="eastAsia" w:ascii="宋体" w:hAnsi="宋体"/>
          <w:sz w:val="24"/>
        </w:rPr>
      </w:pPr>
      <w:r>
        <w:rPr>
          <w:rFonts w:hint="eastAsia" w:ascii="宋体" w:hAnsi="宋体"/>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p>
    <w:p w14:paraId="77DB0F01">
      <w:pPr>
        <w:spacing w:line="520" w:lineRule="exact"/>
        <w:rPr>
          <w:rFonts w:hint="eastAsia" w:ascii="宋体" w:hAnsi="宋体"/>
          <w:sz w:val="24"/>
        </w:rPr>
      </w:pPr>
      <w:r>
        <w:rPr>
          <w:rFonts w:hint="eastAsia" w:ascii="宋体" w:hAnsi="宋体"/>
          <w:sz w:val="24"/>
        </w:rPr>
        <w:t>13.不可抗力</w:t>
      </w:r>
    </w:p>
    <w:p w14:paraId="278286AF">
      <w:pPr>
        <w:spacing w:line="520" w:lineRule="exact"/>
        <w:ind w:firstLine="567"/>
        <w:rPr>
          <w:rFonts w:hint="eastAsia" w:ascii="宋体" w:hAnsi="宋体"/>
          <w:sz w:val="24"/>
        </w:rPr>
      </w:pPr>
      <w:r>
        <w:rPr>
          <w:rFonts w:ascii="宋体" w:hAnsi="宋体"/>
          <w:sz w:val="24"/>
        </w:rPr>
        <w:t>1</w:t>
      </w:r>
      <w:r>
        <w:rPr>
          <w:rFonts w:hint="eastAsia" w:ascii="宋体" w:hAnsi="宋体"/>
          <w:sz w:val="24"/>
        </w:rPr>
        <w:t>3</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p>
    <w:p w14:paraId="0A7C85E6">
      <w:pPr>
        <w:spacing w:line="520" w:lineRule="exact"/>
        <w:ind w:firstLine="567"/>
        <w:rPr>
          <w:rFonts w:hint="eastAsia" w:ascii="宋体" w:hAnsi="宋体"/>
          <w:sz w:val="24"/>
        </w:rPr>
      </w:pPr>
      <w:r>
        <w:rPr>
          <w:rFonts w:ascii="宋体" w:hAnsi="宋体"/>
          <w:sz w:val="24"/>
        </w:rPr>
        <w:t>1</w:t>
      </w:r>
      <w:r>
        <w:rPr>
          <w:rFonts w:hint="eastAsia" w:ascii="宋体" w:hAnsi="宋体"/>
          <w:sz w:val="24"/>
        </w:rPr>
        <w:t>3</w:t>
      </w:r>
      <w:r>
        <w:rPr>
          <w:rFonts w:ascii="宋体" w:hAnsi="宋体"/>
          <w:sz w:val="24"/>
        </w:rPr>
        <w:t xml:space="preserve">.2 </w:t>
      </w:r>
      <w:r>
        <w:rPr>
          <w:rFonts w:hint="eastAsia" w:ascii="宋体" w:hAnsi="宋体"/>
          <w:sz w:val="24"/>
        </w:rPr>
        <w:t>受事故影响的一方应在不可抗力事故发生后尽快以传真或电传通知另一方，并在事故发生后</w:t>
      </w:r>
      <w:r>
        <w:rPr>
          <w:rFonts w:ascii="宋体" w:hAnsi="宋体"/>
          <w:sz w:val="24"/>
        </w:rPr>
        <w:t>14</w:t>
      </w:r>
      <w:r>
        <w:rPr>
          <w:rFonts w:hint="eastAsia" w:ascii="宋体" w:hAnsi="宋体"/>
          <w:sz w:val="24"/>
        </w:rPr>
        <w:t>天内，将有关部门出具的证明文件用特快专递寄给或送给另一方。如果不可抗力影响时间延续</w:t>
      </w:r>
      <w:r>
        <w:rPr>
          <w:rFonts w:ascii="宋体" w:hAnsi="宋体"/>
          <w:sz w:val="24"/>
        </w:rPr>
        <w:t>120</w:t>
      </w:r>
      <w:r>
        <w:rPr>
          <w:rFonts w:hint="eastAsia" w:ascii="宋体" w:hAnsi="宋体"/>
          <w:sz w:val="24"/>
        </w:rPr>
        <w:t>天以上，双方应通过友好协商在合理的时间内达成进一步履行合同的协议。</w:t>
      </w:r>
      <w:r>
        <w:rPr>
          <w:rFonts w:ascii="宋体" w:hAnsi="宋体"/>
          <w:sz w:val="24"/>
        </w:rPr>
        <w:t xml:space="preserve"> </w:t>
      </w:r>
    </w:p>
    <w:p w14:paraId="22A5A309">
      <w:pPr>
        <w:spacing w:line="520" w:lineRule="exact"/>
        <w:rPr>
          <w:rFonts w:hint="eastAsia" w:ascii="宋体" w:hAnsi="宋体"/>
          <w:sz w:val="24"/>
        </w:rPr>
      </w:pPr>
      <w:r>
        <w:rPr>
          <w:rFonts w:hint="eastAsia" w:ascii="宋体" w:hAnsi="宋体"/>
          <w:sz w:val="24"/>
        </w:rPr>
        <w:t>14.税费</w:t>
      </w:r>
    </w:p>
    <w:p w14:paraId="5FB14EBD">
      <w:pPr>
        <w:spacing w:line="520" w:lineRule="exact"/>
        <w:ind w:firstLine="567"/>
        <w:rPr>
          <w:rFonts w:hint="eastAsia" w:ascii="宋体" w:hAnsi="宋体"/>
          <w:sz w:val="24"/>
        </w:rPr>
      </w:pPr>
      <w:r>
        <w:rPr>
          <w:rFonts w:hint="eastAsia" w:ascii="宋体" w:hAnsi="宋体"/>
          <w:sz w:val="24"/>
        </w:rPr>
        <w:t>14.1中国政府根据现行税法规定对甲方征收的与本合同有关的一切税费，均由甲方负担。</w:t>
      </w:r>
    </w:p>
    <w:p w14:paraId="5E78A9BE">
      <w:pPr>
        <w:spacing w:line="520" w:lineRule="exact"/>
        <w:ind w:firstLine="567"/>
        <w:rPr>
          <w:rFonts w:hint="eastAsia" w:ascii="宋体" w:hAnsi="宋体"/>
          <w:sz w:val="24"/>
        </w:rPr>
      </w:pPr>
      <w:r>
        <w:rPr>
          <w:rFonts w:hint="eastAsia" w:ascii="宋体" w:hAnsi="宋体"/>
          <w:sz w:val="24"/>
        </w:rPr>
        <w:t>14.2中国政府根据现行税法规定对乙方征收的与本合同有关的一切税费均由乙方负担。</w:t>
      </w:r>
    </w:p>
    <w:p w14:paraId="4B6AD706">
      <w:pPr>
        <w:spacing w:line="520" w:lineRule="exact"/>
        <w:rPr>
          <w:rFonts w:hint="eastAsia" w:ascii="宋体" w:hAnsi="宋体"/>
          <w:sz w:val="24"/>
        </w:rPr>
      </w:pPr>
      <w:r>
        <w:rPr>
          <w:rFonts w:hint="eastAsia" w:ascii="宋体" w:hAnsi="宋体"/>
          <w:sz w:val="24"/>
        </w:rPr>
        <w:t>15.履约保证金（</w:t>
      </w:r>
      <w:r>
        <w:rPr>
          <w:rFonts w:hint="eastAsia" w:ascii="宋体" w:hAnsi="宋体" w:eastAsia="宋体" w:cs="Times New Roman"/>
          <w:sz w:val="24"/>
        </w:rPr>
        <w:t>本项目按下列要求执行</w:t>
      </w:r>
      <w:r>
        <w:rPr>
          <w:rFonts w:hint="eastAsia" w:ascii="宋体" w:hAnsi="宋体"/>
          <w:sz w:val="24"/>
        </w:rPr>
        <w:t>）</w:t>
      </w:r>
    </w:p>
    <w:p w14:paraId="3C23A853">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.1 本项目部收取履约保证金，乙方应向采购单位交纳中标总价1%的履约保证金。</w:t>
      </w:r>
    </w:p>
    <w:p w14:paraId="08560C3A">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.2乙方提供的履约保证金可以是人民币形式（银行本票、汇票、支票、电汇），或银行保函、担保公司的保证担保或保险公司的保证保险等多种形式。</w:t>
      </w:r>
    </w:p>
    <w:p w14:paraId="0EE76390">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.3乙方选取银行保函、担保公司的保证担保或保险公司的保证保险等形式的向采购人缴纳的，如保函（担保、保险等）的约定期到期但乙方履约仍未结束的，乙方须进行续保。</w:t>
      </w:r>
    </w:p>
    <w:p w14:paraId="2FC66D8A">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0C1D4C96">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.5如乙方未能履行合同规定的义务，甲方有权从履约保证金中取得补偿。</w:t>
      </w:r>
    </w:p>
    <w:p w14:paraId="2885B745">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.6履约保证金在合同约定期间内不予退还</w:t>
      </w:r>
      <w:r>
        <w:rPr>
          <w:rFonts w:hint="eastAsia" w:ascii="宋体" w:hAnsi="宋体" w:cs="Times New Roman"/>
          <w:sz w:val="24"/>
          <w:lang w:eastAsia="zh-CN"/>
        </w:rPr>
        <w:t>或者</w:t>
      </w:r>
      <w:r>
        <w:rPr>
          <w:rFonts w:hint="eastAsia" w:ascii="宋体" w:hAnsi="宋体" w:eastAsia="宋体" w:cs="Times New Roman"/>
          <w:sz w:val="24"/>
        </w:rPr>
        <w:t>完全有效，约定期间届满之日起 5个工作日内，甲方应将履约保证金退还乙方；逾期退还的，按中国人民银行同期</w:t>
      </w:r>
      <w:r>
        <w:rPr>
          <w:rFonts w:hint="eastAsia" w:ascii="宋体" w:hAnsi="宋体" w:cs="Times New Roman"/>
          <w:sz w:val="24"/>
          <w:lang w:eastAsia="zh-CN"/>
        </w:rPr>
        <w:t>贷款</w:t>
      </w:r>
      <w:r>
        <w:rPr>
          <w:rFonts w:hint="eastAsia" w:ascii="宋体" w:hAnsi="宋体" w:eastAsia="宋体" w:cs="Times New Roman"/>
          <w:sz w:val="24"/>
        </w:rPr>
        <w:t>利率上浮20%后的利率支付超期资金占用费，但因乙方自身原因导致无法及时退还的除外。</w:t>
      </w:r>
    </w:p>
    <w:p w14:paraId="1AC50F63">
      <w:pPr>
        <w:spacing w:line="520" w:lineRule="exact"/>
        <w:ind w:firstLine="570"/>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.7履约保证金在合同约定期间内不予退还</w:t>
      </w:r>
      <w:r>
        <w:rPr>
          <w:rFonts w:hint="eastAsia" w:ascii="宋体" w:hAnsi="宋体" w:cs="Times New Roman"/>
          <w:sz w:val="24"/>
          <w:lang w:eastAsia="zh-CN"/>
        </w:rPr>
        <w:t>或者</w:t>
      </w:r>
      <w:r>
        <w:rPr>
          <w:rFonts w:hint="eastAsia" w:ascii="宋体" w:hAnsi="宋体" w:eastAsia="宋体" w:cs="Times New Roman"/>
          <w:sz w:val="24"/>
        </w:rPr>
        <w:t>完全有效，履约保证金在项目验收合格后无息退还给乙方。</w:t>
      </w:r>
    </w:p>
    <w:p w14:paraId="06551A5B">
      <w:pPr>
        <w:spacing w:line="520" w:lineRule="exact"/>
        <w:ind w:firstLine="570"/>
        <w:rPr>
          <w:rFonts w:hint="eastAsia" w:ascii="宋体" w:hAnsi="宋体" w:eastAsia="宋体" w:cs="Times New Roman"/>
          <w:sz w:val="24"/>
        </w:rPr>
      </w:pPr>
      <w:r>
        <w:rPr>
          <w:rFonts w:hint="eastAsia" w:ascii="宋体" w:hAnsi="宋体" w:eastAsia="宋体" w:cs="Times New Roman"/>
          <w:sz w:val="24"/>
        </w:rPr>
        <w:t>16.仲裁</w:t>
      </w:r>
    </w:p>
    <w:p w14:paraId="38F4A611">
      <w:pPr>
        <w:spacing w:line="520" w:lineRule="exact"/>
        <w:ind w:firstLine="570"/>
        <w:rPr>
          <w:rFonts w:hint="eastAsia" w:ascii="宋体" w:hAnsi="宋体"/>
          <w:sz w:val="24"/>
        </w:rPr>
      </w:pPr>
      <w:r>
        <w:rPr>
          <w:rFonts w:ascii="宋体" w:hAnsi="宋体"/>
          <w:sz w:val="24"/>
        </w:rPr>
        <w:t>1</w:t>
      </w:r>
      <w:r>
        <w:rPr>
          <w:rFonts w:hint="eastAsia" w:ascii="宋体" w:hAnsi="宋体"/>
          <w:sz w:val="24"/>
        </w:rPr>
        <w:t>6</w:t>
      </w:r>
      <w:r>
        <w:rPr>
          <w:rFonts w:ascii="宋体" w:hAnsi="宋体"/>
          <w:sz w:val="24"/>
        </w:rPr>
        <w:t>.</w:t>
      </w:r>
      <w:r>
        <w:rPr>
          <w:rFonts w:hint="eastAsia" w:ascii="宋体" w:hAnsi="宋体"/>
          <w:sz w:val="24"/>
        </w:rPr>
        <w:t>1</w:t>
      </w:r>
      <w:r>
        <w:rPr>
          <w:rFonts w:ascii="宋体" w:hAnsi="宋体"/>
          <w:sz w:val="24"/>
        </w:rPr>
        <w:t xml:space="preserve"> </w:t>
      </w:r>
      <w:r>
        <w:rPr>
          <w:rFonts w:hint="eastAsia" w:ascii="宋体" w:hAnsi="宋体"/>
          <w:sz w:val="24"/>
        </w:rPr>
        <w:t>买卖双方应通过友好协商，解决在执行本合同中所发生的或与本合同有关的一切争端，如果协商仍得不到解决，任何一方均可按</w:t>
      </w:r>
      <w:r>
        <w:rPr>
          <w:rFonts w:ascii="宋体" w:hAnsi="宋体"/>
          <w:sz w:val="24"/>
        </w:rPr>
        <w:t>“</w:t>
      </w:r>
      <w:r>
        <w:rPr>
          <w:rFonts w:hint="eastAsia" w:ascii="宋体" w:hAnsi="宋体"/>
          <w:sz w:val="24"/>
        </w:rPr>
        <w:t>中华人民共和国</w:t>
      </w:r>
      <w:r>
        <w:rPr>
          <w:rFonts w:hint="eastAsia" w:ascii="宋体" w:hAnsi="宋体"/>
          <w:sz w:val="24"/>
          <w:lang w:eastAsia="zh-CN"/>
        </w:rPr>
        <w:t>民法典</w:t>
      </w:r>
      <w:r>
        <w:rPr>
          <w:rFonts w:ascii="宋体" w:hAnsi="宋体"/>
          <w:sz w:val="24"/>
        </w:rPr>
        <w:t>”</w:t>
      </w:r>
      <w:r>
        <w:rPr>
          <w:rFonts w:hint="eastAsia" w:ascii="宋体" w:hAnsi="宋体"/>
          <w:sz w:val="24"/>
        </w:rPr>
        <w:t>规定提交调解和仲裁。</w:t>
      </w:r>
      <w:r>
        <w:rPr>
          <w:rFonts w:ascii="宋体" w:hAnsi="宋体"/>
          <w:sz w:val="24"/>
        </w:rPr>
        <w:t xml:space="preserve"> </w:t>
      </w:r>
    </w:p>
    <w:p w14:paraId="7E04D98B">
      <w:pPr>
        <w:spacing w:line="520" w:lineRule="exact"/>
        <w:ind w:firstLine="570"/>
        <w:rPr>
          <w:rFonts w:hint="eastAsia" w:ascii="宋体" w:hAnsi="宋体"/>
          <w:sz w:val="24"/>
        </w:rPr>
      </w:pPr>
      <w:r>
        <w:rPr>
          <w:rFonts w:ascii="宋体" w:hAnsi="宋体"/>
          <w:sz w:val="24"/>
        </w:rPr>
        <w:t>1</w:t>
      </w:r>
      <w:r>
        <w:rPr>
          <w:rFonts w:hint="eastAsia" w:ascii="宋体" w:hAnsi="宋体"/>
          <w:sz w:val="24"/>
        </w:rPr>
        <w:t>6</w:t>
      </w:r>
      <w:r>
        <w:rPr>
          <w:rFonts w:ascii="宋体" w:hAnsi="宋体"/>
          <w:sz w:val="24"/>
        </w:rPr>
        <w:t xml:space="preserve">.2 </w:t>
      </w:r>
      <w:r>
        <w:rPr>
          <w:rFonts w:hint="eastAsia" w:ascii="宋体" w:hAnsi="宋体"/>
          <w:sz w:val="24"/>
        </w:rPr>
        <w:t>仲裁裁决应为终局裁决，对双方均具有约束力。</w:t>
      </w:r>
      <w:r>
        <w:rPr>
          <w:rFonts w:ascii="宋体" w:hAnsi="宋体"/>
          <w:sz w:val="24"/>
        </w:rPr>
        <w:t xml:space="preserve"> </w:t>
      </w:r>
    </w:p>
    <w:p w14:paraId="33AE8A32">
      <w:pPr>
        <w:spacing w:line="520" w:lineRule="exact"/>
        <w:ind w:firstLine="570"/>
        <w:rPr>
          <w:rFonts w:hint="eastAsia" w:ascii="宋体" w:hAnsi="宋体"/>
          <w:sz w:val="24"/>
        </w:rPr>
      </w:pPr>
      <w:r>
        <w:rPr>
          <w:rFonts w:ascii="宋体" w:hAnsi="宋体"/>
          <w:sz w:val="24"/>
        </w:rPr>
        <w:t>1</w:t>
      </w:r>
      <w:r>
        <w:rPr>
          <w:rFonts w:hint="eastAsia" w:ascii="宋体" w:hAnsi="宋体"/>
          <w:sz w:val="24"/>
        </w:rPr>
        <w:t>6</w:t>
      </w:r>
      <w:r>
        <w:rPr>
          <w:rFonts w:ascii="宋体" w:hAnsi="宋体"/>
          <w:sz w:val="24"/>
        </w:rPr>
        <w:t xml:space="preserve">.3 </w:t>
      </w:r>
      <w:r>
        <w:rPr>
          <w:rFonts w:hint="eastAsia" w:ascii="宋体" w:hAnsi="宋体"/>
          <w:sz w:val="24"/>
        </w:rPr>
        <w:t>仲裁费除仲裁机构另有裁决外应由败诉方负担。</w:t>
      </w:r>
    </w:p>
    <w:p w14:paraId="53F11CA6">
      <w:pPr>
        <w:spacing w:line="520" w:lineRule="exact"/>
        <w:ind w:firstLine="570"/>
        <w:rPr>
          <w:rFonts w:hint="eastAsia" w:ascii="宋体" w:hAnsi="宋体"/>
          <w:sz w:val="24"/>
        </w:rPr>
      </w:pPr>
      <w:r>
        <w:rPr>
          <w:rFonts w:ascii="宋体" w:hAnsi="宋体"/>
          <w:sz w:val="24"/>
        </w:rPr>
        <w:t>1</w:t>
      </w:r>
      <w:r>
        <w:rPr>
          <w:rFonts w:hint="eastAsia" w:ascii="宋体" w:hAnsi="宋体"/>
          <w:sz w:val="24"/>
        </w:rPr>
        <w:t>6</w:t>
      </w:r>
      <w:r>
        <w:rPr>
          <w:rFonts w:ascii="宋体" w:hAnsi="宋体"/>
          <w:sz w:val="24"/>
        </w:rPr>
        <w:t xml:space="preserve">.4 </w:t>
      </w:r>
      <w:r>
        <w:rPr>
          <w:rFonts w:hint="eastAsia" w:ascii="宋体" w:hAnsi="宋体"/>
          <w:sz w:val="24"/>
        </w:rPr>
        <w:t xml:space="preserve">在仲裁期间，除正在进行仲裁的部分外，合同其它部分继续执行。 </w:t>
      </w:r>
    </w:p>
    <w:p w14:paraId="1C30F490">
      <w:pPr>
        <w:spacing w:line="520" w:lineRule="exact"/>
        <w:rPr>
          <w:rFonts w:hint="eastAsia" w:ascii="宋体" w:hAnsi="宋体"/>
          <w:sz w:val="24"/>
        </w:rPr>
      </w:pPr>
      <w:r>
        <w:rPr>
          <w:rFonts w:hint="eastAsia" w:ascii="宋体" w:hAnsi="宋体"/>
          <w:sz w:val="24"/>
        </w:rPr>
        <w:t>17.违约终止合同</w:t>
      </w:r>
    </w:p>
    <w:p w14:paraId="471B6CFD">
      <w:pPr>
        <w:pStyle w:val="330"/>
        <w:spacing w:line="520" w:lineRule="exact"/>
        <w:ind w:firstLine="560"/>
        <w:rPr>
          <w:rFonts w:hint="eastAsia" w:ascii="宋体" w:hAnsi="宋体" w:eastAsia="宋体"/>
          <w:color w:val="000000"/>
        </w:rPr>
      </w:pPr>
      <w:r>
        <w:rPr>
          <w:rFonts w:hint="eastAsia" w:ascii="宋体" w:hAnsi="宋体" w:eastAsia="宋体"/>
          <w:color w:val="000000"/>
        </w:rPr>
        <w:t>17</w:t>
      </w:r>
      <w:r>
        <w:rPr>
          <w:rFonts w:ascii="宋体" w:hAnsi="宋体" w:eastAsia="宋体"/>
          <w:color w:val="000000"/>
        </w:rPr>
        <w:t>.</w:t>
      </w:r>
      <w:r>
        <w:rPr>
          <w:rFonts w:hint="eastAsia" w:ascii="宋体" w:hAnsi="宋体" w:eastAsia="宋体"/>
          <w:color w:val="000000"/>
        </w:rPr>
        <w:t>1</w:t>
      </w:r>
      <w:r>
        <w:rPr>
          <w:rFonts w:ascii="宋体" w:hAnsi="宋体" w:eastAsia="宋体"/>
          <w:color w:val="000000"/>
        </w:rPr>
        <w:t xml:space="preserve"> </w:t>
      </w:r>
      <w:r>
        <w:rPr>
          <w:rFonts w:hint="eastAsia" w:ascii="宋体" w:hAnsi="宋体" w:eastAsia="宋体"/>
          <w:color w:val="000000"/>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p>
    <w:p w14:paraId="43B62B7F">
      <w:pPr>
        <w:pStyle w:val="330"/>
        <w:spacing w:line="520" w:lineRule="exact"/>
        <w:ind w:firstLine="560"/>
        <w:rPr>
          <w:rFonts w:hint="eastAsia" w:ascii="宋体" w:hAnsi="宋体" w:eastAsia="宋体"/>
          <w:color w:val="000000"/>
        </w:rPr>
      </w:pPr>
      <w:r>
        <w:rPr>
          <w:rFonts w:hint="eastAsia" w:ascii="宋体" w:hAnsi="宋体" w:eastAsia="宋体"/>
          <w:color w:val="000000"/>
        </w:rPr>
        <w:t>（1）如果乙方未能在合同规定的期限或甲方同意延期的限期内提供全部或部分货物（含软件及相关服务）；</w:t>
      </w:r>
      <w:r>
        <w:rPr>
          <w:rFonts w:ascii="宋体" w:hAnsi="宋体" w:eastAsia="宋体"/>
          <w:color w:val="000000"/>
        </w:rPr>
        <w:t xml:space="preserve"> </w:t>
      </w:r>
    </w:p>
    <w:p w14:paraId="22336BC2">
      <w:pPr>
        <w:pStyle w:val="330"/>
        <w:spacing w:line="520" w:lineRule="exact"/>
        <w:ind w:firstLine="560"/>
        <w:rPr>
          <w:rFonts w:hint="eastAsia" w:ascii="宋体" w:hAnsi="宋体" w:eastAsia="宋体"/>
          <w:color w:val="000000"/>
        </w:rPr>
      </w:pPr>
      <w:r>
        <w:rPr>
          <w:rFonts w:hint="eastAsia" w:ascii="宋体" w:hAnsi="宋体" w:eastAsia="宋体"/>
          <w:color w:val="000000"/>
        </w:rPr>
        <w:t>（</w:t>
      </w:r>
      <w:r>
        <w:rPr>
          <w:rFonts w:ascii="宋体" w:hAnsi="宋体" w:eastAsia="宋体"/>
          <w:color w:val="000000"/>
        </w:rPr>
        <w:t>2</w:t>
      </w:r>
      <w:r>
        <w:rPr>
          <w:rFonts w:hint="eastAsia" w:ascii="宋体" w:hAnsi="宋体" w:eastAsia="宋体"/>
          <w:color w:val="000000"/>
        </w:rPr>
        <w:t>）如果乙方未能履行合同规定的其它义务。</w:t>
      </w:r>
      <w:r>
        <w:rPr>
          <w:rFonts w:ascii="宋体" w:hAnsi="宋体" w:eastAsia="宋体"/>
          <w:color w:val="000000"/>
        </w:rPr>
        <w:t xml:space="preserve"> </w:t>
      </w:r>
    </w:p>
    <w:p w14:paraId="1D76CFAA">
      <w:pPr>
        <w:pStyle w:val="330"/>
        <w:spacing w:line="520" w:lineRule="exact"/>
        <w:ind w:firstLine="560"/>
        <w:rPr>
          <w:rFonts w:hint="eastAsia" w:ascii="宋体" w:hAnsi="宋体" w:eastAsia="宋体"/>
          <w:color w:val="000000"/>
        </w:rPr>
      </w:pPr>
      <w:r>
        <w:rPr>
          <w:rFonts w:hint="eastAsia" w:ascii="宋体" w:hAnsi="宋体" w:eastAsia="宋体"/>
          <w:color w:val="000000"/>
        </w:rPr>
        <w:t>17</w:t>
      </w:r>
      <w:r>
        <w:rPr>
          <w:rFonts w:ascii="宋体" w:hAnsi="宋体" w:eastAsia="宋体"/>
          <w:color w:val="000000"/>
        </w:rPr>
        <w:t xml:space="preserve">.2 </w:t>
      </w:r>
      <w:r>
        <w:rPr>
          <w:rFonts w:hint="eastAsia" w:ascii="宋体" w:hAnsi="宋体" w:eastAsia="宋体"/>
          <w:color w:val="000000"/>
        </w:rPr>
        <w:t>在甲方根据第17</w:t>
      </w:r>
      <w:r>
        <w:rPr>
          <w:rFonts w:ascii="宋体" w:hAnsi="宋体" w:eastAsia="宋体"/>
          <w:color w:val="000000"/>
        </w:rPr>
        <w:t>.</w:t>
      </w:r>
      <w:r>
        <w:rPr>
          <w:rFonts w:hint="eastAsia" w:ascii="宋体" w:hAnsi="宋体" w:eastAsia="宋体"/>
          <w:color w:val="000000"/>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2CCFBBE6">
      <w:pPr>
        <w:pStyle w:val="219"/>
        <w:spacing w:line="520" w:lineRule="exact"/>
        <w:rPr>
          <w:rFonts w:hint="eastAsia" w:hAnsi="宋体"/>
          <w:sz w:val="24"/>
          <w:szCs w:val="24"/>
        </w:rPr>
      </w:pPr>
      <w:r>
        <w:rPr>
          <w:rFonts w:hint="eastAsia" w:hAnsi="宋体"/>
          <w:sz w:val="24"/>
          <w:szCs w:val="24"/>
        </w:rPr>
        <w:t>18.破产中止合同</w:t>
      </w:r>
    </w:p>
    <w:p w14:paraId="57A47FDE">
      <w:pPr>
        <w:pStyle w:val="219"/>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w:t>
      </w:r>
      <w:r>
        <w:rPr>
          <w:rFonts w:hint="eastAsia" w:hAnsi="宋体"/>
          <w:sz w:val="24"/>
          <w:szCs w:val="24"/>
          <w:lang w:eastAsia="zh-CN"/>
        </w:rPr>
        <w:t>终止</w:t>
      </w:r>
      <w:r>
        <w:rPr>
          <w:rFonts w:hint="eastAsia" w:hAnsi="宋体"/>
          <w:sz w:val="24"/>
          <w:szCs w:val="24"/>
        </w:rPr>
        <w:t>合同而不给乙方补偿。该</w:t>
      </w:r>
      <w:r>
        <w:rPr>
          <w:rFonts w:hint="eastAsia" w:hAnsi="宋体"/>
          <w:sz w:val="24"/>
          <w:szCs w:val="24"/>
          <w:lang w:eastAsia="zh-CN"/>
        </w:rPr>
        <w:t>终止</w:t>
      </w:r>
      <w:r>
        <w:rPr>
          <w:rFonts w:hint="eastAsia" w:hAnsi="宋体"/>
          <w:sz w:val="24"/>
          <w:szCs w:val="24"/>
        </w:rPr>
        <w:t>合同将不损害或影响甲方和使用方已经采取或将要采取的任何行动或补救措施的权力。</w:t>
      </w:r>
    </w:p>
    <w:p w14:paraId="028595E6">
      <w:pPr>
        <w:pStyle w:val="219"/>
        <w:spacing w:line="520" w:lineRule="exact"/>
        <w:rPr>
          <w:rFonts w:hint="eastAsia" w:hAnsi="宋体"/>
          <w:sz w:val="24"/>
          <w:szCs w:val="24"/>
        </w:rPr>
      </w:pPr>
      <w:r>
        <w:rPr>
          <w:rFonts w:hint="eastAsia" w:hAnsi="宋体"/>
          <w:sz w:val="24"/>
          <w:szCs w:val="24"/>
        </w:rPr>
        <w:t>19.转让</w:t>
      </w:r>
    </w:p>
    <w:p w14:paraId="19429951">
      <w:pPr>
        <w:pStyle w:val="219"/>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p>
    <w:p w14:paraId="63838102">
      <w:pPr>
        <w:pStyle w:val="219"/>
        <w:spacing w:line="520" w:lineRule="exact"/>
        <w:rPr>
          <w:rFonts w:hint="eastAsia" w:hAnsi="宋体"/>
          <w:sz w:val="24"/>
          <w:szCs w:val="24"/>
        </w:rPr>
      </w:pPr>
      <w:r>
        <w:rPr>
          <w:rFonts w:hint="eastAsia" w:hAnsi="宋体"/>
          <w:sz w:val="24"/>
          <w:szCs w:val="24"/>
        </w:rPr>
        <w:t xml:space="preserve"> 20.合同生效及其它</w:t>
      </w:r>
    </w:p>
    <w:p w14:paraId="363A0EF7">
      <w:pPr>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p>
    <w:p w14:paraId="4534EBE8">
      <w:pPr>
        <w:pStyle w:val="219"/>
        <w:spacing w:line="520" w:lineRule="exact"/>
        <w:ind w:firstLine="480"/>
        <w:rPr>
          <w:rFonts w:hint="eastAsia" w:hAnsi="宋体"/>
          <w:sz w:val="24"/>
          <w:szCs w:val="24"/>
        </w:rPr>
      </w:pPr>
      <w:r>
        <w:rPr>
          <w:rFonts w:hint="eastAsia" w:hAnsi="宋体"/>
          <w:sz w:val="24"/>
          <w:szCs w:val="24"/>
        </w:rPr>
        <w:t>20.2本合同应在甲</w:t>
      </w:r>
      <w:r>
        <w:rPr>
          <w:rFonts w:hint="eastAsia" w:hAnsi="宋体"/>
          <w:sz w:val="24"/>
          <w:szCs w:val="24"/>
          <w:lang w:eastAsia="zh-CN"/>
        </w:rPr>
        <w:t>乙</w:t>
      </w:r>
      <w:r>
        <w:rPr>
          <w:rFonts w:hint="eastAsia" w:hAnsi="宋体"/>
          <w:sz w:val="24"/>
          <w:szCs w:val="24"/>
        </w:rPr>
        <w:t>双方签字盖章，经监管部门见证后生效。</w:t>
      </w:r>
    </w:p>
    <w:p w14:paraId="25E3A088">
      <w:pPr>
        <w:pStyle w:val="219"/>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p>
    <w:p w14:paraId="783D541B">
      <w:pPr>
        <w:pStyle w:val="219"/>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p>
    <w:p w14:paraId="5A997F37">
      <w:pPr>
        <w:pStyle w:val="219"/>
        <w:spacing w:line="520" w:lineRule="exact"/>
        <w:rPr>
          <w:rFonts w:hint="eastAsia" w:hAnsi="宋体"/>
          <w:sz w:val="24"/>
          <w:szCs w:val="24"/>
        </w:rPr>
      </w:pPr>
      <w:r>
        <w:rPr>
          <w:rFonts w:hint="eastAsia" w:hAnsi="宋体"/>
          <w:sz w:val="24"/>
          <w:szCs w:val="24"/>
        </w:rPr>
        <w:t xml:space="preserve">    20.5如需修改或补充合同内容，应</w:t>
      </w:r>
      <w:r>
        <w:rPr>
          <w:rFonts w:hint="eastAsia" w:hAnsi="宋体"/>
          <w:sz w:val="24"/>
          <w:szCs w:val="24"/>
          <w:lang w:eastAsia="zh-CN"/>
        </w:rPr>
        <w:t>经</w:t>
      </w:r>
      <w:r>
        <w:rPr>
          <w:rFonts w:hint="eastAsia" w:hAnsi="宋体"/>
          <w:sz w:val="24"/>
          <w:szCs w:val="24"/>
        </w:rPr>
        <w:t>监管部门同意，甲乙双方协商，签署书面修改或补充协议。该协议将作为本合同不可分割的一部分。</w:t>
      </w:r>
    </w:p>
    <w:p w14:paraId="18AA9FF9">
      <w:pPr>
        <w:spacing w:line="520" w:lineRule="exact"/>
        <w:ind w:firstLine="480"/>
        <w:rPr>
          <w:rFonts w:hint="eastAsia" w:ascii="宋体" w:hAnsi="宋体"/>
          <w:sz w:val="24"/>
        </w:rPr>
      </w:pPr>
      <w:r>
        <w:rPr>
          <w:rFonts w:hint="eastAsia" w:ascii="宋体" w:hAnsi="宋体"/>
          <w:sz w:val="24"/>
        </w:rPr>
        <w:t>20.6本合同应按照中华人民共和国的现行法律进行解释。</w:t>
      </w:r>
    </w:p>
    <w:p w14:paraId="7B0C7719">
      <w:pPr>
        <w:spacing w:line="520" w:lineRule="exact"/>
        <w:ind w:firstLine="480"/>
        <w:rPr>
          <w:rFonts w:hint="eastAsia" w:ascii="宋体" w:hAnsi="宋体"/>
          <w:sz w:val="24"/>
        </w:rPr>
      </w:pPr>
    </w:p>
    <w:p w14:paraId="408B12FD">
      <w:pPr>
        <w:rPr>
          <w:rFonts w:ascii="宋体" w:hAnsi="宋体"/>
          <w:sz w:val="24"/>
        </w:rPr>
      </w:pPr>
    </w:p>
    <w:p w14:paraId="2D5D574E">
      <w:pPr>
        <w:rPr>
          <w:rFonts w:ascii="宋体" w:hAnsi="宋体"/>
          <w:sz w:val="24"/>
        </w:rPr>
      </w:pPr>
    </w:p>
    <w:p w14:paraId="5E92DF2A"/>
    <w:p w14:paraId="58BFC69E">
      <w:pPr>
        <w:spacing w:line="520" w:lineRule="exact"/>
        <w:jc w:val="center"/>
        <w:rPr>
          <w:rFonts w:hint="eastAsia" w:ascii="宋体" w:hAnsi="宋体" w:cs="Arial Unicode MS"/>
          <w:b/>
          <w:sz w:val="24"/>
        </w:rPr>
      </w:pPr>
      <w:bookmarkStart w:id="46" w:name="_Toc455472181"/>
      <w:r>
        <w:rPr>
          <w:rFonts w:hint="eastAsia" w:ascii="宋体" w:hAnsi="宋体" w:cs="Arial Unicode MS"/>
          <w:b/>
          <w:sz w:val="24"/>
          <w:lang w:val="en-US" w:eastAsia="zh-CN"/>
        </w:rPr>
        <w:t>三、</w:t>
      </w:r>
      <w:r>
        <w:rPr>
          <w:rFonts w:hint="eastAsia" w:ascii="宋体" w:hAnsi="宋体" w:cs="Arial Unicode MS"/>
          <w:b/>
          <w:sz w:val="24"/>
        </w:rPr>
        <w:t>合同格式</w:t>
      </w:r>
      <w:bookmarkEnd w:id="46"/>
    </w:p>
    <w:p w14:paraId="494D05BE">
      <w:pPr>
        <w:spacing w:line="310" w:lineRule="exact"/>
        <w:ind w:firstLine="480"/>
        <w:rPr>
          <w:rFonts w:hint="eastAsia" w:ascii="宋体" w:hAnsi="宋体" w:eastAsia="宋体" w:cs="宋体"/>
          <w:sz w:val="24"/>
          <w:szCs w:val="24"/>
        </w:rPr>
      </w:pPr>
    </w:p>
    <w:p w14:paraId="08C050D2">
      <w:pPr>
        <w:spacing w:line="310" w:lineRule="exact"/>
        <w:ind w:firstLine="480"/>
        <w:rPr>
          <w:rFonts w:hint="eastAsia" w:ascii="宋体" w:hAnsi="宋体" w:eastAsia="宋体" w:cs="宋体"/>
          <w:sz w:val="24"/>
          <w:szCs w:val="24"/>
        </w:rPr>
      </w:pPr>
    </w:p>
    <w:p w14:paraId="217B558E">
      <w:pPr>
        <w:keepNext w:val="0"/>
        <w:keepLines w:val="0"/>
        <w:pageBreakBefore w:val="0"/>
        <w:widowControl w:val="0"/>
        <w:spacing w:line="520" w:lineRule="atLeast"/>
        <w:ind w:firstLine="480"/>
        <w:rPr>
          <w:rFonts w:hint="eastAsia" w:ascii="宋体" w:hAnsi="宋体" w:eastAsia="宋体" w:cs="宋体"/>
          <w:sz w:val="24"/>
          <w:szCs w:val="24"/>
          <w:lang w:eastAsia="zh-CN"/>
        </w:rPr>
      </w:pPr>
      <w:r>
        <w:rPr>
          <w:rFonts w:hint="eastAsia" w:ascii="宋体" w:hAnsi="宋体" w:eastAsia="宋体" w:cs="宋体"/>
          <w:sz w:val="24"/>
          <w:szCs w:val="24"/>
        </w:rPr>
        <w:t>甲   方（买家）：</w:t>
      </w:r>
      <w:r>
        <w:rPr>
          <w:rFonts w:hint="eastAsia" w:ascii="宋体" w:hAnsi="宋体" w:cs="宋体"/>
          <w:sz w:val="24"/>
          <w:szCs w:val="24"/>
          <w:lang w:eastAsia="zh-CN"/>
        </w:rPr>
        <w:t>涟水县农业技术综合服务中心</w:t>
      </w:r>
    </w:p>
    <w:p w14:paraId="6D95A682">
      <w:pPr>
        <w:keepNext w:val="0"/>
        <w:keepLines w:val="0"/>
        <w:pageBreakBefore w:val="0"/>
        <w:widowControl w:val="0"/>
        <w:spacing w:line="520" w:lineRule="atLeast"/>
        <w:ind w:firstLine="480"/>
        <w:rPr>
          <w:rFonts w:hint="eastAsia" w:ascii="宋体" w:hAnsi="宋体" w:eastAsia="宋体" w:cs="宋体"/>
          <w:sz w:val="24"/>
          <w:szCs w:val="24"/>
        </w:rPr>
      </w:pPr>
    </w:p>
    <w:p w14:paraId="28B5713F">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乙   方（卖家）：</w:t>
      </w:r>
    </w:p>
    <w:p w14:paraId="7360D1EA">
      <w:pPr>
        <w:keepNext w:val="0"/>
        <w:keepLines w:val="0"/>
        <w:pageBreakBefore w:val="0"/>
        <w:widowControl w:val="0"/>
        <w:spacing w:line="52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p>
    <w:p w14:paraId="36231194">
      <w:pPr>
        <w:keepNext w:val="0"/>
        <w:keepLines w:val="0"/>
        <w:pageBreakBefore w:val="0"/>
        <w:widowControl w:val="0"/>
        <w:spacing w:line="520" w:lineRule="atLeast"/>
        <w:ind w:firstLine="480"/>
        <w:rPr>
          <w:rFonts w:hint="eastAsia" w:ascii="宋体" w:hAnsi="宋体" w:eastAsia="宋体" w:cs="宋体"/>
          <w:b/>
          <w:sz w:val="24"/>
          <w:szCs w:val="24"/>
        </w:rPr>
      </w:pPr>
      <w:r>
        <w:rPr>
          <w:rFonts w:hint="eastAsia" w:ascii="宋体" w:hAnsi="宋体" w:eastAsia="宋体" w:cs="宋体"/>
          <w:sz w:val="24"/>
          <w:szCs w:val="24"/>
        </w:rPr>
        <w:t>根据《中华人民共和国政府采购法》、《中华人民共和国民法典》、《</w:t>
      </w:r>
      <w:bookmarkStart w:id="47" w:name="OLE_LINK15"/>
      <w:r>
        <w:rPr>
          <w:rFonts w:hint="eastAsia" w:ascii="宋体" w:hAnsi="宋体" w:eastAsia="宋体" w:cs="宋体"/>
          <w:sz w:val="24"/>
          <w:szCs w:val="24"/>
        </w:rPr>
        <w:t>农业农村部 自然资源部</w:t>
      </w:r>
      <w:bookmarkEnd w:id="47"/>
      <w:r>
        <w:rPr>
          <w:rFonts w:hint="eastAsia" w:ascii="宋体" w:hAnsi="宋体" w:eastAsia="宋体" w:cs="宋体"/>
          <w:sz w:val="24"/>
          <w:szCs w:val="24"/>
        </w:rPr>
        <w:t>印发&lt;补充耕地质量验收办法（试行&gt;）的通知》（农建发〔2025〕5号）、省农业农村厅办公室《关于印发&lt;江苏省补充耕地质量鉴定技术规程（试行）&gt;的通知》（苏农办建〔2026〕2号）等相关行业法律法规和文件规定要求执行，甲、乙双方按照中标结果签订本协议。</w:t>
      </w:r>
    </w:p>
    <w:p w14:paraId="3C8BE301">
      <w:pPr>
        <w:keepNext w:val="0"/>
        <w:keepLines w:val="0"/>
        <w:pageBreakBefore w:val="0"/>
        <w:widowControl w:val="0"/>
        <w:numPr>
          <w:ilvl w:val="0"/>
          <w:numId w:val="6"/>
        </w:numPr>
        <w:spacing w:line="520" w:lineRule="atLeast"/>
        <w:ind w:firstLine="482"/>
        <w:rPr>
          <w:rFonts w:hint="eastAsia" w:ascii="宋体" w:hAnsi="宋体" w:eastAsia="宋体" w:cs="宋体"/>
          <w:b/>
          <w:sz w:val="24"/>
          <w:szCs w:val="24"/>
        </w:rPr>
      </w:pPr>
      <w:r>
        <w:rPr>
          <w:rFonts w:hint="eastAsia" w:ascii="宋体" w:hAnsi="宋体" w:eastAsia="宋体" w:cs="宋体"/>
          <w:b/>
          <w:sz w:val="24"/>
          <w:szCs w:val="24"/>
        </w:rPr>
        <w:t>服务范围</w:t>
      </w:r>
    </w:p>
    <w:p w14:paraId="41D303F4">
      <w:pPr>
        <w:keepNext w:val="0"/>
        <w:keepLines w:val="0"/>
        <w:pageBreakBefore w:val="0"/>
        <w:widowControl w:val="0"/>
        <w:spacing w:line="520" w:lineRule="atLeast"/>
        <w:ind w:left="420"/>
        <w:rPr>
          <w:rFonts w:hint="eastAsia" w:ascii="宋体" w:hAnsi="宋体" w:eastAsia="宋体" w:cs="宋体"/>
          <w:sz w:val="24"/>
          <w:szCs w:val="24"/>
        </w:rPr>
      </w:pPr>
      <w:r>
        <w:rPr>
          <w:rFonts w:hint="eastAsia" w:ascii="宋体" w:hAnsi="宋体" w:eastAsia="宋体" w:cs="宋体"/>
          <w:sz w:val="24"/>
          <w:szCs w:val="24"/>
        </w:rPr>
        <w:t>甲方聘请乙方提供以下服务：</w:t>
      </w:r>
    </w:p>
    <w:p w14:paraId="122A237F">
      <w:pPr>
        <w:keepNext w:val="0"/>
        <w:keepLines w:val="0"/>
        <w:pageBreakBefore w:val="0"/>
        <w:widowControl w:val="0"/>
        <w:spacing w:line="520" w:lineRule="atLeast"/>
        <w:ind w:firstLine="482"/>
        <w:rPr>
          <w:rFonts w:hint="eastAsia" w:ascii="宋体" w:hAnsi="宋体" w:eastAsia="宋体" w:cs="宋体"/>
          <w:iCs/>
          <w:sz w:val="24"/>
          <w:szCs w:val="24"/>
        </w:rPr>
      </w:pPr>
      <w:r>
        <w:rPr>
          <w:rFonts w:hint="eastAsia" w:ascii="宋体" w:hAnsi="宋体" w:eastAsia="宋体" w:cs="宋体"/>
          <w:b/>
          <w:bCs/>
          <w:iCs/>
          <w:sz w:val="24"/>
          <w:szCs w:val="24"/>
        </w:rPr>
        <w:t>（1）本合同服务：</w:t>
      </w:r>
      <w:r>
        <w:rPr>
          <w:rFonts w:hint="eastAsia" w:ascii="宋体" w:hAnsi="宋体" w:cs="宋体"/>
          <w:iCs/>
          <w:sz w:val="24"/>
          <w:szCs w:val="24"/>
          <w:lang w:eastAsia="zh-CN"/>
        </w:rPr>
        <w:t>涟水县2025年占补平衡项目补充耕地质量鉴定</w:t>
      </w:r>
      <w:r>
        <w:rPr>
          <w:rFonts w:hint="eastAsia" w:ascii="宋体" w:hAnsi="宋体" w:eastAsia="宋体" w:cs="宋体"/>
          <w:iCs/>
          <w:sz w:val="24"/>
          <w:szCs w:val="24"/>
        </w:rPr>
        <w:t>。</w:t>
      </w:r>
    </w:p>
    <w:p w14:paraId="58D04CA8">
      <w:pPr>
        <w:keepNext w:val="0"/>
        <w:keepLines w:val="0"/>
        <w:pageBreakBefore w:val="0"/>
        <w:widowControl w:val="0"/>
        <w:spacing w:line="520" w:lineRule="atLeast"/>
        <w:ind w:firstLine="482"/>
        <w:rPr>
          <w:rFonts w:hint="eastAsia" w:ascii="宋体" w:hAnsi="宋体" w:cs="宋体"/>
          <w:sz w:val="24"/>
          <w:szCs w:val="24"/>
          <w:lang w:eastAsia="zh-CN"/>
        </w:rPr>
      </w:pPr>
      <w:r>
        <w:rPr>
          <w:rFonts w:hint="eastAsia" w:ascii="宋体" w:hAnsi="宋体" w:eastAsia="宋体" w:cs="宋体"/>
          <w:b/>
          <w:bCs/>
          <w:iCs/>
          <w:sz w:val="24"/>
          <w:szCs w:val="24"/>
        </w:rPr>
        <w:t>（2）项目概况:</w:t>
      </w:r>
      <w:r>
        <w:rPr>
          <w:rFonts w:hint="eastAsia" w:ascii="宋体" w:hAnsi="宋体" w:cs="宋体"/>
          <w:sz w:val="24"/>
          <w:szCs w:val="24"/>
          <w:lang w:eastAsia="zh-CN"/>
        </w:rPr>
        <w:t>2025年度占补平衡第一批128个地块295.75亩（包括已鉴定等级达不到上年占用耕地等级地块再鉴定地块）；第二批209个地块，371.99亩；第三批427个地块，1232.25亩；第四批954个地块4122亩，合计1718个地块6021.99亩。</w:t>
      </w:r>
    </w:p>
    <w:p w14:paraId="4AB54D9B">
      <w:pPr>
        <w:keepNext w:val="0"/>
        <w:keepLines w:val="0"/>
        <w:pageBreakBefore w:val="0"/>
        <w:widowControl w:val="0"/>
        <w:spacing w:line="520" w:lineRule="atLeast"/>
        <w:ind w:firstLine="482"/>
        <w:rPr>
          <w:rFonts w:hint="eastAsia" w:ascii="宋体" w:hAnsi="宋体" w:eastAsia="宋体" w:cs="宋体"/>
          <w:iCs/>
          <w:color w:val="FF0000"/>
          <w:sz w:val="24"/>
          <w:szCs w:val="24"/>
        </w:rPr>
      </w:pPr>
      <w:r>
        <w:rPr>
          <w:rFonts w:hint="eastAsia" w:ascii="宋体" w:hAnsi="宋体" w:eastAsia="宋体" w:cs="宋体"/>
          <w:b/>
          <w:bCs/>
          <w:sz w:val="24"/>
          <w:szCs w:val="24"/>
        </w:rPr>
        <w:t>（3）服务内容：</w:t>
      </w:r>
      <w:r>
        <w:rPr>
          <w:rFonts w:hint="eastAsia" w:ascii="宋体" w:hAnsi="宋体" w:eastAsia="宋体" w:cs="宋体"/>
          <w:iCs/>
          <w:color w:val="FF0000"/>
          <w:sz w:val="24"/>
          <w:szCs w:val="24"/>
        </w:rPr>
        <w:t>乙方严格按照国家、省、市技术规范，完成评价单元划定及专家评审、现场踏勘、有效土层、质地构型及耕作层开掘和侵入体含量测量、土壤容重采集、土壤样品采集、制样、检测、耕地质量等级评价、报告编制、档案整理、平台录入，协助甲方组织</w:t>
      </w:r>
      <w:r>
        <w:rPr>
          <w:rFonts w:hint="eastAsia" w:ascii="宋体" w:hAnsi="宋体" w:cs="宋体"/>
          <w:iCs/>
          <w:color w:val="FF0000"/>
          <w:sz w:val="24"/>
          <w:szCs w:val="24"/>
          <w:lang w:val="en-US" w:eastAsia="zh-CN"/>
        </w:rPr>
        <w:t>县</w:t>
      </w:r>
      <w:r>
        <w:rPr>
          <w:rFonts w:hint="eastAsia" w:ascii="宋体" w:hAnsi="宋体" w:eastAsia="宋体" w:cs="宋体"/>
          <w:iCs/>
          <w:color w:val="FF0000"/>
          <w:sz w:val="24"/>
          <w:szCs w:val="24"/>
        </w:rPr>
        <w:t>级鉴定会议，全程配合市级鉴定、省级抽核、样品复检等全部工作。</w:t>
      </w:r>
    </w:p>
    <w:p w14:paraId="76507677">
      <w:pPr>
        <w:keepNext w:val="0"/>
        <w:keepLines w:val="0"/>
        <w:pageBreakBefore w:val="0"/>
        <w:widowControl w:val="0"/>
        <w:spacing w:line="520" w:lineRule="atLeast"/>
        <w:ind w:firstLine="482"/>
        <w:rPr>
          <w:rFonts w:hint="eastAsia" w:ascii="宋体" w:hAnsi="宋体" w:eastAsia="宋体" w:cs="宋体"/>
          <w:sz w:val="24"/>
          <w:szCs w:val="24"/>
        </w:rPr>
      </w:pPr>
      <w:r>
        <w:rPr>
          <w:rFonts w:hint="eastAsia" w:ascii="宋体" w:hAnsi="宋体" w:eastAsia="宋体" w:cs="宋体"/>
          <w:b/>
          <w:bCs/>
          <w:sz w:val="24"/>
          <w:szCs w:val="24"/>
        </w:rPr>
        <w:t>（4）服务标准：</w:t>
      </w:r>
      <w:r>
        <w:rPr>
          <w:rFonts w:hint="eastAsia" w:ascii="宋体" w:hAnsi="宋体" w:eastAsia="宋体" w:cs="宋体"/>
          <w:iCs/>
          <w:sz w:val="24"/>
          <w:szCs w:val="24"/>
        </w:rPr>
        <w:t>符合</w:t>
      </w:r>
      <w:r>
        <w:rPr>
          <w:rFonts w:hint="eastAsia" w:ascii="宋体" w:hAnsi="宋体" w:eastAsia="宋体" w:cs="宋体"/>
          <w:sz w:val="24"/>
          <w:szCs w:val="24"/>
        </w:rPr>
        <w:t>《农业农村部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省农业农村厅、省自然资源厅《关于印发&lt;江苏省补充耕地质量验收实施细则（试行）&gt;的通知》（苏农建〔2026〕6号）</w:t>
      </w:r>
      <w:r>
        <w:rPr>
          <w:rFonts w:hint="eastAsia" w:ascii="宋体" w:hAnsi="宋体" w:eastAsia="宋体" w:cs="宋体"/>
          <w:iCs/>
          <w:sz w:val="24"/>
          <w:szCs w:val="24"/>
        </w:rPr>
        <w:t>等文件要求</w:t>
      </w:r>
      <w:r>
        <w:rPr>
          <w:rFonts w:hint="eastAsia" w:ascii="宋体" w:hAnsi="宋体" w:eastAsia="宋体" w:cs="宋体"/>
          <w:sz w:val="24"/>
          <w:szCs w:val="24"/>
        </w:rPr>
        <w:t>。</w:t>
      </w:r>
    </w:p>
    <w:p w14:paraId="0117A64E">
      <w:pPr>
        <w:keepNext w:val="0"/>
        <w:keepLines w:val="0"/>
        <w:pageBreakBefore w:val="0"/>
        <w:widowControl w:val="0"/>
        <w:spacing w:line="520" w:lineRule="atLeast"/>
        <w:ind w:firstLine="482"/>
        <w:rPr>
          <w:rFonts w:hint="eastAsia" w:ascii="宋体" w:hAnsi="宋体" w:eastAsia="宋体" w:cs="宋体"/>
          <w:color w:val="FF0000"/>
          <w:sz w:val="24"/>
          <w:szCs w:val="24"/>
        </w:rPr>
      </w:pPr>
      <w:r>
        <w:rPr>
          <w:rFonts w:hint="eastAsia" w:ascii="宋体" w:hAnsi="宋体" w:eastAsia="宋体" w:cs="宋体"/>
          <w:b/>
          <w:bCs/>
          <w:sz w:val="24"/>
          <w:szCs w:val="24"/>
        </w:rPr>
        <w:t>（5）服务期限、地点：</w:t>
      </w:r>
      <w:r>
        <w:rPr>
          <w:rFonts w:hint="eastAsia" w:ascii="宋体" w:hAnsi="宋体" w:eastAsia="宋体" w:cs="宋体"/>
          <w:sz w:val="24"/>
          <w:szCs w:val="24"/>
        </w:rPr>
        <w:t>自合同签订之日起</w:t>
      </w:r>
      <w:r>
        <w:rPr>
          <w:rFonts w:hint="eastAsia" w:ascii="宋体" w:hAnsi="宋体" w:cs="宋体"/>
          <w:sz w:val="24"/>
          <w:szCs w:val="24"/>
          <w:lang w:val="en-US" w:eastAsia="zh-CN"/>
        </w:rPr>
        <w:t>6个月内（具体时间根据甲方实际要求）</w:t>
      </w:r>
      <w:r>
        <w:rPr>
          <w:rFonts w:hint="eastAsia" w:ascii="宋体" w:hAnsi="宋体" w:eastAsia="宋体" w:cs="宋体"/>
          <w:sz w:val="24"/>
          <w:szCs w:val="24"/>
        </w:rPr>
        <w:t>，</w:t>
      </w:r>
      <w:r>
        <w:rPr>
          <w:rFonts w:hint="eastAsia" w:ascii="宋体" w:hAnsi="宋体" w:cs="宋体"/>
          <w:sz w:val="24"/>
          <w:szCs w:val="24"/>
          <w:lang w:val="en-US" w:eastAsia="zh-CN"/>
        </w:rPr>
        <w:t>涟水县</w:t>
      </w:r>
      <w:r>
        <w:rPr>
          <w:rFonts w:hint="eastAsia" w:ascii="宋体" w:hAnsi="宋体" w:eastAsia="宋体" w:cs="宋体"/>
          <w:sz w:val="24"/>
          <w:szCs w:val="24"/>
        </w:rPr>
        <w:t>16个镇（街道）：陈师街道、保滩街道、涟城街道、朱码街道、成集镇、梁岔镇、高沟镇、岔庙镇、红窑镇、五港镇、大东镇、东胡集镇、南集镇、黄营镇、石湖镇、唐集镇等镇（街）。</w:t>
      </w:r>
    </w:p>
    <w:p w14:paraId="6897E2F3">
      <w:pPr>
        <w:keepNext w:val="0"/>
        <w:keepLines w:val="0"/>
        <w:pageBreakBefore w:val="0"/>
        <w:widowControl w:val="0"/>
        <w:spacing w:line="520" w:lineRule="atLeast"/>
        <w:ind w:firstLine="482"/>
        <w:rPr>
          <w:rFonts w:hint="eastAsia" w:ascii="宋体" w:hAnsi="宋体" w:eastAsia="宋体" w:cs="宋体"/>
          <w:sz w:val="24"/>
          <w:szCs w:val="24"/>
        </w:rPr>
      </w:pPr>
      <w:r>
        <w:rPr>
          <w:rFonts w:hint="eastAsia" w:ascii="宋体" w:hAnsi="宋体" w:eastAsia="宋体" w:cs="宋体"/>
          <w:b/>
          <w:bCs/>
          <w:sz w:val="24"/>
          <w:szCs w:val="24"/>
        </w:rPr>
        <w:t>（6）项目负责人：</w:t>
      </w:r>
      <w:r>
        <w:rPr>
          <w:rFonts w:hint="eastAsia" w:ascii="宋体" w:hAnsi="宋体" w:eastAsia="宋体" w:cs="宋体"/>
          <w:sz w:val="24"/>
          <w:szCs w:val="24"/>
        </w:rPr>
        <w:t>乙方根据本项目具体情况指派</w:t>
      </w:r>
      <w:r>
        <w:rPr>
          <w:rFonts w:hint="eastAsia" w:ascii="宋体" w:hAnsi="宋体" w:eastAsia="宋体" w:cs="宋体"/>
          <w:sz w:val="24"/>
          <w:szCs w:val="24"/>
          <w:u w:val="single"/>
        </w:rPr>
        <w:t xml:space="preserve">        </w:t>
      </w:r>
      <w:r>
        <w:rPr>
          <w:rFonts w:hint="eastAsia" w:ascii="宋体" w:hAnsi="宋体" w:eastAsia="宋体" w:cs="宋体"/>
          <w:sz w:val="24"/>
          <w:szCs w:val="24"/>
        </w:rPr>
        <w:t>同志担任本项目的负责人，代表乙方具体负责本项目相关工作。</w:t>
      </w:r>
    </w:p>
    <w:p w14:paraId="77ADB523">
      <w:pPr>
        <w:keepNext w:val="0"/>
        <w:keepLines w:val="0"/>
        <w:pageBreakBefore w:val="0"/>
        <w:widowControl w:val="0"/>
        <w:spacing w:line="520" w:lineRule="atLeast"/>
        <w:ind w:firstLine="482"/>
        <w:rPr>
          <w:rFonts w:hint="eastAsia" w:ascii="宋体" w:hAnsi="宋体" w:eastAsia="宋体" w:cs="宋体"/>
          <w:sz w:val="24"/>
          <w:szCs w:val="24"/>
        </w:rPr>
      </w:pPr>
      <w:r>
        <w:rPr>
          <w:rFonts w:hint="eastAsia" w:ascii="宋体" w:hAnsi="宋体" w:eastAsia="宋体" w:cs="宋体"/>
          <w:b/>
          <w:bCs/>
          <w:sz w:val="24"/>
          <w:szCs w:val="24"/>
        </w:rPr>
        <w:t>第二条 组成本合同的有关文件</w:t>
      </w:r>
    </w:p>
    <w:p w14:paraId="2750E188">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下列与本次采购活动有关的文件及有关附件是本合同不可分割的组成部分，与本合同具有同等法律效力，这些文件包括但不限于：</w:t>
      </w:r>
    </w:p>
    <w:p w14:paraId="2E439212">
      <w:pPr>
        <w:keepNext w:val="0"/>
        <w:keepLines w:val="0"/>
        <w:pageBreakBefore w:val="0"/>
        <w:widowControl w:val="0"/>
        <w:numPr>
          <w:ilvl w:val="0"/>
          <w:numId w:val="7"/>
        </w:numPr>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招标采购文件（编号：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926A60D">
      <w:pPr>
        <w:keepNext w:val="0"/>
        <w:keepLines w:val="0"/>
        <w:pageBreakBefore w:val="0"/>
        <w:widowControl w:val="0"/>
        <w:numPr>
          <w:ilvl w:val="0"/>
          <w:numId w:val="7"/>
        </w:numPr>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乙方提供的投标文件；</w:t>
      </w:r>
    </w:p>
    <w:p w14:paraId="5A45AFF6">
      <w:pPr>
        <w:keepNext w:val="0"/>
        <w:keepLines w:val="0"/>
        <w:pageBreakBefore w:val="0"/>
        <w:widowControl w:val="0"/>
        <w:numPr>
          <w:ilvl w:val="0"/>
          <w:numId w:val="7"/>
        </w:numPr>
        <w:spacing w:line="520" w:lineRule="atLeast"/>
        <w:ind w:firstLine="480"/>
        <w:rPr>
          <w:rFonts w:hint="eastAsia" w:ascii="宋体" w:hAnsi="宋体" w:eastAsia="宋体" w:cs="宋体"/>
          <w:sz w:val="24"/>
          <w:szCs w:val="24"/>
        </w:rPr>
      </w:pPr>
      <w:r>
        <w:rPr>
          <w:rFonts w:hint="eastAsia" w:ascii="宋体" w:hAnsi="宋体" w:eastAsia="宋体" w:cs="宋体"/>
          <w:sz w:val="24"/>
          <w:szCs w:val="24"/>
          <w:lang w:val="zh-CN"/>
        </w:rPr>
        <w:t>乙方在谈判过程中所作的其他承诺、声明、书面澄清等；</w:t>
      </w:r>
    </w:p>
    <w:p w14:paraId="40F831E7">
      <w:pPr>
        <w:keepNext w:val="0"/>
        <w:keepLines w:val="0"/>
        <w:pageBreakBefore w:val="0"/>
        <w:widowControl w:val="0"/>
        <w:numPr>
          <w:ilvl w:val="0"/>
          <w:numId w:val="7"/>
        </w:numPr>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中标通知书；</w:t>
      </w:r>
    </w:p>
    <w:p w14:paraId="26864CEF">
      <w:pPr>
        <w:keepNext w:val="0"/>
        <w:keepLines w:val="0"/>
        <w:pageBreakBefore w:val="0"/>
        <w:widowControl w:val="0"/>
        <w:numPr>
          <w:ilvl w:val="0"/>
          <w:numId w:val="7"/>
        </w:numPr>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甲乙双方商定的其他文件等。</w:t>
      </w:r>
    </w:p>
    <w:p w14:paraId="30A4636F">
      <w:pPr>
        <w:keepNext w:val="0"/>
        <w:keepLines w:val="0"/>
        <w:pageBreakBefore w:val="0"/>
        <w:widowControl w:val="0"/>
        <w:spacing w:line="520" w:lineRule="atLeast"/>
        <w:ind w:firstLine="482"/>
        <w:jc w:val="left"/>
        <w:rPr>
          <w:rFonts w:hint="eastAsia" w:ascii="宋体" w:hAnsi="宋体" w:eastAsia="宋体" w:cs="宋体"/>
          <w:sz w:val="24"/>
          <w:szCs w:val="24"/>
        </w:rPr>
      </w:pPr>
      <w:r>
        <w:rPr>
          <w:rFonts w:hint="eastAsia" w:ascii="宋体" w:hAnsi="宋体" w:eastAsia="宋体" w:cs="宋体"/>
          <w:b/>
          <w:bCs/>
          <w:sz w:val="24"/>
          <w:szCs w:val="24"/>
        </w:rPr>
        <w:t>第三条 工作内容</w:t>
      </w:r>
    </w:p>
    <w:p w14:paraId="3DDA0FA0">
      <w:pPr>
        <w:keepNext w:val="0"/>
        <w:keepLines w:val="0"/>
        <w:pageBreakBefore w:val="0"/>
        <w:widowControl w:val="0"/>
        <w:spacing w:line="520" w:lineRule="atLeas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按照甲方的委托要求开展补充耕地质量鉴定工作。乙方工作中严格执行《关于印发&lt;江苏省补充耕地质量鉴定技术规程（试行）&gt;的通知》（苏农办建〔2026〕2号）等文件要求，保证及时高质量完成甲方委托任务。具体事项有：</w:t>
      </w:r>
    </w:p>
    <w:p w14:paraId="29847661">
      <w:pPr>
        <w:keepNext w:val="0"/>
        <w:keepLines w:val="0"/>
        <w:pageBreakBefore w:val="0"/>
        <w:widowControl w:val="0"/>
        <w:spacing w:line="520" w:lineRule="atLeast"/>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1、协助甲方收集整理、审核补充耕地质量鉴定申请材料，</w:t>
      </w:r>
      <w:r>
        <w:rPr>
          <w:rFonts w:hint="eastAsia" w:ascii="宋体" w:hAnsi="宋体" w:eastAsia="宋体" w:cs="宋体"/>
          <w:color w:val="auto"/>
          <w:sz w:val="24"/>
          <w:szCs w:val="24"/>
          <w:lang w:val="en-US" w:eastAsia="zh-CN"/>
        </w:rPr>
        <w:t>完成县级补充耕地质量鉴定资料审核</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现场踏勘，等级评价、专家评定材料，建立完整的补充耕地评定电子档案和纸质档案，纸质档案按类别分别装订成册，并完成补充耕地质量信息平台填报。</w:t>
      </w:r>
    </w:p>
    <w:p w14:paraId="547051DC">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rPr>
        <w:t>2、乙方协助甲方邀请业内资深专家挑选部分代表性地块实地踏勘</w:t>
      </w:r>
      <w:r>
        <w:rPr>
          <w:rFonts w:hint="eastAsia" w:ascii="宋体" w:hAnsi="宋体" w:eastAsia="宋体" w:cs="宋体"/>
          <w:color w:val="000000" w:themeColor="text1"/>
          <w:sz w:val="24"/>
          <w:szCs w:val="24"/>
          <w14:textFill>
            <w14:solidFill>
              <w14:schemeClr w14:val="tx1"/>
            </w14:solidFill>
          </w14:textFill>
        </w:rPr>
        <w:t>，科学划定评价单元，布设踏勘点位，并组织专家评审。</w:t>
      </w:r>
    </w:p>
    <w:p w14:paraId="52B8DE87">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协助甲方抽取专家并组织专家现场踏勘，包括但不限于对布设点位进行现场调查，查看利用类型、地形坡度、侵入体类型及砾石含量、田面平整程度、水资源保障条件、道路通行条件、地形部位、耕层厚度及质地、有效土层厚度、质地构型</w:t>
      </w:r>
      <w:r>
        <w:rPr>
          <w:rFonts w:hint="eastAsia" w:ascii="宋体" w:hAnsi="宋体" w:cs="宋体"/>
          <w:color w:val="FF0000"/>
          <w:sz w:val="24"/>
          <w:szCs w:val="24"/>
          <w:lang w:eastAsia="zh-CN"/>
        </w:rPr>
        <w:t>（</w:t>
      </w:r>
      <w:r>
        <w:rPr>
          <w:rFonts w:hint="eastAsia" w:ascii="宋体" w:hAnsi="宋体" w:eastAsia="宋体" w:cs="宋体"/>
          <w:color w:val="FF0000"/>
          <w:sz w:val="24"/>
          <w:szCs w:val="24"/>
          <w:lang w:val="en-US" w:eastAsia="zh-CN"/>
        </w:rPr>
        <w:t>采用挖掘法或土钻法获取不同层次土壤，判断质地信息）</w:t>
      </w:r>
      <w:r>
        <w:rPr>
          <w:rFonts w:hint="eastAsia" w:ascii="宋体" w:hAnsi="宋体" w:eastAsia="宋体" w:cs="宋体"/>
          <w:color w:val="000000" w:themeColor="text1"/>
          <w:sz w:val="24"/>
          <w:szCs w:val="24"/>
          <w14:textFill>
            <w14:solidFill>
              <w14:schemeClr w14:val="tx1"/>
            </w14:solidFill>
          </w14:textFill>
        </w:rPr>
        <w:t>、排水能力、农田防护与生态环境保护水平等农业生产符合性条件，踏勘照片拍摄（包括景观、现场工作照、剖面照或土钻断面照、土壤混合样品采集照、四分法工作照、土壤容重样品采集照、样品封存照等），照片上显示项目地块编号、拍摄日期、经纬度、点位编号。实地踏勘中如明确发现评价单元内踏勘点位以外的区域存在问题，应针对问题区域进行调查，并记录。现场填写《补充耕地质量鉴定实地踏勘表》，一次性告知地块存在问题。同时做好土壤样品的运输流转和信息核对工作。</w:t>
      </w:r>
    </w:p>
    <w:p w14:paraId="4AB788F2">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踏勘布设点位周边用钢钎加密探测地下障碍物，每个布点周边不少于3个探查点位，钎插探查深度不低于50cm，原则上探查点位与布点之间两两相距不低于15米，探查点位也可由踏勘专家现场确定，针对疑似垃圾填埋地点可加密布设钎插点位。提供每个地块现场勘查照片，照片上显示项目编号、拍摄日期、经纬度、钎插和开掘点位及编号。乙方承担踏田勘察所涉专家、车辆、食宿等所有费用。地块基本踏勘费根据实际踏勘地块（图斑）数量计算（依据踏勘专家现场调查签署表格数量），地块面积根据</w:t>
      </w:r>
      <w:r>
        <w:rPr>
          <w:rFonts w:hint="eastAsia" w:ascii="宋体" w:hAnsi="宋体" w:cs="宋体"/>
          <w:color w:val="000000" w:themeColor="text1"/>
          <w:sz w:val="24"/>
          <w:szCs w:val="24"/>
          <w:lang w:val="en-US" w:eastAsia="zh-CN"/>
          <w14:textFill>
            <w14:solidFill>
              <w14:schemeClr w14:val="tx1"/>
            </w14:solidFill>
          </w14:textFill>
        </w:rPr>
        <w:t>县</w:t>
      </w:r>
      <w:r>
        <w:rPr>
          <w:rFonts w:hint="eastAsia" w:ascii="宋体" w:hAnsi="宋体" w:eastAsia="宋体" w:cs="宋体"/>
          <w:color w:val="000000" w:themeColor="text1"/>
          <w:sz w:val="24"/>
          <w:szCs w:val="24"/>
          <w14:textFill>
            <w14:solidFill>
              <w14:schemeClr w14:val="tx1"/>
            </w14:solidFill>
          </w14:textFill>
        </w:rPr>
        <w:t>资规分局提供（项目立项）图斑面积计算，不合格地块重复踏勘进行累计计算。</w:t>
      </w:r>
    </w:p>
    <w:p w14:paraId="79989523">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FF0000"/>
          <w:sz w:val="24"/>
          <w:szCs w:val="24"/>
        </w:rPr>
        <w:t>4、乙方必须出具符合国家规范并</w:t>
      </w:r>
      <w:r>
        <w:rPr>
          <w:rFonts w:hint="eastAsia" w:ascii="宋体" w:hAnsi="宋体" w:cs="宋体"/>
          <w:color w:val="FF0000"/>
          <w:sz w:val="24"/>
          <w:szCs w:val="24"/>
          <w:lang w:val="en-US" w:eastAsia="zh-CN"/>
        </w:rPr>
        <w:t>具</w:t>
      </w:r>
      <w:r>
        <w:rPr>
          <w:rFonts w:hint="eastAsia" w:ascii="宋体" w:hAnsi="宋体" w:eastAsia="宋体" w:cs="宋体"/>
          <w:color w:val="FF0000"/>
          <w:sz w:val="24"/>
          <w:szCs w:val="24"/>
        </w:rPr>
        <w:t>有CMA</w:t>
      </w:r>
      <w:r>
        <w:rPr>
          <w:rFonts w:hint="eastAsia" w:ascii="宋体" w:hAnsi="宋体" w:cs="宋体"/>
          <w:color w:val="FF0000"/>
          <w:sz w:val="24"/>
          <w:szCs w:val="24"/>
          <w:lang w:val="en-US" w:eastAsia="zh-CN"/>
        </w:rPr>
        <w:t>资质论证</w:t>
      </w:r>
      <w:r>
        <w:rPr>
          <w:rFonts w:hint="eastAsia" w:ascii="宋体" w:hAnsi="宋体" w:eastAsia="宋体" w:cs="宋体"/>
          <w:color w:val="FF0000"/>
          <w:sz w:val="24"/>
          <w:szCs w:val="24"/>
        </w:rPr>
        <w:t>的土壤检测报告。</w:t>
      </w:r>
    </w:p>
    <w:p w14:paraId="744BFA9D">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5、按评价单元或者项目开展补充耕地质量等级调查评价。</w:t>
      </w:r>
    </w:p>
    <w:p w14:paraId="265EFE44">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6、协助甲方召开</w:t>
      </w:r>
      <w:r>
        <w:rPr>
          <w:rFonts w:hint="eastAsia" w:ascii="宋体" w:hAnsi="宋体" w:cs="宋体"/>
          <w:color w:val="000000" w:themeColor="text1"/>
          <w:sz w:val="24"/>
          <w:szCs w:val="24"/>
          <w:lang w:val="en-US" w:eastAsia="zh-CN"/>
          <w14:textFill>
            <w14:solidFill>
              <w14:schemeClr w14:val="tx1"/>
            </w14:solidFill>
          </w14:textFill>
        </w:rPr>
        <w:t>县</w:t>
      </w:r>
      <w:r>
        <w:rPr>
          <w:rFonts w:hint="eastAsia" w:ascii="宋体" w:hAnsi="宋体" w:eastAsia="宋体" w:cs="宋体"/>
          <w:color w:val="000000" w:themeColor="text1"/>
          <w:sz w:val="24"/>
          <w:szCs w:val="24"/>
          <w14:textFill>
            <w14:solidFill>
              <w14:schemeClr w14:val="tx1"/>
            </w14:solidFill>
          </w14:textFill>
        </w:rPr>
        <w:t>级补充耕地质量初鉴会议，承担会议所涉及的专家、车辆、会场租用、食宿等所有费用。配合市级鉴定或省级抽核所涉车辆、技术人员、资料准备、复检土样送样、踏勘路线安排等相关所有费用。</w:t>
      </w:r>
    </w:p>
    <w:p w14:paraId="31478793">
      <w:pPr>
        <w:keepNext w:val="0"/>
        <w:keepLines w:val="0"/>
        <w:pageBreakBefore w:val="0"/>
        <w:widowControl w:val="0"/>
        <w:spacing w:line="520" w:lineRule="atLeast"/>
        <w:ind w:firstLine="48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为确保工作期间安全生产工作，乙方参与外业调查人员、现场踏勘专家、甲方随队监督人员（删除）等必须购买人身意外险，费用由乙方承担。若在履约过程中出现任何安全事故，一切责任由成交供应商承担，采购方不承担任何责任。</w:t>
      </w:r>
    </w:p>
    <w:p w14:paraId="3DC36EF8">
      <w:pPr>
        <w:keepNext w:val="0"/>
        <w:keepLines w:val="0"/>
        <w:pageBreakBefore w:val="0"/>
        <w:widowControl w:val="0"/>
        <w:spacing w:line="520" w:lineRule="atLeast"/>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8、其他（甲、乙双方认为需要增加的内容）。</w:t>
      </w:r>
    </w:p>
    <w:p w14:paraId="201C7BDF">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第四条 协议价款与支付方式</w:t>
      </w:r>
    </w:p>
    <w:p w14:paraId="4DF0A4D5">
      <w:pPr>
        <w:keepNext w:val="0"/>
        <w:keepLines w:val="0"/>
        <w:pageBreakBefore w:val="0"/>
        <w:widowControl w:val="0"/>
        <w:spacing w:line="520" w:lineRule="exact"/>
        <w:ind w:firstLine="480"/>
        <w:rPr>
          <w:rFonts w:hint="eastAsia" w:ascii="宋体" w:hAnsi="宋体" w:eastAsia="宋体" w:cs="宋体"/>
          <w:color w:val="00B0F0"/>
          <w:sz w:val="24"/>
          <w:szCs w:val="24"/>
        </w:rPr>
      </w:pPr>
      <w:r>
        <w:rPr>
          <w:rFonts w:hint="eastAsia" w:ascii="宋体" w:hAnsi="宋体" w:eastAsia="宋体" w:cs="宋体"/>
          <w:color w:val="00B0F0"/>
          <w:sz w:val="24"/>
          <w:szCs w:val="24"/>
        </w:rPr>
        <w:t>根据竞争性谈判结果：</w:t>
      </w:r>
    </w:p>
    <w:p w14:paraId="2C7962E2">
      <w:pPr>
        <w:pStyle w:val="5"/>
        <w:rPr>
          <w:rFonts w:hint="default"/>
        </w:rPr>
      </w:pPr>
    </w:p>
    <w:tbl>
      <w:tblPr>
        <w:tblStyle w:val="35"/>
        <w:tblW w:w="92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5"/>
        <w:gridCol w:w="3272"/>
        <w:gridCol w:w="1351"/>
        <w:gridCol w:w="1541"/>
        <w:gridCol w:w="2339"/>
      </w:tblGrid>
      <w:tr w14:paraId="6497E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735" w:type="dxa"/>
            <w:tcBorders>
              <w:top w:val="single" w:color="000000" w:sz="8" w:space="0"/>
              <w:left w:val="single" w:color="000000" w:sz="8" w:space="0"/>
              <w:bottom w:val="single" w:color="000000" w:sz="8" w:space="0"/>
              <w:right w:val="single" w:color="000000" w:sz="8" w:space="0"/>
            </w:tcBorders>
            <w:noWrap w:val="0"/>
            <w:vAlign w:val="center"/>
          </w:tcPr>
          <w:p w14:paraId="2B718A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3272" w:type="dxa"/>
            <w:tcBorders>
              <w:top w:val="single" w:color="000000" w:sz="8" w:space="0"/>
              <w:left w:val="single" w:color="000000" w:sz="8" w:space="0"/>
              <w:bottom w:val="single" w:color="000000" w:sz="8" w:space="0"/>
              <w:right w:val="single" w:color="000000" w:sz="8" w:space="0"/>
            </w:tcBorders>
            <w:noWrap w:val="0"/>
            <w:vAlign w:val="center"/>
          </w:tcPr>
          <w:p w14:paraId="033EE4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采购项目</w:t>
            </w:r>
          </w:p>
        </w:tc>
        <w:tc>
          <w:tcPr>
            <w:tcW w:w="1351" w:type="dxa"/>
            <w:tcBorders>
              <w:top w:val="single" w:color="000000" w:sz="8" w:space="0"/>
              <w:left w:val="single" w:color="000000" w:sz="8" w:space="0"/>
              <w:bottom w:val="single" w:color="000000" w:sz="8" w:space="0"/>
              <w:right w:val="single" w:color="000000" w:sz="8" w:space="0"/>
            </w:tcBorders>
            <w:noWrap w:val="0"/>
            <w:vAlign w:val="center"/>
          </w:tcPr>
          <w:p w14:paraId="05DBF0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计量单位</w:t>
            </w:r>
          </w:p>
        </w:tc>
        <w:tc>
          <w:tcPr>
            <w:tcW w:w="1541" w:type="dxa"/>
            <w:tcBorders>
              <w:top w:val="single" w:color="000000" w:sz="8" w:space="0"/>
              <w:left w:val="single" w:color="000000" w:sz="8" w:space="0"/>
              <w:bottom w:val="single" w:color="000000" w:sz="8" w:space="0"/>
              <w:right w:val="single" w:color="000000" w:sz="8" w:space="0"/>
            </w:tcBorders>
            <w:noWrap w:val="0"/>
            <w:vAlign w:val="center"/>
          </w:tcPr>
          <w:p w14:paraId="620DAE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采购数量</w:t>
            </w:r>
          </w:p>
        </w:tc>
        <w:tc>
          <w:tcPr>
            <w:tcW w:w="2339" w:type="dxa"/>
            <w:tcBorders>
              <w:top w:val="single" w:color="000000" w:sz="8" w:space="0"/>
              <w:left w:val="single" w:color="000000" w:sz="8" w:space="0"/>
              <w:bottom w:val="single" w:color="000000" w:sz="8" w:space="0"/>
              <w:right w:val="single" w:color="000000" w:sz="8" w:space="0"/>
            </w:tcBorders>
            <w:noWrap w:val="0"/>
            <w:vAlign w:val="center"/>
          </w:tcPr>
          <w:p w14:paraId="2A1D96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采购金额</w:t>
            </w:r>
            <w:r>
              <w:rPr>
                <w:rFonts w:hint="eastAsia" w:ascii="宋体" w:hAnsi="宋体" w:eastAsia="宋体" w:cs="宋体"/>
                <w:i w:val="0"/>
                <w:iCs w:val="0"/>
                <w:color w:val="000000"/>
                <w:kern w:val="0"/>
                <w:sz w:val="20"/>
                <w:szCs w:val="20"/>
                <w:highlight w:val="none"/>
                <w:u w:val="none"/>
                <w:lang w:val="en-US" w:eastAsia="zh-CN" w:bidi="ar"/>
              </w:rPr>
              <w:t>（万元）</w:t>
            </w:r>
          </w:p>
        </w:tc>
      </w:tr>
      <w:tr w14:paraId="77786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735" w:type="dxa"/>
            <w:tcBorders>
              <w:top w:val="nil"/>
              <w:left w:val="single" w:color="000000" w:sz="8" w:space="0"/>
              <w:bottom w:val="single" w:color="000000" w:sz="8" w:space="0"/>
              <w:right w:val="single" w:color="000000" w:sz="8" w:space="0"/>
            </w:tcBorders>
            <w:noWrap w:val="0"/>
            <w:vAlign w:val="center"/>
          </w:tcPr>
          <w:p w14:paraId="6A94C0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3272" w:type="dxa"/>
            <w:tcBorders>
              <w:top w:val="nil"/>
              <w:left w:val="single" w:color="000000" w:sz="8" w:space="0"/>
              <w:bottom w:val="single" w:color="000000" w:sz="8" w:space="0"/>
              <w:right w:val="single" w:color="000000" w:sz="8" w:space="0"/>
            </w:tcBorders>
            <w:noWrap w:val="0"/>
            <w:vAlign w:val="center"/>
          </w:tcPr>
          <w:p w14:paraId="1A3D0A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评价单元划定</w:t>
            </w:r>
          </w:p>
        </w:tc>
        <w:tc>
          <w:tcPr>
            <w:tcW w:w="1351" w:type="dxa"/>
            <w:tcBorders>
              <w:top w:val="nil"/>
              <w:left w:val="single" w:color="000000" w:sz="8" w:space="0"/>
              <w:bottom w:val="single" w:color="000000" w:sz="8" w:space="0"/>
              <w:right w:val="single" w:color="000000" w:sz="8" w:space="0"/>
            </w:tcBorders>
            <w:noWrap w:val="0"/>
            <w:vAlign w:val="center"/>
          </w:tcPr>
          <w:p w14:paraId="76E253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541" w:type="dxa"/>
            <w:tcBorders>
              <w:top w:val="nil"/>
              <w:left w:val="single" w:color="000000" w:sz="8" w:space="0"/>
              <w:bottom w:val="single" w:color="000000" w:sz="8" w:space="0"/>
              <w:right w:val="single" w:color="000000" w:sz="8" w:space="0"/>
            </w:tcBorders>
            <w:noWrap w:val="0"/>
            <w:vAlign w:val="center"/>
          </w:tcPr>
          <w:p w14:paraId="1C82CE3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1</w:t>
            </w:r>
          </w:p>
        </w:tc>
        <w:tc>
          <w:tcPr>
            <w:tcW w:w="2339" w:type="dxa"/>
            <w:tcBorders>
              <w:top w:val="nil"/>
              <w:left w:val="single" w:color="000000" w:sz="8" w:space="0"/>
              <w:bottom w:val="single" w:color="000000" w:sz="8" w:space="0"/>
              <w:right w:val="single" w:color="000000" w:sz="8" w:space="0"/>
            </w:tcBorders>
            <w:noWrap w:val="0"/>
            <w:vAlign w:val="center"/>
          </w:tcPr>
          <w:p w14:paraId="6FED6864">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p>
        </w:tc>
      </w:tr>
      <w:tr w14:paraId="791FC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35" w:type="dxa"/>
            <w:tcBorders>
              <w:top w:val="nil"/>
              <w:left w:val="single" w:color="000000" w:sz="8" w:space="0"/>
              <w:bottom w:val="single" w:color="000000" w:sz="8" w:space="0"/>
              <w:right w:val="single" w:color="000000" w:sz="8" w:space="0"/>
            </w:tcBorders>
            <w:noWrap w:val="0"/>
            <w:vAlign w:val="center"/>
          </w:tcPr>
          <w:p w14:paraId="1DD7A0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3272" w:type="dxa"/>
            <w:tcBorders>
              <w:top w:val="nil"/>
              <w:left w:val="single" w:color="000000" w:sz="8" w:space="0"/>
              <w:bottom w:val="single" w:color="000000" w:sz="8" w:space="0"/>
              <w:right w:val="single" w:color="000000" w:sz="8" w:space="0"/>
            </w:tcBorders>
            <w:noWrap w:val="0"/>
            <w:vAlign w:val="center"/>
          </w:tcPr>
          <w:p w14:paraId="68E6C6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地块踏勘费用</w:t>
            </w:r>
          </w:p>
        </w:tc>
        <w:tc>
          <w:tcPr>
            <w:tcW w:w="1351" w:type="dxa"/>
            <w:tcBorders>
              <w:top w:val="nil"/>
              <w:left w:val="single" w:color="000000" w:sz="8" w:space="0"/>
              <w:bottom w:val="single" w:color="000000" w:sz="8" w:space="0"/>
              <w:right w:val="single" w:color="000000" w:sz="8" w:space="0"/>
            </w:tcBorders>
            <w:noWrap w:val="0"/>
            <w:vAlign w:val="center"/>
          </w:tcPr>
          <w:p w14:paraId="511A61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块</w:t>
            </w:r>
          </w:p>
        </w:tc>
        <w:tc>
          <w:tcPr>
            <w:tcW w:w="1541" w:type="dxa"/>
            <w:tcBorders>
              <w:top w:val="nil"/>
              <w:left w:val="single" w:color="000000" w:sz="8" w:space="0"/>
              <w:bottom w:val="single" w:color="000000" w:sz="8" w:space="0"/>
              <w:right w:val="single" w:color="000000" w:sz="8" w:space="0"/>
            </w:tcBorders>
            <w:noWrap w:val="0"/>
            <w:vAlign w:val="center"/>
          </w:tcPr>
          <w:p w14:paraId="787A4D3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cs="宋体"/>
                <w:i w:val="0"/>
                <w:iCs w:val="0"/>
                <w:color w:val="auto"/>
                <w:kern w:val="0"/>
                <w:sz w:val="24"/>
                <w:szCs w:val="24"/>
                <w:u w:val="none"/>
                <w:lang w:val="en-US" w:eastAsia="zh-CN" w:bidi="ar"/>
              </w:rPr>
              <w:t>3999</w:t>
            </w:r>
          </w:p>
        </w:tc>
        <w:tc>
          <w:tcPr>
            <w:tcW w:w="2339" w:type="dxa"/>
            <w:tcBorders>
              <w:top w:val="nil"/>
              <w:left w:val="single" w:color="000000" w:sz="8" w:space="0"/>
              <w:bottom w:val="single" w:color="000000" w:sz="8" w:space="0"/>
              <w:right w:val="single" w:color="000000" w:sz="8" w:space="0"/>
            </w:tcBorders>
            <w:noWrap w:val="0"/>
            <w:vAlign w:val="center"/>
          </w:tcPr>
          <w:p w14:paraId="13E7AF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1ABB0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735" w:type="dxa"/>
            <w:tcBorders>
              <w:top w:val="nil"/>
              <w:left w:val="single" w:color="000000" w:sz="8" w:space="0"/>
              <w:bottom w:val="single" w:color="000000" w:sz="8" w:space="0"/>
              <w:right w:val="single" w:color="000000" w:sz="8" w:space="0"/>
            </w:tcBorders>
            <w:noWrap w:val="0"/>
            <w:vAlign w:val="center"/>
          </w:tcPr>
          <w:p w14:paraId="6AD377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3272" w:type="dxa"/>
            <w:tcBorders>
              <w:top w:val="nil"/>
              <w:left w:val="single" w:color="000000" w:sz="8" w:space="0"/>
              <w:bottom w:val="single" w:color="000000" w:sz="8" w:space="0"/>
              <w:right w:val="single" w:color="000000" w:sz="8" w:space="0"/>
            </w:tcBorders>
            <w:noWrap w:val="0"/>
            <w:vAlign w:val="center"/>
          </w:tcPr>
          <w:p w14:paraId="295EF1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面积踏勘费</w:t>
            </w:r>
          </w:p>
        </w:tc>
        <w:tc>
          <w:tcPr>
            <w:tcW w:w="1351" w:type="dxa"/>
            <w:tcBorders>
              <w:top w:val="nil"/>
              <w:left w:val="single" w:color="000000" w:sz="8" w:space="0"/>
              <w:bottom w:val="single" w:color="000000" w:sz="8" w:space="0"/>
              <w:right w:val="single" w:color="000000" w:sz="8" w:space="0"/>
            </w:tcBorders>
            <w:noWrap w:val="0"/>
            <w:vAlign w:val="center"/>
          </w:tcPr>
          <w:p w14:paraId="752B9C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亩次</w:t>
            </w:r>
          </w:p>
        </w:tc>
        <w:tc>
          <w:tcPr>
            <w:tcW w:w="1541" w:type="dxa"/>
            <w:tcBorders>
              <w:top w:val="nil"/>
              <w:left w:val="single" w:color="000000" w:sz="8" w:space="0"/>
              <w:bottom w:val="single" w:color="000000" w:sz="8" w:space="0"/>
              <w:right w:val="single" w:color="000000" w:sz="8" w:space="0"/>
            </w:tcBorders>
            <w:noWrap w:val="0"/>
            <w:vAlign w:val="center"/>
          </w:tcPr>
          <w:p w14:paraId="5599013D">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7000</w:t>
            </w:r>
          </w:p>
        </w:tc>
        <w:tc>
          <w:tcPr>
            <w:tcW w:w="2339" w:type="dxa"/>
            <w:tcBorders>
              <w:top w:val="nil"/>
              <w:left w:val="single" w:color="000000" w:sz="8" w:space="0"/>
              <w:bottom w:val="single" w:color="000000" w:sz="8" w:space="0"/>
              <w:right w:val="single" w:color="000000" w:sz="8" w:space="0"/>
            </w:tcBorders>
            <w:noWrap w:val="0"/>
            <w:vAlign w:val="center"/>
          </w:tcPr>
          <w:p w14:paraId="4486745C">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p>
        </w:tc>
      </w:tr>
      <w:tr w14:paraId="57C6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735" w:type="dxa"/>
            <w:tcBorders>
              <w:top w:val="nil"/>
              <w:left w:val="single" w:color="000000" w:sz="8" w:space="0"/>
              <w:bottom w:val="single" w:color="000000" w:sz="8" w:space="0"/>
              <w:right w:val="single" w:color="000000" w:sz="8" w:space="0"/>
            </w:tcBorders>
            <w:noWrap w:val="0"/>
            <w:vAlign w:val="center"/>
          </w:tcPr>
          <w:p w14:paraId="196555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3272" w:type="dxa"/>
            <w:tcBorders>
              <w:top w:val="nil"/>
              <w:left w:val="single" w:color="000000" w:sz="8" w:space="0"/>
              <w:bottom w:val="single" w:color="000000" w:sz="8" w:space="0"/>
              <w:right w:val="single" w:color="000000" w:sz="8" w:space="0"/>
            </w:tcBorders>
            <w:noWrap w:val="0"/>
            <w:vAlign w:val="center"/>
          </w:tcPr>
          <w:p w14:paraId="4E089C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耕作层厚度和侵入体含量测量</w:t>
            </w:r>
          </w:p>
        </w:tc>
        <w:tc>
          <w:tcPr>
            <w:tcW w:w="1351" w:type="dxa"/>
            <w:tcBorders>
              <w:top w:val="nil"/>
              <w:left w:val="single" w:color="000000" w:sz="8" w:space="0"/>
              <w:bottom w:val="single" w:color="000000" w:sz="8" w:space="0"/>
              <w:right w:val="single" w:color="000000" w:sz="8" w:space="0"/>
            </w:tcBorders>
            <w:noWrap w:val="0"/>
            <w:vAlign w:val="center"/>
          </w:tcPr>
          <w:p w14:paraId="056A9B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541" w:type="dxa"/>
            <w:tcBorders>
              <w:top w:val="nil"/>
              <w:left w:val="single" w:color="000000" w:sz="8" w:space="0"/>
              <w:bottom w:val="single" w:color="000000" w:sz="8" w:space="0"/>
              <w:right w:val="single" w:color="000000" w:sz="8" w:space="0"/>
            </w:tcBorders>
            <w:noWrap w:val="0"/>
            <w:vAlign w:val="center"/>
          </w:tcPr>
          <w:p w14:paraId="7BFB8067">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25</w:t>
            </w:r>
            <w:r>
              <w:rPr>
                <w:rFonts w:hint="eastAsia" w:ascii="宋体" w:hAnsi="宋体" w:eastAsia="宋体" w:cs="宋体"/>
                <w:i w:val="0"/>
                <w:iCs w:val="0"/>
                <w:color w:val="auto"/>
                <w:kern w:val="0"/>
                <w:sz w:val="24"/>
                <w:szCs w:val="24"/>
                <w:u w:val="none"/>
                <w:lang w:val="en-US" w:eastAsia="zh-CN" w:bidi="ar"/>
              </w:rPr>
              <w:t>0</w:t>
            </w:r>
          </w:p>
        </w:tc>
        <w:tc>
          <w:tcPr>
            <w:tcW w:w="2339" w:type="dxa"/>
            <w:tcBorders>
              <w:top w:val="nil"/>
              <w:left w:val="single" w:color="000000" w:sz="8" w:space="0"/>
              <w:bottom w:val="single" w:color="000000" w:sz="8" w:space="0"/>
              <w:right w:val="single" w:color="000000" w:sz="8" w:space="0"/>
            </w:tcBorders>
            <w:noWrap w:val="0"/>
            <w:vAlign w:val="center"/>
          </w:tcPr>
          <w:p w14:paraId="08673D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00C43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735" w:type="dxa"/>
            <w:tcBorders>
              <w:top w:val="nil"/>
              <w:left w:val="single" w:color="000000" w:sz="8" w:space="0"/>
              <w:bottom w:val="single" w:color="000000" w:sz="8" w:space="0"/>
              <w:right w:val="single" w:color="000000" w:sz="8" w:space="0"/>
            </w:tcBorders>
            <w:noWrap w:val="0"/>
            <w:vAlign w:val="center"/>
          </w:tcPr>
          <w:p w14:paraId="722645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3272" w:type="dxa"/>
            <w:tcBorders>
              <w:top w:val="nil"/>
              <w:left w:val="single" w:color="000000" w:sz="8" w:space="0"/>
              <w:bottom w:val="single" w:color="000000" w:sz="8" w:space="0"/>
              <w:right w:val="single" w:color="000000" w:sz="8" w:space="0"/>
            </w:tcBorders>
            <w:noWrap w:val="0"/>
            <w:vAlign w:val="center"/>
          </w:tcPr>
          <w:p w14:paraId="4E67FD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有效土层开掘测量</w:t>
            </w:r>
          </w:p>
        </w:tc>
        <w:tc>
          <w:tcPr>
            <w:tcW w:w="1351" w:type="dxa"/>
            <w:tcBorders>
              <w:top w:val="nil"/>
              <w:left w:val="single" w:color="000000" w:sz="8" w:space="0"/>
              <w:bottom w:val="single" w:color="000000" w:sz="8" w:space="0"/>
              <w:right w:val="single" w:color="000000" w:sz="8" w:space="0"/>
            </w:tcBorders>
            <w:noWrap w:val="0"/>
            <w:vAlign w:val="center"/>
          </w:tcPr>
          <w:p w14:paraId="073344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541" w:type="dxa"/>
            <w:tcBorders>
              <w:top w:val="nil"/>
              <w:left w:val="single" w:color="000000" w:sz="8" w:space="0"/>
              <w:bottom w:val="single" w:color="000000" w:sz="8" w:space="0"/>
              <w:right w:val="single" w:color="000000" w:sz="8" w:space="0"/>
            </w:tcBorders>
            <w:noWrap w:val="0"/>
            <w:vAlign w:val="center"/>
          </w:tcPr>
          <w:p w14:paraId="4A379E8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0</w:t>
            </w:r>
            <w:r>
              <w:rPr>
                <w:rFonts w:hint="eastAsia" w:ascii="宋体" w:hAnsi="宋体" w:eastAsia="宋体" w:cs="宋体"/>
                <w:i w:val="0"/>
                <w:iCs w:val="0"/>
                <w:color w:val="auto"/>
                <w:kern w:val="0"/>
                <w:sz w:val="24"/>
                <w:szCs w:val="24"/>
                <w:u w:val="none"/>
                <w:lang w:val="en-US" w:eastAsia="zh-CN" w:bidi="ar"/>
              </w:rPr>
              <w:t>00</w:t>
            </w:r>
          </w:p>
        </w:tc>
        <w:tc>
          <w:tcPr>
            <w:tcW w:w="2339" w:type="dxa"/>
            <w:tcBorders>
              <w:top w:val="nil"/>
              <w:left w:val="single" w:color="000000" w:sz="8" w:space="0"/>
              <w:bottom w:val="single" w:color="000000" w:sz="8" w:space="0"/>
              <w:right w:val="single" w:color="000000" w:sz="8" w:space="0"/>
            </w:tcBorders>
            <w:noWrap w:val="0"/>
            <w:vAlign w:val="center"/>
          </w:tcPr>
          <w:p w14:paraId="4AF16B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6BE92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735" w:type="dxa"/>
            <w:tcBorders>
              <w:top w:val="nil"/>
              <w:left w:val="single" w:color="000000" w:sz="8" w:space="0"/>
              <w:bottom w:val="single" w:color="000000" w:sz="8" w:space="0"/>
              <w:right w:val="single" w:color="000000" w:sz="8" w:space="0"/>
            </w:tcBorders>
            <w:noWrap w:val="0"/>
            <w:vAlign w:val="center"/>
          </w:tcPr>
          <w:p w14:paraId="0A5F8F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3272" w:type="dxa"/>
            <w:tcBorders>
              <w:top w:val="nil"/>
              <w:left w:val="single" w:color="000000" w:sz="8" w:space="0"/>
              <w:bottom w:val="single" w:color="000000" w:sz="8" w:space="0"/>
              <w:right w:val="single" w:color="000000" w:sz="8" w:space="0"/>
            </w:tcBorders>
            <w:noWrap w:val="0"/>
            <w:vAlign w:val="center"/>
          </w:tcPr>
          <w:p w14:paraId="5C8E4B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质地构型开掘判断</w:t>
            </w:r>
          </w:p>
        </w:tc>
        <w:tc>
          <w:tcPr>
            <w:tcW w:w="1351" w:type="dxa"/>
            <w:tcBorders>
              <w:top w:val="nil"/>
              <w:left w:val="single" w:color="000000" w:sz="8" w:space="0"/>
              <w:bottom w:val="single" w:color="000000" w:sz="8" w:space="0"/>
              <w:right w:val="single" w:color="000000" w:sz="8" w:space="0"/>
            </w:tcBorders>
            <w:noWrap w:val="0"/>
            <w:vAlign w:val="center"/>
          </w:tcPr>
          <w:p w14:paraId="54EECC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541" w:type="dxa"/>
            <w:tcBorders>
              <w:top w:val="nil"/>
              <w:left w:val="single" w:color="000000" w:sz="8" w:space="0"/>
              <w:bottom w:val="single" w:color="000000" w:sz="8" w:space="0"/>
              <w:right w:val="single" w:color="000000" w:sz="8" w:space="0"/>
            </w:tcBorders>
            <w:noWrap w:val="0"/>
            <w:vAlign w:val="center"/>
          </w:tcPr>
          <w:p w14:paraId="0CF82719">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600</w:t>
            </w:r>
          </w:p>
        </w:tc>
        <w:tc>
          <w:tcPr>
            <w:tcW w:w="2339" w:type="dxa"/>
            <w:tcBorders>
              <w:top w:val="nil"/>
              <w:left w:val="single" w:color="000000" w:sz="8" w:space="0"/>
              <w:bottom w:val="single" w:color="000000" w:sz="8" w:space="0"/>
              <w:right w:val="single" w:color="000000" w:sz="8" w:space="0"/>
            </w:tcBorders>
            <w:noWrap w:val="0"/>
            <w:vAlign w:val="center"/>
          </w:tcPr>
          <w:p w14:paraId="4BE6B60D">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p>
        </w:tc>
      </w:tr>
      <w:tr w14:paraId="6DDD2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735" w:type="dxa"/>
            <w:tcBorders>
              <w:top w:val="nil"/>
              <w:left w:val="single" w:color="000000" w:sz="8" w:space="0"/>
              <w:bottom w:val="single" w:color="000000" w:sz="8" w:space="0"/>
              <w:right w:val="single" w:color="000000" w:sz="8" w:space="0"/>
            </w:tcBorders>
            <w:noWrap w:val="0"/>
            <w:vAlign w:val="center"/>
          </w:tcPr>
          <w:p w14:paraId="1C68AA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3272" w:type="dxa"/>
            <w:tcBorders>
              <w:top w:val="nil"/>
              <w:left w:val="single" w:color="000000" w:sz="8" w:space="0"/>
              <w:bottom w:val="single" w:color="000000" w:sz="8" w:space="0"/>
              <w:right w:val="single" w:color="000000" w:sz="8" w:space="0"/>
            </w:tcBorders>
            <w:noWrap w:val="0"/>
            <w:vAlign w:val="center"/>
          </w:tcPr>
          <w:p w14:paraId="781AD3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土壤容重采集费</w:t>
            </w:r>
          </w:p>
        </w:tc>
        <w:tc>
          <w:tcPr>
            <w:tcW w:w="1351" w:type="dxa"/>
            <w:tcBorders>
              <w:top w:val="nil"/>
              <w:left w:val="single" w:color="000000" w:sz="8" w:space="0"/>
              <w:bottom w:val="single" w:color="000000" w:sz="8" w:space="0"/>
              <w:right w:val="single" w:color="000000" w:sz="8" w:space="0"/>
            </w:tcBorders>
            <w:noWrap w:val="0"/>
            <w:vAlign w:val="center"/>
          </w:tcPr>
          <w:p w14:paraId="57AEE7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541" w:type="dxa"/>
            <w:tcBorders>
              <w:top w:val="nil"/>
              <w:left w:val="single" w:color="000000" w:sz="8" w:space="0"/>
              <w:bottom w:val="single" w:color="000000" w:sz="8" w:space="0"/>
              <w:right w:val="single" w:color="000000" w:sz="8" w:space="0"/>
            </w:tcBorders>
            <w:noWrap w:val="0"/>
            <w:vAlign w:val="center"/>
          </w:tcPr>
          <w:p w14:paraId="2D39E190">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560</w:t>
            </w:r>
          </w:p>
        </w:tc>
        <w:tc>
          <w:tcPr>
            <w:tcW w:w="2339" w:type="dxa"/>
            <w:tcBorders>
              <w:top w:val="nil"/>
              <w:left w:val="single" w:color="000000" w:sz="8" w:space="0"/>
              <w:bottom w:val="single" w:color="000000" w:sz="8" w:space="0"/>
              <w:right w:val="single" w:color="000000" w:sz="8" w:space="0"/>
            </w:tcBorders>
            <w:noWrap w:val="0"/>
            <w:vAlign w:val="center"/>
          </w:tcPr>
          <w:p w14:paraId="50A3E3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1EF2C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735" w:type="dxa"/>
            <w:tcBorders>
              <w:top w:val="nil"/>
              <w:left w:val="single" w:color="000000" w:sz="8" w:space="0"/>
              <w:bottom w:val="single" w:color="000000" w:sz="8" w:space="0"/>
              <w:right w:val="single" w:color="000000" w:sz="8" w:space="0"/>
            </w:tcBorders>
            <w:noWrap w:val="0"/>
            <w:vAlign w:val="center"/>
          </w:tcPr>
          <w:p w14:paraId="64B9F8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3272" w:type="dxa"/>
            <w:tcBorders>
              <w:top w:val="nil"/>
              <w:left w:val="single" w:color="000000" w:sz="8" w:space="0"/>
              <w:bottom w:val="single" w:color="000000" w:sz="8" w:space="0"/>
              <w:right w:val="single" w:color="000000" w:sz="8" w:space="0"/>
            </w:tcBorders>
            <w:noWrap w:val="0"/>
            <w:vAlign w:val="center"/>
          </w:tcPr>
          <w:p w14:paraId="3B81F2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土壤样品采集混样</w:t>
            </w:r>
          </w:p>
        </w:tc>
        <w:tc>
          <w:tcPr>
            <w:tcW w:w="1351" w:type="dxa"/>
            <w:tcBorders>
              <w:top w:val="nil"/>
              <w:left w:val="single" w:color="000000" w:sz="8" w:space="0"/>
              <w:bottom w:val="single" w:color="000000" w:sz="8" w:space="0"/>
              <w:right w:val="single" w:color="000000" w:sz="8" w:space="0"/>
            </w:tcBorders>
            <w:noWrap w:val="0"/>
            <w:vAlign w:val="center"/>
          </w:tcPr>
          <w:p w14:paraId="510637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c>
          <w:tcPr>
            <w:tcW w:w="1541" w:type="dxa"/>
            <w:tcBorders>
              <w:top w:val="nil"/>
              <w:left w:val="single" w:color="000000" w:sz="8" w:space="0"/>
              <w:bottom w:val="single" w:color="000000" w:sz="8" w:space="0"/>
              <w:right w:val="single" w:color="000000" w:sz="8" w:space="0"/>
            </w:tcBorders>
            <w:noWrap w:val="0"/>
            <w:vAlign w:val="center"/>
          </w:tcPr>
          <w:p w14:paraId="720A4FEF">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2000</w:t>
            </w:r>
          </w:p>
        </w:tc>
        <w:tc>
          <w:tcPr>
            <w:tcW w:w="2339" w:type="dxa"/>
            <w:tcBorders>
              <w:top w:val="nil"/>
              <w:left w:val="single" w:color="000000" w:sz="8" w:space="0"/>
              <w:bottom w:val="single" w:color="000000" w:sz="8" w:space="0"/>
              <w:right w:val="single" w:color="000000" w:sz="8" w:space="0"/>
            </w:tcBorders>
            <w:noWrap w:val="0"/>
            <w:vAlign w:val="center"/>
          </w:tcPr>
          <w:p w14:paraId="2CAF05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07023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735" w:type="dxa"/>
            <w:tcBorders>
              <w:top w:val="nil"/>
              <w:left w:val="single" w:color="000000" w:sz="8" w:space="0"/>
              <w:bottom w:val="single" w:color="000000" w:sz="8" w:space="0"/>
              <w:right w:val="single" w:color="000000" w:sz="8" w:space="0"/>
            </w:tcBorders>
            <w:noWrap w:val="0"/>
            <w:vAlign w:val="center"/>
          </w:tcPr>
          <w:p w14:paraId="6C1482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3272" w:type="dxa"/>
            <w:tcBorders>
              <w:top w:val="nil"/>
              <w:left w:val="single" w:color="000000" w:sz="8" w:space="0"/>
              <w:bottom w:val="single" w:color="000000" w:sz="8" w:space="0"/>
              <w:right w:val="single" w:color="000000" w:sz="8" w:space="0"/>
            </w:tcBorders>
            <w:noWrap w:val="0"/>
            <w:vAlign w:val="center"/>
          </w:tcPr>
          <w:p w14:paraId="6B5A31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土样制备检测及留样</w:t>
            </w:r>
          </w:p>
        </w:tc>
        <w:tc>
          <w:tcPr>
            <w:tcW w:w="1351" w:type="dxa"/>
            <w:tcBorders>
              <w:top w:val="nil"/>
              <w:left w:val="single" w:color="000000" w:sz="8" w:space="0"/>
              <w:bottom w:val="single" w:color="000000" w:sz="8" w:space="0"/>
              <w:right w:val="single" w:color="000000" w:sz="8" w:space="0"/>
            </w:tcBorders>
            <w:noWrap w:val="0"/>
            <w:vAlign w:val="center"/>
          </w:tcPr>
          <w:p w14:paraId="697B34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1541" w:type="dxa"/>
            <w:tcBorders>
              <w:top w:val="nil"/>
              <w:left w:val="single" w:color="000000" w:sz="8" w:space="0"/>
              <w:bottom w:val="single" w:color="000000" w:sz="8" w:space="0"/>
              <w:right w:val="single" w:color="000000" w:sz="8" w:space="0"/>
            </w:tcBorders>
            <w:noWrap w:val="0"/>
            <w:vAlign w:val="center"/>
          </w:tcPr>
          <w:p w14:paraId="723B0975">
            <w:pPr>
              <w:keepNext w:val="0"/>
              <w:keepLines w:val="0"/>
              <w:widowControl/>
              <w:suppressLineNumbers w:val="0"/>
              <w:jc w:val="center"/>
              <w:textAlignment w:val="center"/>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630</w:t>
            </w:r>
          </w:p>
        </w:tc>
        <w:tc>
          <w:tcPr>
            <w:tcW w:w="2339" w:type="dxa"/>
            <w:tcBorders>
              <w:top w:val="nil"/>
              <w:left w:val="single" w:color="000000" w:sz="8" w:space="0"/>
              <w:bottom w:val="single" w:color="000000" w:sz="8" w:space="0"/>
              <w:right w:val="single" w:color="000000" w:sz="8" w:space="0"/>
            </w:tcBorders>
            <w:noWrap w:val="0"/>
            <w:vAlign w:val="center"/>
          </w:tcPr>
          <w:p w14:paraId="25C81D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43282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735" w:type="dxa"/>
            <w:tcBorders>
              <w:top w:val="nil"/>
              <w:left w:val="single" w:color="000000" w:sz="8" w:space="0"/>
              <w:bottom w:val="single" w:color="000000" w:sz="8" w:space="0"/>
              <w:right w:val="single" w:color="000000" w:sz="8" w:space="0"/>
            </w:tcBorders>
            <w:noWrap w:val="0"/>
            <w:vAlign w:val="center"/>
          </w:tcPr>
          <w:p w14:paraId="271E71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3272" w:type="dxa"/>
            <w:tcBorders>
              <w:top w:val="nil"/>
              <w:left w:val="single" w:color="000000" w:sz="8" w:space="0"/>
              <w:bottom w:val="single" w:color="000000" w:sz="8" w:space="0"/>
              <w:right w:val="single" w:color="000000" w:sz="8" w:space="0"/>
            </w:tcBorders>
            <w:noWrap w:val="0"/>
            <w:vAlign w:val="center"/>
          </w:tcPr>
          <w:p w14:paraId="2AC616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耕地质量等级评价</w:t>
            </w:r>
          </w:p>
        </w:tc>
        <w:tc>
          <w:tcPr>
            <w:tcW w:w="1351" w:type="dxa"/>
            <w:tcBorders>
              <w:top w:val="nil"/>
              <w:left w:val="single" w:color="000000" w:sz="8" w:space="0"/>
              <w:bottom w:val="single" w:color="000000" w:sz="8" w:space="0"/>
              <w:right w:val="single" w:color="000000" w:sz="8" w:space="0"/>
            </w:tcBorders>
            <w:noWrap w:val="0"/>
            <w:vAlign w:val="center"/>
          </w:tcPr>
          <w:p w14:paraId="5AA738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块</w:t>
            </w:r>
          </w:p>
        </w:tc>
        <w:tc>
          <w:tcPr>
            <w:tcW w:w="1541" w:type="dxa"/>
            <w:tcBorders>
              <w:top w:val="nil"/>
              <w:left w:val="single" w:color="000000" w:sz="8" w:space="0"/>
              <w:bottom w:val="single" w:color="000000" w:sz="8" w:space="0"/>
              <w:right w:val="single" w:color="000000" w:sz="8" w:space="0"/>
            </w:tcBorders>
            <w:noWrap w:val="0"/>
            <w:vAlign w:val="center"/>
          </w:tcPr>
          <w:p w14:paraId="741518B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2000</w:t>
            </w:r>
          </w:p>
        </w:tc>
        <w:tc>
          <w:tcPr>
            <w:tcW w:w="2339" w:type="dxa"/>
            <w:tcBorders>
              <w:top w:val="nil"/>
              <w:left w:val="single" w:color="000000" w:sz="8" w:space="0"/>
              <w:bottom w:val="single" w:color="000000" w:sz="8" w:space="0"/>
              <w:right w:val="single" w:color="000000" w:sz="8" w:space="0"/>
            </w:tcBorders>
            <w:noWrap w:val="0"/>
            <w:vAlign w:val="center"/>
          </w:tcPr>
          <w:p w14:paraId="1AF27791">
            <w:pPr>
              <w:keepNext w:val="0"/>
              <w:keepLines w:val="0"/>
              <w:widowControl/>
              <w:suppressLineNumbers w:val="0"/>
              <w:jc w:val="center"/>
              <w:textAlignment w:val="center"/>
              <w:rPr>
                <w:rFonts w:hint="eastAsia" w:ascii="宋体" w:hAnsi="宋体" w:eastAsia="宋体" w:cs="宋体"/>
                <w:i w:val="0"/>
                <w:iCs w:val="0"/>
                <w:color w:val="000000"/>
                <w:sz w:val="24"/>
                <w:szCs w:val="24"/>
                <w:highlight w:val="yellow"/>
                <w:u w:val="none"/>
              </w:rPr>
            </w:pPr>
          </w:p>
        </w:tc>
      </w:tr>
      <w:tr w14:paraId="0E13A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735" w:type="dxa"/>
            <w:tcBorders>
              <w:top w:val="nil"/>
              <w:left w:val="single" w:color="000000" w:sz="8" w:space="0"/>
              <w:bottom w:val="single" w:color="000000" w:sz="8" w:space="0"/>
              <w:right w:val="single" w:color="000000" w:sz="8" w:space="0"/>
            </w:tcBorders>
            <w:noWrap w:val="0"/>
            <w:vAlign w:val="center"/>
          </w:tcPr>
          <w:p w14:paraId="0AA5EC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3272" w:type="dxa"/>
            <w:tcBorders>
              <w:top w:val="nil"/>
              <w:left w:val="single" w:color="000000" w:sz="8" w:space="0"/>
              <w:bottom w:val="single" w:color="000000" w:sz="8" w:space="0"/>
              <w:right w:val="single" w:color="000000" w:sz="8" w:space="0"/>
            </w:tcBorders>
            <w:noWrap w:val="0"/>
            <w:vAlign w:val="center"/>
          </w:tcPr>
          <w:p w14:paraId="41E21A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县级初鉴会议</w:t>
            </w:r>
          </w:p>
        </w:tc>
        <w:tc>
          <w:tcPr>
            <w:tcW w:w="1351" w:type="dxa"/>
            <w:tcBorders>
              <w:top w:val="nil"/>
              <w:left w:val="single" w:color="000000" w:sz="8" w:space="0"/>
              <w:bottom w:val="single" w:color="000000" w:sz="8" w:space="0"/>
              <w:right w:val="single" w:color="000000" w:sz="8" w:space="0"/>
            </w:tcBorders>
            <w:noWrap w:val="0"/>
            <w:vAlign w:val="center"/>
          </w:tcPr>
          <w:p w14:paraId="7E6CD7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场・天</w:t>
            </w:r>
          </w:p>
        </w:tc>
        <w:tc>
          <w:tcPr>
            <w:tcW w:w="1541" w:type="dxa"/>
            <w:tcBorders>
              <w:top w:val="nil"/>
              <w:left w:val="single" w:color="000000" w:sz="8" w:space="0"/>
              <w:bottom w:val="single" w:color="000000" w:sz="8" w:space="0"/>
              <w:right w:val="single" w:color="000000" w:sz="8" w:space="0"/>
            </w:tcBorders>
            <w:noWrap w:val="0"/>
            <w:vAlign w:val="center"/>
          </w:tcPr>
          <w:p w14:paraId="15BBC74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5</w:t>
            </w:r>
          </w:p>
        </w:tc>
        <w:tc>
          <w:tcPr>
            <w:tcW w:w="2339" w:type="dxa"/>
            <w:tcBorders>
              <w:top w:val="nil"/>
              <w:left w:val="single" w:color="000000" w:sz="8" w:space="0"/>
              <w:bottom w:val="single" w:color="000000" w:sz="8" w:space="0"/>
              <w:right w:val="single" w:color="000000" w:sz="8" w:space="0"/>
            </w:tcBorders>
            <w:noWrap w:val="0"/>
            <w:vAlign w:val="center"/>
          </w:tcPr>
          <w:p w14:paraId="19346A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7FAEC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35" w:type="dxa"/>
            <w:tcBorders>
              <w:top w:val="nil"/>
              <w:left w:val="single" w:color="000000" w:sz="8" w:space="0"/>
              <w:bottom w:val="single" w:color="000000" w:sz="8" w:space="0"/>
              <w:right w:val="single" w:color="000000" w:sz="8" w:space="0"/>
            </w:tcBorders>
            <w:noWrap w:val="0"/>
            <w:vAlign w:val="center"/>
          </w:tcPr>
          <w:p w14:paraId="673F66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3272" w:type="dxa"/>
            <w:tcBorders>
              <w:top w:val="nil"/>
              <w:left w:val="single" w:color="000000" w:sz="8" w:space="0"/>
              <w:bottom w:val="single" w:color="000000" w:sz="8" w:space="0"/>
              <w:right w:val="single" w:color="000000" w:sz="8" w:space="0"/>
            </w:tcBorders>
            <w:noWrap w:val="0"/>
            <w:vAlign w:val="center"/>
          </w:tcPr>
          <w:p w14:paraId="18782F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配合市级鉴定和省级抽核</w:t>
            </w:r>
          </w:p>
        </w:tc>
        <w:tc>
          <w:tcPr>
            <w:tcW w:w="1351" w:type="dxa"/>
            <w:tcBorders>
              <w:top w:val="nil"/>
              <w:left w:val="single" w:color="000000" w:sz="8" w:space="0"/>
              <w:bottom w:val="single" w:color="000000" w:sz="8" w:space="0"/>
              <w:right w:val="single" w:color="000000" w:sz="8" w:space="0"/>
            </w:tcBorders>
            <w:noWrap w:val="0"/>
            <w:vAlign w:val="center"/>
          </w:tcPr>
          <w:p w14:paraId="4EF187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场・天</w:t>
            </w:r>
          </w:p>
        </w:tc>
        <w:tc>
          <w:tcPr>
            <w:tcW w:w="1541" w:type="dxa"/>
            <w:tcBorders>
              <w:top w:val="nil"/>
              <w:left w:val="single" w:color="000000" w:sz="8" w:space="0"/>
              <w:bottom w:val="single" w:color="000000" w:sz="8" w:space="0"/>
              <w:right w:val="single" w:color="000000" w:sz="8" w:space="0"/>
            </w:tcBorders>
            <w:noWrap w:val="0"/>
            <w:vAlign w:val="center"/>
          </w:tcPr>
          <w:p w14:paraId="60189E13">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auto"/>
                <w:kern w:val="0"/>
                <w:sz w:val="24"/>
                <w:szCs w:val="24"/>
                <w:u w:val="none"/>
                <w:lang w:val="en-US" w:eastAsia="zh-CN" w:bidi="ar"/>
              </w:rPr>
              <w:t>5</w:t>
            </w:r>
          </w:p>
        </w:tc>
        <w:tc>
          <w:tcPr>
            <w:tcW w:w="2339" w:type="dxa"/>
            <w:tcBorders>
              <w:top w:val="nil"/>
              <w:left w:val="single" w:color="000000" w:sz="8" w:space="0"/>
              <w:bottom w:val="single" w:color="000000" w:sz="8" w:space="0"/>
              <w:right w:val="single" w:color="000000" w:sz="8" w:space="0"/>
            </w:tcBorders>
            <w:noWrap w:val="0"/>
            <w:vAlign w:val="center"/>
          </w:tcPr>
          <w:p w14:paraId="0E1D0C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p>
        </w:tc>
      </w:tr>
      <w:tr w14:paraId="431EB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6899" w:type="dxa"/>
            <w:gridSpan w:val="4"/>
            <w:tcBorders>
              <w:top w:val="nil"/>
              <w:left w:val="single" w:color="000000" w:sz="8" w:space="0"/>
              <w:bottom w:val="single" w:color="000000" w:sz="8" w:space="0"/>
              <w:right w:val="single" w:color="000000" w:sz="8" w:space="0"/>
            </w:tcBorders>
            <w:noWrap w:val="0"/>
            <w:vAlign w:val="center"/>
          </w:tcPr>
          <w:p w14:paraId="1AFD8E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2339" w:type="dxa"/>
            <w:tcBorders>
              <w:top w:val="nil"/>
              <w:left w:val="single" w:color="000000" w:sz="8" w:space="0"/>
              <w:bottom w:val="single" w:color="000000" w:sz="8" w:space="0"/>
              <w:right w:val="single" w:color="000000" w:sz="8" w:space="0"/>
            </w:tcBorders>
            <w:noWrap w:val="0"/>
            <w:vAlign w:val="center"/>
          </w:tcPr>
          <w:p w14:paraId="64070844">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p>
        </w:tc>
      </w:tr>
    </w:tbl>
    <w:p w14:paraId="0726C3FE">
      <w:pPr>
        <w:keepNext w:val="0"/>
        <w:keepLines w:val="0"/>
        <w:pageBreakBefore w:val="0"/>
        <w:widowControl w:val="0"/>
        <w:spacing w:line="520" w:lineRule="exact"/>
        <w:ind w:firstLine="480"/>
        <w:rPr>
          <w:rFonts w:hint="default" w:ascii="宋体" w:hAnsi="宋体" w:eastAsia="宋体" w:cs="宋体"/>
          <w:sz w:val="24"/>
          <w:szCs w:val="24"/>
        </w:rPr>
      </w:pPr>
      <w:r>
        <w:rPr>
          <w:rFonts w:hint="eastAsia" w:ascii="宋体" w:hAnsi="宋体" w:eastAsia="宋体" w:cs="宋体"/>
          <w:sz w:val="24"/>
          <w:szCs w:val="24"/>
        </w:rPr>
        <w:t>若遇项目增加立项，或地块整改，踏勘地块数和面积增加，采集样品、开掘点位增加，或项目鉴定会场次增加等情况，按实际工作量，根据成交单价进行价格结算。</w:t>
      </w:r>
    </w:p>
    <w:p w14:paraId="60073671">
      <w:pPr>
        <w:keepNext w:val="0"/>
        <w:keepLines w:val="0"/>
        <w:pageBreakBefore w:val="0"/>
        <w:widowControl w:val="0"/>
        <w:spacing w:line="520" w:lineRule="exact"/>
        <w:ind w:firstLine="480"/>
        <w:rPr>
          <w:rFonts w:hint="eastAsia" w:ascii="宋体" w:hAnsi="宋体" w:eastAsia="宋体" w:cs="宋体"/>
          <w:sz w:val="24"/>
          <w:szCs w:val="24"/>
        </w:rPr>
      </w:pPr>
      <w:r>
        <w:rPr>
          <w:rFonts w:hint="eastAsia" w:ascii="宋体" w:hAnsi="宋体" w:eastAsia="宋体" w:cs="宋体"/>
          <w:sz w:val="24"/>
          <w:szCs w:val="24"/>
        </w:rPr>
        <w:t>为提高项目评价单元验收通过率，根据鉴定工作实际需求，</w:t>
      </w:r>
      <w:r>
        <w:rPr>
          <w:rFonts w:hint="eastAsia" w:ascii="宋体" w:hAnsi="宋体" w:eastAsia="宋体" w:cs="宋体"/>
          <w:color w:val="auto"/>
          <w:sz w:val="24"/>
          <w:szCs w:val="24"/>
        </w:rPr>
        <w:t>甲方可委托乙方</w:t>
      </w:r>
      <w:r>
        <w:rPr>
          <w:rFonts w:hint="eastAsia" w:ascii="宋体" w:hAnsi="宋体" w:cs="宋体"/>
          <w:color w:val="auto"/>
          <w:sz w:val="24"/>
          <w:szCs w:val="24"/>
          <w:lang w:val="en-US" w:eastAsia="zh-CN"/>
        </w:rPr>
        <w:t>前期</w:t>
      </w:r>
      <w:r>
        <w:rPr>
          <w:rFonts w:hint="eastAsia" w:ascii="宋体" w:hAnsi="宋体" w:eastAsia="宋体" w:cs="宋体"/>
          <w:color w:val="auto"/>
          <w:sz w:val="24"/>
          <w:szCs w:val="24"/>
        </w:rPr>
        <w:t>开展田间简易踏勘（不邀请专家），调查农业生产条件符合性，其中为提高踏勘效率，地下侵入体探查借助50cm钢钎探查，填写补充耕地踏勘表，一次性告知地块存在问题，给出相关地块整改意见，并跟踪地块整改情况（若镇街反馈整改图片无法研判是否完成整改，必要时</w:t>
      </w:r>
      <w:r>
        <w:rPr>
          <w:rFonts w:hint="eastAsia" w:ascii="宋体" w:hAnsi="宋体" w:cs="宋体"/>
          <w:color w:val="auto"/>
          <w:sz w:val="24"/>
          <w:szCs w:val="24"/>
          <w:lang w:val="en-US" w:eastAsia="zh-CN"/>
        </w:rPr>
        <w:t>可</w:t>
      </w:r>
      <w:r>
        <w:rPr>
          <w:rFonts w:hint="eastAsia" w:ascii="宋体" w:hAnsi="宋体" w:eastAsia="宋体" w:cs="宋体"/>
          <w:color w:val="auto"/>
          <w:sz w:val="24"/>
          <w:szCs w:val="24"/>
        </w:rPr>
        <w:t>开展地块二次实地踏勘），研判是否满足专家现场踏勘要求，留取现</w:t>
      </w:r>
      <w:r>
        <w:rPr>
          <w:rFonts w:hint="eastAsia" w:ascii="宋体" w:hAnsi="宋体" w:eastAsia="宋体" w:cs="宋体"/>
          <w:sz w:val="24"/>
          <w:szCs w:val="24"/>
        </w:rPr>
        <w:t>场踏勘、地块钎插、地块存在问题图片、地块整改图片等，形成完整工作档案。踏勘工作按地块基本踏勘成交单价计费，不计面积踏勘费用。</w:t>
      </w:r>
    </w:p>
    <w:p w14:paraId="22B3FEE3">
      <w:pPr>
        <w:keepNext w:val="0"/>
        <w:keepLines w:val="0"/>
        <w:pageBreakBefore w:val="0"/>
        <w:widowControl w:val="0"/>
        <w:spacing w:line="520" w:lineRule="atLeast"/>
        <w:ind w:firstLine="482"/>
        <w:rPr>
          <w:rFonts w:hint="eastAsia" w:ascii="宋体" w:hAnsi="宋体" w:eastAsia="宋体" w:cs="宋体"/>
          <w:sz w:val="24"/>
          <w:szCs w:val="24"/>
        </w:rPr>
      </w:pPr>
      <w:r>
        <w:rPr>
          <w:rFonts w:hint="eastAsia" w:ascii="宋体" w:hAnsi="宋体" w:eastAsia="宋体" w:cs="宋体"/>
          <w:b/>
          <w:bCs/>
          <w:sz w:val="24"/>
          <w:szCs w:val="24"/>
        </w:rPr>
        <w:t>支付方式：</w:t>
      </w:r>
      <w:r>
        <w:rPr>
          <w:rFonts w:hint="eastAsia" w:ascii="宋体" w:hAnsi="宋体" w:eastAsia="宋体" w:cs="宋体"/>
          <w:sz w:val="24"/>
          <w:szCs w:val="24"/>
        </w:rPr>
        <w:t>合同签订，服务完成，提交成果经采购人确认后，最终按实际完成工作量据实结算（不计利息）。技术服务费根据各工作环节实际工作量按中标单价进行价格结算，成交供应商需提供详细清单及附件，佐证相关技术服务费用组成。</w:t>
      </w:r>
    </w:p>
    <w:p w14:paraId="3E052C25">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第五条 本合同涉及的本项目成果的所有权、使用权和著作权归甲方所有。</w:t>
      </w:r>
    </w:p>
    <w:p w14:paraId="3C2C1875">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第六条 不可抗力</w:t>
      </w:r>
    </w:p>
    <w:p w14:paraId="29C4FE8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1.签约双方任一方由于受诸如战争、严重火灾、洪水、台风、地震等不可抗力事故的影响而不能执行合同时，履行合同的期限应予以延长。</w:t>
      </w:r>
    </w:p>
    <w:p w14:paraId="1974F01B">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受阻一方应在不可抗力事故发生后尽快用电报、传真或电传通知对方，并于事故发生后14天内将有关当局出具的证明文件用特快专递寄给对方审阅确认。一旦不可抗力事故的影响持续40天以上，双方应通过友好协商在合理的时间内达成是否继续履行合同的协议。</w:t>
      </w:r>
    </w:p>
    <w:p w14:paraId="0E245B78">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第七条 税费</w:t>
      </w:r>
    </w:p>
    <w:p w14:paraId="041E3CDB">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与履行本合同有关的一切税费，由乙方承担。</w:t>
      </w:r>
    </w:p>
    <w:p w14:paraId="7910FA51">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第八条 争议</w:t>
      </w:r>
    </w:p>
    <w:p w14:paraId="1EC0988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1.在执行本合同中发生的或与本合同有关的争端，双方应通过友好协商解决。经协商不能达成协议时，任一方可向项目所在地的人民法院提请诉讼。</w:t>
      </w:r>
    </w:p>
    <w:p w14:paraId="7E987C7D">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2.在诉讼期间，双方应继续履行争议部分以外的合同内容。</w:t>
      </w:r>
    </w:p>
    <w:p w14:paraId="7572664D">
      <w:pPr>
        <w:keepNext w:val="0"/>
        <w:keepLines w:val="0"/>
        <w:pageBreakBefore w:val="0"/>
        <w:widowControl w:val="0"/>
        <w:spacing w:line="520" w:lineRule="atLeast"/>
        <w:ind w:firstLine="482"/>
        <w:rPr>
          <w:rFonts w:hint="eastAsia" w:ascii="宋体" w:hAnsi="宋体" w:eastAsia="宋体" w:cs="宋体"/>
          <w:b/>
          <w:sz w:val="24"/>
          <w:szCs w:val="24"/>
        </w:rPr>
      </w:pPr>
      <w:r>
        <w:rPr>
          <w:rFonts w:hint="eastAsia" w:ascii="宋体" w:hAnsi="宋体" w:eastAsia="宋体" w:cs="宋体"/>
          <w:b/>
          <w:sz w:val="24"/>
          <w:szCs w:val="24"/>
        </w:rPr>
        <w:t>第九条 违约终止合同</w:t>
      </w:r>
    </w:p>
    <w:p w14:paraId="33D4E495">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 .违约责任（有下列情况之一的，甲方有权终止协议）</w:t>
      </w:r>
    </w:p>
    <w:p w14:paraId="09BFD91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1.1乙方违反从业道德，影响甲方声誉或投诉查实的。</w:t>
      </w:r>
    </w:p>
    <w:p w14:paraId="0C89CB66">
      <w:pPr>
        <w:keepNext w:val="0"/>
        <w:keepLines w:val="0"/>
        <w:pageBreakBefore w:val="0"/>
        <w:widowControl w:val="0"/>
        <w:spacing w:line="520" w:lineRule="atLeast"/>
        <w:ind w:left="479"/>
        <w:rPr>
          <w:rFonts w:hint="eastAsia" w:ascii="宋体" w:hAnsi="宋体" w:eastAsia="宋体" w:cs="宋体"/>
          <w:sz w:val="24"/>
          <w:szCs w:val="24"/>
        </w:rPr>
      </w:pPr>
      <w:r>
        <w:rPr>
          <w:rFonts w:hint="eastAsia" w:ascii="宋体" w:hAnsi="宋体" w:eastAsia="宋体" w:cs="宋体"/>
          <w:sz w:val="24"/>
          <w:szCs w:val="24"/>
        </w:rPr>
        <w:t>1.2若遇市以上党政部门政策调整，甲方有权根据政策需要终止或调整合同。2.因解除而终止</w:t>
      </w:r>
    </w:p>
    <w:p w14:paraId="10D25FE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6B20EAC4">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3F6FC3DF">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2.3合同一方依本合同约定行使解除权的，合同自解除通知送达另一方之日起终止。违约方应当按本合同约定支付违约金或赔偿损失。</w:t>
      </w:r>
    </w:p>
    <w:p w14:paraId="5D8CA9CA">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2.4合同终止后，不妨碍守约方向违约方追究违约责任。</w:t>
      </w:r>
    </w:p>
    <w:p w14:paraId="62DD7110">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第十条 变更指示</w:t>
      </w:r>
    </w:p>
    <w:p w14:paraId="26AE2CEC">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1.甲方有权根据实际需要，在《政府采购法》允许的范围内提出变更要求。</w:t>
      </w:r>
    </w:p>
    <w:p w14:paraId="5E30A688">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若上述变更导致了乙方履行合同的费用或履约时间的变化，依据变更通知书对合同造价或项目进度进行合理的调整，工作量变更后的费用在投标报价内的按投标报价执行，不在投标报价内的经甲方审计后确认。乙方必须在接到甲方的变更通知书后一周内根据变更内容提交调整后的实施意见。</w:t>
      </w:r>
    </w:p>
    <w:p w14:paraId="407319C3">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第十一条 合同修改</w:t>
      </w:r>
    </w:p>
    <w:p w14:paraId="52B1608A">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对合同条款做出任何改动或偏离，均须甲乙签署书面的合同修改书。</w:t>
      </w:r>
    </w:p>
    <w:p w14:paraId="4581BBBF">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第十二条 适用法律</w:t>
      </w:r>
    </w:p>
    <w:p w14:paraId="4A4C139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本合同按中华人民共和国的法律解释。</w:t>
      </w:r>
    </w:p>
    <w:p w14:paraId="05BD5B2B">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第十三条 语言与计量单位</w:t>
      </w:r>
    </w:p>
    <w:p w14:paraId="0D1EE284">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1.合同书写应用中文。甲乙双方所有的来往函电以及与合同有关的文件均应以中文书写。</w:t>
      </w:r>
    </w:p>
    <w:p w14:paraId="30CFE04F">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2.除技术规格中另有规定外，计量单位均使用国际单位制。</w:t>
      </w:r>
    </w:p>
    <w:p w14:paraId="465B8222">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第十四条 通知</w:t>
      </w:r>
    </w:p>
    <w:p w14:paraId="6859E0E2">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1.本合同任何一方给另一方的通知都应以书面形式发送，而另一方应以书面形式确认并发送到对方明确的地址。</w:t>
      </w:r>
    </w:p>
    <w:p w14:paraId="572FFEC1">
      <w:pPr>
        <w:keepNext w:val="0"/>
        <w:keepLines w:val="0"/>
        <w:pageBreakBefore w:val="0"/>
        <w:widowControl w:val="0"/>
        <w:spacing w:line="520" w:lineRule="atLeast"/>
        <w:ind w:firstLine="482"/>
        <w:rPr>
          <w:rFonts w:hint="eastAsia" w:ascii="宋体" w:hAnsi="宋体" w:eastAsia="宋体" w:cs="宋体"/>
          <w:b/>
          <w:bCs/>
          <w:sz w:val="24"/>
          <w:szCs w:val="24"/>
        </w:rPr>
      </w:pPr>
      <w:r>
        <w:rPr>
          <w:rFonts w:hint="eastAsia" w:ascii="宋体" w:hAnsi="宋体" w:eastAsia="宋体" w:cs="宋体"/>
          <w:b/>
          <w:bCs/>
          <w:sz w:val="24"/>
          <w:szCs w:val="24"/>
        </w:rPr>
        <w:t>第十五条 合同文件及资料的保密</w:t>
      </w:r>
    </w:p>
    <w:p w14:paraId="064493A1">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1.在未经甲方同意的情况下，乙方不得将合同、合同中规定的有关工作细节、土壤检测结果、耕地等级评价等相关成果和甲方为乙方提供的资料透露给任何人。</w:t>
      </w:r>
    </w:p>
    <w:p w14:paraId="31AE8231">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2.除合同本身以外，乙方从甲方处获得的所有资料其知识产权归甲方所有，乙方应与其合同义务履行完毕以后将这些资料（包括所有副本）退还甲方。</w:t>
      </w:r>
    </w:p>
    <w:p w14:paraId="4453FC11">
      <w:pPr>
        <w:keepNext w:val="0"/>
        <w:keepLines w:val="0"/>
        <w:pageBreakBefore w:val="0"/>
        <w:widowControl w:val="0"/>
        <w:spacing w:line="520" w:lineRule="atLeast"/>
        <w:ind w:firstLine="482"/>
        <w:rPr>
          <w:rFonts w:hint="eastAsia" w:ascii="宋体" w:hAnsi="宋体" w:eastAsia="宋体" w:cs="宋体"/>
          <w:sz w:val="24"/>
          <w:szCs w:val="24"/>
        </w:rPr>
      </w:pPr>
      <w:r>
        <w:rPr>
          <w:rFonts w:hint="eastAsia" w:ascii="宋体" w:hAnsi="宋体" w:eastAsia="宋体" w:cs="宋体"/>
          <w:b/>
          <w:bCs/>
          <w:sz w:val="24"/>
          <w:szCs w:val="24"/>
        </w:rPr>
        <w:t>第十六条 合同生效及其他</w:t>
      </w:r>
    </w:p>
    <w:p w14:paraId="19A63EE6">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1.除合同中另有说明，本合同经双方法定代表人或其委托代理人签字并加盖</w:t>
      </w:r>
      <w:r>
        <w:rPr>
          <w:rFonts w:hint="eastAsia" w:ascii="宋体" w:hAnsi="宋体" w:cs="宋体"/>
          <w:sz w:val="24"/>
          <w:szCs w:val="24"/>
          <w:lang w:eastAsia="zh-CN"/>
        </w:rPr>
        <w:t>电子签章</w:t>
      </w:r>
      <w:r>
        <w:rPr>
          <w:rFonts w:hint="eastAsia" w:ascii="宋体" w:hAnsi="宋体" w:eastAsia="宋体" w:cs="宋体"/>
          <w:sz w:val="24"/>
          <w:szCs w:val="24"/>
        </w:rPr>
        <w:t>或合同专用章后，即开始生效。</w:t>
      </w:r>
    </w:p>
    <w:p w14:paraId="56D3BDA7">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rPr>
        <w:t>2.合同一式肆份，具有同等法律效力。</w:t>
      </w:r>
    </w:p>
    <w:p w14:paraId="1AA4D4BA">
      <w:pPr>
        <w:keepNext w:val="0"/>
        <w:keepLines w:val="0"/>
        <w:pageBreakBefore w:val="0"/>
        <w:widowControl w:val="0"/>
        <w:spacing w:line="520" w:lineRule="atLeast"/>
        <w:ind w:firstLine="482"/>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第十七条 </w:t>
      </w:r>
      <w:r>
        <w:rPr>
          <w:rFonts w:hint="eastAsia" w:ascii="宋体" w:hAnsi="宋体" w:eastAsia="宋体" w:cs="宋体"/>
          <w:b/>
          <w:bCs/>
          <w:sz w:val="24"/>
          <w:szCs w:val="24"/>
          <w:lang w:val="zh-CN"/>
        </w:rPr>
        <w:t>合同的变更和终止</w:t>
      </w:r>
    </w:p>
    <w:p w14:paraId="1DF3D6BE">
      <w:pPr>
        <w:keepNext w:val="0"/>
        <w:keepLines w:val="0"/>
        <w:pageBreakBefore w:val="0"/>
        <w:widowControl w:val="0"/>
        <w:spacing w:line="520" w:lineRule="atLeast"/>
        <w:ind w:firstLine="480"/>
        <w:rPr>
          <w:rFonts w:hint="eastAsia" w:ascii="宋体" w:hAnsi="宋体" w:eastAsia="宋体" w:cs="宋体"/>
          <w:sz w:val="24"/>
          <w:szCs w:val="24"/>
          <w:lang w:val="zh-CN"/>
        </w:rPr>
      </w:pPr>
      <w:r>
        <w:rPr>
          <w:rFonts w:hint="eastAsia" w:ascii="宋体" w:hAnsi="宋体" w:eastAsia="宋体" w:cs="宋体"/>
          <w:sz w:val="24"/>
          <w:szCs w:val="24"/>
          <w:lang w:val="zh-CN"/>
        </w:rPr>
        <w:t>1.除《</w:t>
      </w:r>
      <w:r>
        <w:rPr>
          <w:rFonts w:hint="eastAsia" w:ascii="宋体" w:hAnsi="宋体" w:eastAsia="宋体" w:cs="宋体"/>
          <w:sz w:val="24"/>
          <w:szCs w:val="24"/>
        </w:rPr>
        <w:t>中华人民共和国</w:t>
      </w:r>
      <w:r>
        <w:rPr>
          <w:rFonts w:hint="eastAsia" w:ascii="宋体" w:hAnsi="宋体" w:eastAsia="宋体" w:cs="宋体"/>
          <w:sz w:val="24"/>
          <w:szCs w:val="24"/>
          <w:lang w:val="zh-CN"/>
        </w:rPr>
        <w:t>政府采购法》第50条第二款规定的情形外，本合同一经签订，甲乙</w:t>
      </w:r>
      <w:r>
        <w:rPr>
          <w:rFonts w:hint="eastAsia" w:ascii="宋体" w:hAnsi="宋体" w:eastAsia="宋体" w:cs="宋体"/>
          <w:sz w:val="24"/>
          <w:szCs w:val="24"/>
        </w:rPr>
        <w:t>双</w:t>
      </w:r>
      <w:r>
        <w:rPr>
          <w:rFonts w:hint="eastAsia" w:ascii="宋体" w:hAnsi="宋体" w:eastAsia="宋体" w:cs="宋体"/>
          <w:sz w:val="24"/>
          <w:szCs w:val="24"/>
          <w:lang w:val="zh-CN"/>
        </w:rPr>
        <w:t>方不得擅自变更、中止或终止合同。本合同一式</w:t>
      </w:r>
      <w:r>
        <w:rPr>
          <w:rFonts w:hint="eastAsia" w:ascii="宋体" w:hAnsi="宋体" w:eastAsia="宋体" w:cs="宋体"/>
          <w:sz w:val="24"/>
          <w:szCs w:val="24"/>
        </w:rPr>
        <w:t>肆</w:t>
      </w:r>
      <w:r>
        <w:rPr>
          <w:rFonts w:hint="eastAsia" w:ascii="宋体" w:hAnsi="宋体" w:eastAsia="宋体" w:cs="宋体"/>
          <w:sz w:val="24"/>
          <w:szCs w:val="24"/>
          <w:lang w:val="zh-CN"/>
        </w:rPr>
        <w:t>份，买方、</w:t>
      </w:r>
      <w:r>
        <w:rPr>
          <w:rFonts w:hint="eastAsia" w:ascii="宋体" w:hAnsi="宋体" w:eastAsia="宋体" w:cs="宋体"/>
          <w:sz w:val="24"/>
          <w:szCs w:val="24"/>
        </w:rPr>
        <w:t>卖方各执两份</w:t>
      </w:r>
      <w:r>
        <w:rPr>
          <w:rFonts w:hint="eastAsia" w:ascii="宋体" w:hAnsi="宋体" w:eastAsia="宋体" w:cs="宋体"/>
          <w:sz w:val="24"/>
          <w:szCs w:val="24"/>
          <w:lang w:val="zh-CN"/>
        </w:rPr>
        <w:t>。</w:t>
      </w:r>
    </w:p>
    <w:p w14:paraId="0CB9D822">
      <w:pPr>
        <w:keepNext w:val="0"/>
        <w:keepLines w:val="0"/>
        <w:pageBreakBefore w:val="0"/>
        <w:widowControl w:val="0"/>
        <w:spacing w:line="520" w:lineRule="atLeast"/>
        <w:ind w:firstLine="480"/>
        <w:rPr>
          <w:rFonts w:hint="eastAsia" w:ascii="宋体" w:hAnsi="宋体" w:eastAsia="宋体" w:cs="宋体"/>
          <w:sz w:val="24"/>
          <w:szCs w:val="24"/>
        </w:rPr>
      </w:pPr>
      <w:r>
        <w:rPr>
          <w:rFonts w:hint="eastAsia" w:ascii="宋体" w:hAnsi="宋体" w:eastAsia="宋体" w:cs="宋体"/>
          <w:sz w:val="24"/>
          <w:szCs w:val="24"/>
          <w:lang w:val="zh-CN"/>
        </w:rPr>
        <w:t>2.</w:t>
      </w:r>
      <w:r>
        <w:rPr>
          <w:rFonts w:hint="eastAsia" w:ascii="宋体" w:hAnsi="宋体" w:eastAsia="宋体" w:cs="宋体"/>
          <w:sz w:val="24"/>
          <w:szCs w:val="24"/>
        </w:rPr>
        <w:t>除发生法律规定的不能预见、不能避免并不能克服的客观情况外，甲乙双方不得放弃或拒绝履行合同。</w:t>
      </w:r>
    </w:p>
    <w:p w14:paraId="7D10DAF0">
      <w:pPr>
        <w:keepNext w:val="0"/>
        <w:keepLines w:val="0"/>
        <w:pageBreakBefore w:val="0"/>
        <w:widowControl w:val="0"/>
        <w:spacing w:line="520" w:lineRule="atLeast"/>
        <w:ind w:firstLine="240"/>
        <w:rPr>
          <w:rFonts w:hint="eastAsia" w:ascii="宋体" w:hAnsi="宋体" w:eastAsia="宋体" w:cs="宋体"/>
          <w:sz w:val="24"/>
          <w:szCs w:val="24"/>
        </w:rPr>
      </w:pPr>
    </w:p>
    <w:p w14:paraId="20475567">
      <w:pPr>
        <w:keepNext w:val="0"/>
        <w:keepLines w:val="0"/>
        <w:pageBreakBefore w:val="0"/>
        <w:widowControl w:val="0"/>
        <w:spacing w:line="520" w:lineRule="atLeast"/>
        <w:ind w:firstLine="240"/>
        <w:rPr>
          <w:rFonts w:hint="eastAsia" w:ascii="宋体" w:hAnsi="宋体" w:eastAsia="宋体" w:cs="宋体"/>
          <w:sz w:val="24"/>
          <w:szCs w:val="24"/>
        </w:rPr>
      </w:pPr>
      <w:r>
        <w:rPr>
          <w:rFonts w:hint="eastAsia" w:ascii="宋体" w:hAnsi="宋体" w:eastAsia="宋体" w:cs="宋体"/>
          <w:sz w:val="24"/>
          <w:szCs w:val="24"/>
        </w:rPr>
        <w:t xml:space="preserve">甲方：（盖章）                           乙方：（盖章）             </w:t>
      </w:r>
    </w:p>
    <w:p w14:paraId="50798C09">
      <w:pPr>
        <w:keepNext w:val="0"/>
        <w:keepLines w:val="0"/>
        <w:pageBreakBefore w:val="0"/>
        <w:widowControl w:val="0"/>
        <w:spacing w:line="520" w:lineRule="atLeast"/>
        <w:ind w:firstLine="240"/>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p>
    <w:p w14:paraId="4D01BBCA">
      <w:pPr>
        <w:keepNext w:val="0"/>
        <w:keepLines w:val="0"/>
        <w:pageBreakBefore w:val="0"/>
        <w:widowControl w:val="0"/>
        <w:spacing w:line="520" w:lineRule="atLeast"/>
        <w:rPr>
          <w:rFonts w:hint="eastAsia" w:ascii="宋体" w:hAnsi="宋体" w:eastAsia="宋体" w:cs="宋体"/>
          <w:sz w:val="24"/>
          <w:szCs w:val="24"/>
        </w:rPr>
      </w:pPr>
      <w:r>
        <w:rPr>
          <w:rFonts w:hint="eastAsia" w:ascii="宋体" w:hAnsi="宋体" w:eastAsia="宋体" w:cs="宋体"/>
          <w:sz w:val="24"/>
          <w:szCs w:val="24"/>
        </w:rPr>
        <w:t xml:space="preserve">（或授权代理人）：                        （或授权代理人）：        </w:t>
      </w:r>
    </w:p>
    <w:p w14:paraId="46F08912">
      <w:pPr>
        <w:keepNext w:val="0"/>
        <w:keepLines w:val="0"/>
        <w:pageBreakBefore w:val="0"/>
        <w:widowControl w:val="0"/>
        <w:spacing w:line="520" w:lineRule="atLeast"/>
        <w:ind w:firstLine="484"/>
        <w:rPr>
          <w:rFonts w:hint="eastAsia" w:ascii="宋体" w:hAnsi="宋体" w:eastAsia="宋体" w:cs="宋体"/>
          <w:sz w:val="24"/>
          <w:szCs w:val="24"/>
        </w:rPr>
      </w:pPr>
      <w:r>
        <w:rPr>
          <w:rFonts w:hint="eastAsia" w:ascii="宋体" w:hAnsi="宋体" w:eastAsia="宋体" w:cs="宋体"/>
          <w:sz w:val="24"/>
          <w:szCs w:val="24"/>
        </w:rPr>
        <w:t xml:space="preserve">单位地址：                            单位地址：                </w:t>
      </w:r>
    </w:p>
    <w:p w14:paraId="2B419A6C">
      <w:pPr>
        <w:keepNext w:val="0"/>
        <w:keepLines w:val="0"/>
        <w:pageBreakBefore w:val="0"/>
        <w:widowControl w:val="0"/>
        <w:spacing w:line="520" w:lineRule="atLeast"/>
        <w:ind w:firstLine="484"/>
        <w:rPr>
          <w:rFonts w:hint="eastAsia" w:ascii="宋体" w:hAnsi="宋体" w:eastAsia="宋体" w:cs="宋体"/>
          <w:sz w:val="24"/>
          <w:szCs w:val="24"/>
        </w:rPr>
      </w:pPr>
      <w:r>
        <w:rPr>
          <w:rFonts w:hint="eastAsia" w:ascii="宋体" w:hAnsi="宋体" w:eastAsia="宋体" w:cs="宋体"/>
          <w:sz w:val="24"/>
          <w:szCs w:val="24"/>
        </w:rPr>
        <w:t xml:space="preserve">邮    编：                            邮    编：                </w:t>
      </w:r>
    </w:p>
    <w:p w14:paraId="78D1E81C">
      <w:pPr>
        <w:keepNext w:val="0"/>
        <w:keepLines w:val="0"/>
        <w:pageBreakBefore w:val="0"/>
        <w:widowControl w:val="0"/>
        <w:spacing w:line="520" w:lineRule="atLeast"/>
        <w:ind w:firstLine="484"/>
        <w:rPr>
          <w:rFonts w:hint="eastAsia" w:ascii="宋体" w:hAnsi="宋体" w:eastAsia="宋体" w:cs="宋体"/>
          <w:sz w:val="24"/>
          <w:szCs w:val="24"/>
        </w:rPr>
      </w:pPr>
      <w:r>
        <w:rPr>
          <w:rFonts w:hint="eastAsia" w:ascii="宋体" w:hAnsi="宋体" w:eastAsia="宋体" w:cs="宋体"/>
          <w:sz w:val="24"/>
          <w:szCs w:val="24"/>
        </w:rPr>
        <w:t xml:space="preserve">电    话：                            电    话：                </w:t>
      </w:r>
    </w:p>
    <w:p w14:paraId="520B6864">
      <w:pPr>
        <w:keepNext w:val="0"/>
        <w:keepLines w:val="0"/>
        <w:pageBreakBefore w:val="0"/>
        <w:widowControl w:val="0"/>
        <w:spacing w:line="520" w:lineRule="atLeast"/>
        <w:ind w:firstLine="484"/>
        <w:rPr>
          <w:rFonts w:hint="eastAsia" w:ascii="宋体" w:hAnsi="宋体" w:eastAsia="宋体" w:cs="宋体"/>
          <w:sz w:val="24"/>
          <w:szCs w:val="24"/>
        </w:rPr>
      </w:pPr>
      <w:r>
        <w:rPr>
          <w:rFonts w:hint="eastAsia" w:ascii="宋体" w:hAnsi="宋体" w:eastAsia="宋体" w:cs="宋体"/>
          <w:sz w:val="24"/>
          <w:szCs w:val="24"/>
        </w:rPr>
        <w:t xml:space="preserve">传    真：                            传    真：                </w:t>
      </w:r>
    </w:p>
    <w:p w14:paraId="5A35AA8F">
      <w:pPr>
        <w:keepNext w:val="0"/>
        <w:keepLines w:val="0"/>
        <w:pageBreakBefore w:val="0"/>
        <w:widowControl w:val="0"/>
        <w:spacing w:line="520" w:lineRule="atLeast"/>
        <w:ind w:firstLine="480"/>
        <w:jc w:val="both"/>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日    期：                            日    期：</w:t>
      </w:r>
    </w:p>
    <w:p w14:paraId="06699D65">
      <w:pPr>
        <w:pStyle w:val="19"/>
        <w:spacing w:line="440" w:lineRule="exact"/>
        <w:ind w:firstLine="1072"/>
        <w:rPr>
          <w:rFonts w:hint="eastAsia" w:ascii="宋体" w:hAnsi="宋体" w:eastAsia="宋体" w:cs="宋体"/>
          <w:b/>
          <w:bCs/>
          <w:color w:val="000000" w:themeColor="text1"/>
          <w:sz w:val="24"/>
          <w:szCs w:val="24"/>
          <w14:textFill>
            <w14:solidFill>
              <w14:schemeClr w14:val="tx1"/>
            </w14:solidFill>
          </w14:textFill>
        </w:rPr>
      </w:pPr>
    </w:p>
    <w:p w14:paraId="327506C1">
      <w:pPr>
        <w:pStyle w:val="19"/>
        <w:spacing w:line="440" w:lineRule="exact"/>
        <w:ind w:firstLine="1072"/>
        <w:rPr>
          <w:rFonts w:asciiTheme="minorEastAsia" w:hAnsiTheme="minorEastAsia" w:eastAsiaTheme="minorEastAsia"/>
          <w:b/>
          <w:bCs/>
          <w:color w:val="000000" w:themeColor="text1"/>
          <w:sz w:val="24"/>
          <w:szCs w:val="24"/>
          <w14:textFill>
            <w14:solidFill>
              <w14:schemeClr w14:val="tx1"/>
            </w14:solidFill>
          </w14:textFill>
        </w:rPr>
      </w:pPr>
    </w:p>
    <w:p w14:paraId="48E8E691">
      <w:pPr>
        <w:rPr>
          <w:rFonts w:hint="eastAsia"/>
        </w:rPr>
      </w:pPr>
    </w:p>
    <w:p w14:paraId="049DD18F">
      <w:pPr>
        <w:rPr>
          <w:rFonts w:hint="eastAsia"/>
        </w:rPr>
      </w:pPr>
    </w:p>
    <w:p w14:paraId="13D75A0A">
      <w:pPr>
        <w:rPr>
          <w:rFonts w:hint="eastAsia"/>
        </w:rPr>
      </w:pPr>
    </w:p>
    <w:p w14:paraId="4D5A9D69">
      <w:pPr>
        <w:rPr>
          <w:rFonts w:hint="eastAsia"/>
        </w:rPr>
      </w:pPr>
    </w:p>
    <w:p w14:paraId="69A5F932">
      <w:pPr>
        <w:rPr>
          <w:rFonts w:hint="eastAsia"/>
        </w:rPr>
      </w:pPr>
    </w:p>
    <w:p w14:paraId="67543B78">
      <w:pPr>
        <w:pStyle w:val="192"/>
        <w:spacing w:before="0" w:after="0" w:line="300" w:lineRule="auto"/>
        <w:ind w:firstLine="2570"/>
        <w:rPr>
          <w:rFonts w:ascii="宋体" w:hAnsi="宋体"/>
          <w:color w:val="000000" w:themeColor="text1"/>
          <w:sz w:val="24"/>
          <w14:textFill>
            <w14:solidFill>
              <w14:schemeClr w14:val="tx1"/>
            </w14:solidFill>
          </w14:textFill>
        </w:rPr>
      </w:pPr>
      <w:bookmarkStart w:id="48" w:name="_Toc148347153"/>
      <w:r>
        <w:rPr>
          <w:rFonts w:hint="eastAsia"/>
          <w:color w:val="000000" w:themeColor="text1"/>
          <w14:textFill>
            <w14:solidFill>
              <w14:schemeClr w14:val="tx1"/>
            </w14:solidFill>
          </w14:textFill>
        </w:rPr>
        <w:t>第五部分   项目采购需求</w:t>
      </w:r>
      <w:bookmarkEnd w:id="48"/>
      <w:bookmarkStart w:id="49" w:name="_Toc455472183"/>
      <w:r>
        <w:rPr>
          <w:rFonts w:ascii="宋体" w:hAnsi="宋体"/>
          <w:color w:val="000000" w:themeColor="text1"/>
          <w:sz w:val="24"/>
          <w14:textFill>
            <w14:solidFill>
              <w14:schemeClr w14:val="tx1"/>
            </w14:solidFill>
          </w14:textFill>
        </w:rPr>
        <w:t xml:space="preserve"> </w:t>
      </w:r>
    </w:p>
    <w:p w14:paraId="0B7E0DA3">
      <w:pPr>
        <w:spacing w:line="520" w:lineRule="exact"/>
        <w:ind w:firstLine="480"/>
        <w:jc w:val="left"/>
        <w:rPr>
          <w:rFonts w:hint="eastAsia" w:ascii="宋体" w:hAnsi="宋体" w:cs="宋体"/>
          <w:sz w:val="24"/>
          <w:szCs w:val="24"/>
          <w:lang w:eastAsia="zh-CN"/>
        </w:rPr>
      </w:pPr>
      <w:bookmarkStart w:id="50" w:name="OLE_LINK20"/>
      <w:bookmarkStart w:id="51" w:name="_Toc148347154"/>
      <w:r>
        <w:rPr>
          <w:rFonts w:hint="eastAsia" w:ascii="宋体" w:hAnsi="宋体" w:cs="宋体"/>
          <w:sz w:val="24"/>
          <w:szCs w:val="24"/>
          <w:lang w:eastAsia="zh-CN"/>
        </w:rPr>
        <w:t>涟水县2025年占补平衡项目补充耕地质量鉴定工作包括2025年度占补平衡第一批128个地块295.75亩（包括已鉴定等级达不到上年占用耕地等级地块再鉴定地块）；第二批209个地块，371.99亩；第三批427个地块，1232.25亩；第四批954个地块4122亩，合计1718个地块6021.99亩。</w:t>
      </w:r>
    </w:p>
    <w:p w14:paraId="52F2CF5B">
      <w:pPr>
        <w:spacing w:line="520" w:lineRule="exact"/>
        <w:ind w:firstLine="480"/>
        <w:jc w:val="left"/>
        <w:rPr>
          <w:rFonts w:hint="eastAsia" w:ascii="宋体" w:hAnsi="宋体" w:cs="宋体"/>
          <w:color w:val="000000"/>
          <w:sz w:val="24"/>
          <w:szCs w:val="24"/>
          <w:highlight w:val="none"/>
          <w:lang w:val="en-US" w:eastAsia="zh-CN"/>
        </w:rPr>
      </w:pPr>
      <w:r>
        <w:rPr>
          <w:rFonts w:hint="eastAsia" w:ascii="宋体" w:hAnsi="宋体" w:eastAsia="宋体" w:cs="宋体"/>
          <w:color w:val="auto"/>
          <w:sz w:val="24"/>
          <w:szCs w:val="24"/>
        </w:rPr>
        <w:t>根据工作实际需要，</w:t>
      </w:r>
      <w:r>
        <w:rPr>
          <w:rFonts w:hint="eastAsia" w:ascii="宋体" w:hAnsi="宋体" w:cs="宋体"/>
          <w:color w:val="auto"/>
          <w:sz w:val="24"/>
          <w:szCs w:val="24"/>
          <w:lang w:eastAsia="zh-CN"/>
        </w:rPr>
        <w:t>涟水县2025年占补平衡项目补充耕地质量鉴定</w:t>
      </w:r>
      <w:r>
        <w:rPr>
          <w:rFonts w:hint="eastAsia" w:ascii="宋体" w:hAnsi="宋体" w:eastAsia="宋体" w:cs="宋体"/>
          <w:color w:val="auto"/>
          <w:sz w:val="24"/>
          <w:szCs w:val="24"/>
        </w:rPr>
        <w:t>工作需要开展评价单元划定与点位布设及专家评审；</w:t>
      </w:r>
      <w:r>
        <w:rPr>
          <w:rFonts w:hint="eastAsia" w:ascii="宋体" w:hAnsi="宋体" w:eastAsia="宋体" w:cs="宋体"/>
          <w:color w:val="auto"/>
          <w:sz w:val="24"/>
          <w:szCs w:val="24"/>
          <w:highlight w:val="none"/>
        </w:rPr>
        <w:t>现场踏勘</w:t>
      </w:r>
      <w:r>
        <w:rPr>
          <w:rFonts w:hint="eastAsia" w:ascii="宋体" w:hAnsi="宋体" w:cs="宋体"/>
          <w:color w:val="auto"/>
          <w:sz w:val="24"/>
          <w:szCs w:val="24"/>
          <w:highlight w:val="none"/>
          <w:lang w:val="en-US" w:eastAsia="zh-CN"/>
        </w:rPr>
        <w:t>约3999</w:t>
      </w:r>
      <w:r>
        <w:rPr>
          <w:rFonts w:hint="eastAsia" w:ascii="宋体" w:hAnsi="宋体" w:eastAsia="宋体" w:cs="宋体"/>
          <w:color w:val="auto"/>
          <w:sz w:val="24"/>
          <w:szCs w:val="24"/>
          <w:highlight w:val="none"/>
        </w:rPr>
        <w:t>个地块，</w:t>
      </w:r>
      <w:r>
        <w:rPr>
          <w:rFonts w:hint="eastAsia" w:ascii="宋体" w:hAnsi="宋体" w:cs="宋体"/>
          <w:color w:val="auto"/>
          <w:sz w:val="24"/>
          <w:szCs w:val="24"/>
          <w:highlight w:val="none"/>
          <w:lang w:val="en-US" w:eastAsia="zh-CN"/>
        </w:rPr>
        <w:t>7000</w:t>
      </w:r>
      <w:r>
        <w:rPr>
          <w:rFonts w:hint="eastAsia" w:ascii="宋体" w:hAnsi="宋体" w:eastAsia="宋体" w:cs="宋体"/>
          <w:color w:val="auto"/>
          <w:sz w:val="24"/>
          <w:szCs w:val="24"/>
          <w:highlight w:val="none"/>
        </w:rPr>
        <w:t>亩次；测量</w:t>
      </w:r>
      <w:r>
        <w:rPr>
          <w:rFonts w:hint="eastAsia" w:ascii="宋体" w:hAnsi="宋体" w:cs="宋体"/>
          <w:color w:val="auto"/>
          <w:sz w:val="24"/>
          <w:szCs w:val="24"/>
          <w:highlight w:val="none"/>
          <w:lang w:val="en-US" w:eastAsia="zh-CN"/>
        </w:rPr>
        <w:t>2250</w:t>
      </w:r>
      <w:r>
        <w:rPr>
          <w:rFonts w:hint="eastAsia" w:ascii="宋体" w:hAnsi="宋体" w:eastAsia="宋体" w:cs="宋体"/>
          <w:color w:val="auto"/>
          <w:sz w:val="24"/>
          <w:szCs w:val="24"/>
          <w:highlight w:val="none"/>
        </w:rPr>
        <w:t>个耕作层厚度及侵入体含量；开掘有效土层</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rPr>
        <w:t>个和质地构型</w:t>
      </w:r>
      <w:r>
        <w:rPr>
          <w:rFonts w:hint="eastAsia" w:ascii="宋体" w:hAnsi="宋体" w:cs="宋体"/>
          <w:color w:val="auto"/>
          <w:sz w:val="24"/>
          <w:szCs w:val="24"/>
          <w:highlight w:val="none"/>
          <w:lang w:val="en-US" w:eastAsia="zh-CN"/>
        </w:rPr>
        <w:t>600</w:t>
      </w:r>
      <w:r>
        <w:rPr>
          <w:rFonts w:hint="eastAsia" w:ascii="宋体" w:hAnsi="宋体" w:eastAsia="宋体" w:cs="宋体"/>
          <w:color w:val="auto"/>
          <w:sz w:val="24"/>
          <w:szCs w:val="24"/>
          <w:highlight w:val="none"/>
        </w:rPr>
        <w:t>个；容重采集</w:t>
      </w:r>
      <w:r>
        <w:rPr>
          <w:rFonts w:hint="eastAsia" w:ascii="宋体" w:hAnsi="宋体" w:cs="宋体"/>
          <w:color w:val="auto"/>
          <w:sz w:val="24"/>
          <w:szCs w:val="24"/>
          <w:highlight w:val="none"/>
          <w:lang w:val="en-US" w:eastAsia="zh-CN"/>
        </w:rPr>
        <w:t>560</w:t>
      </w:r>
      <w:r>
        <w:rPr>
          <w:rFonts w:hint="eastAsia" w:ascii="宋体" w:hAnsi="宋体" w:eastAsia="宋体" w:cs="宋体"/>
          <w:color w:val="auto"/>
          <w:sz w:val="24"/>
          <w:szCs w:val="24"/>
          <w:highlight w:val="none"/>
        </w:rPr>
        <w:t>个；土壤样品采集</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rPr>
        <w:t>个；土壤样品制备检测及留样</w:t>
      </w:r>
      <w:r>
        <w:rPr>
          <w:rFonts w:hint="eastAsia" w:ascii="宋体" w:hAnsi="宋体" w:cs="宋体"/>
          <w:color w:val="auto"/>
          <w:sz w:val="24"/>
          <w:szCs w:val="24"/>
          <w:highlight w:val="none"/>
          <w:lang w:val="en-US" w:eastAsia="zh-CN"/>
        </w:rPr>
        <w:t>630样</w:t>
      </w:r>
      <w:r>
        <w:rPr>
          <w:rFonts w:hint="eastAsia" w:ascii="宋体" w:hAnsi="宋体" w:eastAsia="宋体" w:cs="宋体"/>
          <w:color w:val="auto"/>
          <w:sz w:val="24"/>
          <w:szCs w:val="24"/>
          <w:highlight w:val="none"/>
        </w:rPr>
        <w:t>次；开展</w:t>
      </w:r>
      <w:r>
        <w:rPr>
          <w:rFonts w:hint="eastAsia" w:ascii="宋体" w:hAnsi="宋体" w:cs="宋体"/>
          <w:color w:val="auto"/>
          <w:sz w:val="24"/>
          <w:szCs w:val="24"/>
          <w:highlight w:val="none"/>
          <w:lang w:val="en-US" w:eastAsia="zh-CN"/>
        </w:rPr>
        <w:t>2000</w:t>
      </w:r>
      <w:r>
        <w:rPr>
          <w:rFonts w:hint="eastAsia" w:ascii="宋体" w:hAnsi="宋体" w:eastAsia="宋体" w:cs="宋体"/>
          <w:color w:val="auto"/>
          <w:sz w:val="24"/>
          <w:szCs w:val="24"/>
          <w:highlight w:val="none"/>
        </w:rPr>
        <w:t>个地块耕地质量等级评价；</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级初鉴会议</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场，配合市级鉴定和省级抽核共</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场。</w:t>
      </w:r>
      <w:r>
        <w:rPr>
          <w:rFonts w:hint="eastAsia" w:ascii="宋体" w:hAnsi="宋体" w:cs="宋体"/>
          <w:sz w:val="24"/>
          <w:szCs w:val="24"/>
          <w:lang w:eastAsia="zh-CN"/>
        </w:rPr>
        <w:t>具体采购项目限额如下：</w:t>
      </w:r>
    </w:p>
    <w:tbl>
      <w:tblPr>
        <w:tblStyle w:val="35"/>
        <w:tblW w:w="91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8"/>
        <w:gridCol w:w="2893"/>
        <w:gridCol w:w="932"/>
        <w:gridCol w:w="1275"/>
        <w:gridCol w:w="1545"/>
        <w:gridCol w:w="1935"/>
      </w:tblGrid>
      <w:tr w14:paraId="43BBB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608" w:type="dxa"/>
            <w:tcBorders>
              <w:top w:val="single" w:color="000000" w:sz="8" w:space="0"/>
              <w:left w:val="single" w:color="000000" w:sz="8" w:space="0"/>
              <w:bottom w:val="single" w:color="000000" w:sz="8" w:space="0"/>
              <w:right w:val="single" w:color="000000" w:sz="8" w:space="0"/>
            </w:tcBorders>
            <w:noWrap w:val="0"/>
            <w:vAlign w:val="center"/>
          </w:tcPr>
          <w:p w14:paraId="1A3BA9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893" w:type="dxa"/>
            <w:tcBorders>
              <w:top w:val="single" w:color="000000" w:sz="8" w:space="0"/>
              <w:left w:val="single" w:color="000000" w:sz="8" w:space="0"/>
              <w:bottom w:val="single" w:color="000000" w:sz="8" w:space="0"/>
              <w:right w:val="single" w:color="000000" w:sz="8" w:space="0"/>
            </w:tcBorders>
            <w:noWrap w:val="0"/>
            <w:vAlign w:val="center"/>
          </w:tcPr>
          <w:p w14:paraId="704459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采购项目</w:t>
            </w:r>
          </w:p>
        </w:tc>
        <w:tc>
          <w:tcPr>
            <w:tcW w:w="932" w:type="dxa"/>
            <w:tcBorders>
              <w:top w:val="single" w:color="000000" w:sz="8" w:space="0"/>
              <w:left w:val="single" w:color="000000" w:sz="8" w:space="0"/>
              <w:bottom w:val="single" w:color="000000" w:sz="8" w:space="0"/>
              <w:right w:val="single" w:color="000000" w:sz="8" w:space="0"/>
            </w:tcBorders>
            <w:noWrap w:val="0"/>
            <w:vAlign w:val="center"/>
          </w:tcPr>
          <w:p w14:paraId="10B0AA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计量单位</w:t>
            </w:r>
          </w:p>
        </w:tc>
        <w:tc>
          <w:tcPr>
            <w:tcW w:w="1275" w:type="dxa"/>
            <w:tcBorders>
              <w:top w:val="single" w:color="000000" w:sz="8" w:space="0"/>
              <w:left w:val="single" w:color="000000" w:sz="8" w:space="0"/>
              <w:bottom w:val="single" w:color="000000" w:sz="8" w:space="0"/>
              <w:right w:val="single" w:color="000000" w:sz="8" w:space="0"/>
            </w:tcBorders>
            <w:noWrap w:val="0"/>
            <w:vAlign w:val="center"/>
          </w:tcPr>
          <w:p w14:paraId="72445C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采购数量</w:t>
            </w:r>
          </w:p>
        </w:tc>
        <w:tc>
          <w:tcPr>
            <w:tcW w:w="1545" w:type="dxa"/>
            <w:tcBorders>
              <w:top w:val="single" w:color="000000" w:sz="8" w:space="0"/>
              <w:left w:val="single" w:color="000000" w:sz="8" w:space="0"/>
              <w:bottom w:val="single" w:color="000000" w:sz="8" w:space="0"/>
              <w:right w:val="single" w:color="000000" w:sz="8" w:space="0"/>
            </w:tcBorders>
            <w:noWrap w:val="0"/>
            <w:vAlign w:val="center"/>
          </w:tcPr>
          <w:p w14:paraId="33842B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市场参考价</w:t>
            </w:r>
            <w:r>
              <w:rPr>
                <w:rFonts w:hint="eastAsia" w:ascii="宋体" w:hAnsi="宋体" w:eastAsia="宋体" w:cs="宋体"/>
                <w:i w:val="0"/>
                <w:iCs w:val="0"/>
                <w:color w:val="000000"/>
                <w:kern w:val="0"/>
                <w:sz w:val="20"/>
                <w:szCs w:val="20"/>
                <w:highlight w:val="none"/>
                <w:u w:val="none"/>
                <w:lang w:val="en-US" w:eastAsia="zh-CN" w:bidi="ar"/>
              </w:rPr>
              <w:t>（万元）</w:t>
            </w:r>
          </w:p>
        </w:tc>
        <w:tc>
          <w:tcPr>
            <w:tcW w:w="1935" w:type="dxa"/>
            <w:tcBorders>
              <w:top w:val="single" w:color="000000" w:sz="8" w:space="0"/>
              <w:left w:val="single" w:color="000000" w:sz="8" w:space="0"/>
              <w:bottom w:val="single" w:color="000000" w:sz="8" w:space="0"/>
              <w:right w:val="single" w:color="000000" w:sz="8" w:space="0"/>
            </w:tcBorders>
            <w:noWrap w:val="0"/>
            <w:vAlign w:val="center"/>
          </w:tcPr>
          <w:p w14:paraId="67D3A6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项目预算（限额）</w:t>
            </w:r>
            <w:r>
              <w:rPr>
                <w:rFonts w:hint="eastAsia" w:ascii="宋体" w:hAnsi="宋体" w:eastAsia="宋体" w:cs="宋体"/>
                <w:i w:val="0"/>
                <w:iCs w:val="0"/>
                <w:color w:val="000000"/>
                <w:kern w:val="0"/>
                <w:sz w:val="20"/>
                <w:szCs w:val="20"/>
                <w:highlight w:val="none"/>
                <w:u w:val="none"/>
                <w:lang w:val="en-US" w:eastAsia="zh-CN" w:bidi="ar"/>
              </w:rPr>
              <w:t>（万元）</w:t>
            </w:r>
          </w:p>
        </w:tc>
      </w:tr>
      <w:tr w14:paraId="1FAC3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608" w:type="dxa"/>
            <w:tcBorders>
              <w:top w:val="nil"/>
              <w:left w:val="single" w:color="000000" w:sz="8" w:space="0"/>
              <w:bottom w:val="single" w:color="000000" w:sz="8" w:space="0"/>
              <w:right w:val="single" w:color="000000" w:sz="8" w:space="0"/>
            </w:tcBorders>
            <w:noWrap w:val="0"/>
            <w:vAlign w:val="center"/>
          </w:tcPr>
          <w:p w14:paraId="72719F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893" w:type="dxa"/>
            <w:tcBorders>
              <w:top w:val="nil"/>
              <w:left w:val="single" w:color="000000" w:sz="8" w:space="0"/>
              <w:bottom w:val="single" w:color="000000" w:sz="8" w:space="0"/>
              <w:right w:val="single" w:color="000000" w:sz="8" w:space="0"/>
            </w:tcBorders>
            <w:noWrap w:val="0"/>
            <w:vAlign w:val="center"/>
          </w:tcPr>
          <w:p w14:paraId="3D0926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评价单元划定</w:t>
            </w:r>
          </w:p>
        </w:tc>
        <w:tc>
          <w:tcPr>
            <w:tcW w:w="932" w:type="dxa"/>
            <w:tcBorders>
              <w:top w:val="nil"/>
              <w:left w:val="single" w:color="000000" w:sz="8" w:space="0"/>
              <w:bottom w:val="single" w:color="000000" w:sz="8" w:space="0"/>
              <w:right w:val="single" w:color="000000" w:sz="8" w:space="0"/>
            </w:tcBorders>
            <w:noWrap w:val="0"/>
            <w:vAlign w:val="center"/>
          </w:tcPr>
          <w:p w14:paraId="3E73C0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275" w:type="dxa"/>
            <w:tcBorders>
              <w:top w:val="nil"/>
              <w:left w:val="single" w:color="000000" w:sz="8" w:space="0"/>
              <w:bottom w:val="single" w:color="000000" w:sz="8" w:space="0"/>
              <w:right w:val="single" w:color="000000" w:sz="8" w:space="0"/>
            </w:tcBorders>
            <w:noWrap w:val="0"/>
            <w:vAlign w:val="center"/>
          </w:tcPr>
          <w:p w14:paraId="6C2185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1</w:t>
            </w:r>
          </w:p>
        </w:tc>
        <w:tc>
          <w:tcPr>
            <w:tcW w:w="1545" w:type="dxa"/>
            <w:tcBorders>
              <w:top w:val="nil"/>
              <w:left w:val="single" w:color="000000" w:sz="8" w:space="0"/>
              <w:bottom w:val="single" w:color="000000" w:sz="8" w:space="0"/>
              <w:right w:val="single" w:color="000000" w:sz="8" w:space="0"/>
            </w:tcBorders>
            <w:noWrap w:val="0"/>
            <w:vAlign w:val="center"/>
          </w:tcPr>
          <w:p w14:paraId="6E8F9A4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2.5</w:t>
            </w:r>
          </w:p>
        </w:tc>
        <w:tc>
          <w:tcPr>
            <w:tcW w:w="1935" w:type="dxa"/>
            <w:tcBorders>
              <w:top w:val="nil"/>
              <w:left w:val="single" w:color="000000" w:sz="8" w:space="0"/>
              <w:bottom w:val="single" w:color="000000" w:sz="8" w:space="0"/>
              <w:right w:val="single" w:color="000000" w:sz="8" w:space="0"/>
            </w:tcBorders>
            <w:noWrap w:val="0"/>
            <w:vAlign w:val="center"/>
          </w:tcPr>
          <w:p w14:paraId="765379B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2.5</w:t>
            </w:r>
          </w:p>
        </w:tc>
      </w:tr>
      <w:tr w14:paraId="147E9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08" w:type="dxa"/>
            <w:tcBorders>
              <w:top w:val="nil"/>
              <w:left w:val="single" w:color="000000" w:sz="8" w:space="0"/>
              <w:bottom w:val="single" w:color="000000" w:sz="8" w:space="0"/>
              <w:right w:val="single" w:color="000000" w:sz="8" w:space="0"/>
            </w:tcBorders>
            <w:noWrap w:val="0"/>
            <w:vAlign w:val="center"/>
          </w:tcPr>
          <w:p w14:paraId="6CFC24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893" w:type="dxa"/>
            <w:tcBorders>
              <w:top w:val="nil"/>
              <w:left w:val="single" w:color="000000" w:sz="8" w:space="0"/>
              <w:bottom w:val="single" w:color="000000" w:sz="8" w:space="0"/>
              <w:right w:val="single" w:color="000000" w:sz="8" w:space="0"/>
            </w:tcBorders>
            <w:noWrap w:val="0"/>
            <w:vAlign w:val="center"/>
          </w:tcPr>
          <w:p w14:paraId="6D88B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地块踏勘费用</w:t>
            </w:r>
          </w:p>
        </w:tc>
        <w:tc>
          <w:tcPr>
            <w:tcW w:w="932" w:type="dxa"/>
            <w:tcBorders>
              <w:top w:val="nil"/>
              <w:left w:val="single" w:color="000000" w:sz="8" w:space="0"/>
              <w:bottom w:val="single" w:color="000000" w:sz="8" w:space="0"/>
              <w:right w:val="single" w:color="000000" w:sz="8" w:space="0"/>
            </w:tcBorders>
            <w:noWrap w:val="0"/>
            <w:vAlign w:val="center"/>
          </w:tcPr>
          <w:p w14:paraId="791809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275" w:type="dxa"/>
            <w:tcBorders>
              <w:top w:val="nil"/>
              <w:left w:val="single" w:color="000000" w:sz="8" w:space="0"/>
              <w:bottom w:val="single" w:color="000000" w:sz="8" w:space="0"/>
              <w:right w:val="single" w:color="000000" w:sz="8" w:space="0"/>
            </w:tcBorders>
            <w:noWrap w:val="0"/>
            <w:vAlign w:val="center"/>
          </w:tcPr>
          <w:p w14:paraId="2FF95D3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u w:val="none"/>
                <w:lang w:val="en-US" w:eastAsia="zh-CN" w:bidi="ar"/>
              </w:rPr>
              <w:t>3999</w:t>
            </w:r>
          </w:p>
        </w:tc>
        <w:tc>
          <w:tcPr>
            <w:tcW w:w="1545" w:type="dxa"/>
            <w:tcBorders>
              <w:top w:val="nil"/>
              <w:left w:val="single" w:color="000000" w:sz="8" w:space="0"/>
              <w:bottom w:val="single" w:color="000000" w:sz="8" w:space="0"/>
              <w:right w:val="single" w:color="000000" w:sz="8" w:space="0"/>
            </w:tcBorders>
            <w:noWrap w:val="0"/>
            <w:vAlign w:val="center"/>
          </w:tcPr>
          <w:p w14:paraId="0731DE2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0.007</w:t>
            </w:r>
          </w:p>
        </w:tc>
        <w:tc>
          <w:tcPr>
            <w:tcW w:w="1935" w:type="dxa"/>
            <w:tcBorders>
              <w:top w:val="nil"/>
              <w:left w:val="single" w:color="000000" w:sz="8" w:space="0"/>
              <w:bottom w:val="single" w:color="000000" w:sz="8" w:space="0"/>
              <w:right w:val="single" w:color="000000" w:sz="8" w:space="0"/>
            </w:tcBorders>
            <w:noWrap w:val="0"/>
            <w:vAlign w:val="center"/>
          </w:tcPr>
          <w:p w14:paraId="4B0AAAC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7.993</w:t>
            </w:r>
          </w:p>
        </w:tc>
      </w:tr>
      <w:tr w14:paraId="3F850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08" w:type="dxa"/>
            <w:tcBorders>
              <w:top w:val="nil"/>
              <w:left w:val="single" w:color="000000" w:sz="8" w:space="0"/>
              <w:bottom w:val="single" w:color="000000" w:sz="8" w:space="0"/>
              <w:right w:val="single" w:color="000000" w:sz="8" w:space="0"/>
            </w:tcBorders>
            <w:noWrap w:val="0"/>
            <w:vAlign w:val="center"/>
          </w:tcPr>
          <w:p w14:paraId="2EF18E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893" w:type="dxa"/>
            <w:tcBorders>
              <w:top w:val="nil"/>
              <w:left w:val="single" w:color="000000" w:sz="8" w:space="0"/>
              <w:bottom w:val="single" w:color="000000" w:sz="8" w:space="0"/>
              <w:right w:val="single" w:color="000000" w:sz="8" w:space="0"/>
            </w:tcBorders>
            <w:noWrap w:val="0"/>
            <w:vAlign w:val="center"/>
          </w:tcPr>
          <w:p w14:paraId="3E1FF2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面积踏勘费</w:t>
            </w:r>
          </w:p>
        </w:tc>
        <w:tc>
          <w:tcPr>
            <w:tcW w:w="932" w:type="dxa"/>
            <w:tcBorders>
              <w:top w:val="nil"/>
              <w:left w:val="single" w:color="000000" w:sz="8" w:space="0"/>
              <w:bottom w:val="single" w:color="000000" w:sz="8" w:space="0"/>
              <w:right w:val="single" w:color="000000" w:sz="8" w:space="0"/>
            </w:tcBorders>
            <w:noWrap w:val="0"/>
            <w:vAlign w:val="center"/>
          </w:tcPr>
          <w:p w14:paraId="0A71A1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亩次</w:t>
            </w:r>
          </w:p>
        </w:tc>
        <w:tc>
          <w:tcPr>
            <w:tcW w:w="1275" w:type="dxa"/>
            <w:tcBorders>
              <w:top w:val="nil"/>
              <w:left w:val="single" w:color="000000" w:sz="8" w:space="0"/>
              <w:bottom w:val="single" w:color="000000" w:sz="8" w:space="0"/>
              <w:right w:val="single" w:color="000000" w:sz="8" w:space="0"/>
            </w:tcBorders>
            <w:noWrap w:val="0"/>
            <w:vAlign w:val="center"/>
          </w:tcPr>
          <w:p w14:paraId="7F7D69E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7000</w:t>
            </w:r>
          </w:p>
        </w:tc>
        <w:tc>
          <w:tcPr>
            <w:tcW w:w="1545" w:type="dxa"/>
            <w:tcBorders>
              <w:top w:val="nil"/>
              <w:left w:val="single" w:color="000000" w:sz="8" w:space="0"/>
              <w:bottom w:val="single" w:color="000000" w:sz="8" w:space="0"/>
              <w:right w:val="single" w:color="000000" w:sz="8" w:space="0"/>
            </w:tcBorders>
            <w:noWrap w:val="0"/>
            <w:vAlign w:val="center"/>
          </w:tcPr>
          <w:p w14:paraId="4E97C5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0.006</w:t>
            </w:r>
          </w:p>
        </w:tc>
        <w:tc>
          <w:tcPr>
            <w:tcW w:w="1935" w:type="dxa"/>
            <w:tcBorders>
              <w:top w:val="nil"/>
              <w:left w:val="single" w:color="000000" w:sz="8" w:space="0"/>
              <w:bottom w:val="single" w:color="000000" w:sz="8" w:space="0"/>
              <w:right w:val="single" w:color="000000" w:sz="8" w:space="0"/>
            </w:tcBorders>
            <w:noWrap w:val="0"/>
            <w:vAlign w:val="center"/>
          </w:tcPr>
          <w:p w14:paraId="4577C99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42</w:t>
            </w:r>
          </w:p>
        </w:tc>
      </w:tr>
      <w:tr w14:paraId="67574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trPr>
        <w:tc>
          <w:tcPr>
            <w:tcW w:w="608" w:type="dxa"/>
            <w:tcBorders>
              <w:top w:val="nil"/>
              <w:left w:val="single" w:color="000000" w:sz="8" w:space="0"/>
              <w:bottom w:val="single" w:color="000000" w:sz="8" w:space="0"/>
              <w:right w:val="single" w:color="000000" w:sz="8" w:space="0"/>
            </w:tcBorders>
            <w:noWrap w:val="0"/>
            <w:vAlign w:val="center"/>
          </w:tcPr>
          <w:p w14:paraId="7CA5A0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893" w:type="dxa"/>
            <w:tcBorders>
              <w:top w:val="nil"/>
              <w:left w:val="single" w:color="000000" w:sz="8" w:space="0"/>
              <w:bottom w:val="single" w:color="000000" w:sz="8" w:space="0"/>
              <w:right w:val="single" w:color="000000" w:sz="8" w:space="0"/>
            </w:tcBorders>
            <w:noWrap w:val="0"/>
            <w:vAlign w:val="center"/>
          </w:tcPr>
          <w:p w14:paraId="55497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耕作层厚度和侵入体含量测量</w:t>
            </w:r>
          </w:p>
        </w:tc>
        <w:tc>
          <w:tcPr>
            <w:tcW w:w="932" w:type="dxa"/>
            <w:tcBorders>
              <w:top w:val="nil"/>
              <w:left w:val="single" w:color="000000" w:sz="8" w:space="0"/>
              <w:bottom w:val="single" w:color="000000" w:sz="8" w:space="0"/>
              <w:right w:val="single" w:color="000000" w:sz="8" w:space="0"/>
            </w:tcBorders>
            <w:noWrap w:val="0"/>
            <w:vAlign w:val="center"/>
          </w:tcPr>
          <w:p w14:paraId="150691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275" w:type="dxa"/>
            <w:tcBorders>
              <w:top w:val="nil"/>
              <w:left w:val="single" w:color="000000" w:sz="8" w:space="0"/>
              <w:bottom w:val="single" w:color="000000" w:sz="8" w:space="0"/>
              <w:right w:val="single" w:color="000000" w:sz="8" w:space="0"/>
            </w:tcBorders>
            <w:noWrap w:val="0"/>
            <w:vAlign w:val="center"/>
          </w:tcPr>
          <w:p w14:paraId="5BDADB9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25</w:t>
            </w:r>
            <w:r>
              <w:rPr>
                <w:rFonts w:hint="eastAsia" w:ascii="宋体" w:hAnsi="宋体" w:eastAsia="宋体" w:cs="宋体"/>
                <w:i w:val="0"/>
                <w:iCs w:val="0"/>
                <w:color w:val="auto"/>
                <w:kern w:val="0"/>
                <w:sz w:val="24"/>
                <w:szCs w:val="24"/>
                <w:u w:val="none"/>
                <w:lang w:val="en-US" w:eastAsia="zh-CN" w:bidi="ar"/>
              </w:rPr>
              <w:t>0</w:t>
            </w:r>
          </w:p>
        </w:tc>
        <w:tc>
          <w:tcPr>
            <w:tcW w:w="1545" w:type="dxa"/>
            <w:tcBorders>
              <w:top w:val="nil"/>
              <w:left w:val="single" w:color="000000" w:sz="8" w:space="0"/>
              <w:bottom w:val="single" w:color="000000" w:sz="8" w:space="0"/>
              <w:right w:val="single" w:color="000000" w:sz="8" w:space="0"/>
            </w:tcBorders>
            <w:noWrap w:val="0"/>
            <w:vAlign w:val="center"/>
          </w:tcPr>
          <w:p w14:paraId="2B26055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0.00</w:t>
            </w:r>
            <w:r>
              <w:rPr>
                <w:rFonts w:hint="eastAsia" w:ascii="宋体" w:hAnsi="宋体" w:cs="宋体"/>
                <w:i w:val="0"/>
                <w:iCs w:val="0"/>
                <w:color w:val="auto"/>
                <w:kern w:val="0"/>
                <w:sz w:val="24"/>
                <w:szCs w:val="24"/>
                <w:u w:val="none"/>
                <w:lang w:val="en-US" w:eastAsia="zh-CN" w:bidi="ar"/>
              </w:rPr>
              <w:t>8</w:t>
            </w:r>
          </w:p>
        </w:tc>
        <w:tc>
          <w:tcPr>
            <w:tcW w:w="1935" w:type="dxa"/>
            <w:tcBorders>
              <w:top w:val="nil"/>
              <w:left w:val="single" w:color="000000" w:sz="8" w:space="0"/>
              <w:bottom w:val="single" w:color="000000" w:sz="8" w:space="0"/>
              <w:right w:val="single" w:color="000000" w:sz="8" w:space="0"/>
            </w:tcBorders>
            <w:noWrap w:val="0"/>
            <w:vAlign w:val="center"/>
          </w:tcPr>
          <w:p w14:paraId="083C3D5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18</w:t>
            </w:r>
          </w:p>
        </w:tc>
      </w:tr>
      <w:tr w14:paraId="68B58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dxa"/>
            <w:tcBorders>
              <w:top w:val="nil"/>
              <w:left w:val="single" w:color="000000" w:sz="8" w:space="0"/>
              <w:bottom w:val="single" w:color="000000" w:sz="8" w:space="0"/>
              <w:right w:val="single" w:color="000000" w:sz="8" w:space="0"/>
            </w:tcBorders>
            <w:noWrap w:val="0"/>
            <w:vAlign w:val="center"/>
          </w:tcPr>
          <w:p w14:paraId="5CF6AC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893" w:type="dxa"/>
            <w:tcBorders>
              <w:top w:val="nil"/>
              <w:left w:val="single" w:color="000000" w:sz="8" w:space="0"/>
              <w:bottom w:val="single" w:color="000000" w:sz="8" w:space="0"/>
              <w:right w:val="single" w:color="000000" w:sz="8" w:space="0"/>
            </w:tcBorders>
            <w:noWrap w:val="0"/>
            <w:vAlign w:val="center"/>
          </w:tcPr>
          <w:p w14:paraId="706CC6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有效土层开掘测量</w:t>
            </w:r>
          </w:p>
        </w:tc>
        <w:tc>
          <w:tcPr>
            <w:tcW w:w="932" w:type="dxa"/>
            <w:tcBorders>
              <w:top w:val="nil"/>
              <w:left w:val="single" w:color="000000" w:sz="8" w:space="0"/>
              <w:bottom w:val="single" w:color="000000" w:sz="8" w:space="0"/>
              <w:right w:val="single" w:color="000000" w:sz="8" w:space="0"/>
            </w:tcBorders>
            <w:noWrap w:val="0"/>
            <w:vAlign w:val="center"/>
          </w:tcPr>
          <w:p w14:paraId="7E102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275" w:type="dxa"/>
            <w:tcBorders>
              <w:top w:val="nil"/>
              <w:left w:val="single" w:color="000000" w:sz="8" w:space="0"/>
              <w:bottom w:val="single" w:color="000000" w:sz="8" w:space="0"/>
              <w:right w:val="single" w:color="000000" w:sz="8" w:space="0"/>
            </w:tcBorders>
            <w:noWrap w:val="0"/>
            <w:vAlign w:val="center"/>
          </w:tcPr>
          <w:p w14:paraId="7967B64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0</w:t>
            </w:r>
            <w:r>
              <w:rPr>
                <w:rFonts w:hint="eastAsia" w:ascii="宋体" w:hAnsi="宋体" w:eastAsia="宋体" w:cs="宋体"/>
                <w:i w:val="0"/>
                <w:iCs w:val="0"/>
                <w:color w:val="auto"/>
                <w:kern w:val="0"/>
                <w:sz w:val="24"/>
                <w:szCs w:val="24"/>
                <w:u w:val="none"/>
                <w:lang w:val="en-US" w:eastAsia="zh-CN" w:bidi="ar"/>
              </w:rPr>
              <w:t>00</w:t>
            </w:r>
          </w:p>
        </w:tc>
        <w:tc>
          <w:tcPr>
            <w:tcW w:w="1545" w:type="dxa"/>
            <w:tcBorders>
              <w:top w:val="nil"/>
              <w:left w:val="single" w:color="000000" w:sz="8" w:space="0"/>
              <w:bottom w:val="single" w:color="000000" w:sz="8" w:space="0"/>
              <w:right w:val="single" w:color="000000" w:sz="8" w:space="0"/>
            </w:tcBorders>
            <w:noWrap w:val="0"/>
            <w:vAlign w:val="center"/>
          </w:tcPr>
          <w:p w14:paraId="47A0EC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0.00</w:t>
            </w:r>
            <w:r>
              <w:rPr>
                <w:rFonts w:hint="eastAsia" w:ascii="宋体" w:hAnsi="宋体" w:cs="宋体"/>
                <w:i w:val="0"/>
                <w:iCs w:val="0"/>
                <w:color w:val="auto"/>
                <w:kern w:val="0"/>
                <w:sz w:val="24"/>
                <w:szCs w:val="24"/>
                <w:u w:val="none"/>
                <w:lang w:val="en-US" w:eastAsia="zh-CN" w:bidi="ar"/>
              </w:rPr>
              <w:t>96</w:t>
            </w:r>
          </w:p>
        </w:tc>
        <w:tc>
          <w:tcPr>
            <w:tcW w:w="1935" w:type="dxa"/>
            <w:tcBorders>
              <w:top w:val="nil"/>
              <w:left w:val="single" w:color="000000" w:sz="8" w:space="0"/>
              <w:bottom w:val="single" w:color="000000" w:sz="8" w:space="0"/>
              <w:right w:val="single" w:color="000000" w:sz="8" w:space="0"/>
            </w:tcBorders>
            <w:noWrap w:val="0"/>
            <w:vAlign w:val="center"/>
          </w:tcPr>
          <w:p w14:paraId="24907DC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19.2</w:t>
            </w:r>
          </w:p>
        </w:tc>
      </w:tr>
      <w:tr w14:paraId="58D3E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608" w:type="dxa"/>
            <w:tcBorders>
              <w:top w:val="nil"/>
              <w:left w:val="single" w:color="000000" w:sz="8" w:space="0"/>
              <w:bottom w:val="single" w:color="000000" w:sz="8" w:space="0"/>
              <w:right w:val="single" w:color="000000" w:sz="8" w:space="0"/>
            </w:tcBorders>
            <w:noWrap w:val="0"/>
            <w:vAlign w:val="center"/>
          </w:tcPr>
          <w:p w14:paraId="146F4C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893" w:type="dxa"/>
            <w:tcBorders>
              <w:top w:val="nil"/>
              <w:left w:val="single" w:color="000000" w:sz="8" w:space="0"/>
              <w:bottom w:val="single" w:color="000000" w:sz="8" w:space="0"/>
              <w:right w:val="single" w:color="000000" w:sz="8" w:space="0"/>
            </w:tcBorders>
            <w:noWrap w:val="0"/>
            <w:vAlign w:val="center"/>
          </w:tcPr>
          <w:p w14:paraId="413491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质地构型开掘判断</w:t>
            </w:r>
          </w:p>
        </w:tc>
        <w:tc>
          <w:tcPr>
            <w:tcW w:w="932" w:type="dxa"/>
            <w:tcBorders>
              <w:top w:val="nil"/>
              <w:left w:val="single" w:color="000000" w:sz="8" w:space="0"/>
              <w:bottom w:val="single" w:color="000000" w:sz="8" w:space="0"/>
              <w:right w:val="single" w:color="000000" w:sz="8" w:space="0"/>
            </w:tcBorders>
            <w:noWrap w:val="0"/>
            <w:vAlign w:val="center"/>
          </w:tcPr>
          <w:p w14:paraId="6DF8AB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275" w:type="dxa"/>
            <w:tcBorders>
              <w:top w:val="nil"/>
              <w:left w:val="single" w:color="000000" w:sz="8" w:space="0"/>
              <w:bottom w:val="single" w:color="000000" w:sz="8" w:space="0"/>
              <w:right w:val="single" w:color="000000" w:sz="8" w:space="0"/>
            </w:tcBorders>
            <w:noWrap w:val="0"/>
            <w:vAlign w:val="center"/>
          </w:tcPr>
          <w:p w14:paraId="38EEDDC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600</w:t>
            </w:r>
          </w:p>
        </w:tc>
        <w:tc>
          <w:tcPr>
            <w:tcW w:w="1545" w:type="dxa"/>
            <w:tcBorders>
              <w:top w:val="nil"/>
              <w:left w:val="single" w:color="000000" w:sz="8" w:space="0"/>
              <w:bottom w:val="single" w:color="000000" w:sz="8" w:space="0"/>
              <w:right w:val="single" w:color="000000" w:sz="8" w:space="0"/>
            </w:tcBorders>
            <w:noWrap w:val="0"/>
            <w:vAlign w:val="center"/>
          </w:tcPr>
          <w:p w14:paraId="2B03BB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0.01</w:t>
            </w:r>
          </w:p>
        </w:tc>
        <w:tc>
          <w:tcPr>
            <w:tcW w:w="1935" w:type="dxa"/>
            <w:tcBorders>
              <w:top w:val="nil"/>
              <w:left w:val="single" w:color="000000" w:sz="8" w:space="0"/>
              <w:bottom w:val="single" w:color="000000" w:sz="8" w:space="0"/>
              <w:right w:val="single" w:color="000000" w:sz="8" w:space="0"/>
            </w:tcBorders>
            <w:noWrap w:val="0"/>
            <w:vAlign w:val="center"/>
          </w:tcPr>
          <w:p w14:paraId="66D50DF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6</w:t>
            </w:r>
          </w:p>
        </w:tc>
      </w:tr>
      <w:tr w14:paraId="5CB4E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608" w:type="dxa"/>
            <w:tcBorders>
              <w:top w:val="nil"/>
              <w:left w:val="single" w:color="000000" w:sz="8" w:space="0"/>
              <w:bottom w:val="single" w:color="000000" w:sz="8" w:space="0"/>
              <w:right w:val="single" w:color="000000" w:sz="8" w:space="0"/>
            </w:tcBorders>
            <w:noWrap w:val="0"/>
            <w:vAlign w:val="center"/>
          </w:tcPr>
          <w:p w14:paraId="6E74F4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893" w:type="dxa"/>
            <w:tcBorders>
              <w:top w:val="nil"/>
              <w:left w:val="single" w:color="000000" w:sz="8" w:space="0"/>
              <w:bottom w:val="single" w:color="000000" w:sz="8" w:space="0"/>
              <w:right w:val="single" w:color="000000" w:sz="8" w:space="0"/>
            </w:tcBorders>
            <w:noWrap w:val="0"/>
            <w:vAlign w:val="center"/>
          </w:tcPr>
          <w:p w14:paraId="111611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土壤容重采集费</w:t>
            </w:r>
          </w:p>
        </w:tc>
        <w:tc>
          <w:tcPr>
            <w:tcW w:w="932" w:type="dxa"/>
            <w:tcBorders>
              <w:top w:val="nil"/>
              <w:left w:val="single" w:color="000000" w:sz="8" w:space="0"/>
              <w:bottom w:val="single" w:color="000000" w:sz="8" w:space="0"/>
              <w:right w:val="single" w:color="000000" w:sz="8" w:space="0"/>
            </w:tcBorders>
            <w:noWrap w:val="0"/>
            <w:vAlign w:val="center"/>
          </w:tcPr>
          <w:p w14:paraId="4A23CA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275" w:type="dxa"/>
            <w:tcBorders>
              <w:top w:val="nil"/>
              <w:left w:val="single" w:color="000000" w:sz="8" w:space="0"/>
              <w:bottom w:val="single" w:color="000000" w:sz="8" w:space="0"/>
              <w:right w:val="single" w:color="000000" w:sz="8" w:space="0"/>
            </w:tcBorders>
            <w:noWrap w:val="0"/>
            <w:vAlign w:val="center"/>
          </w:tcPr>
          <w:p w14:paraId="78EE3B8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560</w:t>
            </w:r>
          </w:p>
        </w:tc>
        <w:tc>
          <w:tcPr>
            <w:tcW w:w="1545" w:type="dxa"/>
            <w:tcBorders>
              <w:top w:val="nil"/>
              <w:left w:val="single" w:color="000000" w:sz="8" w:space="0"/>
              <w:bottom w:val="single" w:color="000000" w:sz="8" w:space="0"/>
              <w:right w:val="single" w:color="000000" w:sz="8" w:space="0"/>
            </w:tcBorders>
            <w:noWrap w:val="0"/>
            <w:vAlign w:val="center"/>
          </w:tcPr>
          <w:p w14:paraId="1CD4CC3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0.0075</w:t>
            </w:r>
          </w:p>
        </w:tc>
        <w:tc>
          <w:tcPr>
            <w:tcW w:w="1935" w:type="dxa"/>
            <w:tcBorders>
              <w:top w:val="nil"/>
              <w:left w:val="single" w:color="000000" w:sz="8" w:space="0"/>
              <w:bottom w:val="single" w:color="000000" w:sz="8" w:space="0"/>
              <w:right w:val="single" w:color="000000" w:sz="8" w:space="0"/>
            </w:tcBorders>
            <w:noWrap w:val="0"/>
            <w:vAlign w:val="center"/>
          </w:tcPr>
          <w:p w14:paraId="6FBD4AC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4.2</w:t>
            </w:r>
          </w:p>
        </w:tc>
      </w:tr>
      <w:tr w14:paraId="11310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08" w:type="dxa"/>
            <w:tcBorders>
              <w:top w:val="nil"/>
              <w:left w:val="single" w:color="000000" w:sz="8" w:space="0"/>
              <w:bottom w:val="single" w:color="000000" w:sz="8" w:space="0"/>
              <w:right w:val="single" w:color="000000" w:sz="8" w:space="0"/>
            </w:tcBorders>
            <w:noWrap w:val="0"/>
            <w:vAlign w:val="center"/>
          </w:tcPr>
          <w:p w14:paraId="5EF53E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893" w:type="dxa"/>
            <w:tcBorders>
              <w:top w:val="nil"/>
              <w:left w:val="single" w:color="000000" w:sz="8" w:space="0"/>
              <w:bottom w:val="single" w:color="000000" w:sz="8" w:space="0"/>
              <w:right w:val="single" w:color="000000" w:sz="8" w:space="0"/>
            </w:tcBorders>
            <w:noWrap w:val="0"/>
            <w:vAlign w:val="center"/>
          </w:tcPr>
          <w:p w14:paraId="48B002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土壤样品采集混样</w:t>
            </w:r>
          </w:p>
        </w:tc>
        <w:tc>
          <w:tcPr>
            <w:tcW w:w="932" w:type="dxa"/>
            <w:tcBorders>
              <w:top w:val="nil"/>
              <w:left w:val="single" w:color="000000" w:sz="8" w:space="0"/>
              <w:bottom w:val="single" w:color="000000" w:sz="8" w:space="0"/>
              <w:right w:val="single" w:color="000000" w:sz="8" w:space="0"/>
            </w:tcBorders>
            <w:noWrap w:val="0"/>
            <w:vAlign w:val="center"/>
          </w:tcPr>
          <w:p w14:paraId="6B9468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275" w:type="dxa"/>
            <w:tcBorders>
              <w:top w:val="nil"/>
              <w:left w:val="single" w:color="000000" w:sz="8" w:space="0"/>
              <w:bottom w:val="single" w:color="000000" w:sz="8" w:space="0"/>
              <w:right w:val="single" w:color="000000" w:sz="8" w:space="0"/>
            </w:tcBorders>
            <w:noWrap w:val="0"/>
            <w:vAlign w:val="center"/>
          </w:tcPr>
          <w:p w14:paraId="4814BE7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2000</w:t>
            </w:r>
          </w:p>
        </w:tc>
        <w:tc>
          <w:tcPr>
            <w:tcW w:w="1545" w:type="dxa"/>
            <w:tcBorders>
              <w:top w:val="nil"/>
              <w:left w:val="single" w:color="000000" w:sz="8" w:space="0"/>
              <w:bottom w:val="single" w:color="000000" w:sz="8" w:space="0"/>
              <w:right w:val="single" w:color="000000" w:sz="8" w:space="0"/>
            </w:tcBorders>
            <w:noWrap w:val="0"/>
            <w:vAlign w:val="center"/>
          </w:tcPr>
          <w:p w14:paraId="453C66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0.006</w:t>
            </w:r>
          </w:p>
        </w:tc>
        <w:tc>
          <w:tcPr>
            <w:tcW w:w="1935" w:type="dxa"/>
            <w:tcBorders>
              <w:top w:val="nil"/>
              <w:left w:val="single" w:color="000000" w:sz="8" w:space="0"/>
              <w:bottom w:val="single" w:color="000000" w:sz="8" w:space="0"/>
              <w:right w:val="single" w:color="000000" w:sz="8" w:space="0"/>
            </w:tcBorders>
            <w:noWrap w:val="0"/>
            <w:vAlign w:val="center"/>
          </w:tcPr>
          <w:p w14:paraId="7E9824D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12</w:t>
            </w:r>
          </w:p>
        </w:tc>
      </w:tr>
      <w:tr w14:paraId="3B88D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08" w:type="dxa"/>
            <w:tcBorders>
              <w:top w:val="nil"/>
              <w:left w:val="single" w:color="000000" w:sz="8" w:space="0"/>
              <w:bottom w:val="single" w:color="000000" w:sz="8" w:space="0"/>
              <w:right w:val="single" w:color="000000" w:sz="8" w:space="0"/>
            </w:tcBorders>
            <w:noWrap w:val="0"/>
            <w:vAlign w:val="center"/>
          </w:tcPr>
          <w:p w14:paraId="14D29B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893" w:type="dxa"/>
            <w:tcBorders>
              <w:top w:val="nil"/>
              <w:left w:val="single" w:color="000000" w:sz="8" w:space="0"/>
              <w:bottom w:val="single" w:color="000000" w:sz="8" w:space="0"/>
              <w:right w:val="single" w:color="000000" w:sz="8" w:space="0"/>
            </w:tcBorders>
            <w:noWrap w:val="0"/>
            <w:vAlign w:val="center"/>
          </w:tcPr>
          <w:p w14:paraId="7B77B7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土样制备检测及留样</w:t>
            </w:r>
          </w:p>
        </w:tc>
        <w:tc>
          <w:tcPr>
            <w:tcW w:w="932" w:type="dxa"/>
            <w:tcBorders>
              <w:top w:val="nil"/>
              <w:left w:val="single" w:color="000000" w:sz="8" w:space="0"/>
              <w:bottom w:val="single" w:color="000000" w:sz="8" w:space="0"/>
              <w:right w:val="single" w:color="000000" w:sz="8" w:space="0"/>
            </w:tcBorders>
            <w:noWrap w:val="0"/>
            <w:vAlign w:val="center"/>
          </w:tcPr>
          <w:p w14:paraId="6653D9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样</w:t>
            </w:r>
          </w:p>
        </w:tc>
        <w:tc>
          <w:tcPr>
            <w:tcW w:w="1275" w:type="dxa"/>
            <w:tcBorders>
              <w:top w:val="nil"/>
              <w:left w:val="single" w:color="000000" w:sz="8" w:space="0"/>
              <w:bottom w:val="single" w:color="000000" w:sz="8" w:space="0"/>
              <w:right w:val="single" w:color="000000" w:sz="8" w:space="0"/>
            </w:tcBorders>
            <w:noWrap w:val="0"/>
            <w:vAlign w:val="center"/>
          </w:tcPr>
          <w:p w14:paraId="7E6250F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630</w:t>
            </w:r>
          </w:p>
        </w:tc>
        <w:tc>
          <w:tcPr>
            <w:tcW w:w="1545" w:type="dxa"/>
            <w:tcBorders>
              <w:top w:val="nil"/>
              <w:left w:val="single" w:color="000000" w:sz="8" w:space="0"/>
              <w:bottom w:val="single" w:color="000000" w:sz="8" w:space="0"/>
              <w:right w:val="single" w:color="000000" w:sz="8" w:space="0"/>
            </w:tcBorders>
            <w:noWrap w:val="0"/>
            <w:vAlign w:val="center"/>
          </w:tcPr>
          <w:p w14:paraId="376A4F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0.056</w:t>
            </w:r>
          </w:p>
        </w:tc>
        <w:tc>
          <w:tcPr>
            <w:tcW w:w="1935" w:type="dxa"/>
            <w:tcBorders>
              <w:top w:val="nil"/>
              <w:left w:val="single" w:color="000000" w:sz="8" w:space="0"/>
              <w:bottom w:val="single" w:color="000000" w:sz="8" w:space="0"/>
              <w:right w:val="single" w:color="000000" w:sz="8" w:space="0"/>
            </w:tcBorders>
            <w:noWrap w:val="0"/>
            <w:vAlign w:val="center"/>
          </w:tcPr>
          <w:p w14:paraId="293402C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35.28</w:t>
            </w:r>
          </w:p>
        </w:tc>
      </w:tr>
      <w:tr w14:paraId="49EED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608" w:type="dxa"/>
            <w:tcBorders>
              <w:top w:val="nil"/>
              <w:left w:val="single" w:color="000000" w:sz="8" w:space="0"/>
              <w:bottom w:val="single" w:color="000000" w:sz="8" w:space="0"/>
              <w:right w:val="single" w:color="000000" w:sz="8" w:space="0"/>
            </w:tcBorders>
            <w:noWrap w:val="0"/>
            <w:vAlign w:val="center"/>
          </w:tcPr>
          <w:p w14:paraId="043BB7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893" w:type="dxa"/>
            <w:tcBorders>
              <w:top w:val="nil"/>
              <w:left w:val="single" w:color="000000" w:sz="8" w:space="0"/>
              <w:bottom w:val="single" w:color="000000" w:sz="8" w:space="0"/>
              <w:right w:val="single" w:color="000000" w:sz="8" w:space="0"/>
            </w:tcBorders>
            <w:noWrap w:val="0"/>
            <w:vAlign w:val="center"/>
          </w:tcPr>
          <w:p w14:paraId="792F0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耕地质量等级评价</w:t>
            </w:r>
          </w:p>
        </w:tc>
        <w:tc>
          <w:tcPr>
            <w:tcW w:w="932" w:type="dxa"/>
            <w:tcBorders>
              <w:top w:val="nil"/>
              <w:left w:val="single" w:color="000000" w:sz="8" w:space="0"/>
              <w:bottom w:val="single" w:color="000000" w:sz="8" w:space="0"/>
              <w:right w:val="single" w:color="000000" w:sz="8" w:space="0"/>
            </w:tcBorders>
            <w:noWrap w:val="0"/>
            <w:vAlign w:val="center"/>
          </w:tcPr>
          <w:p w14:paraId="009895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275" w:type="dxa"/>
            <w:tcBorders>
              <w:top w:val="nil"/>
              <w:left w:val="single" w:color="000000" w:sz="8" w:space="0"/>
              <w:bottom w:val="single" w:color="000000" w:sz="8" w:space="0"/>
              <w:right w:val="single" w:color="000000" w:sz="8" w:space="0"/>
            </w:tcBorders>
            <w:noWrap w:val="0"/>
            <w:vAlign w:val="center"/>
          </w:tcPr>
          <w:p w14:paraId="4532157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2000</w:t>
            </w:r>
          </w:p>
        </w:tc>
        <w:tc>
          <w:tcPr>
            <w:tcW w:w="1545" w:type="dxa"/>
            <w:tcBorders>
              <w:top w:val="nil"/>
              <w:left w:val="single" w:color="000000" w:sz="8" w:space="0"/>
              <w:bottom w:val="single" w:color="000000" w:sz="8" w:space="0"/>
              <w:right w:val="single" w:color="000000" w:sz="8" w:space="0"/>
            </w:tcBorders>
            <w:noWrap w:val="0"/>
            <w:vAlign w:val="center"/>
          </w:tcPr>
          <w:p w14:paraId="1EF97C5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0.00</w:t>
            </w:r>
            <w:r>
              <w:rPr>
                <w:rFonts w:hint="eastAsia" w:ascii="宋体" w:hAnsi="宋体" w:cs="宋体"/>
                <w:i w:val="0"/>
                <w:iCs w:val="0"/>
                <w:color w:val="auto"/>
                <w:kern w:val="0"/>
                <w:sz w:val="24"/>
                <w:szCs w:val="24"/>
                <w:u w:val="none"/>
                <w:lang w:val="en-US" w:eastAsia="zh-CN" w:bidi="ar"/>
              </w:rPr>
              <w:t>2</w:t>
            </w:r>
          </w:p>
        </w:tc>
        <w:tc>
          <w:tcPr>
            <w:tcW w:w="1935" w:type="dxa"/>
            <w:tcBorders>
              <w:top w:val="nil"/>
              <w:left w:val="single" w:color="000000" w:sz="8" w:space="0"/>
              <w:bottom w:val="single" w:color="000000" w:sz="8" w:space="0"/>
              <w:right w:val="single" w:color="000000" w:sz="8" w:space="0"/>
            </w:tcBorders>
            <w:noWrap w:val="0"/>
            <w:vAlign w:val="center"/>
          </w:tcPr>
          <w:p w14:paraId="0D508C1D">
            <w:pPr>
              <w:keepNext w:val="0"/>
              <w:keepLines w:val="0"/>
              <w:widowControl/>
              <w:suppressLineNumbers w:val="0"/>
              <w:jc w:val="center"/>
              <w:textAlignment w:val="center"/>
              <w:rPr>
                <w:rFonts w:hint="default" w:ascii="宋体" w:hAnsi="宋体" w:eastAsia="宋体" w:cs="宋体"/>
                <w:i w:val="0"/>
                <w:iCs w:val="0"/>
                <w:color w:val="auto"/>
                <w:sz w:val="24"/>
                <w:szCs w:val="24"/>
                <w:highlight w:val="yellow"/>
                <w:u w:val="none"/>
                <w:lang w:val="en-US"/>
              </w:rPr>
            </w:pPr>
            <w:r>
              <w:rPr>
                <w:rFonts w:hint="eastAsia" w:ascii="宋体" w:hAnsi="宋体" w:eastAsia="宋体" w:cs="宋体"/>
                <w:i w:val="0"/>
                <w:iCs w:val="0"/>
                <w:color w:val="auto"/>
                <w:kern w:val="0"/>
                <w:sz w:val="24"/>
                <w:szCs w:val="24"/>
                <w:u w:val="none"/>
                <w:lang w:val="en-US" w:eastAsia="zh-CN" w:bidi="ar"/>
              </w:rPr>
              <w:t>4</w:t>
            </w:r>
          </w:p>
        </w:tc>
      </w:tr>
      <w:tr w14:paraId="71C0C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608" w:type="dxa"/>
            <w:tcBorders>
              <w:top w:val="nil"/>
              <w:left w:val="single" w:color="000000" w:sz="8" w:space="0"/>
              <w:bottom w:val="single" w:color="000000" w:sz="8" w:space="0"/>
              <w:right w:val="single" w:color="000000" w:sz="8" w:space="0"/>
            </w:tcBorders>
            <w:noWrap w:val="0"/>
            <w:vAlign w:val="center"/>
          </w:tcPr>
          <w:p w14:paraId="208A32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893" w:type="dxa"/>
            <w:tcBorders>
              <w:top w:val="nil"/>
              <w:left w:val="single" w:color="000000" w:sz="8" w:space="0"/>
              <w:bottom w:val="single" w:color="000000" w:sz="8" w:space="0"/>
              <w:right w:val="single" w:color="000000" w:sz="8" w:space="0"/>
            </w:tcBorders>
            <w:noWrap w:val="0"/>
            <w:vAlign w:val="center"/>
          </w:tcPr>
          <w:p w14:paraId="10AAE5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县级初鉴会议</w:t>
            </w:r>
          </w:p>
        </w:tc>
        <w:tc>
          <w:tcPr>
            <w:tcW w:w="932" w:type="dxa"/>
            <w:tcBorders>
              <w:top w:val="nil"/>
              <w:left w:val="single" w:color="000000" w:sz="8" w:space="0"/>
              <w:bottom w:val="single" w:color="000000" w:sz="8" w:space="0"/>
              <w:right w:val="single" w:color="000000" w:sz="8" w:space="0"/>
            </w:tcBorders>
            <w:noWrap w:val="0"/>
            <w:vAlign w:val="center"/>
          </w:tcPr>
          <w:p w14:paraId="37A010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场・天</w:t>
            </w:r>
          </w:p>
        </w:tc>
        <w:tc>
          <w:tcPr>
            <w:tcW w:w="1275" w:type="dxa"/>
            <w:tcBorders>
              <w:top w:val="nil"/>
              <w:left w:val="single" w:color="000000" w:sz="8" w:space="0"/>
              <w:bottom w:val="single" w:color="000000" w:sz="8" w:space="0"/>
              <w:right w:val="single" w:color="000000" w:sz="8" w:space="0"/>
            </w:tcBorders>
            <w:noWrap w:val="0"/>
            <w:vAlign w:val="center"/>
          </w:tcPr>
          <w:p w14:paraId="15AC00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5</w:t>
            </w:r>
          </w:p>
        </w:tc>
        <w:tc>
          <w:tcPr>
            <w:tcW w:w="1545" w:type="dxa"/>
            <w:tcBorders>
              <w:top w:val="nil"/>
              <w:left w:val="single" w:color="000000" w:sz="8" w:space="0"/>
              <w:bottom w:val="single" w:color="000000" w:sz="8" w:space="0"/>
              <w:right w:val="single" w:color="000000" w:sz="8" w:space="0"/>
            </w:tcBorders>
            <w:noWrap w:val="0"/>
            <w:vAlign w:val="center"/>
          </w:tcPr>
          <w:p w14:paraId="7280505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2</w:t>
            </w:r>
          </w:p>
        </w:tc>
        <w:tc>
          <w:tcPr>
            <w:tcW w:w="1935" w:type="dxa"/>
            <w:tcBorders>
              <w:top w:val="nil"/>
              <w:left w:val="single" w:color="000000" w:sz="8" w:space="0"/>
              <w:bottom w:val="single" w:color="000000" w:sz="8" w:space="0"/>
              <w:right w:val="single" w:color="000000" w:sz="8" w:space="0"/>
            </w:tcBorders>
            <w:noWrap w:val="0"/>
            <w:vAlign w:val="center"/>
          </w:tcPr>
          <w:p w14:paraId="69507F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u w:val="none"/>
                <w:lang w:val="en-US" w:eastAsia="zh-CN" w:bidi="ar"/>
              </w:rPr>
              <w:t>10</w:t>
            </w:r>
          </w:p>
        </w:tc>
      </w:tr>
      <w:tr w14:paraId="0243E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608" w:type="dxa"/>
            <w:tcBorders>
              <w:top w:val="nil"/>
              <w:left w:val="single" w:color="000000" w:sz="8" w:space="0"/>
              <w:bottom w:val="single" w:color="000000" w:sz="8" w:space="0"/>
              <w:right w:val="single" w:color="000000" w:sz="8" w:space="0"/>
            </w:tcBorders>
            <w:noWrap w:val="0"/>
            <w:vAlign w:val="center"/>
          </w:tcPr>
          <w:p w14:paraId="3F3C2F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893" w:type="dxa"/>
            <w:tcBorders>
              <w:top w:val="nil"/>
              <w:left w:val="single" w:color="000000" w:sz="8" w:space="0"/>
              <w:bottom w:val="single" w:color="000000" w:sz="8" w:space="0"/>
              <w:right w:val="single" w:color="000000" w:sz="8" w:space="0"/>
            </w:tcBorders>
            <w:noWrap w:val="0"/>
            <w:vAlign w:val="center"/>
          </w:tcPr>
          <w:p w14:paraId="790CA8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配合市级鉴定和省级抽核</w:t>
            </w:r>
          </w:p>
        </w:tc>
        <w:tc>
          <w:tcPr>
            <w:tcW w:w="932" w:type="dxa"/>
            <w:tcBorders>
              <w:top w:val="nil"/>
              <w:left w:val="single" w:color="000000" w:sz="8" w:space="0"/>
              <w:bottom w:val="single" w:color="000000" w:sz="8" w:space="0"/>
              <w:right w:val="single" w:color="000000" w:sz="8" w:space="0"/>
            </w:tcBorders>
            <w:noWrap w:val="0"/>
            <w:vAlign w:val="center"/>
          </w:tcPr>
          <w:p w14:paraId="527D13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场・天</w:t>
            </w:r>
          </w:p>
        </w:tc>
        <w:tc>
          <w:tcPr>
            <w:tcW w:w="1275" w:type="dxa"/>
            <w:tcBorders>
              <w:top w:val="nil"/>
              <w:left w:val="single" w:color="000000" w:sz="8" w:space="0"/>
              <w:bottom w:val="single" w:color="000000" w:sz="8" w:space="0"/>
              <w:right w:val="single" w:color="000000" w:sz="8" w:space="0"/>
            </w:tcBorders>
            <w:noWrap w:val="0"/>
            <w:vAlign w:val="center"/>
          </w:tcPr>
          <w:p w14:paraId="1BD515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5</w:t>
            </w:r>
          </w:p>
        </w:tc>
        <w:tc>
          <w:tcPr>
            <w:tcW w:w="1545" w:type="dxa"/>
            <w:tcBorders>
              <w:top w:val="nil"/>
              <w:left w:val="single" w:color="000000" w:sz="8" w:space="0"/>
              <w:bottom w:val="single" w:color="000000" w:sz="8" w:space="0"/>
              <w:right w:val="single" w:color="000000" w:sz="8" w:space="0"/>
            </w:tcBorders>
            <w:noWrap w:val="0"/>
            <w:vAlign w:val="center"/>
          </w:tcPr>
          <w:p w14:paraId="746AD0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0.3</w:t>
            </w:r>
          </w:p>
        </w:tc>
        <w:tc>
          <w:tcPr>
            <w:tcW w:w="1935" w:type="dxa"/>
            <w:tcBorders>
              <w:top w:val="nil"/>
              <w:left w:val="single" w:color="000000" w:sz="8" w:space="0"/>
              <w:bottom w:val="single" w:color="000000" w:sz="8" w:space="0"/>
              <w:right w:val="single" w:color="000000" w:sz="8" w:space="0"/>
            </w:tcBorders>
            <w:noWrap w:val="0"/>
            <w:vAlign w:val="center"/>
          </w:tcPr>
          <w:p w14:paraId="7BF3A09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u w:val="none"/>
                <w:lang w:val="en-US" w:eastAsia="zh-CN" w:bidi="ar"/>
              </w:rPr>
              <w:t>1.5</w:t>
            </w:r>
          </w:p>
        </w:tc>
      </w:tr>
      <w:tr w14:paraId="663A0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708" w:type="dxa"/>
            <w:gridSpan w:val="4"/>
            <w:tcBorders>
              <w:top w:val="nil"/>
              <w:left w:val="single" w:color="000000" w:sz="8" w:space="0"/>
              <w:bottom w:val="single" w:color="000000" w:sz="8" w:space="0"/>
              <w:right w:val="single" w:color="000000" w:sz="8" w:space="0"/>
            </w:tcBorders>
            <w:noWrap w:val="0"/>
            <w:vAlign w:val="center"/>
          </w:tcPr>
          <w:p w14:paraId="7DA67C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合计</w:t>
            </w:r>
          </w:p>
        </w:tc>
        <w:tc>
          <w:tcPr>
            <w:tcW w:w="3480" w:type="dxa"/>
            <w:gridSpan w:val="2"/>
            <w:tcBorders>
              <w:top w:val="nil"/>
              <w:left w:val="single" w:color="000000" w:sz="8" w:space="0"/>
              <w:bottom w:val="single" w:color="000000" w:sz="8" w:space="0"/>
              <w:right w:val="single" w:color="000000" w:sz="8" w:space="0"/>
            </w:tcBorders>
            <w:noWrap w:val="0"/>
            <w:vAlign w:val="center"/>
          </w:tcPr>
          <w:p w14:paraId="3FE0216F">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182.673</w:t>
            </w:r>
          </w:p>
        </w:tc>
      </w:tr>
    </w:tbl>
    <w:p w14:paraId="3F8CA2C9">
      <w:pPr>
        <w:pStyle w:val="5"/>
        <w:rPr>
          <w:rFonts w:hint="default"/>
          <w:lang w:val="en-US" w:eastAsia="zh-CN"/>
        </w:rPr>
      </w:pPr>
    </w:p>
    <w:p w14:paraId="47A0F41B">
      <w:pPr>
        <w:spacing w:line="520" w:lineRule="exact"/>
        <w:ind w:firstLine="480"/>
        <w:jc w:val="left"/>
        <w:rPr>
          <w:rFonts w:hint="eastAsia" w:ascii="宋体" w:hAnsi="宋体" w:eastAsia="宋体" w:cs="宋体"/>
          <w:color w:val="000000"/>
          <w:sz w:val="24"/>
          <w:szCs w:val="24"/>
        </w:rPr>
      </w:pPr>
      <w:r>
        <w:rPr>
          <w:rFonts w:hint="eastAsia" w:ascii="宋体" w:hAnsi="宋体" w:eastAsia="宋体" w:cs="宋体"/>
          <w:sz w:val="24"/>
          <w:szCs w:val="24"/>
        </w:rPr>
        <w:t>本次招标采用竞争性谈判。</w:t>
      </w:r>
      <w:bookmarkEnd w:id="50"/>
    </w:p>
    <w:p w14:paraId="6242781D">
      <w:pPr>
        <w:spacing w:line="52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一</w:t>
      </w:r>
      <w:r>
        <w:rPr>
          <w:rFonts w:hint="eastAsia" w:ascii="宋体" w:hAnsi="宋体" w:eastAsia="宋体" w:cs="宋体"/>
          <w:sz w:val="24"/>
          <w:szCs w:val="24"/>
        </w:rPr>
        <w:t>、项目总体要求</w:t>
      </w:r>
    </w:p>
    <w:p w14:paraId="6EE221DF">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按采购人的委托要求独立开展鉴定和采样化验工作，严格按照《农业农村部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w:t>
      </w:r>
      <w:bookmarkStart w:id="52" w:name="OLE_LINK14"/>
      <w:r>
        <w:rPr>
          <w:rFonts w:hint="eastAsia" w:ascii="宋体" w:hAnsi="宋体" w:eastAsia="宋体" w:cs="宋体"/>
          <w:sz w:val="24"/>
          <w:szCs w:val="24"/>
        </w:rPr>
        <w:t>省农业农村厅、省自然资源厅《关于印发&lt;江苏省补充耕地质量验收实施细则（试行）&gt;的通知》（苏农建〔2026〕6号）</w:t>
      </w:r>
      <w:bookmarkEnd w:id="52"/>
      <w:r>
        <w:rPr>
          <w:rFonts w:hint="eastAsia" w:ascii="宋体" w:hAnsi="宋体" w:eastAsia="宋体" w:cs="宋体"/>
          <w:sz w:val="24"/>
          <w:szCs w:val="24"/>
        </w:rPr>
        <w:t>等文件要求执行，并保证及时高质量完成采购人委托任务，具体事项有：</w:t>
      </w:r>
    </w:p>
    <w:p w14:paraId="55FAD7BB">
      <w:pPr>
        <w:numPr>
          <w:ilvl w:val="0"/>
          <w:numId w:val="8"/>
        </w:numPr>
        <w:spacing w:line="520" w:lineRule="exact"/>
        <w:ind w:firstLine="482"/>
        <w:rPr>
          <w:rFonts w:hint="eastAsia" w:ascii="宋体" w:hAnsi="宋体" w:eastAsia="宋体" w:cs="宋体"/>
          <w:sz w:val="24"/>
          <w:szCs w:val="24"/>
          <w:lang w:eastAsia="zh-CN"/>
        </w:rPr>
      </w:pPr>
      <w:r>
        <w:rPr>
          <w:rFonts w:hint="eastAsia" w:ascii="宋体" w:hAnsi="宋体" w:eastAsia="宋体" w:cs="宋体"/>
          <w:b/>
          <w:bCs/>
          <w:color w:val="000000"/>
          <w:sz w:val="24"/>
          <w:szCs w:val="24"/>
        </w:rPr>
        <w:t>内业工作。</w:t>
      </w:r>
      <w:r>
        <w:rPr>
          <w:rFonts w:hint="eastAsia" w:ascii="宋体" w:hAnsi="宋体" w:eastAsia="宋体" w:cs="宋体"/>
          <w:sz w:val="24"/>
          <w:szCs w:val="24"/>
          <w:lang w:eastAsia="zh-CN"/>
        </w:rPr>
        <w:t>开展arcgis文件转换，奥维图斑整理，地块基本信息整理及核对，评价单元划定并开展专家评审；采样点位确定，设置电子围栏，申请鉴定材料收集审核、踏勘结束照片及资料整理、检测数据核对及整理、资料打印、系统填报、</w:t>
      </w:r>
      <w:r>
        <w:rPr>
          <w:rFonts w:hint="eastAsia" w:ascii="宋体" w:hAnsi="宋体" w:eastAsia="宋体" w:cs="宋体"/>
          <w:sz w:val="24"/>
          <w:szCs w:val="24"/>
          <w:lang w:val="en-US" w:eastAsia="zh-CN"/>
        </w:rPr>
        <w:t>县</w:t>
      </w:r>
      <w:r>
        <w:rPr>
          <w:rFonts w:hint="eastAsia" w:ascii="宋体" w:hAnsi="宋体" w:eastAsia="宋体" w:cs="宋体"/>
          <w:sz w:val="24"/>
          <w:szCs w:val="24"/>
          <w:lang w:eastAsia="zh-CN"/>
        </w:rPr>
        <w:t>级初鉴和市级鉴定材料整理，鉴定资料pdf扫描及装订等。</w:t>
      </w:r>
    </w:p>
    <w:p w14:paraId="0E977905">
      <w:pPr>
        <w:numPr>
          <w:ilvl w:val="0"/>
          <w:numId w:val="8"/>
        </w:numPr>
        <w:spacing w:line="520" w:lineRule="exact"/>
        <w:ind w:left="0" w:leftChars="0" w:firstLine="482" w:firstLineChars="0"/>
        <w:rPr>
          <w:rFonts w:hint="eastAsia" w:ascii="宋体" w:hAnsi="宋体" w:eastAsia="宋体" w:cs="宋体"/>
          <w:sz w:val="24"/>
          <w:szCs w:val="24"/>
        </w:rPr>
      </w:pPr>
      <w:r>
        <w:rPr>
          <w:rFonts w:hint="eastAsia" w:ascii="宋体" w:hAnsi="宋体" w:eastAsia="宋体" w:cs="宋体"/>
          <w:b/>
          <w:bCs/>
          <w:color w:val="000000"/>
          <w:sz w:val="24"/>
          <w:szCs w:val="24"/>
        </w:rPr>
        <w:t>实地踏勘。</w:t>
      </w:r>
      <w:r>
        <w:rPr>
          <w:rFonts w:hint="eastAsia" w:ascii="宋体" w:hAnsi="宋体" w:cs="宋体"/>
          <w:sz w:val="24"/>
          <w:szCs w:val="24"/>
          <w:lang w:eastAsia="zh-CN"/>
        </w:rPr>
        <w:t>涟水县2025年占补平衡项目补充耕地质量鉴定工作</w:t>
      </w:r>
      <w:r>
        <w:rPr>
          <w:rFonts w:hint="eastAsia" w:ascii="宋体" w:hAnsi="宋体" w:eastAsia="宋体" w:cs="宋体"/>
          <w:sz w:val="24"/>
          <w:szCs w:val="24"/>
          <w:lang w:eastAsia="zh-CN"/>
        </w:rPr>
        <w:t>包括</w:t>
      </w:r>
      <w:bookmarkStart w:id="53" w:name="OLE_LINK5"/>
      <w:bookmarkStart w:id="54" w:name="OLE_LINK4"/>
      <w:bookmarkStart w:id="55" w:name="OLE_LINK6"/>
      <w:bookmarkStart w:id="56" w:name="OLE_LINK7"/>
      <w:r>
        <w:rPr>
          <w:rFonts w:hint="eastAsia" w:ascii="宋体" w:hAnsi="宋体" w:eastAsia="宋体" w:cs="宋体"/>
          <w:sz w:val="24"/>
          <w:szCs w:val="24"/>
          <w:lang w:eastAsia="zh-CN"/>
        </w:rPr>
        <w:t>2025年度占补平衡第一批</w:t>
      </w:r>
      <w:r>
        <w:rPr>
          <w:rFonts w:hint="eastAsia" w:ascii="宋体" w:hAnsi="宋体" w:eastAsia="宋体" w:cs="宋体"/>
          <w:sz w:val="24"/>
          <w:szCs w:val="24"/>
          <w:lang w:val="en-US" w:eastAsia="zh-CN"/>
        </w:rPr>
        <w:t>128个地块295.75亩（包括已鉴定等级达不到上年占用耕地等级地块再鉴定地块）；</w:t>
      </w:r>
      <w:r>
        <w:rPr>
          <w:rFonts w:hint="eastAsia" w:ascii="宋体" w:hAnsi="宋体" w:eastAsia="宋体" w:cs="宋体"/>
          <w:sz w:val="24"/>
          <w:szCs w:val="24"/>
          <w:lang w:eastAsia="zh-CN"/>
        </w:rPr>
        <w:t>第二批</w:t>
      </w:r>
      <w:r>
        <w:rPr>
          <w:rFonts w:hint="eastAsia" w:ascii="宋体" w:hAnsi="宋体" w:eastAsia="宋体" w:cs="宋体"/>
          <w:sz w:val="24"/>
          <w:szCs w:val="24"/>
          <w:lang w:val="en-US" w:eastAsia="zh-CN"/>
        </w:rPr>
        <w:t>209个地块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371.99亩</w:t>
      </w:r>
      <w:r>
        <w:rPr>
          <w:rFonts w:hint="eastAsia" w:ascii="宋体" w:hAnsi="宋体" w:eastAsia="宋体" w:cs="宋体"/>
          <w:sz w:val="24"/>
          <w:szCs w:val="24"/>
          <w:lang w:eastAsia="zh-CN"/>
        </w:rPr>
        <w:t>；</w:t>
      </w:r>
      <w:bookmarkStart w:id="57" w:name="OLE_LINK3"/>
      <w:r>
        <w:rPr>
          <w:rFonts w:hint="eastAsia" w:ascii="宋体" w:hAnsi="宋体" w:eastAsia="宋体" w:cs="宋体"/>
          <w:sz w:val="24"/>
          <w:szCs w:val="24"/>
          <w:lang w:eastAsia="zh-CN"/>
        </w:rPr>
        <w:t>第三批</w:t>
      </w:r>
      <w:r>
        <w:rPr>
          <w:rFonts w:hint="eastAsia" w:ascii="宋体" w:hAnsi="宋体" w:eastAsia="宋体" w:cs="宋体"/>
          <w:sz w:val="24"/>
          <w:szCs w:val="24"/>
          <w:lang w:val="en-US" w:eastAsia="zh-CN"/>
        </w:rPr>
        <w:t>427个</w:t>
      </w:r>
      <w:r>
        <w:rPr>
          <w:rFonts w:hint="eastAsia" w:ascii="宋体" w:hAnsi="宋体" w:eastAsia="宋体" w:cs="宋体"/>
          <w:sz w:val="24"/>
          <w:szCs w:val="24"/>
          <w:lang w:eastAsia="zh-CN"/>
        </w:rPr>
        <w:t>地块，</w:t>
      </w:r>
      <w:r>
        <w:rPr>
          <w:rFonts w:hint="eastAsia" w:ascii="宋体" w:hAnsi="宋体" w:eastAsia="宋体" w:cs="宋体"/>
          <w:sz w:val="24"/>
          <w:szCs w:val="24"/>
          <w:lang w:val="en-US" w:eastAsia="zh-CN"/>
        </w:rPr>
        <w:t>1232.25</w:t>
      </w:r>
      <w:r>
        <w:rPr>
          <w:rFonts w:hint="eastAsia" w:ascii="宋体" w:hAnsi="宋体" w:eastAsia="宋体" w:cs="宋体"/>
          <w:sz w:val="24"/>
          <w:szCs w:val="24"/>
          <w:lang w:eastAsia="zh-CN"/>
        </w:rPr>
        <w:t>亩；</w:t>
      </w:r>
      <w:r>
        <w:rPr>
          <w:rFonts w:hint="eastAsia" w:ascii="宋体" w:hAnsi="宋体" w:eastAsia="宋体" w:cs="宋体"/>
          <w:sz w:val="24"/>
          <w:szCs w:val="24"/>
          <w:lang w:val="en-US" w:eastAsia="zh-CN"/>
        </w:rPr>
        <w:t>第四批954</w:t>
      </w:r>
      <w:r>
        <w:rPr>
          <w:rFonts w:hint="eastAsia" w:ascii="宋体" w:hAnsi="宋体" w:eastAsia="宋体" w:cs="宋体"/>
          <w:sz w:val="24"/>
          <w:szCs w:val="24"/>
          <w:lang w:eastAsia="zh-CN"/>
        </w:rPr>
        <w:t>个地块</w:t>
      </w:r>
      <w:r>
        <w:rPr>
          <w:rFonts w:hint="eastAsia" w:ascii="宋体" w:hAnsi="宋体" w:eastAsia="宋体" w:cs="宋体"/>
          <w:sz w:val="24"/>
          <w:szCs w:val="24"/>
          <w:lang w:val="en-US" w:eastAsia="zh-CN"/>
        </w:rPr>
        <w:t>4122</w:t>
      </w:r>
      <w:r>
        <w:rPr>
          <w:rFonts w:hint="eastAsia" w:ascii="宋体" w:hAnsi="宋体" w:eastAsia="宋体" w:cs="宋体"/>
          <w:sz w:val="24"/>
          <w:szCs w:val="24"/>
          <w:lang w:eastAsia="zh-CN"/>
        </w:rPr>
        <w:t>亩，</w:t>
      </w:r>
      <w:bookmarkEnd w:id="57"/>
      <w:r>
        <w:rPr>
          <w:rFonts w:hint="eastAsia" w:ascii="宋体" w:hAnsi="宋体" w:eastAsia="宋体" w:cs="宋体"/>
          <w:sz w:val="24"/>
          <w:szCs w:val="24"/>
          <w:lang w:val="en-US" w:eastAsia="zh-CN"/>
        </w:rPr>
        <w:t>合计1718</w:t>
      </w:r>
      <w:r>
        <w:rPr>
          <w:rFonts w:hint="eastAsia" w:ascii="宋体" w:hAnsi="宋体" w:eastAsia="宋体" w:cs="宋体"/>
          <w:sz w:val="24"/>
          <w:szCs w:val="24"/>
          <w:lang w:eastAsia="zh-CN"/>
        </w:rPr>
        <w:t>个地块</w:t>
      </w:r>
      <w:r>
        <w:rPr>
          <w:rFonts w:hint="eastAsia" w:ascii="宋体" w:hAnsi="宋体" w:eastAsia="宋体" w:cs="宋体"/>
          <w:sz w:val="24"/>
          <w:szCs w:val="24"/>
          <w:lang w:val="en-US" w:eastAsia="zh-CN"/>
        </w:rPr>
        <w:t>6021.99</w:t>
      </w:r>
      <w:r>
        <w:rPr>
          <w:rFonts w:hint="eastAsia" w:ascii="宋体" w:hAnsi="宋体" w:eastAsia="宋体" w:cs="宋体"/>
          <w:sz w:val="24"/>
          <w:szCs w:val="24"/>
          <w:lang w:eastAsia="zh-CN"/>
        </w:rPr>
        <w:t>亩</w:t>
      </w:r>
      <w:bookmarkEnd w:id="53"/>
      <w:bookmarkEnd w:id="54"/>
      <w:bookmarkEnd w:id="55"/>
      <w:bookmarkEnd w:id="56"/>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科学划定评价单元，布设踏勘点位，</w:t>
      </w:r>
      <w:r>
        <w:rPr>
          <w:rFonts w:hint="eastAsia" w:ascii="宋体" w:hAnsi="宋体" w:eastAsia="宋体" w:cs="宋体"/>
          <w:sz w:val="24"/>
          <w:szCs w:val="24"/>
          <w:lang w:eastAsia="zh-CN"/>
        </w:rPr>
        <w:t>组织专家对每个地块进行现场踏勘，查看</w:t>
      </w:r>
      <w:r>
        <w:rPr>
          <w:rFonts w:hint="eastAsia" w:ascii="宋体" w:hAnsi="宋体" w:eastAsia="宋体" w:cs="宋体"/>
          <w:sz w:val="24"/>
          <w:szCs w:val="24"/>
          <w:lang w:val="en-US" w:eastAsia="zh-CN"/>
        </w:rPr>
        <w:t>利用类型、</w:t>
      </w:r>
      <w:r>
        <w:rPr>
          <w:rFonts w:hint="eastAsia" w:ascii="宋体" w:hAnsi="宋体" w:eastAsia="宋体" w:cs="宋体"/>
          <w:sz w:val="24"/>
          <w:szCs w:val="24"/>
          <w:lang w:eastAsia="zh-CN"/>
        </w:rPr>
        <w:t>地形坡度、侵入体类型及含量、砾石含量、田面平整程度、水资源保障条件、道路通行条件、地形部位、</w:t>
      </w:r>
      <w:r>
        <w:rPr>
          <w:rFonts w:hint="eastAsia" w:ascii="宋体" w:hAnsi="宋体" w:eastAsia="宋体" w:cs="宋体"/>
          <w:sz w:val="24"/>
          <w:szCs w:val="24"/>
          <w:lang w:val="en-US" w:eastAsia="zh-CN"/>
        </w:rPr>
        <w:t>耕层厚度及质地、</w:t>
      </w:r>
      <w:r>
        <w:rPr>
          <w:rFonts w:hint="eastAsia" w:ascii="宋体" w:hAnsi="宋体" w:eastAsia="宋体" w:cs="宋体"/>
          <w:sz w:val="24"/>
          <w:szCs w:val="24"/>
          <w:lang w:eastAsia="zh-CN"/>
        </w:rPr>
        <w:t>质地构型、</w:t>
      </w:r>
      <w:r>
        <w:rPr>
          <w:rFonts w:hint="eastAsia" w:ascii="宋体" w:hAnsi="宋体" w:eastAsia="宋体" w:cs="宋体"/>
          <w:sz w:val="24"/>
          <w:szCs w:val="24"/>
          <w:lang w:val="en-US" w:eastAsia="zh-CN"/>
        </w:rPr>
        <w:t>灌溉能力、</w:t>
      </w:r>
      <w:r>
        <w:rPr>
          <w:rFonts w:hint="eastAsia" w:ascii="宋体" w:hAnsi="宋体" w:eastAsia="宋体" w:cs="宋体"/>
          <w:sz w:val="24"/>
          <w:szCs w:val="24"/>
          <w:lang w:eastAsia="zh-CN"/>
        </w:rPr>
        <w:t>排水能力、农田防护与生态环境保护水平、有效土层厚度等农业生产符合性条件、踏勘照片拍摄（包括景观、现场工作照、剖面照或土钻断面照、土壤混合样品采集照、四分法工作照、土壤容重样品采集照、样品封存照</w:t>
      </w:r>
      <w:r>
        <w:rPr>
          <w:rFonts w:hint="eastAsia" w:ascii="宋体" w:hAnsi="宋体" w:eastAsia="宋体" w:cs="宋体"/>
          <w:sz w:val="24"/>
          <w:szCs w:val="24"/>
          <w:lang w:val="en-US" w:eastAsia="zh-CN"/>
        </w:rPr>
        <w:t>等</w:t>
      </w:r>
      <w:r>
        <w:rPr>
          <w:rFonts w:hint="eastAsia" w:ascii="宋体" w:hAnsi="宋体" w:eastAsia="宋体" w:cs="宋体"/>
          <w:sz w:val="24"/>
          <w:szCs w:val="24"/>
          <w:lang w:eastAsia="zh-CN"/>
        </w:rPr>
        <w:t>）。</w:t>
      </w:r>
    </w:p>
    <w:p w14:paraId="507FE9DA">
      <w:pPr>
        <w:keepNext w:val="0"/>
        <w:keepLines w:val="0"/>
        <w:pageBreakBefore w:val="0"/>
        <w:kinsoku/>
        <w:wordWrap/>
        <w:overflowPunct/>
        <w:topLinePunct w:val="0"/>
        <w:bidi w:val="0"/>
        <w:adjustRightInd/>
        <w:snapToGrid/>
        <w:spacing w:beforeLines="0" w:afterLines="0" w:line="52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cs="宋体"/>
          <w:b/>
          <w:bCs/>
          <w:color w:val="000000"/>
          <w:sz w:val="24"/>
          <w:szCs w:val="24"/>
          <w:lang w:eastAsia="zh-CN"/>
        </w:rPr>
        <w:t>（</w:t>
      </w:r>
      <w:r>
        <w:rPr>
          <w:rFonts w:hint="eastAsia" w:ascii="宋体" w:hAnsi="宋体" w:cs="宋体"/>
          <w:b/>
          <w:bCs/>
          <w:color w:val="000000"/>
          <w:sz w:val="24"/>
          <w:szCs w:val="24"/>
          <w:lang w:val="en-US" w:eastAsia="zh-CN"/>
        </w:rPr>
        <w:t>三</w:t>
      </w:r>
      <w:r>
        <w:rPr>
          <w:rFonts w:hint="eastAsia" w:ascii="宋体" w:hAnsi="宋体" w:cs="宋体"/>
          <w:b/>
          <w:bCs/>
          <w:color w:val="000000"/>
          <w:sz w:val="24"/>
          <w:szCs w:val="24"/>
          <w:lang w:eastAsia="zh-CN"/>
        </w:rPr>
        <w:t>）</w:t>
      </w:r>
      <w:r>
        <w:rPr>
          <w:rFonts w:hint="eastAsia" w:ascii="宋体" w:hAnsi="宋体" w:eastAsia="宋体" w:cs="宋体"/>
          <w:b/>
          <w:bCs/>
          <w:color w:val="000000"/>
          <w:sz w:val="24"/>
          <w:szCs w:val="24"/>
        </w:rPr>
        <w:t>土壤样品采集。</w:t>
      </w:r>
      <w:r>
        <w:rPr>
          <w:rFonts w:hint="eastAsia" w:ascii="宋体" w:hAnsi="宋体" w:eastAsia="宋体" w:cs="宋体"/>
          <w:sz w:val="24"/>
          <w:szCs w:val="24"/>
          <w:lang w:val="en-US" w:eastAsia="zh-CN"/>
        </w:rPr>
        <w:t>在</w:t>
      </w:r>
      <w:r>
        <w:rPr>
          <w:rFonts w:hint="eastAsia" w:ascii="宋体" w:hAnsi="宋体" w:eastAsia="宋体" w:cs="宋体"/>
          <w:sz w:val="24"/>
          <w:szCs w:val="24"/>
          <w:lang w:eastAsia="zh-CN"/>
        </w:rPr>
        <w:t>踏勘布点布设的图斑内点位处，先挖成一个深20cm的小土坑，将土坑一面铲成垂直面，用竹片或木铲将与小铁铲接触过的土壤刨去，然后用竹片或木铲垂直铲取1～2cm厚的土样。采集过程中应去除地表秸秆与砾石等，</w:t>
      </w:r>
      <w:r>
        <w:rPr>
          <w:rFonts w:hint="eastAsia" w:ascii="宋体" w:hAnsi="宋体" w:eastAsia="宋体" w:cs="宋体"/>
          <w:sz w:val="24"/>
          <w:szCs w:val="24"/>
          <w:lang w:val="en-US" w:eastAsia="zh-CN"/>
        </w:rPr>
        <w:t>同时</w:t>
      </w:r>
      <w:r>
        <w:rPr>
          <w:rFonts w:hint="eastAsia" w:ascii="宋体" w:hAnsi="宋体" w:eastAsia="宋体" w:cs="宋体"/>
          <w:sz w:val="24"/>
          <w:szCs w:val="24"/>
          <w:lang w:eastAsia="zh-CN"/>
        </w:rPr>
        <w:t>以“X”或“S”型采集土壤样品，每个样点的混样点数量为5个，采样点不能过于聚集，一般要求采样点两两间隔在15m以上，不能满足5个及以上间隔15m的混样点的小田块，混样点分布应覆盖整个田块，但要避开田块边缘取样。将单个图斑内所有点位采集的土壤分样点样品堆放于聚乙烯塑料布上面，去除明显根系后，充分混匀，然后采取“四分法”去除多余样品，留取以风干重计不少于1kg（建议留取鲜样1.5kg）的土壤混合样品。</w:t>
      </w:r>
    </w:p>
    <w:p w14:paraId="4A2712E5">
      <w:pPr>
        <w:spacing w:line="520" w:lineRule="exact"/>
        <w:ind w:firstLine="640"/>
        <w:rPr>
          <w:rFonts w:hint="eastAsia" w:ascii="宋体" w:hAnsi="宋体" w:eastAsia="宋体" w:cs="宋体"/>
          <w:color w:val="000000"/>
          <w:sz w:val="24"/>
          <w:szCs w:val="24"/>
        </w:rPr>
      </w:pPr>
      <w:r>
        <w:rPr>
          <w:rFonts w:hint="eastAsia" w:ascii="宋体" w:hAnsi="宋体" w:eastAsia="宋体" w:cs="宋体"/>
          <w:b/>
          <w:bCs/>
          <w:color w:val="000000"/>
          <w:sz w:val="24"/>
          <w:szCs w:val="24"/>
        </w:rPr>
        <w:t>（</w:t>
      </w:r>
      <w:r>
        <w:rPr>
          <w:rFonts w:hint="eastAsia" w:ascii="宋体" w:hAnsi="宋体" w:cs="宋体"/>
          <w:b/>
          <w:bCs/>
          <w:color w:val="000000"/>
          <w:sz w:val="24"/>
          <w:szCs w:val="24"/>
          <w:lang w:val="en-US" w:eastAsia="zh-CN"/>
        </w:rPr>
        <w:t>四</w:t>
      </w:r>
      <w:r>
        <w:rPr>
          <w:rFonts w:hint="eastAsia" w:ascii="宋体" w:hAnsi="宋体" w:eastAsia="宋体" w:cs="宋体"/>
          <w:b/>
          <w:bCs/>
          <w:color w:val="000000"/>
          <w:sz w:val="24"/>
          <w:szCs w:val="24"/>
        </w:rPr>
        <w:t>）土壤样品制样检测及留样。</w:t>
      </w:r>
      <w:r>
        <w:rPr>
          <w:rFonts w:hint="eastAsia" w:ascii="宋体" w:hAnsi="宋体" w:eastAsia="宋体" w:cs="宋体"/>
          <w:color w:val="000000"/>
          <w:sz w:val="24"/>
          <w:szCs w:val="24"/>
        </w:rPr>
        <w:t>检测机构收到土壤样品，应做好样品接收记录。收到土壤样品后，表层样品应在24小时内置于阴凉处自然风干或进行40℃以下的低温烘干（严禁暴晒或40℃以上烘烤），并挑出土壤中的动植物残体及砾石等杂物。风干或烘干后的样品使用木棍或塑料棍滚压进行粗磨，同时进一步清理植物须根及细小砾石，剩余土样需全部研磨直至全部通过2mm孔径尼龙筛，过筛后的样品用四分法分为检测样品和留存样品各1份，每份约500g。检测样品按相关检测方法标准进一步进行细磨，用于实验室检测。涉及其他特征污染物的，参照相关标准进行样品制备。检测指标：单个土壤样品必须检测土壤pH值、容重、有机质、全氮、有效磷、速效钾和土壤质地机械组成；黄河故道沿线镇街加测水溶性盐总量。若涉及专家踏勘期间发现有需要采集污染样，需加测重金属参数。留存样品至少保存1年，保存期满后，应移交涟水县农业农村局处理或由涟水县农业农村局授权处理。所有样品制备过程均应于监控设备下进行，监控视频保存不少于1年。为市级鉴定复测及制样查验留足样品和视频备份。</w:t>
      </w:r>
    </w:p>
    <w:p w14:paraId="7B6A15EB">
      <w:pPr>
        <w:widowControl w:val="0"/>
        <w:spacing w:line="520" w:lineRule="exact"/>
        <w:ind w:firstLine="557"/>
        <w:jc w:val="both"/>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（六）耕地质量等级评价报告编制。</w:t>
      </w:r>
    </w:p>
    <w:p w14:paraId="0D9D9047">
      <w:pPr>
        <w:spacing w:line="520" w:lineRule="exact"/>
        <w:ind w:firstLine="64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每次鉴定编制整体耕地质量等级评级报告</w:t>
      </w:r>
      <w:r>
        <w:rPr>
          <w:rFonts w:hint="eastAsia" w:ascii="宋体" w:hAnsi="宋体" w:cs="宋体"/>
          <w:color w:val="000000"/>
          <w:sz w:val="24"/>
          <w:szCs w:val="24"/>
          <w:lang w:val="en-US" w:eastAsia="zh-CN"/>
        </w:rPr>
        <w:t>。</w:t>
      </w:r>
    </w:p>
    <w:p w14:paraId="70EECDE4">
      <w:pPr>
        <w:spacing w:line="520" w:lineRule="exact"/>
        <w:ind w:firstLine="480"/>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（七）县级初鉴与配合验收。</w:t>
      </w:r>
      <w:r>
        <w:rPr>
          <w:rFonts w:hint="eastAsia" w:ascii="宋体" w:hAnsi="宋体" w:eastAsia="宋体" w:cs="宋体"/>
          <w:color w:val="000000"/>
          <w:sz w:val="24"/>
          <w:szCs w:val="24"/>
        </w:rPr>
        <w:t>鉴定分为县级初鉴和市级鉴定，县级初鉴后申请市级鉴定。鉴定会包括PPT制作及汇报、路线规划、现场踏勘和土壤检测报告、耕地质量等级评价报告等资料整理准备</w:t>
      </w:r>
      <w:r>
        <w:rPr>
          <w:rFonts w:hint="eastAsia" w:ascii="宋体" w:hAnsi="宋体" w:cs="宋体"/>
          <w:color w:val="000000"/>
          <w:sz w:val="24"/>
          <w:szCs w:val="24"/>
          <w:lang w:eastAsia="zh-CN"/>
        </w:rPr>
        <w:t>。</w:t>
      </w:r>
    </w:p>
    <w:p w14:paraId="203729DA">
      <w:pPr>
        <w:spacing w:line="520" w:lineRule="exact"/>
        <w:ind w:firstLine="482"/>
        <w:jc w:val="left"/>
        <w:rPr>
          <w:rFonts w:hint="eastAsia" w:ascii="宋体" w:hAnsi="宋体" w:eastAsia="宋体" w:cs="宋体"/>
          <w:bCs/>
          <w:color w:val="000000"/>
          <w:sz w:val="24"/>
          <w:szCs w:val="24"/>
          <w:lang w:eastAsia="zh-CN"/>
        </w:rPr>
      </w:pPr>
      <w:r>
        <w:rPr>
          <w:rFonts w:hint="eastAsia" w:ascii="宋体" w:hAnsi="宋体" w:eastAsia="宋体" w:cs="宋体"/>
          <w:b/>
          <w:bCs/>
          <w:color w:val="000000"/>
          <w:sz w:val="24"/>
          <w:szCs w:val="24"/>
        </w:rPr>
        <w:t>（八）工作组织支持。</w:t>
      </w:r>
      <w:r>
        <w:rPr>
          <w:rFonts w:hint="eastAsia" w:ascii="宋体" w:hAnsi="宋体" w:eastAsia="宋体" w:cs="宋体"/>
          <w:color w:val="000000"/>
          <w:sz w:val="24"/>
          <w:szCs w:val="24"/>
        </w:rPr>
        <w:t>开展项目资料打印费、工作会议、用车、技术指导、差旅费、财务审计等</w:t>
      </w:r>
      <w:r>
        <w:rPr>
          <w:rFonts w:hint="eastAsia" w:ascii="宋体" w:hAnsi="宋体" w:cs="宋体"/>
          <w:color w:val="000000"/>
          <w:sz w:val="24"/>
          <w:szCs w:val="24"/>
          <w:lang w:eastAsia="zh-CN"/>
        </w:rPr>
        <w:t>。</w:t>
      </w:r>
    </w:p>
    <w:p w14:paraId="5B8F6BFD">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四、履约时间、地点和付款方式</w:t>
      </w:r>
    </w:p>
    <w:p w14:paraId="2B5FA1E1">
      <w:pPr>
        <w:spacing w:line="520" w:lineRule="exact"/>
        <w:ind w:firstLine="482"/>
        <w:rPr>
          <w:rFonts w:hint="eastAsia" w:ascii="宋体" w:hAnsi="宋体" w:eastAsia="宋体" w:cs="宋体"/>
          <w:sz w:val="24"/>
          <w:szCs w:val="24"/>
        </w:rPr>
      </w:pPr>
      <w:r>
        <w:rPr>
          <w:rFonts w:hint="eastAsia" w:ascii="宋体" w:hAnsi="宋体" w:eastAsia="宋体" w:cs="宋体"/>
          <w:b/>
          <w:bCs/>
          <w:sz w:val="24"/>
          <w:szCs w:val="24"/>
        </w:rPr>
        <w:t>履约时间：</w:t>
      </w:r>
      <w:r>
        <w:rPr>
          <w:rFonts w:hint="eastAsia" w:ascii="宋体" w:hAnsi="宋体" w:eastAsia="宋体" w:cs="宋体"/>
          <w:color w:val="000000"/>
          <w:sz w:val="24"/>
          <w:szCs w:val="24"/>
        </w:rPr>
        <w:t>自合同签订</w:t>
      </w:r>
      <w:r>
        <w:rPr>
          <w:rFonts w:hint="eastAsia" w:ascii="宋体" w:hAnsi="宋体" w:eastAsia="宋体" w:cs="宋体"/>
          <w:color w:val="auto"/>
          <w:sz w:val="24"/>
          <w:szCs w:val="24"/>
        </w:rPr>
        <w:t>之日起</w:t>
      </w:r>
      <w:r>
        <w:rPr>
          <w:rFonts w:hint="eastAsia" w:ascii="宋体" w:hAnsi="宋体" w:cs="宋体"/>
          <w:color w:val="auto"/>
          <w:sz w:val="24"/>
          <w:szCs w:val="24"/>
          <w:lang w:val="en-US" w:eastAsia="zh-CN"/>
        </w:rPr>
        <w:t>6个月</w:t>
      </w:r>
      <w:r>
        <w:rPr>
          <w:rFonts w:hint="eastAsia" w:ascii="宋体" w:hAnsi="宋体" w:eastAsia="宋体" w:cs="宋体"/>
          <w:color w:val="auto"/>
          <w:sz w:val="24"/>
          <w:szCs w:val="24"/>
        </w:rPr>
        <w:t>内</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具体时间根据甲方实际要求）</w:t>
      </w:r>
      <w:r>
        <w:rPr>
          <w:rFonts w:hint="eastAsia" w:ascii="宋体" w:hAnsi="宋体" w:eastAsia="宋体" w:cs="宋体"/>
          <w:color w:val="auto"/>
          <w:sz w:val="24"/>
          <w:szCs w:val="24"/>
        </w:rPr>
        <w:t>；</w:t>
      </w:r>
    </w:p>
    <w:p w14:paraId="4CBF019B">
      <w:pPr>
        <w:spacing w:line="520" w:lineRule="exact"/>
        <w:ind w:firstLine="482"/>
        <w:rPr>
          <w:rFonts w:hint="eastAsia" w:ascii="宋体" w:hAnsi="宋体" w:eastAsia="宋体" w:cs="宋体"/>
          <w:sz w:val="24"/>
          <w:szCs w:val="24"/>
        </w:rPr>
      </w:pPr>
      <w:r>
        <w:rPr>
          <w:rFonts w:hint="eastAsia" w:ascii="宋体" w:hAnsi="宋体" w:eastAsia="宋体" w:cs="宋体"/>
          <w:b/>
          <w:bCs/>
          <w:sz w:val="24"/>
          <w:szCs w:val="24"/>
        </w:rPr>
        <w:t>履约地点：</w:t>
      </w:r>
      <w:r>
        <w:rPr>
          <w:rFonts w:hint="eastAsia" w:ascii="宋体" w:hAnsi="宋体" w:eastAsia="宋体" w:cs="宋体"/>
          <w:sz w:val="24"/>
          <w:szCs w:val="24"/>
        </w:rPr>
        <w:t>涟水县16个镇（街道）：陈师街道、保滩街道、涟城街道、朱码街道、成集镇、梁岔镇、高沟镇、岔庙镇、红窑镇、五港镇、大东镇、东胡集镇、南集镇、黄营镇、石湖镇、唐集镇等镇（街）。</w:t>
      </w:r>
    </w:p>
    <w:p w14:paraId="68D87E99">
      <w:pPr>
        <w:spacing w:line="520" w:lineRule="exact"/>
        <w:ind w:firstLine="482"/>
        <w:rPr>
          <w:rFonts w:hint="eastAsia" w:ascii="宋体" w:hAnsi="宋体" w:eastAsia="宋体" w:cs="宋体"/>
          <w:color w:val="000000"/>
          <w:sz w:val="24"/>
          <w:szCs w:val="24"/>
        </w:rPr>
      </w:pPr>
      <w:r>
        <w:rPr>
          <w:rFonts w:hint="eastAsia" w:ascii="宋体" w:hAnsi="宋体" w:eastAsia="宋体" w:cs="宋体"/>
          <w:b/>
          <w:bCs/>
          <w:sz w:val="24"/>
          <w:szCs w:val="24"/>
        </w:rPr>
        <w:t>付款方式：</w:t>
      </w:r>
      <w:r>
        <w:rPr>
          <w:rFonts w:hint="eastAsia" w:ascii="宋体" w:hAnsi="宋体" w:eastAsia="宋体" w:cs="宋体"/>
          <w:color w:val="000000"/>
          <w:sz w:val="24"/>
          <w:szCs w:val="24"/>
        </w:rPr>
        <w:t>合同签订，服务完成，提交成果</w:t>
      </w:r>
      <w:r>
        <w:rPr>
          <w:rFonts w:hint="eastAsia" w:ascii="宋体" w:hAnsi="宋体" w:eastAsia="宋体" w:cs="宋体"/>
          <w:color w:val="000000" w:themeColor="text1"/>
          <w:sz w:val="24"/>
          <w:szCs w:val="24"/>
          <w14:textFill>
            <w14:solidFill>
              <w14:schemeClr w14:val="tx1"/>
            </w14:solidFill>
          </w14:textFill>
        </w:rPr>
        <w:t>经采购人确认后，最终按实际完成工作量据实结算（不计利息）。技术服务费根据各工作环</w:t>
      </w:r>
      <w:r>
        <w:rPr>
          <w:rFonts w:hint="eastAsia" w:ascii="宋体" w:hAnsi="宋体" w:eastAsia="宋体" w:cs="宋体"/>
          <w:color w:val="000000"/>
          <w:sz w:val="24"/>
          <w:szCs w:val="24"/>
        </w:rPr>
        <w:t>节实际工作量按中标单价进行价格结算，成交供应商需提供详细清单及附件，佐证相关技术服务费用组成。</w:t>
      </w:r>
    </w:p>
    <w:p w14:paraId="30F1643C">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五、其他要求</w:t>
      </w:r>
    </w:p>
    <w:p w14:paraId="71B84613">
      <w:pPr>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涟水县2025年占补平衡项目补充耕地质量鉴定</w:t>
      </w:r>
      <w:r>
        <w:rPr>
          <w:rFonts w:hint="eastAsia" w:ascii="宋体" w:hAnsi="宋体" w:eastAsia="宋体" w:cs="宋体"/>
          <w:sz w:val="24"/>
          <w:szCs w:val="24"/>
        </w:rPr>
        <w:t>项目技术服务采购，包含但不限于项目实施所需投标人为开展工作配备技术人员的工资、专家费及食宿差旅费、会场租用费、车辆租赁费、材料打印费、税费等其他一切费用。</w:t>
      </w:r>
    </w:p>
    <w:p w14:paraId="62051619">
      <w:pPr>
        <w:spacing w:line="520" w:lineRule="exact"/>
        <w:ind w:firstLine="480"/>
        <w:rPr>
          <w:rFonts w:hint="eastAsia" w:ascii="宋体" w:hAnsi="宋体" w:eastAsia="宋体" w:cs="宋体"/>
          <w:color w:val="000000"/>
          <w:sz w:val="24"/>
          <w:szCs w:val="24"/>
        </w:rPr>
      </w:pPr>
      <w:r>
        <w:rPr>
          <w:rFonts w:hint="eastAsia" w:ascii="宋体" w:hAnsi="宋体" w:eastAsia="宋体" w:cs="宋体"/>
          <w:sz w:val="24"/>
          <w:szCs w:val="24"/>
        </w:rPr>
        <w:t>2、</w:t>
      </w:r>
      <w:r>
        <w:rPr>
          <w:rFonts w:hint="eastAsia" w:ascii="宋体" w:hAnsi="宋体" w:eastAsia="宋体" w:cs="宋体"/>
          <w:color w:val="000000"/>
          <w:sz w:val="24"/>
          <w:szCs w:val="24"/>
        </w:rPr>
        <w:t>项目履约过程中成交供应商必须做好安全防范工作，若在履约过程出现任何安全事故，一切责任由成交供应商承担，采购人不承担任何责任。为确保工作期间安全生产工作，成交供应商参与外业调查人员、现场踏勘专家、随队力工等人员必须购买人身意外险，相关费用由成交供应商承担。</w:t>
      </w:r>
    </w:p>
    <w:p w14:paraId="229D786F">
      <w:pPr>
        <w:spacing w:line="520" w:lineRule="exact"/>
        <w:ind w:firstLine="480"/>
        <w:rPr>
          <w:rFonts w:hint="eastAsia" w:ascii="宋体" w:hAnsi="宋体" w:eastAsia="宋体" w:cs="宋体"/>
          <w:color w:val="000000"/>
          <w:sz w:val="24"/>
          <w:szCs w:val="24"/>
        </w:rPr>
      </w:pPr>
      <w:bookmarkStart w:id="58" w:name="OLE_LINK8"/>
      <w:r>
        <w:rPr>
          <w:rFonts w:hint="eastAsia" w:ascii="宋体" w:hAnsi="宋体" w:eastAsia="宋体" w:cs="宋体"/>
          <w:color w:val="000000"/>
          <w:sz w:val="24"/>
          <w:szCs w:val="24"/>
        </w:rPr>
        <w:t>3、为防止政府采购领域“内卷式”竞争，形成优质优价、良性竞争的市场秩序，本次采购严格遵照财政部《关于推动解决政府采购异常低价问题的通知》（财库〔2026〕2号）文件执行。</w:t>
      </w:r>
      <w:bookmarkEnd w:id="58"/>
    </w:p>
    <w:p w14:paraId="0632E7A7">
      <w:pPr>
        <w:spacing w:line="520" w:lineRule="exact"/>
        <w:ind w:firstLine="480"/>
        <w:rPr>
          <w:rFonts w:hint="default" w:ascii="仿宋_GB2312" w:hAnsi="仿宋_GB2312" w:eastAsia="仿宋_GB2312" w:cs="仿宋_GB2312"/>
          <w:color w:val="000000"/>
          <w:sz w:val="32"/>
          <w:szCs w:val="32"/>
        </w:rPr>
      </w:pPr>
      <w:r>
        <w:rPr>
          <w:rFonts w:hint="eastAsia" w:ascii="宋体" w:hAnsi="宋体" w:eastAsia="宋体" w:cs="宋体"/>
          <w:color w:val="000000"/>
          <w:sz w:val="24"/>
          <w:szCs w:val="24"/>
        </w:rPr>
        <w:t>4、成交供应商需提供投标价各环节单价及总价表。</w:t>
      </w:r>
    </w:p>
    <w:p w14:paraId="158DB309">
      <w:pPr>
        <w:spacing w:line="520" w:lineRule="exact"/>
        <w:ind w:firstLine="640"/>
        <w:rPr>
          <w:rFonts w:hint="default"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22DA2E00">
      <w:pPr>
        <w:rPr>
          <w:rFonts w:hint="eastAsia" w:hAnsi="宋体"/>
          <w:bCs/>
          <w:color w:val="000000"/>
          <w:sz w:val="36"/>
          <w:szCs w:val="44"/>
        </w:rPr>
      </w:pPr>
    </w:p>
    <w:p w14:paraId="0F52F2F5">
      <w:pPr>
        <w:rPr>
          <w:rFonts w:hint="eastAsia" w:hAnsi="宋体"/>
          <w:bCs/>
          <w:color w:val="000000"/>
          <w:sz w:val="36"/>
          <w:szCs w:val="44"/>
        </w:rPr>
      </w:pPr>
    </w:p>
    <w:p w14:paraId="4541E5F1">
      <w:pPr>
        <w:rPr>
          <w:rFonts w:hint="eastAsia" w:hAnsi="宋体"/>
          <w:bCs/>
          <w:color w:val="000000"/>
          <w:sz w:val="36"/>
          <w:szCs w:val="44"/>
        </w:rPr>
      </w:pPr>
    </w:p>
    <w:p w14:paraId="5F5593AF">
      <w:pPr>
        <w:rPr>
          <w:rFonts w:hint="eastAsia" w:hAnsi="宋体"/>
          <w:bCs/>
          <w:color w:val="000000"/>
          <w:sz w:val="36"/>
          <w:szCs w:val="44"/>
        </w:rPr>
      </w:pPr>
    </w:p>
    <w:p w14:paraId="51172BB0">
      <w:pPr>
        <w:pStyle w:val="5"/>
        <w:rPr>
          <w:rFonts w:hint="eastAsia" w:hAnsi="宋体"/>
          <w:bCs/>
          <w:color w:val="000000"/>
          <w:sz w:val="36"/>
          <w:szCs w:val="44"/>
        </w:rPr>
      </w:pPr>
    </w:p>
    <w:p w14:paraId="603FA707">
      <w:pPr>
        <w:rPr>
          <w:rFonts w:hint="eastAsia" w:hAnsi="宋体"/>
          <w:bCs/>
          <w:color w:val="000000"/>
          <w:sz w:val="36"/>
          <w:szCs w:val="44"/>
        </w:rPr>
      </w:pPr>
    </w:p>
    <w:p w14:paraId="4B247314">
      <w:pPr>
        <w:pStyle w:val="5"/>
        <w:rPr>
          <w:rFonts w:hint="eastAsia" w:hAnsi="宋体"/>
          <w:bCs/>
          <w:color w:val="000000"/>
          <w:sz w:val="36"/>
          <w:szCs w:val="44"/>
        </w:rPr>
      </w:pPr>
    </w:p>
    <w:p w14:paraId="0670F1E4">
      <w:pPr>
        <w:pStyle w:val="5"/>
        <w:rPr>
          <w:rFonts w:hint="eastAsia"/>
        </w:rPr>
      </w:pPr>
    </w:p>
    <w:p w14:paraId="65161994">
      <w:pPr>
        <w:rPr>
          <w:rFonts w:hint="eastAsia" w:hAnsi="宋体"/>
          <w:bCs/>
          <w:color w:val="000000"/>
          <w:sz w:val="36"/>
          <w:szCs w:val="44"/>
        </w:rPr>
      </w:pPr>
    </w:p>
    <w:p w14:paraId="40D18930">
      <w:pPr>
        <w:pStyle w:val="191"/>
        <w:spacing w:before="0" w:after="0" w:line="360" w:lineRule="auto"/>
        <w:jc w:val="center"/>
        <w:rPr>
          <w:rFonts w:hint="eastAsia" w:hAnsi="宋体"/>
          <w:bCs/>
          <w:color w:val="000000"/>
          <w:sz w:val="36"/>
          <w:szCs w:val="44"/>
        </w:rPr>
      </w:pPr>
      <w:r>
        <w:rPr>
          <w:rFonts w:hint="eastAsia" w:hAnsi="宋体"/>
          <w:bCs/>
          <w:color w:val="000000"/>
          <w:sz w:val="36"/>
          <w:szCs w:val="44"/>
        </w:rPr>
        <w:t>第二章   响 应 文 件 格 式</w:t>
      </w:r>
      <w:bookmarkEnd w:id="49"/>
      <w:bookmarkEnd w:id="51"/>
    </w:p>
    <w:p w14:paraId="1645301B">
      <w:pPr>
        <w:rPr>
          <w:rFonts w:hint="eastAsia" w:ascii="宋体" w:hAnsi="宋体"/>
          <w:sz w:val="28"/>
        </w:rPr>
      </w:pPr>
    </w:p>
    <w:p w14:paraId="588BF7CC">
      <w:pPr>
        <w:pStyle w:val="219"/>
        <w:ind w:firstLine="2240"/>
        <w:rPr>
          <w:rFonts w:hint="eastAsia" w:hAnsi="宋体"/>
          <w:sz w:val="32"/>
        </w:rPr>
      </w:pPr>
    </w:p>
    <w:p w14:paraId="66E7ECE4">
      <w:pPr>
        <w:rPr>
          <w:rFonts w:ascii="宋体" w:hAnsi="宋体"/>
          <w:sz w:val="28"/>
        </w:rPr>
      </w:pPr>
    </w:p>
    <w:p w14:paraId="0ED73D88">
      <w:pPr>
        <w:rPr>
          <w:rFonts w:hint="eastAsia" w:ascii="宋体" w:hAnsi="宋体"/>
          <w:sz w:val="28"/>
        </w:rPr>
      </w:pPr>
    </w:p>
    <w:p w14:paraId="20D9120D">
      <w:pPr>
        <w:rPr>
          <w:rFonts w:hint="eastAsia" w:ascii="宋体" w:hAnsi="宋体"/>
          <w:bCs/>
          <w:sz w:val="32"/>
        </w:rPr>
      </w:pPr>
    </w:p>
    <w:p w14:paraId="061E6B0B">
      <w:pPr>
        <w:spacing w:line="400" w:lineRule="exact"/>
        <w:ind w:firstLine="1807"/>
        <w:rPr>
          <w:rFonts w:hint="eastAsia" w:ascii="宋体" w:hAnsi="宋体"/>
          <w:b/>
          <w:bCs/>
          <w:sz w:val="36"/>
        </w:rPr>
      </w:pPr>
      <w:r>
        <w:rPr>
          <w:rFonts w:hint="eastAsia" w:ascii="宋体" w:hAnsi="宋体"/>
          <w:b/>
          <w:bCs/>
          <w:sz w:val="36"/>
        </w:rPr>
        <w:t>项目名称</w:t>
      </w:r>
      <w:r>
        <w:rPr>
          <w:rFonts w:hint="eastAsia" w:ascii="宋体" w:hAnsi="宋体"/>
          <w:b/>
          <w:bCs/>
          <w:sz w:val="36"/>
          <w:lang w:eastAsia="zh-CN"/>
        </w:rPr>
        <w:t>：</w:t>
      </w:r>
    </w:p>
    <w:p w14:paraId="59641AB2">
      <w:pPr>
        <w:pStyle w:val="219"/>
        <w:rPr>
          <w:rFonts w:hint="eastAsia" w:hAnsi="宋体"/>
          <w:b/>
          <w:sz w:val="32"/>
        </w:rPr>
      </w:pPr>
    </w:p>
    <w:p w14:paraId="287DDAE0">
      <w:pPr>
        <w:pStyle w:val="219"/>
        <w:ind w:firstLine="1066"/>
        <w:rPr>
          <w:rFonts w:hint="eastAsia" w:hAnsi="宋体"/>
          <w:b/>
          <w:sz w:val="36"/>
          <w:szCs w:val="24"/>
        </w:rPr>
      </w:pPr>
    </w:p>
    <w:p w14:paraId="048870BA">
      <w:pPr>
        <w:pStyle w:val="219"/>
        <w:ind w:firstLine="1066"/>
        <w:rPr>
          <w:rFonts w:hint="eastAsia" w:hAnsi="宋体"/>
          <w:b/>
          <w:sz w:val="36"/>
          <w:szCs w:val="24"/>
        </w:rPr>
      </w:pPr>
    </w:p>
    <w:p w14:paraId="17CE01F3">
      <w:pPr>
        <w:pStyle w:val="219"/>
        <w:ind w:firstLine="1789"/>
        <w:rPr>
          <w:rFonts w:hAnsi="宋体"/>
          <w:b/>
          <w:sz w:val="36"/>
          <w:szCs w:val="24"/>
        </w:rPr>
      </w:pPr>
      <w:r>
        <w:rPr>
          <w:rFonts w:hint="eastAsia" w:hAnsi="宋体"/>
          <w:b/>
          <w:sz w:val="36"/>
          <w:szCs w:val="24"/>
        </w:rPr>
        <w:t>项目编号</w:t>
      </w:r>
      <w:r>
        <w:rPr>
          <w:rFonts w:hint="eastAsia" w:hAnsi="宋体"/>
          <w:b/>
          <w:sz w:val="36"/>
          <w:szCs w:val="24"/>
          <w:lang w:eastAsia="zh-CN"/>
        </w:rPr>
        <w:t>：</w:t>
      </w:r>
    </w:p>
    <w:p w14:paraId="113CF87F">
      <w:pPr>
        <w:spacing w:line="400" w:lineRule="exact"/>
        <w:rPr>
          <w:rFonts w:hint="eastAsia" w:ascii="宋体" w:hAnsi="宋体"/>
          <w:b/>
          <w:sz w:val="32"/>
          <w:szCs w:val="20"/>
        </w:rPr>
      </w:pPr>
    </w:p>
    <w:p w14:paraId="50E40FA6">
      <w:pPr>
        <w:spacing w:line="400" w:lineRule="exact"/>
        <w:rPr>
          <w:rFonts w:hint="eastAsia" w:ascii="宋体" w:hAnsi="宋体"/>
          <w:b/>
          <w:sz w:val="32"/>
          <w:szCs w:val="20"/>
        </w:rPr>
      </w:pPr>
    </w:p>
    <w:p w14:paraId="47F658FB">
      <w:pPr>
        <w:spacing w:line="400" w:lineRule="exact"/>
        <w:rPr>
          <w:rFonts w:hint="eastAsia" w:ascii="宋体" w:hAnsi="宋体"/>
          <w:b/>
          <w:sz w:val="32"/>
          <w:szCs w:val="20"/>
        </w:rPr>
      </w:pPr>
    </w:p>
    <w:p w14:paraId="1620388C">
      <w:pPr>
        <w:spacing w:line="400" w:lineRule="exact"/>
        <w:rPr>
          <w:rFonts w:hint="eastAsia" w:ascii="宋体" w:hAnsi="宋体"/>
          <w:b/>
          <w:sz w:val="32"/>
          <w:szCs w:val="20"/>
        </w:rPr>
      </w:pPr>
    </w:p>
    <w:p w14:paraId="70A48C20">
      <w:pPr>
        <w:spacing w:line="400" w:lineRule="exact"/>
        <w:rPr>
          <w:rFonts w:hint="eastAsia" w:ascii="宋体" w:hAnsi="宋体"/>
          <w:b/>
          <w:sz w:val="32"/>
          <w:szCs w:val="20"/>
        </w:rPr>
      </w:pPr>
    </w:p>
    <w:p w14:paraId="771CFEA9">
      <w:pPr>
        <w:spacing w:line="400" w:lineRule="exact"/>
        <w:ind w:firstLine="1789"/>
        <w:rPr>
          <w:rFonts w:hint="eastAsia" w:ascii="宋体" w:hAnsi="宋体"/>
          <w:b/>
          <w:bCs/>
          <w:sz w:val="32"/>
        </w:rPr>
      </w:pPr>
      <w:r>
        <w:rPr>
          <w:rFonts w:hint="eastAsia" w:ascii="宋体" w:hAnsi="宋体"/>
          <w:b/>
          <w:bCs/>
          <w:sz w:val="36"/>
        </w:rPr>
        <w:t>谈判供应商：</w:t>
      </w:r>
    </w:p>
    <w:p w14:paraId="2CDB7850">
      <w:pPr>
        <w:pStyle w:val="219"/>
        <w:ind w:firstLine="843"/>
        <w:rPr>
          <w:rFonts w:hint="eastAsia" w:hAnsi="宋体"/>
          <w:b/>
          <w:bCs/>
          <w:sz w:val="28"/>
        </w:rPr>
      </w:pPr>
      <w:r>
        <w:rPr>
          <w:rFonts w:hint="eastAsia" w:hAnsi="宋体"/>
          <w:b/>
          <w:bCs/>
          <w:sz w:val="28"/>
        </w:rPr>
        <w:t xml:space="preserve">  </w:t>
      </w:r>
    </w:p>
    <w:p w14:paraId="5B5067E9">
      <w:pPr>
        <w:pStyle w:val="219"/>
        <w:jc w:val="center"/>
        <w:rPr>
          <w:rFonts w:hint="eastAsia" w:hAnsi="宋体"/>
          <w:b/>
          <w:bCs/>
          <w:sz w:val="36"/>
          <w:szCs w:val="36"/>
        </w:rPr>
      </w:pPr>
    </w:p>
    <w:p w14:paraId="49224128">
      <w:pPr>
        <w:pStyle w:val="219"/>
        <w:jc w:val="center"/>
        <w:rPr>
          <w:rFonts w:hAnsi="宋体"/>
          <w:b/>
          <w:bCs/>
          <w:sz w:val="36"/>
          <w:szCs w:val="36"/>
        </w:rPr>
      </w:pPr>
    </w:p>
    <w:p w14:paraId="20306BC3">
      <w:pPr>
        <w:pStyle w:val="219"/>
        <w:jc w:val="center"/>
        <w:rPr>
          <w:rFonts w:hint="eastAsia" w:hAnsi="宋体"/>
          <w:b/>
          <w:bCs/>
          <w:sz w:val="36"/>
          <w:szCs w:val="36"/>
        </w:rPr>
      </w:pPr>
    </w:p>
    <w:p w14:paraId="42B0404C">
      <w:pPr>
        <w:pStyle w:val="219"/>
        <w:ind w:firstLine="2465"/>
        <w:rPr>
          <w:rFonts w:hAnsi="宋体"/>
          <w:b/>
          <w:sz w:val="36"/>
          <w:szCs w:val="24"/>
        </w:rPr>
      </w:pPr>
      <w:r>
        <w:rPr>
          <w:rFonts w:hint="eastAsia" w:hAnsi="宋体"/>
          <w:b/>
          <w:sz w:val="36"/>
          <w:szCs w:val="24"/>
        </w:rPr>
        <w:t>二0二</w:t>
      </w:r>
      <w:r>
        <w:rPr>
          <w:rFonts w:hint="eastAsia" w:hAnsi="宋体"/>
          <w:b/>
          <w:sz w:val="36"/>
          <w:szCs w:val="24"/>
          <w:lang w:val="en-US" w:eastAsia="zh-CN"/>
        </w:rPr>
        <w:t>六</w:t>
      </w:r>
      <w:r>
        <w:rPr>
          <w:rFonts w:hint="eastAsia" w:hAnsi="宋体"/>
          <w:b/>
          <w:sz w:val="36"/>
          <w:szCs w:val="24"/>
        </w:rPr>
        <w:t>年    月    日</w:t>
      </w:r>
    </w:p>
    <w:p w14:paraId="4C2B8870">
      <w:pPr>
        <w:rPr>
          <w:rFonts w:ascii="宋体" w:hAnsi="宋体"/>
          <w:sz w:val="28"/>
          <w:szCs w:val="28"/>
        </w:rPr>
      </w:pPr>
    </w:p>
    <w:p w14:paraId="6E6180B4">
      <w:pPr>
        <w:rPr>
          <w:rFonts w:ascii="宋体" w:hAnsi="宋体"/>
          <w:sz w:val="28"/>
          <w:szCs w:val="28"/>
        </w:rPr>
      </w:pPr>
    </w:p>
    <w:p w14:paraId="79864F2D">
      <w:pPr>
        <w:rPr>
          <w:rFonts w:hint="eastAsia" w:ascii="宋体" w:hAnsi="宋体"/>
          <w:sz w:val="28"/>
          <w:szCs w:val="28"/>
        </w:rPr>
      </w:pPr>
    </w:p>
    <w:p w14:paraId="613BF81F">
      <w:pPr>
        <w:rPr>
          <w:rFonts w:hint="eastAsia" w:ascii="宋体" w:hAnsi="宋体"/>
          <w:sz w:val="28"/>
          <w:szCs w:val="28"/>
        </w:rPr>
      </w:pPr>
    </w:p>
    <w:p w14:paraId="10C8B380">
      <w:pPr>
        <w:rPr>
          <w:rFonts w:hint="eastAsia" w:ascii="宋体" w:hAnsi="宋体"/>
          <w:sz w:val="28"/>
          <w:szCs w:val="28"/>
        </w:rPr>
      </w:pPr>
    </w:p>
    <w:p w14:paraId="5498137E">
      <w:pPr>
        <w:rPr>
          <w:rFonts w:hint="eastAsia" w:ascii="宋体" w:hAnsi="宋体"/>
          <w:sz w:val="28"/>
          <w:szCs w:val="28"/>
        </w:rPr>
      </w:pPr>
    </w:p>
    <w:p w14:paraId="4DA433E6">
      <w:pPr>
        <w:rPr>
          <w:rFonts w:hint="eastAsia" w:ascii="宋体" w:hAnsi="宋体"/>
          <w:sz w:val="28"/>
          <w:szCs w:val="28"/>
        </w:rPr>
      </w:pPr>
    </w:p>
    <w:p w14:paraId="60627BC6">
      <w:pPr>
        <w:rPr>
          <w:rFonts w:hint="eastAsia" w:ascii="宋体" w:hAnsi="宋体"/>
          <w:sz w:val="28"/>
          <w:szCs w:val="28"/>
        </w:rPr>
      </w:pPr>
    </w:p>
    <w:p w14:paraId="7C38224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sz w:val="24"/>
          <w:szCs w:val="24"/>
          <w:lang w:eastAsia="zh-CN"/>
        </w:rPr>
      </w:pPr>
      <w:r>
        <w:rPr>
          <w:rFonts w:hint="eastAsia" w:ascii="宋体" w:hAnsi="宋体"/>
          <w:sz w:val="24"/>
          <w:szCs w:val="24"/>
        </w:rPr>
        <w:t>尊敬的</w:t>
      </w:r>
      <w:r>
        <w:rPr>
          <w:rFonts w:hint="eastAsia" w:ascii="宋体" w:hAnsi="宋体"/>
          <w:sz w:val="24"/>
          <w:szCs w:val="24"/>
          <w:lang w:val="en-US" w:eastAsia="zh-CN"/>
        </w:rPr>
        <w:t>谈判</w:t>
      </w:r>
      <w:r>
        <w:rPr>
          <w:rFonts w:hint="eastAsia" w:ascii="宋体" w:hAnsi="宋体"/>
          <w:sz w:val="24"/>
          <w:szCs w:val="24"/>
        </w:rPr>
        <w:t>供应商</w:t>
      </w:r>
      <w:r>
        <w:rPr>
          <w:rFonts w:hint="eastAsia" w:ascii="宋体" w:hAnsi="宋体"/>
          <w:sz w:val="24"/>
          <w:szCs w:val="24"/>
          <w:lang w:eastAsia="zh-CN"/>
        </w:rPr>
        <w:t>：</w:t>
      </w:r>
    </w:p>
    <w:p w14:paraId="0FA8A3D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sz w:val="24"/>
          <w:szCs w:val="24"/>
        </w:rPr>
      </w:pPr>
      <w:r>
        <w:rPr>
          <w:rFonts w:hint="eastAsia" w:ascii="宋体" w:hAnsi="宋体"/>
          <w:sz w:val="24"/>
          <w:szCs w:val="24"/>
        </w:rPr>
        <w:t>请按照以下文件的要求格式、内容制作响应文件，并请编制目录及页码，否则可能将影响对响应文件的评价。</w:t>
      </w:r>
    </w:p>
    <w:p w14:paraId="5443CA2C">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bCs/>
          <w:sz w:val="24"/>
          <w:szCs w:val="24"/>
        </w:rPr>
      </w:pPr>
      <w:r>
        <w:rPr>
          <w:rFonts w:hint="eastAsia" w:ascii="宋体" w:hAnsi="宋体"/>
          <w:b/>
          <w:sz w:val="24"/>
          <w:szCs w:val="24"/>
          <w:lang w:eastAsia="zh-CN"/>
        </w:rPr>
        <w:t>谈判</w:t>
      </w:r>
      <w:r>
        <w:rPr>
          <w:rFonts w:hint="eastAsia" w:ascii="宋体" w:hAnsi="宋体"/>
          <w:b/>
          <w:sz w:val="24"/>
          <w:szCs w:val="24"/>
        </w:rPr>
        <w:t>响应文件格式中所有要求签字和盖章的部分，电子响应文件中只需加盖电子签章</w:t>
      </w:r>
      <w:r>
        <w:rPr>
          <w:rFonts w:hint="eastAsia" w:ascii="宋体" w:hAnsi="宋体"/>
          <w:b/>
          <w:bCs/>
          <w:sz w:val="24"/>
          <w:szCs w:val="24"/>
          <w:lang w:eastAsia="zh-CN"/>
        </w:rPr>
        <w:t>或电子签字</w:t>
      </w:r>
      <w:r>
        <w:rPr>
          <w:rFonts w:hint="eastAsia" w:ascii="宋体" w:hAnsi="宋体"/>
          <w:b/>
          <w:sz w:val="24"/>
          <w:szCs w:val="24"/>
        </w:rPr>
        <w:t>。</w:t>
      </w:r>
    </w:p>
    <w:p w14:paraId="7F994288">
      <w:pPr>
        <w:pStyle w:val="193"/>
        <w:ind w:firstLine="0"/>
        <w:rPr>
          <w:lang w:val="en-US" w:eastAsia="zh-CN"/>
        </w:rPr>
      </w:pPr>
    </w:p>
    <w:p w14:paraId="0F2EBC78">
      <w:pPr>
        <w:pStyle w:val="193"/>
        <w:ind w:firstLine="0"/>
        <w:rPr>
          <w:lang w:val="en-US" w:eastAsia="zh-CN"/>
        </w:rPr>
      </w:pPr>
    </w:p>
    <w:p w14:paraId="08759B15">
      <w:pPr>
        <w:pStyle w:val="193"/>
        <w:ind w:firstLine="0"/>
        <w:rPr>
          <w:lang w:val="en-US" w:eastAsia="zh-CN"/>
        </w:rPr>
      </w:pPr>
    </w:p>
    <w:p w14:paraId="362512D0">
      <w:pPr>
        <w:pStyle w:val="193"/>
        <w:ind w:firstLine="0"/>
        <w:rPr>
          <w:lang w:val="en-US" w:eastAsia="zh-CN"/>
        </w:rPr>
      </w:pPr>
    </w:p>
    <w:p w14:paraId="22FD0FBA">
      <w:pPr>
        <w:pStyle w:val="193"/>
        <w:ind w:firstLine="0"/>
        <w:rPr>
          <w:lang w:val="en-US" w:eastAsia="zh-CN"/>
        </w:rPr>
      </w:pPr>
    </w:p>
    <w:p w14:paraId="6CD20F10">
      <w:pPr>
        <w:pStyle w:val="193"/>
        <w:ind w:firstLine="0"/>
        <w:rPr>
          <w:lang w:val="en-US" w:eastAsia="zh-CN"/>
        </w:rPr>
      </w:pPr>
    </w:p>
    <w:p w14:paraId="301B11C2">
      <w:pPr>
        <w:pStyle w:val="193"/>
        <w:ind w:firstLine="0"/>
        <w:rPr>
          <w:lang w:val="en-US" w:eastAsia="zh-CN"/>
        </w:rPr>
      </w:pPr>
    </w:p>
    <w:p w14:paraId="66840F8C">
      <w:pPr>
        <w:pStyle w:val="193"/>
        <w:ind w:firstLine="0"/>
        <w:rPr>
          <w:lang w:val="en-US" w:eastAsia="zh-CN"/>
        </w:rPr>
      </w:pPr>
    </w:p>
    <w:p w14:paraId="3C9D0AB6">
      <w:pPr>
        <w:pStyle w:val="193"/>
        <w:ind w:firstLine="0"/>
        <w:rPr>
          <w:lang w:val="en-US" w:eastAsia="zh-CN"/>
        </w:rPr>
      </w:pPr>
    </w:p>
    <w:p w14:paraId="5BFAC96E">
      <w:pPr>
        <w:pStyle w:val="193"/>
        <w:ind w:firstLine="0"/>
        <w:rPr>
          <w:lang w:val="en-US" w:eastAsia="zh-CN"/>
        </w:rPr>
      </w:pPr>
    </w:p>
    <w:p w14:paraId="39FFE8B4">
      <w:pPr>
        <w:pStyle w:val="193"/>
        <w:ind w:firstLine="0"/>
        <w:rPr>
          <w:lang w:val="en-US" w:eastAsia="zh-CN"/>
        </w:rPr>
      </w:pPr>
    </w:p>
    <w:p w14:paraId="6A4754FA">
      <w:pPr>
        <w:pStyle w:val="193"/>
        <w:ind w:firstLine="0"/>
        <w:rPr>
          <w:lang w:val="en-US" w:eastAsia="zh-CN"/>
        </w:rPr>
      </w:pPr>
    </w:p>
    <w:p w14:paraId="16EAE6F7">
      <w:pPr>
        <w:pStyle w:val="193"/>
        <w:ind w:firstLine="0"/>
        <w:rPr>
          <w:lang w:val="en-US" w:eastAsia="zh-CN"/>
        </w:rPr>
      </w:pPr>
    </w:p>
    <w:p w14:paraId="67B1F7F0">
      <w:pPr>
        <w:pStyle w:val="193"/>
        <w:ind w:firstLine="0"/>
        <w:rPr>
          <w:lang w:val="en-US" w:eastAsia="zh-CN"/>
        </w:rPr>
      </w:pPr>
    </w:p>
    <w:p w14:paraId="059FC3F8">
      <w:pPr>
        <w:pStyle w:val="193"/>
        <w:ind w:firstLine="0"/>
        <w:rPr>
          <w:lang w:val="en-US" w:eastAsia="zh-CN"/>
        </w:rPr>
      </w:pPr>
    </w:p>
    <w:p w14:paraId="1E958BDB">
      <w:pPr>
        <w:pStyle w:val="193"/>
        <w:ind w:firstLine="0"/>
        <w:rPr>
          <w:lang w:val="en-US" w:eastAsia="zh-CN"/>
        </w:rPr>
      </w:pPr>
    </w:p>
    <w:p w14:paraId="1D80386B">
      <w:pPr>
        <w:pStyle w:val="193"/>
        <w:ind w:firstLine="0"/>
        <w:rPr>
          <w:lang w:val="en-US" w:eastAsia="zh-CN"/>
        </w:rPr>
      </w:pPr>
    </w:p>
    <w:p w14:paraId="48A41388">
      <w:pPr>
        <w:pStyle w:val="193"/>
        <w:ind w:firstLine="0"/>
        <w:rPr>
          <w:lang w:val="en-US" w:eastAsia="zh-CN"/>
        </w:rPr>
      </w:pPr>
    </w:p>
    <w:p w14:paraId="4981700A">
      <w:pPr>
        <w:pStyle w:val="193"/>
        <w:ind w:firstLine="0"/>
        <w:rPr>
          <w:lang w:val="en-US" w:eastAsia="zh-CN"/>
        </w:rPr>
      </w:pPr>
    </w:p>
    <w:p w14:paraId="4564E087">
      <w:pPr>
        <w:pStyle w:val="193"/>
        <w:ind w:firstLine="0"/>
        <w:rPr>
          <w:lang w:val="en-US" w:eastAsia="zh-CN"/>
        </w:rPr>
      </w:pPr>
    </w:p>
    <w:p w14:paraId="2A4537C8">
      <w:pPr>
        <w:pStyle w:val="193"/>
        <w:ind w:firstLine="0"/>
        <w:rPr>
          <w:lang w:val="en-US" w:eastAsia="zh-CN"/>
        </w:rPr>
      </w:pPr>
    </w:p>
    <w:p w14:paraId="28E63121">
      <w:pPr>
        <w:pStyle w:val="193"/>
        <w:ind w:firstLine="0"/>
        <w:rPr>
          <w:lang w:val="en-US" w:eastAsia="zh-CN"/>
        </w:rPr>
      </w:pPr>
    </w:p>
    <w:p w14:paraId="52EAB862">
      <w:pPr>
        <w:pStyle w:val="193"/>
        <w:ind w:firstLine="0"/>
        <w:rPr>
          <w:lang w:val="en-US" w:eastAsia="zh-CN"/>
        </w:rPr>
      </w:pPr>
    </w:p>
    <w:p w14:paraId="53BD73F3">
      <w:pPr>
        <w:pStyle w:val="193"/>
        <w:ind w:firstLine="0"/>
        <w:rPr>
          <w:lang w:val="en-US" w:eastAsia="zh-CN"/>
        </w:rPr>
      </w:pPr>
    </w:p>
    <w:p w14:paraId="5E78A5D9">
      <w:pPr>
        <w:pStyle w:val="193"/>
        <w:ind w:firstLine="0"/>
        <w:rPr>
          <w:lang w:val="en-US" w:eastAsia="zh-CN"/>
        </w:rPr>
      </w:pPr>
    </w:p>
    <w:p w14:paraId="6C759721">
      <w:pPr>
        <w:pStyle w:val="193"/>
        <w:ind w:firstLine="0"/>
        <w:rPr>
          <w:lang w:val="en-US" w:eastAsia="zh-CN"/>
        </w:rPr>
      </w:pPr>
    </w:p>
    <w:p w14:paraId="18F767AF">
      <w:pPr>
        <w:pStyle w:val="193"/>
        <w:ind w:firstLine="0"/>
        <w:rPr>
          <w:lang w:val="en-US" w:eastAsia="zh-CN"/>
        </w:rPr>
      </w:pPr>
    </w:p>
    <w:p w14:paraId="1D437E46">
      <w:pPr>
        <w:pStyle w:val="193"/>
        <w:ind w:firstLine="0"/>
        <w:rPr>
          <w:lang w:val="en-US" w:eastAsia="zh-CN"/>
        </w:rPr>
      </w:pPr>
    </w:p>
    <w:p w14:paraId="6C077AC9">
      <w:pPr>
        <w:pStyle w:val="193"/>
        <w:ind w:firstLine="0"/>
        <w:rPr>
          <w:lang w:val="en-US" w:eastAsia="zh-CN"/>
        </w:rPr>
      </w:pPr>
    </w:p>
    <w:p w14:paraId="6F06B9C0">
      <w:pPr>
        <w:pStyle w:val="193"/>
        <w:ind w:firstLine="0"/>
        <w:rPr>
          <w:lang w:val="en-US" w:eastAsia="zh-CN"/>
        </w:rPr>
      </w:pPr>
    </w:p>
    <w:p w14:paraId="63E33282">
      <w:pPr>
        <w:pStyle w:val="193"/>
        <w:ind w:firstLine="0"/>
        <w:rPr>
          <w:lang w:val="en-US" w:eastAsia="zh-CN"/>
        </w:rPr>
      </w:pPr>
    </w:p>
    <w:p w14:paraId="53ED660E">
      <w:pPr>
        <w:pStyle w:val="193"/>
        <w:ind w:firstLine="0"/>
        <w:rPr>
          <w:lang w:val="en-US" w:eastAsia="zh-CN"/>
        </w:rPr>
      </w:pPr>
    </w:p>
    <w:p w14:paraId="3506F686">
      <w:pPr>
        <w:pStyle w:val="193"/>
        <w:ind w:firstLine="0"/>
        <w:rPr>
          <w:lang w:val="en-US" w:eastAsia="zh-CN"/>
        </w:rPr>
      </w:pPr>
    </w:p>
    <w:p w14:paraId="0C31692F">
      <w:pPr>
        <w:pStyle w:val="193"/>
        <w:ind w:firstLine="0"/>
        <w:rPr>
          <w:lang w:val="en-US" w:eastAsia="zh-CN"/>
        </w:rPr>
      </w:pPr>
    </w:p>
    <w:p w14:paraId="5041F06F">
      <w:pPr>
        <w:pStyle w:val="193"/>
        <w:ind w:firstLine="0"/>
        <w:rPr>
          <w:lang w:val="en-US" w:eastAsia="zh-CN"/>
        </w:rPr>
      </w:pPr>
    </w:p>
    <w:p w14:paraId="0A63056D">
      <w:pPr>
        <w:pStyle w:val="193"/>
        <w:ind w:firstLine="0"/>
        <w:rPr>
          <w:lang w:val="en-US" w:eastAsia="zh-CN"/>
        </w:rPr>
      </w:pPr>
    </w:p>
    <w:p w14:paraId="0B66D703">
      <w:pPr>
        <w:pStyle w:val="193"/>
        <w:ind w:firstLine="0"/>
        <w:rPr>
          <w:lang w:val="en-US" w:eastAsia="zh-CN"/>
        </w:rPr>
      </w:pPr>
    </w:p>
    <w:p w14:paraId="20DBAF9B">
      <w:pPr>
        <w:pStyle w:val="193"/>
        <w:ind w:firstLine="0"/>
        <w:rPr>
          <w:lang w:val="en-US" w:eastAsia="zh-CN"/>
        </w:rPr>
      </w:pPr>
    </w:p>
    <w:p w14:paraId="72606C6E">
      <w:pPr>
        <w:pStyle w:val="193"/>
        <w:ind w:firstLine="0"/>
        <w:rPr>
          <w:lang w:val="en-US" w:eastAsia="zh-CN"/>
        </w:rPr>
      </w:pPr>
    </w:p>
    <w:p w14:paraId="4CC7B4BE">
      <w:pPr>
        <w:pStyle w:val="193"/>
        <w:ind w:firstLine="0"/>
        <w:rPr>
          <w:lang w:val="en-US" w:eastAsia="zh-CN"/>
        </w:rPr>
      </w:pPr>
    </w:p>
    <w:p w14:paraId="07881BBF">
      <w:pPr>
        <w:pStyle w:val="193"/>
        <w:ind w:firstLine="0"/>
        <w:rPr>
          <w:lang w:val="en-US" w:eastAsia="zh-CN"/>
        </w:rPr>
      </w:pPr>
    </w:p>
    <w:p w14:paraId="32E480E8">
      <w:pPr>
        <w:rPr>
          <w:lang w:val="en-US" w:eastAsia="zh-CN"/>
        </w:rPr>
      </w:pPr>
    </w:p>
    <w:p w14:paraId="7EC91E11">
      <w:pPr>
        <w:rPr>
          <w:lang w:val="en-US" w:eastAsia="zh-CN"/>
        </w:rPr>
      </w:pPr>
    </w:p>
    <w:p w14:paraId="1782141E">
      <w:pPr>
        <w:rPr>
          <w:lang w:val="en-US" w:eastAsia="zh-CN"/>
        </w:rPr>
      </w:pPr>
    </w:p>
    <w:p w14:paraId="7FED882E">
      <w:pPr>
        <w:pStyle w:val="193"/>
        <w:ind w:firstLine="0"/>
        <w:rPr>
          <w:lang w:val="en-US" w:eastAsia="zh-CN"/>
        </w:rPr>
      </w:pPr>
    </w:p>
    <w:p w14:paraId="67B16C56">
      <w:pPr>
        <w:pStyle w:val="193"/>
        <w:ind w:firstLine="0"/>
        <w:rPr>
          <w:lang w:val="en-US" w:eastAsia="zh-CN"/>
        </w:rPr>
      </w:pPr>
    </w:p>
    <w:p w14:paraId="793F3298">
      <w:pPr>
        <w:rPr>
          <w:lang w:val="en-US" w:eastAsia="zh-CN"/>
        </w:rPr>
      </w:pPr>
    </w:p>
    <w:p w14:paraId="42628754">
      <w:pPr>
        <w:pStyle w:val="193"/>
        <w:ind w:firstLine="0"/>
        <w:rPr>
          <w:lang w:val="en-US" w:eastAsia="zh-CN"/>
        </w:rPr>
      </w:pPr>
    </w:p>
    <w:p w14:paraId="5D978793">
      <w:pPr>
        <w:pStyle w:val="193"/>
        <w:rPr>
          <w:rFonts w:hint="eastAsia"/>
          <w:lang w:val="en-US" w:eastAsia="zh-CN"/>
        </w:rPr>
      </w:pPr>
    </w:p>
    <w:p w14:paraId="704F5C39">
      <w:pPr>
        <w:pStyle w:val="192"/>
        <w:spacing w:before="0" w:after="0" w:line="300" w:lineRule="auto"/>
        <w:jc w:val="center"/>
        <w:rPr>
          <w:rFonts w:hint="eastAsia" w:ascii="宋体" w:hAnsi="宋体" w:eastAsia="宋体"/>
          <w:bCs/>
          <w:sz w:val="28"/>
          <w:szCs w:val="28"/>
        </w:rPr>
      </w:pPr>
      <w:bookmarkStart w:id="59" w:name="_Toc148347155"/>
      <w:r>
        <w:rPr>
          <w:rFonts w:hint="eastAsia" w:ascii="宋体" w:hAnsi="宋体" w:eastAsia="宋体"/>
          <w:bCs/>
          <w:sz w:val="28"/>
          <w:szCs w:val="28"/>
        </w:rPr>
        <w:t>一、谈判函</w:t>
      </w:r>
      <w:bookmarkEnd w:id="59"/>
    </w:p>
    <w:p w14:paraId="7CE13915">
      <w:pPr>
        <w:spacing w:line="640" w:lineRule="exact"/>
        <w:rPr>
          <w:rFonts w:hint="eastAsia" w:ascii="宋体" w:hAnsi="宋体"/>
          <w:sz w:val="24"/>
        </w:rPr>
      </w:pPr>
      <w:bookmarkStart w:id="60" w:name="_Toc455472185"/>
      <w:r>
        <w:rPr>
          <w:rFonts w:hint="eastAsia" w:ascii="宋体" w:hAnsi="宋体"/>
          <w:sz w:val="24"/>
        </w:rPr>
        <w:t>致</w:t>
      </w:r>
      <w:r>
        <w:rPr>
          <w:rFonts w:hint="eastAsia" w:ascii="宋体" w:hAnsi="宋体"/>
          <w:sz w:val="24"/>
          <w:u w:val="single"/>
        </w:rPr>
        <w:t xml:space="preserve">                  （</w:t>
      </w:r>
      <w:r>
        <w:rPr>
          <w:rFonts w:hint="eastAsia" w:ascii="宋体" w:hAnsi="宋体"/>
          <w:sz w:val="24"/>
        </w:rPr>
        <w:t>政府采购人）：</w:t>
      </w:r>
    </w:p>
    <w:p w14:paraId="62420DBE">
      <w:pPr>
        <w:pStyle w:val="346"/>
        <w:spacing w:before="0" w:after="0" w:line="640" w:lineRule="exact"/>
        <w:rPr>
          <w:rFonts w:ascii="宋体" w:hAnsi="宋体"/>
        </w:rPr>
      </w:pPr>
      <w:r>
        <w:rPr>
          <w:rFonts w:hint="eastAsia" w:ascii="宋体" w:hAnsi="宋体"/>
        </w:rPr>
        <w:t>关于</w:t>
      </w:r>
      <w:r>
        <w:rPr>
          <w:rFonts w:hint="eastAsia" w:ascii="宋体" w:hAnsi="宋体"/>
          <w:u w:val="single"/>
        </w:rPr>
        <w:t xml:space="preserve">          </w:t>
      </w:r>
      <w:r>
        <w:rPr>
          <w:rFonts w:hint="eastAsia" w:ascii="宋体" w:hAnsi="宋体"/>
        </w:rPr>
        <w:t>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（姓名和职务）代表</w:t>
      </w:r>
      <w:r>
        <w:rPr>
          <w:rFonts w:hint="eastAsia" w:ascii="宋体" w:hAnsi="宋体"/>
          <w:u w:val="single"/>
        </w:rPr>
        <w:t xml:space="preserve">           </w:t>
      </w:r>
      <w:r>
        <w:rPr>
          <w:rFonts w:hint="eastAsia" w:ascii="宋体" w:hAnsi="宋体"/>
        </w:rPr>
        <w:t>（供应商单位名称），全权处理本次项目谈判的有关事宜。</w:t>
      </w:r>
    </w:p>
    <w:p w14:paraId="6195B5E2">
      <w:pPr>
        <w:spacing w:line="640" w:lineRule="exact"/>
        <w:ind w:firstLine="480"/>
        <w:jc w:val="lef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p>
    <w:p w14:paraId="5A645D73">
      <w:pPr>
        <w:spacing w:line="640" w:lineRule="exact"/>
        <w:ind w:firstLine="480"/>
        <w:rPr>
          <w:rFonts w:hint="eastAsia" w:ascii="宋体" w:hAnsi="宋体"/>
          <w:sz w:val="24"/>
        </w:rPr>
      </w:pPr>
      <w:r>
        <w:rPr>
          <w:rFonts w:hint="eastAsia" w:ascii="宋体" w:hAnsi="宋体"/>
          <w:sz w:val="24"/>
        </w:rPr>
        <w:t>2、我公司负责人为同一人或者存在直接控股、管理关系的不同供应商，没有同时参加同一合同项下的政府采购活动； 我公司没有为本项目提供整体设计、规范编制或者项目管理、监理、检测等服务。</w:t>
      </w:r>
    </w:p>
    <w:p w14:paraId="2F71C26B">
      <w:pPr>
        <w:spacing w:line="640" w:lineRule="exact"/>
        <w:ind w:firstLine="480"/>
        <w:rPr>
          <w:rFonts w:hint="eastAsia" w:ascii="宋体" w:hAnsi="宋体"/>
          <w:sz w:val="24"/>
        </w:rPr>
      </w:pPr>
      <w:r>
        <w:rPr>
          <w:rFonts w:hint="eastAsia" w:ascii="宋体" w:hAnsi="宋体"/>
          <w:sz w:val="24"/>
        </w:rPr>
        <w:t>3、参加本次采购活动前，我方没有被“信用中国”网站、“中国政府采购网”列入失信被执行人名单、重大税收违法案件当事人名单、政府采购严重违法失信行为记录名单。</w:t>
      </w:r>
    </w:p>
    <w:p w14:paraId="237D079C">
      <w:pPr>
        <w:spacing w:line="640" w:lineRule="exact"/>
        <w:ind w:firstLine="480"/>
        <w:rPr>
          <w:rFonts w:ascii="宋体" w:hAnsi="宋体"/>
          <w:sz w:val="24"/>
        </w:rPr>
      </w:pPr>
      <w:r>
        <w:rPr>
          <w:rFonts w:hint="eastAsia" w:ascii="宋体" w:hAnsi="宋体"/>
          <w:sz w:val="24"/>
        </w:rPr>
        <w:t>4、我公司郑重承诺</w:t>
      </w:r>
      <w:r>
        <w:rPr>
          <w:rFonts w:hint="eastAsia" w:ascii="宋体" w:hAnsi="宋体"/>
          <w:sz w:val="24"/>
          <w:lang w:eastAsia="zh-CN"/>
        </w:rPr>
        <w:t>：</w:t>
      </w:r>
      <w:r>
        <w:rPr>
          <w:rFonts w:hint="eastAsia" w:ascii="宋体" w:hAnsi="宋体"/>
          <w:sz w:val="24"/>
        </w:rPr>
        <w:t>我公司具备履行合同所必需的设备和专业技术能力。</w:t>
      </w:r>
    </w:p>
    <w:p w14:paraId="34F55273">
      <w:pPr>
        <w:spacing w:line="640" w:lineRule="exact"/>
        <w:ind w:firstLine="480"/>
        <w:rPr>
          <w:rFonts w:hint="eastAsia" w:ascii="宋体" w:hAnsi="宋体"/>
          <w:sz w:val="24"/>
        </w:rPr>
      </w:pPr>
      <w:r>
        <w:rPr>
          <w:rFonts w:hint="eastAsia" w:ascii="宋体" w:hAnsi="宋体"/>
          <w:sz w:val="24"/>
        </w:rPr>
        <w:t>5、我公司郑重承诺</w:t>
      </w:r>
      <w:r>
        <w:rPr>
          <w:rFonts w:hint="eastAsia" w:ascii="宋体" w:hAnsi="宋体"/>
          <w:sz w:val="24"/>
          <w:lang w:eastAsia="zh-CN"/>
        </w:rPr>
        <w:t>：</w:t>
      </w:r>
      <w:r>
        <w:rPr>
          <w:rFonts w:hint="eastAsia" w:ascii="宋体" w:hAnsi="宋体"/>
          <w:sz w:val="24"/>
        </w:rPr>
        <w:t>我公司具备《中华人民共和国政府采购法》第二十二条第一款规定的六项条件。</w:t>
      </w:r>
    </w:p>
    <w:p w14:paraId="37F3E962">
      <w:pPr>
        <w:pStyle w:val="346"/>
        <w:spacing w:before="0" w:after="0" w:line="640" w:lineRule="exact"/>
        <w:rPr>
          <w:rFonts w:hint="eastAsia" w:ascii="宋体" w:hAnsi="宋体"/>
        </w:rPr>
      </w:pPr>
      <w:r>
        <w:rPr>
          <w:rFonts w:hint="eastAsia" w:ascii="宋体" w:hAnsi="宋体"/>
        </w:rPr>
        <w:t>6、按照谈判文件中规</w:t>
      </w:r>
      <w:r>
        <w:rPr>
          <w:rFonts w:hint="eastAsia" w:ascii="宋体" w:hAnsi="宋体"/>
          <w:lang w:eastAsia="zh-CN"/>
        </w:rPr>
        <w:t>定的</w:t>
      </w:r>
      <w:r>
        <w:rPr>
          <w:rFonts w:hint="eastAsia" w:ascii="宋体" w:hAnsi="宋体"/>
        </w:rPr>
        <w:t>各项要求，我方愿以</w:t>
      </w:r>
      <w:r>
        <w:rPr>
          <w:rFonts w:hint="eastAsia" w:ascii="宋体" w:hAnsi="宋体" w:cs="Arial"/>
        </w:rPr>
        <w:t>（大写、人民币）</w:t>
      </w:r>
      <w:r>
        <w:rPr>
          <w:rFonts w:hint="eastAsia" w:ascii="宋体" w:hAnsi="宋体" w:cs="Arial"/>
          <w:u w:val="single"/>
        </w:rPr>
        <w:t xml:space="preserve">         </w:t>
      </w:r>
      <w:r>
        <w:rPr>
          <w:rFonts w:hint="eastAsia" w:ascii="宋体" w:hAnsi="宋体" w:cs="Arial"/>
        </w:rPr>
        <w:t>元（RMB</w:t>
      </w:r>
      <w:r>
        <w:rPr>
          <w:rFonts w:hint="eastAsia" w:ascii="宋体" w:hAnsi="宋体" w:cs="Arial"/>
          <w:u w:val="single"/>
        </w:rPr>
        <w:t xml:space="preserve">¥     </w:t>
      </w:r>
      <w:r>
        <w:rPr>
          <w:rFonts w:hint="eastAsia" w:ascii="宋体" w:hAnsi="宋体" w:cs="Arial"/>
          <w:u w:val="single"/>
          <w:lang w:val="en-US" w:eastAsia="zh-CN"/>
        </w:rPr>
        <w:t xml:space="preserve">   </w:t>
      </w:r>
      <w:r>
        <w:rPr>
          <w:rFonts w:hint="eastAsia" w:ascii="宋体" w:hAnsi="宋体" w:cs="Arial"/>
          <w:u w:val="single"/>
        </w:rPr>
        <w:t xml:space="preserve"> </w:t>
      </w:r>
      <w:r>
        <w:rPr>
          <w:rFonts w:hint="eastAsia" w:ascii="宋体" w:hAnsi="宋体" w:cs="Arial"/>
        </w:rPr>
        <w:t>元）的谈判报价并按谈判文件的规定要求提供</w:t>
      </w:r>
      <w:r>
        <w:rPr>
          <w:rFonts w:hint="eastAsia" w:ascii="宋体" w:hAnsi="宋体"/>
        </w:rPr>
        <w:t>货物和</w:t>
      </w:r>
      <w:r>
        <w:rPr>
          <w:rFonts w:hint="eastAsia" w:ascii="宋体" w:hAnsi="宋体" w:cs="Arial"/>
        </w:rPr>
        <w:t>服务。</w:t>
      </w:r>
    </w:p>
    <w:p w14:paraId="07888EB9">
      <w:pPr>
        <w:spacing w:line="640" w:lineRule="exact"/>
        <w:ind w:firstLine="480"/>
        <w:rPr>
          <w:rFonts w:hint="eastAsia" w:ascii="宋体" w:hAnsi="宋体"/>
          <w:sz w:val="24"/>
        </w:rPr>
      </w:pPr>
      <w:r>
        <w:rPr>
          <w:rFonts w:ascii="宋体" w:hAnsi="宋体"/>
          <w:sz w:val="24"/>
        </w:rPr>
        <w:t>7</w:t>
      </w:r>
      <w:r>
        <w:rPr>
          <w:rFonts w:hint="eastAsia" w:ascii="宋体" w:hAnsi="宋体"/>
          <w:sz w:val="24"/>
        </w:rPr>
        <w:t>、如果我们成交，我们将按谈判文件规定的时间提供货物和服务。</w:t>
      </w:r>
    </w:p>
    <w:p w14:paraId="0E58E55A">
      <w:pPr>
        <w:spacing w:line="640" w:lineRule="exact"/>
        <w:ind w:firstLine="480"/>
        <w:rPr>
          <w:rFonts w:hint="eastAsia" w:ascii="宋体" w:hAnsi="宋体"/>
          <w:sz w:val="24"/>
        </w:rPr>
      </w:pPr>
      <w:r>
        <w:rPr>
          <w:rFonts w:ascii="宋体" w:hAnsi="宋体"/>
          <w:sz w:val="24"/>
        </w:rPr>
        <w:t>8</w:t>
      </w:r>
      <w:r>
        <w:rPr>
          <w:rFonts w:hint="eastAsia" w:ascii="宋体" w:hAnsi="宋体"/>
          <w:sz w:val="24"/>
        </w:rPr>
        <w:t>、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p>
    <w:p w14:paraId="720AFB4D">
      <w:pPr>
        <w:spacing w:line="640" w:lineRule="exact"/>
        <w:ind w:firstLine="480"/>
        <w:rPr>
          <w:rFonts w:hint="eastAsia" w:ascii="宋体" w:hAnsi="宋体"/>
          <w:sz w:val="24"/>
        </w:rPr>
      </w:pPr>
      <w:r>
        <w:rPr>
          <w:rFonts w:ascii="宋体" w:hAnsi="宋体"/>
          <w:sz w:val="24"/>
        </w:rPr>
        <w:t>9</w:t>
      </w:r>
      <w:r>
        <w:rPr>
          <w:rFonts w:hint="eastAsia" w:ascii="宋体" w:hAnsi="宋体"/>
          <w:sz w:val="24"/>
        </w:rPr>
        <w:t>、我们同意向贵方提供贵方可能要求的与谈判有关的任何证据或资料，并保证所提供的都是真实的、准确的。</w:t>
      </w:r>
    </w:p>
    <w:p w14:paraId="7F34A901">
      <w:pPr>
        <w:spacing w:line="640" w:lineRule="exact"/>
        <w:ind w:firstLine="480"/>
        <w:rPr>
          <w:rFonts w:hint="eastAsia" w:ascii="宋体" w:hAnsi="宋体"/>
          <w:sz w:val="24"/>
        </w:rPr>
      </w:pPr>
      <w:r>
        <w:rPr>
          <w:rFonts w:ascii="宋体" w:hAnsi="宋体"/>
          <w:sz w:val="24"/>
        </w:rPr>
        <w:t>10</w:t>
      </w:r>
      <w:r>
        <w:rPr>
          <w:rFonts w:hint="eastAsia" w:ascii="宋体" w:hAnsi="宋体"/>
          <w:sz w:val="24"/>
        </w:rPr>
        <w:t>、一旦我方成交，我方将按照谈判文件的规定，严格履行合同的责任和义务，并保证按谈判文件中规定的时间内提供货物和服务。</w:t>
      </w:r>
    </w:p>
    <w:p w14:paraId="3B185CB5">
      <w:pPr>
        <w:pStyle w:val="346"/>
        <w:spacing w:before="0" w:after="0" w:line="640" w:lineRule="exact"/>
        <w:ind w:firstLine="2880"/>
        <w:rPr>
          <w:rFonts w:hint="eastAsia" w:ascii="宋体" w:hAnsi="宋体"/>
          <w:u w:val="single"/>
        </w:rPr>
      </w:pPr>
      <w:r>
        <w:rPr>
          <w:rFonts w:hint="eastAsia" w:ascii="宋体" w:hAnsi="宋体"/>
        </w:rPr>
        <w:t>供应商名称</w:t>
      </w:r>
      <w:r>
        <w:rPr>
          <w:rFonts w:hint="eastAsia" w:ascii="宋体" w:hAnsi="宋体"/>
          <w:lang w:eastAsia="zh-CN"/>
        </w:rPr>
        <w:t>：</w:t>
      </w:r>
      <w:r>
        <w:rPr>
          <w:rFonts w:hint="eastAsia" w:ascii="宋体" w:hAnsi="宋体"/>
          <w:u w:val="single"/>
        </w:rPr>
        <w:t xml:space="preserve">  （</w:t>
      </w:r>
      <w:r>
        <w:rPr>
          <w:rFonts w:hint="eastAsia" w:ascii="宋体" w:hAnsi="宋体"/>
          <w:u w:val="single"/>
          <w:lang w:eastAsia="zh-CN"/>
        </w:rPr>
        <w:t>电子签章</w:t>
      </w:r>
      <w:r>
        <w:rPr>
          <w:rFonts w:hint="eastAsia" w:ascii="宋体" w:hAnsi="宋体"/>
          <w:u w:val="single"/>
        </w:rPr>
        <w:t xml:space="preserve">）           </w:t>
      </w:r>
    </w:p>
    <w:p w14:paraId="1A4C21FA">
      <w:pPr>
        <w:pStyle w:val="346"/>
        <w:spacing w:before="0" w:after="0" w:line="640" w:lineRule="exact"/>
        <w:ind w:firstLine="2880"/>
        <w:rPr>
          <w:rFonts w:hint="eastAsia" w:ascii="宋体" w:hAnsi="宋体"/>
        </w:rPr>
      </w:pPr>
      <w:r>
        <w:rPr>
          <w:rFonts w:hint="eastAsia" w:ascii="宋体" w:hAnsi="宋体"/>
        </w:rPr>
        <w:t>地址</w:t>
      </w:r>
      <w:r>
        <w:rPr>
          <w:rFonts w:hint="eastAsia" w:ascii="宋体" w:hAnsi="宋体"/>
          <w:lang w:eastAsia="zh-CN"/>
        </w:rPr>
        <w:t>：</w:t>
      </w:r>
      <w:r>
        <w:rPr>
          <w:rFonts w:hint="eastAsia" w:ascii="宋体" w:hAnsi="宋体"/>
          <w:u w:val="single"/>
        </w:rPr>
        <w:t xml:space="preserve">             </w:t>
      </w:r>
      <w:r>
        <w:rPr>
          <w:rFonts w:hint="eastAsia" w:ascii="宋体" w:hAnsi="宋体"/>
        </w:rPr>
        <w:t>邮编</w:t>
      </w:r>
      <w:r>
        <w:rPr>
          <w:rFonts w:hint="eastAsia" w:ascii="宋体" w:hAnsi="宋体"/>
          <w:lang w:eastAsia="zh-CN"/>
        </w:rPr>
        <w:t>：</w:t>
      </w:r>
      <w:r>
        <w:rPr>
          <w:rFonts w:hint="eastAsia" w:ascii="宋体" w:hAnsi="宋体"/>
          <w:u w:val="single"/>
        </w:rPr>
        <w:t xml:space="preserve">             </w:t>
      </w:r>
    </w:p>
    <w:p w14:paraId="6C31B190">
      <w:pPr>
        <w:spacing w:line="640" w:lineRule="exact"/>
        <w:ind w:firstLine="2880"/>
        <w:rPr>
          <w:rFonts w:hint="eastAsia" w:ascii="宋体" w:hAnsi="宋体"/>
          <w:sz w:val="24"/>
          <w:u w:val="single"/>
        </w:rPr>
      </w:pPr>
      <w:r>
        <w:rPr>
          <w:rFonts w:hint="eastAsia" w:ascii="宋体" w:hAnsi="宋体"/>
          <w:sz w:val="24"/>
        </w:rPr>
        <w:t>电话</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传真</w:t>
      </w:r>
      <w:r>
        <w:rPr>
          <w:rFonts w:hint="eastAsia" w:ascii="宋体" w:hAnsi="宋体"/>
          <w:sz w:val="24"/>
          <w:lang w:eastAsia="zh-CN"/>
        </w:rPr>
        <w:t>：</w:t>
      </w:r>
      <w:r>
        <w:rPr>
          <w:rFonts w:hint="eastAsia" w:ascii="宋体" w:hAnsi="宋体"/>
          <w:sz w:val="24"/>
          <w:u w:val="single"/>
        </w:rPr>
        <w:t xml:space="preserve">             </w:t>
      </w:r>
    </w:p>
    <w:p w14:paraId="050D2B31">
      <w:pPr>
        <w:pStyle w:val="219"/>
        <w:spacing w:line="640" w:lineRule="exact"/>
        <w:ind w:firstLine="2880"/>
        <w:rPr>
          <w:rFonts w:hint="eastAsia" w:hAnsi="宋体"/>
          <w:sz w:val="24"/>
          <w:szCs w:val="24"/>
          <w:u w:val="single"/>
        </w:rPr>
      </w:pPr>
      <w:r>
        <w:rPr>
          <w:rFonts w:hint="eastAsia" w:hAnsi="宋体"/>
          <w:sz w:val="24"/>
          <w:szCs w:val="24"/>
        </w:rPr>
        <w:t>法定代表人</w:t>
      </w:r>
      <w:r>
        <w:rPr>
          <w:rFonts w:hint="eastAsia" w:hAnsi="宋体"/>
          <w:sz w:val="24"/>
          <w:szCs w:val="24"/>
          <w:lang w:eastAsia="zh-CN"/>
        </w:rPr>
        <w:t>：</w:t>
      </w:r>
      <w:r>
        <w:rPr>
          <w:rFonts w:hint="eastAsia" w:hAnsi="宋体"/>
          <w:sz w:val="24"/>
          <w:szCs w:val="24"/>
          <w:u w:val="single"/>
          <w:lang w:eastAsia="zh-CN"/>
        </w:rPr>
        <w:t>（</w:t>
      </w:r>
      <w:r>
        <w:rPr>
          <w:rFonts w:hint="eastAsia" w:hAnsi="宋体"/>
          <w:sz w:val="24"/>
          <w:szCs w:val="24"/>
          <w:u w:val="single"/>
          <w:lang w:val="en-US" w:eastAsia="zh-CN"/>
        </w:rPr>
        <w:t>电子</w:t>
      </w:r>
      <w:r>
        <w:rPr>
          <w:rFonts w:hint="eastAsia" w:hAnsi="宋体"/>
          <w:sz w:val="24"/>
          <w:szCs w:val="24"/>
          <w:u w:val="single"/>
          <w:lang w:eastAsia="zh-CN"/>
        </w:rPr>
        <w:t>签章或签字）</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14:paraId="6443B4D6">
      <w:pPr>
        <w:pStyle w:val="219"/>
        <w:spacing w:line="640" w:lineRule="exact"/>
        <w:ind w:firstLine="2880"/>
        <w:rPr>
          <w:rFonts w:hint="eastAsia" w:hAnsi="宋体"/>
          <w:sz w:val="24"/>
          <w:szCs w:val="24"/>
        </w:rPr>
      </w:pPr>
      <w:r>
        <w:rPr>
          <w:rFonts w:hint="eastAsia" w:hAnsi="宋体"/>
          <w:sz w:val="24"/>
          <w:szCs w:val="24"/>
        </w:rPr>
        <w:t>职务</w:t>
      </w:r>
      <w:r>
        <w:rPr>
          <w:rFonts w:hint="eastAsia" w:hAnsi="宋体"/>
          <w:sz w:val="24"/>
          <w:szCs w:val="24"/>
          <w:lang w:eastAsia="zh-CN"/>
        </w:rPr>
        <w:t>：</w:t>
      </w:r>
      <w:r>
        <w:rPr>
          <w:rFonts w:hint="eastAsia" w:hAnsi="宋体"/>
          <w:sz w:val="24"/>
          <w:szCs w:val="24"/>
          <w:u w:val="single"/>
        </w:rPr>
        <w:t xml:space="preserve">                               </w:t>
      </w:r>
    </w:p>
    <w:p w14:paraId="7ED21571">
      <w:pPr>
        <w:pStyle w:val="219"/>
        <w:spacing w:line="640" w:lineRule="exact"/>
        <w:ind w:firstLine="2880"/>
        <w:rPr>
          <w:rFonts w:hint="eastAsia" w:hAnsi="宋体"/>
          <w:sz w:val="24"/>
          <w:szCs w:val="24"/>
        </w:rPr>
      </w:pPr>
      <w:r>
        <w:rPr>
          <w:rFonts w:hint="eastAsia" w:hAnsi="宋体"/>
          <w:sz w:val="24"/>
          <w:szCs w:val="24"/>
        </w:rPr>
        <w:t>日期</w:t>
      </w:r>
      <w:r>
        <w:rPr>
          <w:rFonts w:hint="eastAsia" w:hAnsi="宋体"/>
          <w:sz w:val="24"/>
          <w:szCs w:val="24"/>
          <w:lang w:eastAsia="zh-CN"/>
        </w:rPr>
        <w:t>：</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3C02586E">
      <w:pPr>
        <w:pStyle w:val="219"/>
        <w:spacing w:line="640" w:lineRule="exact"/>
        <w:ind w:firstLine="2880"/>
        <w:rPr>
          <w:rFonts w:hint="eastAsia" w:hAnsi="宋体"/>
          <w:sz w:val="24"/>
          <w:szCs w:val="24"/>
        </w:rPr>
      </w:pPr>
    </w:p>
    <w:p w14:paraId="70364589">
      <w:pPr>
        <w:pStyle w:val="219"/>
        <w:spacing w:line="640" w:lineRule="exact"/>
        <w:ind w:firstLine="2880"/>
        <w:rPr>
          <w:rFonts w:hint="eastAsia" w:hAnsi="宋体"/>
          <w:sz w:val="24"/>
          <w:szCs w:val="24"/>
        </w:rPr>
      </w:pPr>
    </w:p>
    <w:p w14:paraId="13B43D7B">
      <w:pPr>
        <w:pStyle w:val="219"/>
        <w:spacing w:line="480" w:lineRule="exact"/>
        <w:ind w:right="561" w:firstLine="360"/>
        <w:jc w:val="center"/>
        <w:rPr>
          <w:rFonts w:hint="eastAsia" w:hAnsi="宋体"/>
          <w:sz w:val="24"/>
          <w:szCs w:val="24"/>
        </w:rPr>
      </w:pPr>
    </w:p>
    <w:p w14:paraId="2CD7FA0E">
      <w:pPr>
        <w:pStyle w:val="219"/>
        <w:spacing w:line="480" w:lineRule="exact"/>
        <w:ind w:right="561" w:firstLine="360"/>
        <w:jc w:val="center"/>
        <w:rPr>
          <w:rFonts w:hint="eastAsia" w:hAnsi="宋体"/>
          <w:sz w:val="24"/>
          <w:szCs w:val="24"/>
        </w:rPr>
      </w:pPr>
    </w:p>
    <w:p w14:paraId="4F279F20">
      <w:pPr>
        <w:pStyle w:val="219"/>
        <w:spacing w:line="480" w:lineRule="exact"/>
        <w:ind w:right="561" w:firstLine="360"/>
        <w:jc w:val="center"/>
        <w:rPr>
          <w:rFonts w:hint="eastAsia" w:hAnsi="宋体"/>
          <w:sz w:val="24"/>
          <w:szCs w:val="24"/>
        </w:rPr>
      </w:pPr>
    </w:p>
    <w:p w14:paraId="5621CE0E">
      <w:pPr>
        <w:pStyle w:val="219"/>
        <w:spacing w:line="480" w:lineRule="exact"/>
        <w:ind w:right="561" w:firstLine="360"/>
        <w:jc w:val="center"/>
        <w:rPr>
          <w:rFonts w:hint="eastAsia" w:hAnsi="宋体"/>
          <w:sz w:val="24"/>
          <w:szCs w:val="24"/>
        </w:rPr>
      </w:pPr>
    </w:p>
    <w:p w14:paraId="029A1F15">
      <w:pPr>
        <w:pStyle w:val="219"/>
        <w:spacing w:line="480" w:lineRule="exact"/>
        <w:ind w:right="561" w:firstLine="360"/>
        <w:jc w:val="center"/>
        <w:rPr>
          <w:rFonts w:hint="eastAsia" w:hAnsi="宋体"/>
          <w:sz w:val="24"/>
          <w:szCs w:val="24"/>
        </w:rPr>
      </w:pPr>
    </w:p>
    <w:p w14:paraId="0CE220F8">
      <w:pPr>
        <w:pStyle w:val="219"/>
        <w:spacing w:line="480" w:lineRule="exact"/>
        <w:ind w:right="561" w:firstLine="360"/>
        <w:jc w:val="center"/>
        <w:rPr>
          <w:rFonts w:hint="eastAsia" w:hAnsi="宋体"/>
          <w:sz w:val="24"/>
          <w:szCs w:val="24"/>
        </w:rPr>
      </w:pPr>
    </w:p>
    <w:p w14:paraId="00D3135B">
      <w:pPr>
        <w:pStyle w:val="219"/>
        <w:spacing w:line="480" w:lineRule="exact"/>
        <w:ind w:right="561" w:firstLine="360"/>
        <w:jc w:val="center"/>
        <w:rPr>
          <w:rFonts w:hint="eastAsia" w:hAnsi="宋体"/>
          <w:sz w:val="24"/>
          <w:szCs w:val="24"/>
        </w:rPr>
      </w:pPr>
    </w:p>
    <w:p w14:paraId="24D84A66">
      <w:pPr>
        <w:pStyle w:val="219"/>
        <w:spacing w:line="480" w:lineRule="exact"/>
        <w:ind w:right="561" w:firstLine="360"/>
        <w:jc w:val="center"/>
        <w:rPr>
          <w:rFonts w:hint="eastAsia" w:hAnsi="宋体"/>
          <w:sz w:val="24"/>
          <w:szCs w:val="24"/>
        </w:rPr>
      </w:pPr>
    </w:p>
    <w:p w14:paraId="06C852C7">
      <w:pPr>
        <w:pStyle w:val="219"/>
        <w:spacing w:line="480" w:lineRule="exact"/>
        <w:ind w:right="561"/>
        <w:jc w:val="both"/>
        <w:rPr>
          <w:rFonts w:hAnsi="宋体"/>
          <w:sz w:val="24"/>
          <w:szCs w:val="24"/>
        </w:rPr>
      </w:pPr>
    </w:p>
    <w:p w14:paraId="35F40699">
      <w:pPr>
        <w:pStyle w:val="219"/>
        <w:spacing w:line="480" w:lineRule="exact"/>
        <w:ind w:right="561"/>
        <w:jc w:val="both"/>
        <w:rPr>
          <w:rFonts w:hAnsi="宋体"/>
          <w:sz w:val="24"/>
          <w:szCs w:val="24"/>
        </w:rPr>
      </w:pPr>
    </w:p>
    <w:p w14:paraId="47E7366D">
      <w:pPr>
        <w:pStyle w:val="219"/>
        <w:spacing w:line="480" w:lineRule="exact"/>
        <w:ind w:right="561"/>
        <w:jc w:val="both"/>
        <w:rPr>
          <w:rFonts w:hAnsi="宋体"/>
          <w:sz w:val="24"/>
          <w:szCs w:val="24"/>
        </w:rPr>
      </w:pPr>
    </w:p>
    <w:p w14:paraId="5E17A525">
      <w:pPr>
        <w:pStyle w:val="219"/>
        <w:spacing w:line="480" w:lineRule="exact"/>
        <w:ind w:right="561"/>
        <w:jc w:val="both"/>
        <w:rPr>
          <w:rFonts w:hAnsi="宋体"/>
          <w:sz w:val="24"/>
          <w:szCs w:val="24"/>
        </w:rPr>
      </w:pPr>
    </w:p>
    <w:p w14:paraId="3C93A925">
      <w:pPr>
        <w:pStyle w:val="219"/>
        <w:spacing w:line="480" w:lineRule="exact"/>
        <w:ind w:right="561"/>
        <w:jc w:val="both"/>
        <w:rPr>
          <w:rFonts w:hAnsi="宋体"/>
          <w:sz w:val="24"/>
          <w:szCs w:val="24"/>
        </w:rPr>
      </w:pPr>
    </w:p>
    <w:p w14:paraId="13A178B8">
      <w:pPr>
        <w:pStyle w:val="192"/>
        <w:numPr>
          <w:ilvl w:val="0"/>
          <w:numId w:val="9"/>
        </w:numPr>
        <w:spacing w:before="0" w:after="0" w:line="300" w:lineRule="auto"/>
        <w:jc w:val="center"/>
        <w:rPr>
          <w:rFonts w:hint="eastAsia" w:ascii="宋体" w:hAnsi="宋体" w:eastAsia="宋体"/>
          <w:bCs/>
          <w:sz w:val="28"/>
          <w:szCs w:val="28"/>
        </w:rPr>
      </w:pPr>
      <w:bookmarkStart w:id="61" w:name="_Toc148347156"/>
      <w:r>
        <w:rPr>
          <w:rFonts w:hint="eastAsia" w:ascii="宋体" w:hAnsi="宋体" w:eastAsia="宋体"/>
          <w:bCs/>
          <w:sz w:val="28"/>
          <w:szCs w:val="28"/>
        </w:rPr>
        <w:t>报价一览表</w:t>
      </w:r>
      <w:bookmarkEnd w:id="60"/>
      <w:bookmarkEnd w:id="61"/>
    </w:p>
    <w:p w14:paraId="6218E149">
      <w:pPr>
        <w:pStyle w:val="193"/>
        <w:widowControl w:val="0"/>
        <w:numPr>
          <w:ilvl w:val="0"/>
          <w:numId w:val="0"/>
        </w:numPr>
        <w:jc w:val="both"/>
        <w:rPr>
          <w:rFonts w:hint="eastAsia"/>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2845"/>
        <w:gridCol w:w="1228"/>
        <w:gridCol w:w="1419"/>
        <w:gridCol w:w="1592"/>
        <w:gridCol w:w="1604"/>
      </w:tblGrid>
      <w:tr w14:paraId="27BE7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3F3D0525">
            <w:pPr>
              <w:spacing w:after="0" w:line="520" w:lineRule="exact"/>
              <w:jc w:val="center"/>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序号</w:t>
            </w:r>
          </w:p>
        </w:tc>
        <w:tc>
          <w:tcPr>
            <w:tcW w:w="2845" w:type="dxa"/>
            <w:noWrap w:val="0"/>
            <w:vAlign w:val="center"/>
          </w:tcPr>
          <w:p w14:paraId="577A7D4A">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采购项目</w:t>
            </w:r>
          </w:p>
        </w:tc>
        <w:tc>
          <w:tcPr>
            <w:tcW w:w="1228" w:type="dxa"/>
            <w:noWrap w:val="0"/>
            <w:vAlign w:val="center"/>
          </w:tcPr>
          <w:p w14:paraId="1236D8D4">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计量单位</w:t>
            </w:r>
          </w:p>
        </w:tc>
        <w:tc>
          <w:tcPr>
            <w:tcW w:w="1419" w:type="dxa"/>
            <w:noWrap w:val="0"/>
            <w:vAlign w:val="center"/>
          </w:tcPr>
          <w:p w14:paraId="04F8D12E">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采购数量</w:t>
            </w:r>
          </w:p>
        </w:tc>
        <w:tc>
          <w:tcPr>
            <w:tcW w:w="1592" w:type="dxa"/>
            <w:noWrap w:val="0"/>
            <w:vAlign w:val="center"/>
          </w:tcPr>
          <w:p w14:paraId="3F5113E3">
            <w:pPr>
              <w:spacing w:after="0" w:line="520" w:lineRule="exact"/>
              <w:jc w:val="center"/>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单价</w:t>
            </w:r>
          </w:p>
          <w:p w14:paraId="13D95C62">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（万元）</w:t>
            </w:r>
          </w:p>
        </w:tc>
        <w:tc>
          <w:tcPr>
            <w:tcW w:w="1604" w:type="dxa"/>
            <w:noWrap w:val="0"/>
            <w:vAlign w:val="center"/>
          </w:tcPr>
          <w:p w14:paraId="0DFF7083">
            <w:pPr>
              <w:spacing w:after="0" w:line="520" w:lineRule="exact"/>
              <w:jc w:val="center"/>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总价</w:t>
            </w:r>
          </w:p>
          <w:p w14:paraId="31F05F5D">
            <w:pPr>
              <w:spacing w:after="0" w:line="520" w:lineRule="exact"/>
              <w:jc w:val="center"/>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（万元）</w:t>
            </w:r>
          </w:p>
        </w:tc>
      </w:tr>
      <w:tr w14:paraId="6D01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1B50BDB7">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1</w:t>
            </w:r>
          </w:p>
        </w:tc>
        <w:tc>
          <w:tcPr>
            <w:tcW w:w="2845" w:type="dxa"/>
            <w:shd w:val="clear" w:color="auto" w:fill="auto"/>
            <w:noWrap w:val="0"/>
            <w:vAlign w:val="center"/>
          </w:tcPr>
          <w:p w14:paraId="6FAE57E6">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评价单元划定</w:t>
            </w:r>
          </w:p>
        </w:tc>
        <w:tc>
          <w:tcPr>
            <w:tcW w:w="1228" w:type="dxa"/>
            <w:shd w:val="clear" w:color="auto" w:fill="auto"/>
            <w:noWrap w:val="0"/>
            <w:vAlign w:val="center"/>
          </w:tcPr>
          <w:p w14:paraId="5D46C9B0">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项</w:t>
            </w:r>
          </w:p>
        </w:tc>
        <w:tc>
          <w:tcPr>
            <w:tcW w:w="1419" w:type="dxa"/>
            <w:shd w:val="clear" w:color="auto" w:fill="auto"/>
            <w:noWrap w:val="0"/>
            <w:vAlign w:val="center"/>
          </w:tcPr>
          <w:p w14:paraId="6A83043E">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1</w:t>
            </w:r>
          </w:p>
        </w:tc>
        <w:tc>
          <w:tcPr>
            <w:tcW w:w="1592" w:type="dxa"/>
            <w:noWrap w:val="0"/>
            <w:vAlign w:val="center"/>
          </w:tcPr>
          <w:p w14:paraId="0316F6F5">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7F6F6A56">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6100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75C0524E">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2</w:t>
            </w:r>
          </w:p>
        </w:tc>
        <w:tc>
          <w:tcPr>
            <w:tcW w:w="2845" w:type="dxa"/>
            <w:shd w:val="clear" w:color="auto" w:fill="auto"/>
            <w:noWrap w:val="0"/>
            <w:vAlign w:val="center"/>
          </w:tcPr>
          <w:p w14:paraId="56E685F5">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地块踏勘费用</w:t>
            </w:r>
          </w:p>
        </w:tc>
        <w:tc>
          <w:tcPr>
            <w:tcW w:w="1228" w:type="dxa"/>
            <w:shd w:val="clear" w:color="auto" w:fill="auto"/>
            <w:noWrap w:val="0"/>
            <w:vAlign w:val="center"/>
          </w:tcPr>
          <w:p w14:paraId="6D16B8FC">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块</w:t>
            </w:r>
          </w:p>
        </w:tc>
        <w:tc>
          <w:tcPr>
            <w:tcW w:w="1419" w:type="dxa"/>
            <w:shd w:val="clear" w:color="auto" w:fill="auto"/>
            <w:noWrap w:val="0"/>
            <w:vAlign w:val="center"/>
          </w:tcPr>
          <w:p w14:paraId="5BF0B678">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3999</w:t>
            </w:r>
          </w:p>
        </w:tc>
        <w:tc>
          <w:tcPr>
            <w:tcW w:w="1592" w:type="dxa"/>
            <w:noWrap w:val="0"/>
            <w:vAlign w:val="center"/>
          </w:tcPr>
          <w:p w14:paraId="63D6C6AD">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5B4038B5">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6CAB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41373E9D">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3</w:t>
            </w:r>
          </w:p>
        </w:tc>
        <w:tc>
          <w:tcPr>
            <w:tcW w:w="2845" w:type="dxa"/>
            <w:shd w:val="clear" w:color="auto" w:fill="auto"/>
            <w:noWrap w:val="0"/>
            <w:vAlign w:val="center"/>
          </w:tcPr>
          <w:p w14:paraId="1F1B2A3D">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面积踏勘费</w:t>
            </w:r>
          </w:p>
        </w:tc>
        <w:tc>
          <w:tcPr>
            <w:tcW w:w="1228" w:type="dxa"/>
            <w:shd w:val="clear" w:color="auto" w:fill="auto"/>
            <w:noWrap w:val="0"/>
            <w:vAlign w:val="center"/>
          </w:tcPr>
          <w:p w14:paraId="73BD2687">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亩次</w:t>
            </w:r>
          </w:p>
        </w:tc>
        <w:tc>
          <w:tcPr>
            <w:tcW w:w="1419" w:type="dxa"/>
            <w:shd w:val="clear" w:color="auto" w:fill="auto"/>
            <w:noWrap w:val="0"/>
            <w:vAlign w:val="center"/>
          </w:tcPr>
          <w:p w14:paraId="088FA346">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7000</w:t>
            </w:r>
          </w:p>
        </w:tc>
        <w:tc>
          <w:tcPr>
            <w:tcW w:w="1592" w:type="dxa"/>
            <w:noWrap w:val="0"/>
            <w:vAlign w:val="center"/>
          </w:tcPr>
          <w:p w14:paraId="1951550B">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4F9305E9">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0FAD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327E226E">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4</w:t>
            </w:r>
          </w:p>
        </w:tc>
        <w:tc>
          <w:tcPr>
            <w:tcW w:w="2845" w:type="dxa"/>
            <w:shd w:val="clear" w:color="auto" w:fill="auto"/>
            <w:noWrap w:val="0"/>
            <w:vAlign w:val="center"/>
          </w:tcPr>
          <w:p w14:paraId="5578ED90">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耕作层厚度和侵入体含量测量</w:t>
            </w:r>
          </w:p>
        </w:tc>
        <w:tc>
          <w:tcPr>
            <w:tcW w:w="1228" w:type="dxa"/>
            <w:shd w:val="clear" w:color="auto" w:fill="auto"/>
            <w:noWrap w:val="0"/>
            <w:vAlign w:val="center"/>
          </w:tcPr>
          <w:p w14:paraId="66A1D935">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个</w:t>
            </w:r>
          </w:p>
        </w:tc>
        <w:tc>
          <w:tcPr>
            <w:tcW w:w="1419" w:type="dxa"/>
            <w:shd w:val="clear" w:color="auto" w:fill="auto"/>
            <w:noWrap w:val="0"/>
            <w:vAlign w:val="center"/>
          </w:tcPr>
          <w:p w14:paraId="38C767C6">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25</w:t>
            </w:r>
            <w:r>
              <w:rPr>
                <w:rFonts w:hint="eastAsia" w:ascii="宋体" w:hAnsi="宋体" w:eastAsia="宋体" w:cs="宋体"/>
                <w:i w:val="0"/>
                <w:iCs w:val="0"/>
                <w:color w:val="auto"/>
                <w:kern w:val="0"/>
                <w:sz w:val="24"/>
                <w:szCs w:val="24"/>
                <w:u w:val="none"/>
                <w:lang w:val="en-US" w:eastAsia="zh-CN" w:bidi="ar"/>
              </w:rPr>
              <w:t>0</w:t>
            </w:r>
          </w:p>
        </w:tc>
        <w:tc>
          <w:tcPr>
            <w:tcW w:w="1592" w:type="dxa"/>
            <w:noWrap w:val="0"/>
            <w:vAlign w:val="center"/>
          </w:tcPr>
          <w:p w14:paraId="7672EE9C">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3A80BC65">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3440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4426E6A8">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5</w:t>
            </w:r>
          </w:p>
        </w:tc>
        <w:tc>
          <w:tcPr>
            <w:tcW w:w="2845" w:type="dxa"/>
            <w:shd w:val="clear" w:color="auto" w:fill="auto"/>
            <w:noWrap w:val="0"/>
            <w:vAlign w:val="center"/>
          </w:tcPr>
          <w:p w14:paraId="1E97D00F">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有效土层开掘测量</w:t>
            </w:r>
          </w:p>
        </w:tc>
        <w:tc>
          <w:tcPr>
            <w:tcW w:w="1228" w:type="dxa"/>
            <w:shd w:val="clear" w:color="auto" w:fill="auto"/>
            <w:noWrap w:val="0"/>
            <w:vAlign w:val="center"/>
          </w:tcPr>
          <w:p w14:paraId="23BA7A51">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个</w:t>
            </w:r>
          </w:p>
        </w:tc>
        <w:tc>
          <w:tcPr>
            <w:tcW w:w="1419" w:type="dxa"/>
            <w:shd w:val="clear" w:color="auto" w:fill="auto"/>
            <w:noWrap w:val="0"/>
            <w:vAlign w:val="center"/>
          </w:tcPr>
          <w:p w14:paraId="66A310C3">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2</w:t>
            </w:r>
            <w:r>
              <w:rPr>
                <w:rFonts w:hint="eastAsia" w:ascii="宋体" w:hAnsi="宋体" w:cs="宋体"/>
                <w:i w:val="0"/>
                <w:iCs w:val="0"/>
                <w:color w:val="auto"/>
                <w:kern w:val="0"/>
                <w:sz w:val="24"/>
                <w:szCs w:val="24"/>
                <w:u w:val="none"/>
                <w:lang w:val="en-US" w:eastAsia="zh-CN" w:bidi="ar"/>
              </w:rPr>
              <w:t>0</w:t>
            </w:r>
            <w:r>
              <w:rPr>
                <w:rFonts w:hint="eastAsia" w:ascii="宋体" w:hAnsi="宋体" w:eastAsia="宋体" w:cs="宋体"/>
                <w:i w:val="0"/>
                <w:iCs w:val="0"/>
                <w:color w:val="auto"/>
                <w:kern w:val="0"/>
                <w:sz w:val="24"/>
                <w:szCs w:val="24"/>
                <w:u w:val="none"/>
                <w:lang w:val="en-US" w:eastAsia="zh-CN" w:bidi="ar"/>
              </w:rPr>
              <w:t>00</w:t>
            </w:r>
          </w:p>
        </w:tc>
        <w:tc>
          <w:tcPr>
            <w:tcW w:w="1592" w:type="dxa"/>
            <w:noWrap w:val="0"/>
            <w:vAlign w:val="center"/>
          </w:tcPr>
          <w:p w14:paraId="48696D90">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0B472C29">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438F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2852852C">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6</w:t>
            </w:r>
          </w:p>
        </w:tc>
        <w:tc>
          <w:tcPr>
            <w:tcW w:w="2845" w:type="dxa"/>
            <w:shd w:val="clear" w:color="auto" w:fill="auto"/>
            <w:noWrap w:val="0"/>
            <w:vAlign w:val="center"/>
          </w:tcPr>
          <w:p w14:paraId="75100F0D">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质地构型开掘判断</w:t>
            </w:r>
          </w:p>
        </w:tc>
        <w:tc>
          <w:tcPr>
            <w:tcW w:w="1228" w:type="dxa"/>
            <w:shd w:val="clear" w:color="auto" w:fill="auto"/>
            <w:noWrap w:val="0"/>
            <w:vAlign w:val="center"/>
          </w:tcPr>
          <w:p w14:paraId="597763DA">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个</w:t>
            </w:r>
          </w:p>
        </w:tc>
        <w:tc>
          <w:tcPr>
            <w:tcW w:w="1419" w:type="dxa"/>
            <w:shd w:val="clear" w:color="auto" w:fill="auto"/>
            <w:noWrap w:val="0"/>
            <w:vAlign w:val="center"/>
          </w:tcPr>
          <w:p w14:paraId="4B9C7AEE">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600</w:t>
            </w:r>
          </w:p>
        </w:tc>
        <w:tc>
          <w:tcPr>
            <w:tcW w:w="1592" w:type="dxa"/>
            <w:noWrap w:val="0"/>
            <w:vAlign w:val="center"/>
          </w:tcPr>
          <w:p w14:paraId="4E239B8A">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6B549353">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3383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72C39AEF">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7</w:t>
            </w:r>
          </w:p>
        </w:tc>
        <w:tc>
          <w:tcPr>
            <w:tcW w:w="2845" w:type="dxa"/>
            <w:shd w:val="clear" w:color="auto" w:fill="auto"/>
            <w:noWrap w:val="0"/>
            <w:vAlign w:val="center"/>
          </w:tcPr>
          <w:p w14:paraId="64744939">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土壤容重采集费</w:t>
            </w:r>
          </w:p>
        </w:tc>
        <w:tc>
          <w:tcPr>
            <w:tcW w:w="1228" w:type="dxa"/>
            <w:shd w:val="clear" w:color="auto" w:fill="auto"/>
            <w:noWrap w:val="0"/>
            <w:vAlign w:val="center"/>
          </w:tcPr>
          <w:p w14:paraId="7DF3C18D">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个</w:t>
            </w:r>
          </w:p>
        </w:tc>
        <w:tc>
          <w:tcPr>
            <w:tcW w:w="1419" w:type="dxa"/>
            <w:shd w:val="clear" w:color="auto" w:fill="auto"/>
            <w:noWrap w:val="0"/>
            <w:vAlign w:val="center"/>
          </w:tcPr>
          <w:p w14:paraId="56D2711E">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560</w:t>
            </w:r>
          </w:p>
        </w:tc>
        <w:tc>
          <w:tcPr>
            <w:tcW w:w="1592" w:type="dxa"/>
            <w:noWrap w:val="0"/>
            <w:vAlign w:val="center"/>
          </w:tcPr>
          <w:p w14:paraId="6DF24DDE">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7E2AE1F8">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502C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37738F7A">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8</w:t>
            </w:r>
          </w:p>
        </w:tc>
        <w:tc>
          <w:tcPr>
            <w:tcW w:w="2845" w:type="dxa"/>
            <w:shd w:val="clear" w:color="auto" w:fill="auto"/>
            <w:noWrap w:val="0"/>
            <w:vAlign w:val="center"/>
          </w:tcPr>
          <w:p w14:paraId="4549DA79">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土壤样品采集混样</w:t>
            </w:r>
          </w:p>
        </w:tc>
        <w:tc>
          <w:tcPr>
            <w:tcW w:w="1228" w:type="dxa"/>
            <w:shd w:val="clear" w:color="auto" w:fill="auto"/>
            <w:noWrap w:val="0"/>
            <w:vAlign w:val="center"/>
          </w:tcPr>
          <w:p w14:paraId="20A16352">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个</w:t>
            </w:r>
          </w:p>
        </w:tc>
        <w:tc>
          <w:tcPr>
            <w:tcW w:w="1419" w:type="dxa"/>
            <w:shd w:val="clear" w:color="auto" w:fill="auto"/>
            <w:noWrap w:val="0"/>
            <w:vAlign w:val="center"/>
          </w:tcPr>
          <w:p w14:paraId="58721920">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2000</w:t>
            </w:r>
          </w:p>
        </w:tc>
        <w:tc>
          <w:tcPr>
            <w:tcW w:w="1592" w:type="dxa"/>
            <w:noWrap w:val="0"/>
            <w:vAlign w:val="center"/>
          </w:tcPr>
          <w:p w14:paraId="3111079B">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2113D6F6">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13026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3BFB3B68">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9</w:t>
            </w:r>
          </w:p>
        </w:tc>
        <w:tc>
          <w:tcPr>
            <w:tcW w:w="2845" w:type="dxa"/>
            <w:shd w:val="clear" w:color="auto" w:fill="auto"/>
            <w:noWrap w:val="0"/>
            <w:vAlign w:val="center"/>
          </w:tcPr>
          <w:p w14:paraId="2F26DC1F">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土样制备检测及留样</w:t>
            </w:r>
          </w:p>
        </w:tc>
        <w:tc>
          <w:tcPr>
            <w:tcW w:w="1228" w:type="dxa"/>
            <w:shd w:val="clear" w:color="auto" w:fill="auto"/>
            <w:noWrap w:val="0"/>
            <w:vAlign w:val="center"/>
          </w:tcPr>
          <w:p w14:paraId="10EDA4F3">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项</w:t>
            </w:r>
          </w:p>
        </w:tc>
        <w:tc>
          <w:tcPr>
            <w:tcW w:w="1419" w:type="dxa"/>
            <w:shd w:val="clear" w:color="auto" w:fill="auto"/>
            <w:noWrap w:val="0"/>
            <w:vAlign w:val="center"/>
          </w:tcPr>
          <w:p w14:paraId="7A2A688A">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630</w:t>
            </w:r>
          </w:p>
        </w:tc>
        <w:tc>
          <w:tcPr>
            <w:tcW w:w="1592" w:type="dxa"/>
            <w:noWrap w:val="0"/>
            <w:vAlign w:val="center"/>
          </w:tcPr>
          <w:p w14:paraId="0834727F">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44F0FC6E">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45B5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41942071">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10</w:t>
            </w:r>
          </w:p>
        </w:tc>
        <w:tc>
          <w:tcPr>
            <w:tcW w:w="2845" w:type="dxa"/>
            <w:shd w:val="clear" w:color="auto" w:fill="auto"/>
            <w:noWrap w:val="0"/>
            <w:vAlign w:val="center"/>
          </w:tcPr>
          <w:p w14:paraId="0BEB5D69">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耕地质量等级评价</w:t>
            </w:r>
          </w:p>
        </w:tc>
        <w:tc>
          <w:tcPr>
            <w:tcW w:w="1228" w:type="dxa"/>
            <w:shd w:val="clear" w:color="auto" w:fill="auto"/>
            <w:noWrap w:val="0"/>
            <w:vAlign w:val="center"/>
          </w:tcPr>
          <w:p w14:paraId="07EE47CB">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块</w:t>
            </w:r>
          </w:p>
        </w:tc>
        <w:tc>
          <w:tcPr>
            <w:tcW w:w="1419" w:type="dxa"/>
            <w:shd w:val="clear" w:color="auto" w:fill="auto"/>
            <w:noWrap w:val="0"/>
            <w:vAlign w:val="center"/>
          </w:tcPr>
          <w:p w14:paraId="143A3A38">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2000</w:t>
            </w:r>
          </w:p>
        </w:tc>
        <w:tc>
          <w:tcPr>
            <w:tcW w:w="1592" w:type="dxa"/>
            <w:noWrap w:val="0"/>
            <w:vAlign w:val="center"/>
          </w:tcPr>
          <w:p w14:paraId="23C2CB23">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2D581E6E">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522F5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5C8E3C6E">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11</w:t>
            </w:r>
          </w:p>
        </w:tc>
        <w:tc>
          <w:tcPr>
            <w:tcW w:w="2845" w:type="dxa"/>
            <w:shd w:val="clear" w:color="auto" w:fill="auto"/>
            <w:noWrap w:val="0"/>
            <w:vAlign w:val="center"/>
          </w:tcPr>
          <w:p w14:paraId="307B6FA1">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cs="宋体"/>
                <w:b w:val="0"/>
                <w:bCs w:val="0"/>
                <w:i w:val="0"/>
                <w:iCs w:val="0"/>
                <w:color w:val="000000"/>
                <w:sz w:val="24"/>
                <w:szCs w:val="24"/>
                <w:u w:val="none"/>
                <w:lang w:val="en-US" w:eastAsia="zh-CN" w:bidi="ar"/>
              </w:rPr>
              <w:t>县</w:t>
            </w:r>
            <w:r>
              <w:rPr>
                <w:rFonts w:hint="eastAsia" w:ascii="宋体" w:hAnsi="宋体" w:eastAsia="宋体" w:cs="宋体"/>
                <w:b w:val="0"/>
                <w:bCs w:val="0"/>
                <w:i w:val="0"/>
                <w:iCs w:val="0"/>
                <w:color w:val="000000"/>
                <w:sz w:val="24"/>
                <w:szCs w:val="24"/>
                <w:u w:val="none"/>
                <w:lang w:val="en-US" w:eastAsia="zh-CN" w:bidi="ar"/>
              </w:rPr>
              <w:t>级初鉴会议</w:t>
            </w:r>
          </w:p>
        </w:tc>
        <w:tc>
          <w:tcPr>
            <w:tcW w:w="1228" w:type="dxa"/>
            <w:shd w:val="clear" w:color="auto" w:fill="auto"/>
            <w:noWrap w:val="0"/>
            <w:vAlign w:val="center"/>
          </w:tcPr>
          <w:p w14:paraId="0BF19FC2">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场・</w:t>
            </w:r>
            <w:r>
              <w:rPr>
                <w:rStyle w:val="416"/>
                <w:rFonts w:hint="eastAsia" w:ascii="宋体" w:hAnsi="宋体" w:eastAsia="宋体" w:cs="宋体"/>
                <w:b w:val="0"/>
                <w:bCs w:val="0"/>
                <w:lang w:val="en-US" w:eastAsia="zh-CN" w:bidi="ar"/>
              </w:rPr>
              <w:t>天</w:t>
            </w:r>
          </w:p>
        </w:tc>
        <w:tc>
          <w:tcPr>
            <w:tcW w:w="1419" w:type="dxa"/>
            <w:shd w:val="clear" w:color="auto" w:fill="auto"/>
            <w:noWrap w:val="0"/>
            <w:vAlign w:val="center"/>
          </w:tcPr>
          <w:p w14:paraId="25011A9D">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5</w:t>
            </w:r>
          </w:p>
        </w:tc>
        <w:tc>
          <w:tcPr>
            <w:tcW w:w="1592" w:type="dxa"/>
            <w:noWrap w:val="0"/>
            <w:vAlign w:val="center"/>
          </w:tcPr>
          <w:p w14:paraId="787E172C">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5E8A7563">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r>
      <w:tr w14:paraId="2769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dxa"/>
            <w:noWrap w:val="0"/>
            <w:vAlign w:val="center"/>
          </w:tcPr>
          <w:p w14:paraId="007FF999">
            <w:pPr>
              <w:spacing w:after="0" w:line="520" w:lineRule="exact"/>
              <w:jc w:val="center"/>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12</w:t>
            </w:r>
          </w:p>
        </w:tc>
        <w:tc>
          <w:tcPr>
            <w:tcW w:w="2845" w:type="dxa"/>
            <w:shd w:val="clear" w:color="auto" w:fill="auto"/>
            <w:noWrap w:val="0"/>
            <w:vAlign w:val="center"/>
          </w:tcPr>
          <w:p w14:paraId="3FB917DE">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配合市级鉴定和省级抽核</w:t>
            </w:r>
          </w:p>
        </w:tc>
        <w:tc>
          <w:tcPr>
            <w:tcW w:w="1228" w:type="dxa"/>
            <w:shd w:val="clear" w:color="auto" w:fill="auto"/>
            <w:noWrap w:val="0"/>
            <w:vAlign w:val="center"/>
          </w:tcPr>
          <w:p w14:paraId="72B9F82C">
            <w:pPr>
              <w:keepNext w:val="0"/>
              <w:keepLines w:val="0"/>
              <w:widowControl/>
              <w:suppressLineNumbers w:val="0"/>
              <w:spacing w:after="0" w:line="240" w:lineRule="auto"/>
              <w:jc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b w:val="0"/>
                <w:bCs w:val="0"/>
                <w:i w:val="0"/>
                <w:iCs w:val="0"/>
                <w:color w:val="000000"/>
                <w:sz w:val="24"/>
                <w:szCs w:val="24"/>
                <w:u w:val="none"/>
                <w:lang w:val="en-US" w:eastAsia="zh-CN" w:bidi="ar"/>
              </w:rPr>
              <w:t>场・</w:t>
            </w:r>
            <w:r>
              <w:rPr>
                <w:rStyle w:val="416"/>
                <w:rFonts w:hint="eastAsia" w:ascii="宋体" w:hAnsi="宋体" w:eastAsia="宋体" w:cs="宋体"/>
                <w:b w:val="0"/>
                <w:bCs w:val="0"/>
                <w:lang w:val="en-US" w:eastAsia="zh-CN" w:bidi="ar"/>
              </w:rPr>
              <w:t>天</w:t>
            </w:r>
          </w:p>
        </w:tc>
        <w:tc>
          <w:tcPr>
            <w:tcW w:w="1419" w:type="dxa"/>
            <w:shd w:val="clear" w:color="auto" w:fill="auto"/>
            <w:noWrap w:val="0"/>
            <w:vAlign w:val="center"/>
          </w:tcPr>
          <w:p w14:paraId="765573EF">
            <w:pPr>
              <w:keepNext w:val="0"/>
              <w:keepLines w:val="0"/>
              <w:widowControl/>
              <w:suppressLineNumbers w:val="0"/>
              <w:spacing w:after="0" w:line="240" w:lineRule="auto"/>
              <w:jc w:val="center"/>
              <w:textAlignment w:val="center"/>
              <w:rPr>
                <w:rFonts w:hint="eastAsia" w:ascii="宋体" w:hAnsi="宋体" w:eastAsia="宋体" w:cs="宋体"/>
                <w:b w:val="0"/>
                <w:bCs w:val="0"/>
                <w:i w:val="0"/>
                <w:iCs w:val="0"/>
                <w:color w:val="000000"/>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5</w:t>
            </w:r>
          </w:p>
        </w:tc>
        <w:tc>
          <w:tcPr>
            <w:tcW w:w="1592" w:type="dxa"/>
            <w:noWrap w:val="0"/>
            <w:vAlign w:val="center"/>
          </w:tcPr>
          <w:p w14:paraId="6DBA0DE8">
            <w:pPr>
              <w:keepNext w:val="0"/>
              <w:keepLines w:val="0"/>
              <w:widowControl/>
              <w:suppressLineNumbers w:val="0"/>
              <w:spacing w:after="0" w:line="240" w:lineRule="auto"/>
              <w:jc w:val="center"/>
              <w:rPr>
                <w:rFonts w:hint="eastAsia" w:ascii="宋体" w:hAnsi="宋体" w:eastAsia="宋体" w:cs="宋体"/>
                <w:b w:val="0"/>
                <w:bCs w:val="0"/>
                <w:color w:val="000000"/>
                <w:sz w:val="24"/>
                <w:szCs w:val="24"/>
                <w:vertAlign w:val="baseline"/>
              </w:rPr>
            </w:pPr>
          </w:p>
        </w:tc>
        <w:tc>
          <w:tcPr>
            <w:tcW w:w="1604" w:type="dxa"/>
            <w:noWrap w:val="0"/>
            <w:vAlign w:val="center"/>
          </w:tcPr>
          <w:p w14:paraId="68B84E72">
            <w:pPr>
              <w:pStyle w:val="5"/>
              <w:spacing w:line="240" w:lineRule="auto"/>
              <w:rPr>
                <w:rFonts w:hint="eastAsia"/>
              </w:rPr>
            </w:pPr>
          </w:p>
        </w:tc>
      </w:tr>
      <w:tr w14:paraId="46AB3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745" w:type="dxa"/>
            <w:gridSpan w:val="6"/>
            <w:noWrap w:val="0"/>
            <w:vAlign w:val="center"/>
          </w:tcPr>
          <w:p w14:paraId="7AC854F5">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谈判总报价（人民币：元）</w:t>
            </w:r>
          </w:p>
        </w:tc>
      </w:tr>
      <w:tr w14:paraId="05AF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5" w:type="dxa"/>
            <w:gridSpan w:val="6"/>
            <w:noWrap w:val="0"/>
            <w:vAlign w:val="center"/>
          </w:tcPr>
          <w:p w14:paraId="0F894856">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本采购包中提供的符合本国产品标准的产品成本之和占该采购包提供的全部产品成本之和的比例为      %。</w:t>
            </w:r>
          </w:p>
        </w:tc>
      </w:tr>
    </w:tbl>
    <w:p w14:paraId="0F5E8F5D">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p>
    <w:p w14:paraId="1532624D">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谈判供应商：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（电子签章）    </w:t>
      </w:r>
    </w:p>
    <w:p w14:paraId="6DD88533">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法定代表人签字：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（电子签章或签字）     </w:t>
      </w: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            </w:t>
      </w:r>
    </w:p>
    <w:p w14:paraId="67766A2A">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注:</w:t>
      </w:r>
    </w:p>
    <w:p w14:paraId="6B04EAB2">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（1）此表为表样，行数可自行添加，但表式不变。</w:t>
      </w:r>
    </w:p>
    <w:p w14:paraId="1B54F571">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（2）如果单价和总价不符时，以单价为准。</w:t>
      </w:r>
    </w:p>
    <w:p w14:paraId="36A84C2C">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501C81F">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p>
    <w:p w14:paraId="4B2547CB">
      <w:pPr>
        <w:widowControl w:val="0"/>
        <w:numPr>
          <w:ilvl w:val="0"/>
          <w:numId w:val="0"/>
        </w:numPr>
        <w:spacing w:line="520" w:lineRule="exact"/>
        <w:jc w:val="both"/>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p>
    <w:p w14:paraId="54A318B6">
      <w:pPr>
        <w:pStyle w:val="192"/>
        <w:spacing w:before="0" w:after="0" w:line="300" w:lineRule="auto"/>
        <w:jc w:val="both"/>
        <w:rPr>
          <w:rFonts w:hint="eastAsia" w:ascii="宋体" w:hAnsi="宋体" w:eastAsia="宋体"/>
          <w:bCs/>
          <w:sz w:val="28"/>
          <w:szCs w:val="28"/>
        </w:rPr>
      </w:pPr>
      <w:bookmarkStart w:id="62" w:name="_Toc148347157"/>
      <w:bookmarkEnd w:id="62"/>
    </w:p>
    <w:p w14:paraId="7651BD1F">
      <w:pPr>
        <w:pStyle w:val="192"/>
        <w:spacing w:before="0" w:after="0" w:line="300" w:lineRule="auto"/>
        <w:jc w:val="center"/>
        <w:rPr>
          <w:rFonts w:hint="eastAsia" w:ascii="仿宋" w:hAnsi="仿宋" w:eastAsia="仿宋" w:cs="仿宋"/>
          <w:bCs/>
          <w:sz w:val="28"/>
          <w:szCs w:val="28"/>
        </w:rPr>
      </w:pPr>
      <w:r>
        <w:rPr>
          <w:rFonts w:hint="eastAsia" w:ascii="仿宋" w:hAnsi="仿宋" w:eastAsia="仿宋" w:cs="仿宋"/>
          <w:bCs/>
          <w:sz w:val="28"/>
          <w:szCs w:val="28"/>
          <w:lang w:eastAsia="zh-CN"/>
        </w:rPr>
        <w:t>三</w:t>
      </w:r>
      <w:r>
        <w:rPr>
          <w:rFonts w:hint="eastAsia" w:ascii="仿宋" w:hAnsi="仿宋" w:eastAsia="仿宋" w:cs="仿宋"/>
          <w:bCs/>
          <w:sz w:val="28"/>
          <w:szCs w:val="28"/>
        </w:rPr>
        <w:t>、</w:t>
      </w:r>
      <w:bookmarkStart w:id="63" w:name="_Toc29983"/>
      <w:r>
        <w:rPr>
          <w:rFonts w:hint="eastAsia" w:ascii="仿宋" w:hAnsi="仿宋" w:eastAsia="仿宋" w:cs="仿宋"/>
          <w:bCs/>
          <w:sz w:val="28"/>
          <w:szCs w:val="28"/>
        </w:rPr>
        <w:t>服务承诺</w:t>
      </w:r>
      <w:bookmarkEnd w:id="63"/>
    </w:p>
    <w:p w14:paraId="7185698D">
      <w:pPr>
        <w:spacing w:line="440" w:lineRule="exact"/>
        <w:ind w:firstLine="360"/>
        <w:jc w:val="center"/>
        <w:rPr>
          <w:rFonts w:hint="eastAsia" w:ascii="仿宋" w:hAnsi="仿宋" w:eastAsia="仿宋" w:cs="仿宋"/>
          <w:sz w:val="24"/>
        </w:rPr>
      </w:pPr>
      <w:r>
        <w:rPr>
          <w:rFonts w:hint="eastAsia" w:ascii="仿宋" w:hAnsi="仿宋" w:eastAsia="仿宋" w:cs="仿宋"/>
          <w:sz w:val="24"/>
        </w:rPr>
        <w:t>（针对采购需求逐条响应、加盖谈判供应商</w:t>
      </w:r>
      <w:r>
        <w:rPr>
          <w:rFonts w:hint="eastAsia" w:ascii="仿宋" w:hAnsi="仿宋" w:eastAsia="仿宋" w:cs="仿宋"/>
          <w:sz w:val="24"/>
          <w:lang w:eastAsia="zh-CN"/>
        </w:rPr>
        <w:t>电子签章</w:t>
      </w:r>
      <w:r>
        <w:rPr>
          <w:rFonts w:hint="eastAsia" w:ascii="仿宋" w:hAnsi="仿宋" w:eastAsia="仿宋" w:cs="仿宋"/>
          <w:sz w:val="24"/>
        </w:rPr>
        <w:t>。）</w:t>
      </w:r>
    </w:p>
    <w:p w14:paraId="5A31283F">
      <w:pPr>
        <w:spacing w:line="440" w:lineRule="exact"/>
        <w:ind w:firstLine="360"/>
        <w:rPr>
          <w:rFonts w:hint="eastAsia" w:ascii="仿宋" w:hAnsi="仿宋" w:eastAsia="仿宋" w:cs="仿宋"/>
          <w:sz w:val="24"/>
        </w:rPr>
      </w:pPr>
    </w:p>
    <w:p w14:paraId="6A133DED">
      <w:pPr>
        <w:spacing w:line="440" w:lineRule="exact"/>
        <w:ind w:firstLine="360"/>
        <w:rPr>
          <w:rFonts w:hint="eastAsia" w:ascii="仿宋" w:hAnsi="仿宋" w:eastAsia="仿宋" w:cs="仿宋"/>
          <w:sz w:val="24"/>
        </w:rPr>
      </w:pPr>
    </w:p>
    <w:p w14:paraId="5D00AAFB">
      <w:pPr>
        <w:pStyle w:val="219"/>
        <w:spacing w:line="440" w:lineRule="exact"/>
        <w:ind w:left="-178" w:firstLine="352"/>
        <w:rPr>
          <w:rFonts w:hint="eastAsia" w:hAnsi="宋体"/>
          <w:sz w:val="24"/>
          <w:szCs w:val="24"/>
        </w:rPr>
      </w:pPr>
    </w:p>
    <w:p w14:paraId="5ADDDE33">
      <w:pPr>
        <w:pStyle w:val="192"/>
        <w:spacing w:before="0" w:after="0" w:line="300" w:lineRule="auto"/>
        <w:jc w:val="center"/>
        <w:rPr>
          <w:rFonts w:hint="eastAsia" w:ascii="宋体" w:hAnsi="宋体" w:eastAsia="宋体"/>
          <w:bCs/>
          <w:sz w:val="28"/>
          <w:szCs w:val="28"/>
        </w:rPr>
      </w:pPr>
      <w:bookmarkStart w:id="64" w:name="_Toc124413305"/>
      <w:r>
        <w:rPr>
          <w:rFonts w:ascii="宋体" w:hAnsi="宋体" w:eastAsia="宋体"/>
          <w:bCs/>
          <w:sz w:val="28"/>
          <w:szCs w:val="28"/>
        </w:rPr>
        <w:br w:type="page" w:clear="all"/>
      </w:r>
      <w:bookmarkEnd w:id="64"/>
      <w:bookmarkStart w:id="65" w:name="_Toc62225068"/>
      <w:bookmarkStart w:id="66" w:name="_Toc148347158"/>
      <w:bookmarkStart w:id="67" w:name="_Toc455472188"/>
      <w:r>
        <w:rPr>
          <w:rFonts w:hint="eastAsia" w:ascii="宋体" w:hAnsi="宋体" w:eastAsia="宋体"/>
          <w:bCs/>
          <w:sz w:val="28"/>
          <w:szCs w:val="28"/>
        </w:rPr>
        <w:t>四、技术规格响应偏离表</w:t>
      </w:r>
      <w:bookmarkEnd w:id="65"/>
      <w:bookmarkEnd w:id="66"/>
      <w:bookmarkEnd w:id="67"/>
    </w:p>
    <w:p w14:paraId="4D2D915D">
      <w:pPr>
        <w:pStyle w:val="219"/>
        <w:spacing w:line="440" w:lineRule="exact"/>
        <w:ind w:left="-178" w:firstLine="352"/>
        <w:jc w:val="center"/>
        <w:rPr>
          <w:rFonts w:hint="eastAsia" w:hAnsi="宋体"/>
          <w:sz w:val="24"/>
          <w:szCs w:val="24"/>
        </w:rPr>
      </w:pPr>
      <w:bookmarkStart w:id="68" w:name="_Toc455472189"/>
      <w:bookmarkStart w:id="69" w:name="_Toc62225069"/>
      <w:r>
        <w:rPr>
          <w:rFonts w:hint="eastAsia" w:hAnsi="宋体"/>
          <w:sz w:val="24"/>
          <w:szCs w:val="24"/>
        </w:rPr>
        <w:t>（根据谈判文件第一章第五部分要求的内容逐条填写）</w:t>
      </w:r>
      <w:bookmarkEnd w:id="68"/>
      <w:bookmarkEnd w:id="69"/>
    </w:p>
    <w:tbl>
      <w:tblPr>
        <w:tblStyle w:val="35"/>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14:paraId="3C68B02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1836F060">
            <w:pPr>
              <w:spacing w:line="360" w:lineRule="auto"/>
              <w:jc w:val="center"/>
              <w:rPr>
                <w:rFonts w:hint="eastAsia" w:ascii="宋体" w:hAnsi="宋体" w:cs="Arial"/>
                <w:sz w:val="24"/>
              </w:rPr>
            </w:pPr>
            <w:r>
              <w:rPr>
                <w:rFonts w:hint="eastAsia" w:ascii="宋体" w:hAnsi="宋体" w:cs="Arial"/>
                <w:sz w:val="24"/>
              </w:rPr>
              <w:t>序号</w:t>
            </w:r>
          </w:p>
        </w:tc>
        <w:tc>
          <w:tcPr>
            <w:tcW w:w="3420" w:type="dxa"/>
            <w:noWrap w:val="0"/>
            <w:vAlign w:val="center"/>
          </w:tcPr>
          <w:p w14:paraId="78401C20">
            <w:pPr>
              <w:jc w:val="center"/>
              <w:rPr>
                <w:rFonts w:hint="eastAsia" w:ascii="宋体" w:hAnsi="宋体" w:cs="Arial"/>
                <w:sz w:val="24"/>
              </w:rPr>
            </w:pPr>
            <w:r>
              <w:rPr>
                <w:rFonts w:hint="eastAsia" w:ascii="宋体" w:hAnsi="宋体" w:cs="Arial"/>
                <w:sz w:val="24"/>
              </w:rPr>
              <w:t>项目采购需求中主要技术</w:t>
            </w:r>
          </w:p>
          <w:p w14:paraId="3C35644C">
            <w:pPr>
              <w:jc w:val="center"/>
              <w:rPr>
                <w:rFonts w:hint="eastAsia" w:ascii="宋体" w:hAnsi="宋体" w:cs="Arial"/>
                <w:sz w:val="24"/>
              </w:rPr>
            </w:pPr>
            <w:r>
              <w:rPr>
                <w:rFonts w:hint="eastAsia" w:ascii="宋体" w:hAnsi="宋体" w:cs="Arial"/>
                <w:sz w:val="24"/>
              </w:rPr>
              <w:t>条款描述</w:t>
            </w:r>
          </w:p>
        </w:tc>
        <w:tc>
          <w:tcPr>
            <w:tcW w:w="2880" w:type="dxa"/>
            <w:noWrap w:val="0"/>
            <w:vAlign w:val="center"/>
          </w:tcPr>
          <w:p w14:paraId="152E27F5">
            <w:pPr>
              <w:jc w:val="center"/>
              <w:rPr>
                <w:rFonts w:hint="eastAsia" w:ascii="宋体" w:hAnsi="宋体" w:cs="Arial"/>
                <w:sz w:val="24"/>
              </w:rPr>
            </w:pPr>
            <w:r>
              <w:rPr>
                <w:rFonts w:hint="eastAsia" w:ascii="宋体" w:hAnsi="宋体" w:cs="Arial"/>
                <w:sz w:val="24"/>
              </w:rPr>
              <w:t>所报产品规格、型号及相应技术参数描述</w:t>
            </w:r>
          </w:p>
        </w:tc>
        <w:tc>
          <w:tcPr>
            <w:tcW w:w="1080" w:type="dxa"/>
            <w:noWrap w:val="0"/>
            <w:vAlign w:val="center"/>
          </w:tcPr>
          <w:p w14:paraId="2B902AC0">
            <w:pPr>
              <w:ind w:firstLine="240"/>
              <w:rPr>
                <w:rFonts w:hint="eastAsia" w:ascii="宋体" w:hAnsi="宋体" w:cs="Arial"/>
                <w:sz w:val="24"/>
              </w:rPr>
            </w:pPr>
            <w:r>
              <w:rPr>
                <w:rFonts w:hint="eastAsia" w:ascii="宋体" w:hAnsi="宋体" w:cs="Arial"/>
                <w:sz w:val="24"/>
              </w:rPr>
              <w:t>偏离</w:t>
            </w:r>
          </w:p>
          <w:p w14:paraId="37DBA0B2">
            <w:pPr>
              <w:ind w:firstLine="240"/>
              <w:rPr>
                <w:rFonts w:hint="eastAsia" w:ascii="宋体" w:hAnsi="宋体" w:cs="Arial"/>
                <w:sz w:val="24"/>
              </w:rPr>
            </w:pPr>
            <w:r>
              <w:rPr>
                <w:rFonts w:hint="eastAsia" w:ascii="宋体" w:hAnsi="宋体" w:cs="Arial"/>
                <w:sz w:val="24"/>
              </w:rPr>
              <w:t>情况</w:t>
            </w:r>
          </w:p>
        </w:tc>
        <w:tc>
          <w:tcPr>
            <w:tcW w:w="1080" w:type="dxa"/>
            <w:noWrap w:val="0"/>
            <w:vAlign w:val="center"/>
          </w:tcPr>
          <w:p w14:paraId="519975CA">
            <w:pPr>
              <w:spacing w:line="360" w:lineRule="auto"/>
              <w:jc w:val="center"/>
              <w:rPr>
                <w:rFonts w:hint="eastAsia" w:ascii="宋体" w:hAnsi="宋体" w:cs="Arial"/>
                <w:sz w:val="24"/>
              </w:rPr>
            </w:pPr>
            <w:r>
              <w:rPr>
                <w:rFonts w:hint="eastAsia" w:ascii="宋体" w:hAnsi="宋体" w:cs="Arial"/>
                <w:sz w:val="24"/>
              </w:rPr>
              <w:t>备注</w:t>
            </w:r>
          </w:p>
        </w:tc>
      </w:tr>
      <w:tr w14:paraId="03E192D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46B20D83">
            <w:pPr>
              <w:spacing w:line="360" w:lineRule="auto"/>
              <w:jc w:val="center"/>
              <w:rPr>
                <w:rFonts w:hint="eastAsia" w:ascii="宋体" w:hAnsi="宋体" w:cs="Arial"/>
                <w:sz w:val="24"/>
              </w:rPr>
            </w:pPr>
          </w:p>
        </w:tc>
        <w:tc>
          <w:tcPr>
            <w:tcW w:w="3420" w:type="dxa"/>
            <w:noWrap w:val="0"/>
            <w:vAlign w:val="center"/>
          </w:tcPr>
          <w:p w14:paraId="53BCF2E8">
            <w:pPr>
              <w:jc w:val="center"/>
              <w:rPr>
                <w:rFonts w:hint="eastAsia" w:ascii="宋体" w:hAnsi="宋体" w:cs="Arial"/>
                <w:sz w:val="24"/>
              </w:rPr>
            </w:pPr>
          </w:p>
        </w:tc>
        <w:tc>
          <w:tcPr>
            <w:tcW w:w="2880" w:type="dxa"/>
            <w:noWrap w:val="0"/>
            <w:vAlign w:val="center"/>
          </w:tcPr>
          <w:p w14:paraId="6FC4DAB7">
            <w:pPr>
              <w:jc w:val="center"/>
              <w:rPr>
                <w:rFonts w:hint="eastAsia" w:ascii="宋体" w:hAnsi="宋体" w:cs="Arial"/>
                <w:sz w:val="24"/>
              </w:rPr>
            </w:pPr>
          </w:p>
        </w:tc>
        <w:tc>
          <w:tcPr>
            <w:tcW w:w="1080" w:type="dxa"/>
            <w:noWrap w:val="0"/>
            <w:vAlign w:val="center"/>
          </w:tcPr>
          <w:p w14:paraId="5F11BA60">
            <w:pPr>
              <w:spacing w:line="360" w:lineRule="auto"/>
              <w:jc w:val="center"/>
              <w:rPr>
                <w:rFonts w:hint="eastAsia" w:ascii="宋体" w:hAnsi="宋体" w:cs="Arial"/>
                <w:sz w:val="24"/>
              </w:rPr>
            </w:pPr>
          </w:p>
        </w:tc>
        <w:tc>
          <w:tcPr>
            <w:tcW w:w="1080" w:type="dxa"/>
            <w:noWrap w:val="0"/>
            <w:vAlign w:val="center"/>
          </w:tcPr>
          <w:p w14:paraId="1F839835">
            <w:pPr>
              <w:spacing w:line="360" w:lineRule="auto"/>
              <w:jc w:val="center"/>
              <w:rPr>
                <w:rFonts w:hint="eastAsia" w:ascii="宋体" w:hAnsi="宋体" w:cs="Arial"/>
                <w:sz w:val="24"/>
              </w:rPr>
            </w:pPr>
          </w:p>
        </w:tc>
      </w:tr>
      <w:tr w14:paraId="5C29ACB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3BCB0FDF">
            <w:pPr>
              <w:spacing w:line="360" w:lineRule="auto"/>
              <w:jc w:val="center"/>
              <w:rPr>
                <w:rFonts w:hint="eastAsia" w:ascii="宋体" w:hAnsi="宋体" w:cs="Arial"/>
                <w:sz w:val="24"/>
              </w:rPr>
            </w:pPr>
          </w:p>
        </w:tc>
        <w:tc>
          <w:tcPr>
            <w:tcW w:w="3420" w:type="dxa"/>
            <w:noWrap w:val="0"/>
            <w:vAlign w:val="center"/>
          </w:tcPr>
          <w:p w14:paraId="12E587C5">
            <w:pPr>
              <w:jc w:val="center"/>
              <w:rPr>
                <w:rFonts w:hint="eastAsia" w:ascii="宋体" w:hAnsi="宋体" w:cs="Arial"/>
                <w:spacing w:val="-6"/>
                <w:sz w:val="24"/>
              </w:rPr>
            </w:pPr>
          </w:p>
        </w:tc>
        <w:tc>
          <w:tcPr>
            <w:tcW w:w="2880" w:type="dxa"/>
            <w:noWrap w:val="0"/>
            <w:vAlign w:val="center"/>
          </w:tcPr>
          <w:p w14:paraId="6B618109">
            <w:pPr>
              <w:jc w:val="center"/>
              <w:rPr>
                <w:rFonts w:hint="eastAsia" w:ascii="宋体" w:hAnsi="宋体" w:cs="Arial"/>
                <w:sz w:val="24"/>
              </w:rPr>
            </w:pPr>
          </w:p>
        </w:tc>
        <w:tc>
          <w:tcPr>
            <w:tcW w:w="1080" w:type="dxa"/>
            <w:noWrap w:val="0"/>
            <w:vAlign w:val="center"/>
          </w:tcPr>
          <w:p w14:paraId="020E45D4">
            <w:pPr>
              <w:spacing w:line="360" w:lineRule="auto"/>
              <w:jc w:val="center"/>
              <w:rPr>
                <w:rFonts w:hint="eastAsia" w:ascii="宋体" w:hAnsi="宋体" w:cs="Arial"/>
                <w:sz w:val="24"/>
              </w:rPr>
            </w:pPr>
          </w:p>
        </w:tc>
        <w:tc>
          <w:tcPr>
            <w:tcW w:w="1080" w:type="dxa"/>
            <w:noWrap w:val="0"/>
            <w:vAlign w:val="center"/>
          </w:tcPr>
          <w:p w14:paraId="69656795">
            <w:pPr>
              <w:spacing w:line="360" w:lineRule="auto"/>
              <w:jc w:val="center"/>
              <w:rPr>
                <w:rFonts w:hint="eastAsia" w:ascii="宋体" w:hAnsi="宋体" w:cs="Arial"/>
                <w:sz w:val="24"/>
              </w:rPr>
            </w:pPr>
          </w:p>
        </w:tc>
      </w:tr>
      <w:tr w14:paraId="30FA086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57D4C5F0">
            <w:pPr>
              <w:spacing w:line="360" w:lineRule="auto"/>
              <w:jc w:val="center"/>
              <w:rPr>
                <w:rFonts w:hint="eastAsia" w:ascii="宋体" w:hAnsi="宋体" w:cs="Arial"/>
                <w:sz w:val="24"/>
              </w:rPr>
            </w:pPr>
          </w:p>
        </w:tc>
        <w:tc>
          <w:tcPr>
            <w:tcW w:w="3420" w:type="dxa"/>
            <w:noWrap w:val="0"/>
            <w:vAlign w:val="center"/>
          </w:tcPr>
          <w:p w14:paraId="05D01E29">
            <w:pPr>
              <w:jc w:val="center"/>
              <w:rPr>
                <w:rFonts w:hint="eastAsia" w:ascii="宋体" w:hAnsi="宋体" w:cs="Arial"/>
                <w:sz w:val="24"/>
              </w:rPr>
            </w:pPr>
          </w:p>
        </w:tc>
        <w:tc>
          <w:tcPr>
            <w:tcW w:w="2880" w:type="dxa"/>
            <w:noWrap w:val="0"/>
            <w:vAlign w:val="center"/>
          </w:tcPr>
          <w:p w14:paraId="437B696C">
            <w:pPr>
              <w:jc w:val="center"/>
              <w:rPr>
                <w:rFonts w:hint="eastAsia" w:ascii="宋体" w:hAnsi="宋体" w:cs="Arial"/>
                <w:sz w:val="24"/>
              </w:rPr>
            </w:pPr>
          </w:p>
        </w:tc>
        <w:tc>
          <w:tcPr>
            <w:tcW w:w="1080" w:type="dxa"/>
            <w:noWrap w:val="0"/>
            <w:vAlign w:val="center"/>
          </w:tcPr>
          <w:p w14:paraId="4A49B78A">
            <w:pPr>
              <w:spacing w:line="360" w:lineRule="auto"/>
              <w:jc w:val="center"/>
              <w:rPr>
                <w:rFonts w:hint="eastAsia" w:ascii="宋体" w:hAnsi="宋体" w:cs="Arial"/>
                <w:sz w:val="24"/>
              </w:rPr>
            </w:pPr>
          </w:p>
        </w:tc>
        <w:tc>
          <w:tcPr>
            <w:tcW w:w="1080" w:type="dxa"/>
            <w:noWrap w:val="0"/>
            <w:vAlign w:val="center"/>
          </w:tcPr>
          <w:p w14:paraId="32656502">
            <w:pPr>
              <w:spacing w:line="360" w:lineRule="auto"/>
              <w:jc w:val="center"/>
              <w:rPr>
                <w:rFonts w:hint="eastAsia" w:ascii="宋体" w:hAnsi="宋体" w:cs="Arial"/>
                <w:sz w:val="24"/>
              </w:rPr>
            </w:pPr>
          </w:p>
        </w:tc>
      </w:tr>
      <w:tr w14:paraId="3A1CEB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77BE3F94">
            <w:pPr>
              <w:spacing w:line="360" w:lineRule="auto"/>
              <w:jc w:val="center"/>
              <w:rPr>
                <w:rFonts w:hint="eastAsia" w:ascii="宋体" w:hAnsi="宋体" w:cs="Arial"/>
                <w:sz w:val="24"/>
              </w:rPr>
            </w:pPr>
          </w:p>
        </w:tc>
        <w:tc>
          <w:tcPr>
            <w:tcW w:w="3420" w:type="dxa"/>
            <w:noWrap w:val="0"/>
            <w:vAlign w:val="center"/>
          </w:tcPr>
          <w:p w14:paraId="00EB3905">
            <w:pPr>
              <w:jc w:val="center"/>
              <w:rPr>
                <w:rFonts w:hint="eastAsia" w:ascii="宋体" w:hAnsi="宋体" w:cs="Arial"/>
                <w:sz w:val="24"/>
              </w:rPr>
            </w:pPr>
          </w:p>
        </w:tc>
        <w:tc>
          <w:tcPr>
            <w:tcW w:w="2880" w:type="dxa"/>
            <w:noWrap w:val="0"/>
            <w:vAlign w:val="center"/>
          </w:tcPr>
          <w:p w14:paraId="3EB52F3C">
            <w:pPr>
              <w:jc w:val="center"/>
              <w:rPr>
                <w:rFonts w:hint="eastAsia" w:ascii="宋体" w:hAnsi="宋体" w:cs="Arial"/>
                <w:sz w:val="24"/>
              </w:rPr>
            </w:pPr>
          </w:p>
        </w:tc>
        <w:tc>
          <w:tcPr>
            <w:tcW w:w="1080" w:type="dxa"/>
            <w:noWrap w:val="0"/>
            <w:vAlign w:val="center"/>
          </w:tcPr>
          <w:p w14:paraId="308F3119">
            <w:pPr>
              <w:spacing w:line="360" w:lineRule="auto"/>
              <w:jc w:val="center"/>
              <w:rPr>
                <w:rFonts w:hint="eastAsia" w:ascii="宋体" w:hAnsi="宋体" w:cs="Arial"/>
                <w:sz w:val="24"/>
              </w:rPr>
            </w:pPr>
          </w:p>
        </w:tc>
        <w:tc>
          <w:tcPr>
            <w:tcW w:w="1080" w:type="dxa"/>
            <w:noWrap w:val="0"/>
            <w:vAlign w:val="center"/>
          </w:tcPr>
          <w:p w14:paraId="4BAB745A">
            <w:pPr>
              <w:spacing w:line="360" w:lineRule="auto"/>
              <w:jc w:val="center"/>
              <w:rPr>
                <w:rFonts w:hint="eastAsia" w:ascii="宋体" w:hAnsi="宋体" w:cs="Arial"/>
                <w:sz w:val="24"/>
              </w:rPr>
            </w:pPr>
          </w:p>
        </w:tc>
      </w:tr>
      <w:tr w14:paraId="1BDAAA8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noWrap w:val="0"/>
            <w:vAlign w:val="center"/>
          </w:tcPr>
          <w:p w14:paraId="0B537159">
            <w:pPr>
              <w:spacing w:line="360" w:lineRule="auto"/>
              <w:jc w:val="center"/>
              <w:rPr>
                <w:rFonts w:hint="eastAsia" w:ascii="宋体" w:hAnsi="宋体" w:cs="Arial"/>
                <w:sz w:val="24"/>
              </w:rPr>
            </w:pPr>
          </w:p>
        </w:tc>
        <w:tc>
          <w:tcPr>
            <w:tcW w:w="3420" w:type="dxa"/>
            <w:noWrap w:val="0"/>
            <w:vAlign w:val="center"/>
          </w:tcPr>
          <w:p w14:paraId="6669D5A8">
            <w:pPr>
              <w:jc w:val="center"/>
              <w:rPr>
                <w:rFonts w:hint="eastAsia" w:ascii="宋体" w:hAnsi="宋体" w:cs="Arial"/>
                <w:sz w:val="24"/>
              </w:rPr>
            </w:pPr>
          </w:p>
        </w:tc>
        <w:tc>
          <w:tcPr>
            <w:tcW w:w="2880" w:type="dxa"/>
            <w:noWrap w:val="0"/>
            <w:vAlign w:val="center"/>
          </w:tcPr>
          <w:p w14:paraId="6D139A86">
            <w:pPr>
              <w:jc w:val="center"/>
              <w:rPr>
                <w:rFonts w:hint="eastAsia" w:ascii="宋体" w:hAnsi="宋体" w:cs="Arial"/>
                <w:sz w:val="24"/>
              </w:rPr>
            </w:pPr>
          </w:p>
        </w:tc>
        <w:tc>
          <w:tcPr>
            <w:tcW w:w="1080" w:type="dxa"/>
            <w:noWrap w:val="0"/>
            <w:vAlign w:val="center"/>
          </w:tcPr>
          <w:p w14:paraId="38C0226F">
            <w:pPr>
              <w:spacing w:line="360" w:lineRule="auto"/>
              <w:jc w:val="center"/>
              <w:rPr>
                <w:rFonts w:hint="eastAsia" w:ascii="宋体" w:hAnsi="宋体" w:cs="Arial"/>
                <w:sz w:val="24"/>
              </w:rPr>
            </w:pPr>
          </w:p>
        </w:tc>
        <w:tc>
          <w:tcPr>
            <w:tcW w:w="1080" w:type="dxa"/>
            <w:noWrap w:val="0"/>
            <w:vAlign w:val="center"/>
          </w:tcPr>
          <w:p w14:paraId="11947425">
            <w:pPr>
              <w:spacing w:line="360" w:lineRule="auto"/>
              <w:jc w:val="center"/>
              <w:rPr>
                <w:rFonts w:hint="eastAsia" w:ascii="宋体" w:hAnsi="宋体" w:cs="Arial"/>
                <w:sz w:val="24"/>
              </w:rPr>
            </w:pPr>
          </w:p>
        </w:tc>
      </w:tr>
      <w:tr w14:paraId="20E4DE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723F41D5">
            <w:pPr>
              <w:spacing w:line="360" w:lineRule="auto"/>
              <w:jc w:val="center"/>
              <w:rPr>
                <w:rFonts w:hint="eastAsia" w:ascii="宋体" w:hAnsi="宋体" w:cs="Arial"/>
                <w:sz w:val="24"/>
              </w:rPr>
            </w:pPr>
          </w:p>
        </w:tc>
        <w:tc>
          <w:tcPr>
            <w:tcW w:w="3420" w:type="dxa"/>
            <w:noWrap w:val="0"/>
            <w:vAlign w:val="center"/>
          </w:tcPr>
          <w:p w14:paraId="1910CC87">
            <w:pPr>
              <w:jc w:val="center"/>
              <w:rPr>
                <w:rFonts w:hint="eastAsia" w:ascii="宋体" w:hAnsi="宋体" w:cs="Arial"/>
                <w:sz w:val="24"/>
              </w:rPr>
            </w:pPr>
          </w:p>
        </w:tc>
        <w:tc>
          <w:tcPr>
            <w:tcW w:w="2880" w:type="dxa"/>
            <w:noWrap w:val="0"/>
            <w:vAlign w:val="center"/>
          </w:tcPr>
          <w:p w14:paraId="76B4AB2D">
            <w:pPr>
              <w:jc w:val="center"/>
              <w:rPr>
                <w:rFonts w:hint="eastAsia" w:ascii="宋体" w:hAnsi="宋体" w:cs="Arial"/>
                <w:sz w:val="24"/>
              </w:rPr>
            </w:pPr>
          </w:p>
        </w:tc>
        <w:tc>
          <w:tcPr>
            <w:tcW w:w="1080" w:type="dxa"/>
            <w:noWrap w:val="0"/>
            <w:vAlign w:val="center"/>
          </w:tcPr>
          <w:p w14:paraId="0EA738EE">
            <w:pPr>
              <w:spacing w:line="360" w:lineRule="auto"/>
              <w:jc w:val="center"/>
              <w:rPr>
                <w:rFonts w:hint="eastAsia" w:ascii="宋体" w:hAnsi="宋体" w:cs="Arial"/>
                <w:sz w:val="24"/>
              </w:rPr>
            </w:pPr>
          </w:p>
        </w:tc>
        <w:tc>
          <w:tcPr>
            <w:tcW w:w="1080" w:type="dxa"/>
            <w:noWrap w:val="0"/>
            <w:vAlign w:val="center"/>
          </w:tcPr>
          <w:p w14:paraId="615DB940">
            <w:pPr>
              <w:spacing w:line="360" w:lineRule="auto"/>
              <w:jc w:val="center"/>
              <w:rPr>
                <w:rFonts w:hint="eastAsia" w:ascii="宋体" w:hAnsi="宋体" w:cs="Arial"/>
                <w:sz w:val="24"/>
              </w:rPr>
            </w:pPr>
          </w:p>
        </w:tc>
      </w:tr>
      <w:tr w14:paraId="55F764C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69FA52C5">
            <w:pPr>
              <w:spacing w:line="360" w:lineRule="auto"/>
              <w:jc w:val="center"/>
              <w:rPr>
                <w:rFonts w:hint="eastAsia" w:ascii="宋体" w:hAnsi="宋体" w:cs="Arial"/>
                <w:sz w:val="24"/>
              </w:rPr>
            </w:pPr>
          </w:p>
        </w:tc>
        <w:tc>
          <w:tcPr>
            <w:tcW w:w="3420" w:type="dxa"/>
            <w:noWrap w:val="0"/>
            <w:vAlign w:val="center"/>
          </w:tcPr>
          <w:p w14:paraId="76008C0C">
            <w:pPr>
              <w:jc w:val="center"/>
              <w:rPr>
                <w:rFonts w:hint="eastAsia" w:ascii="宋体" w:hAnsi="宋体" w:cs="Arial"/>
                <w:sz w:val="24"/>
              </w:rPr>
            </w:pPr>
          </w:p>
        </w:tc>
        <w:tc>
          <w:tcPr>
            <w:tcW w:w="2880" w:type="dxa"/>
            <w:noWrap w:val="0"/>
            <w:vAlign w:val="center"/>
          </w:tcPr>
          <w:p w14:paraId="34F2D08D">
            <w:pPr>
              <w:jc w:val="center"/>
              <w:rPr>
                <w:rFonts w:hint="eastAsia" w:ascii="宋体" w:hAnsi="宋体" w:cs="Arial"/>
                <w:sz w:val="24"/>
              </w:rPr>
            </w:pPr>
          </w:p>
        </w:tc>
        <w:tc>
          <w:tcPr>
            <w:tcW w:w="1080" w:type="dxa"/>
            <w:noWrap w:val="0"/>
            <w:vAlign w:val="center"/>
          </w:tcPr>
          <w:p w14:paraId="46935181">
            <w:pPr>
              <w:spacing w:line="360" w:lineRule="auto"/>
              <w:jc w:val="center"/>
              <w:rPr>
                <w:rFonts w:hint="eastAsia" w:ascii="宋体" w:hAnsi="宋体" w:cs="Arial"/>
                <w:sz w:val="24"/>
              </w:rPr>
            </w:pPr>
          </w:p>
        </w:tc>
        <w:tc>
          <w:tcPr>
            <w:tcW w:w="1080" w:type="dxa"/>
            <w:noWrap w:val="0"/>
            <w:vAlign w:val="center"/>
          </w:tcPr>
          <w:p w14:paraId="0482051F">
            <w:pPr>
              <w:spacing w:line="360" w:lineRule="auto"/>
              <w:jc w:val="center"/>
              <w:rPr>
                <w:rFonts w:hint="eastAsia" w:ascii="宋体" w:hAnsi="宋体" w:cs="Arial"/>
                <w:sz w:val="24"/>
              </w:rPr>
            </w:pPr>
          </w:p>
        </w:tc>
      </w:tr>
      <w:tr w14:paraId="1351A47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09062B03">
            <w:pPr>
              <w:spacing w:line="360" w:lineRule="auto"/>
              <w:jc w:val="center"/>
              <w:rPr>
                <w:rFonts w:hint="eastAsia" w:ascii="宋体" w:hAnsi="宋体" w:cs="Arial"/>
                <w:sz w:val="24"/>
              </w:rPr>
            </w:pPr>
          </w:p>
        </w:tc>
        <w:tc>
          <w:tcPr>
            <w:tcW w:w="3420" w:type="dxa"/>
            <w:noWrap w:val="0"/>
            <w:vAlign w:val="center"/>
          </w:tcPr>
          <w:p w14:paraId="27EA6791">
            <w:pPr>
              <w:rPr>
                <w:rFonts w:hint="eastAsia" w:ascii="宋体" w:hAnsi="宋体" w:cs="Arial"/>
                <w:spacing w:val="-6"/>
                <w:sz w:val="24"/>
              </w:rPr>
            </w:pPr>
          </w:p>
        </w:tc>
        <w:tc>
          <w:tcPr>
            <w:tcW w:w="2880" w:type="dxa"/>
            <w:noWrap w:val="0"/>
            <w:vAlign w:val="center"/>
          </w:tcPr>
          <w:p w14:paraId="05E9CD7E">
            <w:pPr>
              <w:jc w:val="center"/>
              <w:rPr>
                <w:rFonts w:hint="eastAsia" w:ascii="宋体" w:hAnsi="宋体" w:cs="Arial"/>
                <w:sz w:val="24"/>
              </w:rPr>
            </w:pPr>
          </w:p>
        </w:tc>
        <w:tc>
          <w:tcPr>
            <w:tcW w:w="1080" w:type="dxa"/>
            <w:noWrap w:val="0"/>
            <w:vAlign w:val="center"/>
          </w:tcPr>
          <w:p w14:paraId="6E33EDC1">
            <w:pPr>
              <w:spacing w:line="360" w:lineRule="auto"/>
              <w:jc w:val="center"/>
              <w:rPr>
                <w:rFonts w:hint="eastAsia" w:ascii="宋体" w:hAnsi="宋体" w:cs="Arial"/>
                <w:sz w:val="24"/>
              </w:rPr>
            </w:pPr>
          </w:p>
        </w:tc>
        <w:tc>
          <w:tcPr>
            <w:tcW w:w="1080" w:type="dxa"/>
            <w:noWrap w:val="0"/>
            <w:vAlign w:val="center"/>
          </w:tcPr>
          <w:p w14:paraId="2B7CE22E">
            <w:pPr>
              <w:spacing w:line="360" w:lineRule="auto"/>
              <w:jc w:val="center"/>
              <w:rPr>
                <w:rFonts w:hint="eastAsia" w:ascii="宋体" w:hAnsi="宋体" w:cs="Arial"/>
                <w:sz w:val="24"/>
              </w:rPr>
            </w:pPr>
          </w:p>
        </w:tc>
      </w:tr>
      <w:tr w14:paraId="7F0B6D4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58B351FF">
            <w:pPr>
              <w:spacing w:line="360" w:lineRule="auto"/>
              <w:jc w:val="center"/>
              <w:rPr>
                <w:rFonts w:hint="eastAsia" w:ascii="宋体" w:hAnsi="宋体" w:cs="Arial"/>
                <w:sz w:val="24"/>
              </w:rPr>
            </w:pPr>
          </w:p>
        </w:tc>
        <w:tc>
          <w:tcPr>
            <w:tcW w:w="3420" w:type="dxa"/>
            <w:noWrap w:val="0"/>
            <w:vAlign w:val="center"/>
          </w:tcPr>
          <w:p w14:paraId="63762BD6">
            <w:pPr>
              <w:rPr>
                <w:rFonts w:hint="eastAsia" w:ascii="宋体" w:hAnsi="宋体"/>
                <w:spacing w:val="-10"/>
                <w:sz w:val="24"/>
              </w:rPr>
            </w:pPr>
          </w:p>
        </w:tc>
        <w:tc>
          <w:tcPr>
            <w:tcW w:w="2880" w:type="dxa"/>
            <w:noWrap w:val="0"/>
            <w:vAlign w:val="center"/>
          </w:tcPr>
          <w:p w14:paraId="0777D8F9">
            <w:pPr>
              <w:jc w:val="center"/>
              <w:rPr>
                <w:rFonts w:hint="eastAsia" w:ascii="宋体" w:hAnsi="宋体" w:cs="Arial"/>
                <w:sz w:val="24"/>
              </w:rPr>
            </w:pPr>
          </w:p>
        </w:tc>
        <w:tc>
          <w:tcPr>
            <w:tcW w:w="1080" w:type="dxa"/>
            <w:noWrap w:val="0"/>
            <w:vAlign w:val="center"/>
          </w:tcPr>
          <w:p w14:paraId="66D4090C">
            <w:pPr>
              <w:spacing w:line="360" w:lineRule="auto"/>
              <w:jc w:val="center"/>
              <w:rPr>
                <w:rFonts w:hint="eastAsia" w:ascii="宋体" w:hAnsi="宋体" w:cs="Arial"/>
                <w:sz w:val="24"/>
              </w:rPr>
            </w:pPr>
          </w:p>
        </w:tc>
        <w:tc>
          <w:tcPr>
            <w:tcW w:w="1080" w:type="dxa"/>
            <w:noWrap w:val="0"/>
            <w:vAlign w:val="center"/>
          </w:tcPr>
          <w:p w14:paraId="33F29CD6">
            <w:pPr>
              <w:spacing w:line="360" w:lineRule="auto"/>
              <w:jc w:val="center"/>
              <w:rPr>
                <w:rFonts w:hint="eastAsia" w:ascii="宋体" w:hAnsi="宋体" w:cs="Arial"/>
                <w:sz w:val="24"/>
              </w:rPr>
            </w:pPr>
          </w:p>
        </w:tc>
      </w:tr>
      <w:tr w14:paraId="2DEAD75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62DE194B">
            <w:pPr>
              <w:spacing w:line="360" w:lineRule="auto"/>
              <w:jc w:val="center"/>
              <w:rPr>
                <w:rFonts w:hint="eastAsia" w:ascii="宋体" w:hAnsi="宋体" w:cs="Arial"/>
                <w:sz w:val="24"/>
              </w:rPr>
            </w:pPr>
          </w:p>
        </w:tc>
        <w:tc>
          <w:tcPr>
            <w:tcW w:w="3420" w:type="dxa"/>
            <w:noWrap w:val="0"/>
            <w:vAlign w:val="center"/>
          </w:tcPr>
          <w:p w14:paraId="2F916FAA">
            <w:pPr>
              <w:jc w:val="center"/>
              <w:rPr>
                <w:rFonts w:hint="eastAsia" w:ascii="宋体" w:hAnsi="宋体" w:cs="Arial"/>
                <w:sz w:val="24"/>
              </w:rPr>
            </w:pPr>
          </w:p>
        </w:tc>
        <w:tc>
          <w:tcPr>
            <w:tcW w:w="2880" w:type="dxa"/>
            <w:noWrap w:val="0"/>
            <w:vAlign w:val="center"/>
          </w:tcPr>
          <w:p w14:paraId="4C08EE9D">
            <w:pPr>
              <w:jc w:val="center"/>
              <w:rPr>
                <w:rFonts w:hint="eastAsia" w:ascii="宋体" w:hAnsi="宋体" w:cs="Arial"/>
                <w:sz w:val="24"/>
              </w:rPr>
            </w:pPr>
          </w:p>
        </w:tc>
        <w:tc>
          <w:tcPr>
            <w:tcW w:w="1080" w:type="dxa"/>
            <w:noWrap w:val="0"/>
            <w:vAlign w:val="center"/>
          </w:tcPr>
          <w:p w14:paraId="6C7370DC">
            <w:pPr>
              <w:spacing w:line="360" w:lineRule="auto"/>
              <w:jc w:val="center"/>
              <w:rPr>
                <w:rFonts w:hint="eastAsia" w:ascii="宋体" w:hAnsi="宋体" w:cs="Arial"/>
                <w:sz w:val="24"/>
              </w:rPr>
            </w:pPr>
          </w:p>
        </w:tc>
        <w:tc>
          <w:tcPr>
            <w:tcW w:w="1080" w:type="dxa"/>
            <w:noWrap w:val="0"/>
            <w:vAlign w:val="center"/>
          </w:tcPr>
          <w:p w14:paraId="44156F9B">
            <w:pPr>
              <w:spacing w:line="360" w:lineRule="auto"/>
              <w:jc w:val="center"/>
              <w:rPr>
                <w:rFonts w:hint="eastAsia" w:ascii="宋体" w:hAnsi="宋体" w:cs="Arial"/>
                <w:sz w:val="24"/>
              </w:rPr>
            </w:pPr>
          </w:p>
        </w:tc>
      </w:tr>
      <w:tr w14:paraId="1C4E5E5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noWrap w:val="0"/>
            <w:vAlign w:val="center"/>
          </w:tcPr>
          <w:p w14:paraId="6443E4C3">
            <w:pPr>
              <w:spacing w:line="360" w:lineRule="auto"/>
              <w:jc w:val="center"/>
              <w:rPr>
                <w:rFonts w:hint="eastAsia" w:ascii="宋体" w:hAnsi="宋体" w:cs="Arial"/>
                <w:sz w:val="24"/>
              </w:rPr>
            </w:pPr>
          </w:p>
        </w:tc>
        <w:tc>
          <w:tcPr>
            <w:tcW w:w="3420" w:type="dxa"/>
            <w:noWrap w:val="0"/>
            <w:vAlign w:val="center"/>
          </w:tcPr>
          <w:p w14:paraId="3F3E0604">
            <w:pPr>
              <w:rPr>
                <w:rFonts w:hint="eastAsia" w:ascii="宋体" w:hAnsi="宋体"/>
                <w:spacing w:val="-10"/>
                <w:sz w:val="24"/>
              </w:rPr>
            </w:pPr>
          </w:p>
        </w:tc>
        <w:tc>
          <w:tcPr>
            <w:tcW w:w="2880" w:type="dxa"/>
            <w:noWrap w:val="0"/>
            <w:vAlign w:val="center"/>
          </w:tcPr>
          <w:p w14:paraId="3BF41FE7">
            <w:pPr>
              <w:jc w:val="center"/>
              <w:rPr>
                <w:rFonts w:hint="eastAsia" w:ascii="宋体" w:hAnsi="宋体" w:cs="Arial"/>
                <w:sz w:val="24"/>
              </w:rPr>
            </w:pPr>
          </w:p>
        </w:tc>
        <w:tc>
          <w:tcPr>
            <w:tcW w:w="1080" w:type="dxa"/>
            <w:noWrap w:val="0"/>
            <w:vAlign w:val="center"/>
          </w:tcPr>
          <w:p w14:paraId="70651E7B">
            <w:pPr>
              <w:spacing w:line="360" w:lineRule="auto"/>
              <w:jc w:val="center"/>
              <w:rPr>
                <w:rFonts w:hint="eastAsia" w:ascii="宋体" w:hAnsi="宋体" w:cs="Arial"/>
                <w:sz w:val="24"/>
              </w:rPr>
            </w:pPr>
          </w:p>
        </w:tc>
        <w:tc>
          <w:tcPr>
            <w:tcW w:w="1080" w:type="dxa"/>
            <w:noWrap w:val="0"/>
            <w:vAlign w:val="center"/>
          </w:tcPr>
          <w:p w14:paraId="4A79F3EF">
            <w:pPr>
              <w:spacing w:line="360" w:lineRule="auto"/>
              <w:jc w:val="center"/>
              <w:rPr>
                <w:rFonts w:hint="eastAsia" w:ascii="宋体" w:hAnsi="宋体" w:cs="Arial"/>
                <w:sz w:val="24"/>
              </w:rPr>
            </w:pPr>
          </w:p>
        </w:tc>
      </w:tr>
    </w:tbl>
    <w:p w14:paraId="147B745C">
      <w:pPr>
        <w:spacing w:line="520" w:lineRule="exact"/>
        <w:ind w:firstLine="120"/>
        <w:rPr>
          <w:rFonts w:hint="eastAsia" w:ascii="宋体" w:hAnsi="宋体"/>
          <w:sz w:val="24"/>
          <w:u w:val="single"/>
        </w:rPr>
      </w:pPr>
      <w:r>
        <w:rPr>
          <w:rFonts w:hint="eastAsia" w:ascii="宋体" w:hAnsi="宋体"/>
          <w:sz w:val="24"/>
        </w:rPr>
        <w:t>谈判供应商：</w:t>
      </w:r>
      <w:r>
        <w:rPr>
          <w:rFonts w:hint="eastAsia" w:ascii="宋体" w:hAnsi="宋体"/>
          <w:sz w:val="24"/>
          <w:u w:val="single"/>
        </w:rPr>
        <w:t xml:space="preserve">   （</w:t>
      </w:r>
      <w:r>
        <w:rPr>
          <w:rFonts w:hint="eastAsia" w:ascii="宋体" w:hAnsi="宋体"/>
          <w:sz w:val="24"/>
          <w:u w:val="single"/>
          <w:lang w:eastAsia="zh-CN"/>
        </w:rPr>
        <w:t>电子签章</w:t>
      </w:r>
      <w:r>
        <w:rPr>
          <w:rFonts w:hint="eastAsia" w:ascii="宋体" w:hAnsi="宋体"/>
          <w:sz w:val="24"/>
          <w:u w:val="single"/>
        </w:rPr>
        <w:t xml:space="preserve">）    </w:t>
      </w:r>
    </w:p>
    <w:p w14:paraId="3F111920">
      <w:pPr>
        <w:spacing w:line="520" w:lineRule="exact"/>
        <w:ind w:firstLine="120"/>
        <w:rPr>
          <w:rFonts w:hint="eastAsia" w:ascii="宋体" w:hAnsi="宋体"/>
          <w:sz w:val="24"/>
        </w:rPr>
      </w:pPr>
      <w:r>
        <w:rPr>
          <w:rFonts w:hint="eastAsia" w:ascii="宋体" w:hAnsi="宋体"/>
          <w:sz w:val="24"/>
        </w:rPr>
        <w:t>法定代表人签字：</w:t>
      </w:r>
      <w:r>
        <w:rPr>
          <w:rFonts w:hint="eastAsia" w:ascii="宋体" w:hAnsi="宋体"/>
          <w:sz w:val="24"/>
          <w:u w:val="single"/>
        </w:rPr>
        <w:t xml:space="preserve">    </w:t>
      </w:r>
      <w:r>
        <w:rPr>
          <w:rFonts w:hint="eastAsia" w:hAnsi="宋体"/>
          <w:sz w:val="24"/>
          <w:u w:val="single"/>
          <w:lang w:eastAsia="zh-CN"/>
        </w:rPr>
        <w:t>（</w:t>
      </w:r>
      <w:r>
        <w:rPr>
          <w:rFonts w:hint="eastAsia" w:hAnsi="宋体"/>
          <w:sz w:val="24"/>
          <w:u w:val="single"/>
          <w:lang w:val="en-US" w:eastAsia="zh-CN"/>
        </w:rPr>
        <w:t>电子</w:t>
      </w:r>
      <w:r>
        <w:rPr>
          <w:rFonts w:hint="eastAsia" w:hAnsi="宋体"/>
          <w:sz w:val="24"/>
          <w:u w:val="single"/>
          <w:lang w:eastAsia="zh-CN"/>
        </w:rPr>
        <w:t>签章或签字）</w:t>
      </w:r>
      <w:r>
        <w:rPr>
          <w:rFonts w:hint="eastAsia" w:ascii="宋体" w:hAnsi="宋体"/>
          <w:sz w:val="24"/>
          <w:u w:val="single"/>
        </w:rPr>
        <w:t xml:space="preserve">             </w:t>
      </w:r>
    </w:p>
    <w:p w14:paraId="041FC8B6">
      <w:pPr>
        <w:spacing w:line="440" w:lineRule="exact"/>
        <w:rPr>
          <w:rFonts w:ascii="宋体" w:hAnsi="宋体"/>
          <w:sz w:val="24"/>
        </w:rPr>
      </w:pPr>
      <w:r>
        <w:rPr>
          <w:rFonts w:hint="eastAsia" w:ascii="宋体" w:hAnsi="宋体"/>
          <w:sz w:val="24"/>
        </w:rPr>
        <w:t xml:space="preserve">     注：（</w:t>
      </w:r>
      <w:r>
        <w:rPr>
          <w:rFonts w:ascii="宋体" w:hAnsi="宋体"/>
          <w:sz w:val="24"/>
        </w:rPr>
        <w:t>1</w:t>
      </w:r>
      <w:r>
        <w:rPr>
          <w:rFonts w:hint="eastAsia" w:ascii="宋体" w:hAnsi="宋体"/>
          <w:sz w:val="24"/>
        </w:rPr>
        <w:t>）此表为表样，行数可自行添加，但表式不变。</w:t>
      </w:r>
      <w:r>
        <w:rPr>
          <w:rFonts w:ascii="宋体" w:hAnsi="宋体"/>
          <w:sz w:val="24"/>
        </w:rPr>
        <w:t xml:space="preserve"> </w:t>
      </w:r>
    </w:p>
    <w:p w14:paraId="7873F032">
      <w:pPr>
        <w:spacing w:line="440" w:lineRule="exact"/>
        <w:ind w:firstLine="360"/>
        <w:rPr>
          <w:rFonts w:hint="eastAsia" w:ascii="宋体" w:hAnsi="宋体"/>
          <w:sz w:val="24"/>
        </w:rPr>
      </w:pPr>
      <w:r>
        <w:rPr>
          <w:rFonts w:hint="eastAsia" w:ascii="宋体" w:hAnsi="宋体"/>
          <w:sz w:val="24"/>
        </w:rPr>
        <w:t>（2）是否偏离用符号</w:t>
      </w:r>
      <w:r>
        <w:rPr>
          <w:rFonts w:ascii="宋体" w:hAnsi="宋体"/>
          <w:sz w:val="24"/>
        </w:rPr>
        <w:t>“+</w:t>
      </w:r>
      <w:r>
        <w:rPr>
          <w:rFonts w:hint="eastAsia" w:ascii="宋体" w:hAnsi="宋体"/>
          <w:sz w:val="24"/>
        </w:rPr>
        <w:t>、</w:t>
      </w:r>
      <w:r>
        <w:rPr>
          <w:rFonts w:ascii="宋体" w:hAnsi="宋体"/>
          <w:sz w:val="24"/>
        </w:rPr>
        <w:t>=</w:t>
      </w:r>
      <w:r>
        <w:rPr>
          <w:rFonts w:hint="eastAsia" w:ascii="宋体" w:hAnsi="宋体"/>
          <w:sz w:val="24"/>
        </w:rPr>
        <w:t>、</w:t>
      </w:r>
      <w:r>
        <w:rPr>
          <w:rFonts w:ascii="宋体" w:hAnsi="宋体"/>
          <w:sz w:val="24"/>
        </w:rPr>
        <w:t>-”</w:t>
      </w:r>
      <w:r>
        <w:rPr>
          <w:rFonts w:hint="eastAsia" w:ascii="宋体" w:hAnsi="宋体"/>
          <w:sz w:val="24"/>
        </w:rPr>
        <w:t>分别表示正偏离、完全响应、负偏离。</w:t>
      </w:r>
      <w:r>
        <w:rPr>
          <w:rFonts w:ascii="宋体" w:hAnsi="宋体"/>
          <w:sz w:val="24"/>
        </w:rPr>
        <w:t xml:space="preserve"> </w:t>
      </w:r>
    </w:p>
    <w:p w14:paraId="0F34651A">
      <w:pPr>
        <w:spacing w:line="440" w:lineRule="exact"/>
        <w:ind w:firstLine="360"/>
        <w:rPr>
          <w:rFonts w:hint="eastAsia" w:ascii="宋体" w:hAnsi="宋体"/>
          <w:sz w:val="24"/>
        </w:rPr>
      </w:pPr>
      <w:r>
        <w:rPr>
          <w:rFonts w:hint="eastAsia" w:ascii="宋体" w:hAnsi="宋体"/>
          <w:sz w:val="24"/>
        </w:rPr>
        <w:t>（3）谈判供应商必须仔细阅读本谈判文件第一章第五部分中所有技术规范条款和相关功能要求，并将响应情况及偏离情况逐项填入上表。</w:t>
      </w:r>
    </w:p>
    <w:p w14:paraId="4474E593">
      <w:pPr>
        <w:spacing w:line="440" w:lineRule="exact"/>
        <w:ind w:firstLine="360"/>
        <w:rPr>
          <w:rFonts w:hint="eastAsia" w:ascii="宋体" w:hAnsi="宋体"/>
          <w:sz w:val="24"/>
        </w:rPr>
      </w:pPr>
    </w:p>
    <w:p w14:paraId="44EF211A">
      <w:pPr>
        <w:spacing w:line="440" w:lineRule="exact"/>
        <w:ind w:firstLine="360"/>
        <w:rPr>
          <w:rFonts w:hint="eastAsia" w:ascii="宋体" w:hAnsi="宋体"/>
          <w:sz w:val="24"/>
        </w:rPr>
      </w:pPr>
    </w:p>
    <w:p w14:paraId="659B9E79">
      <w:pPr>
        <w:spacing w:line="440" w:lineRule="exact"/>
        <w:ind w:firstLine="360"/>
        <w:rPr>
          <w:rFonts w:hint="eastAsia" w:ascii="宋体" w:hAnsi="宋体"/>
          <w:sz w:val="24"/>
        </w:rPr>
      </w:pPr>
    </w:p>
    <w:p w14:paraId="259A773E">
      <w:pPr>
        <w:spacing w:line="440" w:lineRule="exact"/>
        <w:ind w:firstLine="360"/>
        <w:rPr>
          <w:rFonts w:hint="eastAsia" w:ascii="宋体" w:hAnsi="宋体"/>
          <w:sz w:val="24"/>
        </w:rPr>
      </w:pPr>
    </w:p>
    <w:p w14:paraId="5BE10E3A">
      <w:pPr>
        <w:pStyle w:val="192"/>
        <w:spacing w:before="0" w:after="0" w:line="300" w:lineRule="auto"/>
        <w:jc w:val="center"/>
        <w:rPr>
          <w:rFonts w:hint="eastAsia" w:ascii="宋体" w:hAnsi="宋体" w:eastAsia="宋体"/>
          <w:bCs/>
          <w:sz w:val="28"/>
          <w:szCs w:val="28"/>
        </w:rPr>
      </w:pPr>
      <w:bookmarkStart w:id="70" w:name="_Toc455472192"/>
      <w:bookmarkStart w:id="71" w:name="_Toc148347161"/>
      <w:r>
        <w:rPr>
          <w:rFonts w:hint="eastAsia" w:ascii="宋体" w:hAnsi="宋体" w:eastAsia="宋体"/>
          <w:bCs/>
          <w:sz w:val="28"/>
          <w:szCs w:val="28"/>
          <w:lang w:val="en-US" w:eastAsia="zh-CN"/>
        </w:rPr>
        <w:t>五</w:t>
      </w:r>
      <w:r>
        <w:rPr>
          <w:rFonts w:hint="eastAsia" w:ascii="宋体" w:hAnsi="宋体" w:eastAsia="宋体"/>
          <w:bCs/>
          <w:sz w:val="28"/>
          <w:szCs w:val="28"/>
        </w:rPr>
        <w:t>、资质审查时谈判供应商必须提交的资格证明文件</w:t>
      </w:r>
      <w:bookmarkEnd w:id="70"/>
      <w:bookmarkEnd w:id="71"/>
    </w:p>
    <w:p w14:paraId="23D725A2">
      <w:pPr>
        <w:spacing w:line="520" w:lineRule="exact"/>
        <w:ind w:firstLine="480"/>
        <w:rPr>
          <w:rFonts w:ascii="宋体" w:hAnsi="宋体"/>
          <w:sz w:val="24"/>
        </w:rPr>
      </w:pPr>
      <w:r>
        <w:rPr>
          <w:rFonts w:hint="eastAsia" w:ascii="宋体" w:hAnsi="宋体"/>
          <w:sz w:val="24"/>
        </w:rPr>
        <w:t>1、供应商提供下列材料之一</w:t>
      </w:r>
      <w:r>
        <w:rPr>
          <w:rFonts w:hint="eastAsia" w:ascii="宋体" w:hAnsi="宋体"/>
          <w:sz w:val="24"/>
          <w:lang w:eastAsia="zh-CN"/>
        </w:rPr>
        <w:t>：</w:t>
      </w:r>
    </w:p>
    <w:p w14:paraId="1974AE4B">
      <w:pPr>
        <w:spacing w:line="520" w:lineRule="exact"/>
        <w:ind w:firstLine="360"/>
        <w:rPr>
          <w:rFonts w:hint="eastAsia" w:ascii="宋体" w:hAnsi="宋体"/>
          <w:sz w:val="24"/>
        </w:rPr>
      </w:pPr>
      <w:r>
        <w:rPr>
          <w:rFonts w:hint="eastAsia" w:ascii="宋体" w:hAnsi="宋体"/>
          <w:sz w:val="24"/>
        </w:rPr>
        <w:t>（1）供应商提供</w:t>
      </w:r>
      <w:r>
        <w:rPr>
          <w:rFonts w:hint="eastAsia" w:ascii="宋体" w:hAnsi="宋体" w:cs="Arial"/>
          <w:bCs/>
          <w:sz w:val="24"/>
        </w:rPr>
        <w:t>法定代表人资格证明</w:t>
      </w:r>
      <w:r>
        <w:rPr>
          <w:rFonts w:hint="eastAsia" w:ascii="宋体" w:hAnsi="宋体"/>
          <w:sz w:val="24"/>
        </w:rPr>
        <w:t>（必须提供，格式按照第</w:t>
      </w:r>
      <w:r>
        <w:rPr>
          <w:rFonts w:hint="eastAsia" w:ascii="宋体" w:hAnsi="宋体"/>
          <w:sz w:val="24"/>
          <w:lang w:val="en-US" w:eastAsia="zh-CN"/>
        </w:rPr>
        <w:t>八</w:t>
      </w:r>
      <w:r>
        <w:rPr>
          <w:rFonts w:hint="eastAsia" w:ascii="宋体" w:hAnsi="宋体"/>
          <w:sz w:val="24"/>
        </w:rPr>
        <w:t>部分示范格式一）和</w:t>
      </w:r>
      <w:r>
        <w:rPr>
          <w:rFonts w:hint="eastAsia" w:ascii="宋体" w:hAnsi="宋体"/>
          <w:bCs/>
          <w:sz w:val="24"/>
        </w:rPr>
        <w:t>法定代表人身份证（扫描件并加盖</w:t>
      </w:r>
      <w:r>
        <w:rPr>
          <w:rFonts w:hint="eastAsia" w:ascii="宋体" w:hAnsi="宋体"/>
          <w:sz w:val="24"/>
        </w:rPr>
        <w:t>供应商</w:t>
      </w:r>
      <w:r>
        <w:rPr>
          <w:rFonts w:hint="eastAsia" w:ascii="宋体" w:hAnsi="宋体"/>
          <w:sz w:val="24"/>
          <w:lang w:eastAsia="zh-CN"/>
        </w:rPr>
        <w:t>电子签章</w:t>
      </w:r>
      <w:r>
        <w:rPr>
          <w:rFonts w:hint="eastAsia" w:ascii="宋体" w:hAnsi="宋体"/>
          <w:bCs/>
          <w:sz w:val="24"/>
        </w:rPr>
        <w:t>）</w:t>
      </w:r>
      <w:r>
        <w:rPr>
          <w:rFonts w:hint="eastAsia" w:ascii="宋体" w:hAnsi="宋体"/>
          <w:sz w:val="24"/>
        </w:rPr>
        <w:t>；</w:t>
      </w:r>
    </w:p>
    <w:p w14:paraId="01B399A5">
      <w:pPr>
        <w:spacing w:line="520" w:lineRule="exact"/>
        <w:ind w:firstLine="360"/>
        <w:rPr>
          <w:rFonts w:hint="eastAsia" w:ascii="宋体" w:hAnsi="宋体"/>
          <w:sz w:val="24"/>
        </w:rPr>
      </w:pPr>
      <w:r>
        <w:rPr>
          <w:rFonts w:hint="eastAsia" w:ascii="宋体" w:hAnsi="宋体"/>
          <w:sz w:val="24"/>
        </w:rPr>
        <w:t>（2）供应商提供授权委托书（必须提供，格式按照第</w:t>
      </w:r>
      <w:r>
        <w:rPr>
          <w:rFonts w:hint="eastAsia" w:ascii="宋体" w:hAnsi="宋体"/>
          <w:sz w:val="24"/>
          <w:lang w:val="en-US" w:eastAsia="zh-CN"/>
        </w:rPr>
        <w:t>八</w:t>
      </w:r>
      <w:r>
        <w:rPr>
          <w:rFonts w:hint="eastAsia" w:ascii="宋体" w:hAnsi="宋体"/>
          <w:sz w:val="24"/>
        </w:rPr>
        <w:t>部分示范格式二）和</w:t>
      </w:r>
      <w:r>
        <w:rPr>
          <w:rFonts w:hint="eastAsia" w:ascii="宋体" w:hAnsi="宋体"/>
          <w:bCs/>
          <w:sz w:val="24"/>
        </w:rPr>
        <w:t>受托人身份证（扫描件并加盖</w:t>
      </w:r>
      <w:r>
        <w:rPr>
          <w:rFonts w:hint="eastAsia" w:ascii="宋体" w:hAnsi="宋体"/>
          <w:sz w:val="24"/>
        </w:rPr>
        <w:t>供应商</w:t>
      </w:r>
      <w:r>
        <w:rPr>
          <w:rFonts w:hint="eastAsia" w:ascii="宋体" w:hAnsi="宋体"/>
          <w:sz w:val="24"/>
          <w:lang w:eastAsia="zh-CN"/>
        </w:rPr>
        <w:t>电子签章</w:t>
      </w:r>
      <w:r>
        <w:rPr>
          <w:rFonts w:hint="eastAsia" w:ascii="宋体" w:hAnsi="宋体"/>
          <w:bCs/>
          <w:sz w:val="24"/>
        </w:rPr>
        <w:t>）</w:t>
      </w:r>
      <w:r>
        <w:rPr>
          <w:rFonts w:hint="eastAsia" w:ascii="宋体" w:hAnsi="宋体"/>
          <w:sz w:val="24"/>
        </w:rPr>
        <w:t>。</w:t>
      </w:r>
    </w:p>
    <w:p w14:paraId="69F9A45B">
      <w:pPr>
        <w:spacing w:line="520" w:lineRule="exact"/>
        <w:ind w:firstLine="480"/>
        <w:rPr>
          <w:rFonts w:hint="eastAsia" w:ascii="宋体" w:hAnsi="宋体"/>
          <w:color w:val="000000" w:themeColor="text1"/>
          <w:sz w:val="24"/>
          <w:lang w:val="zh-CN"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2.供应商符合《中华人民共和国政府采购法》第二十二条规定条件的承诺函</w:t>
      </w:r>
      <w:r>
        <w:rPr>
          <w:rFonts w:hint="eastAsia" w:ascii="宋体" w:hAnsi="宋体"/>
          <w:color w:val="000000" w:themeColor="text1"/>
          <w:sz w:val="24"/>
          <w:lang w:val="zh-CN" w:eastAsia="zh-CN"/>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原件并加盖供应商电子签章，详见</w:t>
      </w:r>
      <w:r>
        <w:rPr>
          <w:rFonts w:hint="eastAsia" w:ascii="宋体" w:hAnsi="宋体"/>
          <w:sz w:val="24"/>
        </w:rPr>
        <w:t>第</w:t>
      </w:r>
      <w:r>
        <w:rPr>
          <w:rFonts w:hint="eastAsia" w:ascii="宋体" w:hAnsi="宋体"/>
          <w:sz w:val="24"/>
          <w:lang w:val="en-US" w:eastAsia="zh-CN"/>
        </w:rPr>
        <w:t>八</w:t>
      </w:r>
      <w:r>
        <w:rPr>
          <w:rFonts w:hint="eastAsia" w:ascii="宋体" w:hAnsi="宋体"/>
          <w:sz w:val="24"/>
        </w:rPr>
        <w:t>部分</w:t>
      </w:r>
      <w:r>
        <w:rPr>
          <w:rFonts w:hint="eastAsia" w:ascii="宋体" w:hAnsi="宋体"/>
          <w:color w:val="000000" w:themeColor="text1"/>
          <w:sz w:val="24"/>
          <w:lang w:val="en-US" w:eastAsia="zh-CN"/>
          <w14:textFill>
            <w14:solidFill>
              <w14:schemeClr w14:val="tx1"/>
            </w14:solidFill>
          </w14:textFill>
        </w:rPr>
        <w:t>范格式三</w:t>
      </w:r>
      <w:r>
        <w:rPr>
          <w:rFonts w:hint="eastAsia" w:ascii="宋体" w:hAnsi="宋体"/>
          <w:color w:val="000000" w:themeColor="text1"/>
          <w:sz w:val="24"/>
          <w:lang w:val="zh-CN" w:eastAsia="zh-CN"/>
          <w14:textFill>
            <w14:solidFill>
              <w14:schemeClr w14:val="tx1"/>
            </w14:solidFill>
          </w14:textFill>
        </w:rPr>
        <w:t>）</w:t>
      </w:r>
    </w:p>
    <w:p w14:paraId="573D6A11">
      <w:pPr>
        <w:spacing w:line="52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3</w:t>
      </w:r>
      <w:r>
        <w:rPr>
          <w:rFonts w:hint="eastAsia" w:ascii="宋体" w:hAnsi="宋体"/>
          <w:color w:val="000000" w:themeColor="text1"/>
          <w:sz w:val="24"/>
          <w14:textFill>
            <w14:solidFill>
              <w14:schemeClr w14:val="tx1"/>
            </w14:solidFill>
          </w14:textFill>
        </w:rPr>
        <w:t>、采购人根据采购项目的特殊要求，规定</w:t>
      </w:r>
      <w:r>
        <w:rPr>
          <w:rFonts w:hint="eastAsia" w:ascii="宋体" w:hAnsi="宋体"/>
          <w:color w:val="000000" w:themeColor="text1"/>
          <w:sz w:val="24"/>
          <w:lang w:eastAsia="zh-CN"/>
          <w14:textFill>
            <w14:solidFill>
              <w14:schemeClr w14:val="tx1"/>
            </w14:solidFill>
          </w14:textFill>
        </w:rPr>
        <w:t>供应商</w:t>
      </w:r>
      <w:r>
        <w:rPr>
          <w:rFonts w:hint="eastAsia" w:ascii="宋体" w:hAnsi="宋体"/>
          <w:color w:val="000000" w:themeColor="text1"/>
          <w:sz w:val="24"/>
          <w14:textFill>
            <w14:solidFill>
              <w14:schemeClr w14:val="tx1"/>
            </w14:solidFill>
          </w14:textFill>
        </w:rPr>
        <w:t>还须具备的特定条件：</w:t>
      </w:r>
    </w:p>
    <w:p w14:paraId="7064BBEA">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1</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、（联合）供应商需具有独立承担民事责任能力（提供有效的法人、社会组织或团体、协会及其他组织的营业执照等证明文件复印件并加盖供应商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377C4655">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2</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、（联合）供应商需具有良好的商业信誉和健全的财务会计制度（提供2025年度经审计的财务状况报告等证明文件或银行出具的资信证明复印件并加盖供应商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72D55954">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3</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、（联合）供应商需有依法缴纳税收和社会保障资金的良好记录（提供投标文件递交当月或前3个月任一月份的依法缴纳税收完税凭证（或无欠税证明）复印件和社会保障资金缴纳凭证并加盖供应商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514849E6">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4</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在“信用中国（http://www.creditchina.gov.cn/）”网站中未被列入《失信被执行人名单》、《重大税收违法案件当事人名单》或《政府采购严重违法失信行为记录名单》（提供2026年6月以后网站截图打印件）；</w:t>
      </w:r>
    </w:p>
    <w:p w14:paraId="76C82A4B">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5</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、本项目专门面向中小/小微企业采购。即：提供的服务全部由符合政策要求的中小/小微企业承接。（联合）供应商提供中小/小微企业声明。（并加盖供应商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12A044F5">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注：以上条款参与竞标（联合）供应商均需响应。</w:t>
      </w:r>
    </w:p>
    <w:p w14:paraId="5DAF415B">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6</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需确定项目外业踏勘技术领队不低于10人，技术领队需具有土壤学、测绘及相关专业中级及以上职称；或持有国家或省级土壤普查办颁发的第三次全国土壤普查外业调查采样技术领队或质量检查员资格证书，其中具备土壤学及相关专业中级及以上职称人员或“三普”外业调查采样技术领队或质量检查员不低于5人；同时需确定项目负责人1名，具有土壤学、测绘及相关专业副高级及以上职称。项目负责人可兼任技术领队。实地踏勘工作每组参与人员不低于1名技术领队。且因项目涉及地块数较多，为确保</w:t>
      </w:r>
      <w:r>
        <w:rPr>
          <w:rFonts w:hint="eastAsia" w:ascii="宋体" w:hAnsi="宋体" w:cs="Times New Roman"/>
          <w:bCs/>
          <w:color w:val="000000" w:themeColor="text1"/>
          <w:sz w:val="24"/>
          <w:lang w:val="zh-CN"/>
          <w14:textFill>
            <w14:solidFill>
              <w14:schemeClr w14:val="tx1"/>
            </w14:solidFill>
          </w14:textFill>
        </w:rPr>
        <w:t>涟水县2025年占补平衡项目补充耕地质量鉴定</w:t>
      </w:r>
      <w:r>
        <w:rPr>
          <w:rFonts w:hint="eastAsia" w:ascii="宋体" w:hAnsi="宋体" w:eastAsia="宋体" w:cs="Times New Roman"/>
          <w:bCs/>
          <w:color w:val="000000" w:themeColor="text1"/>
          <w:sz w:val="24"/>
          <w:lang w:val="zh-CN"/>
          <w14:textFill>
            <w14:solidFill>
              <w14:schemeClr w14:val="tx1"/>
            </w14:solidFill>
          </w14:textFill>
        </w:rPr>
        <w:t>工作的顺利开展，成交供应商需具备同时组织6-8支专业队伍开展工作的能力（提供相应人员职称证书或“三普”技术领队或质量检查员资格证书复印件，相关人员自2026年1月以来任意1个月社保证明及其他有效证明资料复印件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，并提供组织专业队伍承诺函，格式自拟）。</w:t>
      </w:r>
    </w:p>
    <w:p w14:paraId="21673A95">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注：（1）土壤学及相关专业清单：</w:t>
      </w:r>
    </w:p>
    <w:p w14:paraId="49A8AAE2">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①土壤学相关核心专业：土壤学、农业资源与环境、农业资源利用、土壤农化、植物营养学。 </w:t>
      </w:r>
    </w:p>
    <w:p w14:paraId="0E343B00">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②其他相关专业：水土保持与荒漠化防治、生态学、园艺学、作物栽培学与耕作学、农艺与种业、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生态环境监测与分析、草学等。 </w:t>
      </w:r>
    </w:p>
    <w:p w14:paraId="0DD0F321">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2</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测绘及相关专业清单：</w:t>
      </w:r>
    </w:p>
    <w:p w14:paraId="3A24E45B">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①测绘相关核心专业：测绘工程、遥感科学与技术、导航工程、地理国情监测、地理空间信息工程、时空信息工程。</w:t>
      </w:r>
    </w:p>
    <w:p w14:paraId="30A20C30">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②其他相关专业：测绘工程技术、测绘地理信息技术、地籍测绘与土地管理、国土空间规划与测绘、无人机测绘技术、地理科学、地图学与地理信息系统、国土空间规划等。</w:t>
      </w:r>
    </w:p>
    <w:p w14:paraId="5657BDC4">
      <w:pPr>
        <w:spacing w:line="520" w:lineRule="exact"/>
        <w:ind w:firstLine="480"/>
        <w:rPr>
          <w:rFonts w:hint="eastAsia" w:ascii="宋体" w:hAnsi="宋体" w:eastAsia="宋体" w:cs="Times New Roman"/>
          <w:bCs/>
          <w:color w:val="FF0000"/>
          <w:sz w:val="24"/>
          <w:lang w:val="zh-CN"/>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7</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FF0000"/>
          <w:sz w:val="24"/>
          <w:lang w:val="zh-CN"/>
        </w:rPr>
        <w:t>、供应商需提供</w:t>
      </w:r>
      <w:r>
        <w:rPr>
          <w:rFonts w:hint="eastAsia" w:ascii="宋体" w:hAnsi="宋体" w:cs="Times New Roman"/>
          <w:bCs/>
          <w:color w:val="FF0000"/>
          <w:sz w:val="24"/>
          <w:lang w:val="zh-CN"/>
        </w:rPr>
        <w:t>（</w:t>
      </w:r>
      <w:r>
        <w:rPr>
          <w:rFonts w:hint="eastAsia" w:ascii="宋体" w:hAnsi="宋体" w:cs="Times New Roman"/>
          <w:bCs/>
          <w:color w:val="FF0000"/>
          <w:sz w:val="24"/>
          <w:lang w:val="en-US" w:eastAsia="zh-CN"/>
        </w:rPr>
        <w:t>或协作</w:t>
      </w:r>
      <w:r>
        <w:rPr>
          <w:rFonts w:hint="eastAsia" w:ascii="宋体" w:hAnsi="宋体" w:eastAsia="宋体" w:cs="Times New Roman"/>
          <w:bCs/>
          <w:color w:val="FF0000"/>
          <w:sz w:val="24"/>
          <w:lang w:val="zh-CN"/>
        </w:rPr>
        <w:t>单位</w:t>
      </w:r>
      <w:r>
        <w:rPr>
          <w:rFonts w:hint="eastAsia" w:ascii="宋体" w:hAnsi="宋体" w:cs="Times New Roman"/>
          <w:bCs/>
          <w:color w:val="FF0000"/>
          <w:sz w:val="24"/>
          <w:lang w:val="en-US" w:eastAsia="zh-CN"/>
        </w:rPr>
        <w:t>)</w:t>
      </w:r>
      <w:r>
        <w:rPr>
          <w:rFonts w:hint="eastAsia" w:ascii="宋体" w:hAnsi="宋体" w:eastAsia="宋体" w:cs="Times New Roman"/>
          <w:bCs/>
          <w:color w:val="FF0000"/>
          <w:sz w:val="24"/>
          <w:lang w:val="zh-CN"/>
        </w:rPr>
        <w:t>CMA证书及资质附表，确定资质能力覆盖本次项目需检测的pH值、容重、有机质含量、全氮含量、有效磷含量、速效钾含量、土壤机械组成和水溶性盐总量等</w:t>
      </w:r>
      <w:r>
        <w:rPr>
          <w:rFonts w:hint="eastAsia" w:ascii="宋体" w:hAnsi="宋体" w:cs="Times New Roman"/>
          <w:bCs/>
          <w:color w:val="FF0000"/>
          <w:sz w:val="24"/>
          <w:lang w:val="en-US" w:eastAsia="zh-CN"/>
        </w:rPr>
        <w:t>8</w:t>
      </w:r>
      <w:r>
        <w:rPr>
          <w:rFonts w:hint="eastAsia" w:ascii="宋体" w:hAnsi="宋体" w:eastAsia="宋体" w:cs="Times New Roman"/>
          <w:bCs/>
          <w:color w:val="FF0000"/>
          <w:sz w:val="24"/>
          <w:lang w:val="zh-CN"/>
        </w:rPr>
        <w:t>个常规指标和铬、镍、铜、锌、镉、铅、汞、砷等8项重金属指标。(提供检测资质证书及检验项目资质附表复印件并加盖供应商</w:t>
      </w:r>
      <w:r>
        <w:rPr>
          <w:rFonts w:hint="eastAsia" w:ascii="宋体" w:hAnsi="宋体" w:cs="Times New Roman"/>
          <w:bCs/>
          <w:color w:val="FF0000"/>
          <w:sz w:val="24"/>
          <w:lang w:val="zh-CN"/>
        </w:rPr>
        <w:t>电子签章</w:t>
      </w:r>
      <w:r>
        <w:rPr>
          <w:rFonts w:hint="eastAsia" w:ascii="宋体" w:hAnsi="宋体" w:eastAsia="宋体" w:cs="Times New Roman"/>
          <w:bCs/>
          <w:color w:val="FF0000"/>
          <w:sz w:val="24"/>
          <w:lang w:val="zh-CN"/>
        </w:rPr>
        <w:t>)。</w:t>
      </w:r>
    </w:p>
    <w:p w14:paraId="60FFDAFA">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8</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、（联合）供应商需提供2023年以来履约的补充耕地质量评定（鉴定）或污染状况调查合同复印件及甲方出具的合同履约完成证明，需提供6份（加盖供应商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9</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、本次采购接受联合体投标，联合体参与单位不超过2家，联合体需提供《共同投标协议》，明确各方责任分工、责任划定。（并加盖供应商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w:t>
      </w:r>
    </w:p>
    <w:p w14:paraId="69C7E1CC">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cs="Times New Roman"/>
          <w:bCs/>
          <w:color w:val="000000" w:themeColor="text1"/>
          <w:sz w:val="24"/>
          <w:lang w:val="en-US" w:eastAsia="zh-CN"/>
          <w14:textFill>
            <w14:solidFill>
              <w14:schemeClr w14:val="tx1"/>
            </w14:solidFill>
          </w14:textFill>
        </w:rPr>
        <w:t>10</w:t>
      </w:r>
      <w:r>
        <w:rPr>
          <w:rFonts w:hint="eastAsia" w:ascii="宋体" w:hAnsi="宋体" w:cs="Times New Roman"/>
          <w:bCs/>
          <w:color w:val="000000" w:themeColor="text1"/>
          <w:sz w:val="24"/>
          <w:lang w:val="zh-CN"/>
          <w14:textFill>
            <w14:solidFill>
              <w14:schemeClr w14:val="tx1"/>
            </w14:solidFill>
          </w14:textFill>
        </w:rPr>
        <w:t>）</w:t>
      </w:r>
      <w:r>
        <w:rPr>
          <w:rFonts w:hint="eastAsia" w:ascii="宋体" w:hAnsi="宋体" w:eastAsia="宋体" w:cs="Times New Roman"/>
          <w:bCs/>
          <w:color w:val="000000" w:themeColor="text1"/>
          <w:sz w:val="24"/>
          <w:lang w:val="zh-CN"/>
          <w14:textFill>
            <w14:solidFill>
              <w14:schemeClr w14:val="tx1"/>
            </w14:solidFill>
          </w14:textFill>
        </w:rPr>
        <w:t>、法律、行政法规规定的其他条件。</w:t>
      </w:r>
    </w:p>
    <w:p w14:paraId="23F05BF0">
      <w:pPr>
        <w:spacing w:line="520" w:lineRule="exact"/>
        <w:ind w:firstLine="480"/>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本项目要求提交的相关资格证明材料，如为复印件、扫描或截图打印件则需加盖供应商</w:t>
      </w:r>
      <w:r>
        <w:rPr>
          <w:rFonts w:hint="eastAsia" w:ascii="宋体" w:hAnsi="宋体" w:cs="Times New Roman"/>
          <w:bCs/>
          <w:color w:val="000000" w:themeColor="text1"/>
          <w:sz w:val="24"/>
          <w:lang w:val="zh-CN"/>
          <w14:textFill>
            <w14:solidFill>
              <w14:schemeClr w14:val="tx1"/>
            </w14:solidFill>
          </w14:textFill>
        </w:rPr>
        <w:t>电子签章</w:t>
      </w:r>
      <w:r>
        <w:rPr>
          <w:rFonts w:hint="eastAsia" w:ascii="宋体" w:hAnsi="宋体" w:eastAsia="宋体" w:cs="Times New Roman"/>
          <w:bCs/>
          <w:color w:val="000000" w:themeColor="text1"/>
          <w:sz w:val="24"/>
          <w:lang w:val="zh-CN"/>
          <w14:textFill>
            <w14:solidFill>
              <w14:schemeClr w14:val="tx1"/>
            </w14:solidFill>
          </w14:textFill>
        </w:rPr>
        <w:t>；如提供虚假材料，查实后，取消投标、中标资格。</w:t>
      </w:r>
    </w:p>
    <w:p w14:paraId="658DB89A">
      <w:pPr>
        <w:spacing w:line="520" w:lineRule="exact"/>
        <w:ind w:firstLine="48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4</w:t>
      </w:r>
      <w:r>
        <w:rPr>
          <w:rFonts w:hint="eastAsia" w:ascii="宋体" w:hAnsi="宋体"/>
          <w:bCs/>
          <w:color w:val="000000" w:themeColor="text1"/>
          <w:sz w:val="24"/>
          <w14:textFill>
            <w14:solidFill>
              <w14:schemeClr w14:val="tx1"/>
            </w14:solidFill>
          </w14:textFill>
        </w:rPr>
        <w:t>、落实政府采购政策需满足的资格要求（提供下列任一项材料即可，非专门面向中小企业或者预留份额的采购项目，本项无需提供）</w:t>
      </w:r>
      <w:r>
        <w:rPr>
          <w:rFonts w:hint="eastAsia" w:ascii="宋体" w:hAnsi="宋体"/>
          <w:bCs/>
          <w:color w:val="000000" w:themeColor="text1"/>
          <w:sz w:val="24"/>
          <w:lang w:eastAsia="zh-CN"/>
          <w14:textFill>
            <w14:solidFill>
              <w14:schemeClr w14:val="tx1"/>
            </w14:solidFill>
          </w14:textFill>
        </w:rPr>
        <w:t>：</w:t>
      </w:r>
    </w:p>
    <w:p w14:paraId="13884444">
      <w:pPr>
        <w:spacing w:line="520" w:lineRule="exact"/>
        <w:ind w:firstLine="48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（1）《中小企业声明函》（详见示范格式</w:t>
      </w:r>
      <w:r>
        <w:rPr>
          <w:rFonts w:hint="eastAsia" w:ascii="宋体" w:hAnsi="宋体"/>
          <w:bCs/>
          <w:color w:val="000000" w:themeColor="text1"/>
          <w:sz w:val="24"/>
          <w:lang w:val="en-US" w:eastAsia="zh-CN"/>
          <w14:textFill>
            <w14:solidFill>
              <w14:schemeClr w14:val="tx1"/>
            </w14:solidFill>
          </w14:textFill>
        </w:rPr>
        <w:t>五</w:t>
      </w:r>
      <w:r>
        <w:rPr>
          <w:rFonts w:hint="eastAsia" w:ascii="宋体" w:hAnsi="宋体"/>
          <w:bCs/>
          <w:color w:val="000000" w:themeColor="text1"/>
          <w:sz w:val="24"/>
          <w14:textFill>
            <w14:solidFill>
              <w14:schemeClr w14:val="tx1"/>
            </w14:solidFill>
          </w14:textFill>
        </w:rPr>
        <w:t>）；</w:t>
      </w:r>
    </w:p>
    <w:p w14:paraId="61615804">
      <w:pPr>
        <w:spacing w:line="520" w:lineRule="exact"/>
        <w:ind w:firstLine="480"/>
        <w:rPr>
          <w:rFonts w:hint="eastAsia" w:ascii="宋体" w:hAnsi="宋体"/>
          <w:bCs/>
          <w:sz w:val="24"/>
        </w:rPr>
      </w:pPr>
      <w:r>
        <w:rPr>
          <w:rFonts w:hint="eastAsia" w:ascii="宋体" w:hAnsi="宋体"/>
          <w:bCs/>
          <w:sz w:val="24"/>
        </w:rPr>
        <w:t>（2）《残疾人福利性单位声明函》（详见示范格式</w:t>
      </w:r>
      <w:r>
        <w:rPr>
          <w:rFonts w:hint="eastAsia" w:ascii="宋体" w:hAnsi="宋体"/>
          <w:bCs/>
          <w:sz w:val="24"/>
          <w:lang w:val="en-US" w:eastAsia="zh-CN"/>
        </w:rPr>
        <w:t>六</w:t>
      </w:r>
      <w:r>
        <w:rPr>
          <w:rFonts w:hint="eastAsia" w:ascii="宋体" w:hAnsi="宋体"/>
          <w:bCs/>
          <w:sz w:val="24"/>
        </w:rPr>
        <w:t>）；</w:t>
      </w:r>
    </w:p>
    <w:p w14:paraId="3B39E3C9">
      <w:pPr>
        <w:spacing w:line="520" w:lineRule="exact"/>
        <w:ind w:firstLine="480"/>
        <w:rPr>
          <w:rFonts w:hint="eastAsia" w:ascii="宋体" w:hAnsi="宋体"/>
          <w:bCs/>
          <w:sz w:val="24"/>
        </w:rPr>
      </w:pPr>
      <w:r>
        <w:rPr>
          <w:rFonts w:hint="eastAsia" w:ascii="宋体" w:hAnsi="宋体"/>
          <w:bCs/>
          <w:sz w:val="24"/>
        </w:rPr>
        <w:t>（3）由省级以上监狱管理局、戒毒管理局（含新疆生产建设兵团）出具的属于监狱企业的证明文件）（加盖出具单位</w:t>
      </w:r>
      <w:r>
        <w:rPr>
          <w:rFonts w:hint="eastAsia" w:ascii="宋体" w:hAnsi="宋体"/>
          <w:bCs/>
          <w:sz w:val="24"/>
          <w:lang w:eastAsia="zh-CN"/>
        </w:rPr>
        <w:t>电子签章</w:t>
      </w:r>
      <w:r>
        <w:rPr>
          <w:rFonts w:hint="eastAsia" w:ascii="宋体" w:hAnsi="宋体"/>
          <w:bCs/>
          <w:sz w:val="24"/>
        </w:rPr>
        <w:t>的</w:t>
      </w:r>
      <w:r>
        <w:rPr>
          <w:rFonts w:hint="eastAsia" w:ascii="宋体" w:hAnsi="宋体"/>
          <w:bCs/>
          <w:sz w:val="24"/>
          <w:lang w:val="en-US" w:eastAsia="zh-CN"/>
        </w:rPr>
        <w:t>复印件</w:t>
      </w:r>
      <w:r>
        <w:rPr>
          <w:rFonts w:hint="eastAsia" w:ascii="宋体" w:hAnsi="宋体"/>
          <w:bCs/>
          <w:sz w:val="24"/>
        </w:rPr>
        <w:t>）。</w:t>
      </w:r>
    </w:p>
    <w:p w14:paraId="40A9DE01">
      <w:pPr>
        <w:spacing w:line="520" w:lineRule="exact"/>
        <w:ind w:firstLine="480"/>
        <w:rPr>
          <w:rFonts w:hint="eastAsia" w:ascii="宋体" w:hAnsi="宋体" w:cs="Times New Roman"/>
          <w:bCs/>
          <w:sz w:val="24"/>
        </w:rPr>
      </w:pPr>
      <w:r>
        <w:rPr>
          <w:rFonts w:hint="eastAsia" w:ascii="宋体" w:hAnsi="宋体" w:cs="Times New Roman"/>
          <w:bCs/>
          <w:sz w:val="24"/>
          <w:lang w:val="en-US" w:eastAsia="zh-CN"/>
        </w:rPr>
        <w:t>5.</w:t>
      </w:r>
      <w:r>
        <w:rPr>
          <w:rFonts w:hint="eastAsia" w:ascii="宋体" w:hAnsi="宋体" w:cs="Times New Roman"/>
          <w:bCs/>
          <w:sz w:val="24"/>
        </w:rPr>
        <w:t>拒绝符合下述条件的供应商参加本次采购活动：（详见第</w:t>
      </w:r>
      <w:r>
        <w:rPr>
          <w:rFonts w:hint="eastAsia" w:ascii="宋体" w:hAnsi="宋体" w:cs="Times New Roman"/>
          <w:bCs/>
          <w:sz w:val="24"/>
          <w:lang w:val="en-US" w:eastAsia="zh-CN"/>
        </w:rPr>
        <w:t>二章第八部分</w:t>
      </w:r>
      <w:bookmarkStart w:id="78" w:name="_GoBack"/>
      <w:bookmarkEnd w:id="78"/>
      <w:r>
        <w:rPr>
          <w:rFonts w:hint="eastAsia" w:ascii="宋体" w:hAnsi="宋体" w:cs="Times New Roman"/>
          <w:bCs/>
          <w:sz w:val="24"/>
        </w:rPr>
        <w:t>示范格式</w:t>
      </w:r>
      <w:r>
        <w:rPr>
          <w:rFonts w:hint="eastAsia" w:ascii="宋体" w:hAnsi="宋体" w:cs="Times New Roman"/>
          <w:bCs/>
          <w:sz w:val="24"/>
          <w:lang w:val="en-US" w:eastAsia="zh-CN"/>
        </w:rPr>
        <w:t>四</w:t>
      </w:r>
      <w:r>
        <w:rPr>
          <w:rFonts w:hint="eastAsia" w:ascii="宋体" w:hAnsi="宋体" w:cs="Times New Roman"/>
          <w:bCs/>
          <w:sz w:val="24"/>
        </w:rPr>
        <w:t>）</w:t>
      </w:r>
    </w:p>
    <w:p w14:paraId="0D62B83D">
      <w:pPr>
        <w:spacing w:line="520" w:lineRule="exact"/>
        <w:ind w:firstLine="480"/>
        <w:rPr>
          <w:rFonts w:hint="eastAsia" w:ascii="宋体" w:hAnsi="宋体" w:cs="Times New Roman"/>
          <w:bCs/>
          <w:sz w:val="24"/>
        </w:rPr>
      </w:pPr>
      <w:r>
        <w:rPr>
          <w:rFonts w:hint="eastAsia" w:ascii="宋体" w:hAnsi="宋体" w:cs="Times New Roman"/>
          <w:bCs/>
          <w:sz w:val="24"/>
          <w:lang w:eastAsia="zh-CN"/>
        </w:rPr>
        <w:t>（</w:t>
      </w:r>
      <w:r>
        <w:rPr>
          <w:rFonts w:hint="eastAsia" w:ascii="宋体" w:hAnsi="宋体" w:cs="Times New Roman"/>
          <w:bCs/>
          <w:sz w:val="24"/>
          <w:lang w:val="en-US" w:eastAsia="zh-CN"/>
        </w:rPr>
        <w:t>1</w:t>
      </w:r>
      <w:r>
        <w:rPr>
          <w:rFonts w:hint="eastAsia" w:ascii="宋体" w:hAnsi="宋体" w:cs="Times New Roman"/>
          <w:bCs/>
          <w:sz w:val="24"/>
          <w:lang w:eastAsia="zh-CN"/>
        </w:rPr>
        <w:t>）</w:t>
      </w:r>
      <w:r>
        <w:rPr>
          <w:rFonts w:hint="eastAsia" w:ascii="宋体" w:hAnsi="宋体" w:cs="Times New Roman"/>
          <w:bCs/>
          <w:sz w:val="24"/>
        </w:rPr>
        <w:t>供应商单位负责人为同一人或者存在直接控股、管理关系的不同供应商，不得同时参加同一合同项下的政府采购活动。</w:t>
      </w:r>
    </w:p>
    <w:p w14:paraId="413C8655">
      <w:pPr>
        <w:spacing w:line="520" w:lineRule="exact"/>
        <w:ind w:firstLine="480"/>
        <w:rPr>
          <w:rFonts w:hint="eastAsia" w:ascii="宋体" w:hAnsi="宋体" w:cs="Times New Roman"/>
          <w:bCs/>
          <w:sz w:val="24"/>
        </w:rPr>
      </w:pPr>
      <w:r>
        <w:rPr>
          <w:rFonts w:hint="eastAsia" w:ascii="宋体" w:hAnsi="宋体" w:cs="Times New Roman"/>
          <w:bCs/>
          <w:sz w:val="24"/>
          <w:lang w:val="en-US" w:eastAsia="zh-CN"/>
        </w:rPr>
        <w:t>（2）</w:t>
      </w:r>
      <w:r>
        <w:rPr>
          <w:rFonts w:hint="eastAsia" w:ascii="宋体" w:hAnsi="宋体" w:cs="Times New Roman"/>
          <w:bCs/>
          <w:sz w:val="24"/>
        </w:rPr>
        <w:t>凡为采购项目提供整体设计、规范编制或者项目管理、监理、检测等服务的供应商，不得再参加本项目的采购活动。</w:t>
      </w:r>
    </w:p>
    <w:p w14:paraId="065B7D40">
      <w:pPr>
        <w:spacing w:line="520" w:lineRule="exact"/>
        <w:ind w:firstLine="480"/>
        <w:rPr>
          <w:rFonts w:hint="eastAsia" w:ascii="宋体" w:hAnsi="宋体" w:cs="Times New Roman"/>
          <w:bCs/>
          <w:sz w:val="24"/>
        </w:rPr>
      </w:pPr>
      <w:r>
        <w:rPr>
          <w:rFonts w:hint="eastAsia" w:ascii="宋体" w:hAnsi="宋体" w:cs="Times New Roman"/>
          <w:bCs/>
          <w:sz w:val="24"/>
          <w:lang w:eastAsia="zh-CN"/>
        </w:rPr>
        <w:t>（</w:t>
      </w:r>
      <w:r>
        <w:rPr>
          <w:rFonts w:hint="eastAsia" w:ascii="宋体" w:hAnsi="宋体" w:cs="Times New Roman"/>
          <w:bCs/>
          <w:sz w:val="24"/>
          <w:lang w:val="en-US" w:eastAsia="zh-CN"/>
        </w:rPr>
        <w:t>3</w:t>
      </w:r>
      <w:r>
        <w:rPr>
          <w:rFonts w:hint="eastAsia" w:ascii="宋体" w:hAnsi="宋体" w:cs="Times New Roman"/>
          <w:bCs/>
          <w:sz w:val="24"/>
          <w:lang w:eastAsia="zh-CN"/>
        </w:rPr>
        <w:t>）</w:t>
      </w:r>
      <w:r>
        <w:rPr>
          <w:rFonts w:hint="eastAsia" w:ascii="宋体" w:hAnsi="宋体" w:cs="Times New Roman"/>
          <w:bCs/>
          <w:sz w:val="24"/>
          <w:lang w:val="en-US"/>
        </w:rPr>
        <w:t>供应商</w:t>
      </w:r>
      <w:r>
        <w:rPr>
          <w:rFonts w:hint="eastAsia" w:ascii="宋体" w:hAnsi="宋体" w:cs="Times New Roman"/>
          <w:bCs/>
          <w:sz w:val="24"/>
        </w:rPr>
        <w:t>被“信用中国”网站、“中国政府采购网”列入失信被执行人、重大税收违法案件当事人名单、政府采购严重违法失信行为记录名单。</w:t>
      </w:r>
    </w:p>
    <w:p w14:paraId="18B75F7D">
      <w:pPr>
        <w:spacing w:line="520" w:lineRule="exact"/>
        <w:ind w:firstLine="472"/>
        <w:rPr>
          <w:rFonts w:hint="eastAsia" w:ascii="宋体" w:hAnsi="宋体"/>
          <w:sz w:val="24"/>
        </w:rPr>
      </w:pPr>
      <w:r>
        <w:rPr>
          <w:rFonts w:hint="eastAsia" w:ascii="宋体" w:hAnsi="宋体"/>
          <w:b/>
          <w:bCs/>
          <w:sz w:val="24"/>
        </w:rPr>
        <w:t>注</w:t>
      </w:r>
      <w:r>
        <w:rPr>
          <w:rFonts w:hint="eastAsia" w:ascii="宋体" w:hAnsi="宋体"/>
          <w:b/>
          <w:bCs/>
          <w:sz w:val="24"/>
          <w:lang w:eastAsia="zh-CN"/>
        </w:rPr>
        <w:t>：</w:t>
      </w:r>
      <w:r>
        <w:rPr>
          <w:rFonts w:hint="eastAsia" w:ascii="宋体" w:hAnsi="宋体"/>
          <w:sz w:val="24"/>
        </w:rPr>
        <w:t>（1）上述相关原件，成交供应商必须在签订合同时提交采购人审查，成交供应商未能提供上述所有原件的，则取消其成交资格。</w:t>
      </w:r>
    </w:p>
    <w:p w14:paraId="2FE19C0D">
      <w:pPr>
        <w:spacing w:line="520" w:lineRule="exact"/>
        <w:ind w:firstLine="710"/>
        <w:rPr>
          <w:rFonts w:hint="eastAsia" w:ascii="宋体" w:hAnsi="宋体"/>
          <w:sz w:val="24"/>
        </w:rPr>
      </w:pPr>
      <w:r>
        <w:rPr>
          <w:rFonts w:hint="eastAsia" w:ascii="宋体" w:hAnsi="宋体"/>
          <w:sz w:val="24"/>
        </w:rPr>
        <w:t>（2）上述是谈判小组对供应商资质审查时，供应商必须提供的资格证明文件，如供应商未能提供上述资格证明文件以及供应商资质条件不符合谈判文件要求的将取消其继续参加谈判的资格。</w:t>
      </w:r>
    </w:p>
    <w:p w14:paraId="76A35707">
      <w:pPr>
        <w:spacing w:line="440" w:lineRule="exact"/>
        <w:ind w:firstLine="720"/>
        <w:rPr>
          <w:rFonts w:hint="eastAsia" w:ascii="宋体" w:hAnsi="宋体" w:cs="Arial"/>
          <w:bCs/>
          <w:sz w:val="24"/>
        </w:rPr>
      </w:pPr>
      <w:r>
        <w:rPr>
          <w:rFonts w:hint="eastAsia" w:ascii="宋体" w:hAnsi="宋体"/>
          <w:bCs/>
          <w:sz w:val="24"/>
        </w:rPr>
        <w:t>（3）供应商</w:t>
      </w:r>
      <w:r>
        <w:rPr>
          <w:rFonts w:hint="eastAsia" w:ascii="宋体" w:hAnsi="宋体" w:cs="Arial"/>
          <w:bCs/>
          <w:sz w:val="24"/>
        </w:rPr>
        <w:t>所提供的资格证明材料应真实、有效，代理机构及采购人保留对</w:t>
      </w:r>
      <w:r>
        <w:rPr>
          <w:rFonts w:hint="eastAsia" w:ascii="宋体" w:hAnsi="宋体"/>
          <w:bCs/>
          <w:sz w:val="24"/>
        </w:rPr>
        <w:t>供应商</w:t>
      </w:r>
      <w:r>
        <w:rPr>
          <w:rFonts w:hint="eastAsia" w:ascii="宋体" w:hAnsi="宋体" w:cs="Arial"/>
          <w:bCs/>
          <w:sz w:val="24"/>
        </w:rPr>
        <w:t>提供的资格证明材料进行核查的权利。如发现</w:t>
      </w:r>
      <w:r>
        <w:rPr>
          <w:rFonts w:hint="eastAsia" w:ascii="宋体" w:hAnsi="宋体"/>
          <w:bCs/>
          <w:sz w:val="24"/>
        </w:rPr>
        <w:t>供应商</w:t>
      </w:r>
      <w:r>
        <w:rPr>
          <w:rFonts w:hint="eastAsia" w:ascii="宋体" w:hAnsi="宋体" w:cs="Arial"/>
          <w:bCs/>
          <w:sz w:val="24"/>
        </w:rPr>
        <w:t>提供虚假资格证明材料，监管部门将对其进行严肃处理。</w:t>
      </w:r>
    </w:p>
    <w:p w14:paraId="01B5E590">
      <w:pPr>
        <w:pStyle w:val="192"/>
        <w:spacing w:before="0" w:after="0" w:line="300" w:lineRule="auto"/>
        <w:jc w:val="center"/>
        <w:rPr>
          <w:rFonts w:hint="eastAsia" w:ascii="宋体" w:hAnsi="宋体" w:eastAsia="宋体"/>
          <w:bCs/>
          <w:sz w:val="28"/>
          <w:szCs w:val="28"/>
        </w:rPr>
      </w:pPr>
      <w:bookmarkStart w:id="72" w:name="_Toc148347162"/>
      <w:bookmarkStart w:id="73" w:name="_Toc455472193"/>
      <w:r>
        <w:rPr>
          <w:rFonts w:hint="eastAsia" w:ascii="宋体" w:hAnsi="宋体" w:eastAsia="宋体"/>
          <w:bCs/>
          <w:sz w:val="28"/>
          <w:szCs w:val="28"/>
        </w:rPr>
        <w:br w:type="page" w:clear="all"/>
      </w:r>
      <w:r>
        <w:rPr>
          <w:rFonts w:hint="eastAsia" w:ascii="宋体" w:hAnsi="宋体" w:eastAsia="宋体"/>
          <w:bCs/>
          <w:sz w:val="28"/>
          <w:szCs w:val="28"/>
          <w:lang w:val="en-US" w:eastAsia="zh-CN"/>
        </w:rPr>
        <w:t>六</w:t>
      </w:r>
      <w:r>
        <w:rPr>
          <w:rFonts w:hint="eastAsia" w:ascii="宋体" w:hAnsi="宋体" w:eastAsia="宋体"/>
          <w:bCs/>
          <w:sz w:val="28"/>
          <w:szCs w:val="28"/>
        </w:rPr>
        <w:t>、最终价格评审时谈判供应商需提供的证明文件</w:t>
      </w:r>
      <w:bookmarkEnd w:id="72"/>
      <w:bookmarkEnd w:id="73"/>
    </w:p>
    <w:p w14:paraId="36FA1654">
      <w:pPr>
        <w:spacing w:line="440" w:lineRule="exact"/>
        <w:jc w:val="center"/>
        <w:rPr>
          <w:rFonts w:hint="eastAsia" w:ascii="宋体" w:hAnsi="宋体"/>
          <w:sz w:val="28"/>
        </w:rPr>
      </w:pPr>
      <w:r>
        <w:rPr>
          <w:rFonts w:hint="eastAsia" w:ascii="宋体" w:hAnsi="宋体"/>
          <w:sz w:val="24"/>
          <w:lang w:val="zh-CN"/>
        </w:rPr>
        <w:t>（格式由谈判供应商自定、加盖谈判供应商电子签章。）</w:t>
      </w:r>
    </w:p>
    <w:p w14:paraId="2AC01758">
      <w:pPr>
        <w:spacing w:line="440" w:lineRule="exact"/>
        <w:rPr>
          <w:rFonts w:hint="eastAsia" w:ascii="宋体" w:hAnsi="宋体"/>
          <w:sz w:val="28"/>
        </w:rPr>
      </w:pPr>
    </w:p>
    <w:p w14:paraId="6BC6CCE9">
      <w:pPr>
        <w:spacing w:line="440" w:lineRule="exact"/>
        <w:rPr>
          <w:rFonts w:hint="eastAsia" w:ascii="宋体" w:hAnsi="宋体" w:cs="Arial"/>
          <w:bCs/>
          <w:sz w:val="32"/>
          <w:szCs w:val="32"/>
        </w:rPr>
      </w:pPr>
    </w:p>
    <w:p w14:paraId="2BFC1C61">
      <w:pPr>
        <w:spacing w:line="440" w:lineRule="exact"/>
        <w:rPr>
          <w:rFonts w:hint="eastAsia" w:ascii="宋体" w:hAnsi="宋体" w:cs="Arial"/>
          <w:bCs/>
          <w:sz w:val="32"/>
          <w:szCs w:val="32"/>
        </w:rPr>
      </w:pPr>
    </w:p>
    <w:p w14:paraId="141BEFCC">
      <w:pPr>
        <w:spacing w:line="440" w:lineRule="exact"/>
        <w:rPr>
          <w:rFonts w:hint="eastAsia" w:ascii="宋体" w:hAnsi="宋体" w:cs="Arial"/>
          <w:bCs/>
          <w:sz w:val="32"/>
          <w:szCs w:val="32"/>
        </w:rPr>
      </w:pPr>
    </w:p>
    <w:p w14:paraId="1AA0999B">
      <w:pPr>
        <w:pStyle w:val="192"/>
        <w:spacing w:before="0" w:after="0" w:line="300" w:lineRule="auto"/>
        <w:jc w:val="center"/>
        <w:rPr>
          <w:rFonts w:hint="eastAsia" w:ascii="宋体" w:hAnsi="宋体" w:eastAsia="宋体"/>
          <w:bCs/>
          <w:sz w:val="28"/>
          <w:szCs w:val="28"/>
        </w:rPr>
      </w:pPr>
      <w:bookmarkStart w:id="74" w:name="_Toc455472194"/>
      <w:bookmarkStart w:id="75" w:name="_Toc148347163"/>
      <w:r>
        <w:rPr>
          <w:rFonts w:hint="eastAsia" w:ascii="宋体" w:hAnsi="宋体" w:eastAsia="宋体"/>
          <w:bCs/>
          <w:sz w:val="28"/>
          <w:szCs w:val="28"/>
          <w:lang w:val="en-US" w:eastAsia="zh-CN"/>
        </w:rPr>
        <w:t>七</w:t>
      </w:r>
      <w:r>
        <w:rPr>
          <w:rFonts w:hint="eastAsia" w:ascii="宋体" w:hAnsi="宋体" w:eastAsia="宋体"/>
          <w:bCs/>
          <w:sz w:val="28"/>
          <w:szCs w:val="28"/>
        </w:rPr>
        <w:t>、谈判供应商认为有必要提供并说明的其它资料</w:t>
      </w:r>
      <w:bookmarkEnd w:id="74"/>
      <w:bookmarkEnd w:id="75"/>
    </w:p>
    <w:p w14:paraId="6AE4E016">
      <w:pPr>
        <w:widowControl/>
        <w:spacing w:line="520" w:lineRule="exact"/>
        <w:ind w:firstLine="1987"/>
        <w:jc w:val="both"/>
        <w:rPr>
          <w:rFonts w:hint="eastAsia" w:ascii="宋体" w:hAnsi="宋体"/>
          <w:sz w:val="24"/>
        </w:rPr>
      </w:pPr>
      <w:r>
        <w:rPr>
          <w:rFonts w:hint="eastAsia" w:ascii="宋体" w:hAnsi="宋体"/>
          <w:sz w:val="24"/>
        </w:rPr>
        <w:t>（格式由谈判供应商自定、加盖谈判供应商</w:t>
      </w:r>
      <w:r>
        <w:rPr>
          <w:rFonts w:hint="eastAsia" w:ascii="宋体" w:hAnsi="宋体"/>
          <w:sz w:val="24"/>
          <w:lang w:eastAsia="zh-CN"/>
        </w:rPr>
        <w:t>电子签章</w:t>
      </w:r>
      <w:r>
        <w:rPr>
          <w:rFonts w:hint="eastAsia" w:ascii="宋体" w:hAnsi="宋体"/>
          <w:sz w:val="24"/>
        </w:rPr>
        <w:t>。）</w:t>
      </w:r>
      <w:bookmarkStart w:id="76" w:name="_Toc455472195"/>
    </w:p>
    <w:p w14:paraId="5B830B4A">
      <w:pPr>
        <w:widowControl/>
        <w:spacing w:line="520" w:lineRule="exact"/>
        <w:ind w:firstLine="1320"/>
        <w:jc w:val="left"/>
        <w:rPr>
          <w:rFonts w:hint="eastAsia" w:ascii="宋体" w:hAnsi="宋体"/>
          <w:sz w:val="24"/>
        </w:rPr>
      </w:pPr>
    </w:p>
    <w:p w14:paraId="5F3AB285">
      <w:pPr>
        <w:widowControl/>
        <w:spacing w:line="520" w:lineRule="exact"/>
        <w:ind w:firstLine="1320"/>
        <w:jc w:val="left"/>
        <w:rPr>
          <w:rFonts w:hint="eastAsia" w:ascii="宋体" w:hAnsi="宋体"/>
          <w:sz w:val="24"/>
        </w:rPr>
      </w:pPr>
    </w:p>
    <w:p w14:paraId="7A98CA2E">
      <w:pPr>
        <w:widowControl/>
        <w:spacing w:line="520" w:lineRule="exact"/>
        <w:ind w:firstLine="1320"/>
        <w:jc w:val="left"/>
        <w:rPr>
          <w:rFonts w:hint="eastAsia" w:ascii="宋体" w:hAnsi="宋体"/>
          <w:sz w:val="24"/>
        </w:rPr>
      </w:pPr>
    </w:p>
    <w:p w14:paraId="29A33476">
      <w:pPr>
        <w:widowControl/>
        <w:spacing w:line="520" w:lineRule="exact"/>
        <w:ind w:firstLine="1320"/>
        <w:jc w:val="left"/>
        <w:rPr>
          <w:rFonts w:hint="eastAsia" w:ascii="宋体" w:hAnsi="宋体"/>
          <w:sz w:val="24"/>
        </w:rPr>
      </w:pPr>
    </w:p>
    <w:p w14:paraId="596C5D85">
      <w:pPr>
        <w:widowControl/>
        <w:spacing w:line="520" w:lineRule="exact"/>
        <w:ind w:firstLine="1320"/>
        <w:jc w:val="left"/>
        <w:rPr>
          <w:rFonts w:hint="eastAsia" w:ascii="宋体" w:hAnsi="宋体"/>
          <w:sz w:val="24"/>
        </w:rPr>
      </w:pPr>
    </w:p>
    <w:p w14:paraId="695A1950">
      <w:pPr>
        <w:widowControl/>
        <w:spacing w:line="520" w:lineRule="exact"/>
        <w:ind w:firstLine="1320"/>
        <w:jc w:val="left"/>
        <w:rPr>
          <w:rFonts w:hint="eastAsia" w:ascii="宋体" w:hAnsi="宋体"/>
          <w:sz w:val="24"/>
        </w:rPr>
      </w:pPr>
    </w:p>
    <w:p w14:paraId="216ED90E">
      <w:pPr>
        <w:widowControl/>
        <w:spacing w:line="520" w:lineRule="exact"/>
        <w:ind w:firstLine="1320"/>
        <w:jc w:val="left"/>
        <w:rPr>
          <w:rFonts w:hint="eastAsia" w:ascii="宋体" w:hAnsi="宋体"/>
          <w:sz w:val="24"/>
        </w:rPr>
      </w:pPr>
    </w:p>
    <w:p w14:paraId="6A831423">
      <w:pPr>
        <w:pStyle w:val="192"/>
        <w:spacing w:before="0" w:after="0" w:line="300" w:lineRule="auto"/>
        <w:jc w:val="center"/>
        <w:rPr>
          <w:rFonts w:hint="eastAsia" w:ascii="宋体" w:hAnsi="宋体" w:eastAsia="宋体"/>
          <w:bCs/>
          <w:sz w:val="28"/>
          <w:szCs w:val="28"/>
        </w:rPr>
      </w:pPr>
      <w:bookmarkStart w:id="77" w:name="_Toc148347164"/>
      <w:r>
        <w:rPr>
          <w:rFonts w:hint="eastAsia" w:ascii="宋体" w:hAnsi="宋体" w:eastAsia="宋体"/>
          <w:bCs/>
          <w:sz w:val="28"/>
          <w:szCs w:val="28"/>
        </w:rPr>
        <w:br w:type="page" w:clear="all"/>
      </w:r>
      <w:r>
        <w:rPr>
          <w:rFonts w:hint="eastAsia" w:ascii="宋体" w:hAnsi="宋体" w:eastAsia="宋体"/>
          <w:bCs/>
          <w:sz w:val="28"/>
          <w:szCs w:val="28"/>
          <w:lang w:val="en-US" w:eastAsia="zh-CN"/>
        </w:rPr>
        <w:t>八</w:t>
      </w:r>
      <w:r>
        <w:rPr>
          <w:rFonts w:hint="eastAsia" w:ascii="宋体" w:hAnsi="宋体" w:eastAsia="宋体"/>
          <w:bCs/>
          <w:sz w:val="28"/>
          <w:szCs w:val="28"/>
        </w:rPr>
        <w:t>、示范格式</w:t>
      </w:r>
      <w:bookmarkEnd w:id="76"/>
      <w:bookmarkEnd w:id="77"/>
    </w:p>
    <w:p w14:paraId="07DF8C6B">
      <w:pPr>
        <w:spacing w:line="440" w:lineRule="exact"/>
        <w:rPr>
          <w:rFonts w:hint="eastAsia" w:ascii="宋体" w:hAnsi="宋体"/>
          <w:b/>
          <w:bCs/>
          <w:sz w:val="28"/>
        </w:rPr>
      </w:pPr>
      <w:r>
        <w:rPr>
          <w:rFonts w:hint="eastAsia" w:ascii="宋体" w:hAnsi="宋体"/>
          <w:b/>
          <w:sz w:val="32"/>
          <w:szCs w:val="32"/>
        </w:rPr>
        <w:t>示范格式一</w:t>
      </w:r>
    </w:p>
    <w:p w14:paraId="30B266FA">
      <w:pPr>
        <w:spacing w:line="640" w:lineRule="exact"/>
        <w:ind w:firstLine="3054"/>
        <w:rPr>
          <w:rFonts w:hint="eastAsia" w:ascii="宋体" w:hAnsi="宋体"/>
          <w:b/>
          <w:bCs/>
          <w:sz w:val="36"/>
          <w:szCs w:val="36"/>
        </w:rPr>
      </w:pPr>
    </w:p>
    <w:p w14:paraId="70994DED">
      <w:pPr>
        <w:spacing w:line="640" w:lineRule="exact"/>
        <w:ind w:firstLine="3036"/>
        <w:rPr>
          <w:rFonts w:hint="eastAsia" w:ascii="宋体" w:hAnsi="宋体"/>
          <w:b/>
          <w:bCs/>
          <w:sz w:val="32"/>
          <w:szCs w:val="32"/>
        </w:rPr>
      </w:pPr>
      <w:r>
        <w:rPr>
          <w:rFonts w:hint="eastAsia" w:ascii="宋体" w:hAnsi="宋体"/>
          <w:b/>
          <w:bCs/>
          <w:sz w:val="32"/>
          <w:szCs w:val="32"/>
        </w:rPr>
        <w:t>法定代表人资格证明</w:t>
      </w:r>
    </w:p>
    <w:p w14:paraId="4AF59CD7">
      <w:pPr>
        <w:spacing w:line="640" w:lineRule="exact"/>
        <w:ind w:firstLine="560"/>
        <w:rPr>
          <w:rFonts w:hint="eastAsia" w:ascii="宋体" w:hAnsi="宋体"/>
          <w:sz w:val="28"/>
        </w:rPr>
      </w:pPr>
    </w:p>
    <w:p w14:paraId="5E217844">
      <w:pPr>
        <w:spacing w:line="720" w:lineRule="exact"/>
        <w:ind w:firstLine="280"/>
        <w:rPr>
          <w:rFonts w:ascii="宋体" w:hAnsi="宋体" w:cs="楷体_GB2312"/>
          <w:sz w:val="24"/>
          <w:lang w:val="zh-CN"/>
        </w:rPr>
      </w:pPr>
      <w:r>
        <w:rPr>
          <w:rFonts w:hint="eastAsia" w:ascii="宋体" w:hAnsi="宋体" w:cs="楷体_GB2312"/>
          <w:sz w:val="24"/>
          <w:lang w:val="zh-CN"/>
        </w:rPr>
        <w:t>单位名称：</w:t>
      </w:r>
    </w:p>
    <w:p w14:paraId="3372A5DD">
      <w:pPr>
        <w:spacing w:line="720" w:lineRule="exact"/>
        <w:ind w:firstLine="280"/>
        <w:rPr>
          <w:rFonts w:ascii="宋体" w:hAnsi="宋体" w:cs="楷体_GB2312"/>
          <w:sz w:val="24"/>
          <w:lang w:val="zh-CN"/>
        </w:rPr>
      </w:pPr>
      <w:r>
        <w:rPr>
          <w:rFonts w:hint="eastAsia" w:ascii="宋体" w:hAnsi="宋体" w:cs="楷体_GB2312"/>
          <w:sz w:val="24"/>
          <w:lang w:val="zh-CN"/>
        </w:rPr>
        <w:t>地址：</w:t>
      </w:r>
    </w:p>
    <w:p w14:paraId="39C5A08A">
      <w:pPr>
        <w:spacing w:line="720" w:lineRule="exact"/>
        <w:ind w:firstLine="2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7EA08888">
      <w:pPr>
        <w:spacing w:line="720" w:lineRule="exact"/>
        <w:ind w:left="1" w:firstLine="480"/>
        <w:rPr>
          <w:rFonts w:hint="eastAsia"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（谈判供应商名称）</w:t>
      </w:r>
      <w:r>
        <w:rPr>
          <w:rFonts w:hint="eastAsia" w:ascii="宋体" w:hAnsi="宋体" w:cs="楷体_GB2312"/>
          <w:sz w:val="24"/>
          <w:lang w:val="zh-CN"/>
        </w:rPr>
        <w:t>的法定代表人。</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项目，签署上述项目的响应文件、进行谈判、签署合同和处理与之有关的一切事务。</w:t>
      </w:r>
    </w:p>
    <w:p w14:paraId="6832A699">
      <w:pPr>
        <w:spacing w:line="640" w:lineRule="exact"/>
        <w:ind w:firstLine="280"/>
        <w:rPr>
          <w:rFonts w:ascii="宋体" w:hAnsi="宋体" w:cs="楷体_GB2312"/>
          <w:sz w:val="24"/>
        </w:rPr>
      </w:pPr>
    </w:p>
    <w:p w14:paraId="7A9F501F">
      <w:pPr>
        <w:spacing w:line="640" w:lineRule="exact"/>
        <w:rPr>
          <w:rFonts w:hint="eastAsia" w:ascii="宋体" w:hAnsi="宋体" w:cs="楷体_GB2312"/>
          <w:sz w:val="24"/>
          <w:lang w:val="zh-CN"/>
        </w:rPr>
      </w:pPr>
    </w:p>
    <w:p w14:paraId="5C1203C2">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3836C416">
      <w:pPr>
        <w:spacing w:line="640" w:lineRule="exact"/>
        <w:ind w:firstLine="4800"/>
        <w:rPr>
          <w:rFonts w:hint="eastAsia" w:ascii="宋体" w:hAnsi="宋体"/>
          <w:sz w:val="24"/>
        </w:rPr>
      </w:pPr>
    </w:p>
    <w:p w14:paraId="6DB58F81">
      <w:pPr>
        <w:spacing w:line="640" w:lineRule="exact"/>
        <w:rPr>
          <w:rFonts w:hint="eastAsia" w:ascii="宋体" w:hAnsi="宋体"/>
          <w:sz w:val="24"/>
        </w:rPr>
      </w:pPr>
    </w:p>
    <w:p w14:paraId="0513F7C2">
      <w:pPr>
        <w:spacing w:line="640" w:lineRule="exact"/>
        <w:ind w:firstLine="4434"/>
        <w:rPr>
          <w:rFonts w:hint="eastAsia" w:ascii="宋体" w:hAnsi="宋体"/>
          <w:sz w:val="24"/>
        </w:rPr>
      </w:pPr>
      <w:r>
        <w:rPr>
          <w:rFonts w:hint="eastAsia" w:ascii="宋体" w:hAnsi="宋体"/>
          <w:sz w:val="24"/>
        </w:rPr>
        <w:t>谈判供应商：</w:t>
      </w:r>
      <w:r>
        <w:rPr>
          <w:rFonts w:hint="eastAsia" w:ascii="宋体" w:hAnsi="宋体"/>
          <w:sz w:val="24"/>
          <w:u w:val="single"/>
        </w:rPr>
        <w:t xml:space="preserve"> （加盖</w:t>
      </w:r>
      <w:r>
        <w:rPr>
          <w:rFonts w:hint="eastAsia" w:ascii="宋体" w:hAnsi="宋体"/>
          <w:sz w:val="24"/>
          <w:u w:val="single"/>
          <w:lang w:eastAsia="zh-CN"/>
        </w:rPr>
        <w:t>电子签章</w:t>
      </w:r>
      <w:r>
        <w:rPr>
          <w:rFonts w:hint="eastAsia" w:ascii="宋体" w:hAnsi="宋体"/>
          <w:sz w:val="24"/>
          <w:u w:val="single"/>
        </w:rPr>
        <w:t xml:space="preserve">）  </w:t>
      </w:r>
    </w:p>
    <w:p w14:paraId="7ACB1B1E">
      <w:pPr>
        <w:spacing w:line="64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9AF5D90">
      <w:pPr>
        <w:spacing w:line="640" w:lineRule="exact"/>
        <w:ind w:firstLine="2736"/>
        <w:rPr>
          <w:rFonts w:hint="eastAsia" w:ascii="宋体" w:hAnsi="宋体"/>
          <w:bCs/>
          <w:sz w:val="24"/>
        </w:rPr>
      </w:pPr>
    </w:p>
    <w:p w14:paraId="37A2092E">
      <w:pPr>
        <w:spacing w:line="64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谈判供应商法定代表人参加谈判的，必须附法定代表人身份证复印件并加盖委托单位</w:t>
      </w:r>
      <w:r>
        <w:rPr>
          <w:rFonts w:hint="eastAsia" w:ascii="宋体" w:hAnsi="宋体"/>
          <w:bCs/>
          <w:sz w:val="24"/>
          <w:lang w:eastAsia="zh-CN"/>
        </w:rPr>
        <w:t>电子签章</w:t>
      </w:r>
      <w:r>
        <w:rPr>
          <w:rFonts w:hint="eastAsia" w:ascii="宋体" w:hAnsi="宋体"/>
          <w:bCs/>
          <w:sz w:val="24"/>
        </w:rPr>
        <w:t>。</w:t>
      </w:r>
      <w:r>
        <w:rPr>
          <w:rFonts w:hint="eastAsia" w:ascii="宋体" w:hAnsi="宋体"/>
          <w:sz w:val="24"/>
        </w:rPr>
        <w:t>法定代表人授权其他人参加谈判的，仅需填写“授权委托书”。</w:t>
      </w:r>
    </w:p>
    <w:p w14:paraId="2A6280D5">
      <w:pPr>
        <w:spacing w:line="640" w:lineRule="exact"/>
        <w:ind w:firstLine="480"/>
        <w:rPr>
          <w:rFonts w:hint="eastAsia" w:ascii="宋体" w:hAnsi="宋体"/>
          <w:sz w:val="24"/>
          <w:szCs w:val="24"/>
        </w:rPr>
      </w:pPr>
    </w:p>
    <w:p w14:paraId="086A116E">
      <w:pPr>
        <w:pStyle w:val="219"/>
        <w:rPr>
          <w:rFonts w:hint="eastAsia" w:hAnsi="宋体"/>
          <w:b/>
          <w:bCs/>
          <w:sz w:val="32"/>
          <w:szCs w:val="32"/>
          <w:u w:val="single"/>
        </w:rPr>
      </w:pPr>
    </w:p>
    <w:p w14:paraId="6C7729B4">
      <w:pPr>
        <w:pStyle w:val="219"/>
        <w:rPr>
          <w:rFonts w:hint="eastAsia" w:hAnsi="宋体"/>
          <w:b/>
          <w:bCs/>
          <w:sz w:val="32"/>
          <w:szCs w:val="32"/>
          <w:highlight w:val="none"/>
        </w:rPr>
      </w:pPr>
      <w:r>
        <w:rPr>
          <w:rFonts w:hint="eastAsia" w:hAnsi="宋体"/>
          <w:b/>
          <w:sz w:val="32"/>
        </w:rPr>
        <w:t>示范格式二</w:t>
      </w:r>
    </w:p>
    <w:p w14:paraId="342E0961">
      <w:pPr>
        <w:spacing w:line="520" w:lineRule="exact"/>
        <w:ind w:firstLine="3518"/>
        <w:rPr>
          <w:rFonts w:hint="eastAsia" w:ascii="宋体" w:hAnsi="宋体"/>
          <w:b/>
          <w:bCs/>
          <w:sz w:val="32"/>
          <w:szCs w:val="32"/>
        </w:rPr>
      </w:pPr>
      <w:r>
        <w:rPr>
          <w:rFonts w:hint="eastAsia" w:ascii="宋体" w:hAnsi="宋体"/>
          <w:b/>
          <w:bCs/>
          <w:sz w:val="32"/>
          <w:szCs w:val="32"/>
        </w:rPr>
        <w:t>授权委托书</w:t>
      </w:r>
    </w:p>
    <w:p w14:paraId="4EF8E62E">
      <w:pPr>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（政府采购人）：</w:t>
      </w:r>
    </w:p>
    <w:p w14:paraId="0A4DCDA3">
      <w:pPr>
        <w:spacing w:line="360" w:lineRule="auto"/>
        <w:rPr>
          <w:rFonts w:hint="eastAsia" w:ascii="宋体" w:hAnsi="宋体"/>
          <w:sz w:val="24"/>
        </w:rPr>
      </w:pPr>
      <w:r>
        <w:rPr>
          <w:rFonts w:hint="eastAsia" w:ascii="宋体" w:hAnsi="宋体"/>
          <w:sz w:val="24"/>
        </w:rPr>
        <w:t>本授权书宣告：</w:t>
      </w:r>
    </w:p>
    <w:p w14:paraId="5A8B59E5">
      <w:pPr>
        <w:spacing w:line="360" w:lineRule="auto"/>
        <w:rPr>
          <w:rFonts w:hint="eastAsia"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43173061">
      <w:pPr>
        <w:spacing w:line="360" w:lineRule="auto"/>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p>
    <w:p w14:paraId="1C04B7BC">
      <w:pPr>
        <w:spacing w:line="360" w:lineRule="auto"/>
        <w:rPr>
          <w:rFonts w:hint="eastAsia"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56014A4">
      <w:pPr>
        <w:spacing w:line="360" w:lineRule="auto"/>
        <w:rPr>
          <w:rFonts w:hint="eastAsia"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071255D9">
      <w:pPr>
        <w:spacing w:line="360" w:lineRule="auto"/>
        <w:rPr>
          <w:rFonts w:hint="eastAsia"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6902DF6E">
      <w:pPr>
        <w:spacing w:line="360" w:lineRule="auto"/>
        <w:rPr>
          <w:rFonts w:hint="eastAsia"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（政府采购人）组织的（项目编号</w:t>
      </w:r>
      <w:r>
        <w:rPr>
          <w:rFonts w:hint="eastAsia" w:ascii="宋体" w:hAnsi="宋体"/>
          <w:sz w:val="24"/>
          <w:lang w:eastAsia="zh-CN"/>
        </w:rPr>
        <w:t>：</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采购项目的政府采购活动，受托人有权在该谈判活动中，以我单位的名义签署谈判函和响应文件，与采购人或代理机构协商、澄清、解释，签订合同书并执行一切与此有关的事项。</w:t>
      </w:r>
    </w:p>
    <w:p w14:paraId="4BFE8DE5">
      <w:pPr>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p>
    <w:p w14:paraId="1D228A55">
      <w:pPr>
        <w:spacing w:line="360" w:lineRule="auto"/>
        <w:ind w:firstLine="480"/>
        <w:rPr>
          <w:rFonts w:hint="eastAsia" w:ascii="宋体" w:hAnsi="宋体"/>
          <w:sz w:val="24"/>
        </w:rPr>
      </w:pPr>
      <w:r>
        <w:rPr>
          <w:rFonts w:hint="eastAsia" w:ascii="宋体" w:hAnsi="宋体"/>
          <w:sz w:val="24"/>
        </w:rPr>
        <w:t>委托期限：至上述事宜处理完毕止。</w:t>
      </w:r>
    </w:p>
    <w:p w14:paraId="6437C460">
      <w:pPr>
        <w:spacing w:line="360" w:lineRule="auto"/>
        <w:ind w:firstLine="600"/>
        <w:rPr>
          <w:rFonts w:hint="eastAsia" w:ascii="宋体" w:hAnsi="宋体"/>
          <w:sz w:val="24"/>
        </w:rPr>
      </w:pPr>
    </w:p>
    <w:p w14:paraId="4BAB874A">
      <w:pPr>
        <w:spacing w:line="520" w:lineRule="exact"/>
        <w:ind w:firstLine="600"/>
        <w:rPr>
          <w:rFonts w:hint="eastAsia" w:ascii="宋体" w:hAnsi="宋体"/>
          <w:sz w:val="24"/>
        </w:rPr>
      </w:pPr>
    </w:p>
    <w:p w14:paraId="08380575">
      <w:pPr>
        <w:spacing w:line="520" w:lineRule="exact"/>
        <w:ind w:firstLine="600"/>
        <w:rPr>
          <w:rFonts w:hint="eastAsia" w:ascii="宋体" w:hAnsi="宋体"/>
          <w:sz w:val="24"/>
        </w:rPr>
      </w:pPr>
    </w:p>
    <w:p w14:paraId="66BE1BA8">
      <w:pPr>
        <w:spacing w:line="520" w:lineRule="exact"/>
        <w:ind w:firstLine="4320"/>
        <w:rPr>
          <w:rFonts w:hint="eastAsia" w:ascii="宋体" w:hAnsi="宋体"/>
          <w:sz w:val="24"/>
          <w:u w:val="single"/>
        </w:rPr>
      </w:pPr>
      <w:r>
        <w:rPr>
          <w:rFonts w:hint="eastAsia" w:ascii="宋体" w:hAnsi="宋体"/>
          <w:sz w:val="24"/>
        </w:rPr>
        <w:t>委托单位</w:t>
      </w:r>
      <w:r>
        <w:rPr>
          <w:rFonts w:hint="eastAsia" w:ascii="宋体" w:hAnsi="宋体"/>
          <w:sz w:val="24"/>
          <w:u w:val="single"/>
        </w:rPr>
        <w:t xml:space="preserve">       （</w:t>
      </w:r>
      <w:r>
        <w:rPr>
          <w:rFonts w:hint="eastAsia" w:ascii="宋体" w:hAnsi="宋体"/>
          <w:sz w:val="24"/>
          <w:u w:val="single"/>
          <w:lang w:eastAsia="zh-CN"/>
        </w:rPr>
        <w:t>电子签章</w:t>
      </w:r>
      <w:r>
        <w:rPr>
          <w:rFonts w:hint="eastAsia" w:ascii="宋体" w:hAnsi="宋体"/>
          <w:sz w:val="24"/>
          <w:u w:val="single"/>
        </w:rPr>
        <w:t xml:space="preserve">）    </w:t>
      </w:r>
    </w:p>
    <w:p w14:paraId="2A9E1A78">
      <w:pPr>
        <w:spacing w:line="520" w:lineRule="exact"/>
        <w:ind w:firstLine="432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753C9DBF">
      <w:pPr>
        <w:spacing w:line="52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rPr>
        <w:t>谈判供应商委托受托人参加谈判的，必须附受托人身份证复印件并加盖委托单位</w:t>
      </w:r>
      <w:r>
        <w:rPr>
          <w:rFonts w:hint="eastAsia" w:ascii="宋体" w:hAnsi="宋体"/>
          <w:bCs/>
          <w:sz w:val="24"/>
          <w:lang w:eastAsia="zh-CN"/>
        </w:rPr>
        <w:t>电子签章</w:t>
      </w:r>
      <w:r>
        <w:rPr>
          <w:rFonts w:hint="eastAsia" w:ascii="宋体" w:hAnsi="宋体"/>
          <w:bCs/>
          <w:sz w:val="24"/>
        </w:rPr>
        <w:t>。</w:t>
      </w:r>
      <w:r>
        <w:rPr>
          <w:rFonts w:hint="eastAsia" w:ascii="宋体" w:hAnsi="宋体"/>
          <w:sz w:val="24"/>
        </w:rPr>
        <w:t>法定代表人直接参加谈判的，仅需填写“法定代表人资格证明”。</w:t>
      </w:r>
    </w:p>
    <w:p w14:paraId="6DCB17D9">
      <w:pPr>
        <w:spacing w:line="520" w:lineRule="exact"/>
        <w:rPr>
          <w:rFonts w:hint="eastAsia" w:ascii="宋体" w:hAnsi="宋体"/>
          <w:sz w:val="28"/>
          <w:szCs w:val="28"/>
        </w:rPr>
      </w:pPr>
    </w:p>
    <w:p w14:paraId="4687ADC8">
      <w:pPr>
        <w:rPr>
          <w:rFonts w:ascii="宋体" w:hAnsi="宋体"/>
          <w:sz w:val="24"/>
        </w:rPr>
      </w:pPr>
    </w:p>
    <w:p w14:paraId="6245A40A">
      <w:pPr>
        <w:rPr>
          <w:rFonts w:ascii="宋体" w:hAnsi="宋体"/>
          <w:sz w:val="24"/>
        </w:rPr>
      </w:pPr>
    </w:p>
    <w:p w14:paraId="33A1D49F">
      <w:pPr>
        <w:rPr>
          <w:rFonts w:ascii="宋体" w:hAnsi="宋体"/>
          <w:sz w:val="24"/>
        </w:rPr>
      </w:pPr>
    </w:p>
    <w:p w14:paraId="2EA27F00">
      <w:pPr>
        <w:rPr>
          <w:rFonts w:ascii="宋体" w:hAnsi="宋体"/>
          <w:sz w:val="24"/>
        </w:rPr>
      </w:pPr>
    </w:p>
    <w:p w14:paraId="4D7A8885">
      <w:pPr>
        <w:rPr>
          <w:rFonts w:ascii="宋体" w:hAnsi="宋体"/>
          <w:sz w:val="24"/>
        </w:rPr>
      </w:pPr>
    </w:p>
    <w:p w14:paraId="54287D95">
      <w:pPr>
        <w:rPr>
          <w:rFonts w:hint="eastAsia" w:ascii="宋体" w:hAnsi="宋体"/>
          <w:sz w:val="24"/>
        </w:rPr>
      </w:pPr>
    </w:p>
    <w:p w14:paraId="35916A0B">
      <w:pPr>
        <w:pStyle w:val="14"/>
        <w:rPr>
          <w:rFonts w:hint="eastAsia" w:ascii="宋体" w:hAnsi="宋体"/>
          <w:sz w:val="24"/>
        </w:rPr>
      </w:pPr>
    </w:p>
    <w:p w14:paraId="696A7DA7">
      <w:pPr>
        <w:pStyle w:val="412"/>
        <w:keepNext/>
        <w:keepLines w:val="0"/>
        <w:pageBreakBefore w:val="0"/>
        <w:widowControl w:val="0"/>
        <w:spacing w:line="360" w:lineRule="auto"/>
        <w:ind w:firstLine="0"/>
        <w:jc w:val="left"/>
        <w:outlineLvl w:val="2"/>
        <w:rPr>
          <w:rFonts w:hint="eastAsia" w:ascii="仿宋" w:eastAsia="仿宋"/>
          <w:b/>
          <w:color w:val="000000"/>
          <w:sz w:val="32"/>
          <w:szCs w:val="32"/>
        </w:rPr>
      </w:pPr>
      <w:r>
        <w:rPr>
          <w:rFonts w:hint="eastAsia" w:ascii="仿宋" w:eastAsia="仿宋"/>
          <w:b/>
          <w:color w:val="000000"/>
          <w:sz w:val="32"/>
          <w:szCs w:val="32"/>
        </w:rPr>
        <w:t>示范格式三</w:t>
      </w:r>
    </w:p>
    <w:p w14:paraId="01933011">
      <w:pPr>
        <w:keepNext/>
        <w:keepLines w:val="0"/>
        <w:pageBreakBefore w:val="0"/>
        <w:widowControl w:val="0"/>
        <w:tabs>
          <w:tab w:val="left" w:pos="0"/>
        </w:tabs>
        <w:spacing w:before="313" w:after="313" w:line="360" w:lineRule="auto"/>
        <w:jc w:val="center"/>
        <w:rPr>
          <w:rFonts w:hint="eastAsia" w:ascii="仿宋" w:hAnsi="Times New Roman" w:eastAsia="仿宋" w:cs="Times New Roman"/>
          <w:b/>
          <w:bCs/>
          <w:color w:val="000000"/>
          <w:sz w:val="32"/>
          <w:szCs w:val="32"/>
        </w:rPr>
      </w:pPr>
      <w:r>
        <w:rPr>
          <w:rFonts w:hint="eastAsia" w:ascii="仿宋" w:hAnsi="Times New Roman" w:eastAsia="仿宋" w:cs="Times New Roman"/>
          <w:b/>
          <w:bCs/>
          <w:color w:val="000000"/>
          <w:sz w:val="32"/>
          <w:szCs w:val="32"/>
        </w:rPr>
        <w:t>符合《</w:t>
      </w:r>
      <w:r>
        <w:rPr>
          <w:rFonts w:hint="eastAsia" w:ascii="仿宋" w:eastAsia="仿宋" w:cs="Times New Roman"/>
          <w:b/>
          <w:bCs/>
          <w:color w:val="000000"/>
          <w:sz w:val="32"/>
          <w:szCs w:val="32"/>
          <w:lang w:eastAsia="zh-CN"/>
        </w:rPr>
        <w:t>中华人民共和国政府采购法</w:t>
      </w:r>
      <w:r>
        <w:rPr>
          <w:rFonts w:hint="eastAsia" w:ascii="仿宋" w:hAnsi="Times New Roman" w:eastAsia="仿宋" w:cs="Times New Roman"/>
          <w:b/>
          <w:bCs/>
          <w:color w:val="000000"/>
          <w:sz w:val="32"/>
          <w:szCs w:val="32"/>
        </w:rPr>
        <w:t>》第二十二条规定条件的声明函</w:t>
      </w:r>
    </w:p>
    <w:p w14:paraId="77C4A125">
      <w:pPr>
        <w:pStyle w:val="413"/>
        <w:keepNext/>
        <w:keepLines w:val="0"/>
        <w:pageBreakBefore w:val="0"/>
        <w:widowControl w:val="0"/>
        <w:spacing w:line="360" w:lineRule="auto"/>
        <w:rPr>
          <w:rFonts w:hint="eastAsia" w:ascii="宋体" w:hAnsi="宋体" w:eastAsia="宋体" w:cs="Times New Roman"/>
          <w:bCs/>
          <w:sz w:val="24"/>
          <w:szCs w:val="24"/>
          <w:lang w:val="en-US" w:eastAsia="zh-CN" w:bidi="ar-SA"/>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（政府采购人）</w:t>
      </w:r>
      <w:r>
        <w:rPr>
          <w:rFonts w:hint="eastAsia" w:ascii="宋体" w:hAnsi="宋体" w:eastAsia="宋体" w:cs="Times New Roman"/>
          <w:bCs/>
          <w:sz w:val="24"/>
          <w:szCs w:val="24"/>
          <w:lang w:val="en-US" w:eastAsia="zh-CN" w:bidi="ar-SA"/>
        </w:rPr>
        <w:t>：</w:t>
      </w:r>
    </w:p>
    <w:p w14:paraId="2365B7FC">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我方在</w:t>
      </w:r>
      <w:r>
        <w:rPr>
          <w:rFonts w:hint="eastAsia" w:ascii="宋体" w:hAnsi="宋体" w:cs="Times New Roman"/>
          <w:bCs/>
          <w:sz w:val="24"/>
          <w:szCs w:val="24"/>
          <w:lang w:val="en-US" w:eastAsia="zh-CN" w:bidi="ar-SA"/>
        </w:rPr>
        <w:t>涟水县2025年占补平衡项目补充耕地质量鉴定</w:t>
      </w:r>
      <w:r>
        <w:rPr>
          <w:rFonts w:hint="eastAsia" w:ascii="宋体" w:hAnsi="宋体" w:eastAsia="宋体" w:cs="Times New Roman"/>
          <w:bCs/>
          <w:sz w:val="24"/>
          <w:szCs w:val="24"/>
          <w:u w:val="single"/>
          <w:lang w:val="en-US" w:eastAsia="zh-CN" w:bidi="ar-SA"/>
        </w:rPr>
        <w:t>（项目编号：   ）</w:t>
      </w:r>
      <w:r>
        <w:rPr>
          <w:rFonts w:hint="eastAsia" w:ascii="宋体" w:hAnsi="宋体" w:eastAsia="宋体" w:cs="Times New Roman"/>
          <w:bCs/>
          <w:sz w:val="24"/>
          <w:szCs w:val="24"/>
          <w:lang w:val="en-US" w:eastAsia="zh-CN" w:bidi="ar-SA"/>
        </w:rPr>
        <w:t>的政府采购活动的谈判过程中，针对《中华人民共和国政府采购法》第二十二条规定做出如下声明：</w:t>
      </w:r>
    </w:p>
    <w:p w14:paraId="1BF04CA5">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1、我单位具有独立承担民事责任的能力；</w:t>
      </w:r>
    </w:p>
    <w:p w14:paraId="4CD64BE4">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2、我单位具有良好的商业信誉和健全的财务会计制度；</w:t>
      </w:r>
    </w:p>
    <w:p w14:paraId="3077FA2D">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3、我单位具有履行合同所必需的设备和专业技术能力；</w:t>
      </w:r>
    </w:p>
    <w:p w14:paraId="1F680A9B">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4、我单位有依法缴纳税收和社会保障资金的良好记录；</w:t>
      </w:r>
    </w:p>
    <w:p w14:paraId="7A2A6B47">
      <w:pPr>
        <w:keepNext/>
        <w:keepLines w:val="0"/>
        <w:pageBreakBefore w:val="0"/>
        <w:widowControl w:val="0"/>
        <w:spacing w:line="360" w:lineRule="auto"/>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5、参加本次政府采购活动前三年内，我公司在经营活动中没有因违法经营受到刑事处罚或者责令停产停业、吊销许可证或者执照、较大数额罚款等行政处罚。</w:t>
      </w:r>
    </w:p>
    <w:p w14:paraId="25AC09F1">
      <w:pPr>
        <w:pStyle w:val="229"/>
        <w:keepNext/>
        <w:keepLines w:val="0"/>
        <w:pageBreakBefore w:val="0"/>
        <w:widowControl w:val="0"/>
        <w:spacing w:line="360" w:lineRule="auto"/>
        <w:ind w:firstLine="560"/>
        <w:outlineLvl w:val="9"/>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6、我单位满足法律、行政法规规定的其他条件。</w:t>
      </w:r>
    </w:p>
    <w:p w14:paraId="22F42F13">
      <w:pPr>
        <w:keepNext/>
        <w:keepLines w:val="0"/>
        <w:pageBreakBefore w:val="0"/>
        <w:widowControl w:val="0"/>
        <w:spacing w:line="360" w:lineRule="auto"/>
        <w:rPr>
          <w:rFonts w:hint="eastAsia" w:ascii="宋体" w:hAnsi="宋体" w:eastAsia="宋体" w:cs="Times New Roman"/>
          <w:bCs/>
          <w:sz w:val="24"/>
          <w:szCs w:val="24"/>
          <w:lang w:val="en-US" w:eastAsia="zh-CN" w:bidi="ar-SA"/>
        </w:rPr>
      </w:pPr>
    </w:p>
    <w:p w14:paraId="67D2A162">
      <w:pPr>
        <w:keepNext/>
        <w:keepLines w:val="0"/>
        <w:pageBreakBefore w:val="0"/>
        <w:widowControl w:val="0"/>
        <w:spacing w:line="360" w:lineRule="auto"/>
        <w:rPr>
          <w:rFonts w:hint="eastAsia" w:ascii="宋体" w:hAnsi="宋体" w:eastAsia="宋体" w:cs="Times New Roman"/>
          <w:bCs/>
          <w:sz w:val="24"/>
          <w:szCs w:val="24"/>
          <w:lang w:val="en-US" w:eastAsia="zh-CN" w:bidi="ar-SA"/>
        </w:rPr>
      </w:pPr>
    </w:p>
    <w:p w14:paraId="5EEB0272">
      <w:pPr>
        <w:pStyle w:val="414"/>
        <w:keepNext/>
        <w:keepLines w:val="0"/>
        <w:pageBreakBefore w:val="0"/>
        <w:widowControl w:val="0"/>
        <w:ind w:left="420"/>
        <w:rPr>
          <w:rFonts w:hint="eastAsia" w:ascii="宋体" w:hAnsi="宋体" w:eastAsia="宋体" w:cs="Times New Roman"/>
          <w:bCs/>
          <w:sz w:val="24"/>
          <w:szCs w:val="24"/>
          <w:lang w:val="en-US" w:eastAsia="zh-CN" w:bidi="ar-SA"/>
        </w:rPr>
      </w:pPr>
    </w:p>
    <w:p w14:paraId="4457E9A0">
      <w:pPr>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供应商：    （</w:t>
      </w:r>
      <w:r>
        <w:rPr>
          <w:rFonts w:hint="eastAsia" w:ascii="宋体" w:hAnsi="宋体" w:cs="Times New Roman"/>
          <w:bCs/>
          <w:sz w:val="24"/>
          <w:szCs w:val="24"/>
          <w:lang w:val="en-US" w:eastAsia="zh-CN" w:bidi="ar-SA"/>
        </w:rPr>
        <w:t>电子签章</w:t>
      </w:r>
      <w:r>
        <w:rPr>
          <w:rFonts w:hint="eastAsia" w:ascii="宋体" w:hAnsi="宋体" w:eastAsia="宋体" w:cs="Times New Roman"/>
          <w:bCs/>
          <w:sz w:val="24"/>
          <w:szCs w:val="24"/>
          <w:lang w:val="en-US" w:eastAsia="zh-CN" w:bidi="ar-SA"/>
        </w:rPr>
        <w:t xml:space="preserve">）     </w:t>
      </w:r>
    </w:p>
    <w:p w14:paraId="6B597BFF">
      <w:pPr>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法定代表人或受托人：  （</w:t>
      </w:r>
      <w:r>
        <w:rPr>
          <w:rFonts w:hint="eastAsia" w:ascii="宋体" w:hAnsi="宋体" w:cs="Times New Roman"/>
          <w:bCs/>
          <w:sz w:val="24"/>
          <w:szCs w:val="24"/>
          <w:lang w:val="en-US" w:eastAsia="zh-CN" w:bidi="ar-SA"/>
        </w:rPr>
        <w:t>电子</w:t>
      </w:r>
      <w:r>
        <w:rPr>
          <w:rFonts w:hint="eastAsia" w:ascii="宋体" w:hAnsi="宋体" w:eastAsia="宋体" w:cs="Times New Roman"/>
          <w:bCs/>
          <w:sz w:val="24"/>
          <w:szCs w:val="24"/>
          <w:lang w:val="en-US" w:eastAsia="zh-CN" w:bidi="ar-SA"/>
        </w:rPr>
        <w:t xml:space="preserve">签章或签字）   </w:t>
      </w:r>
    </w:p>
    <w:p w14:paraId="596DA29D">
      <w:pPr>
        <w:pStyle w:val="413"/>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p>
    <w:p w14:paraId="28FFAC90">
      <w:pPr>
        <w:keepNext/>
        <w:keepLines w:val="0"/>
        <w:pageBreakBefore w:val="0"/>
        <w:widowControl w:val="0"/>
        <w:jc w:val="right"/>
        <w:rPr>
          <w:rFonts w:hint="eastAsia" w:ascii="宋体" w:hAnsi="宋体" w:eastAsia="宋体" w:cs="Times New Roman"/>
          <w:bCs/>
          <w:sz w:val="24"/>
          <w:szCs w:val="24"/>
          <w:lang w:val="en-US" w:eastAsia="zh-CN" w:bidi="ar-SA"/>
        </w:rPr>
      </w:pPr>
    </w:p>
    <w:p w14:paraId="1D033E46">
      <w:pPr>
        <w:pStyle w:val="412"/>
        <w:keepNext/>
        <w:keepLines w:val="0"/>
        <w:pageBreakBefore w:val="0"/>
        <w:widowControl w:val="0"/>
        <w:spacing w:line="520" w:lineRule="exact"/>
        <w:ind w:firstLine="0"/>
        <w:jc w:val="left"/>
        <w:rPr>
          <w:rFonts w:hint="eastAsia" w:ascii="宋体" w:hAnsi="宋体" w:eastAsia="宋体" w:cs="Times New Roman"/>
          <w:bCs/>
          <w:sz w:val="24"/>
          <w:szCs w:val="24"/>
          <w:lang w:val="en-US" w:eastAsia="zh-CN" w:bidi="ar-SA"/>
        </w:rPr>
      </w:pPr>
    </w:p>
    <w:p w14:paraId="6A09A966">
      <w:pPr>
        <w:pStyle w:val="412"/>
        <w:keepNext/>
        <w:keepLines w:val="0"/>
        <w:pageBreakBefore w:val="0"/>
        <w:widowControl w:val="0"/>
        <w:spacing w:line="520" w:lineRule="exact"/>
        <w:ind w:firstLine="0"/>
        <w:jc w:val="left"/>
        <w:rPr>
          <w:rFonts w:hint="eastAsia" w:ascii="宋体" w:hAnsi="宋体" w:eastAsia="宋体" w:cs="Times New Roman"/>
          <w:bCs/>
          <w:sz w:val="24"/>
          <w:szCs w:val="24"/>
          <w:lang w:val="en-US" w:eastAsia="zh-CN" w:bidi="ar-SA"/>
        </w:rPr>
      </w:pPr>
    </w:p>
    <w:p w14:paraId="0303AE5D">
      <w:pPr>
        <w:pStyle w:val="412"/>
        <w:keepNext/>
        <w:keepLines w:val="0"/>
        <w:pageBreakBefore w:val="0"/>
        <w:widowControl w:val="0"/>
        <w:spacing w:line="520" w:lineRule="exact"/>
        <w:ind w:firstLine="0"/>
        <w:jc w:val="left"/>
        <w:rPr>
          <w:rFonts w:hint="eastAsia" w:ascii="仿宋" w:eastAsia="仿宋"/>
          <w:b/>
          <w:color w:val="000000"/>
          <w:sz w:val="24"/>
          <w:szCs w:val="24"/>
        </w:rPr>
      </w:pPr>
    </w:p>
    <w:p w14:paraId="5D8D00B0">
      <w:pPr>
        <w:pStyle w:val="412"/>
        <w:keepNext/>
        <w:keepLines w:val="0"/>
        <w:pageBreakBefore w:val="0"/>
        <w:widowControl w:val="0"/>
        <w:spacing w:line="520" w:lineRule="exact"/>
        <w:ind w:firstLine="0"/>
        <w:jc w:val="left"/>
        <w:outlineLvl w:val="2"/>
        <w:rPr>
          <w:rFonts w:hint="eastAsia" w:ascii="仿宋" w:eastAsia="仿宋"/>
          <w:b/>
          <w:bCs/>
          <w:color w:val="000000"/>
          <w:sz w:val="24"/>
          <w:szCs w:val="24"/>
        </w:rPr>
      </w:pPr>
    </w:p>
    <w:p w14:paraId="2F997948">
      <w:pPr>
        <w:pStyle w:val="412"/>
        <w:keepNext/>
        <w:keepLines w:val="0"/>
        <w:pageBreakBefore w:val="0"/>
        <w:widowControl w:val="0"/>
        <w:spacing w:line="520" w:lineRule="exact"/>
        <w:ind w:firstLine="0"/>
        <w:jc w:val="left"/>
        <w:outlineLvl w:val="2"/>
        <w:rPr>
          <w:rFonts w:hint="eastAsia" w:ascii="仿宋" w:eastAsia="仿宋"/>
          <w:b/>
          <w:bCs/>
          <w:color w:val="000000"/>
          <w:sz w:val="24"/>
          <w:szCs w:val="24"/>
        </w:rPr>
      </w:pPr>
    </w:p>
    <w:p w14:paraId="4C162EE8">
      <w:pPr>
        <w:pStyle w:val="412"/>
        <w:keepNext/>
        <w:keepLines w:val="0"/>
        <w:pageBreakBefore w:val="0"/>
        <w:widowControl w:val="0"/>
        <w:spacing w:line="520" w:lineRule="exact"/>
        <w:ind w:firstLine="0"/>
        <w:jc w:val="left"/>
        <w:outlineLvl w:val="2"/>
        <w:rPr>
          <w:rFonts w:hint="eastAsia" w:ascii="仿宋" w:eastAsia="仿宋"/>
          <w:b/>
          <w:bCs/>
          <w:color w:val="000000"/>
          <w:sz w:val="24"/>
          <w:szCs w:val="24"/>
        </w:rPr>
      </w:pPr>
    </w:p>
    <w:p w14:paraId="23731E4C">
      <w:pPr>
        <w:pStyle w:val="412"/>
        <w:keepNext/>
        <w:keepLines w:val="0"/>
        <w:pageBreakBefore w:val="0"/>
        <w:widowControl w:val="0"/>
        <w:spacing w:line="520" w:lineRule="exact"/>
        <w:ind w:firstLine="0"/>
        <w:jc w:val="left"/>
        <w:outlineLvl w:val="2"/>
        <w:rPr>
          <w:rFonts w:hint="eastAsia" w:ascii="仿宋" w:eastAsia="仿宋"/>
          <w:b/>
          <w:bCs/>
          <w:color w:val="000000"/>
          <w:sz w:val="32"/>
          <w:szCs w:val="32"/>
        </w:rPr>
      </w:pPr>
    </w:p>
    <w:p w14:paraId="4418FE77">
      <w:pPr>
        <w:pStyle w:val="412"/>
        <w:keepNext/>
        <w:keepLines w:val="0"/>
        <w:pageBreakBefore w:val="0"/>
        <w:widowControl w:val="0"/>
        <w:spacing w:line="520" w:lineRule="exact"/>
        <w:ind w:firstLine="0"/>
        <w:jc w:val="left"/>
        <w:outlineLvl w:val="2"/>
        <w:rPr>
          <w:rFonts w:hint="eastAsia" w:ascii="仿宋" w:eastAsia="仿宋"/>
          <w:b/>
          <w:bCs/>
          <w:color w:val="000000"/>
          <w:sz w:val="32"/>
          <w:szCs w:val="32"/>
        </w:rPr>
      </w:pPr>
    </w:p>
    <w:p w14:paraId="3061E56B">
      <w:pPr>
        <w:pStyle w:val="412"/>
        <w:keepNext/>
        <w:keepLines w:val="0"/>
        <w:pageBreakBefore w:val="0"/>
        <w:widowControl w:val="0"/>
        <w:spacing w:line="520" w:lineRule="exact"/>
        <w:ind w:firstLine="0"/>
        <w:jc w:val="left"/>
        <w:outlineLvl w:val="2"/>
        <w:rPr>
          <w:rFonts w:hint="eastAsia" w:ascii="仿宋" w:eastAsia="仿宋"/>
          <w:b/>
          <w:color w:val="000000"/>
          <w:sz w:val="32"/>
          <w:szCs w:val="32"/>
        </w:rPr>
      </w:pPr>
      <w:r>
        <w:rPr>
          <w:rFonts w:hint="eastAsia" w:ascii="仿宋" w:eastAsia="仿宋"/>
          <w:b/>
          <w:color w:val="000000"/>
          <w:sz w:val="32"/>
          <w:szCs w:val="32"/>
        </w:rPr>
        <w:t>示范格式四</w:t>
      </w:r>
    </w:p>
    <w:p w14:paraId="04EAC1D1">
      <w:pPr>
        <w:spacing w:line="520" w:lineRule="exact"/>
        <w:jc w:val="center"/>
        <w:rPr>
          <w:rFonts w:hint="eastAsia" w:ascii="仿宋" w:hAnsi="仿宋" w:eastAsia="仿宋" w:cs="Times New Roman"/>
          <w:b/>
          <w:bCs/>
          <w:sz w:val="32"/>
        </w:rPr>
      </w:pPr>
      <w:r>
        <w:rPr>
          <w:rFonts w:hint="eastAsia" w:ascii="仿宋" w:hAnsi="仿宋" w:eastAsia="仿宋" w:cs="Times New Roman"/>
          <w:b/>
          <w:bCs/>
          <w:sz w:val="32"/>
        </w:rPr>
        <w:t>承 诺 书</w:t>
      </w:r>
    </w:p>
    <w:p w14:paraId="19C0AD8F">
      <w:pPr>
        <w:pStyle w:val="412"/>
        <w:spacing w:line="640" w:lineRule="exact"/>
        <w:ind w:left="0" w:firstLine="0"/>
        <w:rPr>
          <w:rFonts w:hint="eastAsia" w:ascii="仿宋" w:eastAsia="仿宋"/>
          <w:b/>
          <w:color w:val="000000"/>
          <w:sz w:val="28"/>
          <w:szCs w:val="28"/>
          <w:lang w:eastAsia="zh-CN"/>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（政府采购人）</w:t>
      </w:r>
      <w:r>
        <w:rPr>
          <w:rFonts w:hint="eastAsia" w:ascii="仿宋" w:eastAsia="仿宋"/>
          <w:b/>
          <w:color w:val="000000"/>
          <w:sz w:val="28"/>
          <w:szCs w:val="28"/>
          <w:lang w:eastAsia="zh-CN"/>
        </w:rPr>
        <w:t>：</w:t>
      </w:r>
    </w:p>
    <w:p w14:paraId="19E6249F">
      <w:pPr>
        <w:pStyle w:val="412"/>
        <w:spacing w:line="640" w:lineRule="exact"/>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我方在</w:t>
      </w:r>
      <w:r>
        <w:rPr>
          <w:rFonts w:hint="eastAsia" w:ascii="宋体" w:hAnsi="宋体" w:cs="Times New Roman"/>
          <w:bCs/>
          <w:sz w:val="24"/>
          <w:szCs w:val="24"/>
          <w:lang w:val="en-US" w:eastAsia="zh-CN" w:bidi="ar-SA"/>
        </w:rPr>
        <w:t>涟水县2025年占补平衡项目补充耕地质量鉴定</w:t>
      </w:r>
      <w:r>
        <w:rPr>
          <w:rFonts w:hint="eastAsia" w:ascii="宋体" w:hAnsi="宋体" w:eastAsia="宋体" w:cs="Times New Roman"/>
          <w:bCs/>
          <w:sz w:val="24"/>
          <w:szCs w:val="24"/>
          <w:u w:val="single"/>
          <w:lang w:val="en-US" w:eastAsia="zh-CN" w:bidi="ar-SA"/>
        </w:rPr>
        <w:t>（项目编号：   ）</w:t>
      </w:r>
      <w:r>
        <w:rPr>
          <w:rFonts w:hint="eastAsia" w:ascii="宋体" w:hAnsi="宋体" w:eastAsia="宋体" w:cs="Times New Roman"/>
          <w:bCs/>
          <w:sz w:val="24"/>
          <w:szCs w:val="24"/>
          <w:lang w:val="en-US" w:eastAsia="zh-CN" w:bidi="ar-SA"/>
        </w:rPr>
        <w:t xml:space="preserve">的政府采购活动的谈判过程中，做如下承诺：   </w:t>
      </w:r>
    </w:p>
    <w:p w14:paraId="48CDCB34">
      <w:pPr>
        <w:spacing w:line="520" w:lineRule="exact"/>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一、我单位不存在“负责人为同一人或者存在直接控股、管理关系的不同供应商，同时参加同一合同项下的政府采购活动”的情况。</w:t>
      </w:r>
    </w:p>
    <w:p w14:paraId="576C81A6">
      <w:pPr>
        <w:spacing w:line="520" w:lineRule="exact"/>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二、我单位不存在“为采购项目提供整体设计、规范编制或者项目管理、监理、检测等服务的供应商，再参加本项目的采购活动。”的情况。</w:t>
      </w:r>
    </w:p>
    <w:p w14:paraId="7168F581">
      <w:pPr>
        <w:spacing w:line="520" w:lineRule="exact"/>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三、我单位没有被“信用中国”网站、“中国政府采购网”列入失信被执行人名单、重大税收违法案件当事人名单、政府采购严重违法失信行为记录名单</w:t>
      </w:r>
    </w:p>
    <w:p w14:paraId="71FB53D9">
      <w:pPr>
        <w:spacing w:line="520" w:lineRule="exact"/>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三、我方保证上述信息的真实和准确，并愿意承担因我方就此弄虚作假所引起的一切法律后果，并自愿接受相关监管部门作出的任何处罚。</w:t>
      </w:r>
    </w:p>
    <w:p w14:paraId="59A095FA">
      <w:pPr>
        <w:pStyle w:val="394"/>
        <w:ind w:firstLine="560"/>
        <w:rPr>
          <w:rFonts w:hint="eastAsia" w:ascii="宋体" w:hAnsi="宋体" w:eastAsia="宋体" w:cs="Times New Roman"/>
          <w:bCs/>
          <w:sz w:val="24"/>
          <w:szCs w:val="24"/>
          <w:lang w:val="en-US" w:eastAsia="zh-CN" w:bidi="ar-SA"/>
        </w:rPr>
      </w:pPr>
    </w:p>
    <w:p w14:paraId="5F38750C">
      <w:pPr>
        <w:pStyle w:val="394"/>
        <w:ind w:firstLine="560"/>
        <w:rPr>
          <w:rFonts w:hint="eastAsia" w:ascii="宋体" w:hAnsi="宋体" w:eastAsia="宋体" w:cs="Times New Roman"/>
          <w:bCs/>
          <w:sz w:val="24"/>
          <w:szCs w:val="24"/>
          <w:lang w:val="en-US" w:eastAsia="zh-CN" w:bidi="ar-SA"/>
        </w:rPr>
      </w:pPr>
    </w:p>
    <w:p w14:paraId="6F982F8D">
      <w:pPr>
        <w:pStyle w:val="394"/>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特此承诺！</w:t>
      </w:r>
    </w:p>
    <w:p w14:paraId="6ECA046D">
      <w:pPr>
        <w:pStyle w:val="394"/>
        <w:ind w:firstLine="560"/>
        <w:rPr>
          <w:rFonts w:hint="eastAsia" w:ascii="宋体" w:hAnsi="宋体" w:eastAsia="宋体" w:cs="Times New Roman"/>
          <w:bCs/>
          <w:sz w:val="24"/>
          <w:szCs w:val="24"/>
          <w:lang w:val="en-US" w:eastAsia="zh-CN" w:bidi="ar-SA"/>
        </w:rPr>
      </w:pPr>
    </w:p>
    <w:p w14:paraId="15C82241">
      <w:pPr>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供应商：    （</w:t>
      </w:r>
      <w:r>
        <w:rPr>
          <w:rFonts w:hint="eastAsia" w:ascii="宋体" w:hAnsi="宋体" w:cs="Times New Roman"/>
          <w:bCs/>
          <w:sz w:val="24"/>
          <w:szCs w:val="24"/>
          <w:lang w:val="en-US" w:eastAsia="zh-CN" w:bidi="ar-SA"/>
        </w:rPr>
        <w:t>电子签章</w:t>
      </w:r>
      <w:r>
        <w:rPr>
          <w:rFonts w:hint="eastAsia" w:ascii="宋体" w:hAnsi="宋体" w:eastAsia="宋体" w:cs="Times New Roman"/>
          <w:bCs/>
          <w:sz w:val="24"/>
          <w:szCs w:val="24"/>
          <w:lang w:val="en-US" w:eastAsia="zh-CN" w:bidi="ar-SA"/>
        </w:rPr>
        <w:t xml:space="preserve">）     </w:t>
      </w:r>
    </w:p>
    <w:p w14:paraId="781D4351">
      <w:pPr>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法定代表人或受托人：  （</w:t>
      </w:r>
      <w:r>
        <w:rPr>
          <w:rFonts w:hint="eastAsia" w:ascii="宋体" w:hAnsi="宋体" w:cs="Times New Roman"/>
          <w:bCs/>
          <w:sz w:val="24"/>
          <w:szCs w:val="24"/>
          <w:lang w:val="en-US" w:eastAsia="zh-CN" w:bidi="ar-SA"/>
        </w:rPr>
        <w:t>电子</w:t>
      </w:r>
      <w:r>
        <w:rPr>
          <w:rFonts w:hint="eastAsia" w:ascii="宋体" w:hAnsi="宋体" w:eastAsia="宋体" w:cs="Times New Roman"/>
          <w:bCs/>
          <w:sz w:val="24"/>
          <w:szCs w:val="24"/>
          <w:lang w:val="en-US" w:eastAsia="zh-CN" w:bidi="ar-SA"/>
        </w:rPr>
        <w:t xml:space="preserve">签章或签字）   </w:t>
      </w:r>
    </w:p>
    <w:p w14:paraId="49DC3699">
      <w:pPr>
        <w:pStyle w:val="413"/>
        <w:keepNext/>
        <w:keepLines w:val="0"/>
        <w:pageBreakBefore w:val="0"/>
        <w:widowControl w:val="0"/>
        <w:spacing w:line="360" w:lineRule="auto"/>
        <w:jc w:val="righ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p>
    <w:p w14:paraId="2CB413A8">
      <w:pPr>
        <w:pStyle w:val="394"/>
        <w:ind w:firstLine="560"/>
        <w:rPr>
          <w:rFonts w:hint="eastAsia" w:ascii="宋体" w:hAnsi="宋体" w:eastAsia="宋体" w:cs="Times New Roman"/>
          <w:bCs/>
          <w:sz w:val="24"/>
          <w:szCs w:val="24"/>
          <w:lang w:val="en-US" w:eastAsia="zh-CN" w:bidi="ar-SA"/>
        </w:rPr>
      </w:pPr>
    </w:p>
    <w:p w14:paraId="433B69DB">
      <w:pPr>
        <w:pStyle w:val="14"/>
        <w:rPr>
          <w:rFonts w:hint="eastAsia" w:ascii="宋体" w:hAnsi="宋体"/>
          <w:sz w:val="24"/>
        </w:rPr>
      </w:pPr>
    </w:p>
    <w:p w14:paraId="0682B579">
      <w:pPr>
        <w:pStyle w:val="14"/>
        <w:rPr>
          <w:rFonts w:hint="eastAsia" w:ascii="宋体" w:hAnsi="宋体"/>
          <w:sz w:val="24"/>
        </w:rPr>
      </w:pPr>
    </w:p>
    <w:p w14:paraId="04326FC2">
      <w:pPr>
        <w:pStyle w:val="14"/>
        <w:rPr>
          <w:rFonts w:hint="eastAsia" w:ascii="宋体" w:hAnsi="宋体"/>
          <w:sz w:val="24"/>
        </w:rPr>
      </w:pPr>
    </w:p>
    <w:p w14:paraId="7E00A0A0">
      <w:pPr>
        <w:pStyle w:val="14"/>
        <w:rPr>
          <w:rFonts w:hint="eastAsia" w:ascii="宋体" w:hAnsi="宋体"/>
          <w:sz w:val="24"/>
        </w:rPr>
      </w:pPr>
    </w:p>
    <w:p w14:paraId="412957A0">
      <w:pPr>
        <w:pStyle w:val="3"/>
        <w:rPr>
          <w:rFonts w:hint="eastAsia" w:ascii="宋体" w:hAnsi="宋体"/>
          <w:sz w:val="24"/>
        </w:rPr>
      </w:pPr>
    </w:p>
    <w:p w14:paraId="614F01FE">
      <w:pPr>
        <w:rPr>
          <w:rFonts w:hint="eastAsia" w:ascii="宋体" w:hAnsi="宋体"/>
          <w:sz w:val="24"/>
        </w:rPr>
      </w:pPr>
    </w:p>
    <w:p w14:paraId="5DFFF1AB">
      <w:pPr>
        <w:pStyle w:val="3"/>
        <w:rPr>
          <w:rFonts w:hint="eastAsia"/>
        </w:rPr>
      </w:pPr>
    </w:p>
    <w:p w14:paraId="578FA1D2">
      <w:pPr>
        <w:widowControl/>
        <w:spacing w:line="640" w:lineRule="exact"/>
        <w:jc w:val="left"/>
        <w:rPr>
          <w:rFonts w:hint="eastAsia" w:ascii="宋体" w:hAnsi="宋体" w:eastAsia="宋体" w:cs="宋体"/>
          <w:b/>
          <w:bCs/>
          <w:sz w:val="24"/>
          <w:lang w:eastAsia="zh-CN"/>
        </w:rPr>
      </w:pPr>
      <w:r>
        <w:rPr>
          <w:rFonts w:hint="eastAsia" w:ascii="宋体" w:hAnsi="宋体"/>
          <w:b/>
          <w:sz w:val="32"/>
        </w:rPr>
        <w:t>示范格式</w:t>
      </w:r>
      <w:r>
        <w:rPr>
          <w:rFonts w:hint="eastAsia" w:ascii="宋体" w:hAnsi="宋体"/>
          <w:b/>
          <w:sz w:val="32"/>
          <w:lang w:val="en-US" w:eastAsia="zh-CN"/>
        </w:rPr>
        <w:t>五</w:t>
      </w:r>
    </w:p>
    <w:p w14:paraId="49C4D58B">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企业声明函（服务）</w:t>
      </w:r>
    </w:p>
    <w:p w14:paraId="5B846D7B">
      <w:pPr>
        <w:widowControl w:val="0"/>
        <w:spacing w:line="600" w:lineRule="exact"/>
        <w:ind w:firstLine="56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本公司郑重声明，根据《政府采购促进中小企业发展管理办法》（财库〔2020〕46 号）的规定，本公司参加（单位名称）的（项目名称）采购活动，服务全部由符合政策要求的中小企业承接。相关企业的具体情况如下：</w:t>
      </w:r>
    </w:p>
    <w:p w14:paraId="667A2D30">
      <w:pPr>
        <w:widowControl w:val="0"/>
        <w:spacing w:line="600" w:lineRule="exact"/>
        <w:ind w:firstLine="56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1.</w:t>
      </w:r>
      <w:r>
        <w:rPr>
          <w:rFonts w:hint="eastAsia" w:ascii="宋体" w:hAnsi="宋体" w:eastAsia="宋体" w:cs="宋体"/>
          <w:bCs/>
          <w:color w:val="000000"/>
          <w:sz w:val="24"/>
          <w:szCs w:val="24"/>
          <w:highlight w:val="none"/>
          <w:u w:val="single"/>
          <w:lang w:val="en-US" w:eastAsia="zh-CN" w:bidi="ar-SA"/>
        </w:rPr>
        <w:t xml:space="preserve"> （标的名称） </w:t>
      </w:r>
      <w:r>
        <w:rPr>
          <w:rFonts w:hint="eastAsia" w:ascii="宋体" w:hAnsi="宋体" w:eastAsia="宋体" w:cs="宋体"/>
          <w:bCs/>
          <w:color w:val="000000"/>
          <w:sz w:val="24"/>
          <w:szCs w:val="24"/>
          <w:highlight w:val="none"/>
          <w:lang w:val="en-US" w:eastAsia="zh-CN" w:bidi="ar-SA"/>
        </w:rPr>
        <w:t>，属于（采购文件中明确的所属行业）；承接企业为（企业名称），从业人员</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人，营业收入为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万元，资产总额为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万元，属于</w:t>
      </w:r>
      <w:r>
        <w:rPr>
          <w:rFonts w:hint="eastAsia" w:ascii="宋体" w:hAnsi="宋体" w:eastAsia="宋体" w:cs="宋体"/>
          <w:bCs/>
          <w:color w:val="000000"/>
          <w:sz w:val="24"/>
          <w:szCs w:val="24"/>
          <w:highlight w:val="none"/>
          <w:u w:val="single"/>
          <w:lang w:val="en-US" w:eastAsia="zh-CN" w:bidi="ar-SA"/>
        </w:rPr>
        <w:t>（中型企业、小型企业、微型企业）</w:t>
      </w:r>
      <w:r>
        <w:rPr>
          <w:rFonts w:hint="eastAsia" w:ascii="宋体" w:hAnsi="宋体" w:eastAsia="宋体" w:cs="宋体"/>
          <w:bCs/>
          <w:color w:val="000000"/>
          <w:sz w:val="24"/>
          <w:szCs w:val="24"/>
          <w:highlight w:val="none"/>
          <w:lang w:val="en-US" w:eastAsia="zh-CN" w:bidi="ar-SA"/>
        </w:rPr>
        <w:t xml:space="preserve">； </w:t>
      </w:r>
    </w:p>
    <w:p w14:paraId="3A139A15">
      <w:pPr>
        <w:widowControl w:val="0"/>
        <w:spacing w:line="600" w:lineRule="exact"/>
        <w:ind w:firstLine="56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 </w:t>
      </w:r>
      <w:r>
        <w:rPr>
          <w:rFonts w:hint="eastAsia" w:ascii="宋体" w:hAnsi="宋体" w:eastAsia="宋体" w:cs="宋体"/>
          <w:bCs/>
          <w:color w:val="000000"/>
          <w:sz w:val="24"/>
          <w:szCs w:val="24"/>
          <w:highlight w:val="none"/>
          <w:u w:val="single"/>
          <w:lang w:val="en-US" w:eastAsia="zh-CN" w:bidi="ar-SA"/>
        </w:rPr>
        <w:t xml:space="preserve">（标的名称） </w:t>
      </w:r>
      <w:r>
        <w:rPr>
          <w:rFonts w:hint="eastAsia" w:ascii="宋体" w:hAnsi="宋体" w:eastAsia="宋体" w:cs="宋体"/>
          <w:bCs/>
          <w:color w:val="000000"/>
          <w:sz w:val="24"/>
          <w:szCs w:val="24"/>
          <w:highlight w:val="none"/>
          <w:lang w:val="en-US" w:eastAsia="zh-CN" w:bidi="ar-SA"/>
        </w:rPr>
        <w:t>，属于（采购文件中明确的所属行业）；承接企业为（企业名称），从业人员</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人，营业收入为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万元，资产总额为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万元，属于</w:t>
      </w:r>
      <w:r>
        <w:rPr>
          <w:rFonts w:hint="eastAsia" w:ascii="宋体" w:hAnsi="宋体" w:eastAsia="宋体" w:cs="宋体"/>
          <w:bCs/>
          <w:color w:val="000000"/>
          <w:sz w:val="24"/>
          <w:szCs w:val="24"/>
          <w:highlight w:val="none"/>
          <w:u w:val="single"/>
          <w:lang w:val="en-US" w:eastAsia="zh-CN" w:bidi="ar-SA"/>
        </w:rPr>
        <w:t>（中型企业、小型企业、微型企业）</w:t>
      </w:r>
      <w:r>
        <w:rPr>
          <w:rFonts w:hint="eastAsia" w:ascii="宋体" w:hAnsi="宋体" w:eastAsia="宋体" w:cs="宋体"/>
          <w:bCs/>
          <w:color w:val="000000"/>
          <w:sz w:val="24"/>
          <w:szCs w:val="24"/>
          <w:highlight w:val="none"/>
          <w:lang w:val="en-US" w:eastAsia="zh-CN" w:bidi="ar-SA"/>
        </w:rPr>
        <w:t xml:space="preserve">； </w:t>
      </w:r>
    </w:p>
    <w:p w14:paraId="0CCD45FD">
      <w:pPr>
        <w:widowControl w:val="0"/>
        <w:spacing w:line="600" w:lineRule="exact"/>
        <w:ind w:firstLine="56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w:t>
      </w:r>
    </w:p>
    <w:p w14:paraId="5FC13C93">
      <w:pPr>
        <w:widowControl w:val="0"/>
        <w:spacing w:line="600" w:lineRule="exact"/>
        <w:ind w:firstLine="56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以上企业，不属于大企业的分支机构，不存在控股股东为大企业的情形，也不存在与大企业的负责人为同一人的情形。</w:t>
      </w:r>
    </w:p>
    <w:p w14:paraId="20E1238E">
      <w:pPr>
        <w:pStyle w:val="193"/>
        <w:spacing w:line="600" w:lineRule="exact"/>
        <w:ind w:left="3770" w:leftChars="342" w:hanging="3052" w:hangingChars="1272"/>
        <w:rPr>
          <w:rFonts w:hint="eastAsia" w:ascii="宋体" w:hAnsi="宋体" w:eastAsia="宋体" w:cs="宋体"/>
          <w:bCs/>
          <w:sz w:val="24"/>
          <w:szCs w:val="24"/>
          <w:u w:val="single"/>
          <w:lang w:val="zh-CN"/>
        </w:rPr>
      </w:pPr>
      <w:r>
        <w:rPr>
          <w:rFonts w:hint="eastAsia" w:ascii="宋体" w:hAnsi="宋体" w:eastAsia="宋体" w:cs="宋体"/>
          <w:bCs/>
          <w:color w:val="000000"/>
          <w:sz w:val="24"/>
          <w:szCs w:val="24"/>
          <w:highlight w:val="none"/>
          <w:lang w:val="en-US" w:eastAsia="zh-CN" w:bidi="ar-SA"/>
        </w:rPr>
        <w:t xml:space="preserve">本企业对上述声明内容的真实性负责。如有虚假，将依法承担相应责任。 </w:t>
      </w:r>
      <w:r>
        <w:rPr>
          <w:rFonts w:hint="eastAsia" w:ascii="宋体" w:hAnsi="宋体" w:eastAsia="宋体" w:cs="宋体"/>
          <w:bCs/>
          <w:sz w:val="24"/>
          <w:szCs w:val="24"/>
          <w:lang w:val="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 </w:t>
      </w:r>
      <w:r>
        <w:rPr>
          <w:rFonts w:hint="eastAsia" w:ascii="宋体" w:hAnsi="宋体" w:eastAsia="宋体" w:cs="宋体"/>
          <w:sz w:val="24"/>
          <w:szCs w:val="24"/>
          <w:lang w:val="zh-CN"/>
        </w:rPr>
        <w:t>供应商：</w:t>
      </w:r>
      <w:r>
        <w:rPr>
          <w:rFonts w:hint="eastAsia" w:ascii="宋体" w:hAnsi="宋体" w:eastAsia="宋体" w:cs="宋体"/>
          <w:bCs/>
          <w:sz w:val="24"/>
          <w:szCs w:val="24"/>
          <w:u w:val="single"/>
          <w:lang w:val="zh-CN"/>
        </w:rPr>
        <w:t xml:space="preserve">        （</w:t>
      </w:r>
      <w:r>
        <w:rPr>
          <w:rFonts w:hint="eastAsia" w:ascii="宋体" w:hAnsi="宋体" w:cs="宋体"/>
          <w:bCs/>
          <w:sz w:val="24"/>
          <w:szCs w:val="24"/>
          <w:u w:val="single"/>
          <w:lang w:val="zh-CN"/>
        </w:rPr>
        <w:t>电子签章</w:t>
      </w:r>
      <w:r>
        <w:rPr>
          <w:rFonts w:hint="eastAsia" w:ascii="宋体" w:hAnsi="宋体" w:eastAsia="宋体" w:cs="宋体"/>
          <w:bCs/>
          <w:sz w:val="24"/>
          <w:szCs w:val="24"/>
          <w:u w:val="single"/>
          <w:lang w:val="zh-CN"/>
        </w:rPr>
        <w:t xml:space="preserve">）     </w:t>
      </w:r>
    </w:p>
    <w:p w14:paraId="763D7395">
      <w:pPr>
        <w:pStyle w:val="193"/>
        <w:spacing w:line="600" w:lineRule="exact"/>
        <w:ind w:firstLine="480"/>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法定代表人</w:t>
      </w:r>
      <w:r>
        <w:rPr>
          <w:rFonts w:hint="eastAsia" w:ascii="宋体" w:hAnsi="宋体"/>
          <w:bCs/>
          <w:sz w:val="24"/>
          <w:lang w:eastAsia="zh-CN"/>
        </w:rPr>
        <w:t>：</w:t>
      </w:r>
      <w:r>
        <w:rPr>
          <w:rFonts w:hint="eastAsia" w:ascii="宋体" w:hAnsi="宋体"/>
          <w:bCs/>
          <w:sz w:val="24"/>
          <w:u w:val="single"/>
        </w:rPr>
        <w:t>（</w:t>
      </w:r>
      <w:r>
        <w:rPr>
          <w:rFonts w:hint="eastAsia" w:ascii="宋体" w:hAnsi="宋体"/>
          <w:bCs/>
          <w:sz w:val="24"/>
          <w:u w:val="single"/>
          <w:lang w:val="en-US" w:eastAsia="zh-CN"/>
        </w:rPr>
        <w:t>电子</w:t>
      </w:r>
      <w:r>
        <w:rPr>
          <w:rFonts w:hint="eastAsia" w:ascii="宋体" w:hAnsi="宋体"/>
          <w:bCs/>
          <w:sz w:val="24"/>
          <w:u w:val="single"/>
        </w:rPr>
        <w:t>签章或签字）</w:t>
      </w:r>
    </w:p>
    <w:p w14:paraId="55C7BBDD">
      <w:pPr>
        <w:pStyle w:val="193"/>
        <w:spacing w:line="600" w:lineRule="exact"/>
        <w:ind w:firstLine="480"/>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2D55BFD3">
      <w:pPr>
        <w:pStyle w:val="193"/>
        <w:spacing w:line="600" w:lineRule="exact"/>
        <w:ind w:firstLine="480"/>
        <w:rPr>
          <w:rFonts w:hint="eastAsia" w:ascii="宋体" w:hAnsi="宋体"/>
          <w:bCs/>
          <w:color w:val="000000"/>
          <w:sz w:val="24"/>
        </w:rPr>
      </w:pPr>
      <w:r>
        <w:rPr>
          <w:rFonts w:hint="eastAsia" w:ascii="宋体" w:hAnsi="宋体"/>
          <w:bCs/>
          <w:sz w:val="24"/>
        </w:rPr>
        <w:t>注：从业人员、营业收入、资产总额填报上一年度数据，无上一年度数据的新成立企业可不填报。</w:t>
      </w:r>
    </w:p>
    <w:p w14:paraId="261D8C92">
      <w:pPr>
        <w:spacing w:line="520" w:lineRule="exact"/>
        <w:rPr>
          <w:rFonts w:ascii="楷体" w:hAnsi="楷体" w:eastAsia="楷体"/>
          <w:sz w:val="28"/>
          <w:szCs w:val="28"/>
        </w:rPr>
      </w:pPr>
    </w:p>
    <w:p w14:paraId="0B7DA586">
      <w:pPr>
        <w:spacing w:line="520" w:lineRule="exact"/>
        <w:rPr>
          <w:rFonts w:hint="eastAsia" w:ascii="楷体" w:hAnsi="楷体" w:eastAsia="楷体"/>
          <w:sz w:val="28"/>
          <w:szCs w:val="28"/>
        </w:rPr>
      </w:pPr>
    </w:p>
    <w:p w14:paraId="6E07E640">
      <w:pPr>
        <w:widowControl/>
        <w:spacing w:line="640" w:lineRule="exact"/>
        <w:jc w:val="left"/>
        <w:rPr>
          <w:rFonts w:hint="eastAsia" w:ascii="宋体" w:hAnsi="宋体" w:eastAsia="宋体" w:cs="宋体"/>
          <w:b/>
          <w:bCs/>
          <w:sz w:val="24"/>
          <w:lang w:eastAsia="zh-CN"/>
        </w:rPr>
      </w:pPr>
      <w:r>
        <w:rPr>
          <w:rFonts w:hint="eastAsia" w:ascii="宋体" w:hAnsi="宋体"/>
          <w:b/>
          <w:sz w:val="32"/>
        </w:rPr>
        <w:t>示范格式</w:t>
      </w:r>
      <w:r>
        <w:rPr>
          <w:rFonts w:hint="eastAsia" w:ascii="宋体" w:hAnsi="宋体"/>
          <w:b/>
          <w:sz w:val="32"/>
          <w:lang w:val="en-US" w:eastAsia="zh-CN"/>
        </w:rPr>
        <w:t>六</w:t>
      </w:r>
    </w:p>
    <w:p w14:paraId="242603C3">
      <w:pPr>
        <w:widowControl/>
        <w:spacing w:line="640" w:lineRule="exact"/>
        <w:jc w:val="center"/>
        <w:rPr>
          <w:rFonts w:ascii="宋体" w:hAnsi="宋体" w:cs="宋体"/>
          <w:sz w:val="24"/>
        </w:rPr>
      </w:pPr>
      <w:r>
        <w:rPr>
          <w:rFonts w:hint="eastAsia" w:ascii="宋体" w:hAnsi="宋体" w:cs="宋体"/>
          <w:b/>
          <w:bCs/>
          <w:sz w:val="24"/>
        </w:rPr>
        <w:t>残疾人福利性单位声明函</w:t>
      </w:r>
    </w:p>
    <w:p w14:paraId="10F4F390">
      <w:pPr>
        <w:pStyle w:val="193"/>
        <w:spacing w:line="640" w:lineRule="exact"/>
        <w:ind w:firstLine="480"/>
        <w:rPr>
          <w:rFonts w:ascii="宋体" w:hAnsi="宋体"/>
          <w:bCs/>
          <w:sz w:val="24"/>
        </w:rPr>
      </w:pPr>
      <w:r>
        <w:rPr>
          <w:rFonts w:hint="eastAsia" w:ascii="宋体" w:hAnsi="宋体"/>
          <w:bCs/>
          <w:sz w:val="24"/>
        </w:rPr>
        <w:t>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（采购人）</w:t>
      </w:r>
      <w:r>
        <w:rPr>
          <w:rFonts w:hint="eastAsia" w:ascii="宋体" w:hAnsi="宋体"/>
          <w:bCs/>
          <w:sz w:val="24"/>
          <w:lang w:eastAsia="zh-CN"/>
        </w:rPr>
        <w:t>：</w:t>
      </w:r>
    </w:p>
    <w:p w14:paraId="70532904">
      <w:pPr>
        <w:pStyle w:val="193"/>
        <w:spacing w:line="640" w:lineRule="exact"/>
        <w:ind w:firstLine="480"/>
        <w:rPr>
          <w:rFonts w:ascii="宋体" w:hAnsi="宋体"/>
          <w:bCs/>
          <w:sz w:val="24"/>
        </w:rPr>
      </w:pPr>
      <w:r>
        <w:rPr>
          <w:rFonts w:hint="eastAsia" w:ascii="宋体" w:hAnsi="宋体"/>
          <w:bCs/>
          <w:sz w:val="24"/>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sz w:val="24"/>
          <w:lang w:eastAsia="zh-CN"/>
        </w:rPr>
        <w:t>：</w:t>
      </w:r>
    </w:p>
    <w:p w14:paraId="76E09EDB">
      <w:pPr>
        <w:pStyle w:val="193"/>
        <w:spacing w:line="640" w:lineRule="exact"/>
        <w:ind w:firstLine="480"/>
        <w:rPr>
          <w:rFonts w:ascii="宋体" w:hAnsi="宋体"/>
          <w:bCs/>
          <w:sz w:val="24"/>
        </w:rPr>
      </w:pPr>
      <w:r>
        <w:rPr>
          <w:rFonts w:ascii="宋体" w:hAnsi="宋体"/>
          <w:bCs/>
          <w:sz w:val="24"/>
        </w:rPr>
        <w:t>1</w:t>
      </w:r>
      <w:r>
        <w:rPr>
          <w:rFonts w:hint="eastAsia" w:ascii="宋体" w:hAnsi="宋体"/>
          <w:bCs/>
          <w:sz w:val="24"/>
        </w:rPr>
        <w:t>、根据《财政部 民政部 中国残疾人联合会关于促进残疾人就业政府采购政策的通知》（财库〔2017〕141 号）规定的划分标准，本公司为残疾人福利性企业。</w:t>
      </w:r>
    </w:p>
    <w:p w14:paraId="287EF0DF">
      <w:pPr>
        <w:pStyle w:val="193"/>
        <w:spacing w:line="640" w:lineRule="exact"/>
        <w:ind w:firstLine="480"/>
        <w:rPr>
          <w:rFonts w:ascii="宋体" w:hAnsi="宋体"/>
          <w:bCs/>
          <w:sz w:val="24"/>
        </w:rPr>
      </w:pPr>
      <w:r>
        <w:rPr>
          <w:rFonts w:ascii="宋体" w:hAnsi="宋体"/>
          <w:bCs/>
          <w:sz w:val="24"/>
        </w:rPr>
        <w:t>2</w:t>
      </w:r>
      <w:r>
        <w:rPr>
          <w:rFonts w:hint="eastAsia" w:ascii="宋体" w:hAnsi="宋体"/>
          <w:bCs/>
          <w:sz w:val="24"/>
        </w:rPr>
        <w:t>、本单位参加（采购单位名称）</w:t>
      </w:r>
      <w:r>
        <w:rPr>
          <w:rFonts w:ascii="宋体" w:hAnsi="宋体"/>
          <w:bCs/>
          <w:sz w:val="24"/>
        </w:rPr>
        <w:t xml:space="preserve"> </w:t>
      </w:r>
      <w:r>
        <w:rPr>
          <w:rFonts w:hint="eastAsia" w:ascii="宋体" w:hAnsi="宋体"/>
          <w:bCs/>
          <w:sz w:val="24"/>
        </w:rPr>
        <w:t>的（采购项目名称）采购活动提供本企业制造的货物，由本企业承担工程、提供服务，或者提供其他残疾人福利性单位制造的货物（不包括使用非残疾人福利性单位注册商标的货物）。</w:t>
      </w:r>
    </w:p>
    <w:p w14:paraId="68F23B92">
      <w:pPr>
        <w:pStyle w:val="193"/>
        <w:spacing w:line="640" w:lineRule="exact"/>
        <w:ind w:firstLine="480"/>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bCs/>
          <w:sz w:val="24"/>
        </w:rPr>
        <w:t>本公司对上述声明的真实性负责。如有虚假，将依法承担相应责任。</w:t>
      </w:r>
    </w:p>
    <w:p w14:paraId="0BA24296">
      <w:pPr>
        <w:spacing w:line="640" w:lineRule="exact"/>
        <w:jc w:val="center"/>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6E6B6C84">
      <w:pPr>
        <w:spacing w:line="640" w:lineRule="exact"/>
        <w:jc w:val="center"/>
        <w:rPr>
          <w:rFonts w:hint="eastAsia" w:ascii="宋体" w:hAnsi="宋体" w:eastAsia="宋体" w:cs="楷体_GB2312"/>
          <w:sz w:val="24"/>
          <w:lang w:val="zh-CN" w:eastAsia="zh-CN"/>
        </w:rPr>
      </w:pPr>
      <w:r>
        <w:rPr>
          <w:rFonts w:hint="eastAsia" w:ascii="宋体" w:hAnsi="宋体" w:cs="楷体_GB2312"/>
          <w:sz w:val="24"/>
          <w:lang w:val="zh-CN"/>
        </w:rPr>
        <w:t xml:space="preserve">                           </w:t>
      </w:r>
      <w:r>
        <w:rPr>
          <w:rFonts w:hint="eastAsia" w:ascii="宋体" w:hAnsi="宋体"/>
          <w:sz w:val="24"/>
        </w:rPr>
        <w:t>法定代表人</w:t>
      </w:r>
      <w:r>
        <w:rPr>
          <w:rFonts w:hint="eastAsia" w:ascii="宋体" w:hAnsi="宋体"/>
          <w:sz w:val="24"/>
          <w:lang w:eastAsia="zh-CN"/>
        </w:rPr>
        <w:t>：</w:t>
      </w:r>
      <w:r>
        <w:rPr>
          <w:rFonts w:hint="eastAsia" w:ascii="宋体" w:hAnsi="宋体"/>
          <w:sz w:val="24"/>
          <w:u w:val="single"/>
          <w:lang w:eastAsia="zh-CN"/>
        </w:rPr>
        <w:t>（</w:t>
      </w:r>
      <w:r>
        <w:rPr>
          <w:rFonts w:hint="eastAsia" w:ascii="宋体" w:hAnsi="宋体"/>
          <w:sz w:val="24"/>
          <w:u w:val="single"/>
          <w:lang w:val="en-US" w:eastAsia="zh-CN"/>
        </w:rPr>
        <w:t>电子</w:t>
      </w:r>
      <w:r>
        <w:rPr>
          <w:rFonts w:hint="eastAsia" w:ascii="宋体" w:hAnsi="宋体"/>
          <w:sz w:val="24"/>
          <w:u w:val="single"/>
          <w:lang w:eastAsia="zh-CN"/>
        </w:rPr>
        <w:t>签章或签字）</w:t>
      </w:r>
    </w:p>
    <w:p w14:paraId="23F78241">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16F85B3A">
      <w:pPr>
        <w:spacing w:line="640" w:lineRule="exact"/>
        <w:ind w:firstLine="484"/>
        <w:rPr>
          <w:rFonts w:ascii="宋体" w:hAnsi="宋体" w:cs="仿宋_GB2312"/>
          <w:sz w:val="24"/>
        </w:rPr>
      </w:pPr>
    </w:p>
    <w:p w14:paraId="49E4E351">
      <w:pPr>
        <w:spacing w:line="640" w:lineRule="exact"/>
        <w:ind w:firstLine="484"/>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sz w:val="24"/>
        </w:rPr>
        <w:t>非残疾人福利性单位不需提供此函。</w:t>
      </w:r>
      <w:bookmarkEnd w:id="0"/>
    </w:p>
    <w:p w14:paraId="7E1A42C6">
      <w:pPr>
        <w:spacing w:line="520" w:lineRule="exact"/>
        <w:rPr>
          <w:rFonts w:hint="eastAsia" w:ascii="楷体" w:hAnsi="楷体" w:eastAsia="楷体"/>
          <w:sz w:val="28"/>
          <w:szCs w:val="28"/>
        </w:rPr>
      </w:pPr>
    </w:p>
    <w:p w14:paraId="4E1BAA47">
      <w:pPr>
        <w:pStyle w:val="5"/>
        <w:rPr>
          <w:rFonts w:hint="eastAsia" w:ascii="楷体" w:hAnsi="楷体" w:eastAsia="楷体"/>
          <w:sz w:val="28"/>
          <w:szCs w:val="28"/>
        </w:rPr>
      </w:pPr>
    </w:p>
    <w:p w14:paraId="6D85E744">
      <w:pPr>
        <w:rPr>
          <w:rFonts w:hint="eastAsia"/>
        </w:rPr>
      </w:pPr>
    </w:p>
    <w:p w14:paraId="4949A70D">
      <w:pPr>
        <w:rPr>
          <w:rFonts w:hint="eastAsia" w:ascii="楷体" w:hAnsi="楷体" w:eastAsia="楷体"/>
          <w:sz w:val="28"/>
          <w:szCs w:val="28"/>
        </w:rPr>
      </w:pPr>
    </w:p>
    <w:p w14:paraId="756D01CA">
      <w:pPr>
        <w:widowControl w:val="0"/>
        <w:spacing w:line="520" w:lineRule="exact"/>
        <w:ind w:firstLine="0"/>
        <w:jc w:val="left"/>
        <w:rPr>
          <w:rFonts w:hint="eastAsia" w:ascii="仿宋" w:hAnsi="仿宋" w:eastAsia="仿宋" w:cs="Times New Roman"/>
          <w:b/>
          <w:sz w:val="32"/>
          <w:szCs w:val="32"/>
          <w:lang w:val="en-US" w:eastAsia="zh-CN" w:bidi="ar-SA"/>
        </w:rPr>
      </w:pPr>
    </w:p>
    <w:p w14:paraId="7CAF31D9">
      <w:pPr>
        <w:widowControl/>
        <w:spacing w:line="640" w:lineRule="exact"/>
        <w:jc w:val="left"/>
        <w:rPr>
          <w:rFonts w:hint="default" w:ascii="宋体" w:hAnsi="宋体" w:cs="Times New Roman"/>
          <w:b/>
          <w:sz w:val="32"/>
          <w:lang w:val="en-US" w:eastAsia="zh-CN"/>
        </w:rPr>
      </w:pPr>
      <w:r>
        <w:rPr>
          <w:rFonts w:hint="eastAsia" w:ascii="宋体" w:hAnsi="宋体" w:cs="Times New Roman"/>
          <w:b/>
          <w:sz w:val="32"/>
          <w:lang w:val="en-US" w:eastAsia="zh-CN"/>
        </w:rPr>
        <w:t>示范格式七</w:t>
      </w:r>
    </w:p>
    <w:p w14:paraId="173A47C2">
      <w:pPr>
        <w:widowControl w:val="0"/>
        <w:spacing w:line="640" w:lineRule="exact"/>
        <w:ind w:firstLine="560"/>
        <w:jc w:val="center"/>
        <w:rPr>
          <w:rFonts w:hint="eastAsia" w:ascii="仿宋" w:hAnsi="仿宋" w:eastAsia="仿宋" w:cs="宋体"/>
          <w:b/>
          <w:bCs/>
          <w:sz w:val="24"/>
          <w:szCs w:val="24"/>
          <w:lang w:val="en-US" w:eastAsia="zh-CN" w:bidi="ar-SA"/>
        </w:rPr>
      </w:pPr>
      <w:r>
        <w:rPr>
          <w:rFonts w:hint="eastAsia" w:ascii="仿宋" w:hAnsi="仿宋" w:eastAsia="仿宋" w:cs="宋体"/>
          <w:b/>
          <w:bCs/>
          <w:sz w:val="24"/>
          <w:szCs w:val="24"/>
          <w:lang w:val="en-US" w:eastAsia="zh-CN" w:bidi="ar-SA"/>
        </w:rPr>
        <w:t>关于符合本国产品标准的声明函（采购包号：**）</w:t>
      </w:r>
    </w:p>
    <w:p w14:paraId="56DDD92D">
      <w:pPr>
        <w:widowControl w:val="0"/>
        <w:spacing w:line="600" w:lineRule="exact"/>
        <w:ind w:firstLine="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致</w:t>
      </w:r>
      <w:r>
        <w:rPr>
          <w:rFonts w:hint="eastAsia" w:ascii="宋体" w:hAnsi="宋体" w:eastAsia="宋体" w:cs="宋体"/>
          <w:bCs/>
          <w:sz w:val="24"/>
          <w:szCs w:val="24"/>
          <w:u w:val="single"/>
          <w:lang w:val="en-US" w:eastAsia="zh-CN" w:bidi="ar-SA"/>
        </w:rPr>
        <w:t xml:space="preserve">（采购人）   </w:t>
      </w:r>
      <w:r>
        <w:rPr>
          <w:rFonts w:hint="eastAsia" w:ascii="宋体" w:hAnsi="宋体" w:eastAsia="宋体" w:cs="宋体"/>
          <w:bCs/>
          <w:sz w:val="24"/>
          <w:szCs w:val="24"/>
          <w:lang w:val="en-US" w:eastAsia="zh-CN" w:bidi="ar-SA"/>
        </w:rPr>
        <w:t>:</w:t>
      </w:r>
    </w:p>
    <w:p w14:paraId="7531921D">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745BA1B">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1.</w:t>
      </w:r>
      <w:r>
        <w:rPr>
          <w:rFonts w:hint="eastAsia" w:ascii="宋体" w:hAnsi="宋体" w:eastAsia="宋体" w:cs="宋体"/>
          <w:bCs/>
          <w:sz w:val="24"/>
          <w:szCs w:val="24"/>
          <w:u w:val="single"/>
          <w:lang w:val="en-US" w:eastAsia="zh-CN" w:bidi="ar-SA"/>
        </w:rPr>
        <w:t>（产品名称1）</w:t>
      </w:r>
      <w:r>
        <w:rPr>
          <w:rFonts w:hint="eastAsia" w:ascii="宋体" w:hAnsi="宋体" w:eastAsia="宋体" w:cs="宋体"/>
          <w:bCs/>
          <w:sz w:val="24"/>
          <w:szCs w:val="24"/>
          <w:u w:val="single"/>
          <w:vertAlign w:val="superscript"/>
          <w:lang w:val="en-US" w:eastAsia="zh-CN" w:bidi="ar-SA"/>
        </w:rPr>
        <w:t>1</w:t>
      </w:r>
      <w:r>
        <w:rPr>
          <w:rFonts w:hint="eastAsia" w:ascii="宋体" w:hAnsi="宋体" w:eastAsia="宋体" w:cs="宋体"/>
          <w:bCs/>
          <w:sz w:val="24"/>
          <w:szCs w:val="24"/>
          <w:lang w:val="en-US" w:eastAsia="zh-CN" w:bidi="ar-SA"/>
        </w:rPr>
        <w:t>，生产厂为</w:t>
      </w:r>
      <w:r>
        <w:rPr>
          <w:rFonts w:hint="eastAsia" w:ascii="宋体" w:hAnsi="宋体" w:eastAsia="宋体" w:cs="宋体"/>
          <w:bCs/>
          <w:sz w:val="24"/>
          <w:szCs w:val="24"/>
          <w:u w:val="single"/>
          <w:lang w:val="en-US" w:eastAsia="zh-CN" w:bidi="ar-SA"/>
        </w:rPr>
        <w:t>（厂名）</w:t>
      </w:r>
      <w:r>
        <w:rPr>
          <w:rFonts w:hint="eastAsia" w:ascii="宋体" w:hAnsi="宋体" w:eastAsia="宋体" w:cs="宋体"/>
          <w:bCs/>
          <w:sz w:val="24"/>
          <w:szCs w:val="24"/>
          <w:vertAlign w:val="superscript"/>
          <w:lang w:val="en-US" w:eastAsia="zh-CN" w:bidi="ar-SA"/>
        </w:rPr>
        <w:t>2</w:t>
      </w:r>
      <w:r>
        <w:rPr>
          <w:rFonts w:hint="eastAsia" w:ascii="宋体" w:hAnsi="宋体" w:eastAsia="宋体" w:cs="宋体"/>
          <w:bCs/>
          <w:sz w:val="24"/>
          <w:szCs w:val="24"/>
          <w:lang w:val="en-US" w:eastAsia="zh-CN" w:bidi="ar-SA"/>
        </w:rPr>
        <w:t>，厂址为</w:t>
      </w:r>
      <w:r>
        <w:rPr>
          <w:rFonts w:hint="eastAsia" w:ascii="宋体" w:hAnsi="宋体" w:eastAsia="宋体" w:cs="宋体"/>
          <w:bCs/>
          <w:sz w:val="24"/>
          <w:szCs w:val="24"/>
          <w:u w:val="single"/>
          <w:lang w:val="en-US" w:eastAsia="zh-CN" w:bidi="ar-SA"/>
        </w:rPr>
        <w:t>（生产厂址）</w:t>
      </w:r>
      <w:r>
        <w:rPr>
          <w:rFonts w:hint="eastAsia" w:ascii="宋体" w:hAnsi="宋体" w:eastAsia="宋体" w:cs="宋体"/>
          <w:bCs/>
          <w:sz w:val="24"/>
          <w:szCs w:val="24"/>
          <w:lang w:val="en-US" w:eastAsia="zh-CN" w:bidi="ar-SA"/>
        </w:rPr>
        <w:t>。</w:t>
      </w:r>
      <w:r>
        <w:rPr>
          <w:rFonts w:hint="eastAsia" w:ascii="宋体" w:hAnsi="宋体" w:eastAsia="宋体" w:cs="宋体"/>
          <w:bCs/>
          <w:sz w:val="24"/>
          <w:szCs w:val="24"/>
          <w:u w:val="single"/>
          <w:lang w:val="en-US" w:eastAsia="zh-CN" w:bidi="ar-SA"/>
        </w:rPr>
        <w:t>（产品名称1）</w:t>
      </w:r>
      <w:r>
        <w:rPr>
          <w:rFonts w:hint="eastAsia" w:ascii="宋体" w:hAnsi="宋体" w:eastAsia="宋体" w:cs="宋体"/>
          <w:bCs/>
          <w:sz w:val="24"/>
          <w:szCs w:val="24"/>
          <w:lang w:val="en-US" w:eastAsia="zh-CN" w:bidi="ar-SA"/>
        </w:rPr>
        <w:t xml:space="preserve"> 的中国境内生产的组件成本占比≥</w:t>
      </w:r>
      <w:r>
        <w:rPr>
          <w:rFonts w:hint="eastAsia" w:ascii="宋体" w:hAnsi="宋体" w:eastAsia="宋体" w:cs="宋体"/>
          <w:bCs/>
          <w:sz w:val="24"/>
          <w:szCs w:val="24"/>
          <w:u w:val="single"/>
          <w:lang w:val="en-US" w:eastAsia="zh-CN" w:bidi="ar-SA"/>
        </w:rPr>
        <w:t>（规定比例）</w:t>
      </w:r>
      <w:r>
        <w:rPr>
          <w:rFonts w:hint="eastAsia" w:ascii="宋体" w:hAnsi="宋体" w:eastAsia="宋体" w:cs="宋体"/>
          <w:bCs/>
          <w:sz w:val="24"/>
          <w:szCs w:val="24"/>
          <w:vertAlign w:val="superscript"/>
          <w:lang w:val="en-US" w:eastAsia="zh-CN" w:bidi="ar-SA"/>
        </w:rPr>
        <w:t>3</w:t>
      </w:r>
      <w:r>
        <w:rPr>
          <w:rFonts w:hint="eastAsia" w:ascii="宋体" w:hAnsi="宋体" w:eastAsia="宋体" w:cs="宋体"/>
          <w:bCs/>
          <w:sz w:val="24"/>
          <w:szCs w:val="24"/>
          <w:lang w:val="en-US" w:eastAsia="zh-CN" w:bidi="ar-SA"/>
        </w:rPr>
        <w:t>。</w:t>
      </w:r>
      <w:r>
        <w:rPr>
          <w:rFonts w:hint="eastAsia" w:ascii="宋体" w:hAnsi="宋体" w:eastAsia="宋体" w:cs="宋体"/>
          <w:bCs/>
          <w:sz w:val="24"/>
          <w:szCs w:val="24"/>
          <w:u w:val="single"/>
          <w:lang w:val="en-US" w:eastAsia="zh-CN" w:bidi="ar-SA"/>
        </w:rPr>
        <w:t>（产品名称1）</w:t>
      </w:r>
      <w:r>
        <w:rPr>
          <w:rFonts w:hint="eastAsia" w:ascii="宋体" w:hAnsi="宋体" w:eastAsia="宋体" w:cs="宋体"/>
          <w:bCs/>
          <w:sz w:val="24"/>
          <w:szCs w:val="24"/>
          <w:lang w:val="en-US" w:eastAsia="zh-CN" w:bidi="ar-SA"/>
        </w:rPr>
        <w:t>的</w:t>
      </w:r>
      <w:r>
        <w:rPr>
          <w:rFonts w:hint="eastAsia" w:ascii="宋体" w:hAnsi="宋体" w:eastAsia="宋体" w:cs="宋体"/>
          <w:bCs/>
          <w:sz w:val="24"/>
          <w:szCs w:val="24"/>
          <w:u w:val="single"/>
          <w:lang w:val="en-US" w:eastAsia="zh-CN" w:bidi="ar-SA"/>
        </w:rPr>
        <w:t>（关键组件）</w:t>
      </w:r>
      <w:r>
        <w:rPr>
          <w:rFonts w:hint="eastAsia" w:ascii="宋体" w:hAnsi="宋体" w:eastAsia="宋体" w:cs="宋体"/>
          <w:bCs/>
          <w:sz w:val="24"/>
          <w:szCs w:val="24"/>
          <w:vertAlign w:val="superscript"/>
          <w:lang w:val="en-US" w:eastAsia="zh-CN" w:bidi="ar-SA"/>
        </w:rPr>
        <w:t>4</w:t>
      </w:r>
      <w:r>
        <w:rPr>
          <w:rFonts w:hint="eastAsia" w:ascii="宋体" w:hAnsi="宋体" w:eastAsia="宋体" w:cs="宋体"/>
          <w:bCs/>
          <w:sz w:val="24"/>
          <w:szCs w:val="24"/>
          <w:lang w:val="en-US" w:eastAsia="zh-CN" w:bidi="ar-SA"/>
        </w:rPr>
        <w:t>在中国境内生产。</w:t>
      </w:r>
      <w:r>
        <w:rPr>
          <w:rFonts w:hint="eastAsia" w:ascii="宋体" w:hAnsi="宋体" w:eastAsia="宋体" w:cs="宋体"/>
          <w:bCs/>
          <w:sz w:val="24"/>
          <w:szCs w:val="24"/>
          <w:u w:val="single"/>
          <w:lang w:val="en-US" w:eastAsia="zh-CN" w:bidi="ar-SA"/>
        </w:rPr>
        <w:t>（产品名称1）</w:t>
      </w:r>
      <w:r>
        <w:rPr>
          <w:rFonts w:hint="eastAsia" w:ascii="宋体" w:hAnsi="宋体" w:eastAsia="宋体" w:cs="宋体"/>
          <w:bCs/>
          <w:sz w:val="24"/>
          <w:szCs w:val="24"/>
          <w:lang w:val="en-US" w:eastAsia="zh-CN" w:bidi="ar-SA"/>
        </w:rPr>
        <w:t>的</w:t>
      </w:r>
      <w:r>
        <w:rPr>
          <w:rFonts w:hint="eastAsia" w:ascii="宋体" w:hAnsi="宋体" w:eastAsia="宋体" w:cs="宋体"/>
          <w:bCs/>
          <w:sz w:val="24"/>
          <w:szCs w:val="24"/>
          <w:u w:val="single"/>
          <w:lang w:val="en-US" w:eastAsia="zh-CN" w:bidi="ar-SA"/>
        </w:rPr>
        <w:t>（关键工序）</w:t>
      </w:r>
      <w:r>
        <w:rPr>
          <w:rFonts w:hint="eastAsia" w:ascii="宋体" w:hAnsi="宋体" w:eastAsia="宋体" w:cs="宋体"/>
          <w:bCs/>
          <w:sz w:val="24"/>
          <w:szCs w:val="24"/>
          <w:vertAlign w:val="superscript"/>
          <w:lang w:val="en-US" w:eastAsia="zh-CN" w:bidi="ar-SA"/>
        </w:rPr>
        <w:t>5</w:t>
      </w:r>
      <w:r>
        <w:rPr>
          <w:rFonts w:hint="eastAsia" w:ascii="宋体" w:hAnsi="宋体" w:eastAsia="宋体" w:cs="宋体"/>
          <w:bCs/>
          <w:sz w:val="24"/>
          <w:szCs w:val="24"/>
          <w:lang w:val="en-US" w:eastAsia="zh-CN" w:bidi="ar-SA"/>
        </w:rPr>
        <w:t>在中国境内完成。</w:t>
      </w:r>
    </w:p>
    <w:p w14:paraId="7D95AA7F">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2.</w:t>
      </w:r>
      <w:r>
        <w:rPr>
          <w:rFonts w:hint="eastAsia" w:ascii="宋体" w:hAnsi="宋体" w:eastAsia="宋体" w:cs="宋体"/>
          <w:bCs/>
          <w:sz w:val="24"/>
          <w:szCs w:val="24"/>
          <w:u w:val="single"/>
          <w:lang w:val="en-US" w:eastAsia="zh-CN" w:bidi="ar-SA"/>
        </w:rPr>
        <w:t>（产品名称2）</w:t>
      </w:r>
      <w:r>
        <w:rPr>
          <w:rFonts w:hint="eastAsia" w:ascii="宋体" w:hAnsi="宋体" w:eastAsia="宋体" w:cs="宋体"/>
          <w:bCs/>
          <w:sz w:val="24"/>
          <w:szCs w:val="24"/>
          <w:lang w:val="en-US" w:eastAsia="zh-CN" w:bidi="ar-SA"/>
        </w:rPr>
        <w:t>，生产厂为</w:t>
      </w:r>
      <w:r>
        <w:rPr>
          <w:rFonts w:hint="eastAsia" w:ascii="宋体" w:hAnsi="宋体" w:eastAsia="宋体" w:cs="宋体"/>
          <w:bCs/>
          <w:sz w:val="24"/>
          <w:szCs w:val="24"/>
          <w:u w:val="single"/>
          <w:lang w:val="en-US" w:eastAsia="zh-CN" w:bidi="ar-SA"/>
        </w:rPr>
        <w:t>（厂名）</w:t>
      </w:r>
      <w:r>
        <w:rPr>
          <w:rFonts w:hint="eastAsia" w:ascii="宋体" w:hAnsi="宋体" w:eastAsia="宋体" w:cs="宋体"/>
          <w:bCs/>
          <w:sz w:val="24"/>
          <w:szCs w:val="24"/>
          <w:lang w:val="en-US" w:eastAsia="zh-CN" w:bidi="ar-SA"/>
        </w:rPr>
        <w:t>，厂址为</w:t>
      </w:r>
      <w:r>
        <w:rPr>
          <w:rFonts w:hint="eastAsia" w:ascii="宋体" w:hAnsi="宋体" w:eastAsia="宋体" w:cs="宋体"/>
          <w:bCs/>
          <w:sz w:val="24"/>
          <w:szCs w:val="24"/>
          <w:u w:val="single"/>
          <w:lang w:val="en-US" w:eastAsia="zh-CN" w:bidi="ar-SA"/>
        </w:rPr>
        <w:t>（生产厂址）</w:t>
      </w:r>
      <w:r>
        <w:rPr>
          <w:rFonts w:hint="eastAsia" w:ascii="宋体" w:hAnsi="宋体" w:eastAsia="宋体" w:cs="宋体"/>
          <w:bCs/>
          <w:sz w:val="24"/>
          <w:szCs w:val="24"/>
          <w:lang w:val="en-US" w:eastAsia="zh-CN" w:bidi="ar-SA"/>
        </w:rPr>
        <w:t>。</w:t>
      </w:r>
      <w:r>
        <w:rPr>
          <w:rFonts w:hint="eastAsia" w:ascii="宋体" w:hAnsi="宋体" w:eastAsia="宋体" w:cs="宋体"/>
          <w:bCs/>
          <w:sz w:val="24"/>
          <w:szCs w:val="24"/>
          <w:u w:val="single"/>
          <w:lang w:val="en-US" w:eastAsia="zh-CN" w:bidi="ar-SA"/>
        </w:rPr>
        <w:t>（产品名称2）</w:t>
      </w:r>
      <w:r>
        <w:rPr>
          <w:rFonts w:hint="eastAsia" w:ascii="宋体" w:hAnsi="宋体" w:eastAsia="宋体" w:cs="宋体"/>
          <w:bCs/>
          <w:sz w:val="24"/>
          <w:szCs w:val="24"/>
          <w:lang w:val="en-US" w:eastAsia="zh-CN" w:bidi="ar-SA"/>
        </w:rPr>
        <w:t>的中国境内生产的组件成本占比≥</w:t>
      </w:r>
      <w:r>
        <w:rPr>
          <w:rFonts w:hint="eastAsia" w:ascii="宋体" w:hAnsi="宋体" w:eastAsia="宋体" w:cs="宋体"/>
          <w:bCs/>
          <w:sz w:val="24"/>
          <w:szCs w:val="24"/>
          <w:u w:val="single"/>
          <w:lang w:val="en-US" w:eastAsia="zh-CN" w:bidi="ar-SA"/>
        </w:rPr>
        <w:t>（规定比例）</w:t>
      </w:r>
      <w:r>
        <w:rPr>
          <w:rFonts w:hint="eastAsia" w:ascii="宋体" w:hAnsi="宋体" w:eastAsia="宋体" w:cs="宋体"/>
          <w:bCs/>
          <w:sz w:val="24"/>
          <w:szCs w:val="24"/>
          <w:lang w:val="en-US" w:eastAsia="zh-CN" w:bidi="ar-SA"/>
        </w:rPr>
        <w:t>。（</w:t>
      </w:r>
      <w:r>
        <w:rPr>
          <w:rFonts w:hint="eastAsia" w:ascii="宋体" w:hAnsi="宋体" w:eastAsia="宋体" w:cs="宋体"/>
          <w:bCs/>
          <w:sz w:val="24"/>
          <w:szCs w:val="24"/>
          <w:u w:val="single"/>
          <w:lang w:val="en-US" w:eastAsia="zh-CN" w:bidi="ar-SA"/>
        </w:rPr>
        <w:t>产品名称2）</w:t>
      </w:r>
      <w:r>
        <w:rPr>
          <w:rFonts w:hint="eastAsia" w:ascii="宋体" w:hAnsi="宋体" w:eastAsia="宋体" w:cs="宋体"/>
          <w:bCs/>
          <w:sz w:val="24"/>
          <w:szCs w:val="24"/>
          <w:lang w:val="en-US" w:eastAsia="zh-CN" w:bidi="ar-SA"/>
        </w:rPr>
        <w:t>的</w:t>
      </w:r>
      <w:r>
        <w:rPr>
          <w:rFonts w:hint="eastAsia" w:ascii="宋体" w:hAnsi="宋体" w:eastAsia="宋体" w:cs="宋体"/>
          <w:bCs/>
          <w:sz w:val="24"/>
          <w:szCs w:val="24"/>
          <w:u w:val="single"/>
          <w:lang w:val="en-US" w:eastAsia="zh-CN" w:bidi="ar-SA"/>
        </w:rPr>
        <w:t>（关键组件）</w:t>
      </w:r>
      <w:r>
        <w:rPr>
          <w:rFonts w:hint="eastAsia" w:ascii="宋体" w:hAnsi="宋体" w:eastAsia="宋体" w:cs="宋体"/>
          <w:bCs/>
          <w:sz w:val="24"/>
          <w:szCs w:val="24"/>
          <w:lang w:val="en-US" w:eastAsia="zh-CN" w:bidi="ar-SA"/>
        </w:rPr>
        <w:t>在中国境内生产。</w:t>
      </w:r>
      <w:r>
        <w:rPr>
          <w:rFonts w:hint="eastAsia" w:ascii="宋体" w:hAnsi="宋体" w:eastAsia="宋体" w:cs="宋体"/>
          <w:bCs/>
          <w:sz w:val="24"/>
          <w:szCs w:val="24"/>
          <w:u w:val="single"/>
          <w:lang w:val="en-US" w:eastAsia="zh-CN" w:bidi="ar-SA"/>
        </w:rPr>
        <w:t>（产品名称1）</w:t>
      </w:r>
      <w:r>
        <w:rPr>
          <w:rFonts w:hint="eastAsia" w:ascii="宋体" w:hAnsi="宋体" w:eastAsia="宋体" w:cs="宋体"/>
          <w:bCs/>
          <w:sz w:val="24"/>
          <w:szCs w:val="24"/>
          <w:lang w:val="en-US" w:eastAsia="zh-CN" w:bidi="ar-SA"/>
        </w:rPr>
        <w:t>的</w:t>
      </w:r>
      <w:r>
        <w:rPr>
          <w:rFonts w:hint="eastAsia" w:ascii="宋体" w:hAnsi="宋体" w:eastAsia="宋体" w:cs="宋体"/>
          <w:bCs/>
          <w:sz w:val="24"/>
          <w:szCs w:val="24"/>
          <w:u w:val="single"/>
          <w:lang w:val="en-US" w:eastAsia="zh-CN" w:bidi="ar-SA"/>
        </w:rPr>
        <w:t>（关键工序）</w:t>
      </w:r>
      <w:r>
        <w:rPr>
          <w:rFonts w:hint="eastAsia" w:ascii="宋体" w:hAnsi="宋体" w:eastAsia="宋体" w:cs="宋体"/>
          <w:bCs/>
          <w:sz w:val="24"/>
          <w:szCs w:val="24"/>
          <w:lang w:val="en-US" w:eastAsia="zh-CN" w:bidi="ar-SA"/>
        </w:rPr>
        <w:t>在中国境内完成。</w:t>
      </w:r>
    </w:p>
    <w:p w14:paraId="7B4800EF">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w:t>
      </w:r>
    </w:p>
    <w:p w14:paraId="508D9FFD">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本公司（单位）对上述声明内容的真实性负责。如有虚假，愿承担相应法律责任。</w:t>
      </w:r>
    </w:p>
    <w:p w14:paraId="25D5B74D">
      <w:pPr>
        <w:widowControl w:val="0"/>
        <w:spacing w:line="640" w:lineRule="exact"/>
        <w:ind w:firstLine="4228"/>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公司（单位）名称（</w:t>
      </w:r>
      <w:r>
        <w:rPr>
          <w:rFonts w:hint="eastAsia" w:ascii="宋体" w:hAnsi="宋体" w:cs="宋体"/>
          <w:bCs/>
          <w:sz w:val="24"/>
          <w:szCs w:val="24"/>
          <w:lang w:val="en-US" w:eastAsia="zh-CN" w:bidi="ar-SA"/>
        </w:rPr>
        <w:t>电子签</w:t>
      </w:r>
      <w:r>
        <w:rPr>
          <w:rFonts w:hint="eastAsia" w:ascii="宋体" w:hAnsi="宋体" w:eastAsia="宋体" w:cs="宋体"/>
          <w:bCs/>
          <w:sz w:val="24"/>
          <w:szCs w:val="24"/>
          <w:lang w:val="en-US" w:eastAsia="zh-CN" w:bidi="ar-SA"/>
        </w:rPr>
        <w:t>章）：　</w:t>
      </w:r>
    </w:p>
    <w:p w14:paraId="7121EE1C">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日期：   年　  月　  日         </w:t>
      </w:r>
    </w:p>
    <w:p w14:paraId="4DA20353">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注：1.产品如有型号，请在“产品名称”栏一并填写。</w:t>
      </w:r>
    </w:p>
    <w:p w14:paraId="5FFB4B46">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2.生产厂名与厂址应与生产厂营业执照载明的相关信息保持一致。</w:t>
      </w:r>
    </w:p>
    <w:p w14:paraId="179D7795">
      <w:pPr>
        <w:widowControl w:val="0"/>
        <w:spacing w:line="240" w:lineRule="auto"/>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3.该产品的中国境内生产的组件成本占比相关要求实施前，“规定比例”栏可不填，下同。</w:t>
      </w:r>
    </w:p>
    <w:p w14:paraId="11105D1D">
      <w:pPr>
        <w:widowControl w:val="0"/>
        <w:spacing w:line="240" w:lineRule="auto"/>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4.该产品的关键组件要求实施前，“关键组件”栏可不填，下同。</w:t>
      </w:r>
    </w:p>
    <w:p w14:paraId="39B73A3F">
      <w:pPr>
        <w:widowControl w:val="0"/>
        <w:spacing w:line="640" w:lineRule="exact"/>
        <w:ind w:firstLine="560"/>
        <w:jc w:val="both"/>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5.该产品的关键工序要求实施前，“关键工序”栏可不填，下同。</w:t>
      </w:r>
    </w:p>
    <w:p w14:paraId="3D9A167C">
      <w:pPr>
        <w:rPr>
          <w:rFonts w:hint="eastAsia" w:ascii="宋体" w:hAnsi="宋体" w:eastAsia="宋体" w:cs="宋体"/>
        </w:rPr>
      </w:pPr>
    </w:p>
    <w:p w14:paraId="5B286C03">
      <w:pPr>
        <w:spacing w:line="560" w:lineRule="exact"/>
        <w:jc w:val="both"/>
        <w:rPr>
          <w:rFonts w:ascii="宋体" w:hAnsi="宋体" w:cs="仿宋_GB2312"/>
          <w:sz w:val="24"/>
        </w:rPr>
      </w:pPr>
    </w:p>
    <w:p w14:paraId="4B7909D4">
      <w:pPr>
        <w:spacing w:line="520" w:lineRule="exact"/>
        <w:ind w:firstLine="600"/>
        <w:jc w:val="center"/>
        <w:rPr>
          <w:rFonts w:hint="eastAsia" w:ascii="宋体" w:hAnsi="宋体" w:eastAsia="宋体" w:cs="宋体"/>
          <w:sz w:val="30"/>
          <w:szCs w:val="30"/>
          <w:lang w:eastAsia="en-US"/>
        </w:rPr>
      </w:pPr>
    </w:p>
    <w:p w14:paraId="6496C6DA">
      <w:pPr>
        <w:spacing w:line="520" w:lineRule="exact"/>
        <w:ind w:firstLine="600"/>
        <w:jc w:val="center"/>
        <w:rPr>
          <w:rFonts w:hint="eastAsia" w:ascii="宋体" w:hAnsi="宋体" w:eastAsia="宋体" w:cs="宋体"/>
          <w:sz w:val="30"/>
          <w:szCs w:val="30"/>
          <w:lang w:eastAsia="en-US"/>
        </w:rPr>
      </w:pPr>
      <w:r>
        <w:rPr>
          <w:rFonts w:hint="eastAsia" w:ascii="宋体" w:hAnsi="宋体" w:eastAsia="宋体" w:cs="宋体"/>
          <w:sz w:val="30"/>
          <w:szCs w:val="30"/>
          <w:lang w:eastAsia="en-US"/>
        </w:rPr>
        <w:t>履约承诺书</w:t>
      </w:r>
    </w:p>
    <w:p w14:paraId="18099D65">
      <w:pPr>
        <w:spacing w:line="520" w:lineRule="exact"/>
        <w:ind w:firstLine="840"/>
        <w:jc w:val="center"/>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(格式仅供参考，供应商需根据</w:t>
      </w:r>
      <w:r>
        <w:rPr>
          <w:rFonts w:hint="eastAsia" w:ascii="宋体" w:hAnsi="宋体" w:eastAsia="宋体" w:cs="宋体"/>
          <w:sz w:val="21"/>
          <w:szCs w:val="21"/>
          <w:lang w:val="en-US" w:eastAsia="zh-CN"/>
        </w:rPr>
        <w:t>谈判</w:t>
      </w:r>
      <w:r>
        <w:rPr>
          <w:rFonts w:hint="eastAsia" w:ascii="宋体" w:hAnsi="宋体" w:eastAsia="宋体" w:cs="宋体"/>
          <w:sz w:val="21"/>
          <w:szCs w:val="21"/>
          <w:lang w:val="en-US" w:eastAsia="en-US"/>
        </w:rPr>
        <w:t>文件要求自行补充)</w:t>
      </w:r>
    </w:p>
    <w:p w14:paraId="20C63EB2">
      <w:pP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致 ：</w:t>
      </w:r>
      <w:r>
        <w:rPr>
          <w:rFonts w:hint="eastAsia" w:ascii="宋体" w:hAnsi="宋体" w:cs="宋体"/>
          <w:sz w:val="24"/>
          <w:szCs w:val="24"/>
          <w:lang w:val="en-US" w:eastAsia="zh-CN"/>
        </w:rPr>
        <w:t>涟水县农业技术综合服务中心</w:t>
      </w:r>
    </w:p>
    <w:p w14:paraId="37F135F6">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我方在</w:t>
      </w:r>
      <w:r>
        <w:rPr>
          <w:rFonts w:hint="eastAsia" w:ascii="宋体" w:hAnsi="宋体" w:cs="宋体"/>
          <w:sz w:val="24"/>
          <w:szCs w:val="24"/>
          <w:lang w:val="en-US" w:eastAsia="zh-CN"/>
        </w:rPr>
        <w:t>涟水县农业技术综合服务中心</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lang w:val="en-US" w:eastAsia="en-US"/>
        </w:rPr>
        <w:t>的响应过程中，做如下承诺：</w:t>
      </w:r>
    </w:p>
    <w:p w14:paraId="438E68C9">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1.严格按照采购文件、响应文件及合同约定履行义务，保证服务质量与工期要求。 </w:t>
      </w:r>
    </w:p>
    <w:p w14:paraId="699BCD59">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2.不转包、不分包，项目相关人员、设备、技术力量真实到位。</w:t>
      </w:r>
    </w:p>
    <w:p w14:paraId="7F460ED4">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3. 积极配合采购人验收、监管及相关检查。</w:t>
      </w:r>
    </w:p>
    <w:p w14:paraId="2404DE36">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4.若我方存在违约行为，自愿承担相应违约责任，并接受政府采购相关信用惩戒。</w:t>
      </w:r>
    </w:p>
    <w:p w14:paraId="138D046C">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我方保证上述信息的真实和准确，并愿意承担因我方就此弄虚作假所引起的一切法律后果，并自愿接受相关监管部门作出的任何处罚。</w:t>
      </w:r>
    </w:p>
    <w:p w14:paraId="72C3AF6D">
      <w:pPr>
        <w:spacing w:line="520" w:lineRule="exact"/>
        <w:ind w:firstLine="480"/>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特此承诺。</w:t>
      </w:r>
    </w:p>
    <w:p w14:paraId="0C8C5A32">
      <w:pPr>
        <w:spacing w:line="520" w:lineRule="exact"/>
        <w:ind w:firstLine="480"/>
        <w:rPr>
          <w:rFonts w:hint="eastAsia" w:ascii="宋体" w:hAnsi="宋体" w:eastAsia="宋体" w:cs="宋体"/>
          <w:sz w:val="24"/>
          <w:szCs w:val="24"/>
          <w:lang w:eastAsia="en-US"/>
        </w:rPr>
      </w:pPr>
    </w:p>
    <w:p w14:paraId="4860C33F">
      <w:pPr>
        <w:spacing w:line="520" w:lineRule="exact"/>
        <w:ind w:firstLine="480"/>
        <w:rPr>
          <w:rFonts w:hint="eastAsia" w:ascii="宋体" w:hAnsi="宋体" w:eastAsia="宋体" w:cs="宋体"/>
          <w:sz w:val="24"/>
          <w:szCs w:val="24"/>
          <w:lang w:eastAsia="en-US"/>
        </w:rPr>
      </w:pPr>
    </w:p>
    <w:p w14:paraId="325E902E">
      <w:pPr>
        <w:spacing w:line="520" w:lineRule="exact"/>
        <w:ind w:firstLine="480"/>
        <w:rPr>
          <w:rFonts w:hint="eastAsia" w:ascii="宋体" w:hAnsi="宋体" w:eastAsia="宋体" w:cs="宋体"/>
          <w:sz w:val="24"/>
          <w:szCs w:val="24"/>
          <w:lang w:eastAsia="en-US"/>
        </w:rPr>
      </w:pPr>
    </w:p>
    <w:p w14:paraId="3C8BED12">
      <w:pPr>
        <w:spacing w:line="560" w:lineRule="exact"/>
        <w:ind w:firstLine="3360"/>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供应商：        （</w:t>
      </w:r>
      <w:r>
        <w:rPr>
          <w:rFonts w:hint="eastAsia" w:ascii="宋体" w:hAnsi="宋体" w:cs="宋体"/>
          <w:sz w:val="24"/>
          <w:szCs w:val="24"/>
          <w:lang w:val="en-US" w:eastAsia="zh-CN"/>
        </w:rPr>
        <w:t>电子签章</w:t>
      </w:r>
      <w:r>
        <w:rPr>
          <w:rFonts w:hint="eastAsia" w:ascii="宋体" w:hAnsi="宋体" w:eastAsia="宋体" w:cs="宋体"/>
          <w:sz w:val="24"/>
          <w:szCs w:val="24"/>
          <w:lang w:val="en-US" w:eastAsia="en-US"/>
        </w:rPr>
        <w:t xml:space="preserve">）     </w:t>
      </w:r>
    </w:p>
    <w:p w14:paraId="32915C75">
      <w:pPr>
        <w:spacing w:line="5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                           法定代表人：</w:t>
      </w:r>
      <w:r>
        <w:rPr>
          <w:rFonts w:hint="eastAsia" w:ascii="宋体" w:hAnsi="宋体" w:cs="宋体"/>
          <w:sz w:val="24"/>
          <w:szCs w:val="24"/>
          <w:lang w:val="en-US" w:eastAsia="zh-CN"/>
        </w:rPr>
        <w:t>（电子签章或签字）</w:t>
      </w:r>
    </w:p>
    <w:p w14:paraId="669E7343">
      <w:pPr>
        <w:spacing w:line="560" w:lineRule="exact"/>
        <w:jc w:val="both"/>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日期：        年      月      日</w:t>
      </w:r>
    </w:p>
    <w:p w14:paraId="34A08F70">
      <w:pPr>
        <w:rPr>
          <w:rFonts w:hint="default" w:ascii="Times New Roman" w:hAnsi="Times New Roman" w:eastAsia="宋体" w:cs="Times New Roman"/>
          <w:sz w:val="21"/>
          <w:szCs w:val="24"/>
          <w:lang w:val="en-US" w:eastAsia="zh-CN" w:bidi="ar-SA"/>
        </w:rPr>
      </w:pPr>
    </w:p>
    <w:p w14:paraId="18C0C738">
      <w:pPr>
        <w:rPr>
          <w:rFonts w:hint="default"/>
          <w:lang w:val="en-US" w:eastAsia="zh-CN"/>
        </w:rPr>
      </w:pPr>
    </w:p>
    <w:p w14:paraId="5C4E8669">
      <w:pPr>
        <w:rPr>
          <w:rFonts w:hint="default"/>
          <w:lang w:val="en-US" w:eastAsia="zh-CN"/>
        </w:rPr>
      </w:pPr>
    </w:p>
    <w:p w14:paraId="160E9A3D">
      <w:pPr>
        <w:rPr>
          <w:rFonts w:hint="default"/>
          <w:lang w:val="en-US" w:eastAsia="zh-CN"/>
        </w:rPr>
      </w:pPr>
    </w:p>
    <w:p w14:paraId="5604C636">
      <w:pPr>
        <w:rPr>
          <w:rFonts w:hint="default"/>
          <w:lang w:val="en-US" w:eastAsia="zh-CN"/>
        </w:rPr>
      </w:pPr>
    </w:p>
    <w:p w14:paraId="293D0C6C">
      <w:pPr>
        <w:rPr>
          <w:rFonts w:hint="default"/>
          <w:lang w:val="en-US" w:eastAsia="zh-CN"/>
        </w:rPr>
      </w:pPr>
    </w:p>
    <w:p w14:paraId="01614BCC">
      <w:pPr>
        <w:rPr>
          <w:rFonts w:hint="default"/>
          <w:lang w:val="en-US" w:eastAsia="zh-CN"/>
        </w:rPr>
      </w:pPr>
    </w:p>
    <w:p w14:paraId="58016C04">
      <w:pPr>
        <w:rPr>
          <w:rFonts w:hint="default"/>
          <w:lang w:val="en-US" w:eastAsia="zh-CN"/>
        </w:rPr>
      </w:pPr>
    </w:p>
    <w:p w14:paraId="1CCB0ECC">
      <w:pPr>
        <w:rPr>
          <w:rFonts w:hint="default"/>
          <w:lang w:val="en-US" w:eastAsia="zh-CN"/>
        </w:rPr>
      </w:pPr>
    </w:p>
    <w:p w14:paraId="71F3709B">
      <w:pPr>
        <w:rPr>
          <w:rFonts w:hint="default"/>
          <w:lang w:val="en-US" w:eastAsia="zh-CN"/>
        </w:rPr>
      </w:pPr>
    </w:p>
    <w:p w14:paraId="55783AE1">
      <w:pPr>
        <w:rPr>
          <w:rFonts w:hint="default"/>
          <w:lang w:val="en-US" w:eastAsia="zh-CN"/>
        </w:rPr>
      </w:pPr>
    </w:p>
    <w:p w14:paraId="0A468141">
      <w:pPr>
        <w:jc w:val="center"/>
        <w:rPr>
          <w:rFonts w:hint="default"/>
          <w:lang w:val="en-US" w:eastAsia="zh-CN"/>
        </w:rPr>
      </w:pPr>
    </w:p>
    <w:p w14:paraId="447BBF89">
      <w:pPr>
        <w:pStyle w:val="194"/>
        <w:numPr>
          <w:ilvl w:val="2"/>
          <w:numId w:val="0"/>
        </w:numPr>
        <w:rPr>
          <w:rFonts w:hint="default"/>
          <w:lang w:val="en-US" w:eastAsia="zh-CN"/>
        </w:rPr>
      </w:pPr>
    </w:p>
    <w:p w14:paraId="58272474">
      <w:pPr>
        <w:rPr>
          <w:rFonts w:hint="default"/>
          <w:lang w:val="en-US" w:eastAsia="zh-CN"/>
        </w:rPr>
      </w:pPr>
    </w:p>
    <w:p w14:paraId="784E8FB6">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质疑函范本</w:t>
      </w:r>
    </w:p>
    <w:p w14:paraId="26C9B40E">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54A902B6">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136D5532">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31336E3D">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60D163CB">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2B26C671">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3327072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77205AF4">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4B32223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322F8E3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21805126">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7A141B70">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7F0406C9">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5B293182">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54E71DCD">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4CA225A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095A2527">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1CA4DF47">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78B7451C">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7D158E3B">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598BD538">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4E1E9DAA">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2FE06018">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签字</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签章</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lang w:eastAsia="zh-CN"/>
        </w:rPr>
        <w:t>电子签章</w:t>
      </w:r>
      <w:r>
        <w:rPr>
          <w:rFonts w:hint="eastAsia" w:ascii="方正仿宋_GBK" w:hAnsi="方正仿宋_GBK" w:eastAsia="方正仿宋_GBK" w:cs="方正仿宋_GBK"/>
          <w:color w:val="000000"/>
          <w:sz w:val="28"/>
          <w:szCs w:val="28"/>
        </w:rPr>
        <w:t xml:space="preserve">：                      </w:t>
      </w:r>
    </w:p>
    <w:p w14:paraId="4B9462DC">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38D5B5EF">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19C11BAD">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3A9ABE4E">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598F0FD">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68D54D90">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2D39E8CE">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792EB190">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w:t>
      </w:r>
      <w:r>
        <w:rPr>
          <w:rFonts w:hint="eastAsia" w:ascii="方正仿宋_GBK" w:hAnsi="方正仿宋_GBK" w:eastAsia="方正仿宋_GBK" w:cs="方正仿宋_GBK"/>
          <w:color w:val="000000"/>
          <w:sz w:val="28"/>
          <w:szCs w:val="28"/>
          <w:lang w:eastAsia="zh-CN"/>
        </w:rPr>
        <w:t>电子签章</w:t>
      </w:r>
      <w:r>
        <w:rPr>
          <w:rFonts w:hint="eastAsia" w:ascii="方正仿宋_GBK" w:hAnsi="方正仿宋_GBK" w:eastAsia="方正仿宋_GBK" w:cs="方正仿宋_GBK"/>
          <w:color w:val="000000"/>
          <w:sz w:val="28"/>
          <w:szCs w:val="28"/>
        </w:rPr>
        <w:t>。</w:t>
      </w:r>
    </w:p>
    <w:p w14:paraId="47050DB7">
      <w:pPr>
        <w:spacing w:line="520" w:lineRule="exact"/>
        <w:ind w:firstLine="548"/>
        <w:rPr>
          <w:rFonts w:hint="eastAsia" w:ascii="仿宋" w:hAnsi="仿宋" w:eastAsia="仿宋" w:cs="Arial"/>
          <w:bCs/>
          <w:sz w:val="28"/>
          <w:highlight w:val="none"/>
        </w:rPr>
      </w:pPr>
    </w:p>
    <w:p w14:paraId="63D5F7DA">
      <w:pPr>
        <w:keepNext w:val="0"/>
        <w:keepLines w:val="0"/>
        <w:pageBreakBefore w:val="0"/>
        <w:widowControl w:val="0"/>
        <w:spacing w:line="640" w:lineRule="exact"/>
        <w:ind w:firstLine="560"/>
        <w:jc w:val="both"/>
        <w:outlineLvl w:val="9"/>
        <w:rPr>
          <w:rFonts w:hint="eastAsia" w:ascii="仿宋" w:hAnsi="仿宋" w:eastAsia="仿宋" w:cs="Times New Roman"/>
          <w:bCs/>
          <w:color w:val="000000"/>
          <w:sz w:val="28"/>
          <w:szCs w:val="28"/>
          <w:lang w:val="en-US" w:eastAsia="zh-CN" w:bidi="ar-SA"/>
        </w:rPr>
      </w:pPr>
    </w:p>
    <w:p w14:paraId="049574D9">
      <w:pPr>
        <w:keepNext w:val="0"/>
        <w:keepLines w:val="0"/>
        <w:pageBreakBefore w:val="0"/>
        <w:widowControl w:val="0"/>
        <w:spacing w:line="640" w:lineRule="exact"/>
        <w:ind w:firstLine="560"/>
        <w:jc w:val="both"/>
        <w:outlineLvl w:val="9"/>
        <w:rPr>
          <w:rFonts w:hint="eastAsia" w:ascii="仿宋" w:hAnsi="仿宋" w:eastAsia="仿宋" w:cs="Times New Roman"/>
          <w:bCs/>
          <w:color w:val="000000"/>
          <w:sz w:val="28"/>
          <w:szCs w:val="28"/>
          <w:lang w:val="en-US" w:eastAsia="zh-CN" w:bidi="ar-SA"/>
        </w:rPr>
      </w:pPr>
    </w:p>
    <w:p w14:paraId="388D061D">
      <w:pPr>
        <w:pStyle w:val="194"/>
        <w:numPr>
          <w:ilvl w:val="2"/>
          <w:numId w:val="0"/>
        </w:numPr>
        <w:rPr>
          <w:rFonts w:hint="default"/>
          <w:lang w:val="en-US" w:eastAsia="zh-CN"/>
        </w:rPr>
      </w:pPr>
    </w:p>
    <w:p w14:paraId="01A8D7AA">
      <w:pPr>
        <w:rPr>
          <w:rFonts w:hint="default"/>
          <w:lang w:val="en-US" w:eastAsia="zh-CN"/>
        </w:rPr>
      </w:pPr>
    </w:p>
    <w:sectPr>
      <w:footerReference r:id="rId7" w:type="default"/>
      <w:pgSz w:w="11906" w:h="16838"/>
      <w:pgMar w:top="1440" w:right="1106" w:bottom="1440" w:left="126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6A76A56-135C-45D5-A320-481CBA4CEAE2}"/>
  </w:font>
  <w:font w:name="黑体">
    <w:panose1 w:val="02010609060101010101"/>
    <w:charset w:val="86"/>
    <w:family w:val="auto"/>
    <w:pitch w:val="default"/>
    <w:sig w:usb0="800002BF" w:usb1="38CF7CFA" w:usb2="00000016" w:usb3="00000000" w:csb0="00040001" w:csb1="00000000"/>
    <w:embedRegular r:id="rId2" w:fontKey="{FE57D3B3-E908-4E42-B691-D620996F23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embedRegular r:id="rId3" w:fontKey="{B4E49759-1F5B-44D9-86D3-264D43FF9375}"/>
  </w:font>
  <w:font w:name="楷体">
    <w:panose1 w:val="02010609060101010101"/>
    <w:charset w:val="86"/>
    <w:family w:val="auto"/>
    <w:pitch w:val="default"/>
    <w:sig w:usb0="800002BF" w:usb1="38CF7CFA" w:usb2="00000016" w:usb3="00000000" w:csb0="00040001" w:csb1="00000000"/>
    <w:embedRegular r:id="rId4" w:fontKey="{80E4BDDF-549E-4E2F-B18D-842319948EC5}"/>
  </w:font>
  <w:font w:name="仿宋_GB2312">
    <w:altName w:val="仿宋"/>
    <w:panose1 w:val="02010609060101010101"/>
    <w:charset w:val="00"/>
    <w:family w:val="auto"/>
    <w:pitch w:val="default"/>
    <w:sig w:usb0="00000000" w:usb1="00000000" w:usb2="00000000" w:usb3="00000000" w:csb0="00000000" w:csb1="00000000"/>
    <w:embedRegular r:id="rId5" w:fontKey="{CE739BD9-6E95-4E0A-8CBD-76FEFFCBC963}"/>
  </w:font>
  <w:font w:name="仿宋">
    <w:panose1 w:val="02010609060101010101"/>
    <w:charset w:val="86"/>
    <w:family w:val="auto"/>
    <w:pitch w:val="default"/>
    <w:sig w:usb0="800002BF" w:usb1="38CF7CFA" w:usb2="00000016" w:usb3="00000000" w:csb0="00040001" w:csb1="00000000"/>
    <w:embedRegular r:id="rId6" w:fontKey="{8CA9D0D4-B76D-4CF6-9F07-ECCF3722BCBC}"/>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7FFAEFF" w:usb1="F9DFFFFF" w:usb2="0000007F" w:usb3="00000000" w:csb0="203F01FF" w:csb1="DFFF0000"/>
    <w:embedRegular r:id="rId7" w:fontKey="{C8877D9C-74C6-40A2-99F1-AC8E485994CE}"/>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embedRegular r:id="rId8" w:fontKey="{BF97F9F8-C4A3-4424-A949-EB77E1AD1C64}"/>
  </w:font>
  <w:font w:name="华文仿宋">
    <w:altName w:val="仿宋"/>
    <w:panose1 w:val="02010600040101010101"/>
    <w:charset w:val="86"/>
    <w:family w:val="auto"/>
    <w:pitch w:val="default"/>
    <w:sig w:usb0="00000000" w:usb1="00000000" w:usb2="00000000" w:usb3="00000000" w:csb0="0004009F" w:csb1="DFD70000"/>
    <w:embedRegular r:id="rId9" w:fontKey="{09AB18B3-26F4-4676-81FD-33356EEC0EA8}"/>
  </w:font>
  <w:font w:name="方正仿宋_GBK">
    <w:panose1 w:val="02000000000000000000"/>
    <w:charset w:val="86"/>
    <w:family w:val="auto"/>
    <w:pitch w:val="default"/>
    <w:sig w:usb0="A00002BF" w:usb1="38CF7CFA" w:usb2="00082016" w:usb3="00000000" w:csb0="00040001" w:csb1="00000000"/>
    <w:embedRegular r:id="rId10" w:fontKey="{1AD5CF38-1560-4A4E-9094-5C078EC89302}"/>
  </w:font>
  <w:font w:name="Arial">
    <w:panose1 w:val="020B0604020202020204"/>
    <w:charset w:val="00"/>
    <w:family w:val="auto"/>
    <w:pitch w:val="default"/>
    <w:sig w:usb0="E0002EFF" w:usb1="C000785B" w:usb2="00000009" w:usb3="00000000" w:csb0="400001FF" w:csb1="FFFF0000"/>
    <w:embedRegular r:id="rId11" w:fontKey="{1700C1BB-0623-40D2-8142-30AC6E099B1E}"/>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CCB33">
    <w:pPr>
      <w:pStyle w:val="22"/>
      <w:framePr w:wrap="around" w:vAnchor="text" w:hAnchor="margin" w:xAlign="center" w:y="1"/>
      <w:tabs>
        <w:tab w:val="center" w:pos="4153"/>
        <w:tab w:val="right" w:pos="8306"/>
        <w:tab w:val="clear" w:pos="7143"/>
        <w:tab w:val="clear" w:pos="14287"/>
      </w:tabs>
      <w:rPr>
        <w:rStyle w:val="39"/>
      </w:rPr>
    </w:pPr>
    <w:r>
      <w:fldChar w:fldCharType="begin"/>
    </w:r>
    <w:r>
      <w:rPr>
        <w:rStyle w:val="39"/>
      </w:rPr>
      <w:instrText xml:space="preserve">PAGE  </w:instrText>
    </w:r>
    <w:r>
      <w:fldChar w:fldCharType="end"/>
    </w:r>
  </w:p>
  <w:p w14:paraId="7A57A5B2">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9A881">
    <w:pPr>
      <w:pStyle w:val="2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CE172">
    <w:pPr>
      <w:pStyle w:val="225"/>
      <w:framePr w:wrap="around" w:vAnchor="text" w:hAnchor="margin" w:xAlign="center" w:y="1"/>
      <w:rPr>
        <w:rStyle w:val="248"/>
      </w:rPr>
    </w:pPr>
    <w:r>
      <w:fldChar w:fldCharType="begin"/>
    </w:r>
    <w:r>
      <w:rPr>
        <w:rStyle w:val="248"/>
      </w:rPr>
      <w:instrText xml:space="preserve">PAGE  </w:instrText>
    </w:r>
    <w:r>
      <w:fldChar w:fldCharType="end"/>
    </w:r>
  </w:p>
  <w:p w14:paraId="65EA387A">
    <w:pPr>
      <w:pStyle w:val="2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CD3DA">
    <w:pPr>
      <w:pStyle w:val="225"/>
      <w:framePr w:wrap="around" w:vAnchor="text" w:hAnchor="margin" w:xAlign="center" w:y="1"/>
      <w:rPr>
        <w:rStyle w:val="248"/>
      </w:rPr>
    </w:pPr>
    <w:r>
      <w:fldChar w:fldCharType="begin"/>
    </w:r>
    <w:r>
      <w:rPr>
        <w:rStyle w:val="248"/>
      </w:rPr>
      <w:instrText xml:space="preserve">PAGE  </w:instrText>
    </w:r>
    <w:r>
      <w:fldChar w:fldCharType="separate"/>
    </w:r>
    <w:r>
      <w:rPr>
        <w:rStyle w:val="248"/>
      </w:rPr>
      <w:t>7</w:t>
    </w:r>
    <w:r>
      <w:fldChar w:fldCharType="end"/>
    </w:r>
  </w:p>
  <w:p w14:paraId="6667E654">
    <w:pPr>
      <w:pStyle w:val="2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B04DF">
    <w:pPr>
      <w:pStyle w:val="23"/>
      <w:pBdr>
        <w:bottom w:val="single" w:color="auto" w:sz="4" w:space="0"/>
      </w:pBdr>
      <w:tabs>
        <w:tab w:val="center" w:pos="4153"/>
        <w:tab w:val="right" w:pos="8306"/>
        <w:tab w:val="clear" w:pos="7143"/>
        <w:tab w:val="clear" w:pos="14287"/>
      </w:tabs>
      <w:jc w:val="center"/>
    </w:pPr>
    <w:r>
      <w:rPr>
        <w:rFonts w:hint="eastAsia" w:ascii="华文仿宋" w:hAnsi="华文仿宋"/>
        <w:sz w:val="24"/>
      </w:rPr>
      <w:t>涟水县“苏采云政府采购一体化平台”竞争性</w:t>
    </w:r>
    <w:r>
      <w:rPr>
        <w:rFonts w:hint="eastAsia" w:ascii="华文仿宋" w:hAnsi="华文仿宋"/>
        <w:sz w:val="24"/>
        <w:lang w:eastAsia="zh-CN"/>
      </w:rPr>
      <w:t>谈判</w:t>
    </w:r>
    <w:r>
      <w:rPr>
        <w:rFonts w:hint="eastAsia" w:ascii="华文仿宋" w:hAnsi="华文仿宋"/>
        <w:sz w:val="24"/>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条"/>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suff w:val="space"/>
      <w:lvlText w:val="%1.%2"/>
      <w:lvlJc w:val="left"/>
      <w:pPr>
        <w:ind w:left="0" w:firstLine="0"/>
      </w:pPr>
      <w:rPr>
        <w:rFonts w:hint="eastAsia"/>
      </w:rPr>
    </w:lvl>
    <w:lvl w:ilvl="2" w:tentative="0">
      <w:start w:val="1"/>
      <w:numFmt w:val="decimal"/>
      <w:suff w:val="space"/>
      <w:lvlText w:val="%1.%2.%3"/>
      <w:lvlJc w:val="left"/>
      <w:pPr>
        <w:ind w:left="0" w:firstLine="0"/>
      </w:pPr>
      <w:rPr>
        <w:rFonts w:ascii="Times New Roman" w:hAnsi="Times New Roman" w:cs="Times New Roman"/>
        <w:sz w:val="32"/>
        <w:szCs w:val="32"/>
      </w:rPr>
    </w:lvl>
    <w:lvl w:ilvl="3" w:tentative="0">
      <w:start w:val="1"/>
      <w:numFmt w:val="decimal"/>
      <w:pStyle w:val="195"/>
      <w:suff w:val="space"/>
      <w:lvlText w:val="%1.%2.%3.%4"/>
      <w:lvlJc w:val="left"/>
      <w:pPr>
        <w:ind w:left="3060" w:firstLine="0"/>
      </w:pPr>
      <w:rPr>
        <w:rFonts w:hint="eastAsia"/>
      </w:rPr>
    </w:lvl>
    <w:lvl w:ilvl="4" w:tentative="0">
      <w:start w:val="1"/>
      <w:numFmt w:val="decimal"/>
      <w:suff w:val="space"/>
      <w:lvlText w:val="%1.%2.%3.%4.%5"/>
      <w:lvlJc w:val="left"/>
      <w:pPr>
        <w:ind w:left="3060" w:firstLine="0"/>
      </w:pPr>
      <w:rPr>
        <w:rFonts w:hint="eastAsia"/>
      </w:rPr>
    </w:lvl>
    <w:lvl w:ilvl="5" w:tentative="0">
      <w:start w:val="1"/>
      <w:numFmt w:val="decimal"/>
      <w:suff w:val="space"/>
      <w:lvlText w:val="%1.%2.%3.%4.%5.%6"/>
      <w:lvlJc w:val="left"/>
      <w:pPr>
        <w:ind w:left="3060" w:firstLine="0"/>
      </w:pPr>
      <w:rPr>
        <w:rFonts w:hint="eastAsia"/>
      </w:rPr>
    </w:lvl>
    <w:lvl w:ilvl="6" w:tentative="0">
      <w:start w:val="1"/>
      <w:numFmt w:val="decimal"/>
      <w:suff w:val="nothing"/>
      <w:lvlText w:val=""/>
      <w:lvlJc w:val="left"/>
      <w:pPr>
        <w:ind w:left="3060" w:firstLine="0"/>
      </w:pPr>
      <w:rPr>
        <w:rFonts w:hint="eastAsia"/>
      </w:rPr>
    </w:lvl>
    <w:lvl w:ilvl="7" w:tentative="0">
      <w:start w:val="1"/>
      <w:numFmt w:val="decimal"/>
      <w:suff w:val="nothing"/>
      <w:lvlText w:val=""/>
      <w:lvlJc w:val="left"/>
      <w:pPr>
        <w:ind w:left="3060" w:firstLine="0"/>
      </w:pPr>
      <w:rPr>
        <w:rFonts w:hint="eastAsia"/>
      </w:rPr>
    </w:lvl>
    <w:lvl w:ilvl="8" w:tentative="0">
      <w:start w:val="1"/>
      <w:numFmt w:val="decimal"/>
      <w:suff w:val="nothing"/>
      <w:lvlText w:val=""/>
      <w:lvlJc w:val="left"/>
      <w:pPr>
        <w:ind w:left="3060" w:firstLine="0"/>
      </w:pPr>
      <w:rPr>
        <w:rFonts w:hint="eastAsia"/>
      </w:rPr>
    </w:lvl>
  </w:abstractNum>
  <w:abstractNum w:abstractNumId="3">
    <w:nsid w:val="DE92EEF1"/>
    <w:multiLevelType w:val="singleLevel"/>
    <w:tmpl w:val="DE92EEF1"/>
    <w:lvl w:ilvl="0" w:tentative="0">
      <w:start w:val="5"/>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DAEE235"/>
    <w:multiLevelType w:val="singleLevel"/>
    <w:tmpl w:val="4DAEE235"/>
    <w:lvl w:ilvl="0" w:tentative="0">
      <w:start w:val="1"/>
      <w:numFmt w:val="chineseCounting"/>
      <w:suff w:val="nothing"/>
      <w:lvlText w:val="（%1）"/>
      <w:lvlJc w:val="left"/>
      <w:rPr>
        <w:rFonts w:hint="eastAsia"/>
      </w:rPr>
    </w:lvl>
  </w:abstractNum>
  <w:abstractNum w:abstractNumId="8">
    <w:nsid w:val="59ADCABA"/>
    <w:multiLevelType w:val="multilevel"/>
    <w:tmpl w:val="59ADCABA"/>
    <w:lvl w:ilvl="0" w:tentative="0">
      <w:start w:val="1"/>
      <w:numFmt w:val="bullet"/>
      <w:pStyle w:val="269"/>
      <w:lvlText w:val=""/>
      <w:lvlJc w:val="left"/>
      <w:pPr>
        <w:tabs>
          <w:tab w:val="left" w:pos="720"/>
        </w:tabs>
        <w:ind w:left="970" w:hanging="250"/>
      </w:pPr>
      <w:rPr>
        <w:rFonts w:ascii="Wingdings" w:hAnsi="Wingdings"/>
      </w:rPr>
    </w:lvl>
    <w:lvl w:ilvl="1" w:tentative="0">
      <w:start w:val="1"/>
      <w:numFmt w:val="bullet"/>
      <w:lvlText w:val=""/>
      <w:lvlJc w:val="left"/>
      <w:pPr>
        <w:tabs>
          <w:tab w:val="left" w:pos="789"/>
        </w:tabs>
        <w:ind w:left="789" w:hanging="420"/>
      </w:pPr>
      <w:rPr>
        <w:rFonts w:ascii="Wingdings" w:hAnsi="Wingdings"/>
      </w:rPr>
    </w:lvl>
    <w:lvl w:ilvl="2" w:tentative="0">
      <w:start w:val="1"/>
      <w:numFmt w:val="bullet"/>
      <w:lvlText w:val=""/>
      <w:lvlJc w:val="left"/>
      <w:pPr>
        <w:tabs>
          <w:tab w:val="left" w:pos="1209"/>
        </w:tabs>
        <w:ind w:left="1209" w:hanging="420"/>
      </w:pPr>
      <w:rPr>
        <w:rFonts w:ascii="Wingdings" w:hAnsi="Wingdings"/>
      </w:rPr>
    </w:lvl>
    <w:lvl w:ilvl="3" w:tentative="0">
      <w:start w:val="1"/>
      <w:numFmt w:val="bullet"/>
      <w:lvlText w:val=""/>
      <w:lvlJc w:val="left"/>
      <w:pPr>
        <w:tabs>
          <w:tab w:val="left" w:pos="1629"/>
        </w:tabs>
        <w:ind w:left="1629" w:hanging="420"/>
      </w:pPr>
      <w:rPr>
        <w:rFonts w:ascii="Wingdings" w:hAnsi="Wingdings"/>
      </w:rPr>
    </w:lvl>
    <w:lvl w:ilvl="4" w:tentative="0">
      <w:start w:val="1"/>
      <w:numFmt w:val="bullet"/>
      <w:lvlText w:val=""/>
      <w:lvlJc w:val="left"/>
      <w:pPr>
        <w:tabs>
          <w:tab w:val="left" w:pos="2049"/>
        </w:tabs>
        <w:ind w:left="2049" w:hanging="420"/>
      </w:pPr>
      <w:rPr>
        <w:rFonts w:ascii="Wingdings" w:hAnsi="Wingdings"/>
      </w:rPr>
    </w:lvl>
    <w:lvl w:ilvl="5" w:tentative="0">
      <w:start w:val="1"/>
      <w:numFmt w:val="bullet"/>
      <w:lvlText w:val=""/>
      <w:lvlJc w:val="left"/>
      <w:pPr>
        <w:tabs>
          <w:tab w:val="left" w:pos="2469"/>
        </w:tabs>
        <w:ind w:left="2469" w:hanging="420"/>
      </w:pPr>
      <w:rPr>
        <w:rFonts w:ascii="Wingdings" w:hAnsi="Wingdings"/>
      </w:rPr>
    </w:lvl>
    <w:lvl w:ilvl="6" w:tentative="0">
      <w:start w:val="1"/>
      <w:numFmt w:val="bullet"/>
      <w:lvlText w:val=""/>
      <w:lvlJc w:val="left"/>
      <w:pPr>
        <w:tabs>
          <w:tab w:val="left" w:pos="2889"/>
        </w:tabs>
        <w:ind w:left="2889" w:hanging="420"/>
      </w:pPr>
      <w:rPr>
        <w:rFonts w:ascii="Wingdings" w:hAnsi="Wingdings"/>
      </w:rPr>
    </w:lvl>
    <w:lvl w:ilvl="7" w:tentative="0">
      <w:start w:val="1"/>
      <w:numFmt w:val="bullet"/>
      <w:lvlText w:val=""/>
      <w:lvlJc w:val="left"/>
      <w:pPr>
        <w:tabs>
          <w:tab w:val="left" w:pos="3309"/>
        </w:tabs>
        <w:ind w:left="3309" w:hanging="420"/>
      </w:pPr>
      <w:rPr>
        <w:rFonts w:ascii="Wingdings" w:hAnsi="Wingdings"/>
      </w:rPr>
    </w:lvl>
    <w:lvl w:ilvl="8" w:tentative="0">
      <w:start w:val="1"/>
      <w:numFmt w:val="bullet"/>
      <w:lvlText w:val=""/>
      <w:lvlJc w:val="left"/>
      <w:pPr>
        <w:tabs>
          <w:tab w:val="left" w:pos="3729"/>
        </w:tabs>
        <w:ind w:left="3729" w:hanging="420"/>
      </w:pPr>
      <w:rPr>
        <w:rFonts w:ascii="Wingdings" w:hAnsi="Wingdings"/>
      </w:rPr>
    </w:lvl>
  </w:abstractNum>
  <w:num w:numId="1">
    <w:abstractNumId w:val="4"/>
  </w:num>
  <w:num w:numId="2">
    <w:abstractNumId w:val="2"/>
  </w:num>
  <w:num w:numId="3">
    <w:abstractNumId w:val="8"/>
  </w:num>
  <w:num w:numId="4">
    <w:abstractNumId w:val="1"/>
  </w:num>
  <w:num w:numId="5">
    <w:abstractNumId w:val="3"/>
  </w:num>
  <w:num w:numId="6">
    <w:abstractNumId w:val="0"/>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235A2"/>
    <w:rsid w:val="01B00C28"/>
    <w:rsid w:val="0EBE0962"/>
    <w:rsid w:val="156F1083"/>
    <w:rsid w:val="181B2D14"/>
    <w:rsid w:val="18AB01A9"/>
    <w:rsid w:val="1E127E25"/>
    <w:rsid w:val="23AB6334"/>
    <w:rsid w:val="24172B97"/>
    <w:rsid w:val="246873F1"/>
    <w:rsid w:val="24EB1D14"/>
    <w:rsid w:val="260458F3"/>
    <w:rsid w:val="277A0889"/>
    <w:rsid w:val="296C128F"/>
    <w:rsid w:val="2A9A0AB6"/>
    <w:rsid w:val="2D34212C"/>
    <w:rsid w:val="34856C3E"/>
    <w:rsid w:val="381C5B69"/>
    <w:rsid w:val="3F5A7F79"/>
    <w:rsid w:val="4132231A"/>
    <w:rsid w:val="41EB71EB"/>
    <w:rsid w:val="421952AC"/>
    <w:rsid w:val="43D9240D"/>
    <w:rsid w:val="476F2EBF"/>
    <w:rsid w:val="4C7A4013"/>
    <w:rsid w:val="4F127EFE"/>
    <w:rsid w:val="5763552F"/>
    <w:rsid w:val="58704D4D"/>
    <w:rsid w:val="59FD0685"/>
    <w:rsid w:val="5D292A17"/>
    <w:rsid w:val="5F45651E"/>
    <w:rsid w:val="680C510A"/>
    <w:rsid w:val="68667D97"/>
    <w:rsid w:val="738A1386"/>
    <w:rsid w:val="7A1E525A"/>
    <w:rsid w:val="7FC535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1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8"/>
    </w:rPr>
  </w:style>
  <w:style w:type="paragraph" w:styleId="15">
    <w:name w:val="Body Text Indent"/>
    <w:basedOn w:val="1"/>
    <w:next w:val="16"/>
    <w:qFormat/>
    <w:uiPriority w:val="0"/>
    <w:pPr>
      <w:ind w:firstLine="630"/>
    </w:pPr>
    <w:rPr>
      <w:rFonts w:ascii="楷体_GB2312" w:hAnsi="Times New Roman" w:eastAsia="楷体_GB2312"/>
      <w:sz w:val="32"/>
      <w:szCs w:val="20"/>
    </w:rPr>
  </w:style>
  <w:style w:type="paragraph" w:styleId="16">
    <w:name w:val="envelope return"/>
    <w:basedOn w:val="1"/>
    <w:qFormat/>
    <w:uiPriority w:val="0"/>
    <w:rPr>
      <w:rFonts w:ascii="Arial" w:hAnsi="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cstheme="minorBidi"/>
      <w:szCs w:val="22"/>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0"/>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qFormat/>
    <w:uiPriority w:val="0"/>
    <w:pPr>
      <w:ind w:firstLine="435"/>
    </w:pPr>
    <w:rPr>
      <w:rFonts w:ascii="仿宋_GB2312" w:hAnsi="宋体" w:eastAsia="仿宋_GB2312"/>
      <w:sz w:val="28"/>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2"/>
    <w:basedOn w:val="15"/>
    <w:qFormat/>
    <w:uiPriority w:val="99"/>
    <w:pPr>
      <w:spacing w:line="360" w:lineRule="auto"/>
      <w:ind w:firstLine="420"/>
    </w:pPr>
    <w:rPr>
      <w:rFonts w:ascii="宋体" w:hAnsi="宋体" w:eastAsia="宋体"/>
      <w:sz w:val="21"/>
      <w:szCs w:val="20"/>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99"/>
    <w:rPr>
      <w:rFonts w:cs="Times New Roman"/>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BodyText1"/>
    <w:basedOn w:val="1"/>
    <w:qFormat/>
    <w:uiPriority w:val="0"/>
    <w:pPr>
      <w:spacing w:after="120"/>
    </w:pPr>
  </w:style>
  <w:style w:type="paragraph" w:customStyle="1" w:styleId="43">
    <w:name w:val="标题 51"/>
    <w:basedOn w:val="1"/>
    <w:next w:val="1"/>
    <w:qFormat/>
    <w:uiPriority w:val="0"/>
    <w:pPr>
      <w:keepNext/>
      <w:keepLines/>
      <w:spacing w:before="280" w:after="290" w:line="376" w:lineRule="auto"/>
      <w:outlineLvl w:val="4"/>
    </w:pPr>
    <w:rPr>
      <w:b/>
      <w:bCs/>
      <w:sz w:val="28"/>
      <w:szCs w:val="28"/>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3"/>
    <w:qFormat/>
    <w:uiPriority w:val="10"/>
    <w:rPr>
      <w:sz w:val="48"/>
      <w:szCs w:val="48"/>
    </w:rPr>
  </w:style>
  <w:style w:type="character" w:customStyle="1" w:styleId="55">
    <w:name w:val="Subtitle Char"/>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3"/>
    <w:qFormat/>
    <w:uiPriority w:val="99"/>
  </w:style>
  <w:style w:type="character" w:customStyle="1" w:styleId="61">
    <w:name w:val="Footer Char"/>
    <w:link w:val="22"/>
    <w:qFormat/>
    <w:uiPriority w:val="99"/>
  </w:style>
  <w:style w:type="character" w:customStyle="1" w:styleId="62">
    <w:name w:val="Caption Char"/>
    <w:link w:val="22"/>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7"/>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qFormat/>
    <w:uiPriority w:val="0"/>
    <w:pPr>
      <w:keepNext/>
      <w:keepLines/>
      <w:spacing w:before="340" w:after="330" w:line="578" w:lineRule="auto"/>
      <w:outlineLvl w:val="0"/>
    </w:pPr>
    <w:rPr>
      <w:rFonts w:ascii="宋体"/>
      <w:b/>
      <w:color w:val="000000"/>
      <w:sz w:val="44"/>
      <w:szCs w:val="20"/>
    </w:rPr>
  </w:style>
  <w:style w:type="paragraph" w:customStyle="1" w:styleId="192">
    <w:name w:val="标题 21"/>
    <w:basedOn w:val="1"/>
    <w:next w:val="193"/>
    <w:link w:val="202"/>
    <w:qFormat/>
    <w:uiPriority w:val="0"/>
    <w:pPr>
      <w:keepNext/>
      <w:keepLines/>
      <w:spacing w:before="260" w:after="260" w:line="413" w:lineRule="auto"/>
      <w:outlineLvl w:val="1"/>
    </w:pPr>
    <w:rPr>
      <w:rFonts w:ascii="Arial" w:hAnsi="Arial" w:eastAsia="黑体"/>
      <w:b/>
      <w:sz w:val="32"/>
      <w:szCs w:val="20"/>
    </w:rPr>
  </w:style>
  <w:style w:type="paragraph" w:customStyle="1" w:styleId="193">
    <w:name w:val="正文缩进1"/>
    <w:basedOn w:val="1"/>
    <w:next w:val="1"/>
    <w:link w:val="203"/>
    <w:qFormat/>
    <w:uiPriority w:val="0"/>
    <w:pPr>
      <w:ind w:firstLine="420"/>
    </w:pPr>
  </w:style>
  <w:style w:type="paragraph" w:customStyle="1" w:styleId="194">
    <w:name w:val="标题 31"/>
    <w:basedOn w:val="1"/>
    <w:next w:val="1"/>
    <w:link w:val="204"/>
    <w:qFormat/>
    <w:uiPriority w:val="1"/>
    <w:pPr>
      <w:keepNext/>
      <w:keepLines/>
      <w:numPr>
        <w:ilvl w:val="2"/>
        <w:numId w:val="1"/>
      </w:numPr>
      <w:spacing w:before="260" w:after="260" w:line="416" w:lineRule="auto"/>
      <w:outlineLvl w:val="2"/>
    </w:pPr>
    <w:rPr>
      <w:rFonts w:ascii="宋体"/>
      <w:b/>
      <w:color w:val="000000"/>
      <w:sz w:val="32"/>
      <w:szCs w:val="20"/>
    </w:rPr>
  </w:style>
  <w:style w:type="paragraph" w:customStyle="1" w:styleId="195">
    <w:name w:val="标题 41"/>
    <w:basedOn w:val="1"/>
    <w:next w:val="1"/>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customStyle="1" w:styleId="196">
    <w:name w:val="标题 61"/>
    <w:basedOn w:val="1"/>
    <w:next w:val="1"/>
    <w:qFormat/>
    <w:uiPriority w:val="0"/>
    <w:pPr>
      <w:keepNext/>
      <w:keepLines/>
      <w:spacing w:before="240" w:after="64" w:line="320" w:lineRule="auto"/>
      <w:outlineLvl w:val="5"/>
    </w:pPr>
    <w:rPr>
      <w:rFonts w:ascii="Cambria" w:hAnsi="Cambria" w:eastAsia="宋体" w:cs="Times New Roman"/>
      <w:b/>
      <w:bCs/>
      <w:sz w:val="24"/>
    </w:rPr>
  </w:style>
  <w:style w:type="paragraph" w:customStyle="1" w:styleId="197">
    <w:name w:val="标题 71"/>
    <w:basedOn w:val="1"/>
    <w:next w:val="1"/>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customStyle="1" w:styleId="198">
    <w:name w:val="标题 81"/>
    <w:next w:val="1"/>
    <w:link w:val="205"/>
    <w:qFormat/>
    <w:uiPriority w:val="0"/>
    <w:pPr>
      <w:spacing w:after="160"/>
      <w:ind w:left="2400" w:hanging="400"/>
      <w:jc w:val="both"/>
      <w:outlineLvl w:val="7"/>
    </w:pPr>
    <w:rPr>
      <w:rFonts w:hint="default" w:ascii="宋体" w:hAnsi="宋体" w:eastAsia="宋体" w:cs="宋体"/>
      <w:sz w:val="21"/>
      <w:lang w:val="en-US" w:eastAsia="zh-CN" w:bidi="ar-SA"/>
    </w:rPr>
  </w:style>
  <w:style w:type="paragraph" w:customStyle="1" w:styleId="199">
    <w:name w:val="标题 91"/>
    <w:next w:val="1"/>
    <w:link w:val="206"/>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00">
    <w:name w:val="默认段落字体1"/>
    <w:link w:val="1"/>
    <w:semiHidden/>
    <w:qFormat/>
    <w:uiPriority w:val="0"/>
  </w:style>
  <w:style w:type="table" w:customStyle="1" w:styleId="201">
    <w:name w:val="普通表格1"/>
    <w:semiHidden/>
    <w:qFormat/>
    <w:uiPriority w:val="0"/>
  </w:style>
  <w:style w:type="character" w:customStyle="1" w:styleId="202">
    <w:name w:val="标题 2 Char"/>
    <w:link w:val="192"/>
    <w:qFormat/>
    <w:uiPriority w:val="0"/>
    <w:rPr>
      <w:rFonts w:ascii="Arial" w:hAnsi="Arial" w:eastAsia="黑体"/>
      <w:b/>
      <w:sz w:val="32"/>
      <w:lang w:val="en-US" w:eastAsia="zh-CN" w:bidi="ar-SA"/>
    </w:rPr>
  </w:style>
  <w:style w:type="character" w:customStyle="1" w:styleId="203">
    <w:name w:val="正文缩进 Char2"/>
    <w:link w:val="193"/>
    <w:qFormat/>
    <w:uiPriority w:val="0"/>
    <w:rPr>
      <w:sz w:val="21"/>
      <w:szCs w:val="24"/>
    </w:rPr>
  </w:style>
  <w:style w:type="character" w:customStyle="1" w:styleId="204">
    <w:name w:val="标题 3 Char"/>
    <w:link w:val="194"/>
    <w:qFormat/>
    <w:uiPriority w:val="1"/>
    <w:rPr>
      <w:rFonts w:ascii="宋体"/>
      <w:b/>
      <w:color w:val="000000"/>
      <w:sz w:val="32"/>
    </w:rPr>
  </w:style>
  <w:style w:type="character" w:customStyle="1" w:styleId="205">
    <w:name w:val="标题 8 Char"/>
    <w:link w:val="198"/>
    <w:qFormat/>
    <w:uiPriority w:val="0"/>
    <w:rPr>
      <w:rFonts w:ascii="宋体" w:hAnsi="宋体" w:cs="宋体"/>
      <w:sz w:val="21"/>
      <w:lang w:val="en-US" w:eastAsia="zh-CN" w:bidi="ar-SA"/>
    </w:rPr>
  </w:style>
  <w:style w:type="character" w:customStyle="1" w:styleId="206">
    <w:name w:val="标题 9 Char"/>
    <w:link w:val="199"/>
    <w:qFormat/>
    <w:uiPriority w:val="0"/>
    <w:rPr>
      <w:rFonts w:ascii="宋体" w:hAnsi="宋体" w:cs="宋体"/>
      <w:sz w:val="21"/>
      <w:lang w:val="en-US" w:eastAsia="zh-CN" w:bidi="ar-SA"/>
    </w:rPr>
  </w:style>
  <w:style w:type="paragraph" w:customStyle="1" w:styleId="207">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08">
    <w:name w:val="列表编号 21"/>
    <w:basedOn w:val="1"/>
    <w:qFormat/>
    <w:uiPriority w:val="0"/>
    <w:pPr>
      <w:numPr>
        <w:ilvl w:val="0"/>
        <w:numId w:val="3"/>
      </w:numPr>
      <w:tabs>
        <w:tab w:val="left" w:pos="780"/>
      </w:tabs>
      <w:ind w:firstLine="0"/>
    </w:pPr>
  </w:style>
  <w:style w:type="paragraph" w:customStyle="1" w:styleId="209">
    <w:name w:val="文档结构图1"/>
    <w:basedOn w:val="1"/>
    <w:semiHidden/>
    <w:qFormat/>
    <w:uiPriority w:val="0"/>
    <w:pPr>
      <w:shd w:val="clear" w:color="auto" w:fill="000080"/>
    </w:pPr>
  </w:style>
  <w:style w:type="paragraph" w:customStyle="1" w:styleId="210">
    <w:name w:val="批注文字1"/>
    <w:basedOn w:val="1"/>
    <w:semiHidden/>
    <w:qFormat/>
    <w:uiPriority w:val="0"/>
    <w:pPr>
      <w:jc w:val="left"/>
    </w:pPr>
  </w:style>
  <w:style w:type="paragraph" w:customStyle="1" w:styleId="211">
    <w:name w:val="正文文本 31"/>
    <w:basedOn w:val="1"/>
    <w:qFormat/>
    <w:uiPriority w:val="0"/>
    <w:pPr>
      <w:jc w:val="center"/>
    </w:pPr>
    <w:rPr>
      <w:rFonts w:eastAsia="黑体"/>
      <w:sz w:val="72"/>
    </w:rPr>
  </w:style>
  <w:style w:type="paragraph" w:customStyle="1" w:styleId="212">
    <w:name w:val="正文文本1"/>
    <w:basedOn w:val="1"/>
    <w:link w:val="213"/>
    <w:qFormat/>
    <w:uiPriority w:val="99"/>
    <w:pPr>
      <w:jc w:val="center"/>
    </w:pPr>
    <w:rPr>
      <w:rFonts w:eastAsia="仿宋_GB2312"/>
      <w:sz w:val="28"/>
    </w:rPr>
  </w:style>
  <w:style w:type="character" w:customStyle="1" w:styleId="213">
    <w:name w:val="正文文本 Char"/>
    <w:link w:val="212"/>
    <w:qFormat/>
    <w:uiPriority w:val="99"/>
    <w:rPr>
      <w:rFonts w:eastAsia="仿宋_GB2312"/>
      <w:sz w:val="28"/>
      <w:szCs w:val="24"/>
    </w:rPr>
  </w:style>
  <w:style w:type="paragraph" w:customStyle="1" w:styleId="214">
    <w:name w:val="正文文本缩进1"/>
    <w:basedOn w:val="1"/>
    <w:link w:val="215"/>
    <w:qFormat/>
    <w:uiPriority w:val="0"/>
    <w:pPr>
      <w:spacing w:after="120"/>
      <w:ind w:left="420"/>
    </w:pPr>
  </w:style>
  <w:style w:type="character" w:customStyle="1" w:styleId="215">
    <w:name w:val="正文文本缩进 Char"/>
    <w:link w:val="214"/>
    <w:qFormat/>
    <w:uiPriority w:val="0"/>
    <w:rPr>
      <w:sz w:val="21"/>
      <w:szCs w:val="24"/>
    </w:rPr>
  </w:style>
  <w:style w:type="paragraph" w:customStyle="1" w:styleId="216">
    <w:name w:val="索引 41"/>
    <w:basedOn w:val="1"/>
    <w:next w:val="1"/>
    <w:qFormat/>
    <w:uiPriority w:val="0"/>
    <w:pPr>
      <w:ind w:left="1260"/>
    </w:pPr>
  </w:style>
  <w:style w:type="paragraph" w:customStyle="1" w:styleId="217">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18">
    <w:name w:val="目录 31"/>
    <w:next w:val="1"/>
    <w:qFormat/>
    <w:uiPriority w:val="39"/>
    <w:pPr>
      <w:ind w:left="425"/>
      <w:jc w:val="both"/>
    </w:pPr>
    <w:rPr>
      <w:rFonts w:hint="default" w:ascii="宋体" w:hAnsi="宋体" w:eastAsia="宋体" w:cs="宋体"/>
      <w:sz w:val="21"/>
      <w:lang w:val="en-US" w:eastAsia="zh-CN" w:bidi="ar-SA"/>
    </w:rPr>
  </w:style>
  <w:style w:type="paragraph" w:customStyle="1" w:styleId="219">
    <w:name w:val="纯文本1"/>
    <w:basedOn w:val="1"/>
    <w:link w:val="220"/>
    <w:qFormat/>
    <w:uiPriority w:val="0"/>
    <w:rPr>
      <w:rFonts w:ascii="宋体" w:hAnsi="Courier New"/>
      <w:szCs w:val="20"/>
    </w:rPr>
  </w:style>
  <w:style w:type="character" w:customStyle="1" w:styleId="220">
    <w:name w:val="纯文本 Char2"/>
    <w:link w:val="219"/>
    <w:qFormat/>
    <w:uiPriority w:val="0"/>
    <w:rPr>
      <w:rFonts w:ascii="宋体" w:hAnsi="Courier New" w:eastAsia="宋体"/>
      <w:sz w:val="21"/>
      <w:lang w:val="en-US" w:eastAsia="zh-CN" w:bidi="ar-SA"/>
    </w:rPr>
  </w:style>
  <w:style w:type="paragraph" w:customStyle="1" w:styleId="221">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22">
    <w:name w:val="日期1"/>
    <w:basedOn w:val="1"/>
    <w:next w:val="1"/>
    <w:qFormat/>
    <w:uiPriority w:val="0"/>
    <w:pPr>
      <w:ind w:left="100"/>
    </w:pPr>
    <w:rPr>
      <w:rFonts w:ascii="黑体" w:eastAsia="黑体"/>
      <w:sz w:val="72"/>
    </w:rPr>
  </w:style>
  <w:style w:type="paragraph" w:customStyle="1" w:styleId="223">
    <w:name w:val="正文文本缩进 21"/>
    <w:basedOn w:val="1"/>
    <w:qFormat/>
    <w:uiPriority w:val="0"/>
    <w:pPr>
      <w:tabs>
        <w:tab w:val="left" w:pos="9741"/>
      </w:tabs>
      <w:ind w:right="-2" w:firstLine="540"/>
    </w:pPr>
    <w:rPr>
      <w:rFonts w:eastAsia="仿宋_GB2312"/>
      <w:sz w:val="28"/>
    </w:rPr>
  </w:style>
  <w:style w:type="paragraph" w:customStyle="1" w:styleId="224">
    <w:name w:val="批注框文本1"/>
    <w:basedOn w:val="1"/>
    <w:semiHidden/>
    <w:qFormat/>
    <w:uiPriority w:val="0"/>
    <w:rPr>
      <w:sz w:val="18"/>
      <w:szCs w:val="18"/>
    </w:rPr>
  </w:style>
  <w:style w:type="paragraph" w:customStyle="1" w:styleId="225">
    <w:name w:val="页脚1"/>
    <w:basedOn w:val="1"/>
    <w:link w:val="226"/>
    <w:qFormat/>
    <w:uiPriority w:val="0"/>
    <w:pPr>
      <w:tabs>
        <w:tab w:val="center" w:pos="4153"/>
        <w:tab w:val="right" w:pos="8306"/>
      </w:tabs>
      <w:jc w:val="left"/>
    </w:pPr>
    <w:rPr>
      <w:sz w:val="18"/>
      <w:szCs w:val="18"/>
    </w:rPr>
  </w:style>
  <w:style w:type="character" w:customStyle="1" w:styleId="226">
    <w:name w:val="页脚 Char"/>
    <w:link w:val="225"/>
    <w:qFormat/>
    <w:uiPriority w:val="0"/>
    <w:rPr>
      <w:rFonts w:eastAsia="宋体"/>
      <w:sz w:val="18"/>
      <w:szCs w:val="18"/>
      <w:lang w:val="en-US" w:eastAsia="zh-CN" w:bidi="ar-SA"/>
    </w:rPr>
  </w:style>
  <w:style w:type="paragraph" w:customStyle="1" w:styleId="227">
    <w:name w:val="页眉1"/>
    <w:basedOn w:val="1"/>
    <w:link w:val="228"/>
    <w:qFormat/>
    <w:uiPriority w:val="99"/>
    <w:pPr>
      <w:pBdr>
        <w:bottom w:val="single" w:color="000000" w:sz="6" w:space="1"/>
      </w:pBdr>
      <w:tabs>
        <w:tab w:val="center" w:pos="4153"/>
        <w:tab w:val="right" w:pos="8306"/>
      </w:tabs>
      <w:jc w:val="center"/>
    </w:pPr>
    <w:rPr>
      <w:sz w:val="18"/>
      <w:szCs w:val="18"/>
    </w:rPr>
  </w:style>
  <w:style w:type="character" w:customStyle="1" w:styleId="228">
    <w:name w:val="页眉 Char"/>
    <w:link w:val="227"/>
    <w:qFormat/>
    <w:uiPriority w:val="99"/>
    <w:rPr>
      <w:rFonts w:eastAsia="宋体"/>
      <w:sz w:val="18"/>
      <w:szCs w:val="18"/>
      <w:lang w:val="en-US" w:eastAsia="zh-CN" w:bidi="ar-SA"/>
    </w:rPr>
  </w:style>
  <w:style w:type="paragraph" w:customStyle="1" w:styleId="229">
    <w:name w:val="目录 11"/>
    <w:basedOn w:val="1"/>
    <w:next w:val="1"/>
    <w:qFormat/>
    <w:uiPriority w:val="39"/>
  </w:style>
  <w:style w:type="paragraph" w:customStyle="1" w:styleId="230">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31">
    <w:name w:val="副标题1"/>
    <w:next w:val="1"/>
    <w:link w:val="232"/>
    <w:qFormat/>
    <w:uiPriority w:val="0"/>
    <w:pPr>
      <w:spacing w:after="60"/>
      <w:jc w:val="center"/>
    </w:pPr>
    <w:rPr>
      <w:rFonts w:hint="default" w:ascii="宋体" w:hAnsi="宋体" w:eastAsia="宋体" w:cs="宋体"/>
      <w:sz w:val="24"/>
      <w:lang w:val="en-US" w:eastAsia="zh-CN" w:bidi="ar-SA"/>
    </w:rPr>
  </w:style>
  <w:style w:type="character" w:customStyle="1" w:styleId="232">
    <w:name w:val="副标题 Char"/>
    <w:link w:val="231"/>
    <w:qFormat/>
    <w:uiPriority w:val="0"/>
    <w:rPr>
      <w:rFonts w:ascii="宋体" w:hAnsi="宋体" w:cs="宋体"/>
      <w:sz w:val="24"/>
      <w:lang w:val="en-US" w:eastAsia="zh-CN" w:bidi="ar-SA"/>
    </w:rPr>
  </w:style>
  <w:style w:type="paragraph" w:customStyle="1" w:styleId="233">
    <w:name w:val="目录 61"/>
    <w:next w:val="1"/>
    <w:qFormat/>
    <w:uiPriority w:val="0"/>
    <w:pPr>
      <w:ind w:left="1700"/>
      <w:jc w:val="both"/>
    </w:pPr>
    <w:rPr>
      <w:rFonts w:hint="default" w:ascii="宋体" w:hAnsi="宋体" w:eastAsia="宋体" w:cs="宋体"/>
      <w:sz w:val="21"/>
      <w:lang w:val="en-US" w:eastAsia="zh-CN" w:bidi="ar-SA"/>
    </w:rPr>
  </w:style>
  <w:style w:type="paragraph" w:customStyle="1" w:styleId="234">
    <w:name w:val="正文文本缩进 31"/>
    <w:basedOn w:val="1"/>
    <w:qFormat/>
    <w:uiPriority w:val="0"/>
    <w:pPr>
      <w:ind w:firstLine="435"/>
    </w:pPr>
    <w:rPr>
      <w:rFonts w:ascii="仿宋_GB2312" w:hAnsi="宋体" w:eastAsia="仿宋_GB2312"/>
      <w:sz w:val="28"/>
    </w:rPr>
  </w:style>
  <w:style w:type="paragraph" w:customStyle="1" w:styleId="235">
    <w:name w:val="目录 21"/>
    <w:basedOn w:val="1"/>
    <w:next w:val="1"/>
    <w:qFormat/>
    <w:uiPriority w:val="39"/>
    <w:pPr>
      <w:ind w:left="420"/>
    </w:pPr>
  </w:style>
  <w:style w:type="paragraph" w:customStyle="1" w:styleId="236">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37">
    <w:name w:val="正文文本 21"/>
    <w:basedOn w:val="1"/>
    <w:qFormat/>
    <w:uiPriority w:val="0"/>
    <w:rPr>
      <w:rFonts w:ascii="仿宋_GB2312" w:eastAsia="仿宋_GB2312"/>
      <w:sz w:val="28"/>
    </w:rPr>
  </w:style>
  <w:style w:type="paragraph" w:customStyle="1" w:styleId="238">
    <w:name w:val="普通(网站)1"/>
    <w:basedOn w:val="1"/>
    <w:qFormat/>
    <w:uiPriority w:val="0"/>
    <w:pPr>
      <w:widowControl/>
      <w:spacing w:before="100" w:beforeAutospacing="1" w:after="100" w:afterAutospacing="1"/>
      <w:jc w:val="left"/>
    </w:pPr>
    <w:rPr>
      <w:rFonts w:ascii="宋体" w:hAnsi="Calibri" w:cs="宋体"/>
      <w:sz w:val="24"/>
    </w:rPr>
  </w:style>
  <w:style w:type="paragraph" w:customStyle="1" w:styleId="239">
    <w:name w:val="标题1"/>
    <w:basedOn w:val="1"/>
    <w:next w:val="1"/>
    <w:link w:val="240"/>
    <w:qFormat/>
    <w:uiPriority w:val="10"/>
    <w:pPr>
      <w:spacing w:before="240" w:after="60" w:line="360" w:lineRule="auto"/>
      <w:jc w:val="center"/>
      <w:outlineLvl w:val="0"/>
    </w:pPr>
    <w:rPr>
      <w:rFonts w:ascii="Cambria" w:hAnsi="Cambria"/>
      <w:b/>
      <w:bCs/>
      <w:sz w:val="32"/>
      <w:szCs w:val="32"/>
    </w:rPr>
  </w:style>
  <w:style w:type="character" w:customStyle="1" w:styleId="240">
    <w:name w:val="标题 Char"/>
    <w:link w:val="239"/>
    <w:qFormat/>
    <w:uiPriority w:val="10"/>
    <w:rPr>
      <w:rFonts w:ascii="Cambria" w:hAnsi="Cambria"/>
      <w:b/>
      <w:bCs/>
      <w:sz w:val="32"/>
      <w:szCs w:val="32"/>
      <w:lang w:bidi="ar-SA"/>
    </w:rPr>
  </w:style>
  <w:style w:type="paragraph" w:customStyle="1" w:styleId="241">
    <w:name w:val="批注主题1"/>
    <w:basedOn w:val="210"/>
    <w:next w:val="210"/>
    <w:semiHidden/>
    <w:qFormat/>
    <w:uiPriority w:val="0"/>
    <w:rPr>
      <w:b/>
      <w:bCs/>
    </w:rPr>
  </w:style>
  <w:style w:type="paragraph" w:customStyle="1" w:styleId="242">
    <w:name w:val="正文首行缩进1"/>
    <w:basedOn w:val="212"/>
    <w:link w:val="243"/>
    <w:qFormat/>
    <w:uiPriority w:val="0"/>
    <w:pPr>
      <w:spacing w:after="120"/>
      <w:ind w:firstLine="420"/>
      <w:jc w:val="both"/>
    </w:pPr>
    <w:rPr>
      <w:sz w:val="21"/>
    </w:rPr>
  </w:style>
  <w:style w:type="character" w:customStyle="1" w:styleId="243">
    <w:name w:val="正文首行缩进 Char"/>
    <w:link w:val="242"/>
    <w:qFormat/>
    <w:uiPriority w:val="0"/>
    <w:rPr>
      <w:rFonts w:eastAsia="仿宋_GB2312"/>
      <w:sz w:val="21"/>
      <w:szCs w:val="24"/>
    </w:rPr>
  </w:style>
  <w:style w:type="paragraph" w:customStyle="1" w:styleId="244">
    <w:name w:val="正文首行缩进 21"/>
    <w:basedOn w:val="214"/>
    <w:link w:val="245"/>
    <w:unhideWhenUsed/>
    <w:qFormat/>
    <w:uiPriority w:val="99"/>
    <w:pPr>
      <w:ind w:firstLine="420"/>
    </w:pPr>
  </w:style>
  <w:style w:type="character" w:customStyle="1" w:styleId="245">
    <w:name w:val="正文首行缩进 2 Char"/>
    <w:basedOn w:val="215"/>
    <w:link w:val="244"/>
    <w:qFormat/>
    <w:uiPriority w:val="99"/>
  </w:style>
  <w:style w:type="table" w:customStyle="1" w:styleId="246">
    <w:name w:val="网格型11"/>
    <w:basedOn w:val="201"/>
    <w:unhideWhenUsed/>
    <w:qFormat/>
    <w:uiPriority w:val="0"/>
  </w:style>
  <w:style w:type="character" w:customStyle="1" w:styleId="247">
    <w:name w:val="要点1"/>
    <w:link w:val="1"/>
    <w:qFormat/>
    <w:uiPriority w:val="0"/>
    <w:rPr>
      <w:b/>
      <w:sz w:val="21"/>
    </w:rPr>
  </w:style>
  <w:style w:type="character" w:customStyle="1" w:styleId="248">
    <w:name w:val="页码1"/>
    <w:basedOn w:val="200"/>
    <w:link w:val="1"/>
    <w:qFormat/>
    <w:uiPriority w:val="0"/>
  </w:style>
  <w:style w:type="character" w:customStyle="1" w:styleId="249">
    <w:name w:val="已访问的超链接1"/>
    <w:basedOn w:val="200"/>
    <w:link w:val="1"/>
    <w:qFormat/>
    <w:uiPriority w:val="0"/>
    <w:rPr>
      <w:color w:val="800080"/>
      <w:u w:val="none"/>
    </w:rPr>
  </w:style>
  <w:style w:type="character" w:customStyle="1" w:styleId="250">
    <w:name w:val="强调1"/>
    <w:link w:val="1"/>
    <w:qFormat/>
    <w:uiPriority w:val="0"/>
    <w:rPr>
      <w:i/>
      <w:sz w:val="21"/>
    </w:rPr>
  </w:style>
  <w:style w:type="character" w:customStyle="1" w:styleId="251">
    <w:name w:val="HTML 定义1"/>
    <w:basedOn w:val="200"/>
    <w:link w:val="1"/>
    <w:qFormat/>
    <w:uiPriority w:val="0"/>
  </w:style>
  <w:style w:type="character" w:customStyle="1" w:styleId="252">
    <w:name w:val="HTML 打字机1"/>
    <w:basedOn w:val="200"/>
    <w:link w:val="1"/>
    <w:qFormat/>
    <w:uiPriority w:val="0"/>
    <w:rPr>
      <w:rFonts w:ascii="monospace" w:hAnsi="monospace" w:eastAsia="monospace" w:cs="monospace"/>
      <w:sz w:val="20"/>
    </w:rPr>
  </w:style>
  <w:style w:type="character" w:customStyle="1" w:styleId="253">
    <w:name w:val="HTML 缩写1"/>
    <w:basedOn w:val="200"/>
    <w:link w:val="1"/>
    <w:qFormat/>
    <w:uiPriority w:val="0"/>
  </w:style>
  <w:style w:type="character" w:customStyle="1" w:styleId="254">
    <w:name w:val="HTML 变量1"/>
    <w:basedOn w:val="200"/>
    <w:link w:val="1"/>
    <w:qFormat/>
    <w:uiPriority w:val="0"/>
  </w:style>
  <w:style w:type="character" w:customStyle="1" w:styleId="255">
    <w:name w:val="超链接1"/>
    <w:basedOn w:val="200"/>
    <w:link w:val="1"/>
    <w:qFormat/>
    <w:uiPriority w:val="99"/>
    <w:rPr>
      <w:color w:val="0000FF"/>
      <w:u w:val="none"/>
    </w:rPr>
  </w:style>
  <w:style w:type="character" w:customStyle="1" w:styleId="256">
    <w:name w:val="HTML 代码1"/>
    <w:basedOn w:val="200"/>
    <w:link w:val="1"/>
    <w:qFormat/>
    <w:uiPriority w:val="0"/>
    <w:rPr>
      <w:rFonts w:ascii="monospace" w:hAnsi="monospace" w:eastAsia="monospace" w:cs="monospace"/>
      <w:sz w:val="20"/>
    </w:rPr>
  </w:style>
  <w:style w:type="character" w:customStyle="1" w:styleId="257">
    <w:name w:val="批注引用1"/>
    <w:link w:val="1"/>
    <w:semiHidden/>
    <w:qFormat/>
    <w:uiPriority w:val="0"/>
    <w:rPr>
      <w:sz w:val="21"/>
      <w:szCs w:val="21"/>
    </w:rPr>
  </w:style>
  <w:style w:type="character" w:customStyle="1" w:styleId="258">
    <w:name w:val="HTML 引文1"/>
    <w:basedOn w:val="200"/>
    <w:link w:val="1"/>
    <w:qFormat/>
    <w:uiPriority w:val="0"/>
  </w:style>
  <w:style w:type="character" w:customStyle="1" w:styleId="259">
    <w:name w:val="HTML 键盘1"/>
    <w:basedOn w:val="200"/>
    <w:link w:val="1"/>
    <w:qFormat/>
    <w:uiPriority w:val="0"/>
    <w:rPr>
      <w:rFonts w:ascii="monospace" w:hAnsi="monospace" w:eastAsia="monospace" w:cs="monospace"/>
      <w:sz w:val="20"/>
    </w:rPr>
  </w:style>
  <w:style w:type="character" w:customStyle="1" w:styleId="260">
    <w:name w:val="HTML 样本1"/>
    <w:basedOn w:val="200"/>
    <w:link w:val="1"/>
    <w:qFormat/>
    <w:uiPriority w:val="0"/>
    <w:rPr>
      <w:rFonts w:ascii="monospace" w:hAnsi="monospace" w:eastAsia="monospace" w:cs="monospace"/>
    </w:rPr>
  </w:style>
  <w:style w:type="paragraph" w:customStyle="1" w:styleId="261">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65">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69">
    <w:name w:val="一级缩进"/>
    <w:qFormat/>
    <w:uiPriority w:val="0"/>
    <w:pPr>
      <w:numPr>
        <w:ilvl w:val="0"/>
        <w:numId w:val="3"/>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7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4">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75">
    <w:name w:val="标题6"/>
    <w:basedOn w:val="196"/>
    <w:next w:val="1"/>
    <w:qFormat/>
    <w:uiPriority w:val="0"/>
    <w:pPr>
      <w:numPr>
        <w:ilvl w:val="0"/>
        <w:numId w:val="0"/>
      </w:numPr>
      <w:spacing w:before="0" w:after="0"/>
    </w:pPr>
    <w:rPr>
      <w:rFonts w:ascii="楷体" w:hAnsi="楷体" w:eastAsia="楷体"/>
    </w:rPr>
  </w:style>
  <w:style w:type="paragraph" w:customStyle="1" w:styleId="276">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7">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8">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9">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82">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4">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8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8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8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8">
    <w:name w:val="默认段落字体 Para Char Char Char Char Char Char Char Char Char1 Char Char Char Char Char Char Char"/>
    <w:basedOn w:val="209"/>
    <w:qFormat/>
    <w:uiPriority w:val="0"/>
    <w:rPr>
      <w:rFonts w:ascii="Tahoma" w:hAnsi="Tahoma"/>
      <w:sz w:val="24"/>
    </w:rPr>
  </w:style>
  <w:style w:type="paragraph" w:customStyle="1" w:styleId="289">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90">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93">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94">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9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样式 小四 行距: 1.5 倍行距"/>
    <w:basedOn w:val="1"/>
    <w:qFormat/>
    <w:uiPriority w:val="0"/>
    <w:pPr>
      <w:spacing w:line="360" w:lineRule="auto"/>
      <w:ind w:firstLine="480"/>
    </w:pPr>
    <w:rPr>
      <w:szCs w:val="20"/>
    </w:rPr>
  </w:style>
  <w:style w:type="paragraph" w:customStyle="1" w:styleId="297">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98">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99">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00">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1">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2">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03">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04">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0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06">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07">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8">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9">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1">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3">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1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15">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317">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9">
    <w:name w:val="_"/>
    <w:basedOn w:val="1"/>
    <w:qFormat/>
    <w:uiPriority w:val="0"/>
    <w:pPr>
      <w:spacing w:line="360" w:lineRule="auto"/>
      <w:ind w:left="480"/>
    </w:pPr>
    <w:rPr>
      <w:sz w:val="24"/>
      <w:szCs w:val="20"/>
    </w:rPr>
  </w:style>
  <w:style w:type="paragraph" w:customStyle="1" w:styleId="32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2">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23">
    <w:name w:val=" Char"/>
    <w:basedOn w:val="209"/>
    <w:qFormat/>
    <w:uiPriority w:val="0"/>
    <w:pPr>
      <w:spacing w:line="360" w:lineRule="auto"/>
    </w:pPr>
    <w:rPr>
      <w:rFonts w:ascii="Tahoma" w:hAnsi="Tahoma"/>
      <w:sz w:val="24"/>
    </w:rPr>
  </w:style>
  <w:style w:type="paragraph" w:customStyle="1" w:styleId="32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6">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27">
    <w:name w:val="标题5"/>
    <w:basedOn w:val="43"/>
    <w:next w:val="1"/>
    <w:qFormat/>
    <w:uiPriority w:val="0"/>
    <w:pPr>
      <w:spacing w:before="0" w:after="0"/>
    </w:pPr>
    <w:rPr>
      <w:rFonts w:ascii="楷体" w:hAnsi="楷体" w:eastAsia="楷体"/>
    </w:rPr>
  </w:style>
  <w:style w:type="paragraph" w:customStyle="1" w:styleId="328">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2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0">
    <w:name w:val="Default"/>
    <w:qFormat/>
    <w:uiPriority w:val="99"/>
    <w:pPr>
      <w:widowControl w:val="0"/>
    </w:pPr>
    <w:rPr>
      <w:rFonts w:hint="default" w:ascii="仿宋" w:hAnsi="Times New Roman" w:eastAsia="仿宋" w:cs="仿宋"/>
      <w:color w:val="000000"/>
      <w:sz w:val="24"/>
      <w:szCs w:val="24"/>
      <w:lang w:val="en-US" w:eastAsia="zh-CN" w:bidi="ar-SA"/>
    </w:rPr>
  </w:style>
  <w:style w:type="paragraph" w:customStyle="1" w:styleId="331">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2">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3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3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38">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9">
    <w:name w:val="Char Char Char Char"/>
    <w:basedOn w:val="209"/>
    <w:qFormat/>
    <w:uiPriority w:val="0"/>
    <w:pPr>
      <w:spacing w:line="360" w:lineRule="auto"/>
    </w:pPr>
    <w:rPr>
      <w:rFonts w:ascii="Tahoma" w:hAnsi="Tahoma"/>
      <w:sz w:val="24"/>
    </w:rPr>
  </w:style>
  <w:style w:type="paragraph" w:customStyle="1" w:styleId="34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41">
    <w:name w:val="列出段落"/>
    <w:basedOn w:val="1"/>
    <w:link w:val="342"/>
    <w:qFormat/>
    <w:uiPriority w:val="34"/>
    <w:pPr>
      <w:ind w:firstLine="420"/>
    </w:pPr>
  </w:style>
  <w:style w:type="character" w:customStyle="1" w:styleId="342">
    <w:name w:val="列出段落 Char"/>
    <w:link w:val="341"/>
    <w:qFormat/>
    <w:uiPriority w:val="0"/>
    <w:rPr>
      <w:rFonts w:eastAsia="宋体"/>
      <w:sz w:val="21"/>
      <w:szCs w:val="24"/>
      <w:lang w:val="en-US" w:eastAsia="zh-CN" w:bidi="ar-SA"/>
    </w:rPr>
  </w:style>
  <w:style w:type="paragraph" w:customStyle="1" w:styleId="343">
    <w:name w:val="Char"/>
    <w:basedOn w:val="1"/>
    <w:qFormat/>
    <w:uiPriority w:val="0"/>
    <w:pPr>
      <w:tabs>
        <w:tab w:val="left" w:pos="360"/>
      </w:tabs>
    </w:pPr>
    <w:rPr>
      <w:sz w:val="24"/>
    </w:rPr>
  </w:style>
  <w:style w:type="paragraph" w:customStyle="1" w:styleId="34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character" w:customStyle="1" w:styleId="345">
    <w:name w:val="纯文本 Char1"/>
    <w:link w:val="1"/>
    <w:qFormat/>
    <w:uiPriority w:val="0"/>
    <w:rPr>
      <w:rFonts w:ascii="宋体" w:hAnsi="Courier New" w:eastAsia="宋体"/>
      <w:sz w:val="21"/>
      <w:lang w:val="en-US" w:eastAsia="zh-CN" w:bidi="ar-SA"/>
    </w:rPr>
  </w:style>
  <w:style w:type="paragraph" w:customStyle="1" w:styleId="346">
    <w:name w:val="普通正文"/>
    <w:basedOn w:val="1"/>
    <w:qFormat/>
    <w:uiPriority w:val="0"/>
    <w:pPr>
      <w:spacing w:before="120" w:after="120" w:line="360" w:lineRule="auto"/>
      <w:ind w:firstLine="480"/>
      <w:jc w:val="left"/>
    </w:pPr>
    <w:rPr>
      <w:rFonts w:ascii="Arial" w:hAnsi="Arial"/>
      <w:sz w:val="24"/>
    </w:rPr>
  </w:style>
  <w:style w:type="paragraph" w:customStyle="1" w:styleId="347">
    <w:name w:val="默认段落字体 Para Char"/>
    <w:basedOn w:val="1"/>
    <w:qFormat/>
    <w:uiPriority w:val="0"/>
  </w:style>
  <w:style w:type="character" w:customStyle="1" w:styleId="348">
    <w:name w:val="font51"/>
    <w:link w:val="1"/>
    <w:qFormat/>
    <w:uiPriority w:val="0"/>
    <w:rPr>
      <w:rFonts w:ascii="宋体" w:hAnsi="宋体" w:eastAsia="宋体" w:cs="宋体"/>
      <w:color w:val="000000"/>
      <w:sz w:val="22"/>
      <w:szCs w:val="22"/>
      <w:u w:val="none"/>
    </w:rPr>
  </w:style>
  <w:style w:type="character" w:customStyle="1" w:styleId="349">
    <w:name w:val="font41"/>
    <w:link w:val="1"/>
    <w:qFormat/>
    <w:uiPriority w:val="0"/>
    <w:rPr>
      <w:rFonts w:ascii="宋体" w:hAnsi="宋体" w:eastAsia="宋体" w:cs="宋体"/>
      <w:color w:val="000000"/>
      <w:sz w:val="21"/>
      <w:szCs w:val="21"/>
      <w:u w:val="none"/>
    </w:rPr>
  </w:style>
  <w:style w:type="character" w:customStyle="1" w:styleId="350">
    <w:name w:val="font91"/>
    <w:link w:val="1"/>
    <w:qFormat/>
    <w:uiPriority w:val="0"/>
    <w:rPr>
      <w:rFonts w:ascii="Times New Roman" w:hAnsi="Times New Roman" w:cs="Times New Roman"/>
      <w:color w:val="000000"/>
      <w:sz w:val="18"/>
      <w:szCs w:val="18"/>
      <w:u w:val="none"/>
    </w:rPr>
  </w:style>
  <w:style w:type="character" w:customStyle="1" w:styleId="351">
    <w:name w:val="font81"/>
    <w:link w:val="1"/>
    <w:qFormat/>
    <w:uiPriority w:val="0"/>
    <w:rPr>
      <w:rFonts w:hint="eastAsia" w:ascii="宋体" w:hAnsi="宋体" w:eastAsia="宋体" w:cs="宋体"/>
      <w:color w:val="000000"/>
      <w:sz w:val="20"/>
      <w:szCs w:val="20"/>
      <w:u w:val="none"/>
    </w:rPr>
  </w:style>
  <w:style w:type="character" w:customStyle="1" w:styleId="352">
    <w:name w:val="List Paragraph Char"/>
    <w:link w:val="353"/>
    <w:qFormat/>
    <w:uiPriority w:val="0"/>
    <w:rPr>
      <w:rFonts w:ascii="Calibri" w:hAnsi="Calibri"/>
      <w:lang w:bidi="ar-SA"/>
    </w:rPr>
  </w:style>
  <w:style w:type="paragraph" w:styleId="353">
    <w:name w:val="List Paragraph"/>
    <w:basedOn w:val="1"/>
    <w:link w:val="352"/>
    <w:qFormat/>
    <w:uiPriority w:val="0"/>
    <w:pPr>
      <w:ind w:firstLine="420"/>
    </w:pPr>
    <w:rPr>
      <w:rFonts w:ascii="Calibri" w:hAnsi="Calibri"/>
      <w:sz w:val="20"/>
      <w:szCs w:val="20"/>
    </w:rPr>
  </w:style>
  <w:style w:type="paragraph" w:customStyle="1" w:styleId="354">
    <w:name w:val="_Style 2"/>
    <w:basedOn w:val="1"/>
    <w:qFormat/>
    <w:uiPriority w:val="0"/>
    <w:pPr>
      <w:widowControl/>
      <w:ind w:firstLine="420"/>
      <w:jc w:val="left"/>
    </w:pPr>
    <w:rPr>
      <w:rFonts w:ascii="宋体" w:hAnsi="宋体"/>
      <w:sz w:val="24"/>
    </w:rPr>
  </w:style>
  <w:style w:type="paragraph" w:customStyle="1" w:styleId="355">
    <w:name w:val="列出段落1"/>
    <w:basedOn w:val="1"/>
    <w:qFormat/>
    <w:uiPriority w:val="99"/>
    <w:pPr>
      <w:ind w:firstLine="420"/>
    </w:pPr>
    <w:rPr>
      <w:szCs w:val="20"/>
    </w:rPr>
  </w:style>
  <w:style w:type="paragraph" w:customStyle="1" w:styleId="356">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57">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8">
    <w:name w:val="_Style 1"/>
    <w:basedOn w:val="1"/>
    <w:qFormat/>
    <w:uiPriority w:val="0"/>
    <w:pPr>
      <w:ind w:firstLine="420"/>
    </w:pPr>
  </w:style>
  <w:style w:type="paragraph" w:customStyle="1" w:styleId="359">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60">
    <w:name w:val="List Paragraph1"/>
    <w:basedOn w:val="1"/>
    <w:qFormat/>
    <w:uiPriority w:val="0"/>
    <w:pPr>
      <w:ind w:firstLine="200"/>
    </w:pPr>
    <w:rPr>
      <w:rFonts w:ascii="Calibri" w:hAnsi="Calibri"/>
    </w:rPr>
  </w:style>
  <w:style w:type="character" w:customStyle="1" w:styleId="361">
    <w:name w:val="不明显强调"/>
    <w:link w:val="1"/>
    <w:qFormat/>
    <w:uiPriority w:val="0"/>
    <w:rPr>
      <w:i/>
      <w:color w:val="000000"/>
      <w:sz w:val="21"/>
    </w:rPr>
  </w:style>
  <w:style w:type="character" w:customStyle="1" w:styleId="362">
    <w:name w:val="明显强调"/>
    <w:link w:val="1"/>
    <w:qFormat/>
    <w:uiPriority w:val="0"/>
    <w:rPr>
      <w:i/>
      <w:color w:val="000000"/>
      <w:sz w:val="21"/>
    </w:rPr>
  </w:style>
  <w:style w:type="paragraph" w:customStyle="1" w:styleId="363">
    <w:name w:val="引用"/>
    <w:next w:val="1"/>
    <w:link w:val="364"/>
    <w:qFormat/>
    <w:uiPriority w:val="0"/>
    <w:pPr>
      <w:spacing w:before="200" w:after="160"/>
      <w:ind w:left="864" w:right="864"/>
      <w:jc w:val="center"/>
    </w:pPr>
    <w:rPr>
      <w:rFonts w:hint="default" w:ascii="宋体" w:hAnsi="宋体" w:eastAsia="宋体" w:cs="宋体"/>
      <w:i/>
      <w:color w:val="000000"/>
      <w:sz w:val="21"/>
      <w:lang w:val="en-US" w:eastAsia="zh-CN" w:bidi="ar-SA"/>
    </w:rPr>
  </w:style>
  <w:style w:type="character" w:customStyle="1" w:styleId="364">
    <w:name w:val="引用 Char"/>
    <w:link w:val="363"/>
    <w:qFormat/>
    <w:uiPriority w:val="0"/>
    <w:rPr>
      <w:rFonts w:ascii="宋体" w:hAnsi="宋体" w:cs="宋体"/>
      <w:i/>
      <w:color w:val="000000"/>
      <w:sz w:val="21"/>
      <w:lang w:val="en-US" w:eastAsia="zh-CN" w:bidi="ar-SA"/>
    </w:rPr>
  </w:style>
  <w:style w:type="paragraph" w:customStyle="1" w:styleId="365">
    <w:name w:val="明显引用"/>
    <w:next w:val="1"/>
    <w:link w:val="366"/>
    <w:qFormat/>
    <w:uiPriority w:val="0"/>
    <w:pPr>
      <w:spacing w:before="360" w:after="360"/>
      <w:ind w:left="950" w:right="950"/>
      <w:jc w:val="center"/>
    </w:pPr>
    <w:rPr>
      <w:rFonts w:hint="default" w:ascii="宋体" w:hAnsi="宋体" w:eastAsia="宋体" w:cs="宋体"/>
      <w:i/>
      <w:color w:val="000000"/>
      <w:sz w:val="21"/>
      <w:lang w:val="en-US" w:eastAsia="zh-CN" w:bidi="ar-SA"/>
    </w:rPr>
  </w:style>
  <w:style w:type="character" w:customStyle="1" w:styleId="366">
    <w:name w:val="明显引用 Char"/>
    <w:link w:val="365"/>
    <w:qFormat/>
    <w:uiPriority w:val="0"/>
    <w:rPr>
      <w:rFonts w:ascii="宋体" w:hAnsi="宋体" w:cs="宋体"/>
      <w:i/>
      <w:color w:val="000000"/>
      <w:sz w:val="21"/>
      <w:lang w:val="en-US" w:eastAsia="zh-CN" w:bidi="ar-SA"/>
    </w:rPr>
  </w:style>
  <w:style w:type="character" w:customStyle="1" w:styleId="367">
    <w:name w:val="不明显参考"/>
    <w:link w:val="1"/>
    <w:qFormat/>
    <w:uiPriority w:val="0"/>
    <w:rPr>
      <w:color w:val="000000"/>
      <w:sz w:val="21"/>
    </w:rPr>
  </w:style>
  <w:style w:type="character" w:customStyle="1" w:styleId="368">
    <w:name w:val="明显参考"/>
    <w:link w:val="1"/>
    <w:qFormat/>
    <w:uiPriority w:val="0"/>
    <w:rPr>
      <w:b/>
      <w:color w:val="000000"/>
      <w:sz w:val="21"/>
    </w:rPr>
  </w:style>
  <w:style w:type="character" w:customStyle="1" w:styleId="369">
    <w:name w:val="书籍标题"/>
    <w:link w:val="1"/>
    <w:qFormat/>
    <w:uiPriority w:val="0"/>
    <w:rPr>
      <w:b/>
      <w:i/>
      <w:sz w:val="21"/>
    </w:rPr>
  </w:style>
  <w:style w:type="paragraph" w:customStyle="1" w:styleId="370">
    <w:name w:val="TOC 标题"/>
    <w:next w:val="1"/>
    <w:qFormat/>
    <w:uiPriority w:val="39"/>
    <w:rPr>
      <w:rFonts w:hint="default" w:ascii="宋体" w:hAnsi="宋体" w:eastAsia="宋体" w:cs="宋体"/>
      <w:color w:val="000000"/>
      <w:sz w:val="32"/>
      <w:lang w:val="en-US" w:eastAsia="zh-CN" w:bidi="ar-SA"/>
    </w:rPr>
  </w:style>
  <w:style w:type="paragraph" w:customStyle="1" w:styleId="371">
    <w:name w:val="中等深浅网格 1 - 着色 21"/>
    <w:basedOn w:val="1"/>
    <w:qFormat/>
    <w:uiPriority w:val="34"/>
    <w:pPr>
      <w:ind w:firstLine="420"/>
    </w:pPr>
    <w:rPr>
      <w:rFonts w:ascii="Calibri" w:hAnsi="Calibri"/>
      <w:szCs w:val="22"/>
    </w:rPr>
  </w:style>
  <w:style w:type="character" w:customStyle="1" w:styleId="372">
    <w:name w:val="正文 + 宋体 Char"/>
    <w:link w:val="373"/>
    <w:qFormat/>
    <w:uiPriority w:val="0"/>
    <w:rPr>
      <w:rFonts w:eastAsia="微软雅黑" w:cs="Calibri"/>
    </w:rPr>
  </w:style>
  <w:style w:type="paragraph" w:customStyle="1" w:styleId="373">
    <w:name w:val="正文 + 宋体"/>
    <w:basedOn w:val="1"/>
    <w:next w:val="1"/>
    <w:link w:val="372"/>
    <w:qFormat/>
    <w:uiPriority w:val="0"/>
    <w:rPr>
      <w:rFonts w:eastAsia="微软雅黑"/>
      <w:sz w:val="20"/>
      <w:szCs w:val="20"/>
    </w:rPr>
  </w:style>
  <w:style w:type="paragraph" w:customStyle="1" w:styleId="374">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375">
    <w:name w:val="font01"/>
    <w:link w:val="1"/>
    <w:qFormat/>
    <w:uiPriority w:val="0"/>
    <w:rPr>
      <w:rFonts w:ascii="Times New Roman" w:hAnsi="Times New Roman" w:cs="Times New Roman"/>
      <w:color w:val="000000"/>
      <w:sz w:val="20"/>
      <w:szCs w:val="20"/>
      <w:u w:val="none"/>
    </w:rPr>
  </w:style>
  <w:style w:type="character" w:customStyle="1" w:styleId="376">
    <w:name w:val="font31"/>
    <w:link w:val="1"/>
    <w:qFormat/>
    <w:uiPriority w:val="0"/>
    <w:rPr>
      <w:rFonts w:hint="eastAsia" w:ascii="宋体" w:hAnsi="宋体" w:eastAsia="宋体" w:cs="宋体"/>
      <w:color w:val="000000"/>
      <w:sz w:val="20"/>
      <w:szCs w:val="20"/>
      <w:u w:val="none"/>
    </w:rPr>
  </w:style>
  <w:style w:type="character" w:customStyle="1" w:styleId="377">
    <w:name w:val="15"/>
    <w:link w:val="1"/>
    <w:qFormat/>
    <w:uiPriority w:val="0"/>
    <w:rPr>
      <w:rFonts w:ascii="Times New Roman" w:hAnsi="Times New Roman" w:cs="Times New Roman"/>
      <w:b/>
    </w:rPr>
  </w:style>
  <w:style w:type="paragraph" w:customStyle="1" w:styleId="378">
    <w:name w:val="列出段落2"/>
    <w:basedOn w:val="1"/>
    <w:qFormat/>
    <w:uiPriority w:val="99"/>
    <w:pPr>
      <w:ind w:firstLine="420"/>
    </w:pPr>
  </w:style>
  <w:style w:type="paragraph" w:customStyle="1" w:styleId="379">
    <w:name w:val="无间隔1"/>
    <w:qFormat/>
    <w:uiPriority w:val="1"/>
    <w:pPr>
      <w:widowControl w:val="0"/>
      <w:jc w:val="both"/>
    </w:pPr>
    <w:rPr>
      <w:rFonts w:hint="default" w:ascii="Calibri" w:hAnsi="Calibri" w:eastAsia="宋体" w:cs="Arial"/>
      <w:sz w:val="21"/>
      <w:szCs w:val="22"/>
      <w:lang w:val="en-US" w:eastAsia="zh-CN" w:bidi="ar-SA"/>
    </w:rPr>
  </w:style>
  <w:style w:type="character" w:customStyle="1" w:styleId="380">
    <w:name w:val="copied"/>
    <w:link w:val="1"/>
    <w:qFormat/>
    <w:uiPriority w:val="0"/>
  </w:style>
  <w:style w:type="paragraph" w:customStyle="1" w:styleId="381">
    <w:name w:val="Normal_0"/>
    <w:qFormat/>
    <w:uiPriority w:val="0"/>
    <w:rPr>
      <w:rFonts w:hint="default" w:ascii="Times New Roman" w:hAnsi="Times New Roman" w:eastAsia="宋体" w:cs="Times New Roman"/>
      <w:sz w:val="24"/>
      <w:szCs w:val="24"/>
      <w:lang w:val="en-US" w:eastAsia="zh-CN" w:bidi="ar-SA"/>
    </w:rPr>
  </w:style>
  <w:style w:type="paragraph" w:customStyle="1" w:styleId="382">
    <w:name w:val="Normal_1"/>
    <w:qFormat/>
    <w:uiPriority w:val="0"/>
    <w:rPr>
      <w:rFonts w:hint="default" w:ascii="Times New Roman" w:hAnsi="Times New Roman" w:eastAsia="宋体" w:cs="Times New Roman"/>
      <w:sz w:val="24"/>
      <w:szCs w:val="24"/>
      <w:lang w:val="en-US" w:eastAsia="zh-CN" w:bidi="ar-SA"/>
    </w:rPr>
  </w:style>
  <w:style w:type="paragraph" w:customStyle="1" w:styleId="383">
    <w:name w:val="列出段落3"/>
    <w:basedOn w:val="1"/>
    <w:unhideWhenUsed/>
    <w:qFormat/>
    <w:uiPriority w:val="99"/>
    <w:pPr>
      <w:ind w:firstLine="420"/>
    </w:pPr>
  </w:style>
  <w:style w:type="paragraph" w:customStyle="1" w:styleId="384">
    <w:name w:val="正文文字2"/>
    <w:basedOn w:val="212"/>
    <w:qFormat/>
    <w:uiPriority w:val="0"/>
    <w:pPr>
      <w:spacing w:after="60" w:line="360" w:lineRule="atLeast"/>
      <w:ind w:left="72" w:right="72"/>
    </w:pPr>
    <w:rPr>
      <w:rFonts w:ascii="Arial" w:hAnsi="Calibri" w:eastAsia="黑体" w:cs="Times New Roman"/>
      <w:sz w:val="20"/>
      <w:szCs w:val="20"/>
    </w:rPr>
  </w:style>
  <w:style w:type="paragraph" w:customStyle="1" w:styleId="385">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386">
    <w:name w:val="Table Paragraph"/>
    <w:basedOn w:val="1"/>
    <w:qFormat/>
    <w:uiPriority w:val="1"/>
    <w:pPr>
      <w:jc w:val="left"/>
    </w:pPr>
    <w:rPr>
      <w:rFonts w:ascii="宋体" w:hAnsi="宋体" w:cs="宋体"/>
      <w:sz w:val="22"/>
      <w:szCs w:val="22"/>
      <w:lang w:val="zh-CN" w:bidi="zh-CN"/>
    </w:rPr>
  </w:style>
  <w:style w:type="paragraph" w:customStyle="1" w:styleId="387">
    <w:name w:val="列出段落11"/>
    <w:basedOn w:val="1"/>
    <w:qFormat/>
    <w:uiPriority w:val="99"/>
    <w:pPr>
      <w:ind w:firstLine="420"/>
    </w:pPr>
    <w:rPr>
      <w:rFonts w:ascii="Calibri" w:hAnsi="Calibri"/>
      <w:sz w:val="24"/>
    </w:rPr>
  </w:style>
  <w:style w:type="paragraph" w:customStyle="1" w:styleId="388">
    <w:name w:val="正文222"/>
    <w:basedOn w:val="1"/>
    <w:qFormat/>
    <w:uiPriority w:val="0"/>
    <w:pPr>
      <w:widowControl/>
      <w:spacing w:line="360" w:lineRule="auto"/>
      <w:ind w:left="360" w:firstLine="420"/>
      <w:jc w:val="left"/>
    </w:pPr>
    <w:rPr>
      <w:rFonts w:ascii="仿宋_GB2312" w:hAnsi="仿宋_GB2312" w:cs="仿宋_GB2312"/>
      <w:sz w:val="24"/>
      <w:szCs w:val="20"/>
    </w:rPr>
  </w:style>
  <w:style w:type="paragraph" w:customStyle="1" w:styleId="389">
    <w:name w:val="正文缩进2格"/>
    <w:basedOn w:val="1"/>
    <w:qFormat/>
    <w:uiPriority w:val="0"/>
    <w:pPr>
      <w:spacing w:line="600" w:lineRule="exact"/>
      <w:ind w:firstLine="639"/>
    </w:pPr>
    <w:rPr>
      <w:rFonts w:ascii="仿宋_GB2312" w:hAnsi="宋体" w:eastAsia="仿宋_GB2312"/>
      <w:sz w:val="31"/>
      <w:szCs w:val="28"/>
    </w:rPr>
  </w:style>
  <w:style w:type="paragraph" w:customStyle="1" w:styleId="390">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391">
    <w:name w:val="NormalCharacter1"/>
    <w:link w:val="1"/>
    <w:semiHidden/>
    <w:qFormat/>
    <w:uiPriority w:val="0"/>
  </w:style>
  <w:style w:type="character" w:customStyle="1" w:styleId="392">
    <w:name w:val="正文缩进 Char"/>
    <w:link w:val="1"/>
    <w:qFormat/>
    <w:uiPriority w:val="0"/>
    <w:rPr>
      <w:sz w:val="21"/>
      <w:szCs w:val="24"/>
    </w:rPr>
  </w:style>
  <w:style w:type="table" w:customStyle="1" w:styleId="393">
    <w:name w:val="Table Normal"/>
    <w:unhideWhenUsed/>
    <w:qFormat/>
    <w:uiPriority w:val="0"/>
    <w:pPr>
      <w:widowControl w:val="0"/>
    </w:pPr>
    <w:rPr>
      <w:rFonts w:ascii="Calibri" w:hAnsi="Calibri"/>
      <w:sz w:val="22"/>
      <w:lang w:val="en-US" w:eastAsia="en-US" w:bidi="ar-SA"/>
    </w:rPr>
  </w:style>
  <w:style w:type="paragraph" w:customStyle="1" w:styleId="394">
    <w:name w:val="首行缩进"/>
    <w:basedOn w:val="1"/>
    <w:qFormat/>
    <w:uiPriority w:val="0"/>
    <w:pPr>
      <w:spacing w:line="360" w:lineRule="auto"/>
      <w:ind w:firstLine="480"/>
      <w:jc w:val="left"/>
    </w:pPr>
    <w:rPr>
      <w:sz w:val="24"/>
      <w:szCs w:val="20"/>
    </w:rPr>
  </w:style>
  <w:style w:type="paragraph" w:customStyle="1" w:styleId="395">
    <w:name w:val="_Style 50"/>
    <w:basedOn w:val="1"/>
    <w:next w:val="341"/>
    <w:qFormat/>
    <w:uiPriority w:val="34"/>
    <w:pPr>
      <w:ind w:firstLine="420"/>
    </w:pPr>
  </w:style>
  <w:style w:type="character" w:customStyle="1" w:styleId="396">
    <w:name w:val="apple-style-span"/>
    <w:link w:val="1"/>
    <w:qFormat/>
    <w:uiPriority w:val="0"/>
  </w:style>
  <w:style w:type="paragraph" w:customStyle="1" w:styleId="397">
    <w:name w:val="列表段落2"/>
    <w:basedOn w:val="1"/>
    <w:qFormat/>
    <w:uiPriority w:val="34"/>
    <w:pPr>
      <w:ind w:firstLine="420"/>
    </w:pPr>
    <w:rPr>
      <w:rFonts w:ascii="Calibri" w:hAnsi="Calibri"/>
      <w:szCs w:val="22"/>
    </w:rPr>
  </w:style>
  <w:style w:type="character" w:customStyle="1" w:styleId="398">
    <w:name w:val="纯文本 字符1"/>
    <w:link w:val="1"/>
    <w:qFormat/>
    <w:uiPriority w:val="0"/>
    <w:rPr>
      <w:rFonts w:hint="eastAsia" w:ascii="宋体" w:hAnsi="Courier New" w:eastAsia="等线" w:cs="Times New Roman"/>
      <w:szCs w:val="21"/>
    </w:rPr>
  </w:style>
  <w:style w:type="table" w:customStyle="1" w:styleId="399">
    <w:name w:val="网格型1"/>
    <w:basedOn w:val="201"/>
    <w:qFormat/>
    <w:uiPriority w:val="0"/>
    <w:pPr>
      <w:widowControl w:val="0"/>
      <w:jc w:val="both"/>
    </w:pPr>
    <w:rPr>
      <w:rFonts w:ascii="Calibri" w:hAnsi="Calibri" w:eastAsia="宋体" w:cs="Times New Roman"/>
    </w:rPr>
  </w:style>
  <w:style w:type="table" w:customStyle="1" w:styleId="400">
    <w:name w:val="网格型2"/>
    <w:basedOn w:val="201"/>
    <w:qFormat/>
    <w:uiPriority w:val="0"/>
    <w:pPr>
      <w:widowControl w:val="0"/>
      <w:jc w:val="both"/>
    </w:pPr>
    <w:rPr>
      <w:rFonts w:ascii="Calibri" w:hAnsi="Calibri" w:eastAsia="宋体" w:cs="Times New Roman"/>
    </w:rPr>
  </w:style>
  <w:style w:type="paragraph" w:customStyle="1" w:styleId="401">
    <w:name w:val="正文 A"/>
    <w:qFormat/>
    <w:uiPriority w:val="0"/>
    <w:pPr>
      <w:framePr w:wrap="around" w:vAnchor="margin" w:hAnchor="text" w:yAlign="top"/>
      <w:widowControl w:val="0"/>
      <w:jc w:val="both"/>
    </w:pPr>
    <w:rPr>
      <w:rFonts w:hint="default" w:ascii="Calibri" w:hAnsi="Calibri" w:eastAsia="Calibri" w:cs="Calibri"/>
      <w:color w:val="000000"/>
      <w:sz w:val="21"/>
      <w:szCs w:val="21"/>
      <w:lang w:val="en-US" w:eastAsia="zh-CN" w:bidi="ar-SA"/>
    </w:rPr>
  </w:style>
  <w:style w:type="character" w:customStyle="1" w:styleId="402">
    <w:name w:val="标题 2 字符"/>
    <w:link w:val="1"/>
    <w:qFormat/>
    <w:uiPriority w:val="0"/>
    <w:rPr>
      <w:rFonts w:ascii="Arial" w:hAnsi="Arial" w:eastAsia="黑体"/>
      <w:b/>
      <w:sz w:val="32"/>
    </w:rPr>
  </w:style>
  <w:style w:type="character" w:customStyle="1" w:styleId="403">
    <w:name w:val="纯文本 字符2"/>
    <w:link w:val="1"/>
    <w:qFormat/>
    <w:uiPriority w:val="0"/>
    <w:rPr>
      <w:rFonts w:ascii="宋体" w:hAnsi="Courier New" w:eastAsia="宋体"/>
      <w:sz w:val="21"/>
      <w:lang w:val="en-US" w:eastAsia="zh-CN" w:bidi="ar-SA"/>
    </w:rPr>
  </w:style>
  <w:style w:type="character" w:customStyle="1" w:styleId="404">
    <w:name w:val="正文缩进 字符1"/>
    <w:link w:val="1"/>
    <w:qFormat/>
    <w:uiPriority w:val="0"/>
    <w:rPr>
      <w:sz w:val="21"/>
      <w:szCs w:val="24"/>
    </w:rPr>
  </w:style>
  <w:style w:type="character" w:customStyle="1" w:styleId="405">
    <w:name w:val="a_p_3"/>
    <w:basedOn w:val="200"/>
    <w:link w:val="1"/>
    <w:qFormat/>
    <w:uiPriority w:val="0"/>
    <w:rPr>
      <w:sz w:val="27"/>
      <w:szCs w:val="27"/>
    </w:rPr>
  </w:style>
  <w:style w:type="character" w:customStyle="1" w:styleId="406">
    <w:name w:val="exap"/>
    <w:basedOn w:val="200"/>
    <w:link w:val="1"/>
    <w:qFormat/>
    <w:uiPriority w:val="0"/>
    <w:rPr>
      <w:sz w:val="27"/>
      <w:szCs w:val="27"/>
    </w:rPr>
  </w:style>
  <w:style w:type="character" w:customStyle="1" w:styleId="407">
    <w:name w:val="ul_li_a_1"/>
    <w:basedOn w:val="200"/>
    <w:link w:val="1"/>
    <w:qFormat/>
    <w:uiPriority w:val="0"/>
    <w:rPr>
      <w:b/>
      <w:bCs/>
      <w:color w:val="FFFFFF"/>
    </w:rPr>
  </w:style>
  <w:style w:type="character" w:customStyle="1" w:styleId="408">
    <w:name w:val="a_p_2"/>
    <w:basedOn w:val="200"/>
    <w:link w:val="1"/>
    <w:qFormat/>
    <w:uiPriority w:val="0"/>
  </w:style>
  <w:style w:type="character" w:customStyle="1" w:styleId="409">
    <w:name w:val="a_p_21"/>
    <w:basedOn w:val="200"/>
    <w:link w:val="1"/>
    <w:qFormat/>
    <w:uiPriority w:val="0"/>
    <w:rPr>
      <w:sz w:val="27"/>
      <w:szCs w:val="27"/>
    </w:rPr>
  </w:style>
  <w:style w:type="character" w:customStyle="1" w:styleId="410">
    <w:name w:val="a_p_1"/>
    <w:basedOn w:val="200"/>
    <w:link w:val="1"/>
    <w:qFormat/>
    <w:uiPriority w:val="0"/>
    <w:rPr>
      <w:sz w:val="27"/>
      <w:szCs w:val="27"/>
    </w:rPr>
  </w:style>
  <w:style w:type="paragraph" w:customStyle="1" w:styleId="411">
    <w:name w:val="标题 211"/>
    <w:next w:val="1"/>
    <w:qFormat/>
    <w:uiPriority w:val="0"/>
    <w:pPr>
      <w:keepNext/>
      <w:keepLines/>
      <w:widowControl w:val="0"/>
      <w:spacing w:before="260" w:after="260" w:line="413" w:lineRule="auto"/>
      <w:jc w:val="both"/>
      <w:outlineLvl w:val="1"/>
    </w:pPr>
    <w:rPr>
      <w:rFonts w:hint="default" w:ascii="Arial" w:hAnsi="Arial" w:eastAsia="黑体" w:cs="Times New Roman"/>
      <w:b/>
      <w:sz w:val="32"/>
      <w:szCs w:val="20"/>
      <w:lang w:val="en-US" w:eastAsia="zh-CN" w:bidi="ar-SA"/>
    </w:rPr>
  </w:style>
  <w:style w:type="paragraph" w:customStyle="1" w:styleId="412">
    <w:name w:val="正文缩进11"/>
    <w:basedOn w:val="1"/>
    <w:qFormat/>
    <w:uiPriority w:val="0"/>
    <w:pPr>
      <w:ind w:firstLine="420"/>
    </w:pPr>
  </w:style>
  <w:style w:type="paragraph" w:customStyle="1" w:styleId="413">
    <w:name w:val="纯文本12"/>
    <w:basedOn w:val="1"/>
    <w:qFormat/>
    <w:uiPriority w:val="99"/>
    <w:rPr>
      <w:rFonts w:ascii="宋体" w:hAnsi="Courier New"/>
      <w:szCs w:val="20"/>
    </w:rPr>
  </w:style>
  <w:style w:type="paragraph" w:customStyle="1" w:styleId="414">
    <w:name w:val="正文文本缩进11"/>
    <w:basedOn w:val="1"/>
    <w:qFormat/>
    <w:uiPriority w:val="0"/>
    <w:pPr>
      <w:spacing w:after="120"/>
      <w:ind w:left="420"/>
    </w:pPr>
  </w:style>
  <w:style w:type="paragraph" w:customStyle="1" w:styleId="415">
    <w:name w:val="标准文件_段"/>
    <w:qFormat/>
    <w:uiPriority w:val="0"/>
    <w:pPr>
      <w:ind w:firstLine="200"/>
      <w:jc w:val="both"/>
    </w:pPr>
    <w:rPr>
      <w:rFonts w:hint="default" w:ascii="宋体" w:hAnsi="Times New Roman" w:eastAsia="宋体" w:cs="Times New Roman"/>
      <w:sz w:val="21"/>
      <w:lang w:val="en-US" w:eastAsia="zh-CN" w:bidi="ar-SA"/>
    </w:rPr>
  </w:style>
  <w:style w:type="character" w:customStyle="1" w:styleId="416">
    <w:name w:val="font21"/>
    <w:basedOn w:val="37"/>
    <w:qFormat/>
    <w:uiPriority w:val="0"/>
    <w:rPr>
      <w:rFonts w:hint="default" w:ascii="仿宋_GB2312" w:eastAsia="仿宋_GB2312" w:cs="仿宋_GB2312"/>
      <w:b/>
      <w:bCs/>
      <w:color w:val="000000"/>
      <w:sz w:val="24"/>
      <w:szCs w:val="24"/>
      <w:u w:val="none"/>
    </w:rPr>
  </w:style>
  <w:style w:type="paragraph" w:customStyle="1" w:styleId="417">
    <w:name w:val="页脚1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69</Pages>
  <Words>21560</Words>
  <Characters>22949</Characters>
  <TotalTime>8</TotalTime>
  <ScaleCrop>false</ScaleCrop>
  <LinksUpToDate>false</LinksUpToDate>
  <CharactersWithSpaces>23180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2023-03-28T07:28:00Z</dcterms:created>
  <dc:creator>汪</dc:creator>
  <cp:lastModifiedBy>涟水县成集商会</cp:lastModifiedBy>
  <cp:lastPrinted>2026-10-20T02:32:00Z</cp:lastPrinted>
  <dcterms:modified xsi:type="dcterms:W3CDTF">2026-10-28T01:15:49Z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eyJoZGlkIjoiYzNhNDJhYmUyODI1YTQyNTVkNzQ5NGI3MTQyOWNkZTciLCJ1c2VySWQiOiIxNzQ3ODc4OTkwIn0=</vt:lpwstr>
  </property>
  <property fmtid="{D5CDD505-2E9C-101B-9397-08002B2CF9AE}" pid="3" name="KSOProductBuildVer">
    <vt:lpwstr>2052-12.1.0.29161</vt:lpwstr>
  </property>
  <property fmtid="{D5CDD505-2E9C-101B-9397-08002B2CF9AE}" pid="4" name="ICV">
    <vt:lpwstr>8D0D10A629374CFEB968FE030127F24C_13</vt:lpwstr>
  </property>
</Properties>
</file>