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p>
    <w:p>
      <w:pPr>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淮安生物工程高等职业学校教学用计算机采购</w:t>
      </w:r>
      <w:r/>
    </w:p>
    <w:p>
      <w:pPr>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JSZC-320800-JZCG-G2026-0078</w:t>
      </w:r>
      <w:r/>
    </w:p>
    <w:p>
      <w:pPr>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p>
    <w:p>
      <w:pPr>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十</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八</w:t>
      </w:r>
      <w:r>
        <w:rPr>
          <w:rFonts w:hint="eastAsia" w:ascii="黑体" w:hAnsi="黑体" w:eastAsia="黑体"/>
          <w:b/>
          <w:sz w:val="36"/>
          <w:szCs w:val="36"/>
          <w:highlight w:val="none"/>
        </w:rPr>
        <w:t xml:space="preserve">日</w:t>
      </w:r>
      <w:r/>
    </w:p>
    <w:p>
      <w:pPr>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720" w:equalWidth="1"/>
          <w:docGrid w:linePitch="360"/>
        </w:sectPr>
        <w:outlineLvl w:val="9"/>
      </w:pPr>
      <w:r>
        <w:rPr>
          <w:rFonts w:hint="eastAsia" w:ascii="仿宋" w:hAnsi="仿宋" w:eastAsia="仿宋"/>
          <w:b/>
          <w:sz w:val="36"/>
          <w:szCs w:val="36"/>
          <w:highlight w:val="none"/>
        </w:rPr>
      </w:r>
      <w:r/>
    </w:p>
    <w:p>
      <w:pPr>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受淮安生物工程高等职业学校的委托，淮安市政府采购中心就淮安生物工程高等职业学校教学用计算机采购项目进行公开招标采购，现邀请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120650</wp:posOffset>
                </wp:positionV>
                <wp:extent cx="5761355" cy="1184275"/>
                <wp:effectExtent l="4445" t="4445" r="6350" b="1143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1842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淮安生物工程高等职业学校教学用计算机采购 </w:t>
                            </w:r>
                            <w:r>
                              <w:rPr>
                                <w:rFonts w:hint="eastAsia" w:ascii="仿宋" w:hAnsi="仿宋" w:eastAsia="仿宋"/>
                                <w:sz w:val="28"/>
                                <w:szCs w:val="28"/>
                              </w:rPr>
                              <w:t xml:space="preserve">招标项目的潜在投标人应在</w:t>
                            </w:r>
                            <w:r>
                              <w:rPr>
                                <w:rFonts w:hint="eastAsia" w:ascii="仿宋" w:hAnsi="仿宋" w:eastAsia="仿宋"/>
                                <w:sz w:val="28"/>
                                <w:szCs w:val="28"/>
                                <w:lang w:eastAsia="zh-CN"/>
                              </w:rPr>
                              <w:t xml:space="preserve">江苏省</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月27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wps:txbx>
                      <wps:bodyPr upright="1"/>
                    </wps:wsp>
                  </a:graphicData>
                </a:graphic>
              </wp:anchor>
            </w:drawing>
          </mc:Choice>
          <mc:Fallback>
            <w:pict>
              <v:shape id="shape 1" o:spid="_x0000_s1" o:spt="1" type="#_x0000_t1" style="position:absolute;z-index:251659264;o:allowoverlap:true;o:allowincell:true;mso-position-horizontal-relative:text;margin-left:-1.7pt;mso-position-horizontal:absolute;mso-position-vertical-relative:text;margin-top:9.5pt;mso-position-vertical:absolute;width:453.6pt;height:93.2pt;mso-wrap-distance-left:9.0pt;mso-wrap-distance-top:0.0pt;mso-wrap-distance-right:9.0pt;mso-wrap-distance-bottom:0.0pt;visibility:visible;" fillcolor="#FFFFFF" strokecolor="#000000" strokeweight="0.75pt">
                <v:stroke dashstyle="solid"/>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淮安生物工程高等职业学校教学用计算机采购 </w:t>
                      </w:r>
                      <w:r>
                        <w:rPr>
                          <w:rFonts w:hint="eastAsia" w:ascii="仿宋" w:hAnsi="仿宋" w:eastAsia="仿宋"/>
                          <w:sz w:val="28"/>
                          <w:szCs w:val="28"/>
                        </w:rPr>
                        <w:t xml:space="preserve">招标项目的潜在投标人应在</w:t>
                      </w:r>
                      <w:r>
                        <w:rPr>
                          <w:rFonts w:hint="eastAsia" w:ascii="仿宋" w:hAnsi="仿宋" w:eastAsia="仿宋"/>
                          <w:sz w:val="28"/>
                          <w:szCs w:val="28"/>
                          <w:lang w:eastAsia="zh-CN"/>
                        </w:rPr>
                        <w:t xml:space="preserve">江苏省</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月27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p>
    <w:p>
      <w:pPr>
        <w:ind w:firstLine="565"/>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（一）项目编号:JSZC-320800-JZCG-G2026-0078</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淮安生物工程高等职业学校教学用计算机采购</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66.55</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66.55</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（五）采购需求:</w:t>
      </w:r>
      <w:r>
        <w:rPr>
          <w:rFonts w:hint="eastAsia" w:ascii="仿宋" w:hAnsi="仿宋" w:eastAsia="仿宋"/>
          <w:bCs/>
          <w:sz w:val="28"/>
          <w:highlight w:val="none"/>
        </w:rPr>
        <w:t xml:space="preserve">教学用计算机采购</w:t>
      </w:r>
      <w:r>
        <w:rPr>
          <w:rFonts w:hint="eastAsia" w:ascii="仿宋" w:hAnsi="仿宋" w:eastAsia="仿宋"/>
          <w:bCs/>
          <w:sz w:val="28"/>
          <w:highlight w:val="none"/>
          <w:lang w:eastAsia="zh-CN"/>
        </w:rPr>
        <w:t xml:space="preserve">，详见文件第五章项目采购需求。</w:t>
      </w:r>
      <w:r/>
    </w:p>
    <w:p>
      <w:pPr>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（六）合同履行期限:合同签订后</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日内交货并完成安装、调试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eastAsia="zh-CN"/>
        </w:rPr>
        <w:t xml:space="preserve">工业</w:t>
      </w:r>
      <w:r>
        <w:rPr>
          <w:rFonts w:hint="eastAsia" w:ascii="仿宋" w:hAnsi="仿宋" w:eastAsia="仿宋"/>
          <w:sz w:val="28"/>
          <w:szCs w:val="28"/>
          <w:highlight w:val="none"/>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w:t>
      </w:r>
      <w:r>
        <w:rPr>
          <w:rFonts w:hint="eastAsia" w:ascii="仿宋" w:hAnsi="仿宋" w:eastAsia="仿宋"/>
          <w:sz w:val="28"/>
          <w:szCs w:val="28"/>
          <w:highlight w:val="none"/>
          <w:lang w:eastAsia="zh-CN"/>
        </w:rPr>
        <w:t xml:space="preserve">江苏省</w:t>
      </w:r>
      <w:r>
        <w:rPr>
          <w:rFonts w:hint="eastAsia" w:ascii="仿宋" w:hAnsi="仿宋" w:eastAsia="仿宋"/>
          <w:sz w:val="28"/>
          <w:szCs w:val="28"/>
          <w:highlight w:val="none"/>
        </w:rPr>
        <w:t xml:space="preserve">政府采购网”自行免费下载招标文件。</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p>
    <w:p>
      <w:pPr>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月27</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9:30。</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名称:淮安生物工程高等职业学校</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地址:淮安市淮安区湖心寺路18号</w:t>
      </w:r>
      <w:r/>
    </w:p>
    <w:p>
      <w:pPr>
        <w:ind w:firstLine="560"/>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联系方式:冯工</w:t>
      </w:r>
      <w:r>
        <w:rPr>
          <w:rFonts w:hint="eastAsia" w:ascii="仿宋" w:hAnsi="仿宋" w:eastAsia="仿宋"/>
          <w:sz w:val="28"/>
          <w:szCs w:val="28"/>
          <w:highlight w:val="none"/>
          <w:lang w:val="en-US" w:eastAsia="zh-CN"/>
        </w:rPr>
        <w:t xml:space="preserve">  18905231222</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p>
    <w:p>
      <w:pPr>
        <w:ind w:firstLine="565"/>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w:t>
      </w:r>
      <w:r>
        <w:rPr>
          <w:rFonts w:hint="eastAsia" w:ascii="仿宋" w:hAnsi="仿宋" w:eastAsia="仿宋"/>
          <w:sz w:val="28"/>
          <w:szCs w:val="28"/>
        </w:rPr>
        <w:t xml:space="preserve">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p>
    <w:p>
      <w:pPr>
        <w:ind w:firstLine="560"/>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p>
    <w:p>
      <w:pPr>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p>
    <w:p>
      <w:pPr>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p>
    <w:p>
      <w:pPr>
        <w:keepLines w:val="0"/>
        <w:keepNext w:val="0"/>
        <w:pageBreakBefore w:val="0"/>
        <w:spacing w:line="520" w:lineRule="exact"/>
        <w:rPr>
          <w:rFonts w:ascii="仿宋" w:hAnsi="仿宋" w:eastAsia="仿宋"/>
          <w:sz w:val="28"/>
          <w:szCs w:val="28"/>
          <w:highlight w:val="none"/>
        </w:rPr>
        <w:outlineLvl w:val="9"/>
      </w:pPr>
      <w:r/>
      <w:bookmarkStart w:id="0" w:name="_Toc513029214"/>
      <w:r/>
      <w:bookmarkStart w:id="1" w:name="_Toc462564073"/>
      <w:r/>
      <w:bookmarkStart w:id="2" w:name="_Toc16938530"/>
      <w:r/>
      <w:bookmarkStart w:id="3" w:name="_Toc20823286"/>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highlight w:val="none"/>
        </w:rPr>
        <w:outlineLvl w:val="9"/>
      </w:pPr>
      <w:r/>
      <w:bookmarkStart w:id="4" w:name="_Toc14577359"/>
      <w:r/>
      <w:bookmarkStart w:id="5" w:name="_Toc49090510"/>
      <w:r>
        <w:rPr>
          <w:rFonts w:hint="eastAsia" w:ascii="仿宋" w:hAnsi="仿宋" w:eastAsia="仿宋"/>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仿宋" w:hAnsi="仿宋" w:eastAsia="仿宋"/>
          <w:sz w:val="28"/>
          <w:szCs w:val="28"/>
          <w:highlight w:val="none"/>
        </w:rPr>
        <w:outlineLvl w:val="9"/>
      </w:pPr>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p>
    <w:p>
      <w:pPr>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p>
    <w:p>
      <w:pPr>
        <w:numPr>
          <w:ilvl w:val="0"/>
          <w:numId w:val="1"/>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bookmarkEnd w:id="8"/>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highlight w:val="none"/>
        </w:rPr>
        <w:outlineLvl w:val="9"/>
      </w:pPr>
      <w:r/>
      <w:bookmarkStart w:id="9" w:name="_Toc513029231"/>
      <w:r/>
      <w:bookmarkStart w:id="10" w:name="_Toc16938547"/>
      <w:r/>
      <w:bookmarkStart w:id="11" w:name="_Toc20823303"/>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highlight w:val="none"/>
        </w:rPr>
        <w:outlineLvl w:val="9"/>
      </w:pPr>
      <w:r/>
      <w:bookmarkStart w:id="12" w:name="_Toc513029232"/>
      <w:r/>
      <w:bookmarkStart w:id="13" w:name="_Toc20823304"/>
      <w:r/>
      <w:bookmarkStart w:id="14" w:name="_Toc1693854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highlight w:val="none"/>
        </w:rPr>
        <w:outlineLvl w:val="9"/>
      </w:pPr>
      <w:r/>
      <w:bookmarkStart w:id="15" w:name="_Toc513029233"/>
      <w:r/>
      <w:bookmarkStart w:id="16" w:name="_Toc16938549"/>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highlight w:val="none"/>
        </w:rPr>
        <w:outlineLvl w:val="9"/>
      </w:pPr>
      <w:r/>
      <w:bookmarkStart w:id="18" w:name="_Toc16938550"/>
      <w:r/>
      <w:bookmarkStart w:id="19" w:name="_Toc513029234"/>
      <w:r/>
      <w:bookmarkStart w:id="20"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hint="eastAsia" w:ascii="仿宋" w:hAnsi="仿宋" w:eastAsia="仿宋"/>
          <w:sz w:val="28"/>
          <w:szCs w:val="28"/>
          <w:highlight w:val="none"/>
          <w:lang w:eastAsia="zh-CN"/>
        </w:rPr>
        <w:t xml:space="preserve">台式计算机</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p>
    <w:p>
      <w:pPr>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16938551"/>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bookmarkEnd w:id="21"/>
      <w:r/>
      <w:bookmarkEnd w:id="22"/>
      <w:r/>
      <w:bookmarkEnd w:id="23"/>
      <w:r/>
      <w:r/>
    </w:p>
    <w:p>
      <w:pPr>
        <w:numPr>
          <w:ilvl w:val="0"/>
          <w:numId w:val="1"/>
        </w:numPr>
        <w:ind w:firstLine="482"/>
        <w:keepLines w:val="0"/>
        <w:keepNext w:val="0"/>
        <w:pageBreakBefore w:val="0"/>
        <w:spacing w:line="520" w:lineRule="exact"/>
        <w:rPr>
          <w:rFonts w:ascii="仿宋" w:hAnsi="仿宋" w:eastAsia="仿宋"/>
          <w:b/>
          <w:sz w:val="32"/>
          <w:szCs w:val="32"/>
          <w:highlight w:val="none"/>
        </w:rPr>
        <w:outlineLvl w:val="9"/>
      </w:pPr>
      <w:r/>
      <w:bookmarkStart w:id="24" w:name="_Toc120614219"/>
      <w:r>
        <w:rPr>
          <w:rFonts w:hint="eastAsia" w:ascii="仿宋" w:hAnsi="仿宋" w:eastAsia="仿宋"/>
          <w:b/>
          <w:sz w:val="32"/>
          <w:szCs w:val="32"/>
          <w:highlight w:val="none"/>
        </w:rPr>
        <w:t xml:space="preserve">定标</w:t>
      </w:r>
      <w:bookmarkEnd w:id="24"/>
      <w:r/>
      <w:r/>
    </w:p>
    <w:p>
      <w:pPr>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p>
    <w:p>
      <w:pPr>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bookmarkEnd w:id="28"/>
      <w:r/>
      <w:r/>
    </w:p>
    <w:p>
      <w:pPr>
        <w:keepLines w:val="0"/>
        <w:keepNext w:val="0"/>
        <w:pageBreakBefore w:val="0"/>
        <w:spacing w:line="520" w:lineRule="exact"/>
        <w:rPr>
          <w:rFonts w:ascii="仿宋" w:hAnsi="仿宋" w:eastAsia="仿宋" w:cs="Times New Roman"/>
          <w:sz w:val="28"/>
          <w:szCs w:val="28"/>
          <w:highlight w:val="none"/>
        </w:rPr>
        <w:outlineLvl w:val="9"/>
      </w:pPr>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p>
    <w:p>
      <w:pPr>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p>
    <w:p>
      <w:pPr>
        <w:numPr>
          <w:ilvl w:val="0"/>
          <w:numId w:val="1"/>
        </w:numPr>
        <w:ind w:firstLine="482"/>
        <w:keepLines w:val="0"/>
        <w:keepNext w:val="0"/>
        <w:pageBreakBefore w:val="0"/>
        <w:spacing w:line="520" w:lineRule="exact"/>
        <w:rPr>
          <w:rFonts w:ascii="仿宋" w:hAnsi="仿宋" w:eastAsia="仿宋"/>
          <w:b/>
          <w:sz w:val="32"/>
          <w:szCs w:val="32"/>
          <w:highlight w:val="none"/>
        </w:rPr>
        <w:outlineLvl w:val="9"/>
      </w:pPr>
      <w:r/>
      <w:bookmarkStart w:id="29" w:name="_Toc513029236"/>
      <w:r/>
      <w:bookmarkStart w:id="30" w:name="_Toc20823308"/>
      <w:r/>
      <w:bookmarkStart w:id="31" w:name="_Toc120614220"/>
      <w:r/>
      <w:bookmarkStart w:id="32" w:name="_Toc16938552"/>
      <w:r>
        <w:rPr>
          <w:rFonts w:hint="eastAsia" w:ascii="仿宋" w:hAnsi="仿宋" w:eastAsia="仿宋"/>
          <w:b/>
          <w:sz w:val="32"/>
          <w:szCs w:val="32"/>
          <w:highlight w:val="none"/>
        </w:rPr>
        <w:t xml:space="preserve">授予合同</w:t>
      </w:r>
      <w:bookmarkEnd w:id="29"/>
      <w:r/>
      <w:bookmarkEnd w:id="30"/>
      <w:r/>
      <w:bookmarkEnd w:id="31"/>
      <w:r/>
      <w:bookmarkEnd w:id="32"/>
      <w:r/>
      <w:r/>
    </w:p>
    <w:p>
      <w:pPr>
        <w:keepLines w:val="0"/>
        <w:keepNext w:val="0"/>
        <w:pageBreakBefore w:val="0"/>
        <w:spacing w:line="520" w:lineRule="exact"/>
        <w:rPr>
          <w:rFonts w:ascii="仿宋" w:hAnsi="仿宋" w:eastAsia="仿宋"/>
          <w:sz w:val="28"/>
          <w:szCs w:val="28"/>
          <w:highlight w:val="none"/>
        </w:rPr>
        <w:outlineLvl w:val="9"/>
      </w:pPr>
      <w:r/>
      <w:bookmarkStart w:id="33" w:name="_Toc16938553"/>
      <w:r/>
      <w:bookmarkStart w:id="34" w:name="_Toc513029237"/>
      <w:r/>
      <w:bookmarkStart w:id="35" w:name="_Toc20823309"/>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76"/>
        <w:ind w:left="0" w:firstLine="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p>
    <w:p>
      <w:pPr>
        <w:pStyle w:val="676"/>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bookmarkEnd w:id="33"/>
      <w:r/>
      <w:bookmarkEnd w:id="34"/>
      <w:r/>
      <w:bookmarkEnd w:id="35"/>
      <w:r/>
      <w:r/>
    </w:p>
    <w:p>
      <w:pPr>
        <w:keepLines w:val="0"/>
        <w:keepNext w:val="0"/>
        <w:pageBreakBefore w:val="0"/>
        <w:spacing w:line="520" w:lineRule="exact"/>
        <w:rPr>
          <w:rFonts w:hint="eastAsia" w:ascii="仿宋" w:hAnsi="仿宋" w:eastAsia="仿宋"/>
          <w:b/>
          <w:bCs/>
          <w:sz w:val="32"/>
          <w:szCs w:val="28"/>
          <w:highlight w:val="none"/>
        </w:rPr>
        <w:outlineLvl w:val="9"/>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 xml:space="preserve">台式计算机</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强制采购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eastAsia="zh-CN"/>
        </w:rPr>
        <w:t xml:space="preserve">台式计算机</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lang w:eastAsia="zh-CN"/>
        </w:rPr>
        <w:t xml:space="preserve">优先采购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680"/>
        <w:ind w:left="0" w:firstLine="560"/>
        <w:keepLines w:val="0"/>
        <w:keepNext w:val="0"/>
        <w:pageBreakBefore w:val="0"/>
        <w:spacing w:after="0"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rPr>
        <w:t xml:space="preserve">,在供货、安装过程中能</w:t>
      </w:r>
      <w:r>
        <w:rPr>
          <w:rFonts w:hint="eastAsia" w:ascii="仿宋" w:hAnsi="仿宋" w:eastAsia="仿宋"/>
          <w:color w:val="auto"/>
          <w:sz w:val="28"/>
          <w:szCs w:val="28"/>
          <w:highlight w:val="none"/>
          <w:lang w:eastAsia="zh-CN"/>
        </w:rPr>
        <w:t xml:space="preserve">够</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680"/>
        <w:ind w:left="0" w:firstLine="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37.</w:t>
      </w:r>
      <w:r>
        <w:rPr>
          <w:rFonts w:hint="eastAsia" w:ascii="仿宋" w:hAnsi="仿宋" w:eastAsia="仿宋"/>
          <w:color w:val="auto"/>
          <w:sz w:val="28"/>
          <w:szCs w:val="28"/>
          <w:highlight w:val="none"/>
        </w:rPr>
        <w:t xml:space="preserve">采购本国产品的支持政策</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7.2 当采购项目或者采购包中含有多种产品，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”中填写比例数值），依法对该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未填写比例数值，或比例数值未达到80%的，将不享受本国产品价格评审优惠。</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7.3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需按照招标文件的要求提供《关于符合本国产品标准的声明函》（以下简称《声明函》</w:t>
      </w:r>
      <w:r>
        <w:rPr>
          <w:rFonts w:hint="eastAsia" w:ascii="仿宋" w:hAnsi="仿宋" w:eastAsia="仿宋"/>
          <w:color w:val="auto"/>
          <w:sz w:val="28"/>
          <w:szCs w:val="28"/>
          <w:highlight w:val="none"/>
          <w:lang w:eastAsia="zh-CN"/>
        </w:rPr>
        <w:t xml:space="preserve">，详见第六章“示范格式六”</w:t>
      </w:r>
      <w:r>
        <w:rPr>
          <w:rFonts w:hint="eastAsia" w:ascii="仿宋" w:hAnsi="仿宋" w:eastAsia="仿宋"/>
          <w:color w:val="auto"/>
          <w:sz w:val="28"/>
          <w:szCs w:val="28"/>
          <w:highlight w:val="none"/>
        </w:rPr>
        <w:t xml:space="preserve">），如不提供将不享受本国产品价格评审优惠。</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7.5 评标过程中，如发现</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提供的相关产品视为不符合本国产品标准。</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p>
    <w:p>
      <w:pPr>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35</w:t>
      </w:r>
      <w:r>
        <w:rPr>
          <w:rFonts w:hint="eastAsia" w:ascii="仿宋" w:hAnsi="仿宋" w:eastAsia="仿宋"/>
          <w:sz w:val="28"/>
          <w:highlight w:val="none"/>
        </w:rPr>
        <w:t xml:space="preserve">分</w:t>
      </w:r>
      <w:r/>
    </w:p>
    <w:p>
      <w:pPr>
        <w:pStyle w:val="679"/>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679"/>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35</w:t>
      </w:r>
      <w:r>
        <w:rPr>
          <w:rFonts w:hint="eastAsia" w:ascii="仿宋" w:hAnsi="仿宋" w:eastAsia="仿宋"/>
          <w:highlight w:val="none"/>
        </w:rPr>
        <w:t xml:space="preserve">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2、政策导向:</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投标产品</w:t>
      </w:r>
      <w:r>
        <w:rPr>
          <w:rFonts w:hint="eastAsia" w:ascii="仿宋" w:hAnsi="仿宋" w:eastAsia="仿宋"/>
          <w:sz w:val="28"/>
          <w:szCs w:val="28"/>
          <w:highlight w:val="none"/>
          <w:lang w:eastAsia="zh-CN"/>
        </w:rPr>
        <w:t xml:space="preserve">台式计算机</w:t>
      </w:r>
      <w:r>
        <w:rPr>
          <w:rFonts w:hint="eastAsia" w:ascii="仿宋" w:hAnsi="仿宋" w:eastAsia="仿宋"/>
          <w:sz w:val="28"/>
          <w:szCs w:val="28"/>
          <w:highlight w:val="none"/>
        </w:rPr>
        <w:t xml:space="preserve">在财政部、生态环境部公布的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环境标志产品政府采购品目清单</w:t>
      </w:r>
      <w:r>
        <w:rPr>
          <w:rFonts w:ascii="仿宋" w:hAnsi="仿宋" w:eastAsia="仿宋"/>
          <w:sz w:val="28"/>
          <w:szCs w:val="28"/>
          <w:highlight w:val="none"/>
        </w:rPr>
        <w:t xml:space="preserve">”</w:t>
      </w:r>
      <w:r>
        <w:rPr>
          <w:rFonts w:hint="eastAsia" w:ascii="仿宋" w:hAnsi="仿宋" w:eastAsia="仿宋"/>
          <w:sz w:val="28"/>
          <w:szCs w:val="28"/>
          <w:highlight w:val="none"/>
        </w:rPr>
        <w:t xml:space="preserve">内，且提供</w:t>
      </w:r>
      <w:r>
        <w:rPr>
          <w:rFonts w:hint="eastAsia" w:ascii="仿宋" w:hAnsi="仿宋" w:eastAsia="仿宋"/>
          <w:sz w:val="28"/>
          <w:szCs w:val="28"/>
          <w:highlight w:val="none"/>
          <w:lang w:eastAsia="zh-CN"/>
        </w:rPr>
        <w:t xml:space="preserve">国家市场</w:t>
      </w:r>
      <w:bookmarkStart w:id="38" w:name="_GoBack"/>
      <w:r/>
      <w:bookmarkEnd w:id="38"/>
      <w:r>
        <w:rPr>
          <w:rFonts w:hint="eastAsia" w:ascii="仿宋" w:hAnsi="仿宋" w:eastAsia="仿宋"/>
          <w:sz w:val="28"/>
          <w:szCs w:val="28"/>
          <w:highlight w:val="none"/>
          <w:lang w:eastAsia="zh-CN"/>
        </w:rPr>
        <w:t xml:space="preserve">监督管理总局</w:t>
      </w:r>
      <w:r>
        <w:rPr>
          <w:rFonts w:hint="eastAsia" w:ascii="仿宋" w:hAnsi="仿宋" w:eastAsia="仿宋"/>
          <w:sz w:val="28"/>
          <w:szCs w:val="28"/>
          <w:highlight w:val="none"/>
        </w:rPr>
        <w:t xml:space="preserve">确定的列入</w:t>
      </w:r>
      <w:r>
        <w:rPr>
          <w:rFonts w:ascii="仿宋" w:hAnsi="仿宋" w:eastAsia="仿宋"/>
          <w:sz w:val="28"/>
          <w:szCs w:val="28"/>
          <w:highlight w:val="none"/>
        </w:rPr>
        <w:t xml:space="preserve">“</w:t>
      </w:r>
      <w:r>
        <w:rPr>
          <w:rFonts w:hint="eastAsia" w:ascii="仿宋" w:hAnsi="仿宋" w:eastAsia="仿宋"/>
          <w:sz w:val="28"/>
          <w:szCs w:val="28"/>
          <w:highlight w:val="none"/>
        </w:rPr>
        <w:t xml:space="preserve">参与实施政府采购环境标志产品认证机构名录</w:t>
      </w:r>
      <w:r>
        <w:rPr>
          <w:rFonts w:ascii="仿宋" w:hAnsi="仿宋" w:eastAsia="仿宋"/>
          <w:sz w:val="28"/>
          <w:szCs w:val="28"/>
          <w:highlight w:val="none"/>
        </w:rPr>
        <w:t xml:space="preserve">”</w:t>
      </w:r>
      <w:r>
        <w:rPr>
          <w:rFonts w:hint="eastAsia" w:ascii="仿宋" w:hAnsi="仿宋" w:eastAsia="仿宋"/>
          <w:sz w:val="28"/>
          <w:szCs w:val="28"/>
          <w:highlight w:val="none"/>
        </w:rPr>
        <w:t xml:space="preserve">内的认证机构出具的、有效期内的该产品环境标志产品认证证书电子件的得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分，没有不得分。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3、技术部分:</w:t>
      </w:r>
      <w:r>
        <w:rPr>
          <w:rFonts w:hint="eastAsia" w:ascii="仿宋" w:hAnsi="仿宋" w:eastAsia="仿宋"/>
          <w:sz w:val="28"/>
          <w:szCs w:val="28"/>
          <w:highlight w:val="none"/>
          <w:lang w:val="en-US" w:eastAsia="zh-CN"/>
        </w:rPr>
        <w:t xml:space="preserve">41</w:t>
      </w:r>
      <w:r>
        <w:rPr>
          <w:rFonts w:hint="eastAsia" w:ascii="仿宋" w:hAnsi="仿宋" w:eastAsia="仿宋"/>
          <w:sz w:val="28"/>
          <w:szCs w:val="28"/>
          <w:highlight w:val="none"/>
        </w:rPr>
        <w:t xml:space="preserve">分</w:t>
      </w:r>
      <w:r/>
    </w:p>
    <w:p>
      <w:p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（1）投标人所投产品技术参数完全满足招标文件第五章项目采购需求“二、技术参数要求”中标注“★”技术参数要求的得</w:t>
      </w:r>
      <w:r>
        <w:rPr>
          <w:rFonts w:hint="eastAsia" w:ascii="仿宋" w:hAnsi="仿宋" w:eastAsia="仿宋"/>
          <w:sz w:val="28"/>
          <w:szCs w:val="28"/>
          <w:highlight w:val="none"/>
          <w:lang w:val="en-US" w:eastAsia="zh-CN"/>
        </w:rPr>
        <w:t xml:space="preserve">41</w:t>
      </w:r>
      <w:r>
        <w:rPr>
          <w:rFonts w:hint="eastAsia" w:ascii="仿宋" w:hAnsi="仿宋" w:eastAsia="仿宋"/>
          <w:sz w:val="28"/>
          <w:szCs w:val="28"/>
          <w:highlight w:val="none"/>
        </w:rPr>
        <w:t xml:space="preserve">分，未完全满足作无效投标处理。</w:t>
      </w:r>
      <w:r/>
    </w:p>
    <w:p>
      <w:p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（2）投标人所投产品技术参数与招标文件第五章项目采购需求“二、技术参数要求”中标注“</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”技术参数要求相比较，以</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分为基数，每有一项负偏离扣2分，扣完为止。</w:t>
      </w:r>
      <w:r/>
    </w:p>
    <w:p>
      <w:p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）投标人所投产品技术参数与招标文件第五章项目采购需求“二、技术参数要求”中</w:t>
      </w:r>
      <w:r>
        <w:rPr>
          <w:rFonts w:hint="eastAsia" w:ascii="仿宋" w:hAnsi="仿宋" w:eastAsia="仿宋"/>
          <w:sz w:val="28"/>
          <w:szCs w:val="28"/>
          <w:highlight w:val="none"/>
          <w:lang w:eastAsia="zh-CN"/>
        </w:rPr>
        <w:t xml:space="preserve">未</w:t>
      </w:r>
      <w:r>
        <w:rPr>
          <w:rFonts w:hint="eastAsia" w:ascii="仿宋" w:hAnsi="仿宋" w:eastAsia="仿宋"/>
          <w:sz w:val="28"/>
          <w:szCs w:val="28"/>
          <w:highlight w:val="none"/>
        </w:rPr>
        <w:t xml:space="preserve">标注“★”</w:t>
      </w:r>
      <w:r>
        <w:rPr>
          <w:rFonts w:hint="eastAsia" w:ascii="仿宋" w:hAnsi="仿宋" w:eastAsia="仿宋"/>
          <w:sz w:val="28"/>
          <w:szCs w:val="28"/>
          <w:highlight w:val="none"/>
          <w:lang w:eastAsia="zh-CN"/>
        </w:rPr>
        <w:t xml:space="preserve">和</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”技术参数要求相比较，以</w:t>
      </w: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分为基数，每有一项负偏离扣</w:t>
      </w:r>
      <w:r>
        <w:rPr>
          <w:rFonts w:hint="eastAsia" w:ascii="仿宋" w:hAnsi="仿宋" w:eastAsia="仿宋"/>
          <w:sz w:val="28"/>
          <w:szCs w:val="28"/>
          <w:highlight w:val="none"/>
          <w:lang w:val="en-US" w:eastAsia="zh-CN"/>
        </w:rPr>
        <w:t xml:space="preserve">0.5</w:t>
      </w:r>
      <w:r>
        <w:rPr>
          <w:rFonts w:hint="eastAsia" w:ascii="仿宋" w:hAnsi="仿宋" w:eastAsia="仿宋"/>
          <w:sz w:val="28"/>
          <w:szCs w:val="28"/>
          <w:highlight w:val="none"/>
        </w:rPr>
        <w:t xml:space="preserve">分，扣完为止。</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4、方案部分:</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分</w:t>
      </w:r>
      <w:r/>
    </w:p>
    <w:p>
      <w:p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w:t>
      </w:r>
      <w:r>
        <w:rPr>
          <w:rFonts w:hint="eastAsia" w:ascii="仿宋" w:hAnsi="仿宋" w:eastAsia="仿宋" w:cs="仿宋"/>
          <w:sz w:val="28"/>
          <w:szCs w:val="28"/>
          <w:highlight w:val="none"/>
        </w:rPr>
        <w:t xml:space="preserve">供货及安装调试方案</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5分</w:t>
      </w:r>
      <w:r>
        <w:rPr>
          <w:rFonts w:hint="eastAsia" w:ascii="仿宋" w:hAnsi="仿宋" w:eastAsia="仿宋" w:cs="仿宋"/>
          <w:sz w:val="28"/>
          <w:szCs w:val="28"/>
          <w:highlight w:val="none"/>
          <w:lang w:eastAsia="zh-CN"/>
        </w:rPr>
        <w:t xml:space="preserve">）</w:t>
      </w:r>
      <w:r/>
    </w:p>
    <w:p>
      <w:pPr>
        <w:ind w:firstLine="560"/>
        <w:jc w:val="both"/>
        <w:keepLines w:val="0"/>
        <w:keepNext w:val="0"/>
        <w:pageBreakBefore w:val="0"/>
        <w:spacing w:line="520" w:lineRule="exact"/>
        <w:widowControl w:val="off"/>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投标人根据项目需求提供完整、可行的供货计划、运输保障、到货安装、调试、验收整体实施方案。方案完整、合理、贴合项目实际的得 </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 分；方案基本完整可行的得 2 分；方案简单、缺项严重不得分。</w:t>
      </w:r>
      <w:r/>
    </w:p>
    <w:p>
      <w:pPr>
        <w:numPr>
          <w:ilvl w:val="0"/>
          <w:numId w:val="2"/>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培训方案（</w:t>
      </w:r>
      <w:r>
        <w:rPr>
          <w:rFonts w:hint="eastAsia" w:ascii="仿宋" w:hAnsi="仿宋" w:eastAsia="仿宋" w:cs="Times New Roman"/>
          <w:sz w:val="28"/>
          <w:szCs w:val="28"/>
          <w:highlight w:val="none"/>
          <w:lang w:val="en-US" w:eastAsia="zh-CN"/>
        </w:rPr>
        <w:t xml:space="preserve">5分</w:t>
      </w:r>
      <w:r>
        <w:rPr>
          <w:rFonts w:hint="eastAsia" w:ascii="仿宋" w:hAnsi="仿宋" w:eastAsia="仿宋" w:cs="Times New Roman"/>
          <w:sz w:val="28"/>
          <w:szCs w:val="28"/>
          <w:highlight w:val="none"/>
          <w:lang w:eastAsia="zh-CN"/>
        </w:rPr>
        <w:t xml:space="preserve">）</w:t>
      </w:r>
      <w:r/>
    </w:p>
    <w:p>
      <w:pPr>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投标人从培训对象（</w:t>
      </w:r>
      <w:r>
        <w:rPr>
          <w:rFonts w:hint="eastAsia" w:ascii="仿宋" w:hAnsi="仿宋" w:eastAsia="仿宋" w:cs="仿宋"/>
          <w:sz w:val="28"/>
          <w:szCs w:val="28"/>
          <w:highlight w:val="none"/>
        </w:rPr>
        <w:t xml:space="preserve">须区分一线使用操作人员、运维管理人员两类对象，分别制定对应培训内容</w:t>
      </w:r>
      <w:r>
        <w:rPr>
          <w:rFonts w:hint="eastAsia" w:ascii="仿宋" w:hAnsi="仿宋" w:eastAsia="仿宋" w:cs="Times New Roman"/>
          <w:sz w:val="28"/>
          <w:szCs w:val="28"/>
          <w:highlight w:val="none"/>
          <w:lang w:eastAsia="zh-CN"/>
        </w:rPr>
        <w:t xml:space="preserve">）、培训课时、培训内容（</w:t>
      </w:r>
      <w:r>
        <w:rPr>
          <w:rFonts w:hint="eastAsia" w:ascii="仿宋" w:hAnsi="仿宋" w:eastAsia="仿宋" w:cs="仿宋"/>
          <w:sz w:val="28"/>
          <w:szCs w:val="28"/>
          <w:highlight w:val="none"/>
        </w:rPr>
        <w:t xml:space="preserve">包含设备基础操作、日常巡检维护、基础参数配置、常见简单故障识别与排查、应急处置等模块</w:t>
      </w:r>
      <w:r>
        <w:rPr>
          <w:rFonts w:hint="eastAsia" w:ascii="仿宋" w:hAnsi="仿宋" w:eastAsia="仿宋" w:cs="Times New Roman"/>
          <w:sz w:val="28"/>
          <w:szCs w:val="28"/>
          <w:highlight w:val="none"/>
          <w:lang w:eastAsia="zh-CN"/>
        </w:rPr>
        <w:t xml:space="preserve">）、培训方式、后续技术答疑保障等提供完善培训方案，内容详实、优于需求的得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lang w:eastAsia="zh-CN"/>
        </w:rPr>
        <w:t xml:space="preserve">分；</w:t>
      </w:r>
      <w:r>
        <w:rPr>
          <w:rFonts w:hint="eastAsia" w:ascii="仿宋" w:hAnsi="仿宋" w:eastAsia="仿宋" w:cs="Times New Roman"/>
          <w:sz w:val="28"/>
          <w:szCs w:val="28"/>
          <w:highlight w:val="none"/>
        </w:rPr>
        <w:t xml:space="preserve">方案基本完整可行的得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方案简单、缺项严重不得分</w:t>
      </w:r>
      <w:r>
        <w:rPr>
          <w:rFonts w:hint="eastAsia" w:ascii="仿宋" w:hAnsi="仿宋" w:eastAsia="仿宋" w:cs="Times New Roman"/>
          <w:sz w:val="28"/>
          <w:szCs w:val="28"/>
          <w:highlight w:val="none"/>
          <w:lang w:eastAsia="zh-CN"/>
        </w:rPr>
        <w:t xml:space="preserve">。</w:t>
      </w:r>
      <w:r/>
    </w:p>
    <w:p>
      <w:pPr>
        <w:numPr>
          <w:ilvl w:val="0"/>
          <w:numId w:val="2"/>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仿宋"/>
          <w:sz w:val="28"/>
          <w:szCs w:val="28"/>
          <w:highlight w:val="none"/>
        </w:rPr>
        <w:t xml:space="preserve">项目实施及应急保障方案（</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cs="Times New Roman"/>
          <w:sz w:val="28"/>
          <w:szCs w:val="28"/>
          <w:highlight w:val="none"/>
          <w:lang w:eastAsia="zh-CN"/>
        </w:rPr>
        <w:t xml:space="preserve">投标人根据项目组织</w:t>
      </w:r>
      <w:r>
        <w:rPr>
          <w:rFonts w:hint="eastAsia" w:ascii="仿宋" w:hAnsi="仿宋" w:eastAsia="仿宋" w:cs="Times New Roman"/>
          <w:sz w:val="28"/>
          <w:szCs w:val="28"/>
          <w:highlight w:val="none"/>
          <w:lang w:val="en-US" w:eastAsia="zh-CN"/>
        </w:rPr>
        <w:t xml:space="preserve">架构（</w:t>
      </w:r>
      <w:r>
        <w:rPr>
          <w:rFonts w:hint="eastAsia" w:ascii="仿宋" w:hAnsi="仿宋" w:eastAsia="仿宋" w:cs="仿宋"/>
          <w:sz w:val="28"/>
          <w:szCs w:val="28"/>
          <w:highlight w:val="none"/>
        </w:rPr>
        <w:t xml:space="preserve">明确实施人员、售后人员岗位职责与人员配置</w:t>
      </w:r>
      <w:r>
        <w:rPr>
          <w:rFonts w:hint="eastAsia" w:ascii="仿宋" w:hAnsi="仿宋" w:eastAsia="仿宋" w:cs="Times New Roman"/>
          <w:sz w:val="28"/>
          <w:szCs w:val="28"/>
          <w:highlight w:val="none"/>
          <w:lang w:val="en-US" w:eastAsia="zh-CN"/>
        </w:rPr>
        <w:t xml:space="preserve">）、实施进度计划、现场安装部署（</w:t>
      </w:r>
      <w:r>
        <w:rPr>
          <w:rFonts w:hint="eastAsia" w:ascii="仿宋" w:hAnsi="仿宋" w:eastAsia="仿宋" w:cs="仿宋"/>
          <w:sz w:val="28"/>
          <w:szCs w:val="28"/>
          <w:highlight w:val="none"/>
        </w:rPr>
        <w:t xml:space="preserve">明确现场施工流程、作业规范、安全管控措施</w:t>
      </w:r>
      <w:r>
        <w:rPr>
          <w:rFonts w:hint="eastAsia" w:ascii="仿宋" w:hAnsi="仿宋" w:eastAsia="仿宋" w:cs="Times New Roman"/>
          <w:sz w:val="28"/>
          <w:szCs w:val="28"/>
          <w:highlight w:val="none"/>
          <w:lang w:val="en-US" w:eastAsia="zh-CN"/>
        </w:rPr>
        <w:t xml:space="preserve">）、质量管控（</w:t>
      </w:r>
      <w:r>
        <w:rPr>
          <w:rFonts w:hint="eastAsia" w:ascii="仿宋" w:hAnsi="仿宋" w:eastAsia="仿宋" w:cs="仿宋"/>
          <w:sz w:val="28"/>
          <w:szCs w:val="28"/>
          <w:highlight w:val="none"/>
        </w:rPr>
        <w:t xml:space="preserve">明确设备进场检验、完工检测的质量管控流程</w:t>
      </w:r>
      <w:r>
        <w:rPr>
          <w:rFonts w:hint="eastAsia" w:ascii="仿宋" w:hAnsi="仿宋" w:eastAsia="仿宋" w:cs="Times New Roman"/>
          <w:sz w:val="28"/>
          <w:szCs w:val="28"/>
          <w:highlight w:val="none"/>
          <w:lang w:val="en-US" w:eastAsia="zh-CN"/>
        </w:rPr>
        <w:t xml:space="preserve">）、故障应急响应、备件保障（</w:t>
      </w:r>
      <w:r>
        <w:rPr>
          <w:rFonts w:hint="eastAsia" w:ascii="仿宋" w:hAnsi="仿宋" w:eastAsia="仿宋" w:cs="仿宋"/>
          <w:sz w:val="28"/>
          <w:szCs w:val="28"/>
          <w:highlight w:val="none"/>
        </w:rPr>
        <w:t xml:space="preserve">明确备件库、备件种类、备件更换到位时限</w:t>
      </w:r>
      <w:r>
        <w:rPr>
          <w:rFonts w:hint="eastAsia" w:ascii="仿宋" w:hAnsi="仿宋" w:eastAsia="仿宋" w:cs="Times New Roman"/>
          <w:sz w:val="28"/>
          <w:szCs w:val="28"/>
          <w:highlight w:val="none"/>
          <w:lang w:val="en-US" w:eastAsia="zh-CN"/>
        </w:rPr>
        <w:t xml:space="preserve">）、风险处置等方面提供方案。方案内容完整优于采购需求的得5分；</w:t>
      </w:r>
      <w:r>
        <w:rPr>
          <w:rFonts w:hint="eastAsia" w:ascii="仿宋" w:hAnsi="仿宋" w:eastAsia="仿宋" w:cs="Times New Roman"/>
          <w:sz w:val="28"/>
          <w:szCs w:val="28"/>
          <w:highlight w:val="none"/>
        </w:rPr>
        <w:t xml:space="preserve">方案基本完整可行的得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方案简单、缺项严重不得分</w:t>
      </w:r>
      <w:r>
        <w:rPr>
          <w:rFonts w:hint="eastAsia" w:ascii="仿宋" w:hAnsi="仿宋" w:eastAsia="仿宋" w:cs="Times New Roman"/>
          <w:sz w:val="28"/>
          <w:szCs w:val="28"/>
          <w:highlight w:val="none"/>
          <w:lang w:eastAsia="zh-CN"/>
        </w:rPr>
        <w:t xml:space="preserve">。</w:t>
      </w:r>
      <w:r/>
    </w:p>
    <w:p>
      <w:pPr>
        <w:numPr>
          <w:ilvl w:val="0"/>
          <w:numId w:val="0"/>
        </w:numPr>
        <w:ind w:firstLine="562"/>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cs="Times New Roman"/>
          <w:b/>
          <w:bCs/>
          <w:sz w:val="28"/>
          <w:szCs w:val="28"/>
          <w:highlight w:val="none"/>
          <w:lang w:eastAsia="zh-CN"/>
        </w:rPr>
        <w:t xml:space="preserve">注：本项目的方案部分采用暗标方式进行评审，投标人需按照第二章“投标人须知”第1</w:t>
      </w:r>
      <w:r>
        <w:rPr>
          <w:rFonts w:hint="eastAsia" w:ascii="仿宋" w:hAnsi="仿宋" w:eastAsia="仿宋" w:cs="Times New Roman"/>
          <w:b/>
          <w:bCs/>
          <w:sz w:val="28"/>
          <w:szCs w:val="28"/>
          <w:highlight w:val="none"/>
          <w:lang w:val="en-US" w:eastAsia="zh-CN"/>
        </w:rPr>
        <w:t xml:space="preserve">7</w:t>
      </w:r>
      <w:r>
        <w:rPr>
          <w:rFonts w:hint="eastAsia" w:ascii="仿宋" w:hAnsi="仿宋" w:eastAsia="仿宋" w:cs="Times New Roman"/>
          <w:b/>
          <w:bCs/>
          <w:sz w:val="28"/>
          <w:szCs w:val="28"/>
          <w:highlight w:val="none"/>
          <w:lang w:eastAsia="zh-CN"/>
        </w:rPr>
        <w:t xml:space="preserve">条的要求编制方案，未按要求编制的本项不得分。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5、商务部分:</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分</w:t>
      </w:r>
      <w:r/>
    </w:p>
    <w:p>
      <w:pPr>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）投标人所投产品具有全国统一400官方服务热线的得</w:t>
      </w:r>
      <w:r>
        <w:rPr>
          <w:rFonts w:hint="eastAsia" w:ascii="仿宋" w:hAnsi="仿宋" w:eastAsia="仿宋" w:cs="Times New Roman"/>
          <w:sz w:val="28"/>
          <w:szCs w:val="28"/>
          <w:highlight w:val="none"/>
          <w:lang w:val="en-US" w:eastAsia="zh-CN"/>
        </w:rPr>
        <w:t xml:space="preserve">1分；具有</w:t>
      </w:r>
      <w:r>
        <w:rPr>
          <w:rFonts w:hint="eastAsia" w:ascii="仿宋" w:hAnsi="仿宋" w:eastAsia="仿宋" w:cs="Times New Roman"/>
          <w:sz w:val="28"/>
          <w:szCs w:val="28"/>
          <w:highlight w:val="none"/>
          <w:lang w:eastAsia="zh-CN"/>
        </w:rPr>
        <w:t xml:space="preserve">可查询本地官方售后服务网点信息的得</w:t>
      </w:r>
      <w:r>
        <w:rPr>
          <w:rFonts w:hint="eastAsia" w:ascii="仿宋" w:hAnsi="仿宋" w:eastAsia="仿宋" w:cs="Times New Roman"/>
          <w:sz w:val="28"/>
          <w:szCs w:val="28"/>
          <w:highlight w:val="none"/>
          <w:lang w:val="en-US" w:eastAsia="zh-CN"/>
        </w:rPr>
        <w:t xml:space="preserve">1分；本项最多得2分。（提供相关截图证明，</w:t>
      </w:r>
      <w:r>
        <w:rPr>
          <w:rFonts w:hint="eastAsia" w:ascii="仿宋" w:hAnsi="仿宋" w:eastAsia="仿宋" w:cs="Times New Roman"/>
          <w:sz w:val="28"/>
          <w:szCs w:val="28"/>
          <w:highlight w:val="none"/>
          <w:lang w:eastAsia="zh-CN"/>
        </w:rPr>
        <w:t xml:space="preserve">加盖投标人电子签章</w:t>
      </w:r>
      <w:r>
        <w:rPr>
          <w:rFonts w:hint="eastAsia" w:ascii="仿宋" w:hAnsi="仿宋" w:eastAsia="仿宋" w:cs="Times New Roman"/>
          <w:sz w:val="28"/>
          <w:szCs w:val="28"/>
          <w:highlight w:val="none"/>
          <w:lang w:val="en-US" w:eastAsia="zh-CN"/>
        </w:rPr>
        <w:t xml:space="preserve">）</w:t>
      </w:r>
      <w:r/>
    </w:p>
    <w:p>
      <w:pPr>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（2）投标人承诺设备</w:t>
      </w:r>
      <w:r>
        <w:rPr>
          <w:rFonts w:hint="eastAsia" w:ascii="仿宋" w:hAnsi="仿宋" w:eastAsia="仿宋" w:cs="Times New Roman"/>
          <w:sz w:val="28"/>
          <w:szCs w:val="28"/>
          <w:highlight w:val="none"/>
          <w:lang w:eastAsia="zh-CN"/>
        </w:rPr>
        <w:t xml:space="preserve">故障4小时内响应、24小时内故障修复的得</w:t>
      </w:r>
      <w:r>
        <w:rPr>
          <w:rFonts w:hint="eastAsia" w:ascii="仿宋" w:hAnsi="仿宋" w:eastAsia="仿宋" w:cs="Times New Roman"/>
          <w:sz w:val="28"/>
          <w:szCs w:val="28"/>
          <w:highlight w:val="none"/>
          <w:lang w:val="en-US" w:eastAsia="zh-CN"/>
        </w:rPr>
        <w:t xml:space="preserve">1分。（提供相关承诺函，格式自拟加盖投标人电子签章）</w:t>
      </w:r>
      <w:r/>
    </w:p>
    <w:p>
      <w:pPr>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（3）投标人承诺</w:t>
      </w:r>
      <w:r>
        <w:rPr>
          <w:rFonts w:hint="eastAsia" w:ascii="仿宋" w:hAnsi="仿宋" w:eastAsia="仿宋" w:cs="Times New Roman"/>
          <w:sz w:val="28"/>
          <w:szCs w:val="28"/>
          <w:highlight w:val="none"/>
          <w:lang w:eastAsia="zh-CN"/>
        </w:rPr>
        <w:t xml:space="preserve">在三年原厂质保基础上，每增加一年免费原厂质保得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分，本项最高得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lang w:eastAsia="zh-CN"/>
        </w:rPr>
        <w:t xml:space="preserve">分。</w:t>
      </w:r>
      <w:r>
        <w:rPr>
          <w:rFonts w:hint="eastAsia" w:ascii="仿宋" w:hAnsi="仿宋" w:eastAsia="仿宋" w:cs="Times New Roman"/>
          <w:sz w:val="28"/>
          <w:szCs w:val="28"/>
          <w:highlight w:val="none"/>
          <w:lang w:val="en-US" w:eastAsia="zh-CN"/>
        </w:rPr>
        <w:t xml:space="preserve">（提供相关承诺函，格式自拟加盖投标人电子签章）</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676"/>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76"/>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p>
    <w:p>
      <w:pPr>
        <w:pStyle w:val="67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p>
    <w:p>
      <w:pPr>
        <w:pStyle w:val="676"/>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p>
    <w:p>
      <w:pPr>
        <w:pStyle w:val="676"/>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p>
    <w:p>
      <w:pPr>
        <w:pStyle w:val="676"/>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p>
    <w:p>
      <w:pPr>
        <w:pStyle w:val="676"/>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p>
    <w:p>
      <w:pPr>
        <w:pStyle w:val="676"/>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p>
    <w:p>
      <w:pPr>
        <w:pStyle w:val="676"/>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p>
    <w:p>
      <w:pPr>
        <w:pStyle w:val="676"/>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p>
    <w:p>
      <w:pPr>
        <w:pStyle w:val="676"/>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p>
    <w:p>
      <w:pPr>
        <w:pStyle w:val="67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五、验收</w:t>
      </w:r>
      <w:r>
        <w:rPr>
          <w:rFonts w:ascii="仿宋" w:hAnsi="仿宋" w:eastAsia="仿宋"/>
          <w:sz w:val="28"/>
          <w:szCs w:val="28"/>
          <w:highlight w:val="none"/>
        </w:rPr>
        <w:t xml:space="preserve"> </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甲方依法组织履约验收工作。</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对于实际使用人和甲方分离的项目，甲方邀请实际使用人参与验收。</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如有必要，甲方邀请参加本项目的其他供应商或第三方专业机构及专家参与验收，相关意见将作为验收书的参考资料。</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p>
    <w:p>
      <w:pPr>
        <w:numPr>
          <w:ilvl w:val="0"/>
          <w:numId w:val="3"/>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p>
    <w:p>
      <w:pPr>
        <w:numPr>
          <w:ilvl w:val="0"/>
          <w:numId w:val="3"/>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p>
    <w:p>
      <w:pPr>
        <w:numPr>
          <w:ilvl w:val="0"/>
          <w:numId w:val="3"/>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、合同履行结束后，甲方应及时退还交纳的履约保证金。</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（1）履约保证金退还方式：XXXX</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（2）履约保证金退还时间：XXXX</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（3）履约保证金退还条件：XXXX</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p>
    <w:p>
      <w:pPr>
        <w:pStyle w:val="67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p>
    <w:p>
      <w:pPr>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p>
    <w:p>
      <w:pPr>
        <w:pStyle w:val="682"/>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p>
    <w:p>
      <w:pPr>
        <w:pStyle w:val="682"/>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p>
    <w:p>
      <w:pPr>
        <w:pStyle w:val="682"/>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p>
    <w:p>
      <w:pPr>
        <w:pStyle w:val="682"/>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676"/>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p>
    <w:p>
      <w:pPr>
        <w:pStyle w:val="676"/>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p>
    <w:p>
      <w:pPr>
        <w:pStyle w:val="676"/>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p>
    <w:p>
      <w:pPr>
        <w:pStyle w:val="676"/>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p>
    <w:p>
      <w:pPr>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676"/>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p>
    <w:p>
      <w:pPr>
        <w:pStyle w:val="676"/>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pStyle w:val="67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一、采购清单</w:t>
      </w:r>
      <w:r/>
    </w:p>
    <w:tbl>
      <w:tblPr>
        <w:tblStyle w:val="673"/>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516"/>
        <w:gridCol w:w="2977"/>
        <w:gridCol w:w="992"/>
        <w:gridCol w:w="1367"/>
      </w:tblGrid>
      <w:tr>
        <w:trPr>
          <w:jc w:val="center"/>
          <w:trHeight w:val="0"/>
        </w:trPr>
        <w:tc>
          <w:tcPr>
            <w:tcW w:w="1304"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序号</w:t>
            </w:r>
            <w:r/>
          </w:p>
        </w:tc>
        <w:tc>
          <w:tcPr>
            <w:tcW w:w="2516"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设备名称</w:t>
            </w:r>
            <w:r/>
          </w:p>
        </w:tc>
        <w:tc>
          <w:tcPr>
            <w:tcW w:w="2977"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技术参数</w:t>
            </w:r>
            <w:r/>
          </w:p>
        </w:tc>
        <w:tc>
          <w:tcPr>
            <w:tcW w:w="992"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数量</w:t>
            </w:r>
            <w:r/>
          </w:p>
        </w:tc>
        <w:tc>
          <w:tcPr>
            <w:tcW w:w="1367"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单位</w:t>
            </w:r>
            <w:r/>
          </w:p>
        </w:tc>
      </w:tr>
      <w:tr>
        <w:trPr>
          <w:jc w:val="center"/>
          <w:trHeight w:val="312"/>
        </w:trPr>
        <w:tc>
          <w:tcPr>
            <w:tcW w:w="1304"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w:t>
            </w:r>
            <w:r/>
          </w:p>
        </w:tc>
        <w:tc>
          <w:tcPr>
            <w:tcW w:w="2516"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i w:val="0"/>
                <w:iCs w:val="0"/>
                <w:caps w:val="0"/>
                <w:color w:val="333333"/>
                <w:spacing w:val="0"/>
                <w:sz w:val="28"/>
                <w:szCs w:val="28"/>
                <w:highlight w:val="none"/>
                <w:shd w:val="clear" w:color="auto" w:fill="ffffff"/>
                <w:lang w:eastAsia="zh-CN"/>
              </w:rPr>
              <w:t xml:space="preserve">台式计算机</w:t>
            </w:r>
            <w:r/>
          </w:p>
        </w:tc>
        <w:tc>
          <w:tcPr>
            <w:tcW w:w="2977" w:type="dxa"/>
            <w:vAlign w:val="center"/>
            <w:textDirection w:val="lrTb"/>
            <w:noWrap w:val="false"/>
          </w:tcPr>
          <w:p>
            <w:pPr>
              <w:jc w:val="center"/>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p>
        </w:tc>
        <w:tc>
          <w:tcPr>
            <w:tcW w:w="992"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w:t>
            </w:r>
            <w:r>
              <w:rPr>
                <w:rFonts w:hint="eastAsia" w:ascii="仿宋" w:hAnsi="仿宋" w:eastAsia="仿宋" w:cs="仿宋"/>
                <w:b w:val="0"/>
                <w:bCs w:val="0"/>
                <w:sz w:val="28"/>
                <w:szCs w:val="28"/>
                <w:highlight w:val="none"/>
              </w:rPr>
              <w:t xml:space="preserve">5</w:t>
            </w:r>
            <w:r/>
          </w:p>
        </w:tc>
        <w:tc>
          <w:tcPr>
            <w:tcW w:w="1367" w:type="dxa"/>
            <w:vAlign w:val="center"/>
            <w:textDirection w:val="lrTb"/>
            <w:noWrap w:val="false"/>
          </w:tcPr>
          <w:p>
            <w:pPr>
              <w:jc w:val="center"/>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台</w:t>
            </w:r>
            <w:r/>
          </w:p>
        </w:tc>
      </w:tr>
      <w:tr>
        <w:trPr>
          <w:jc w:val="center"/>
          <w:trHeight w:val="312"/>
        </w:trPr>
        <w:tc>
          <w:tcPr>
            <w:tcW w:w="1304" w:type="dxa"/>
            <w:vAlign w:val="center"/>
            <w:textDirection w:val="lrTb"/>
            <w:noWrap w:val="false"/>
          </w:tcPr>
          <w:p>
            <w:pPr>
              <w:jc w:val="center"/>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p>
        </w:tc>
        <w:tc>
          <w:tcPr>
            <w:tcW w:w="2516" w:type="dxa"/>
            <w:vAlign w:val="center"/>
            <w:textDirection w:val="lrTb"/>
            <w:noWrap w:val="false"/>
          </w:tcPr>
          <w:p>
            <w:pPr>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color w:val="000000"/>
                <w:sz w:val="28"/>
                <w:szCs w:val="28"/>
                <w:highlight w:val="none"/>
                <w:lang w:val="en-US" w:eastAsia="zh-CN"/>
              </w:rPr>
              <w:t xml:space="preserve">同传管理系统</w:t>
            </w:r>
            <w:r/>
          </w:p>
        </w:tc>
        <w:tc>
          <w:tcPr>
            <w:tcW w:w="2977" w:type="dxa"/>
            <w:vAlign w:val="center"/>
            <w:textDirection w:val="lrTb"/>
            <w:noWrap w:val="false"/>
          </w:tcPr>
          <w:p>
            <w:pPr>
              <w:jc w:val="center"/>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p>
        </w:tc>
        <w:tc>
          <w:tcPr>
            <w:tcW w:w="992" w:type="dxa"/>
            <w:vAlign w:val="center"/>
            <w:textDirection w:val="lrTb"/>
            <w:noWrap w:val="false"/>
          </w:tcPr>
          <w:p>
            <w:pPr>
              <w:jc w:val="center"/>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p>
        </w:tc>
        <w:tc>
          <w:tcPr>
            <w:tcW w:w="1367" w:type="dxa"/>
            <w:vAlign w:val="center"/>
            <w:textDirection w:val="lrTb"/>
            <w:noWrap w:val="false"/>
          </w:tcPr>
          <w:p>
            <w:pPr>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b w:val="0"/>
                <w:bCs w:val="0"/>
                <w:sz w:val="28"/>
                <w:szCs w:val="28"/>
                <w:highlight w:val="none"/>
                <w:lang w:val="en-US" w:eastAsia="zh-CN"/>
              </w:rPr>
              <w:t xml:space="preserve">套</w:t>
            </w:r>
            <w:r/>
          </w:p>
        </w:tc>
      </w:tr>
      <w:tr>
        <w:trPr>
          <w:jc w:val="center"/>
          <w:trHeight w:val="312"/>
        </w:trPr>
        <w:tc>
          <w:tcPr>
            <w:tcW w:w="1304" w:type="dxa"/>
            <w:vAlign w:val="center"/>
            <w:textDirection w:val="lrTb"/>
            <w:noWrap w:val="false"/>
          </w:tcPr>
          <w:p>
            <w:pPr>
              <w:jc w:val="center"/>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w:t>
            </w:r>
            <w:r/>
          </w:p>
        </w:tc>
        <w:tc>
          <w:tcPr>
            <w:tcW w:w="2516" w:type="dxa"/>
            <w:vAlign w:val="center"/>
            <w:textDirection w:val="lrTb"/>
            <w:noWrap w:val="false"/>
          </w:tcPr>
          <w:p>
            <w:pPr>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color w:val="000000"/>
                <w:sz w:val="28"/>
                <w:szCs w:val="28"/>
                <w:highlight w:val="none"/>
                <w:lang w:val="en-US" w:eastAsia="zh-CN"/>
              </w:rPr>
              <w:t xml:space="preserve">教学管理系统</w:t>
            </w:r>
            <w:r/>
          </w:p>
        </w:tc>
        <w:tc>
          <w:tcPr>
            <w:tcW w:w="2977" w:type="dxa"/>
            <w:vAlign w:val="center"/>
            <w:textDirection w:val="lrTb"/>
            <w:noWrap w:val="false"/>
          </w:tcPr>
          <w:p>
            <w:pPr>
              <w:jc w:val="center"/>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p>
        </w:tc>
        <w:tc>
          <w:tcPr>
            <w:tcW w:w="992" w:type="dxa"/>
            <w:vAlign w:val="center"/>
            <w:textDirection w:val="lrTb"/>
            <w:noWrap w:val="false"/>
          </w:tcPr>
          <w:p>
            <w:pPr>
              <w:jc w:val="center"/>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p>
        </w:tc>
        <w:tc>
          <w:tcPr>
            <w:tcW w:w="1367" w:type="dxa"/>
            <w:vAlign w:val="center"/>
            <w:textDirection w:val="lrTb"/>
            <w:noWrap w:val="false"/>
          </w:tcPr>
          <w:p>
            <w:pPr>
              <w:jc w:val="center"/>
              <w:rPr>
                <w:rFonts w:hint="eastAsia" w:ascii="仿宋" w:hAnsi="仿宋" w:eastAsia="仿宋" w:cs="仿宋"/>
                <w:b w:val="0"/>
                <w:bCs w:val="0"/>
                <w:i w:val="0"/>
                <w:iCs w:val="0"/>
                <w:caps w:val="0"/>
                <w:color w:val="333333"/>
                <w:spacing w:val="0"/>
                <w:sz w:val="28"/>
                <w:szCs w:val="28"/>
                <w:highlight w:val="none"/>
                <w:shd w:val="clear" w:color="auto" w:fill="ffffff"/>
                <w:lang w:eastAsia="zh-CN"/>
              </w:rPr>
            </w:pPr>
            <w:r>
              <w:rPr>
                <w:rFonts w:hint="eastAsia" w:ascii="仿宋" w:hAnsi="仿宋" w:eastAsia="仿宋" w:cs="仿宋"/>
                <w:b w:val="0"/>
                <w:bCs w:val="0"/>
                <w:i w:val="0"/>
                <w:iCs w:val="0"/>
                <w:caps w:val="0"/>
                <w:color w:val="333333"/>
                <w:spacing w:val="0"/>
                <w:sz w:val="28"/>
                <w:szCs w:val="28"/>
                <w:highlight w:val="none"/>
                <w:shd w:val="clear" w:color="auto" w:fill="ffffff"/>
                <w:lang w:eastAsia="zh-CN"/>
              </w:rPr>
              <w:t xml:space="preserve">套</w:t>
            </w:r>
            <w:r/>
          </w:p>
        </w:tc>
      </w:tr>
    </w:tbl>
    <w:p>
      <w:pPr>
        <w:pStyle w:val="67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r>
      <w:r/>
    </w:p>
    <w:p>
      <w:pPr>
        <w:pStyle w:val="676"/>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二、</w:t>
      </w:r>
      <w:r>
        <w:rPr>
          <w:rFonts w:hint="eastAsia" w:ascii="仿宋" w:hAnsi="仿宋" w:eastAsia="仿宋"/>
          <w:bCs/>
          <w:sz w:val="28"/>
          <w:szCs w:val="28"/>
          <w:highlight w:val="none"/>
          <w:lang w:eastAsia="zh-CN"/>
        </w:rPr>
        <w:t xml:space="preserve">技术参数要求</w:t>
      </w:r>
      <w:r/>
    </w:p>
    <w:p>
      <w:pPr>
        <w:ind w:firstLine="560"/>
        <w:spacing w:line="520" w:lineRule="exact"/>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★1.总体要求</w:t>
      </w:r>
      <w:r/>
    </w:p>
    <w:tbl>
      <w:tblPr>
        <w:tblStyle w:val="673"/>
        <w:tblW w:w="48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7438"/>
      </w:tblGrid>
      <w:tr>
        <w:trPr>
          <w:jc w:val="center"/>
          <w:trHeight w:val="1214"/>
        </w:trPr>
        <w:tc>
          <w:tcPr>
            <w:tcBorders>
              <w:left w:val="single" w:color="auto" w:sz="4" w:space="0"/>
              <w:right w:val="single" w:color="auto" w:sz="4" w:space="0"/>
            </w:tcBorders>
            <w:tcW w:w="736" w:type="pct"/>
            <w:vAlign w:val="center"/>
            <w:textDirection w:val="lrTb"/>
            <w:noWrap w:val="false"/>
          </w:tcPr>
          <w:p>
            <w:pPr>
              <w:jc w:val="cente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总体</w:t>
            </w:r>
            <w:r/>
          </w:p>
          <w:p>
            <w:pPr>
              <w:jc w:val="center"/>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要求</w:t>
            </w:r>
            <w:r/>
          </w:p>
        </w:tc>
        <w:tc>
          <w:tcPr>
            <w:tcBorders>
              <w:top w:val="single" w:color="auto" w:sz="4" w:space="0"/>
              <w:left w:val="single" w:color="auto" w:sz="4" w:space="0"/>
              <w:bottom w:val="single" w:color="auto" w:sz="4" w:space="0"/>
              <w:right w:val="single" w:color="auto" w:sz="4" w:space="0"/>
            </w:tcBorders>
            <w:tcW w:w="4264" w:type="pct"/>
            <w:vAlign w:val="center"/>
            <w:textDirection w:val="lrTb"/>
            <w:noWrap w:val="false"/>
          </w:tcPr>
          <w:p>
            <w:pPr>
              <w:jc w:val="left"/>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台式计算机</w:t>
            </w:r>
            <w:r>
              <w:rPr>
                <w:rFonts w:hint="eastAsia" w:ascii="仿宋" w:hAnsi="仿宋" w:eastAsia="仿宋" w:cs="仿宋"/>
                <w:color w:val="auto"/>
                <w:sz w:val="28"/>
                <w:szCs w:val="28"/>
                <w:highlight w:val="none"/>
              </w:rPr>
              <w:t xml:space="preserve">必须满足【财库〔2023〕29号】财政部 工业和信息化部关于印发《</w:t>
            </w:r>
            <w:r>
              <w:rPr>
                <w:rFonts w:hint="eastAsia" w:ascii="仿宋" w:hAnsi="仿宋" w:eastAsia="仿宋" w:cs="仿宋"/>
                <w:color w:val="auto"/>
                <w:sz w:val="28"/>
                <w:szCs w:val="28"/>
                <w:highlight w:val="none"/>
                <w:lang w:eastAsia="zh-CN"/>
              </w:rPr>
              <w:t xml:space="preserve">台式计算机</w:t>
            </w:r>
            <w:r>
              <w:rPr>
                <w:rFonts w:hint="eastAsia" w:ascii="仿宋" w:hAnsi="仿宋" w:eastAsia="仿宋" w:cs="仿宋"/>
                <w:color w:val="auto"/>
                <w:sz w:val="28"/>
                <w:szCs w:val="28"/>
                <w:highlight w:val="none"/>
              </w:rPr>
              <w:t xml:space="preserve">政府采购需求标准（2023年版）》的通知中的</w:t>
            </w:r>
            <w:r>
              <w:rPr>
                <w:rFonts w:hint="eastAsia" w:ascii="仿宋" w:hAnsi="仿宋" w:eastAsia="仿宋" w:cs="仿宋"/>
                <w:color w:val="auto"/>
                <w:sz w:val="28"/>
                <w:szCs w:val="28"/>
                <w:highlight w:val="none"/>
                <w:lang w:eastAsia="zh-CN"/>
              </w:rPr>
              <w:t xml:space="preserve">台式计算机</w:t>
            </w:r>
            <w:r>
              <w:rPr>
                <w:rFonts w:hint="eastAsia" w:ascii="仿宋" w:hAnsi="仿宋" w:eastAsia="仿宋" w:cs="仿宋"/>
                <w:color w:val="auto"/>
                <w:sz w:val="28"/>
                <w:szCs w:val="28"/>
                <w:highlight w:val="none"/>
              </w:rPr>
              <w:t xml:space="preserve">政府采购需求标准</w:t>
            </w:r>
            <w:r>
              <w:rPr>
                <w:rFonts w:hint="eastAsia" w:ascii="仿宋" w:hAnsi="仿宋" w:eastAsia="仿宋" w:cs="仿宋"/>
                <w:color w:val="auto"/>
                <w:sz w:val="28"/>
                <w:szCs w:val="28"/>
                <w:highlight w:val="none"/>
                <w:lang w:eastAsia="zh-CN"/>
              </w:rPr>
              <w:t xml:space="preserve">。</w:t>
            </w:r>
            <w:r/>
          </w:p>
        </w:tc>
      </w:tr>
    </w:tbl>
    <w:p>
      <w:pPr>
        <w:pStyle w:val="682"/>
        <w:ind w:firstLine="562"/>
        <w:keepLines w:val="0"/>
        <w:keepNext w:val="0"/>
        <w:pageBreakBefore w:val="0"/>
        <w:spacing w:line="520" w:lineRule="exact"/>
        <w:widowControl w:val="off"/>
        <w:rPr>
          <w:rFonts w:hint="default" w:hAnsi="仿宋" w:eastAsia="仿宋"/>
          <w:b/>
          <w:bCs/>
          <w:color w:val="auto"/>
          <w:sz w:val="28"/>
          <w:szCs w:val="28"/>
          <w:highlight w:val="none"/>
          <w:lang w:val="en-US" w:eastAsia="zh-CN"/>
        </w:rPr>
      </w:pPr>
      <w:r>
        <w:rPr>
          <w:rFonts w:hint="eastAsia" w:hAnsi="仿宋"/>
          <w:b/>
          <w:bCs/>
          <w:color w:val="auto"/>
          <w:sz w:val="28"/>
          <w:szCs w:val="28"/>
          <w:highlight w:val="none"/>
          <w:lang w:val="en-US" w:eastAsia="zh-CN"/>
        </w:rPr>
        <w:t xml:space="preserve">注：投标人需承诺所投</w:t>
      </w:r>
      <w:r>
        <w:rPr>
          <w:rFonts w:hint="eastAsia" w:hAnsi="仿宋"/>
          <w:b/>
          <w:bCs/>
          <w:strike w:val="0"/>
          <w:color w:val="auto"/>
          <w:sz w:val="28"/>
          <w:szCs w:val="28"/>
          <w:highlight w:val="none"/>
          <w:lang w:val="en-US" w:eastAsia="zh-CN"/>
        </w:rPr>
        <w:t xml:space="preserve">产品</w:t>
      </w:r>
      <w:r>
        <w:rPr>
          <w:rFonts w:hint="eastAsia" w:hAnsi="仿宋"/>
          <w:b/>
          <w:bCs/>
          <w:color w:val="auto"/>
          <w:sz w:val="28"/>
          <w:szCs w:val="28"/>
          <w:highlight w:val="none"/>
          <w:lang w:val="en-US" w:eastAsia="zh-CN"/>
        </w:rPr>
        <w:t xml:space="preserve">满足</w:t>
      </w:r>
      <w:r>
        <w:rPr>
          <w:rFonts w:hint="eastAsia" w:ascii="仿宋" w:hAnsi="仿宋" w:eastAsia="仿宋" w:cs="仿宋"/>
          <w:b/>
          <w:bCs/>
          <w:color w:val="auto"/>
          <w:sz w:val="28"/>
          <w:szCs w:val="28"/>
          <w:highlight w:val="none"/>
        </w:rPr>
        <w:t xml:space="preserve">【财库〔2023〕29号】财政部 工业和信息化部关于印发《</w:t>
      </w:r>
      <w:r>
        <w:rPr>
          <w:rFonts w:hint="eastAsia" w:ascii="仿宋" w:hAnsi="仿宋" w:eastAsia="仿宋" w:cs="仿宋"/>
          <w:b/>
          <w:bCs/>
          <w:color w:val="auto"/>
          <w:sz w:val="28"/>
          <w:szCs w:val="28"/>
          <w:highlight w:val="none"/>
          <w:lang w:eastAsia="zh-CN"/>
        </w:rPr>
        <w:t xml:space="preserve">台式计算机</w:t>
      </w:r>
      <w:r>
        <w:rPr>
          <w:rFonts w:hint="eastAsia" w:ascii="仿宋" w:hAnsi="仿宋" w:eastAsia="仿宋" w:cs="仿宋"/>
          <w:b/>
          <w:bCs/>
          <w:color w:val="auto"/>
          <w:sz w:val="28"/>
          <w:szCs w:val="28"/>
          <w:highlight w:val="none"/>
        </w:rPr>
        <w:t xml:space="preserve">政府采购需求标准（2023年版）》的通知</w:t>
      </w:r>
      <w:r>
        <w:rPr>
          <w:rFonts w:hint="eastAsia" w:hAnsi="仿宋" w:cs="仿宋"/>
          <w:b/>
          <w:bCs/>
          <w:color w:val="auto"/>
          <w:sz w:val="28"/>
          <w:szCs w:val="28"/>
          <w:highlight w:val="none"/>
          <w:lang w:val="en-US" w:eastAsia="zh-CN"/>
        </w:rPr>
        <w:t xml:space="preserve">中的</w:t>
      </w:r>
      <w:r>
        <w:rPr>
          <w:rFonts w:hint="eastAsia" w:ascii="仿宋" w:hAnsi="仿宋" w:eastAsia="仿宋" w:cs="仿宋"/>
          <w:b/>
          <w:bCs/>
          <w:color w:val="auto"/>
          <w:sz w:val="28"/>
          <w:szCs w:val="28"/>
          <w:highlight w:val="none"/>
        </w:rPr>
        <w:t xml:space="preserve">需求标准</w:t>
      </w:r>
      <w:r>
        <w:rPr>
          <w:rFonts w:hint="eastAsia" w:hAnsi="仿宋" w:cs="仿宋"/>
          <w:b/>
          <w:bCs/>
          <w:color w:val="auto"/>
          <w:sz w:val="28"/>
          <w:szCs w:val="28"/>
          <w:highlight w:val="none"/>
          <w:lang w:val="en-US" w:eastAsia="zh-CN"/>
        </w:rPr>
        <w:t xml:space="preserve">加★项指标，承诺函格式自拟并加盖投标人电子签章，未承诺作无效文件处理。</w:t>
      </w:r>
      <w:r/>
    </w:p>
    <w:p>
      <w:pPr>
        <w:ind w:firstLine="560"/>
        <w:spacing w:line="52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2.具体技术参数要求</w:t>
      </w:r>
      <w:r/>
    </w:p>
    <w:p>
      <w:pPr>
        <w:pStyle w:val="682"/>
        <w:ind w:firstLine="560"/>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hAnsi="仿宋" w:cs="仿宋"/>
          <w:color w:val="auto"/>
          <w:sz w:val="28"/>
          <w:szCs w:val="28"/>
          <w:highlight w:val="none"/>
          <w:lang w:val="en-US" w:eastAsia="zh-CN"/>
        </w:rPr>
        <w:t xml:space="preserve">根据采购人对设备的兼容性、运维便捷性、质量售后统一性、资金使用效益及校园信息安全的核心需求，结合教学科研、日常办公场景的实际应用特点，设置以下技术参数要求，其中标注“</w:t>
      </w:r>
      <w:r>
        <w:rPr>
          <w:rFonts w:hint="eastAsia" w:ascii="仿宋" w:hAnsi="仿宋" w:eastAsia="仿宋" w:cs="仿宋"/>
          <w:color w:val="auto"/>
          <w:sz w:val="28"/>
          <w:szCs w:val="28"/>
          <w:highlight w:val="none"/>
          <w:lang w:val="en-US" w:eastAsia="zh-CN" w:bidi="ar"/>
        </w:rPr>
        <w:t xml:space="preserve">★</w:t>
      </w:r>
      <w:r>
        <w:rPr>
          <w:rFonts w:hint="eastAsia" w:hAnsi="仿宋" w:cs="仿宋"/>
          <w:color w:val="auto"/>
          <w:sz w:val="28"/>
          <w:szCs w:val="28"/>
          <w:highlight w:val="none"/>
          <w:lang w:val="en-US" w:eastAsia="zh-CN"/>
        </w:rPr>
        <w:t xml:space="preserve">”为实质性条款，未完全响应作无效文件处理。具体参数如下：</w:t>
      </w:r>
      <w:r/>
    </w:p>
    <w:tbl>
      <w:tblPr>
        <w:tblStyle w:val="673"/>
        <w:tblW w:w="8907" w:type="dxa"/>
        <w:jc w:val="center"/>
        <w:tblLayout w:type="autofit"/>
        <w:tblCellMar>
          <w:left w:w="108" w:type="dxa"/>
          <w:top w:w="0" w:type="dxa"/>
          <w:right w:w="108" w:type="dxa"/>
          <w:bottom w:w="0" w:type="dxa"/>
        </w:tblCellMar>
        <w:tblLook w:val="04A0" w:firstRow="1" w:lastRow="0" w:firstColumn="1" w:lastColumn="0" w:noHBand="0" w:noVBand="1"/>
      </w:tblPr>
      <w:tblGrid>
        <w:gridCol w:w="2111"/>
        <w:gridCol w:w="6796"/>
      </w:tblGrid>
      <w:tr>
        <w:trPr>
          <w:jc w:val="center"/>
          <w:trHeight w:val="0"/>
          <w:tblHeader/>
        </w:trPr>
        <w:tc>
          <w:tcPr>
            <w:tcBorders>
              <w:top w:val="single" w:color="auto" w:sz="8" w:space="0"/>
              <w:left w:val="single" w:color="auto" w:sz="8" w:space="0"/>
              <w:bottom w:val="single" w:color="auto" w:sz="8" w:space="0"/>
              <w:right w:val="single" w:color="auto" w:sz="8" w:space="0"/>
            </w:tcBorders>
            <w:tcW w:w="2381" w:type="dxa"/>
            <w:vAlign w:val="center"/>
            <w:textDirection w:val="lrTb"/>
            <w:noWrap w:val="false"/>
          </w:tcPr>
          <w:p>
            <w:pPr>
              <w:ind w:left="0" w:right="0" w:firstLine="0"/>
              <w:jc w:val="center"/>
              <w:keepNext/>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项目</w:t>
            </w:r>
            <w:r/>
          </w:p>
        </w:tc>
        <w:tc>
          <w:tcPr>
            <w:tcBorders>
              <w:top w:val="single" w:color="auto" w:sz="8" w:space="0"/>
              <w:left w:val="single" w:color="auto" w:sz="8" w:space="0"/>
              <w:bottom w:val="single" w:color="auto" w:sz="8" w:space="0"/>
              <w:right w:val="single" w:color="auto" w:sz="8" w:space="0"/>
            </w:tcBorders>
            <w:tcW w:w="6526" w:type="dxa"/>
            <w:vAlign w:val="center"/>
            <w:textDirection w:val="lrTb"/>
            <w:noWrap w:val="false"/>
          </w:tcPr>
          <w:p>
            <w:pPr>
              <w:ind w:left="0" w:right="0" w:firstLine="0"/>
              <w:jc w:val="center"/>
              <w:keepNext/>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技术参数要求</w:t>
            </w:r>
            <w:r/>
          </w:p>
        </w:tc>
      </w:tr>
      <w:tr>
        <w:trPr>
          <w:jc w:val="center"/>
          <w:trHeight w:val="0"/>
        </w:trPr>
        <w:tc>
          <w:tcPr>
            <w:tcBorders>
              <w:top w:val="single" w:color="auto" w:sz="8" w:space="0"/>
              <w:left w:val="single" w:color="auto" w:sz="8" w:space="0"/>
              <w:bottom w:val="single" w:color="auto" w:sz="8" w:space="0"/>
              <w:right w:val="single" w:color="auto" w:sz="8" w:space="0"/>
            </w:tcBorders>
            <w:tcW w:w="2381" w:type="dxa"/>
            <w:vAlign w:val="center"/>
            <w:textDirection w:val="lrTb"/>
            <w:noWrap w:val="false"/>
          </w:tcPr>
          <w:p>
            <w:pPr>
              <w:ind w:left="0" w:right="0" w:firstLine="0"/>
              <w:jc w:val="center"/>
              <w:keepNext/>
              <w:rPr>
                <w:rFonts w:hint="eastAsia" w:ascii="仿宋" w:hAnsi="仿宋" w:eastAsia="仿宋" w:cs="仿宋"/>
                <w:color w:val="000000"/>
                <w:sz w:val="28"/>
                <w:szCs w:val="28"/>
                <w:highlight w:val="none"/>
                <w:lang w:eastAsia="zh-CN"/>
              </w:rPr>
            </w:pPr>
            <w:r>
              <w:rPr>
                <w:rFonts w:hint="eastAsia" w:ascii="仿宋" w:hAnsi="仿宋" w:eastAsia="仿宋" w:cs="仿宋"/>
                <w:b w:val="0"/>
                <w:bCs w:val="0"/>
                <w:color w:val="auto"/>
                <w:sz w:val="28"/>
                <w:szCs w:val="28"/>
                <w:highlight w:val="none"/>
              </w:rPr>
              <w:t xml:space="preserve">★</w:t>
            </w:r>
            <w:r>
              <w:rPr>
                <w:rFonts w:hint="eastAsia" w:ascii="仿宋" w:hAnsi="仿宋" w:eastAsia="仿宋" w:cs="仿宋"/>
                <w:color w:val="000000"/>
                <w:sz w:val="28"/>
                <w:szCs w:val="28"/>
                <w:highlight w:val="none"/>
                <w:lang w:val="en-US" w:eastAsia="zh-CN"/>
              </w:rPr>
              <w:t xml:space="preserve">台式计算机</w:t>
            </w:r>
            <w:r/>
          </w:p>
        </w:tc>
        <w:tc>
          <w:tcPr>
            <w:tcBorders>
              <w:top w:val="single" w:color="auto" w:sz="8" w:space="0"/>
              <w:left w:val="single" w:color="auto" w:sz="8" w:space="0"/>
              <w:bottom w:val="single" w:color="auto" w:sz="8" w:space="0"/>
              <w:right w:val="single" w:color="auto" w:sz="8" w:space="0"/>
            </w:tcBorders>
            <w:tcW w:w="6526" w:type="dxa"/>
            <w:vAlign w:val="center"/>
            <w:textDirection w:val="lrTb"/>
            <w:noWrap w:val="false"/>
          </w:tcPr>
          <w:p>
            <w:pPr>
              <w:numPr>
                <w:ilvl w:val="0"/>
                <w:numId w:val="4"/>
              </w:numPr>
              <w:ind w:left="0" w:right="0" w:firstLine="0"/>
              <w:jc w:val="left"/>
              <w:keepNex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CPU:Intel 14代i7</w:t>
            </w:r>
            <w:r>
              <w:rPr>
                <w:rFonts w:hint="eastAsia" w:ascii="仿宋" w:hAnsi="仿宋" w:eastAsia="仿宋" w:cs="仿宋"/>
                <w:b w:val="0"/>
                <w:bCs w:val="0"/>
                <w:color w:val="auto"/>
                <w:sz w:val="28"/>
                <w:szCs w:val="28"/>
                <w:highlight w:val="none"/>
                <w:lang w:val="en-US" w:eastAsia="zh-CN"/>
              </w:rPr>
              <w:t xml:space="preserve">(14700)</w:t>
            </w:r>
            <w:r>
              <w:rPr>
                <w:rFonts w:hint="eastAsia" w:ascii="仿宋" w:hAnsi="仿宋" w:eastAsia="仿宋" w:cs="仿宋"/>
                <w:b w:val="0"/>
                <w:bCs w:val="0"/>
                <w:color w:val="auto"/>
                <w:sz w:val="28"/>
                <w:szCs w:val="28"/>
                <w:highlight w:val="none"/>
              </w:rPr>
              <w:t xml:space="preserve">及以上</w:t>
            </w:r>
            <w:r>
              <w:rPr>
                <w:rFonts w:hint="eastAsia" w:ascii="仿宋" w:hAnsi="仿宋" w:eastAsia="仿宋" w:cs="仿宋"/>
                <w:b w:val="0"/>
                <w:bCs w:val="0"/>
                <w:color w:val="auto"/>
                <w:sz w:val="28"/>
                <w:szCs w:val="28"/>
                <w:highlight w:val="none"/>
                <w:lang w:eastAsia="zh-CN"/>
              </w:rPr>
              <w:t xml:space="preserve">，核心数 ≥</w:t>
            </w:r>
            <w:r>
              <w:rPr>
                <w:rFonts w:hint="eastAsia" w:ascii="仿宋" w:hAnsi="仿宋" w:eastAsia="仿宋" w:cs="仿宋"/>
                <w:b w:val="0"/>
                <w:bCs w:val="0"/>
                <w:color w:val="auto"/>
                <w:sz w:val="28"/>
                <w:szCs w:val="28"/>
                <w:highlight w:val="none"/>
                <w:lang w:val="en-US" w:eastAsia="zh-CN"/>
              </w:rPr>
              <w:t xml:space="preserve">20</w:t>
            </w:r>
            <w:r>
              <w:rPr>
                <w:rFonts w:hint="eastAsia" w:ascii="仿宋" w:hAnsi="仿宋" w:eastAsia="仿宋" w:cs="仿宋"/>
                <w:b w:val="0"/>
                <w:bCs w:val="0"/>
                <w:color w:val="auto"/>
                <w:sz w:val="28"/>
                <w:szCs w:val="28"/>
                <w:highlight w:val="none"/>
                <w:lang w:eastAsia="zh-CN"/>
              </w:rPr>
              <w:t xml:space="preserve"> 核，线程数 ≥</w:t>
            </w:r>
            <w:r>
              <w:rPr>
                <w:rFonts w:hint="eastAsia" w:ascii="仿宋" w:hAnsi="仿宋" w:eastAsia="仿宋" w:cs="仿宋"/>
                <w:b w:val="0"/>
                <w:bCs w:val="0"/>
                <w:color w:val="auto"/>
                <w:sz w:val="28"/>
                <w:szCs w:val="28"/>
                <w:highlight w:val="none"/>
                <w:lang w:val="en-US" w:eastAsia="zh-CN"/>
              </w:rPr>
              <w:t xml:space="preserve">28</w:t>
            </w:r>
            <w:r>
              <w:rPr>
                <w:rFonts w:hint="eastAsia" w:ascii="仿宋" w:hAnsi="仿宋" w:eastAsia="仿宋" w:cs="仿宋"/>
                <w:b w:val="0"/>
                <w:bCs w:val="0"/>
                <w:color w:val="auto"/>
                <w:sz w:val="28"/>
                <w:szCs w:val="28"/>
                <w:highlight w:val="none"/>
                <w:lang w:eastAsia="zh-CN"/>
              </w:rPr>
              <w:t xml:space="preserve">线程，频率≥5.4GHz，三级缓存 ≥</w:t>
            </w:r>
            <w:r>
              <w:rPr>
                <w:rFonts w:hint="eastAsia" w:ascii="仿宋" w:hAnsi="仿宋" w:eastAsia="仿宋" w:cs="仿宋"/>
                <w:b w:val="0"/>
                <w:bCs w:val="0"/>
                <w:color w:val="auto"/>
                <w:sz w:val="28"/>
                <w:szCs w:val="28"/>
                <w:highlight w:val="none"/>
                <w:lang w:val="en-US" w:eastAsia="zh-CN"/>
              </w:rPr>
              <w:t xml:space="preserve">33</w:t>
            </w:r>
            <w:r>
              <w:rPr>
                <w:rFonts w:hint="eastAsia" w:ascii="仿宋" w:hAnsi="仿宋" w:eastAsia="仿宋" w:cs="仿宋"/>
                <w:b w:val="0"/>
                <w:bCs w:val="0"/>
                <w:color w:val="auto"/>
                <w:sz w:val="28"/>
                <w:szCs w:val="28"/>
                <w:highlight w:val="none"/>
                <w:lang w:eastAsia="zh-CN"/>
              </w:rPr>
              <w:t xml:space="preserve">MB。</w:t>
            </w:r>
            <w:r/>
          </w:p>
          <w:p>
            <w:pPr>
              <w:numPr>
                <w:ilvl w:val="0"/>
                <w:numId w:val="4"/>
              </w:numPr>
              <w:ind w:left="0" w:right="0" w:firstLine="0"/>
              <w:jc w:val="left"/>
              <w:keepNext/>
              <w:rPr>
                <w:rFonts w:hint="eastAsia" w:ascii="仿宋" w:hAnsi="仿宋" w:eastAsia="仿宋" w:cs="仿宋"/>
                <w:b w:val="0"/>
                <w:bCs w:val="0"/>
                <w:color w:val="auto"/>
                <w:sz w:val="28"/>
                <w:szCs w:val="28"/>
                <w:highlight w:val="none"/>
                <w:lang w:eastAsia="zh-CN"/>
              </w:rPr>
            </w:pPr>
            <w:r>
              <w:rPr>
                <w:rFonts w:hint="eastAsia" w:ascii="仿宋" w:hAnsi="仿宋" w:eastAsia="仿宋" w:cs="仿宋"/>
                <w:color w:val="auto"/>
                <w:sz w:val="28"/>
                <w:szCs w:val="28"/>
                <w:highlight w:val="none"/>
              </w:rPr>
              <w:t xml:space="preserve">主板</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Intel B760芯片组及以上</w:t>
            </w:r>
            <w:r/>
          </w:p>
          <w:p>
            <w:pPr>
              <w:ind w:left="0" w:right="0" w:firstLine="0"/>
              <w:jc w:val="left"/>
              <w:keepNex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．配置</w:t>
            </w:r>
            <w:r>
              <w:rPr>
                <w:rFonts w:hint="eastAsia" w:ascii="仿宋" w:hAnsi="仿宋" w:eastAsia="仿宋" w:cs="仿宋"/>
                <w:b w:val="0"/>
                <w:bCs w:val="0"/>
                <w:color w:val="auto"/>
                <w:sz w:val="28"/>
                <w:szCs w:val="28"/>
                <w:highlight w:val="none"/>
                <w:lang w:eastAsia="zh-CN"/>
              </w:rPr>
              <w:t xml:space="preserve">独立显卡不低于 RTX 5060，显存≥8GB，显存位宽≥128bit，显存类型 GDDR7 及以上</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4．内存：16G（单条） DDR4内存，提供2个内存槽位</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5</w:t>
            </w:r>
            <w:r>
              <w:rPr>
                <w:rFonts w:hint="eastAsia" w:ascii="仿宋" w:hAnsi="仿宋" w:eastAsia="仿宋" w:cs="仿宋"/>
                <w:b w:val="0"/>
                <w:bCs w:val="0"/>
                <w:color w:val="auto"/>
                <w:sz w:val="28"/>
                <w:szCs w:val="28"/>
                <w:highlight w:val="none"/>
              </w:rPr>
              <w:t xml:space="preserve">．硬盘：512G M.2 NVME SSD</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具备2个M.2 SSD接口</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rPr>
              <w:t xml:space="preserve">．网卡：1000M以太网卡，具备1个M.2 wifi插槽供后期扩展</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7．USB接口：≥1</w:t>
            </w:r>
            <w:r>
              <w:rPr>
                <w:rFonts w:hint="eastAsia" w:ascii="仿宋" w:hAnsi="仿宋" w:eastAsia="仿宋" w:cs="仿宋"/>
                <w:b w:val="0"/>
                <w:bCs w:val="0"/>
                <w:color w:val="auto"/>
                <w:sz w:val="28"/>
                <w:szCs w:val="28"/>
                <w:highlight w:val="none"/>
                <w:lang w:val="en-US" w:eastAsia="zh-CN"/>
              </w:rPr>
              <w:t xml:space="preserve">0</w:t>
            </w:r>
            <w:r>
              <w:rPr>
                <w:rFonts w:hint="eastAsia" w:ascii="仿宋" w:hAnsi="仿宋" w:eastAsia="仿宋" w:cs="仿宋"/>
                <w:b w:val="0"/>
                <w:bCs w:val="0"/>
                <w:color w:val="auto"/>
                <w:sz w:val="28"/>
                <w:szCs w:val="28"/>
                <w:highlight w:val="none"/>
              </w:rPr>
              <w:t xml:space="preserve">个USB接口，（其中</w:t>
            </w: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个USB 3.2</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可使用原厂内置扩展板实现，不得使用外置USB集线器</w:t>
            </w:r>
            <w:r>
              <w:rPr>
                <w:rFonts w:hint="eastAsia" w:ascii="仿宋" w:hAnsi="仿宋" w:eastAsia="仿宋" w:cs="仿宋"/>
                <w:b w:val="0"/>
                <w:bCs w:val="0"/>
                <w:color w:val="auto"/>
                <w:sz w:val="28"/>
                <w:szCs w:val="28"/>
                <w:highlight w:val="none"/>
              </w:rPr>
              <w:t xml:space="preserve">）</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8．其它接口：主板集成5个音频接口，其中前面2个后面3个；主板集成至少1个HDMI接口、1个DP接口</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9．插槽：至少1个PCIE 5.0x16 、1个PCIE x1、3个SATA接口、一共至少3个M.2 接口</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10．电源：≥</w:t>
            </w:r>
            <w:r>
              <w:rPr>
                <w:rFonts w:hint="eastAsia" w:ascii="仿宋" w:hAnsi="仿宋" w:eastAsia="仿宋" w:cs="仿宋"/>
                <w:b w:val="0"/>
                <w:bCs w:val="0"/>
                <w:color w:val="auto"/>
                <w:sz w:val="28"/>
                <w:szCs w:val="28"/>
                <w:highlight w:val="none"/>
                <w:lang w:val="en-US" w:eastAsia="zh-CN"/>
              </w:rPr>
              <w:t xml:space="preserve">650</w:t>
            </w:r>
            <w:r>
              <w:rPr>
                <w:rFonts w:hint="eastAsia" w:ascii="仿宋" w:hAnsi="仿宋" w:eastAsia="仿宋" w:cs="仿宋"/>
                <w:b w:val="0"/>
                <w:bCs w:val="0"/>
                <w:color w:val="auto"/>
                <w:sz w:val="28"/>
                <w:szCs w:val="28"/>
                <w:highlight w:val="none"/>
              </w:rPr>
              <w:t xml:space="preserve">W 电源</w:t>
            </w:r>
            <w:r/>
          </w:p>
          <w:p>
            <w:pPr>
              <w:ind w:left="0" w:right="0" w:firstLine="0"/>
              <w:jc w:val="left"/>
              <w:keepNext/>
              <w:rPr>
                <w:rFonts w:hint="eastAsia" w:ascii="仿宋" w:hAnsi="仿宋" w:eastAsia="仿宋" w:cs="仿宋"/>
                <w:b w:val="0"/>
                <w:bCs w:val="0"/>
                <w:color w:val="auto"/>
                <w:sz w:val="28"/>
                <w:szCs w:val="28"/>
                <w:highlight w:val="none"/>
                <w:shd w:val="clear" w:color="auto" w:fill="auto"/>
              </w:rPr>
            </w:pPr>
            <w:r>
              <w:rPr>
                <w:rFonts w:hint="eastAsia" w:ascii="仿宋" w:hAnsi="仿宋" w:eastAsia="仿宋" w:cs="仿宋"/>
                <w:b w:val="0"/>
                <w:bCs w:val="0"/>
                <w:color w:val="auto"/>
                <w:sz w:val="28"/>
                <w:szCs w:val="28"/>
                <w:highlight w:val="none"/>
              </w:rPr>
              <w:t xml:space="preserve">11．操作</w:t>
            </w:r>
            <w:r>
              <w:rPr>
                <w:rFonts w:hint="eastAsia" w:ascii="仿宋" w:hAnsi="仿宋" w:eastAsia="仿宋" w:cs="仿宋"/>
                <w:b w:val="0"/>
                <w:bCs w:val="0"/>
                <w:color w:val="auto"/>
                <w:sz w:val="28"/>
                <w:szCs w:val="28"/>
                <w:highlight w:val="none"/>
                <w:shd w:val="clear" w:color="auto" w:fill="auto"/>
              </w:rPr>
              <w:t xml:space="preserve">系统：预装Windows 正版操作系统</w:t>
            </w:r>
            <w:r/>
          </w:p>
          <w:p>
            <w:pPr>
              <w:ind w:left="0" w:right="0" w:firstLine="0"/>
              <w:jc w:val="left"/>
              <w:keepNext/>
              <w:rPr>
                <w:rFonts w:hint="eastAsia" w:ascii="仿宋" w:hAnsi="仿宋" w:eastAsia="仿宋" w:cs="仿宋"/>
                <w:b w:val="0"/>
                <w:bCs w:val="0"/>
                <w:color w:val="auto"/>
                <w:sz w:val="28"/>
                <w:szCs w:val="28"/>
                <w:highlight w:val="none"/>
                <w:shd w:val="clear" w:color="auto" w:fill="auto"/>
              </w:rPr>
            </w:pPr>
            <w:r>
              <w:rPr>
                <w:rFonts w:hint="eastAsia" w:ascii="仿宋" w:hAnsi="仿宋" w:eastAsia="仿宋" w:cs="仿宋"/>
                <w:b w:val="0"/>
                <w:bCs w:val="0"/>
                <w:color w:val="auto"/>
                <w:sz w:val="28"/>
                <w:szCs w:val="28"/>
                <w:highlight w:val="none"/>
                <w:shd w:val="clear" w:color="auto" w:fill="auto"/>
              </w:rPr>
              <w:t xml:space="preserve">1</w:t>
            </w:r>
            <w:r>
              <w:rPr>
                <w:rFonts w:hint="eastAsia" w:ascii="仿宋" w:hAnsi="仿宋" w:eastAsia="仿宋" w:cs="仿宋"/>
                <w:b w:val="0"/>
                <w:bCs w:val="0"/>
                <w:color w:val="auto"/>
                <w:sz w:val="28"/>
                <w:szCs w:val="28"/>
                <w:highlight w:val="none"/>
                <w:shd w:val="clear" w:color="auto" w:fill="auto"/>
                <w:lang w:val="en-US" w:eastAsia="zh-CN"/>
              </w:rPr>
              <w:t xml:space="preserve">2</w:t>
            </w:r>
            <w:r>
              <w:rPr>
                <w:rFonts w:hint="eastAsia" w:ascii="仿宋" w:hAnsi="仿宋" w:eastAsia="仿宋" w:cs="仿宋"/>
                <w:b w:val="0"/>
                <w:bCs w:val="0"/>
                <w:color w:val="auto"/>
                <w:sz w:val="28"/>
                <w:szCs w:val="28"/>
                <w:highlight w:val="none"/>
                <w:shd w:val="clear" w:color="auto" w:fill="auto"/>
              </w:rPr>
              <w:t xml:space="preserve">．智能：CPU风扇具备智能模式，可以显示CPU温度、CPU风扇速度、CPU风扇开启温度、CPU风扇全速温度；（提供BIOS对应功能照片，未提供作无效文件处理）</w:t>
            </w:r>
            <w:r/>
          </w:p>
          <w:p>
            <w:pPr>
              <w:ind w:left="0" w:right="0" w:firstLine="0"/>
              <w:jc w:val="left"/>
              <w:keepNext/>
              <w:rPr>
                <w:rFonts w:hint="eastAsia" w:ascii="仿宋" w:hAnsi="仿宋" w:eastAsia="仿宋" w:cs="仿宋"/>
                <w:b w:val="0"/>
                <w:bCs w:val="0"/>
                <w:color w:val="auto"/>
                <w:sz w:val="28"/>
                <w:szCs w:val="28"/>
                <w:highlight w:val="none"/>
                <w:shd w:val="clear" w:color="auto" w:fill="auto"/>
              </w:rPr>
            </w:pPr>
            <w:r>
              <w:rPr>
                <w:rFonts w:hint="eastAsia" w:ascii="仿宋" w:hAnsi="仿宋" w:eastAsia="仿宋" w:cs="仿宋"/>
                <w:b w:val="0"/>
                <w:bCs w:val="0"/>
                <w:color w:val="auto"/>
                <w:sz w:val="28"/>
                <w:szCs w:val="28"/>
                <w:highlight w:val="none"/>
                <w:shd w:val="clear" w:color="auto" w:fill="auto"/>
              </w:rPr>
              <w:t xml:space="preserve">1</w:t>
            </w:r>
            <w:r>
              <w:rPr>
                <w:rFonts w:hint="eastAsia" w:ascii="仿宋" w:hAnsi="仿宋" w:eastAsia="仿宋" w:cs="仿宋"/>
                <w:b w:val="0"/>
                <w:bCs w:val="0"/>
                <w:color w:val="auto"/>
                <w:sz w:val="28"/>
                <w:szCs w:val="28"/>
                <w:highlight w:val="none"/>
                <w:shd w:val="clear" w:color="auto" w:fill="auto"/>
                <w:lang w:val="en-US" w:eastAsia="zh-CN"/>
              </w:rPr>
              <w:t xml:space="preserve">3</w:t>
            </w:r>
            <w:r>
              <w:rPr>
                <w:rFonts w:hint="eastAsia" w:ascii="仿宋" w:hAnsi="仿宋" w:eastAsia="仿宋" w:cs="仿宋"/>
                <w:b w:val="0"/>
                <w:bCs w:val="0"/>
                <w:color w:val="auto"/>
                <w:sz w:val="28"/>
                <w:szCs w:val="28"/>
                <w:highlight w:val="none"/>
                <w:shd w:val="clear" w:color="auto" w:fill="auto"/>
              </w:rPr>
              <w:t xml:space="preserve">．机箱：≥15L</w:t>
            </w:r>
            <w:r/>
          </w:p>
          <w:p>
            <w:pPr>
              <w:ind w:left="0" w:right="0" w:firstLine="0"/>
              <w:jc w:val="left"/>
              <w:keepNex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t xml:space="preserve">1</w:t>
            </w: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．显示器：≥23.8英寸液晶显示器，分辨率≥1920*1080</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1个VGA,1个HDMI</w:t>
            </w:r>
            <w:r/>
          </w:p>
        </w:tc>
      </w:tr>
      <w:tr>
        <w:trPr>
          <w:jc w:val="center"/>
          <w:trHeight w:val="0"/>
        </w:trPr>
        <w:tc>
          <w:tcPr>
            <w:tcBorders>
              <w:top w:val="single" w:color="auto" w:sz="8" w:space="0"/>
              <w:left w:val="single" w:color="auto" w:sz="8" w:space="0"/>
              <w:bottom w:val="single" w:color="auto" w:sz="8" w:space="0"/>
              <w:right w:val="single" w:color="auto" w:sz="8" w:space="0"/>
            </w:tcBorders>
            <w:tcW w:w="2381" w:type="dxa"/>
            <w:vAlign w:val="center"/>
            <w:textDirection w:val="lrTb"/>
            <w:noWrap w:val="false"/>
          </w:tcPr>
          <w:p>
            <w:pPr>
              <w:ind w:left="0" w:right="0" w:firstLine="0"/>
              <w:jc w:val="center"/>
              <w:keepNex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同传管理系统</w:t>
            </w:r>
            <w:r/>
          </w:p>
        </w:tc>
        <w:tc>
          <w:tcPr>
            <w:tcBorders>
              <w:top w:val="single" w:color="auto" w:sz="8" w:space="0"/>
              <w:left w:val="single" w:color="auto" w:sz="8" w:space="0"/>
              <w:bottom w:val="single" w:color="auto" w:sz="8" w:space="0"/>
              <w:right w:val="single" w:color="auto" w:sz="8" w:space="0"/>
            </w:tcBorders>
            <w:tcW w:w="6526" w:type="dxa"/>
            <w:vAlign w:val="center"/>
            <w:textDirection w:val="lrTb"/>
            <w:noWrap w:val="false"/>
          </w:tcPr>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同传管理平台</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为方便学校系统管理员、上课老师等多角色高效管理与教学，云桌面管理平台支持在专业模式和导航模式随意切换；专业模式的功能采用树状结构布局，用户可实现功能逻辑化管理；导航模式的功能采用扁平化结构布局，用户对常用功能实现一键管理。（提供此功能界面截图证明</w:t>
            </w:r>
            <w:r>
              <w:rPr>
                <w:rFonts w:hint="eastAsia" w:ascii="仿宋" w:hAnsi="仿宋" w:eastAsia="仿宋" w:cs="仿宋"/>
                <w:b w:val="0"/>
                <w:bCs w:val="0"/>
                <w:color w:val="auto"/>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p>
          <w:p>
            <w:pPr>
              <w:ind w:left="0" w:right="0" w:firstLine="0"/>
              <w:jc w:val="left"/>
              <w:keepLines w:val="0"/>
              <w:keepNext/>
              <w:spacing w:before="0" w:beforeAutospacing="0" w:after="0" w:afterAutospacing="0"/>
              <w:widowControl w:val="off"/>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2、多租户设计，用户可通过手机注册申请账号，每个账号有独立的管理页面，支持同一账号接入多个组织，每个组织的角色均可不同。</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3、为每个用户组织生成组织ID，终端接入时通过组织ID完成与组织间的关联。</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4、支持客户的总分机构设置，可查看所有终端及管理员详情。</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5、支持合作伙伴协助进行代理运维，减轻客户的运维工作量。</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6、为实现异构平台混合管理，要求管理平台支持在Windows或麒麟等国产系统搭建，支持对终端的操作系统镜像生成与统一分发管理。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7、为满足学校能够充分将新、旧电脑进行统一纳管，降低建设成本的需要，云桌面支持Legacy与UEFI两种方式启动系统，支持管理多网卡、双硬盘，支持M.2新型高速固态硬盘，同时兼容新老机型部署。</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8、为提升学校管理效率，管理平台支持批量管理终端计算机名、IP地址、分辨率、时间同步等配置信息，同时支持针对不同的终端群组设置不同的安全管控策略。</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9、针对不同楼宇、年级、学科的终端支持分组管理，可将终端进行分组，管理员可根据配置好的镜像分配给相应的分组；为不影响教学，可在正常上课的同时完成镜像缓存下载。</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10、可充分利用学校现有网络，支持在镜像下发时进行组内网络探测与网速传输测试，提前优化镜像下发策略，保障传输效率。</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11、为适配大型或复杂型学校网络环境，支持跨校区、跨广域网部署，IP可达即可部署；为满足学校的WiFi使用场景，简化网络结构，支持通过wifi进行镜像更新和平台管理。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12、为满足学校对多教学场景的切换，支持三种模式对某一系统盘和数据盘的管理，即还原模式、读写模式、 学习模式。</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13、为了提升机房的统一部署与更新时间，减少老师的操作步骤与等待时间，支持镜像下发时的策略设置，更新镜像时锁定终端屏幕和更新时隐藏下载窗口；支持系统镜像下发后自动执行关机、重启等操作。</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14、支持从服务器端对客户端发起远程开机、关机、发送通知消息、发送远程命令等指令，支持管理员对客户端进行远程协助排障。</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15、★为方便学校进行硬件资产统计，支持平台收集所有终端硬件配置信息，包含但不限于终端名称、主板型号、CPU型号、内存容量、最近运行时间、合计运行时间、硬件变更和记录信息等。（提供此功能界面截图证明</w:t>
            </w:r>
            <w:r>
              <w:rPr>
                <w:rFonts w:hint="eastAsia" w:ascii="仿宋" w:hAnsi="仿宋" w:eastAsia="仿宋" w:cs="仿宋"/>
                <w:b w:val="0"/>
                <w:bCs w:val="0"/>
                <w:color w:val="auto"/>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16、★为方便学校掌握终端硬件运行情况，支持平台收集所有终端的运行状态信息，包含但不限于终端名称、CPU温度、开机时间、硬盘信息等。（提供此功能界面截图证明</w:t>
            </w:r>
            <w:r>
              <w:rPr>
                <w:rFonts w:hint="eastAsia" w:ascii="仿宋" w:hAnsi="仿宋" w:eastAsia="仿宋" w:cs="仿宋"/>
                <w:b w:val="0"/>
                <w:bCs w:val="0"/>
                <w:color w:val="auto"/>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17、为方便学校对教学软件运行情况的统计，支持平台收集所有终端的软件信息，包含但不限于程序名称、运行次数、运行时长、版本、程序大小等。</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18、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提供此功能界面截图证明）</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19、支持在固定时间自动加载设置好的默认课程镜像，老师开机即可直接进入上课环境，该功能可选择是否开启，包括默认课程镜像也要求能够根据使用情况进行灵活配置；并且平台可以进行计划任务设置，可以设置固定时间、每天、每周、每月进行定时执行各种任务类型，包括开机、关机、切换模板、</w:t>
            </w:r>
            <w:r>
              <w:rPr>
                <w:rFonts w:hint="eastAsia" w:ascii="仿宋" w:hAnsi="仿宋" w:eastAsia="仿宋" w:cs="仿宋"/>
                <w:b w:val="0"/>
                <w:bCs w:val="0"/>
                <w:color w:val="auto"/>
                <w:sz w:val="28"/>
                <w:szCs w:val="28"/>
                <w:highlight w:val="none"/>
                <w:lang w:val="en-US" w:eastAsia="zh-CN" w:bidi="ar"/>
              </w:rPr>
              <w:t xml:space="preserve">下发模板、</w:t>
            </w:r>
            <w:r>
              <w:rPr>
                <w:rFonts w:hint="eastAsia" w:ascii="仿宋" w:hAnsi="仿宋" w:eastAsia="仿宋" w:cs="仿宋"/>
                <w:b w:val="0"/>
                <w:bCs w:val="0"/>
                <w:sz w:val="28"/>
                <w:szCs w:val="28"/>
                <w:highlight w:val="none"/>
                <w:lang w:val="en-US" w:eastAsia="zh-CN" w:bidi="ar"/>
              </w:rPr>
              <w:t xml:space="preserve">还原系统盘、还原数据盘。</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20、★支持大数据展示：可展示包括但不限于资产统计、设备详情、开关机对比、日志、系统使用情况等信息。（提供此功能界面截图证明</w:t>
            </w:r>
            <w:r>
              <w:rPr>
                <w:rFonts w:hint="eastAsia" w:ascii="仿宋" w:hAnsi="仿宋" w:eastAsia="仿宋" w:cs="仿宋"/>
                <w:b w:val="0"/>
                <w:bCs w:val="0"/>
                <w:color w:val="auto"/>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21、</w:t>
            </w: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为避免因终端过保而引起的售后问题，确保用户充分了解终端当前的在保状态，提供终端设备的在保服务状态提醒功能，可在到期或即将到期前向用户提醒（提供功能截图，未提供作负偏离项处理）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22、</w:t>
            </w: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为避免网络端口被占用而引起的教学环境不可用的问题，云桌面管理平台支持对服务器使用的网络端口进行检测，并通过检测结果帮助管理员快速分析和解决问题。（提供功能截图，未提供作负偏离项处理）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23、支持对服务器进行分层级、批量管理。管理员可对各学校设备做资产管理、对教学环境做集中运维，管理员可实时查看各学校设备使用情况， 可对故障设备进行预警等。在管理各服务器时可将有效信息及时传递，通过各维度数据帮助管理者进行分析并辅助决策。</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24、可提供网盘功能：支持用户在终端登录网盘，实现数据漫游与数据共享；支持用户将网盘中的文件分享给其他用户，其他用户可通过链接和提取码查看文件。</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25、为满足学校各类考试需求，包括但不限于国家计算机一、二级等级考试、社会职称考试等，支持ATA、NCRE等考试模式，同时为防止考试镜像被破坏，支持设置考试专属镜像并在考试开始前将考试镜像设置为隐藏模式，管理员可选择保留考试镜像桌面有效期，即完整保留学生的考试数据，方便追溯。</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26、网盘回收站功能：为防止误删重要文件，删除的文件会先保留在回收站，可根据实际情况按需取回。</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27、为满足客户单位形象与风格的统一要求，支持系统名称、LOGO、登录背景图等可按需修改成客户单位名称。</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28、为简化管理，云桌面管理平台支持创建组织、用户、角色，支持管理员对不同用户和角色进行分级分权管理。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29、为提升管理效率，可通过移动端随时随地管理计算机，包括但不限于远程开关机、重启、发送消息、切换桌面、下发桌面和设置访问模式等功能。</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30、支持移动端查看所有终端信息，包括但不限于IP地址、MAC地址、计算机状态、硬件信息、资产信息。</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31、为及时了解教学设备的使用情况，为未来设备增补、扩容等需求提供数据支撑，云桌面平台支持通过移动端查看数据统计分析情况，以图表形式展现设备在线时长和设备开机率；支持按分组在线设备数量进行Top5排行。（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客户端</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1、终端支持多盘缓存模式，即在终端固态盘容量小导致无法多镜像缓存时，支持固态盘和机械盘混合缓存载入，充分利用终端现有存储资源。（提供功能截图，未提供作负偏离项处理）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▲2、为满足国产化要求，云桌面客户端支持部署在兆芯、海光、飞腾和龙芯架构的国产芯片终端设备上，实现异构设备的统一管理。（提供功能截图，未提供作负偏离项处理）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3、在终端与云桌面服务器丢失或断开网络连接无法被管理的情况下，支持使用U盘或移动硬盘恢复桌面。</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4、当终端无法进入系统时，支持基于Linux和Windows两种方式进行系统数据恢复。</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5、支持云桌面服务器与终端的自动时间同步功能，即当主板掉电时可自动校准计算机时间。</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6、为适配学校的各种网络环境情况，支持通过多种方式设定IP地址，包括手动设定、自有DHCP及第三方DHCP。</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7、支持镜像本地缓存：支持将服务器镜像文件缓存至本地硬盘，支持小容量固态硬盘以增量非分区的方式缓存≥5个镜像。</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8、支持复杂网络环境及跨校区部署管理，支持客户端通过网络引导、光盘引导、U盘方式部署系统，客户端可通过VLAN、跨区域、跨互联网连接服务器并下发缓存。</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9、提供备课与教学云空间功能，老师可将课件、教材等上传至云空间，上传后数据可跟随老师账号实时漫游，可在教室直接登录并使用，避免因使用U盘导致的病毒交叉感染；云空间支持文件分享功能，可通过链接和提取码的方式分享给其他老师或学生，构建校内资源与知识共享平台。</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10、支持用户自主报障功能，即当终端遇到故障时，用户可将故障说明及照片提交至管理平台，管理员可通过管理平台进行远程协助排除故障。</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▲11、为了保障后续国产化扩容需求，需要支持在海光、兆芯、飞腾、龙芯等国产硬件和KOS、UOS等国产系统下兼容Windows软件的运行使用。（提供功能截图，未提供作负偏离项处理）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12、内置人工智能通识课模块支持结构化课程与备课资料管理：提供知识模块分类的体系化 AI 通识课程内容。支持教师在线预览及下载标准教案（PDF）与教学课件（PPT），实现备课资源的数字化管理与复用。（提供功能截图，未提供作负偏离项处理）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13、内置人工智能通识课模块支持多媒体拓展资源聚合：集成全球顶尖 AI 教育视频资源及实时更新的行业资讯与应用案例。为教师提供课堂导入素材及学生课后探究资源，解决教学内容滞后性问题。（提供功能截图，未提供作负偏离项处理）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14、内置人工智能通识课模块支持轻量化 AI 能力体验平台：内置文生文、文生图等主流 AI 模型的 Web 端交互入口，支持教师在无代码环境下进行现场演示。（提供功能截图，未提供作负偏离项处理）</w:t>
            </w:r>
            <w:r/>
          </w:p>
        </w:tc>
      </w:tr>
      <w:tr>
        <w:trPr>
          <w:jc w:val="center"/>
          <w:trHeight w:val="0"/>
        </w:trPr>
        <w:tc>
          <w:tcPr>
            <w:tcBorders>
              <w:top w:val="single" w:color="auto" w:sz="8" w:space="0"/>
              <w:left w:val="single" w:color="auto" w:sz="8" w:space="0"/>
              <w:bottom w:val="single" w:color="auto" w:sz="8" w:space="0"/>
              <w:right w:val="single" w:color="auto" w:sz="8" w:space="0"/>
            </w:tcBorders>
            <w:tcW w:w="2381" w:type="dxa"/>
            <w:vAlign w:val="center"/>
            <w:textDirection w:val="lrTb"/>
            <w:noWrap w:val="false"/>
          </w:tcPr>
          <w:p>
            <w:pPr>
              <w:ind w:left="0" w:right="0" w:firstLine="0"/>
              <w:jc w:val="center"/>
              <w:keepNex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教学管理系统</w:t>
            </w:r>
            <w:r/>
          </w:p>
        </w:tc>
        <w:tc>
          <w:tcPr>
            <w:tcBorders>
              <w:top w:val="single" w:color="auto" w:sz="8" w:space="0"/>
              <w:left w:val="single" w:color="auto" w:sz="8" w:space="0"/>
              <w:bottom w:val="single" w:color="auto" w:sz="8" w:space="0"/>
              <w:right w:val="single" w:color="auto" w:sz="8" w:space="0"/>
            </w:tcBorders>
            <w:tcW w:w="6526" w:type="dxa"/>
            <w:vAlign w:val="center"/>
            <w:textDirection w:val="lrTb"/>
            <w:noWrap w:val="false"/>
          </w:tcPr>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1、全面支持国产操作系统，包括麒麟、统信UOS、中科方德、龙芯系统，兼容海光、兆芯、龙芯3A5000、龙芯3A6000、海思麒麟、海思盘古、飞腾D3000、申威等CPU硬件。</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2、教学视图，提供不少于7种视图。支持视图切换：监控视图、详情视图、分组管理、策略视图、文件提交、计划任务、功能视图。监控视图：默认显示学生端的桌面缩略图，可手动放大和缩小。详情视图：用列表的形式展现学生单的电脑名、IP、登录名、登录状态、版本号等信息。功能视图：执行对应功能时会切换到功能视图。</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3、分组管理：支持新增、编辑、删除分组，分组时可按照IP地址、IP 地址范围、电脑名称、登录名称等方式分组，也可手动指定学生分组。</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4、屏幕广播，支持将老师机的桌面广播给学生机，广播无延时、画面清晰流畅，支持全屏、窗口两种广播方式。屏幕广播的同时也可以执行语音广播，支持本地声音和麦克风声音单一广播和全部广播。教师端有多个屏幕时，可以设定广播主屏或者副屏。</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5、学生演示：老师可以指定一个学生操作学生自己的电脑并将画面转播给其他学生，遇到问题时，老师也可以遥控协助学生电脑进行演示。</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6、摄像头广播：支持将教师机摄像头画面广播给学生。</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7、影片广播：支持将教师端的视频广播给学生，支持本地、网络共享路径等来源视频，教师可以手动调整视频的帧率、码率、画质，支持列表循环和单视频循环播放，支持设置倍速播放，可以设置0.5、0.75、1.0、1.5、2.0倍速播放。支持avi/amv/asf/f4v/flv/m1v/m2v/m4v/mkv/mov/mp3/mp4等常见格式。</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8、电子白板，支持切换背景板，如软件操作界面、文档等，老师进行电子板书演示，提供铅笔、直线、圆形、箭头、矩形、文字、标签、橡皮擦等工具，支持一键清除板书内容。</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9、老师发起抢答，抢答题目可以临时出题，也可以使用历史记录题目快速出题，学生端收到抢答题目后抢答，则第一个抢答的学生作答。</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10、支持随堂测试，支持判断题和选择题，支持题目插入图片，设置正确答案，进行课堂练习。</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11、文件传输，支持从教师机传送文件到学生机，可传送文件与文件夹，文件及文件夹的大小没有限制。</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12、提交文件，支持学生端主动提交文件传输至教师端，教师端在文件视图中可查看学生端提交文件的文件名称、路径、文件大小信息以及在传输过程中的进度。教师端可选择接受策略，如允许上传/不允许上传，在设置中可以设置接收文件的路径、规则限制。</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13、远程管理支持学生端管控，包括黑屏肃静、解除黑屏、批量远程控制学生电脑关机、开机、重启等。</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14、远程桌面，可实时监看学生端电脑桌面，支持设置同时浏览的学生端数量，支持切换显示的时间间隔，包括手动、自动切换，自动切换支持秒数设置。</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15、老师可进行课堂电子点名，查看学生出勤情况，点名信息包括姓名、班级、学号，支持保存点名记录，将学生点名姓名结果应用到客户端座表，支持点名结果导入导出功能。</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16、屏幕录制：老师可以将上课过程录制成视频，录制操作同时可以录制本地播放声音和麦克风声音，便于后续学生学习。</w:t>
            </w:r>
            <w:r/>
          </w:p>
          <w:p>
            <w:pPr>
              <w:ind w:left="0" w:right="0" w:firstLine="0"/>
              <w:jc w:val="left"/>
              <w:keepLines w:val="0"/>
              <w:keepNext/>
              <w:spacing w:before="0" w:beforeAutospacing="0" w:after="0" w:afterAutospacing="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sz w:val="28"/>
                <w:szCs w:val="28"/>
                <w:highlight w:val="none"/>
                <w:lang w:val="en-US" w:eastAsia="zh-CN" w:bidi="ar"/>
              </w:rPr>
              <w:t xml:space="preserve">17、计划任务：老师可以创建计划任务，支持在线任务和离线任务，可以对部分或全部学生端设定，可以设置重启、开机、关机操作，可以在指定时间后设置单次执行或者每天/每周/每月循环执行，支持设定计划任务之前提醒学生。</w:t>
            </w:r>
            <w:r/>
          </w:p>
        </w:tc>
      </w:tr>
    </w:tbl>
    <w:p>
      <w:pPr>
        <w:pStyle w:val="683"/>
        <w:spacing w:line="520" w:lineRule="exact"/>
        <w:rPr>
          <w:rFonts w:hint="eastAsia" w:ascii="仿宋" w:hAnsi="仿宋" w:eastAsia="仿宋"/>
          <w:highlight w:val="none"/>
          <w:lang w:eastAsia="zh-CN"/>
        </w:rPr>
      </w:pPr>
      <w:r>
        <w:rPr>
          <w:rFonts w:hint="eastAsia" w:ascii="仿宋" w:hAnsi="仿宋" w:eastAsia="仿宋" w:cs="仿宋"/>
          <w:sz w:val="28"/>
          <w:szCs w:val="28"/>
          <w:highlight w:val="none"/>
          <w:lang w:eastAsia="zh-CN"/>
        </w:rPr>
        <w:t xml:space="preserve">★三、</w:t>
      </w:r>
      <w:r>
        <w:rPr>
          <w:rFonts w:hint="eastAsia" w:ascii="仿宋" w:hAnsi="仿宋" w:eastAsia="仿宋"/>
          <w:highlight w:val="none"/>
          <w:lang w:eastAsia="zh-CN"/>
        </w:rPr>
        <w:t xml:space="preserve">质保期限及其他要求</w:t>
      </w:r>
      <w:r/>
    </w:p>
    <w:p>
      <w:pPr>
        <w:pStyle w:val="676"/>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所投产品必须原厂原配，不接受拆改配。货物应为全新、未使用过的原装合格正品。在质保期内，如果货物出现质量问题，免费进行维护和保修。（提供承诺函，格式自拟加盖投标人电子签章</w:t>
      </w:r>
      <w:r>
        <w:rPr>
          <w:rFonts w:hint="eastAsia" w:ascii="仿宋" w:hAnsi="仿宋" w:eastAsia="仿宋"/>
          <w:bCs/>
          <w:sz w:val="28"/>
          <w:szCs w:val="28"/>
          <w:highlight w:val="none"/>
          <w:lang w:val="en-US" w:eastAsia="zh-CN"/>
        </w:rPr>
        <w:t xml:space="preserve">,未提供作无效文件处理</w:t>
      </w:r>
      <w:r>
        <w:rPr>
          <w:rFonts w:hint="eastAsia" w:ascii="仿宋" w:hAnsi="仿宋" w:eastAsia="仿宋"/>
          <w:bCs/>
          <w:sz w:val="28"/>
          <w:szCs w:val="28"/>
          <w:highlight w:val="none"/>
        </w:rPr>
        <w:t xml:space="preserve">）</w:t>
      </w:r>
      <w:r/>
    </w:p>
    <w:p>
      <w:pPr>
        <w:pStyle w:val="67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四、履约验收要求：</w:t>
      </w:r>
      <w:r/>
    </w:p>
    <w:p>
      <w:pPr>
        <w:pStyle w:val="676"/>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1、外观包装检查：台式机为全新原厂未拆封包装，机身无划痕积尘，外包装封条完好、序列号清晰。</w:t>
      </w:r>
      <w:r/>
    </w:p>
    <w:p>
      <w:pPr>
        <w:pStyle w:val="676"/>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2、配置核对（防拆改）：开机核验 CPU、内存、硬盘等核心硬件，与投标及原厂出厂配置保持一致，禁止拆机换件。</w:t>
      </w:r>
      <w:r/>
    </w:p>
    <w:p>
      <w:pPr>
        <w:pStyle w:val="676"/>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3、运行测试：通电正常进系统，运行稳定；屏幕无坏点，USB、网口等各类接口功能正常。</w:t>
      </w:r>
      <w:r/>
    </w:p>
    <w:p>
      <w:pPr>
        <w:pStyle w:val="676"/>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4、资料售后核查：提供原厂三年服务承诺函；通过 400 或官网核验序列号及保修时效有效。</w:t>
      </w:r>
      <w:r/>
    </w:p>
    <w:p>
      <w:pPr>
        <w:pStyle w:val="676"/>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5、数量清点：主机、显示器、电源、键鼠等配件数量与合同清单相符。</w:t>
      </w:r>
      <w:r/>
    </w:p>
    <w:p>
      <w:pPr>
        <w:pStyle w:val="67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五、</w:t>
      </w:r>
      <w:r>
        <w:rPr>
          <w:rFonts w:hint="eastAsia" w:ascii="仿宋" w:hAnsi="仿宋" w:eastAsia="仿宋"/>
          <w:bCs/>
          <w:sz w:val="28"/>
          <w:szCs w:val="28"/>
          <w:highlight w:val="none"/>
        </w:rPr>
        <w:t xml:space="preserve">商务部分</w:t>
      </w:r>
      <w:r/>
    </w:p>
    <w:p>
      <w:pPr>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cs="宋体"/>
          <w:color w:val="000000"/>
          <w:sz w:val="28"/>
          <w:szCs w:val="28"/>
          <w:highlight w:val="none"/>
          <w:lang w:val="zh-CN"/>
        </w:rPr>
        <w:t xml:space="preserve">★</w:t>
      </w:r>
      <w:r>
        <w:rPr>
          <w:rFonts w:hint="eastAsia" w:ascii="仿宋" w:hAnsi="仿宋" w:eastAsia="仿宋"/>
          <w:sz w:val="28"/>
          <w:szCs w:val="28"/>
          <w:highlight w:val="none"/>
        </w:rPr>
        <w:t xml:space="preserve">（一）供货时间:合同签订后</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日内交货并完成安装、调试</w:t>
      </w:r>
      <w:r>
        <w:rPr>
          <w:rFonts w:hint="eastAsia" w:ascii="仿宋" w:hAnsi="仿宋" w:eastAsia="仿宋"/>
          <w:sz w:val="28"/>
          <w:szCs w:val="28"/>
          <w:highlight w:val="none"/>
          <w:lang w:eastAsia="zh-CN"/>
        </w:rPr>
        <w:t xml:space="preserve">。</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（二）供货地点:由采购人指定。</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（三）付款方式:合同签订后，付至合同价的40%，全部货物到货完成安装、调试，经采购人验收合格后，一次性付清余款。（中标单位凭正式的发票支取项目款）</w:t>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p>
    <w:p>
      <w:pPr>
        <w:pStyle w:val="676"/>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676"/>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76"/>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76"/>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76"/>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p>
    <w:p>
      <w:pPr>
        <w:pStyle w:val="676"/>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7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676"/>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676"/>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p>
    <w:p>
      <w:pPr>
        <w:pStyle w:val="676"/>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p>
    <w:p>
      <w:pPr>
        <w:pStyle w:val="676"/>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p>
    <w:p>
      <w:pPr>
        <w:pStyle w:val="684"/>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68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p>
    <w:p>
      <w:pPr>
        <w:pStyle w:val="68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68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5、我们理解，你们无义务必须接受投标价最低的投标。同时也理解你们不承担我们本次投标的费用。</w:t>
      </w:r>
      <w:r/>
    </w:p>
    <w:p>
      <w:pPr>
        <w:pStyle w:val="68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p>
    <w:p>
      <w:pPr>
        <w:pStyle w:val="68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684"/>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684"/>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p>
    <w:p>
      <w:pPr>
        <w:pStyle w:val="684"/>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676"/>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Style w:val="67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p>
        </w:tc>
        <w:tc>
          <w:tcPr>
            <w:tcW w:w="6759" w:type="dxa"/>
            <w:vAlign w:val="center"/>
            <w:textDirection w:val="lrTb"/>
            <w:noWrap w:val="false"/>
          </w:tcPr>
          <w:p>
            <w:pPr>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p>
        </w:tc>
      </w:tr>
    </w:tbl>
    <w:p>
      <w:pPr>
        <w:pStyle w:val="676"/>
        <w:keepLines w:val="0"/>
        <w:keepNext w:val="0"/>
        <w:pageBreakBefore w:val="0"/>
        <w:rPr>
          <w:rFonts w:hint="eastAsia" w:hAnsi="宋体"/>
          <w:b/>
          <w:sz w:val="32"/>
          <w:szCs w:val="32"/>
          <w:highlight w:val="none"/>
        </w:rPr>
        <w:outlineLvl w:val="9"/>
      </w:pPr>
      <w:r/>
      <w:bookmarkStart w:id="36" w:name="_Toc157775468"/>
      <w:r/>
      <w:r/>
    </w:p>
    <w:p>
      <w:pPr>
        <w:pStyle w:val="676"/>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p>
    <w:p>
      <w:pPr>
        <w:pStyle w:val="676"/>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Style w:val="673"/>
        <w:tblW w:w="976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jc w:val="cente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产品名称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品牌</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规格型号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制造商名称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left"/>
              <w:keepLines w:val="0"/>
              <w:keepNext w:val="0"/>
              <w:pageBreakBefore w:val="0"/>
              <w:spacing w:line="340" w:lineRule="exact"/>
              <w:tabs>
                <w:tab w:val="left" w:pos="319" w:leader="none"/>
              </w:tabs>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产地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交付期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分项单价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分项总价</w:t>
            </w:r>
            <w:r/>
          </w:p>
        </w:tc>
      </w:tr>
      <w:tr>
        <w:trPr>
          <w:jc w:val="center"/>
          <w:trHeight w:val="583"/>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96"/>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7</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8</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9</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580"/>
        </w:trPr>
        <w:tc>
          <w:tcPr>
            <w:tcBorders>
              <w:left w:val="single" w:color="000000" w:sz="8" w:space="0"/>
              <w:bottom w:val="single" w:color="auto" w:sz="4"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bottom w:val="single" w:color="auto" w:sz="4"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bottom w:val="single" w:color="auto" w:sz="4"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auto" w:sz="4"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auto" w:sz="4"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auto" w:sz="4"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auto" w:sz="4"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auto" w:sz="4"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auto" w:sz="4"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auto" w:sz="4"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1030"/>
        </w:trPr>
        <w:tc>
          <w:tcPr>
            <w:gridSpan w:val="10"/>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69" w:type="dxa"/>
            <w:vAlign w:val="center"/>
            <w:textDirection w:val="lrTb"/>
            <w:noWrap w:val="false"/>
          </w:tcPr>
          <w:p>
            <w:pPr>
              <w:pStyle w:val="676"/>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投标总报价（人民币：元） </w:t>
            </w:r>
            <w:r/>
          </w:p>
        </w:tc>
      </w:tr>
      <w:tr>
        <w:trPr>
          <w:jc w:val="center"/>
          <w:trHeight w:val="1030"/>
        </w:trPr>
        <w:tc>
          <w:tcPr>
            <w:gridSpan w:val="10"/>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769" w:type="dxa"/>
            <w:vAlign w:val="center"/>
            <w:textDirection w:val="lrTb"/>
            <w:noWrap w:val="false"/>
          </w:tcPr>
          <w:p>
            <w:pPr>
              <w:pStyle w:val="676"/>
              <w:jc w:val="left"/>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方正魏碑_GBK" w:hAnsi="方正魏碑_GBK" w:eastAsia="方正魏碑_GBK" w:cs="方正魏碑_GBK"/>
                <w:b/>
                <w:bCs/>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8"/>
                <w:szCs w:val="28"/>
                <w:highlight w:val="none"/>
                <w:u w:val="single"/>
                <w:lang w:val="en-US" w:eastAsia="zh-CN"/>
              </w:rPr>
              <w:t xml:space="preserve">      </w:t>
            </w:r>
            <w:r>
              <w:rPr>
                <w:rFonts w:hint="eastAsia" w:ascii="方正魏碑_GBK" w:hAnsi="方正魏碑_GBK" w:eastAsia="方正魏碑_GBK" w:cs="方正魏碑_GBK"/>
                <w:b/>
                <w:bCs/>
                <w:color w:val="auto"/>
                <w:sz w:val="28"/>
                <w:szCs w:val="28"/>
                <w:highlight w:val="none"/>
              </w:rPr>
              <w:t xml:space="preserve">%。</w:t>
            </w:r>
            <w:r/>
          </w:p>
        </w:tc>
      </w:tr>
    </w:tbl>
    <w:p>
      <w:pPr>
        <w:pStyle w:val="676"/>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76"/>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76"/>
        <w:numPr>
          <w:ilvl w:val="0"/>
          <w:numId w:val="5"/>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p>
    <w:p>
      <w:pPr>
        <w:pStyle w:val="676"/>
        <w:numPr>
          <w:ilvl w:val="0"/>
          <w:numId w:val="5"/>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676"/>
        <w:numPr>
          <w:ilvl w:val="0"/>
          <w:numId w:val="5"/>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p>
    <w:p>
      <w:pPr>
        <w:pStyle w:val="676"/>
        <w:jc w:val="center"/>
        <w:keepLines w:val="0"/>
        <w:keepNext w:val="0"/>
        <w:pageBreakBefore w:val="0"/>
        <w:spacing w:line="440" w:lineRule="exact"/>
        <w:rPr>
          <w:rFonts w:hint="eastAsia" w:ascii="仿宋" w:hAnsi="仿宋" w:eastAsia="仿宋"/>
          <w:b/>
          <w:sz w:val="32"/>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p>
    <w:tbl>
      <w:tblPr>
        <w:tblStyle w:val="67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p>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36"/>
      <w:r/>
      <w:r/>
    </w:p>
    <w:p>
      <w:pPr>
        <w:pStyle w:val="676"/>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676"/>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p>
    <w:p>
      <w:pPr>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p>
    <w:p>
      <w:pPr>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bookmarkEnd w:id="37"/>
      <w:r/>
    </w:p>
    <w:p>
      <w:pPr>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rPr>
          <w:rFonts w:hint="eastAsia" w:ascii="仿宋" w:hAnsi="仿宋" w:eastAsia="仿宋" w:cs="楷体_GB2312"/>
          <w:b/>
          <w:bCs/>
          <w:sz w:val="32"/>
          <w:szCs w:val="32"/>
          <w:highlight w:val="none"/>
          <w:lang w:val="zh-CN"/>
        </w:rPr>
        <w:t xml:space="preserve">法定代表人资格证明</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684"/>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p>
    <w:p>
      <w:pPr>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p>
    <w:p>
      <w:pPr>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p>
    <w:p>
      <w:pPr>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p>
    <w:p>
      <w:pPr>
        <w:pStyle w:val="674"/>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p>
    <w:p>
      <w:pPr>
        <w:pStyle w:val="674"/>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67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p>
    <w:p>
      <w:pPr>
        <w:pStyle w:val="67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67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67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p>
    <w:p>
      <w:pPr>
        <w:pStyle w:val="67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67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674"/>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674"/>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bCs/>
          <w:sz w:val="32"/>
          <w:szCs w:val="32"/>
          <w:highlight w:val="none"/>
        </w:rPr>
        <w:br w:type="page" w:clear="all"/>
      </w:r>
      <w:r>
        <w:rPr>
          <w:rFonts w:hint="eastAsia" w:ascii="仿宋" w:hAnsi="仿宋" w:eastAsia="仿宋"/>
          <w:b/>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p>
    <w:p>
      <w:pPr>
        <w:pStyle w:val="674"/>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67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7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67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67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674"/>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674"/>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674"/>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p>
    <w:p>
      <w:pPr>
        <w:pStyle w:val="674"/>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674"/>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r/>
      <w:r/>
    </w:p>
    <w:p>
      <w:r/>
      <w:r/>
    </w:p>
    <w:sectPr>
      <w:footerReference w:type="default" r:id="rId11"/>
      <w:footnotePr/>
      <w:endnotePr/>
      <w:type w:val="nextPage"/>
      <w:pgSz w:w="11906" w:h="16838" w:orient="portrait"/>
      <w:pgMar w:top="1560" w:right="1418" w:bottom="1440" w:left="179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libri">
    <w:panose1 w:val="020F0502020204030204"/>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rPr>
        <w:rStyle w:val="681"/>
      </w:rPr>
      <w:framePr w:wrap="around" w:vAnchor="text" w:hAnchor="margin" w:xAlign="center" w:y="1"/>
    </w:pPr>
    <w:r>
      <w:fldChar w:fldCharType="begin"/>
    </w:r>
    <w:r>
      <w:rPr>
        <w:rStyle w:val="681"/>
      </w:rPr>
      <w:instrText xml:space="preserve">PAGE  </w:instrText>
    </w:r>
    <w:r>
      <w:fldChar w:fldCharType="end"/>
    </w:r>
    <w:r/>
  </w:p>
  <w:p>
    <w:pPr>
      <w:pStyle w:val="6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7"/>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7"/>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1"/>
    <w:next w:val="6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2"/>
    <w:link w:val="12"/>
    <w:uiPriority w:val="9"/>
    <w:rPr>
      <w:rFonts w:ascii="Arial" w:hAnsi="Arial" w:eastAsia="Arial" w:cs="Arial"/>
      <w:sz w:val="40"/>
      <w:szCs w:val="40"/>
    </w:rPr>
  </w:style>
  <w:style w:type="paragraph" w:styleId="14">
    <w:name w:val="Heading 2"/>
    <w:basedOn w:val="671"/>
    <w:next w:val="6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2"/>
    <w:link w:val="14"/>
    <w:uiPriority w:val="9"/>
    <w:rPr>
      <w:rFonts w:ascii="Arial" w:hAnsi="Arial" w:eastAsia="Arial" w:cs="Arial"/>
      <w:sz w:val="34"/>
    </w:rPr>
  </w:style>
  <w:style w:type="paragraph" w:styleId="16">
    <w:name w:val="Heading 3"/>
    <w:basedOn w:val="671"/>
    <w:next w:val="6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2"/>
    <w:link w:val="16"/>
    <w:uiPriority w:val="9"/>
    <w:rPr>
      <w:rFonts w:ascii="Arial" w:hAnsi="Arial" w:eastAsia="Arial" w:cs="Arial"/>
      <w:sz w:val="30"/>
      <w:szCs w:val="30"/>
    </w:rPr>
  </w:style>
  <w:style w:type="paragraph" w:styleId="18">
    <w:name w:val="Heading 4"/>
    <w:basedOn w:val="671"/>
    <w:next w:val="6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2"/>
    <w:link w:val="18"/>
    <w:uiPriority w:val="9"/>
    <w:rPr>
      <w:rFonts w:ascii="Arial" w:hAnsi="Arial" w:eastAsia="Arial" w:cs="Arial"/>
      <w:b/>
      <w:bCs/>
      <w:sz w:val="26"/>
      <w:szCs w:val="26"/>
    </w:rPr>
  </w:style>
  <w:style w:type="paragraph" w:styleId="20">
    <w:name w:val="Heading 5"/>
    <w:basedOn w:val="671"/>
    <w:next w:val="6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2"/>
    <w:link w:val="20"/>
    <w:uiPriority w:val="9"/>
    <w:rPr>
      <w:rFonts w:ascii="Arial" w:hAnsi="Arial" w:eastAsia="Arial" w:cs="Arial"/>
      <w:b/>
      <w:bCs/>
      <w:sz w:val="24"/>
      <w:szCs w:val="24"/>
    </w:rPr>
  </w:style>
  <w:style w:type="paragraph" w:styleId="22">
    <w:name w:val="Heading 6"/>
    <w:basedOn w:val="671"/>
    <w:next w:val="6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2"/>
    <w:link w:val="22"/>
    <w:uiPriority w:val="9"/>
    <w:rPr>
      <w:rFonts w:ascii="Arial" w:hAnsi="Arial" w:eastAsia="Arial" w:cs="Arial"/>
      <w:b/>
      <w:bCs/>
      <w:sz w:val="22"/>
      <w:szCs w:val="22"/>
    </w:rPr>
  </w:style>
  <w:style w:type="paragraph" w:styleId="24">
    <w:name w:val="Heading 7"/>
    <w:basedOn w:val="671"/>
    <w:next w:val="6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2"/>
    <w:link w:val="24"/>
    <w:uiPriority w:val="9"/>
    <w:rPr>
      <w:rFonts w:ascii="Arial" w:hAnsi="Arial" w:eastAsia="Arial" w:cs="Arial"/>
      <w:b/>
      <w:bCs/>
      <w:i/>
      <w:iCs/>
      <w:sz w:val="22"/>
      <w:szCs w:val="22"/>
    </w:rPr>
  </w:style>
  <w:style w:type="paragraph" w:styleId="26">
    <w:name w:val="Heading 8"/>
    <w:basedOn w:val="671"/>
    <w:next w:val="6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2"/>
    <w:link w:val="26"/>
    <w:uiPriority w:val="9"/>
    <w:rPr>
      <w:rFonts w:ascii="Arial" w:hAnsi="Arial" w:eastAsia="Arial" w:cs="Arial"/>
      <w:i/>
      <w:iCs/>
      <w:sz w:val="22"/>
      <w:szCs w:val="22"/>
    </w:rPr>
  </w:style>
  <w:style w:type="paragraph" w:styleId="28">
    <w:name w:val="Heading 9"/>
    <w:basedOn w:val="671"/>
    <w:next w:val="6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2"/>
    <w:link w:val="28"/>
    <w:uiPriority w:val="9"/>
    <w:rPr>
      <w:rFonts w:ascii="Arial" w:hAnsi="Arial" w:eastAsia="Arial" w:cs="Arial"/>
      <w:i/>
      <w:iCs/>
      <w:sz w:val="21"/>
      <w:szCs w:val="21"/>
    </w:rPr>
  </w:style>
  <w:style w:type="paragraph" w:styleId="30">
    <w:name w:val="List Paragraph"/>
    <w:basedOn w:val="6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672"/>
    <w:link w:val="33"/>
    <w:uiPriority w:val="10"/>
    <w:rPr>
      <w:sz w:val="48"/>
      <w:szCs w:val="48"/>
    </w:rPr>
  </w:style>
  <w:style w:type="paragraph" w:styleId="35">
    <w:name w:val="Subtitle"/>
    <w:basedOn w:val="671"/>
    <w:next w:val="671"/>
    <w:link w:val="36"/>
    <w:uiPriority w:val="11"/>
    <w:qFormat/>
    <w:pPr>
      <w:spacing w:before="200" w:after="200"/>
    </w:pPr>
    <w:rPr>
      <w:sz w:val="24"/>
      <w:szCs w:val="24"/>
    </w:rPr>
  </w:style>
  <w:style w:type="character" w:styleId="36">
    <w:name w:val="Subtitle Char"/>
    <w:basedOn w:val="672"/>
    <w:link w:val="35"/>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2"/>
    <w:link w:val="678"/>
    <w:uiPriority w:val="99"/>
  </w:style>
  <w:style w:type="character" w:styleId="44">
    <w:name w:val="Footer Char"/>
    <w:basedOn w:val="672"/>
    <w:link w:val="677"/>
    <w:uiPriority w:val="99"/>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character" w:styleId="46">
    <w:name w:val="Caption Char"/>
    <w:basedOn w:val="45"/>
    <w:link w:val="677"/>
    <w:uiPriority w:val="99"/>
  </w:style>
  <w:style w:type="table" w:styleId="47">
    <w:name w:val="Table Grid"/>
    <w:basedOn w:val="67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2"/>
    <w:uiPriority w:val="99"/>
    <w:unhideWhenUsed/>
    <w:rPr>
      <w:vertAlign w:val="superscript"/>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2"/>
    <w:uiPriority w:val="99"/>
    <w:semiHidden/>
    <w:unhideWhenUsed/>
    <w:rPr>
      <w:vertAlign w:val="superscript"/>
    </w:rPr>
  </w:style>
  <w:style w:type="paragraph" w:styleId="180">
    <w:name w:val="toc 1"/>
    <w:basedOn w:val="671"/>
    <w:next w:val="671"/>
    <w:uiPriority w:val="39"/>
    <w:unhideWhenUsed/>
    <w:pPr>
      <w:ind w:left="0" w:right="0" w:firstLine="0"/>
      <w:spacing w:after="57"/>
    </w:pPr>
  </w:style>
  <w:style w:type="paragraph" w:styleId="181">
    <w:name w:val="toc 2"/>
    <w:basedOn w:val="671"/>
    <w:next w:val="671"/>
    <w:uiPriority w:val="39"/>
    <w:unhideWhenUsed/>
    <w:pPr>
      <w:ind w:left="283" w:right="0" w:firstLine="0"/>
      <w:spacing w:after="57"/>
    </w:pPr>
  </w:style>
  <w:style w:type="paragraph" w:styleId="182">
    <w:name w:val="toc 3"/>
    <w:basedOn w:val="671"/>
    <w:next w:val="671"/>
    <w:uiPriority w:val="39"/>
    <w:unhideWhenUsed/>
    <w:pPr>
      <w:ind w:left="567" w:right="0" w:firstLine="0"/>
      <w:spacing w:after="57"/>
    </w:pPr>
  </w:style>
  <w:style w:type="paragraph" w:styleId="183">
    <w:name w:val="toc 4"/>
    <w:basedOn w:val="671"/>
    <w:next w:val="671"/>
    <w:uiPriority w:val="39"/>
    <w:unhideWhenUsed/>
    <w:pPr>
      <w:ind w:left="850" w:right="0" w:firstLine="0"/>
      <w:spacing w:after="57"/>
    </w:pPr>
  </w:style>
  <w:style w:type="paragraph" w:styleId="184">
    <w:name w:val="toc 5"/>
    <w:basedOn w:val="671"/>
    <w:next w:val="671"/>
    <w:uiPriority w:val="39"/>
    <w:unhideWhenUsed/>
    <w:pPr>
      <w:ind w:left="1134" w:right="0" w:firstLine="0"/>
      <w:spacing w:after="57"/>
    </w:pPr>
  </w:style>
  <w:style w:type="paragraph" w:styleId="185">
    <w:name w:val="toc 6"/>
    <w:basedOn w:val="671"/>
    <w:next w:val="671"/>
    <w:uiPriority w:val="39"/>
    <w:unhideWhenUsed/>
    <w:pPr>
      <w:ind w:left="1417" w:right="0" w:firstLine="0"/>
      <w:spacing w:after="57"/>
    </w:pPr>
  </w:style>
  <w:style w:type="paragraph" w:styleId="186">
    <w:name w:val="toc 7"/>
    <w:basedOn w:val="671"/>
    <w:next w:val="671"/>
    <w:uiPriority w:val="39"/>
    <w:unhideWhenUsed/>
    <w:pPr>
      <w:ind w:left="1701" w:right="0" w:firstLine="0"/>
      <w:spacing w:after="57"/>
    </w:pPr>
  </w:style>
  <w:style w:type="paragraph" w:styleId="187">
    <w:name w:val="toc 8"/>
    <w:basedOn w:val="671"/>
    <w:next w:val="671"/>
    <w:uiPriority w:val="39"/>
    <w:unhideWhenUsed/>
    <w:pPr>
      <w:ind w:left="1984" w:right="0" w:firstLine="0"/>
      <w:spacing w:after="57"/>
    </w:pPr>
  </w:style>
  <w:style w:type="paragraph" w:styleId="188">
    <w:name w:val="toc 9"/>
    <w:basedOn w:val="671"/>
    <w:next w:val="6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1"/>
    <w:next w:val="671"/>
    <w:uiPriority w:val="99"/>
    <w:unhideWhenUsed/>
    <w:pPr>
      <w:spacing w:after="0" w:afterAutospacing="0"/>
    </w:pPr>
  </w:style>
  <w:style w:type="paragraph" w:styleId="67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672" w:default="1">
    <w:name w:val="Default Paragraph Font"/>
    <w:uiPriority w:val="0"/>
    <w:semiHidden/>
  </w:style>
  <w:style w:type="table" w:styleId="673" w:default="1">
    <w:name w:val="Normal Table"/>
    <w:uiPriority w:val="0"/>
    <w:semiHidden/>
    <w:tblPr>
      <w:tblCellMar>
        <w:left w:w="108" w:type="dxa"/>
        <w:top w:w="0" w:type="dxa"/>
        <w:right w:w="108" w:type="dxa"/>
        <w:bottom w:w="0" w:type="dxa"/>
      </w:tblCellMar>
    </w:tblPr>
  </w:style>
  <w:style w:type="paragraph" w:styleId="674">
    <w:name w:val="Normal Indent"/>
    <w:basedOn w:val="671"/>
    <w:uiPriority w:val="0"/>
    <w:qFormat/>
    <w:pPr>
      <w:ind w:firstLine="420"/>
    </w:pPr>
    <w:rPr>
      <w:szCs w:val="20"/>
    </w:rPr>
  </w:style>
  <w:style w:type="paragraph" w:styleId="675">
    <w:name w:val="Body Text Indent"/>
    <w:basedOn w:val="671"/>
    <w:uiPriority w:val="0"/>
    <w:qFormat/>
    <w:pPr>
      <w:ind w:firstLine="630"/>
    </w:pPr>
    <w:rPr>
      <w:rFonts w:ascii="楷体_GB2312" w:eastAsia="楷体_GB2312"/>
      <w:sz w:val="32"/>
      <w:szCs w:val="20"/>
    </w:rPr>
  </w:style>
  <w:style w:type="paragraph" w:styleId="676">
    <w:name w:val="Plain Text"/>
    <w:basedOn w:val="671"/>
    <w:uiPriority w:val="0"/>
    <w:qFormat/>
    <w:rPr>
      <w:rFonts w:ascii="宋体" w:hAnsi="Courier New"/>
      <w:szCs w:val="20"/>
    </w:rPr>
  </w:style>
  <w:style w:type="paragraph" w:styleId="677">
    <w:name w:val="Footer"/>
    <w:basedOn w:val="671"/>
    <w:uiPriority w:val="0"/>
    <w:qFormat/>
    <w:pPr>
      <w:jc w:val="left"/>
      <w:tabs>
        <w:tab w:val="center" w:pos="4153" w:leader="none"/>
        <w:tab w:val="right" w:pos="8306" w:leader="none"/>
      </w:tabs>
    </w:pPr>
    <w:rPr>
      <w:sz w:val="18"/>
      <w:szCs w:val="18"/>
    </w:rPr>
  </w:style>
  <w:style w:type="paragraph" w:styleId="678">
    <w:name w:val="Header"/>
    <w:basedOn w:val="671"/>
    <w:uiPriority w:val="0"/>
    <w:qFormat/>
    <w:pPr>
      <w:jc w:val="center"/>
      <w:tabs>
        <w:tab w:val="center" w:pos="4153" w:leader="none"/>
        <w:tab w:val="right" w:pos="8306" w:leader="none"/>
      </w:tabs>
      <w:pBdr>
        <w:bottom w:val="single" w:color="auto" w:sz="6" w:space="1"/>
      </w:pBdr>
    </w:pPr>
    <w:rPr>
      <w:sz w:val="18"/>
      <w:szCs w:val="18"/>
    </w:rPr>
  </w:style>
  <w:style w:type="paragraph" w:styleId="679">
    <w:name w:val="Body Text 2"/>
    <w:basedOn w:val="671"/>
    <w:uiPriority w:val="0"/>
    <w:qFormat/>
    <w:pPr>
      <w:spacing w:line="440" w:lineRule="exact"/>
    </w:pPr>
    <w:rPr>
      <w:rFonts w:ascii="楷体_GB2312" w:eastAsia="楷体_GB2312"/>
      <w:sz w:val="28"/>
    </w:rPr>
  </w:style>
  <w:style w:type="paragraph" w:styleId="680">
    <w:name w:val="Body Text First Indent 2"/>
    <w:basedOn w:val="675"/>
    <w:uiPriority w:val="0"/>
    <w:qFormat/>
    <w:pPr>
      <w:ind w:left="420" w:firstLine="420"/>
      <w:spacing w:after="120"/>
      <w:widowControl/>
    </w:pPr>
    <w:rPr>
      <w:rFonts w:ascii="仿宋_GB2312" w:eastAsia="仿宋_GB2312"/>
      <w:color w:val="ff6600"/>
      <w:sz w:val="21"/>
    </w:rPr>
  </w:style>
  <w:style w:type="character" w:styleId="681">
    <w:name w:val="page number"/>
    <w:uiPriority w:val="0"/>
    <w:qFormat/>
  </w:style>
  <w:style w:type="paragraph" w:styleId="68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683" w:customStyle="1">
    <w:name w:val="正文文本 21"/>
    <w:basedOn w:val="671"/>
    <w:uiPriority w:val="0"/>
    <w:qFormat/>
    <w:pPr>
      <w:spacing w:line="440" w:lineRule="exact"/>
    </w:pPr>
    <w:rPr>
      <w:rFonts w:ascii="楷体_GB2312" w:eastAsia="楷体_GB2312"/>
      <w:sz w:val="28"/>
      <w:lang w:eastAsia="en-US"/>
    </w:rPr>
  </w:style>
  <w:style w:type="paragraph" w:styleId="684" w:customStyle="1">
    <w:name w:val="普通正文"/>
    <w:basedOn w:val="671"/>
    <w:uiPriority w:val="0"/>
    <w:qFormat/>
    <w:pPr>
      <w:ind w:firstLine="480"/>
      <w:jc w:val="left"/>
      <w:spacing w:before="120" w:after="120" w:line="360" w:lineRule="auto"/>
    </w:pPr>
    <w:rPr>
      <w:rFonts w:ascii="Arial" w:hAnsi="Arial"/>
      <w:sz w:val="24"/>
    </w:rPr>
  </w:style>
  <w:style w:type="numbering" w:styleId="72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顾诗仪</cp:lastModifiedBy>
  <cp:revision>2</cp:revision>
  <dcterms:created xsi:type="dcterms:W3CDTF">2026-11-04T05:52:00Z</dcterms:created>
  <dcterms:modified xsi:type="dcterms:W3CDTF">2026-11-05T07:45:32Z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C4238C10364C4CB8AA693AF0A1DDD05E_11</vt:lpwstr>
  </property>
  <property fmtid="{D5CDD505-2E9C-101B-9397-08002B2CF9AE}" pid="4" name="KSOTemplateDocerSaveRecord">
    <vt:lpwstr>eyJoZGlkIjoiNGQzMTFiMjAwOTBiNjU3YzcwNGY0NGMyNTAxMDdjMGQiLCJ1c2VySWQiOiIyMTk1MDAyNyJ9</vt:lpwstr>
  </property>
</Properties>
</file>