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w:t>
      </w:r>
      <w:r>
        <w:rPr>
          <w:rFonts w:hint="eastAsia" w:ascii="宋体" w:hAnsi="宋体" w:eastAsia="宋体" w:cs="宋体"/>
          <w:b/>
          <w:sz w:val="52"/>
          <w:szCs w:val="52"/>
          <w:highlight w:val="none"/>
        </w:rPr>
        <w:t xml:space="preserve">苏采云全流程不见面交易</w:t>
      </w:r>
      <w:r>
        <w:rPr>
          <w:rFonts w:hint="eastAsia" w:ascii="宋体" w:hAnsi="宋体" w:eastAsia="宋体" w:cs="宋体"/>
          <w:b/>
          <w:sz w:val="72"/>
          <w:szCs w:val="72"/>
          <w:highlight w:val="none"/>
        </w:rPr>
        <w:t xml:space="preserve">”</w:t>
      </w:r>
      <w:r/>
    </w:p>
    <w:p>
      <w:pPr>
        <w:jc w:val="center"/>
        <w:spacing w:line="360" w:lineRule="auto"/>
        <w:tabs>
          <w:tab w:val="center" w:pos="4621" w:leader="none"/>
        </w:tabs>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r>
      <w:r/>
    </w:p>
    <w:p>
      <w:pPr>
        <w:pStyle w:val="1031"/>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tabs>
          <w:tab w:val="center" w:pos="4621" w:leader="none"/>
        </w:tabs>
        <w:rPr>
          <w:rFonts w:hint="eastAsia" w:ascii="宋体" w:hAnsi="宋体" w:eastAsia="宋体" w:cs="宋体"/>
          <w:b/>
          <w:spacing w:val="28"/>
          <w:sz w:val="60"/>
          <w:szCs w:val="60"/>
          <w:highlight w:val="none"/>
        </w:rPr>
      </w:pPr>
      <w:r>
        <w:rPr>
          <w:rFonts w:hint="eastAsia" w:ascii="宋体" w:hAnsi="宋体" w:eastAsia="宋体" w:cs="宋体"/>
          <w:b/>
          <w:spacing w:val="28"/>
          <w:sz w:val="60"/>
          <w:szCs w:val="60"/>
          <w:highlight w:val="none"/>
        </w:rPr>
        <w:t xml:space="preserve">竞争性磋商文件</w:t>
      </w:r>
      <w:r/>
    </w:p>
    <w:p>
      <w:pPr>
        <w:jc w:val="center"/>
        <w:rPr>
          <w:rFonts w:hint="eastAsia" w:ascii="宋体" w:hAnsi="宋体" w:eastAsia="宋体" w:cs="宋体"/>
          <w:b/>
          <w:bCs/>
          <w:color w:val="000000"/>
          <w:sz w:val="112"/>
          <w:szCs w:val="112"/>
        </w:rPr>
      </w:pPr>
      <w:r>
        <w:rPr>
          <w:rFonts w:hint="eastAsia" w:ascii="宋体" w:hAnsi="宋体" w:eastAsia="宋体" w:cs="宋体"/>
          <w:b/>
          <w:bCs/>
          <w:color w:val="000000"/>
          <w:sz w:val="112"/>
          <w:szCs w:val="112"/>
        </w:rPr>
      </w:r>
      <w:r/>
    </w:p>
    <w:p>
      <w:pPr>
        <w:ind w:firstLine="192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321"/>
        <w:jc w:val="both"/>
        <w:spacing w:line="360" w:lineRule="auto"/>
        <w:rPr>
          <w:rFonts w:hint="eastAsia" w:ascii="宋体" w:hAnsi="宋体" w:cs="宋体"/>
          <w:b/>
          <w:bCs/>
          <w:sz w:val="32"/>
          <w:szCs w:val="32"/>
          <w:highlight w:val="none"/>
          <w:lang w:val="en-US"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盱眙县淮河镇公益性公墓改造项目</w:t>
      </w:r>
      <w:r/>
    </w:p>
    <w:p>
      <w:pPr>
        <w:ind w:firstLine="321"/>
        <w:jc w:val="both"/>
        <w:spacing w:line="360" w:lineRule="auto"/>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JSZC-320830-JTGS-C2026-0046</w:t>
      </w:r>
      <w:r>
        <w:rPr>
          <w:rFonts w:hint="eastAsia" w:ascii="宋体" w:hAnsi="宋体" w:eastAsia="宋体" w:cs="宋体"/>
          <w:b/>
          <w:bCs/>
          <w:sz w:val="32"/>
          <w:szCs w:val="32"/>
          <w:highlight w:val="none"/>
          <w:lang w:eastAsia="zh-CN"/>
        </w:rPr>
        <w:t xml:space="preserve">  </w:t>
      </w:r>
      <w:r>
        <w:rPr>
          <w:rFonts w:hint="eastAsia" w:ascii="宋体" w:hAnsi="宋体" w:eastAsia="宋体" w:cs="宋体"/>
          <w:b/>
          <w:bCs/>
          <w:sz w:val="32"/>
          <w:szCs w:val="32"/>
          <w:highlight w:val="none"/>
          <w:lang w:eastAsia="zh-CN"/>
        </w:rPr>
        <w:t xml:space="preserve"> </w:t>
      </w:r>
      <w:r/>
    </w:p>
    <w:p>
      <w:pPr>
        <w:ind w:firstLine="321"/>
        <w:spacing w:line="360" w:lineRule="auto"/>
        <w:rPr>
          <w:rFonts w:hint="eastAsia" w:ascii="宋体" w:hAnsi="宋体" w:eastAsia="宋体" w:cs="宋体"/>
          <w:b/>
          <w:bCs/>
          <w:sz w:val="32"/>
          <w:szCs w:val="32"/>
          <w:highlight w:val="none"/>
        </w:rPr>
      </w:pPr>
      <w:r/>
      <w:bookmarkStart w:id="573" w:name="_GoBack"/>
      <w:r/>
      <w:bookmarkEnd w:id="573"/>
      <w:r>
        <w:rPr>
          <w:rFonts w:hint="eastAsia" w:ascii="宋体" w:hAnsi="宋体" w:eastAsia="宋体" w:cs="宋体"/>
          <w:b/>
          <w:bCs/>
          <w:sz w:val="32"/>
          <w:szCs w:val="32"/>
          <w:highlight w:val="none"/>
        </w:rPr>
        <w:t xml:space="preserve">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人</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盱眙县淮河镇人民政府</w:t>
      </w:r>
      <w:r/>
    </w:p>
    <w:p>
      <w:pPr>
        <w:ind w:firstLine="321"/>
        <w:jc w:val="both"/>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江苏骏通建设项目管理咨询有限公司</w:t>
      </w:r>
      <w:r/>
    </w:p>
    <w:p>
      <w:pPr>
        <w:ind w:firstLine="3795"/>
        <w:spacing w:line="360" w:lineRule="auto"/>
        <w:tabs>
          <w:tab w:val="left" w:pos="8786"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07"/>
        <w:rPr>
          <w:rFonts w:hint="eastAsia"/>
        </w:rPr>
      </w:pPr>
      <w:r>
        <w:rPr>
          <w:rFonts w:hint="eastAsia"/>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二〇二</w:t>
      </w:r>
      <w:r>
        <w:rPr>
          <w:rFonts w:hint="eastAsia" w:ascii="宋体" w:hAnsi="宋体" w:cs="宋体"/>
          <w:b/>
          <w:bCs/>
          <w:sz w:val="36"/>
          <w:szCs w:val="36"/>
          <w:highlight w:val="none"/>
          <w:lang w:val="en-US" w:eastAsia="zh-CN"/>
        </w:rPr>
        <w:t xml:space="preserve">六</w:t>
      </w:r>
      <w:r>
        <w:rPr>
          <w:rFonts w:hint="eastAsia" w:ascii="宋体" w:hAnsi="宋体" w:eastAsia="宋体" w:cs="宋体"/>
          <w:b/>
          <w:bCs/>
          <w:sz w:val="36"/>
          <w:szCs w:val="36"/>
          <w:highlight w:val="none"/>
        </w:rPr>
        <w:t xml:space="preserve">年</w:t>
      </w:r>
      <w:r>
        <w:rPr>
          <w:rFonts w:hint="eastAsia" w:ascii="宋体" w:hAnsi="宋体" w:cs="宋体"/>
          <w:b/>
          <w:bCs/>
          <w:sz w:val="36"/>
          <w:szCs w:val="36"/>
          <w:highlight w:val="none"/>
          <w:lang w:val="en-US" w:eastAsia="zh-CN"/>
        </w:rPr>
        <w:t xml:space="preserve">十</w:t>
      </w:r>
      <w:r>
        <w:rPr>
          <w:rFonts w:hint="eastAsia" w:ascii="宋体" w:hAnsi="宋体" w:eastAsia="宋体" w:cs="宋体"/>
          <w:b/>
          <w:bCs/>
          <w:sz w:val="36"/>
          <w:szCs w:val="36"/>
          <w:highlight w:val="none"/>
        </w:rPr>
        <w:t xml:space="preserve">月</w:t>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前附表</w:t>
      </w:r>
      <w:r/>
    </w:p>
    <w:tbl>
      <w:tblPr>
        <w:tblStyle w:val="101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01"/>
        <w:gridCol w:w="6559"/>
      </w:tblGrid>
      <w:tr>
        <w:trPr>
          <w:jc w:val="center"/>
          <w:trHeight w:val="363"/>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4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盱眙县淮河镇人民政府</w:t>
            </w:r>
            <w:r/>
          </w:p>
        </w:tc>
      </w:tr>
      <w:tr>
        <w:trPr>
          <w:jc w:val="center"/>
          <w:trHeight w:val="50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江苏骏通建设项目管理咨询有限公司</w:t>
            </w:r>
            <w:r/>
          </w:p>
        </w:tc>
      </w:tr>
      <w:tr>
        <w:trPr>
          <w:jc w:val="center"/>
          <w:trHeight w:val="384"/>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JSZC-320830-JTGS-C2026-0046</w:t>
            </w:r>
            <w:r/>
          </w:p>
        </w:tc>
      </w:tr>
      <w:tr>
        <w:trPr>
          <w:jc w:val="center"/>
          <w:trHeight w:val="716"/>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numPr>
                <w:ilvl w:val="0"/>
                <w:numId w:val="0"/>
              </w:numPr>
              <w:jc w:val="both"/>
              <w:pageBreakBefore w:val="0"/>
              <w:spacing w:line="380" w:lineRule="exact"/>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盱眙县淮河镇公益性公墓改造项目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r>
              <w:rPr>
                <w:rFonts w:hint="eastAsia" w:ascii="宋体" w:hAnsi="宋体" w:cs="宋体"/>
                <w:color w:val="auto"/>
                <w:sz w:val="24"/>
                <w:szCs w:val="24"/>
                <w:highlight w:val="none"/>
                <w:lang w:val="en-US" w:eastAsia="zh-CN"/>
              </w:rPr>
              <w:t xml:space="preserve">第四章磋商项目采购需求。</w:t>
            </w:r>
            <w:r/>
          </w:p>
        </w:tc>
      </w:tr>
      <w:tr>
        <w:trPr>
          <w:jc w:val="center"/>
          <w:trHeight w:val="37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172万元</w:t>
            </w:r>
            <w:r/>
          </w:p>
        </w:tc>
      </w:tr>
      <w:tr>
        <w:trPr>
          <w:jc w:val="center"/>
          <w:trHeight w:val="352"/>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九十日历天</w:t>
            </w:r>
            <w:r/>
          </w:p>
        </w:tc>
      </w:tr>
      <w:tr>
        <w:trPr>
          <w:jc w:val="center"/>
          <w:trHeight w:val="392"/>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pStyle w:val="1019"/>
              <w:numPr>
                <w:ilvl w:val="0"/>
                <w:numId w:val="0"/>
              </w:num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yellow"/>
                <w:lang w:val="en-US" w:eastAsia="zh-CN"/>
              </w:rPr>
              <w:t xml:space="preserve">付款方式</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c00000"/>
                <w:sz w:val="24"/>
                <w:szCs w:val="24"/>
                <w:highlight w:val="none"/>
                <w:lang w:eastAsia="zh-CN"/>
              </w:rPr>
              <w:t xml:space="preserve">合同签订生效后预付合同价</w:t>
            </w:r>
            <w:r>
              <w:rPr>
                <w:rFonts w:hint="eastAsia" w:ascii="宋体" w:hAnsi="宋体" w:eastAsia="宋体" w:cs="宋体"/>
                <w:color w:val="c00000"/>
                <w:sz w:val="24"/>
                <w:szCs w:val="24"/>
                <w:highlight w:val="none"/>
                <w:lang w:val="en-US" w:eastAsia="zh-CN"/>
              </w:rPr>
              <w:t xml:space="preserve">的</w:t>
            </w:r>
            <w:r>
              <w:rPr>
                <w:rFonts w:hint="eastAsia" w:ascii="宋体" w:hAnsi="宋体" w:eastAsia="宋体" w:cs="宋体"/>
                <w:color w:val="c00000"/>
                <w:sz w:val="24"/>
                <w:szCs w:val="24"/>
                <w:highlight w:val="none"/>
                <w:lang w:eastAsia="zh-CN"/>
              </w:rPr>
              <w:t xml:space="preserve">40%作为预付款</w:t>
            </w:r>
            <w:r>
              <w:rPr>
                <w:rFonts w:hint="eastAsia" w:ascii="宋体" w:hAnsi="宋体" w:eastAsia="宋体" w:cs="宋体"/>
                <w:color w:val="c00000"/>
                <w:sz w:val="24"/>
                <w:szCs w:val="24"/>
                <w:highlight w:val="none"/>
              </w:rPr>
              <w:t xml:space="preserve">（</w:t>
            </w:r>
            <w:r>
              <w:rPr>
                <w:rFonts w:hint="eastAsia" w:ascii="宋体" w:hAnsi="宋体" w:eastAsia="宋体" w:cs="宋体"/>
                <w:color w:val="c00000"/>
                <w:sz w:val="24"/>
                <w:szCs w:val="24"/>
                <w:highlight w:val="none"/>
                <w:lang w:eastAsia="zh-CN"/>
              </w:rPr>
              <w:t xml:space="preserve">付款前乙方须提供等额银行出具付款保函作为担保），</w:t>
            </w:r>
            <w:r>
              <w:rPr>
                <w:rFonts w:hint="eastAsia" w:ascii="宋体" w:hAnsi="宋体" w:cs="宋体"/>
                <w:color w:val="c00000"/>
                <w:sz w:val="24"/>
                <w:szCs w:val="24"/>
                <w:highlight w:val="none"/>
                <w:lang w:eastAsia="zh-CN"/>
              </w:rPr>
              <w:t xml:space="preserve">工程交工验收合格后付至合同价的80%，审计部门审计结束后付至审定价的97%，余款待质保期满后无质量问题后一次付清。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 xml:space="preserve">。</w:t>
            </w:r>
            <w:r/>
          </w:p>
        </w:tc>
      </w:tr>
      <w:tr>
        <w:trPr>
          <w:jc w:val="center"/>
          <w:trHeight w:val="19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513"/>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c00000"/>
                <w:sz w:val="24"/>
                <w:szCs w:val="24"/>
                <w:highlight w:val="none"/>
              </w:rPr>
            </w:pPr>
            <w:r/>
            <w:bookmarkStart w:id="0" w:name="OLE_LINK76"/>
            <w:r>
              <w:rPr>
                <w:rFonts w:hint="eastAsia" w:ascii="宋体" w:hAnsi="宋体" w:cs="宋体"/>
                <w:bCs/>
                <w:color w:val="c00000"/>
                <w:sz w:val="24"/>
                <w:szCs w:val="24"/>
                <w:highlight w:val="none"/>
                <w:shd w:val="clear" w:color="auto" w:fill="ffffff"/>
                <w:lang w:eastAsia="zh-CN"/>
              </w:rPr>
              <w:t xml:space="preserve">202</w:t>
            </w:r>
            <w:r>
              <w:rPr>
                <w:rFonts w:hint="eastAsia" w:ascii="宋体" w:hAnsi="宋体" w:cs="宋体"/>
                <w:bCs/>
                <w:color w:val="c00000"/>
                <w:sz w:val="24"/>
                <w:szCs w:val="24"/>
                <w:highlight w:val="none"/>
                <w:shd w:val="clear" w:color="auto" w:fill="ffffff"/>
                <w:lang w:val="en-US" w:eastAsia="zh-CN"/>
              </w:rPr>
              <w:t xml:space="preserve">6</w:t>
            </w:r>
            <w:r>
              <w:rPr>
                <w:rFonts w:hint="eastAsia" w:ascii="宋体" w:hAnsi="宋体" w:cs="宋体"/>
                <w:bCs/>
                <w:color w:val="c00000"/>
                <w:sz w:val="24"/>
                <w:szCs w:val="24"/>
                <w:highlight w:val="none"/>
                <w:shd w:val="clear" w:color="auto" w:fill="ffffff"/>
                <w:lang w:eastAsia="zh-CN"/>
              </w:rPr>
              <w:t xml:space="preserve">年</w:t>
            </w:r>
            <w:r>
              <w:rPr>
                <w:rFonts w:hint="eastAsia" w:ascii="宋体" w:hAnsi="宋体" w:cs="宋体"/>
                <w:bCs/>
                <w:color w:val="c00000"/>
                <w:sz w:val="24"/>
                <w:szCs w:val="24"/>
                <w:highlight w:val="none"/>
                <w:shd w:val="clear" w:color="auto" w:fill="ffffff"/>
                <w:lang w:val="en-US" w:eastAsia="zh-CN"/>
              </w:rPr>
              <w:t xml:space="preserve">11月3日</w:t>
            </w:r>
            <w:r>
              <w:rPr>
                <w:rFonts w:hint="eastAsia" w:ascii="宋体" w:hAnsi="宋体" w:eastAsia="宋体" w:cs="宋体"/>
                <w:bCs/>
                <w:color w:val="c00000"/>
                <w:sz w:val="24"/>
                <w:szCs w:val="24"/>
                <w:highlight w:val="none"/>
                <w:shd w:val="clear" w:color="auto" w:fill="ffffff"/>
              </w:rPr>
              <w:t xml:space="preserve">09点00分</w:t>
            </w:r>
            <w:r>
              <w:rPr>
                <w:rFonts w:hint="eastAsia" w:ascii="宋体" w:hAnsi="宋体" w:eastAsia="宋体" w:cs="宋体"/>
                <w:b/>
                <w:color w:val="c00000"/>
                <w:sz w:val="24"/>
                <w:szCs w:val="24"/>
                <w:highlight w:val="none"/>
              </w:rPr>
              <w:t xml:space="preserve">（北京时间）</w:t>
            </w:r>
            <w:bookmarkEnd w:id="0"/>
            <w:r/>
            <w:r/>
          </w:p>
        </w:tc>
      </w:tr>
      <w:tr>
        <w:trPr>
          <w:jc w:val="center"/>
          <w:trHeight w:val="9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本次采购代理费用参照苏政采协</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lang w:val="en-US"/>
              </w:rPr>
              <w:t xml:space="preserve">20号关于印发《江苏省政府采购代理服务收费指导意见》的通知</w:t>
            </w:r>
            <w:r>
              <w:rPr>
                <w:rFonts w:hint="eastAsia" w:ascii="宋体" w:hAnsi="宋体" w:eastAsia="宋体" w:cs="宋体"/>
                <w:color w:val="auto"/>
                <w:sz w:val="24"/>
                <w:szCs w:val="24"/>
                <w:highlight w:val="none"/>
                <w:lang w:val="en-US" w:eastAsia="zh-CN"/>
              </w:rPr>
              <w:t xml:space="preserve">8折收取</w:t>
            </w:r>
            <w:r>
              <w:rPr>
                <w:rFonts w:hint="eastAsia" w:ascii="宋体" w:hAnsi="宋体" w:eastAsia="宋体" w:cs="宋体"/>
                <w:color w:val="auto"/>
                <w:sz w:val="24"/>
                <w:szCs w:val="24"/>
                <w:highlight w:val="none"/>
                <w:lang w:val="en-US"/>
              </w:rPr>
              <w:t xml:space="preserve">，由成交供应商领取中标通知书时缴纳，投标单位充分考虑报价风险计入总价且不单独立项。</w:t>
            </w:r>
            <w:r/>
          </w:p>
        </w:tc>
      </w:tr>
      <w:tr>
        <w:trPr>
          <w:jc w:val="center"/>
          <w:trHeight w:val="566"/>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52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65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numPr>
          <w:ilvl w:val="0"/>
          <w:numId w:val="1"/>
        </w:numPr>
        <w:jc w:val="center"/>
        <w:pageBreakBefore w:val="0"/>
        <w:spacing w:after="100" w:afterAutospacing="1" w:line="380" w:lineRule="exact"/>
        <w:widowControl/>
        <w:rPr>
          <w:rFonts w:hint="default" w:ascii="宋体" w:hAnsi="宋体" w:eastAsia="宋体" w:cs="宋体"/>
          <w:b/>
          <w:bCs/>
          <w:color w:val="auto"/>
          <w:sz w:val="36"/>
          <w:szCs w:val="36"/>
          <w:highlight w:val="none"/>
          <w:lang w:val="en-US"/>
        </w:rPr>
        <w:outlineLvl w:val="0"/>
      </w:pPr>
      <w:r>
        <w:rPr>
          <w:rFonts w:hint="eastAsia" w:ascii="宋体" w:hAnsi="宋体" w:eastAsia="宋体" w:cs="宋体"/>
          <w:b/>
          <w:color w:val="auto"/>
          <w:sz w:val="32"/>
          <w:szCs w:val="32"/>
          <w:highlight w:val="none"/>
        </w:rPr>
        <w:t xml:space="preserve"> </w:t>
      </w:r>
      <w:r>
        <w:rPr>
          <w:rFonts w:hint="eastAsia" w:ascii="宋体" w:hAnsi="宋体" w:cs="宋体"/>
          <w:b/>
          <w:bCs/>
          <w:color w:val="auto"/>
          <w:sz w:val="32"/>
          <w:szCs w:val="32"/>
          <w:highlight w:val="none"/>
          <w:lang w:val="en-US" w:eastAsia="zh-CN"/>
        </w:rPr>
        <w:t xml:space="preserve">盱眙县淮河镇公益性公墓改造项目竞争性磋商公告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rPr>
      </w:pPr>
      <w:r/>
      <w:bookmarkStart w:id="1" w:name="OLE_LINK40"/>
      <w:r>
        <w:rPr>
          <w:rFonts w:hint="eastAsia" w:ascii="宋体" w:hAnsi="宋体" w:eastAsia="宋体" w:cs="宋体"/>
          <w:color w:val="auto"/>
          <w:sz w:val="24"/>
          <w:szCs w:val="24"/>
          <w:highlight w:val="none"/>
          <w:lang w:val="zh-TW" w:eastAsia="zh-TW"/>
        </w:rPr>
        <w:t xml:space="preserve">受</w:t>
      </w:r>
      <w:r>
        <w:rPr>
          <w:rFonts w:hint="eastAsia" w:ascii="宋体" w:hAnsi="宋体" w:cs="宋体"/>
          <w:color w:val="auto"/>
          <w:sz w:val="24"/>
          <w:szCs w:val="24"/>
          <w:highlight w:val="none"/>
          <w:u w:val="single"/>
          <w:lang w:val="en-US" w:eastAsia="zh-CN"/>
        </w:rPr>
        <w:t xml:space="preserve">盱眙县淮河镇人民政府</w:t>
      </w:r>
      <w:r>
        <w:rPr>
          <w:rFonts w:hint="eastAsia" w:ascii="宋体" w:hAnsi="宋体" w:eastAsia="宋体" w:cs="宋体"/>
          <w:color w:val="auto"/>
          <w:sz w:val="24"/>
          <w:szCs w:val="24"/>
          <w:highlight w:val="none"/>
          <w:lang w:val="zh-TW" w:eastAsia="zh-TW"/>
        </w:rPr>
        <w:t xml:space="preserve">的委托，</w:t>
      </w:r>
      <w:r>
        <w:rPr>
          <w:rFonts w:hint="eastAsia" w:ascii="宋体" w:hAnsi="宋体" w:eastAsia="宋体" w:cs="宋体"/>
          <w:color w:val="auto"/>
          <w:sz w:val="24"/>
          <w:szCs w:val="24"/>
          <w:highlight w:val="none"/>
          <w:u w:val="single"/>
          <w:lang w:val="en-US" w:eastAsia="zh-CN"/>
        </w:rPr>
        <w:t xml:space="preserve">江苏骏通建设项目管理咨询有限公司</w:t>
      </w:r>
      <w:r>
        <w:rPr>
          <w:rFonts w:hint="eastAsia" w:ascii="宋体" w:hAnsi="宋体" w:eastAsia="宋体" w:cs="宋体"/>
          <w:color w:val="auto"/>
          <w:sz w:val="24"/>
          <w:szCs w:val="24"/>
          <w:highlight w:val="none"/>
          <w:lang w:val="zh-TW" w:eastAsia="zh-TW"/>
        </w:rPr>
        <w:t xml:space="preserve">就</w:t>
      </w:r>
      <w:r>
        <w:rPr>
          <w:rFonts w:hint="eastAsia" w:ascii="宋体" w:hAnsi="宋体" w:cs="宋体"/>
          <w:color w:val="auto"/>
          <w:sz w:val="24"/>
          <w:szCs w:val="24"/>
          <w:highlight w:val="none"/>
          <w:u w:val="single"/>
          <w:lang w:val="en-US" w:eastAsia="zh-CN"/>
        </w:rPr>
        <w:t xml:space="preserve">盱眙县淮河镇公益性公墓改造项目</w:t>
      </w:r>
      <w:r>
        <w:rPr>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-76835</wp:posOffset>
                </wp:positionH>
                <wp:positionV relativeFrom="paragraph">
                  <wp:posOffset>39370</wp:posOffset>
                </wp:positionV>
                <wp:extent cx="6124575" cy="1485778"/>
                <wp:effectExtent l="4762" t="4762" r="4762" b="4762"/>
                <wp:wrapNone/>
                <wp:docPr id="6" name="矩形 3"/>
                <wp:cNvGraphicFramePr/>
                <a:graphic xmlns:a="http://schemas.openxmlformats.org/drawingml/2006/main">
                  <a:graphicData uri="http://schemas.microsoft.com/office/word/2010/wordprocessingShape">
                    <wps:wsp>
                      <wps:cNvPr id="0" name=""/>
                      <wps:cNvSpPr/>
                      <wps:spPr bwMode="auto">
                        <a:xfrm flipH="0" flipV="0">
                          <a:off x="0" y="0"/>
                          <a:ext cx="6124574" cy="1485777"/>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盱眙县淮河镇公益性公墓改造项目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的潜在供应商应在</w:t>
                            </w:r>
                            <w:r>
                              <w:rPr>
                                <w:rFonts w:hint="eastAsia" w:ascii="仿宋" w:hAnsi="仿宋" w:eastAsia="仿宋" w:cs="仿宋"/>
                                <w:sz w:val="28"/>
                                <w:szCs w:val="28"/>
                                <w:lang w:eastAsia="zh-CN"/>
                              </w:rPr>
                              <w:t xml:space="preserve">江苏省政府采购网或者淮安市政府采购网获取采购文件</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color w:val="c00000"/>
                                <w:sz w:val="28"/>
                                <w:szCs w:val="28"/>
                                <w:lang w:val="en-US" w:eastAsia="zh-CN"/>
                              </w:rPr>
                              <w:t xml:space="preserve">2026年11月3日9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分（北京时间）前提交响应文件。</w:t>
                            </w:r>
                            <w:r/>
                          </w:p>
                          <w:p>
                            <w:r/>
                            <w:r/>
                          </w:p>
                        </w:txbxContent>
                      </wps:txbx>
                      <wps:bodyPr upright="1"/>
                    </wps:wsp>
                  </a:graphicData>
                </a:graphic>
              </wp:anchor>
            </w:drawing>
          </mc:Choice>
          <mc:Fallback>
            <w:pict>
              <v:shape id="shape 5" o:spid="_x0000_s5" o:spt="1" type="#_x0000_t1" style="position:absolute;z-index:251659264;o:allowoverlap:true;o:allowincell:true;mso-position-horizontal-relative:text;margin-left:-6.0pt;mso-position-horizontal:absolute;mso-position-vertical-relative:text;margin-top:3.1pt;mso-position-vertical:absolute;width:482.2pt;height:117.0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盱眙县淮河镇公益性公墓改造项目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的潜在供应商应在</w:t>
                      </w:r>
                      <w:r>
                        <w:rPr>
                          <w:rFonts w:hint="eastAsia" w:ascii="仿宋" w:hAnsi="仿宋" w:eastAsia="仿宋" w:cs="仿宋"/>
                          <w:sz w:val="28"/>
                          <w:szCs w:val="28"/>
                          <w:lang w:eastAsia="zh-CN"/>
                        </w:rPr>
                        <w:t xml:space="preserve">江苏省政府采购网或者淮安市政府采购网获取采购文件</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color w:val="c00000"/>
                          <w:sz w:val="28"/>
                          <w:szCs w:val="28"/>
                          <w:lang w:val="en-US" w:eastAsia="zh-CN"/>
                        </w:rPr>
                        <w:t xml:space="preserve">2026年11月3日9</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分（北京时间）前提交响应文件。</w:t>
                      </w:r>
                      <w:r/>
                    </w:p>
                    <w:p>
                      <w:r/>
                      <w:r/>
                    </w:p>
                  </w:txbxContent>
                </v:textbox>
              </v:shape>
            </w:pict>
          </mc:Fallback>
        </mc:AlternateContent>
      </w:r>
      <w:r/>
    </w:p>
    <w:p>
      <w:pPr>
        <w:pStyle w:val="100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JSZC-320830-JTGS-C2026-0046</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盱眙县淮河镇公益性公墓改造项目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172万元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172万元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（六）采购需求</w:t>
      </w:r>
      <w:r>
        <w:rPr>
          <w:rFonts w:hint="eastAsia" w:ascii="宋体" w:hAnsi="宋体" w:eastAsia="宋体" w:cs="宋体"/>
          <w:color w:val="auto"/>
          <w:sz w:val="24"/>
          <w:szCs w:val="24"/>
          <w:highlight w:val="none"/>
        </w:rPr>
        <w:t xml:space="preserve">：</w:t>
      </w:r>
      <w:bookmarkStart w:id="2" w:name="OLE_LINK73"/>
      <w:r>
        <w:rPr>
          <w:rFonts w:hint="eastAsia" w:ascii="宋体" w:hAnsi="宋体" w:cs="宋体"/>
          <w:color w:val="auto"/>
          <w:sz w:val="24"/>
          <w:szCs w:val="24"/>
          <w:highlight w:val="none"/>
          <w:lang w:val="en-US" w:eastAsia="zh-CN"/>
        </w:rPr>
        <w:t xml:space="preserve">盱眙县淮河镇公益性公墓改造项目，具体详见清单</w:t>
      </w:r>
      <w:r>
        <w:rPr>
          <w:rFonts w:hint="eastAsia" w:ascii="宋体" w:hAnsi="宋体" w:eastAsia="宋体" w:cs="宋体"/>
          <w:color w:val="auto"/>
          <w:sz w:val="24"/>
          <w:szCs w:val="24"/>
          <w:highlight w:val="none"/>
        </w:rPr>
        <w:t xml:space="preserve">；</w:t>
      </w:r>
      <w:bookmarkEnd w:id="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3年</w:t>
      </w:r>
      <w:r>
        <w:rPr>
          <w:rFonts w:hint="eastAsia" w:ascii="宋体" w:hAnsi="宋体" w:eastAsia="宋体" w:cs="宋体"/>
          <w:bCs/>
          <w:color w:val="auto"/>
          <w:sz w:val="24"/>
          <w:szCs w:val="24"/>
          <w:highlight w:val="none"/>
        </w:rPr>
        <w:t xml:space="preserve">，具体时间根据甲方要求</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（八）本项目（是/否）接受联合体：否；</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（一）符合《中华人民共和国政府采购法》第二十二条规定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bookmarkStart w:id="3" w:name="OLE_LINK48"/>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符合《中华人民共和国政府采购法》第二十二条规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lang w:val="zh-CN"/>
        </w:rPr>
        <w:t xml:space="preserve">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lang w:val="zh-CN"/>
        </w:rPr>
        <w:t xml:space="preserve">（详见示范格式三）</w:t>
      </w:r>
      <w:bookmarkEnd w:id="3"/>
      <w:r>
        <w:rPr>
          <w:rFonts w:hint="eastAsia" w:ascii="宋体" w:hAnsi="宋体" w:eastAsia="宋体" w:cs="宋体"/>
          <w:color w:val="auto"/>
          <w:sz w:val="24"/>
          <w:szCs w:val="24"/>
          <w:highlight w:val="none"/>
        </w:rPr>
        <w:t xml:space="preserve">（扫描件上传至电子响应文件）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 w:name="OLE_LINK50"/>
      <w:r>
        <w:rPr>
          <w:rFonts w:hint="eastAsia" w:ascii="宋体" w:hAnsi="宋体" w:eastAsia="宋体" w:cs="宋体"/>
          <w:color w:val="auto"/>
          <w:sz w:val="24"/>
          <w:szCs w:val="24"/>
          <w:highlight w:val="none"/>
          <w:lang w:val="en-US" w:eastAsia="zh-CN"/>
        </w:rPr>
        <w:t xml:space="preserve">2.</w:t>
      </w:r>
      <w:bookmarkStart w:id="5" w:name="OLE_LINK46"/>
      <w:r>
        <w:rPr>
          <w:rFonts w:hint="eastAsia" w:ascii="宋体" w:hAnsi="宋体" w:eastAsia="宋体" w:cs="宋体"/>
          <w:color w:val="auto"/>
          <w:sz w:val="24"/>
          <w:szCs w:val="24"/>
          <w:highlight w:val="none"/>
        </w:rPr>
        <w:t xml:space="preserve">法定代表人资格证明（</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示范格式一）和法定代表人身份证</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授权委托书（</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示范格式二）和受托人身份证；（扫描件上传至电子响应文件）</w:t>
      </w:r>
      <w:bookmarkEnd w:id="4"/>
      <w:r/>
      <w:bookmarkEnd w:id="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 w:name="OLE_LINK51"/>
      <w:r>
        <w:rPr>
          <w:rFonts w:hint="eastAsia" w:ascii="宋体" w:hAnsi="宋体" w:eastAsia="宋体" w:cs="宋体"/>
          <w:color w:val="auto"/>
          <w:sz w:val="24"/>
          <w:szCs w:val="24"/>
          <w:highlight w:val="none"/>
          <w:lang w:val="en-US" w:eastAsia="zh-CN"/>
        </w:rPr>
        <w:t xml:space="preserve">3.</w:t>
      </w:r>
      <w:bookmarkStart w:id="7" w:name="OLE_LINK47"/>
      <w:r>
        <w:rPr>
          <w:rFonts w:hint="eastAsia" w:ascii="宋体" w:hAnsi="宋体" w:eastAsia="宋体" w:cs="宋体"/>
          <w:color w:val="auto"/>
          <w:sz w:val="24"/>
          <w:szCs w:val="24"/>
          <w:highlight w:val="none"/>
        </w:rPr>
        <w:t xml:space="preserve">有效的营业执照；</w:t>
      </w:r>
      <w:bookmarkStart w:id="8" w:name="OLE_LINK49"/>
      <w:r>
        <w:rPr>
          <w:rFonts w:hint="eastAsia" w:ascii="宋体" w:hAnsi="宋体" w:eastAsia="宋体" w:cs="宋体"/>
          <w:color w:val="auto"/>
          <w:sz w:val="24"/>
          <w:szCs w:val="24"/>
          <w:highlight w:val="none"/>
        </w:rPr>
        <w:t xml:space="preserve">（扫描件上传至电子响应文件）</w:t>
      </w:r>
      <w:bookmarkEnd w:id="6"/>
      <w:r/>
      <w:bookmarkEnd w:id="7"/>
      <w:r/>
      <w:bookmarkEnd w:id="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bookmarkStart w:id="9" w:name="OLE_LINK52"/>
      <w:r/>
      <w:bookmarkStart w:id="10" w:name="OLE_LINK54"/>
      <w:r>
        <w:rPr>
          <w:rFonts w:hint="eastAsia" w:ascii="宋体" w:hAnsi="宋体" w:eastAsia="宋体" w:cs="宋体"/>
          <w:color w:val="auto"/>
          <w:sz w:val="24"/>
          <w:szCs w:val="24"/>
          <w:highlight w:val="none"/>
        </w:rPr>
        <w:t xml:space="preserve">中小企业声明函（格式按照示范格式四要求）或残疾人福利性单位声明函（格式按照示范格式五要求）（扫描件上传至电子响应文件）</w:t>
      </w:r>
      <w:bookmarkEnd w:id="9"/>
      <w:r>
        <w:rPr>
          <w:rFonts w:hint="eastAsia" w:ascii="宋体" w:hAnsi="宋体" w:eastAsia="宋体" w:cs="宋体"/>
          <w:color w:val="auto"/>
          <w:sz w:val="24"/>
          <w:szCs w:val="24"/>
          <w:highlight w:val="none"/>
        </w:rPr>
        <w:t xml:space="preserve">；</w:t>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11" w:name="OLE_LINK53"/>
      <w:r>
        <w:rPr>
          <w:rFonts w:hint="eastAsia" w:ascii="宋体" w:hAnsi="宋体" w:eastAsia="宋体" w:cs="宋体"/>
          <w:color w:val="auto"/>
          <w:sz w:val="24"/>
          <w:szCs w:val="24"/>
          <w:highlight w:val="none"/>
        </w:rPr>
        <w:t xml:space="preserve">供应商未被“信用中国”网（</w:t>
      </w:r>
      <w:r>
        <w:rPr>
          <w:rFonts w:hint="eastAsia" w:ascii="宋体" w:hAnsi="宋体" w:eastAsia="宋体" w:cs="宋体"/>
          <w:color w:val="auto"/>
          <w:sz w:val="24"/>
          <w:szCs w:val="24"/>
          <w:highlight w:val="none"/>
          <w:lang w:eastAsia="zh-CN"/>
        </w:rPr>
        <w:t xml:space="preserve">https:</w:t>
      </w:r>
      <w:r>
        <w:rPr>
          <w:rFonts w:hint="eastAsia" w:ascii="宋体" w:hAnsi="宋体" w:eastAsia="宋体" w:cs="宋体"/>
          <w:color w:val="auto"/>
          <w:sz w:val="24"/>
          <w:szCs w:val="24"/>
          <w:highlight w:val="none"/>
        </w:rPr>
        <w:t xml:space="preserve">//www.creditchina.gov.cn/）列入失信被执行人、重大税收违法案件当事人名单。供应商未被“中国政府采购网”（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 xml:space="preserve">http:</w:t>
      </w:r>
      <w:r>
        <w:rPr>
          <w:rFonts w:hint="eastAsia" w:ascii="宋体" w:hAnsi="宋体" w:eastAsia="宋体" w:cs="宋体"/>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bookmarkStart w:id="12"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bookmarkStart w:id="13" w:name="OLE_LINK55"/>
      <w:r>
        <w:rPr>
          <w:rFonts w:hint="eastAsia" w:ascii="宋体" w:hAnsi="宋体" w:eastAsia="宋体" w:cs="宋体"/>
          <w:color w:val="auto"/>
          <w:sz w:val="24"/>
          <w:szCs w:val="24"/>
          <w:highlight w:val="none"/>
        </w:rPr>
        <w:t xml:space="preserve">本项目为专门面向中小企业采购的项目。</w:t>
      </w:r>
      <w:bookmarkEnd w:id="13"/>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bookmarkEnd w:id="12"/>
      <w:r/>
      <w:r/>
    </w:p>
    <w:p>
      <w:pPr>
        <w:numPr>
          <w:ilvl w:val="0"/>
          <w:numId w:val="2"/>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spacing w:line="360" w:lineRule="auto"/>
        <w:rPr>
          <w:rFonts w:hint="eastAsia" w:ascii="宋体" w:hAnsi="宋体" w:cs="宋体"/>
          <w:color w:val="e54c5e" w:themeColor="accent6"/>
          <w:sz w:val="24"/>
          <w:highlight w:val="none"/>
          <w:lang w:val="en-US" w:eastAsia="zh-CN"/>
          <w14:textFill>
            <w14:solidFill>
              <w14:schemeClr w14:val="accent6"/>
            </w14:solidFill>
          </w14:textFill>
        </w:rPr>
      </w:pPr>
      <w:r>
        <w:rPr>
          <w:rFonts w:hint="eastAsia" w:ascii="宋体" w:hAnsi="宋体" w:cs="宋体"/>
          <w:color w:val="c00000"/>
          <w:sz w:val="24"/>
          <w:highlight w:val="none"/>
          <w:lang w:val="en-US" w:eastAsia="zh-CN"/>
        </w:rPr>
        <w:t xml:space="preserve">1.供应商具有建筑工程施工总承包三级（含）以上，企业具备安全生产条件，并取得“安全生产许</w:t>
      </w:r>
      <w:r>
        <w:rPr>
          <w:rFonts w:hint="eastAsia" w:ascii="宋体" w:hAnsi="宋体" w:cs="宋体"/>
          <w:color w:val="e54c5e" w:themeColor="accent6"/>
          <w:sz w:val="24"/>
          <w:highlight w:val="none"/>
          <w:lang w:val="en-US" w:eastAsia="zh-CN"/>
          <w14:textFill>
            <w14:solidFill>
              <w14:schemeClr w14:val="accent6"/>
            </w14:solidFill>
          </w14:textFill>
        </w:rPr>
        <w:t xml:space="preserve">可证”；</w:t>
      </w:r>
      <w:r/>
    </w:p>
    <w:p>
      <w:pPr>
        <w:ind w:firstLine="480"/>
        <w:spacing w:line="360" w:lineRule="auto"/>
        <w:rPr>
          <w:rFonts w:hint="eastAsia"/>
        </w:rPr>
      </w:pPr>
      <w:r>
        <w:rPr>
          <w:rFonts w:hint="eastAsia" w:ascii="宋体" w:hAnsi="宋体" w:cs="宋体"/>
          <w:color w:val="e54c5e" w:themeColor="accent6"/>
          <w:sz w:val="24"/>
          <w:highlight w:val="none"/>
          <w:lang w:val="en-US" w:eastAsia="zh-CN"/>
          <w14:textFill>
            <w14:solidFill>
              <w14:schemeClr w14:val="accent6"/>
            </w14:solidFill>
          </w14:textFill>
        </w:rPr>
        <w:t xml:space="preserve">2.供应商拟派本项目的项目负责人具备二级及以上建造师注册证书（建筑专业）且同时具备安全生产考核合格B证</w:t>
      </w:r>
      <w:r>
        <w:rPr>
          <w:rFonts w:hint="eastAsia" w:ascii="宋体" w:hAnsi="宋体" w:cs="宋体"/>
          <w:color w:val="e54c5e" w:themeColor="accent6"/>
          <w:sz w:val="24"/>
          <w:highlight w:val="none"/>
          <w:lang w:eastAsia="zh-CN"/>
          <w14:textFill>
            <w14:solidFill>
              <w14:schemeClr w14:val="accent6"/>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4" w:name="OLE_LINK74"/>
      <w:r>
        <w:rPr>
          <w:rFonts w:hint="eastAsia" w:ascii="宋体" w:hAnsi="宋体" w:eastAsia="宋体" w:cs="宋体"/>
          <w:color w:val="auto"/>
          <w:sz w:val="24"/>
          <w:szCs w:val="24"/>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“中国政府采购网”列入失信被执行人、重大税收违法案件当事人名单、政府采购严重违法失信行为记录名单。</w:t>
      </w:r>
      <w:bookmarkEnd w:id="14"/>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c00000"/>
          <w:sz w:val="24"/>
          <w:szCs w:val="24"/>
          <w:highlight w:val="none"/>
          <w:lang w:val="en-US" w:eastAsia="zh-CN"/>
        </w:rPr>
        <w:t xml:space="preserve">：202</w:t>
      </w:r>
      <w:r>
        <w:rPr>
          <w:rFonts w:hint="eastAsia" w:ascii="宋体" w:hAnsi="宋体" w:cs="宋体"/>
          <w:color w:val="c00000"/>
          <w:sz w:val="24"/>
          <w:szCs w:val="24"/>
          <w:highlight w:val="none"/>
          <w:lang w:val="en-US" w:eastAsia="zh-CN"/>
        </w:rPr>
        <w:t xml:space="preserve">6</w:t>
      </w:r>
      <w:r>
        <w:rPr>
          <w:rFonts w:hint="eastAsia" w:ascii="宋体" w:hAnsi="宋体" w:eastAsia="宋体" w:cs="宋体"/>
          <w:color w:val="c00000"/>
          <w:sz w:val="24"/>
          <w:szCs w:val="24"/>
          <w:highlight w:val="none"/>
          <w:lang w:val="en-US" w:eastAsia="zh-CN"/>
        </w:rPr>
        <w:t xml:space="preserve">年</w:t>
      </w:r>
      <w:r>
        <w:rPr>
          <w:rFonts w:hint="eastAsia" w:ascii="宋体" w:hAnsi="宋体" w:cs="宋体"/>
          <w:color w:val="c00000"/>
          <w:sz w:val="24"/>
          <w:szCs w:val="24"/>
          <w:highlight w:val="none"/>
          <w:lang w:val="en-US" w:eastAsia="zh-CN"/>
        </w:rPr>
        <w:t xml:space="preserve">10</w:t>
      </w:r>
      <w:r>
        <w:rPr>
          <w:rFonts w:hint="eastAsia" w:ascii="宋体" w:hAnsi="宋体" w:eastAsia="宋体" w:cs="宋体"/>
          <w:color w:val="c00000"/>
          <w:sz w:val="24"/>
          <w:szCs w:val="24"/>
          <w:highlight w:val="none"/>
          <w:lang w:val="en-US" w:eastAsia="zh-CN"/>
        </w:rPr>
        <w:t xml:space="preserve">月21</w:t>
      </w:r>
      <w:r>
        <w:rPr>
          <w:rFonts w:hint="eastAsia" w:ascii="宋体" w:hAnsi="宋体" w:eastAsia="宋体" w:cs="宋体"/>
          <w:color w:val="c00000"/>
          <w:sz w:val="24"/>
          <w:szCs w:val="24"/>
          <w:highlight w:val="none"/>
          <w:lang w:val="en-US" w:eastAsia="zh-CN"/>
        </w:rPr>
        <w:t xml:space="preserve">日至202</w:t>
      </w:r>
      <w:r>
        <w:rPr>
          <w:rFonts w:hint="eastAsia" w:ascii="宋体" w:hAnsi="宋体" w:cs="宋体"/>
          <w:color w:val="c00000"/>
          <w:sz w:val="24"/>
          <w:szCs w:val="24"/>
          <w:highlight w:val="none"/>
          <w:lang w:val="en-US" w:eastAsia="zh-CN"/>
        </w:rPr>
        <w:t xml:space="preserve">6</w:t>
      </w:r>
      <w:r>
        <w:rPr>
          <w:rFonts w:hint="eastAsia" w:ascii="宋体" w:hAnsi="宋体" w:eastAsia="宋体" w:cs="宋体"/>
          <w:color w:val="c00000"/>
          <w:sz w:val="24"/>
          <w:szCs w:val="24"/>
          <w:highlight w:val="none"/>
          <w:lang w:val="en-US" w:eastAsia="zh-CN"/>
        </w:rPr>
        <w:t xml:space="preserve">年</w:t>
      </w:r>
      <w:r>
        <w:rPr>
          <w:rFonts w:hint="eastAsia" w:ascii="宋体" w:hAnsi="宋体" w:cs="宋体"/>
          <w:color w:val="c00000"/>
          <w:sz w:val="24"/>
          <w:szCs w:val="24"/>
          <w:highlight w:val="none"/>
          <w:lang w:val="en-US" w:eastAsia="zh-CN"/>
        </w:rPr>
        <w:t xml:space="preserve">10</w:t>
      </w:r>
      <w:r>
        <w:rPr>
          <w:rFonts w:hint="eastAsia" w:ascii="宋体" w:hAnsi="宋体" w:eastAsia="宋体" w:cs="宋体"/>
          <w:color w:val="c00000"/>
          <w:sz w:val="24"/>
          <w:szCs w:val="24"/>
          <w:highlight w:val="none"/>
          <w:lang w:val="en-US" w:eastAsia="zh-CN"/>
        </w:rPr>
        <w:t xml:space="preserve">月27</w:t>
      </w:r>
      <w:r>
        <w:rPr>
          <w:rFonts w:hint="eastAsia" w:ascii="宋体" w:hAnsi="宋体" w:eastAsia="宋体" w:cs="宋体"/>
          <w:color w:val="c00000"/>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，每天上午8：30至11：30，下午14：30至17：30（北京时间，法定节假日除外）</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5" w:name="OLE_LINK70"/>
      <w:r>
        <w:rPr>
          <w:rFonts w:hint="eastAsia" w:ascii="宋体" w:hAnsi="宋体" w:eastAsia="宋体" w:cs="宋体"/>
          <w:color w:val="auto"/>
          <w:sz w:val="24"/>
          <w:szCs w:val="24"/>
          <w:highlight w:val="none"/>
        </w:rPr>
        <w:t xml:space="preserve">江苏省政府采购网或者淮安市政府采购网</w:t>
      </w:r>
      <w:bookmarkEnd w:id="15"/>
      <w:r>
        <w:rPr>
          <w:rFonts w:hint="eastAsia" w:ascii="宋体" w:hAnsi="宋体" w:eastAsia="宋体" w:cs="宋体"/>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16" w:name="OLE_LINK71"/>
      <w:r>
        <w:rPr>
          <w:rFonts w:hint="eastAsia" w:ascii="宋体" w:hAnsi="宋体" w:eastAsia="宋体" w:cs="宋体"/>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6"/>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w:t>
      </w:r>
      <w:r>
        <w:rPr>
          <w:rFonts w:hint="eastAsia" w:ascii="宋体" w:hAnsi="宋体" w:cs="宋体"/>
          <w:b w:val="0"/>
          <w:bCs/>
          <w:color w:val="c00000"/>
          <w:sz w:val="24"/>
          <w:szCs w:val="24"/>
          <w:highlight w:val="none"/>
          <w:lang w:eastAsia="zh-CN"/>
        </w:rPr>
        <w:t xml:space="preserve">202</w:t>
      </w:r>
      <w:r>
        <w:rPr>
          <w:rFonts w:hint="eastAsia" w:ascii="宋体" w:hAnsi="宋体" w:cs="宋体"/>
          <w:b w:val="0"/>
          <w:bCs/>
          <w:color w:val="c00000"/>
          <w:sz w:val="24"/>
          <w:szCs w:val="24"/>
          <w:highlight w:val="none"/>
          <w:lang w:val="en-US" w:eastAsia="zh-CN"/>
        </w:rPr>
        <w:t xml:space="preserve">6</w:t>
      </w:r>
      <w:r>
        <w:rPr>
          <w:rFonts w:hint="eastAsia" w:ascii="宋体" w:hAnsi="宋体" w:cs="宋体"/>
          <w:b w:val="0"/>
          <w:bCs/>
          <w:color w:val="c00000"/>
          <w:sz w:val="24"/>
          <w:szCs w:val="24"/>
          <w:highlight w:val="none"/>
          <w:lang w:eastAsia="zh-CN"/>
        </w:rPr>
        <w:t xml:space="preserve">年11</w:t>
      </w:r>
      <w:r>
        <w:rPr>
          <w:rFonts w:hint="eastAsia" w:ascii="宋体" w:hAnsi="宋体" w:cs="宋体"/>
          <w:b w:val="0"/>
          <w:bCs/>
          <w:color w:val="c00000"/>
          <w:sz w:val="24"/>
          <w:szCs w:val="24"/>
          <w:highlight w:val="none"/>
          <w:lang w:val="en-US" w:eastAsia="zh-CN"/>
        </w:rPr>
        <w:t xml:space="preserve">月3日</w:t>
      </w:r>
      <w:r>
        <w:rPr>
          <w:rFonts w:hint="eastAsia" w:ascii="宋体" w:hAnsi="宋体" w:eastAsia="宋体" w:cs="宋体"/>
          <w:b w:val="0"/>
          <w:bCs/>
          <w:color w:val="c00000"/>
          <w:sz w:val="24"/>
          <w:szCs w:val="24"/>
          <w:highlight w:val="none"/>
        </w:rPr>
        <w:t xml:space="preserve">09:00</w:t>
      </w:r>
      <w:r>
        <w:rPr>
          <w:rFonts w:hint="eastAsia" w:ascii="宋体" w:hAnsi="宋体" w:eastAsia="宋体" w:cs="宋体"/>
          <w:b w:val="0"/>
          <w:bCs/>
          <w:color w:val="auto"/>
          <w:sz w:val="24"/>
          <w:szCs w:val="24"/>
          <w:highlight w:val="none"/>
        </w:rPr>
        <w:t xml:space="preserve">（北京时间）</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地点：</w:t>
      </w:r>
      <w:bookmarkStart w:id="17" w:name="OLE_LINK72"/>
      <w:r>
        <w:rPr>
          <w:rFonts w:hint="eastAsia" w:ascii="宋体" w:hAnsi="宋体" w:eastAsia="宋体" w:cs="宋体"/>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7"/>
      <w:r>
        <w:rPr>
          <w:rFonts w:hint="eastAsia" w:ascii="宋体" w:hAnsi="宋体" w:eastAsia="宋体" w:cs="宋体"/>
          <w:b w:val="0"/>
          <w:bCs/>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cs="宋体"/>
          <w:b w:val="0"/>
          <w:bCs/>
          <w:color w:val="c00000"/>
          <w:sz w:val="24"/>
          <w:szCs w:val="24"/>
          <w:highlight w:val="none"/>
          <w:lang w:eastAsia="zh-CN"/>
        </w:rPr>
        <w:t xml:space="preserve">202</w:t>
      </w:r>
      <w:r>
        <w:rPr>
          <w:rFonts w:hint="eastAsia" w:ascii="宋体" w:hAnsi="宋体" w:cs="宋体"/>
          <w:b w:val="0"/>
          <w:bCs/>
          <w:color w:val="c00000"/>
          <w:sz w:val="24"/>
          <w:szCs w:val="24"/>
          <w:highlight w:val="none"/>
          <w:lang w:val="en-US" w:eastAsia="zh-CN"/>
        </w:rPr>
        <w:t xml:space="preserve">6</w:t>
      </w:r>
      <w:r>
        <w:rPr>
          <w:rFonts w:hint="eastAsia" w:ascii="宋体" w:hAnsi="宋体" w:cs="宋体"/>
          <w:b w:val="0"/>
          <w:bCs/>
          <w:color w:val="c00000"/>
          <w:sz w:val="24"/>
          <w:szCs w:val="24"/>
          <w:highlight w:val="none"/>
          <w:lang w:eastAsia="zh-CN"/>
        </w:rPr>
        <w:t xml:space="preserve">年</w:t>
      </w:r>
      <w:r>
        <w:rPr>
          <w:rFonts w:hint="eastAsia" w:ascii="宋体" w:hAnsi="宋体" w:cs="宋体"/>
          <w:b w:val="0"/>
          <w:bCs/>
          <w:color w:val="c00000"/>
          <w:sz w:val="24"/>
          <w:szCs w:val="24"/>
          <w:highlight w:val="none"/>
          <w:lang w:val="en-US" w:eastAsia="zh-CN"/>
        </w:rPr>
        <w:t xml:space="preserve">11月3日</w:t>
      </w:r>
      <w:r>
        <w:rPr>
          <w:rFonts w:hint="eastAsia" w:ascii="宋体" w:hAnsi="宋体" w:eastAsia="宋体" w:cs="宋体"/>
          <w:b w:val="0"/>
          <w:bCs/>
          <w:color w:val="c00000"/>
          <w:sz w:val="24"/>
          <w:szCs w:val="24"/>
          <w:highlight w:val="none"/>
        </w:rPr>
        <w:t xml:space="preserve">09:00</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地点：淮安市公共资源交易中心盱眙分中心（具体标室见中心当日显示屏）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自磋商文件公告发布之日起5个工作日</w:t>
      </w:r>
      <w:r>
        <w:rPr>
          <w:rFonts w:hint="eastAsia" w:ascii="宋体" w:hAnsi="宋体" w:eastAsia="宋体" w:cs="宋体"/>
          <w:color w:val="auto"/>
          <w:sz w:val="22"/>
          <w:szCs w:val="22"/>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磋商保证金：</w:t>
      </w:r>
      <w:bookmarkStart w:id="18" w:name="OLE_LINK42"/>
      <w:r>
        <w:rPr>
          <w:rFonts w:hint="eastAsia" w:ascii="宋体" w:hAnsi="宋体" w:eastAsia="宋体" w:cs="宋体"/>
          <w:color w:val="auto"/>
          <w:sz w:val="24"/>
          <w:szCs w:val="24"/>
          <w:highlight w:val="none"/>
        </w:rPr>
        <w:t xml:space="preserve">根据苏财购〔2020〕52号文件要求，为进一步降低供应商投标成本，取消政府采购磋商保证金</w:t>
      </w:r>
      <w:bookmarkEnd w:id="18"/>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详见第二章“供应商须知”第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1007"/>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9" w:name="OLE_LINK79"/>
      <w:r/>
      <w:bookmarkStart w:id="20" w:name="OLE_LINK39"/>
      <w:r>
        <w:rPr>
          <w:rFonts w:hint="eastAsia" w:ascii="宋体" w:hAnsi="宋体" w:eastAsia="宋体" w:cs="宋体"/>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盱眙县淮河镇人民政府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w:t>
      </w:r>
      <w:r>
        <w:rPr>
          <w:rFonts w:hint="eastAsia" w:ascii="宋体" w:hAnsi="宋体" w:cs="宋体"/>
          <w:color w:val="auto"/>
          <w:sz w:val="24"/>
          <w:szCs w:val="24"/>
          <w:highlight w:val="none"/>
          <w:lang w:val="en-US" w:eastAsia="zh-CN"/>
        </w:rPr>
        <w:t xml:space="preserve">盱眙县淮河镇人民政府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联系人：孙军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电话：18205234982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单位名称：江苏骏通建设项目管理咨询有限公司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单位地址：淮安市盱眙县二山路一号四楼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联系人：夏妍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联系电话：18932307736</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项目联系人：夏妍 18932307736</w:t>
      </w:r>
      <w:bookmarkEnd w:id="1"/>
      <w:r/>
      <w:bookmarkEnd w:id="19"/>
      <w:r/>
      <w:bookmarkEnd w:id="20"/>
      <w:r/>
      <w:r/>
    </w:p>
    <w:p>
      <w:pPr>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《政府采购竞争性磋商采购方式管理暂行办法》等有关法律</w:t>
      </w:r>
      <w:r>
        <w:rPr>
          <w:rFonts w:hint="eastAsia" w:ascii="宋体" w:hAnsi="宋体" w:eastAsia="宋体" w:cs="宋体"/>
          <w:color w:val="auto"/>
          <w:sz w:val="24"/>
          <w:szCs w:val="24"/>
          <w:highlight w:val="none"/>
          <w:lang w:eastAsia="zh-CN"/>
        </w:rPr>
        <w:t xml:space="preserve">、法规</w:t>
      </w:r>
      <w:r>
        <w:rPr>
          <w:rFonts w:hint="eastAsia" w:ascii="宋体" w:hAnsi="宋体" w:eastAsia="宋体" w:cs="宋体"/>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本次项目不收取文件工本费</w:t>
      </w:r>
      <w:r>
        <w:rPr>
          <w:rFonts w:hint="eastAsia" w:ascii="宋体" w:hAnsi="宋体" w:eastAsia="宋体" w:cs="宋体"/>
          <w:color w:val="auto"/>
          <w:sz w:val="24"/>
          <w:szCs w:val="24"/>
          <w:highlight w:val="none"/>
          <w:lang w:val="en-US" w:eastAsia="zh-CN"/>
        </w:rPr>
        <w:t xml:space="preserve">和成交管理费</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7.2对磋商文件的修改将在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7.3供应商须持续关注本项目在淮安市政府采购网及电子化系统中发布的信息（含更正、修改等信息），否则产生的后果由供应商自行承担。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8.2供应商编写的</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8.3如标书制作工具中格式和内容与“淮安市政府采购网”发布的</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文件不一致，请以“淮安市政府采购网”发布的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全费用报价</w:t>
      </w:r>
      <w:r>
        <w:rPr>
          <w:rFonts w:hint="eastAsia" w:ascii="宋体" w:hAnsi="宋体" w:eastAsia="宋体" w:cs="宋体"/>
          <w:color w:val="auto"/>
          <w:sz w:val="24"/>
          <w:szCs w:val="24"/>
          <w:highlight w:val="none"/>
        </w:rPr>
        <w:t xml:space="preserve">，供应商的报价应包含</w:t>
      </w:r>
      <w:r>
        <w:rPr>
          <w:rFonts w:hint="eastAsia" w:ascii="宋体" w:hAnsi="宋体" w:eastAsia="宋体" w:cs="宋体"/>
          <w:color w:val="auto"/>
          <w:sz w:val="24"/>
          <w:szCs w:val="24"/>
          <w:highlight w:val="none"/>
          <w:lang w:val="en-US" w:eastAsia="zh-CN"/>
        </w:rPr>
        <w:t xml:space="preserve">所有服务费</w:t>
      </w:r>
      <w:r>
        <w:rPr>
          <w:rFonts w:hint="eastAsia" w:ascii="宋体" w:hAnsi="宋体" w:eastAsia="宋体" w:cs="宋体"/>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bookmarkStart w:id="21" w:name="_Toc4104"/>
      <w:r>
        <w:rPr>
          <w:rFonts w:hint="eastAsia" w:ascii="宋体" w:hAnsi="宋体" w:eastAsia="宋体" w:cs="宋体"/>
          <w:bCs/>
          <w:color w:val="auto"/>
          <w:sz w:val="24"/>
          <w:szCs w:val="24"/>
          <w:highlight w:val="none"/>
        </w:rPr>
        <w:t xml:space="preserve">10.技术要求响应偏离</w:t>
      </w:r>
      <w:bookmarkEnd w:id="21"/>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14.1磋商有效期为从磋商之日起计算的</w:t>
      </w:r>
      <w:r>
        <w:rPr>
          <w:rFonts w:hint="eastAsia" w:ascii="宋体" w:hAnsi="宋体" w:eastAsia="宋体" w:cs="宋体"/>
          <w:color w:val="auto"/>
          <w:sz w:val="24"/>
          <w:szCs w:val="24"/>
          <w:highlight w:val="none"/>
          <w:lang w:val="en-US" w:eastAsia="zh-CN"/>
        </w:rPr>
        <w:t xml:space="preserve">九十日历</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磋商有效期比规定短的将被视为</w:t>
      </w:r>
      <w:r>
        <w:rPr>
          <w:rFonts w:hint="eastAsia" w:ascii="宋体" w:hAnsi="宋体" w:eastAsia="宋体" w:cs="宋体"/>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16.响应文件的递交及接收截止时间</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16.1供应商应当按照《操作手册》规定，在投标截止时间前制作并上传电子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文件上传不成功的按照无效投标处理。</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 xml:space="preserve">责任由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自负。</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16.3供应商上传电子响应文件的时间不得迟于磋商邀请中规定的截止时间。</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17.响应文件被拒绝接收的情形</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 不见面磋商程序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 xml:space="preserve">不再要求</w:t>
      </w:r>
      <w:r>
        <w:rPr>
          <w:rFonts w:hint="eastAsia" w:ascii="宋体" w:hAnsi="宋体" w:eastAsia="宋体" w:cs="宋体"/>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解密成功，即视为“苏采云政府采购一体化平台”运行无故障。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.3.9.1软件设施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.3.9.2硬件设施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磋商工作由</w:t>
      </w:r>
      <w:r>
        <w:rPr>
          <w:rFonts w:hint="eastAsia" w:ascii="宋体" w:hAnsi="宋体" w:eastAsia="宋体" w:cs="宋体"/>
          <w:color w:val="auto"/>
          <w:sz w:val="24"/>
          <w:szCs w:val="24"/>
          <w:highlight w:val="none"/>
        </w:rPr>
        <w:t xml:space="preserve">采购人（代理机构）</w:t>
      </w:r>
      <w:r>
        <w:rPr>
          <w:rFonts w:hint="eastAsia" w:ascii="宋体" w:hAnsi="宋体" w:eastAsia="宋体" w:cs="宋体"/>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1038"/>
          <w:rFonts w:hint="eastAsia" w:ascii="宋体" w:hAnsi="宋体" w:eastAsia="宋体" w:cs="宋体"/>
          <w:color w:val="auto"/>
          <w:sz w:val="24"/>
          <w:szCs w:val="24"/>
          <w:highlight w:val="none"/>
          <w:lang w:val="zh-CN"/>
        </w:rPr>
        <w:t xml:space="preserve">www.creditchina.gov.cn</w:t>
      </w:r>
      <w:r>
        <w:rPr>
          <w:rStyle w:val="1038"/>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1038"/>
          <w:rFonts w:hint="eastAsia" w:ascii="宋体" w:hAnsi="宋体" w:eastAsia="宋体" w:cs="宋体"/>
          <w:color w:val="auto"/>
          <w:sz w:val="24"/>
          <w:szCs w:val="24"/>
          <w:highlight w:val="none"/>
          <w:lang w:val="zh-CN"/>
        </w:rPr>
        <w:t xml:space="preserve">www.ccgp.gov.cn</w:t>
      </w:r>
      <w:r>
        <w:rPr>
          <w:rStyle w:val="1038"/>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20.2.1磋商小组对响应文件的有效性、完整性和对磋商文件的响应程度进行审查，</w:t>
      </w:r>
      <w:r>
        <w:rPr>
          <w:rFonts w:hint="eastAsia" w:ascii="宋体" w:hAnsi="宋体" w:eastAsia="宋体" w:cs="宋体"/>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20.2.4磋商小组</w:t>
      </w:r>
      <w:r>
        <w:rPr>
          <w:rFonts w:hint="eastAsia" w:ascii="宋体" w:hAnsi="宋体" w:eastAsia="宋体" w:cs="宋体"/>
          <w:bCs/>
          <w:color w:val="auto"/>
          <w:sz w:val="24"/>
          <w:szCs w:val="24"/>
          <w:highlight w:val="none"/>
        </w:rPr>
        <w:t xml:space="preserve">将对确定为实质性响应的响应文件进行进一步</w:t>
      </w:r>
      <w:r>
        <w:rPr>
          <w:rFonts w:hint="eastAsia" w:ascii="宋体" w:hAnsi="宋体" w:eastAsia="宋体" w:cs="宋体"/>
          <w:color w:val="auto"/>
          <w:sz w:val="24"/>
          <w:szCs w:val="24"/>
          <w:highlight w:val="none"/>
        </w:rPr>
        <w:t xml:space="preserve">初审，</w:t>
      </w:r>
      <w:r>
        <w:rPr>
          <w:rFonts w:hint="eastAsia" w:ascii="宋体" w:hAnsi="宋体" w:eastAsia="宋体" w:cs="宋体"/>
          <w:bCs/>
          <w:color w:val="auto"/>
          <w:sz w:val="24"/>
          <w:szCs w:val="24"/>
          <w:highlight w:val="none"/>
        </w:rPr>
        <w:t xml:space="preserve">看其是否有计算上或累加上的算术错误，</w:t>
      </w:r>
      <w:r>
        <w:rPr>
          <w:rFonts w:hint="eastAsia" w:ascii="宋体" w:hAnsi="宋体" w:eastAsia="宋体" w:cs="宋体"/>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磋商结束后，磋商小组将要求所有继续参加磋商的供应商凭CA锁</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lang w:val="en-US" w:eastAsia="zh-CN"/>
        </w:rPr>
        <w:t xml:space="preserve">苏彩云</w:t>
      </w:r>
      <w:r>
        <w:rPr>
          <w:rFonts w:hint="eastAsia" w:ascii="宋体" w:hAnsi="宋体" w:eastAsia="宋体" w:cs="宋体"/>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bookmarkStart w:id="22" w:name="OLE_LINK13"/>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bookmarkStart w:id="23" w:name="OLE_LINK1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bookmarkEnd w:id="23"/>
      <w:r>
        <w:rPr>
          <w:rFonts w:hint="eastAsia" w:ascii="宋体" w:hAnsi="宋体" w:eastAsia="宋体" w:cs="宋体"/>
          <w:bCs/>
          <w:color w:val="auto"/>
          <w:sz w:val="24"/>
          <w:szCs w:val="24"/>
          <w:highlight w:val="none"/>
        </w:rPr>
        <w:t xml:space="preserve">2评审标准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见本磋商文件第三章规定。</w:t>
      </w:r>
      <w:bookmarkEnd w:id="22"/>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bookmarkStart w:id="24" w:name="OLE_LINK57"/>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.出现下列情形之一的，响应文件按照无效处理：</w:t>
      </w:r>
      <w:bookmarkEnd w:id="24"/>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文件含有采购人不能接受的附加条件的；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.10未实质性响应磋商文件的响应文件按无效响应处理。</w:t>
      </w:r>
      <w:r/>
    </w:p>
    <w:p>
      <w:pPr>
        <w:pStyle w:val="103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22.11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.3除《政府采购竞争性磋商采购方式管理暂行办法》财库</w:t>
      </w:r>
      <w:r>
        <w:rPr>
          <w:rFonts w:hint="eastAsia" w:ascii="宋体" w:hAnsi="宋体" w:eastAsia="宋体" w:cs="宋体"/>
          <w:color w:val="auto"/>
          <w:sz w:val="24"/>
          <w:szCs w:val="24"/>
          <w:highlight w:val="none"/>
          <w:lang w:eastAsia="zh-CN"/>
        </w:rPr>
        <w:t xml:space="preserve">〔2014〕214号</w:t>
      </w:r>
      <w:r>
        <w:rPr>
          <w:rFonts w:hint="eastAsia" w:ascii="宋体" w:hAnsi="宋体" w:eastAsia="宋体" w:cs="宋体"/>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.2成交结果将在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采购人与成交供应商应在成交通知书发出之日起十二日内签订政府采购合同。磋商文件、成交供应商的响应文件及澄清文件等均为签订合同依据。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成交供应商自成交通知书发出之日起十二日内无正当理由不与采购人签订合同并经财政局备案的，将按规定进行处理。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成交供应商在合同签订前必须</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履约保证金。采购人在确认履约保证金</w:t>
      </w:r>
      <w:r>
        <w:rPr>
          <w:rFonts w:hint="eastAsia" w:ascii="宋体" w:hAnsi="宋体" w:eastAsia="宋体" w:cs="宋体"/>
          <w:color w:val="auto"/>
          <w:sz w:val="24"/>
          <w:szCs w:val="24"/>
          <w:highlight w:val="none"/>
          <w:lang w:eastAsia="zh-CN"/>
        </w:rPr>
        <w:t xml:space="preserve">到账后</w:t>
      </w:r>
      <w:r>
        <w:rPr>
          <w:rFonts w:hint="eastAsia" w:ascii="宋体" w:hAnsi="宋体" w:eastAsia="宋体" w:cs="宋体"/>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成交通知书对采购人及成交供应商同时均</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27.5.1合同签订前成交供应商向采购人缴纳合同价的1%为</w:t>
      </w:r>
      <w:r>
        <w:rPr>
          <w:rFonts w:hint="eastAsia" w:ascii="宋体" w:hAnsi="宋体" w:eastAsia="宋体" w:cs="宋体"/>
          <w:color w:val="auto"/>
          <w:sz w:val="24"/>
          <w:szCs w:val="24"/>
          <w:highlight w:val="none"/>
        </w:rPr>
        <w:t xml:space="preserve">本合同的履约保证金。</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27.5.2成交供应商</w:t>
      </w:r>
      <w:r>
        <w:rPr>
          <w:rFonts w:hint="eastAsia" w:ascii="宋体" w:hAnsi="宋体" w:eastAsia="宋体" w:cs="宋体"/>
          <w:color w:val="auto"/>
          <w:sz w:val="24"/>
          <w:szCs w:val="24"/>
          <w:highlight w:val="none"/>
        </w:rPr>
        <w:t xml:space="preserve">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27.5.3成交供应商</w:t>
      </w:r>
      <w:r>
        <w:rPr>
          <w:rFonts w:hint="eastAsia" w:ascii="宋体" w:hAnsi="宋体" w:eastAsia="宋体" w:cs="宋体"/>
          <w:color w:val="auto"/>
          <w:sz w:val="24"/>
          <w:szCs w:val="24"/>
          <w:highlight w:val="none"/>
        </w:rPr>
        <w:t xml:space="preserve">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27.5.4成交供应商</w:t>
      </w:r>
      <w:r>
        <w:rPr>
          <w:rFonts w:hint="eastAsia" w:ascii="宋体" w:hAnsi="宋体" w:eastAsia="宋体" w:cs="宋体"/>
          <w:color w:val="auto"/>
          <w:sz w:val="24"/>
          <w:szCs w:val="24"/>
          <w:highlight w:val="none"/>
        </w:rPr>
        <w:t xml:space="preserve">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 xml:space="preserve">〔2023〕150号</w:t>
      </w:r>
      <w:r>
        <w:rPr>
          <w:rFonts w:hint="eastAsia" w:ascii="宋体" w:hAnsi="宋体" w:eastAsia="宋体" w:cs="宋体"/>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24.5.5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未能履行合同规定的义务，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有权从履约保证金中取得补偿。</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27.5.6</w:t>
      </w:r>
      <w:r>
        <w:rPr>
          <w:rFonts w:hint="eastAsia" w:ascii="宋体" w:hAnsi="宋体" w:eastAsia="宋体" w:cs="宋体"/>
          <w:color w:val="auto"/>
          <w:sz w:val="24"/>
          <w:szCs w:val="24"/>
          <w:highlight w:val="none"/>
        </w:rPr>
        <w:t xml:space="preserve">履约保证金在合同约定期间内不予退还或者应完全有效</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 xml:space="preserve">基准利率</w:t>
      </w:r>
      <w:r>
        <w:rPr>
          <w:rFonts w:hint="eastAsia" w:ascii="宋体" w:hAnsi="宋体" w:eastAsia="宋体" w:cs="宋体"/>
          <w:color w:val="auto"/>
          <w:sz w:val="24"/>
          <w:szCs w:val="24"/>
          <w:highlight w:val="none"/>
        </w:rPr>
        <w:t xml:space="preserve">上浮20%后的利率支付超期资金占用费，但因乙方自身原因导致无法及时退还的除外。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27.5.7</w:t>
      </w:r>
      <w:r>
        <w:rPr>
          <w:rFonts w:hint="eastAsia" w:ascii="宋体" w:hAnsi="宋体" w:eastAsia="宋体" w:cs="宋体"/>
          <w:color w:val="auto"/>
          <w:sz w:val="24"/>
          <w:szCs w:val="24"/>
          <w:highlight w:val="none"/>
        </w:rPr>
        <w:t xml:space="preserve">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完全有效，履约保证金在项目验收合格后无息退还给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.1采购人与成交供应商应在成交通知书发出之日起</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.2成交供应商自成交通知书发出之日起</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如果成交供应商没有按照2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条或</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.5质疑函必须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5" w:name="_Toc16743"/>
      <w:r>
        <w:rPr>
          <w:rFonts w:hint="eastAsia" w:ascii="宋体" w:hAnsi="宋体" w:eastAsia="宋体" w:cs="宋体"/>
          <w:color w:val="auto"/>
          <w:sz w:val="24"/>
          <w:szCs w:val="24"/>
          <w:highlight w:val="none"/>
        </w:rPr>
        <w:t xml:space="preserve">（3）具体、明确的质疑事项和与质疑事实相关的请求；</w:t>
      </w:r>
      <w:bookmarkEnd w:id="25"/>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6" w:name="_Toc20203"/>
      <w:r>
        <w:rPr>
          <w:rFonts w:hint="eastAsia" w:ascii="宋体" w:hAnsi="宋体" w:eastAsia="宋体" w:cs="宋体"/>
          <w:color w:val="auto"/>
          <w:sz w:val="24"/>
          <w:szCs w:val="24"/>
          <w:highlight w:val="none"/>
        </w:rPr>
        <w:t xml:space="preserve">（4）事实依据；</w:t>
      </w:r>
      <w:bookmarkEnd w:id="26"/>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7" w:name="_Toc18795"/>
      <w:r>
        <w:rPr>
          <w:rFonts w:hint="eastAsia" w:ascii="宋体" w:hAnsi="宋体" w:eastAsia="宋体" w:cs="宋体"/>
          <w:color w:val="auto"/>
          <w:sz w:val="24"/>
          <w:szCs w:val="24"/>
          <w:highlight w:val="none"/>
        </w:rPr>
        <w:t xml:space="preserve">（5）必要的法律依据；</w:t>
      </w:r>
      <w:bookmarkEnd w:id="27"/>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8" w:name="_Toc6388"/>
      <w:r>
        <w:rPr>
          <w:rFonts w:hint="eastAsia" w:ascii="宋体" w:hAnsi="宋体" w:eastAsia="宋体" w:cs="宋体"/>
          <w:color w:val="auto"/>
          <w:sz w:val="24"/>
          <w:szCs w:val="24"/>
          <w:highlight w:val="none"/>
        </w:rPr>
        <w:t xml:space="preserve">（6）提起质疑的日期；</w:t>
      </w:r>
      <w:bookmarkEnd w:id="28"/>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.投诉</w:t>
      </w:r>
      <w:r/>
    </w:p>
    <w:p>
      <w:pPr>
        <w:pStyle w:val="1034"/>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32.1.1</w:t>
      </w:r>
      <w:r>
        <w:rPr>
          <w:rFonts w:hint="eastAsia" w:ascii="宋体" w:hAnsi="宋体" w:eastAsia="宋体" w:cs="宋体"/>
          <w:color w:val="auto"/>
          <w:sz w:val="24"/>
          <w:szCs w:val="24"/>
          <w:highlight w:val="none"/>
          <w:lang w:val="zh-CN"/>
        </w:rPr>
        <w:t xml:space="preserve">对</w:t>
      </w:r>
      <w:r>
        <w:rPr>
          <w:rFonts w:hint="eastAsia" w:ascii="宋体" w:hAnsi="宋体" w:eastAsia="宋体" w:cs="宋体"/>
          <w:color w:val="auto"/>
          <w:sz w:val="24"/>
          <w:szCs w:val="24"/>
          <w:highlight w:val="none"/>
        </w:rPr>
        <w:t xml:space="preserve">于未专门面向中小企业或者</w:t>
      </w:r>
      <w:r>
        <w:rPr>
          <w:rFonts w:hint="eastAsia" w:ascii="宋体" w:hAnsi="宋体" w:eastAsia="宋体" w:cs="宋体"/>
          <w:color w:val="auto"/>
          <w:sz w:val="24"/>
          <w:szCs w:val="24"/>
          <w:highlight w:val="none"/>
          <w:lang w:val="zh-CN"/>
        </w:rPr>
        <w:t xml:space="preserve">未预留份额专门面向中小企业采购的采购项目，供应商提供的货物或者服务</w:t>
      </w:r>
      <w:r>
        <w:rPr>
          <w:rFonts w:hint="eastAsia" w:ascii="宋体" w:hAnsi="宋体" w:eastAsia="宋体" w:cs="宋体"/>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32.1.2</w:t>
      </w:r>
      <w:r>
        <w:rPr>
          <w:rFonts w:hint="eastAsia" w:ascii="宋体" w:hAnsi="宋体" w:eastAsia="宋体" w:cs="宋体"/>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32.1.3</w:t>
      </w:r>
      <w:r>
        <w:rPr>
          <w:rFonts w:hint="eastAsia" w:ascii="宋体" w:hAnsi="宋体" w:eastAsia="宋体" w:cs="宋体"/>
          <w:color w:val="auto"/>
          <w:sz w:val="24"/>
          <w:szCs w:val="24"/>
          <w:highlight w:val="none"/>
        </w:rPr>
        <w:t xml:space="preserve">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32.2.1</w:t>
      </w:r>
      <w:r>
        <w:rPr>
          <w:rFonts w:hint="eastAsia" w:ascii="宋体" w:hAnsi="宋体" w:eastAsia="宋体" w:cs="宋体"/>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32.2.2</w:t>
      </w:r>
      <w:r>
        <w:rPr>
          <w:rFonts w:hint="eastAsia" w:ascii="宋体" w:hAnsi="宋体" w:eastAsia="宋体" w:cs="宋体"/>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32.3.1</w:t>
      </w:r>
      <w:r>
        <w:rPr>
          <w:rFonts w:hint="eastAsia" w:ascii="宋体" w:hAnsi="宋体" w:eastAsia="宋体" w:cs="宋体"/>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32.3.2</w:t>
      </w: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32.3.3</w:t>
      </w:r>
      <w:r>
        <w:rPr>
          <w:rFonts w:hint="eastAsia" w:ascii="宋体" w:hAnsi="宋体" w:eastAsia="宋体" w:cs="宋体"/>
          <w:color w:val="auto"/>
          <w:sz w:val="24"/>
          <w:szCs w:val="24"/>
          <w:highlight w:val="none"/>
        </w:rPr>
        <w:t xml:space="preserve">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32.3.4</w:t>
      </w:r>
      <w:r>
        <w:rPr>
          <w:rFonts w:hint="eastAsia" w:ascii="宋体" w:hAnsi="宋体" w:eastAsia="宋体" w:cs="宋体"/>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节能、环保政策（本项目不涉及）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39"/>
        <w:ind w:left="0" w:firstLine="240"/>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39"/>
        <w:ind w:left="0" w:firstLine="240"/>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.3本项目中</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bookmarkStart w:id="29" w:name="OLE_LINK21"/>
      <w:r>
        <w:rPr>
          <w:rFonts w:hint="eastAsia" w:ascii="宋体" w:hAnsi="宋体" w:eastAsia="宋体" w:cs="宋体"/>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一、本项目采用综合评分法进行评审。</w:t>
      </w:r>
      <w:r>
        <w:rPr>
          <w:rFonts w:hint="eastAsia" w:ascii="宋体" w:hAnsi="宋体" w:eastAsia="宋体" w:cs="宋体"/>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评审因素的量化指标评审得分最高的供应商为成交候选供应商的评标方法。</w:t>
      </w:r>
      <w:r/>
    </w:p>
    <w:p>
      <w:pPr>
        <w:pStyle w:val="1051"/>
        <w:numPr>
          <w:ilvl w:val="0"/>
          <w:numId w:val="3"/>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磋商小组将依据下列评分细则进行评标（总分值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100分）：投标报价得分保留小数点后两位，小数点后第三位四舍五入。</w:t>
      </w:r>
      <w:r>
        <w:rPr>
          <w:rFonts w:hint="eastAsia" w:ascii="宋体" w:hAnsi="宋体" w:cs="楷体"/>
          <w:sz w:val="24"/>
        </w:rPr>
        <w:t xml:space="preserve">评标委会按评审后最终综合得分由高到低顺序排列名次，并推荐出中标人。得分相同的，按投标报价由低到高顺序排列，得分且投标报价相同的，按技术指标优劣顺序排列。</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bookmarkStart w:id="30" w:name="OLE_LINK16"/>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综合评审因素和评分标准（100分）</w:t>
      </w:r>
      <w:bookmarkEnd w:id="30"/>
      <w:r/>
      <w:r/>
    </w:p>
    <w:tbl>
      <w:tblPr>
        <w:tblStyle w:val="1011"/>
        <w:tblpPr w:horzAnchor="page" w:tblpX="828" w:vertAnchor="text" w:tblpY="790" w:leftFromText="180" w:topFromText="0" w:rightFromText="180" w:bottomFromText="0"/>
        <w:tblW w:w="54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7915"/>
        <w:gridCol w:w="841"/>
      </w:tblGrid>
      <w:tr>
        <w:trPr>
          <w:trHeight w:val="897"/>
        </w:trPr>
        <w:tc>
          <w:tcPr>
            <w:tcW w:w="611" w:type="pct"/>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项目</w:t>
            </w:r>
            <w:r/>
          </w:p>
          <w:p>
            <w:pPr>
              <w:ind w:firstLine="0"/>
              <w:jc w:val="left"/>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细则</w:t>
            </w:r>
            <w:r/>
          </w:p>
        </w:tc>
        <w:tc>
          <w:tcPr>
            <w:tcW w:w="3967" w:type="pct"/>
            <w:vAlign w:val="center"/>
            <w:textDirection w:val="lrTb"/>
            <w:noWrap w:val="false"/>
          </w:tcPr>
          <w:p>
            <w:pPr>
              <w:ind w:firstLine="2640"/>
              <w:jc w:val="left"/>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评分细则、标准</w:t>
            </w:r>
            <w:r/>
          </w:p>
        </w:tc>
        <w:tc>
          <w:tcPr>
            <w:tcW w:w="421" w:type="pct"/>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最高分值</w:t>
            </w:r>
            <w:r/>
          </w:p>
        </w:tc>
      </w:tr>
      <w:tr>
        <w:trPr>
          <w:trHeight w:val="1271"/>
        </w:trPr>
        <w:tc>
          <w:tcPr>
            <w:tcW w:w="61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价格</w:t>
            </w:r>
            <w:r/>
          </w:p>
          <w:p>
            <w:pPr>
              <w:ind w:firstLine="0"/>
              <w:jc w:val="left"/>
              <w:keepLines w:val="0"/>
              <w:keepNext w:val="0"/>
              <w:pageBreakBefore w:val="0"/>
              <w:spacing w:after="0"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w:t>
            </w:r>
            <w:r>
              <w:rPr>
                <w:rFonts w:hint="eastAsia" w:ascii="宋体" w:hAnsi="宋体" w:cs="宋体"/>
                <w:bCs/>
                <w:sz w:val="24"/>
                <w:szCs w:val="24"/>
                <w:lang w:val="en-US" w:eastAsia="zh-CN"/>
              </w:rPr>
              <w:t xml:space="preserve">30</w:t>
            </w:r>
            <w:r>
              <w:rPr>
                <w:rFonts w:hint="eastAsia" w:ascii="宋体" w:hAnsi="宋体" w:eastAsia="宋体" w:cs="宋体"/>
                <w:bCs/>
                <w:sz w:val="24"/>
                <w:szCs w:val="24"/>
                <w:lang w:val="en-US" w:eastAsia="zh-CN"/>
              </w:rPr>
              <w:t xml:space="preserve">分）</w:t>
            </w:r>
            <w:r/>
          </w:p>
        </w:tc>
        <w:tc>
          <w:tcPr>
            <w:tcW w:w="3967"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采用低价优先法计算，即满足招标文件要求且投标价格最低的投标报价为评标基准价，其价格分为满分。其他投标人的价格分统一按照下列公式计算：投标报价得分= (评标基准价/投标报价) x</w:t>
            </w:r>
            <w:r>
              <w:rPr>
                <w:rFonts w:hint="eastAsia" w:ascii="宋体" w:hAnsi="宋体" w:cs="宋体"/>
                <w:bCs/>
                <w:sz w:val="24"/>
                <w:szCs w:val="24"/>
                <w:lang w:val="en-US" w:eastAsia="zh-CN"/>
              </w:rPr>
              <w:t xml:space="preserve">30</w:t>
            </w:r>
            <w:r>
              <w:rPr>
                <w:rFonts w:hint="eastAsia" w:ascii="宋体" w:hAnsi="宋体" w:eastAsia="宋体" w:cs="宋体"/>
                <w:bCs/>
                <w:sz w:val="24"/>
                <w:szCs w:val="24"/>
              </w:rPr>
              <w:t xml:space="preserve">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30</w:t>
            </w:r>
            <w:r>
              <w:rPr>
                <w:rFonts w:hint="eastAsia" w:ascii="宋体" w:hAnsi="宋体" w:eastAsia="宋体" w:cs="宋体"/>
                <w:bCs/>
                <w:sz w:val="24"/>
                <w:szCs w:val="24"/>
              </w:rPr>
              <w:t xml:space="preserve">分</w:t>
            </w:r>
            <w:r/>
          </w:p>
        </w:tc>
      </w:tr>
      <w:tr>
        <w:trPr>
          <w:trHeight w:val="440"/>
        </w:trPr>
        <w:tc>
          <w:tcPr>
            <w:tcW w:w="611" w:type="pct"/>
            <w:vAlign w:val="center"/>
            <w:vMerge w:val="restart"/>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施工组织</w:t>
            </w:r>
            <w:r/>
          </w:p>
          <w:p>
            <w:pPr>
              <w:ind w:firstLine="0"/>
              <w:jc w:val="left"/>
              <w:keepLines w:val="0"/>
              <w:keepNext w:val="0"/>
              <w:pageBreakBefore w:val="0"/>
              <w:spacing w:after="0"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设计</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44分）</w:t>
            </w:r>
            <w:r/>
          </w:p>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总体概述:施工组织总体设想、服务承诺、方案针对性及施工标段划分(</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非常完善合理可行的得6分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总体概述完善</w:t>
            </w:r>
            <w:r>
              <w:rPr>
                <w:rFonts w:hint="eastAsia" w:ascii="宋体" w:hAnsi="宋体" w:eastAsia="宋体" w:cs="宋体"/>
                <w:sz w:val="24"/>
                <w:szCs w:val="24"/>
                <w:highlight w:val="none"/>
                <w:lang w:val="en-US" w:eastAsia="zh-CN" w:bidi="ar-SA"/>
              </w:rPr>
              <w:t xml:space="preserve">合理可行的得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基本完善可行的得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不完善可行的得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cs="宋体"/>
                <w:sz w:val="24"/>
                <w:szCs w:val="24"/>
                <w:highlight w:val="none"/>
                <w:lang w:val="en-US" w:eastAsia="zh-CN" w:bidi="ar-SA"/>
              </w:rPr>
              <w:t xml:space="preserve">（5）</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r>
      <w:tr>
        <w:trPr>
          <w:trHeight w:val="2533"/>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施工现场平面布置和临时设施、临时道路布置(</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非常完善合理可行的得</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总体概述完善</w:t>
            </w:r>
            <w:r>
              <w:rPr>
                <w:rFonts w:hint="eastAsia" w:ascii="宋体" w:hAnsi="宋体" w:eastAsia="宋体" w:cs="宋体"/>
                <w:sz w:val="24"/>
                <w:szCs w:val="24"/>
                <w:highlight w:val="none"/>
                <w:lang w:val="en-US" w:eastAsia="zh-CN" w:bidi="ar-SA"/>
              </w:rPr>
              <w:t xml:space="preserve">合理可行的得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基本完善可行的得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cs="宋体"/>
                <w:sz w:val="24"/>
                <w:szCs w:val="24"/>
                <w:lang w:val="en-US" w:eastAsia="zh-CN" w:bidi="ar-SA"/>
              </w:rPr>
              <w:t xml:space="preserve">总体概述</w:t>
            </w:r>
            <w:r>
              <w:rPr>
                <w:rFonts w:hint="eastAsia" w:ascii="宋体" w:hAnsi="宋体" w:eastAsia="宋体" w:cs="宋体"/>
                <w:sz w:val="24"/>
                <w:szCs w:val="24"/>
                <w:highlight w:val="none"/>
                <w:lang w:val="en-US" w:eastAsia="zh-CN" w:bidi="ar-SA"/>
              </w:rPr>
              <w:t xml:space="preserve">不完善可行的得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1042"/>
              <w:numPr>
                <w:ilvl w:val="0"/>
                <w:numId w:val="0"/>
              </w:numPr>
              <w:ind w:firstLine="0"/>
              <w:jc w:val="left"/>
              <w:keepLines w:val="0"/>
              <w:keepNext w:val="0"/>
              <w:pageBreakBefore w:val="0"/>
              <w:spacing w:after="0" w:line="360" w:lineRule="auto"/>
              <w:rPr>
                <w:rFonts w:hint="eastAsia"/>
                <w:sz w:val="24"/>
                <w:szCs w:val="24"/>
                <w:lang w:eastAsia="zh-CN"/>
              </w:rPr>
            </w:pPr>
            <w:r>
              <w:rPr>
                <w:rFonts w:hint="eastAsia" w:ascii="宋体" w:hAnsi="宋体" w:cs="宋体"/>
                <w:sz w:val="24"/>
                <w:szCs w:val="24"/>
                <w:highlight w:val="none"/>
                <w:lang w:val="en-US" w:eastAsia="zh-CN" w:bidi="ar-SA"/>
              </w:rPr>
              <w:t xml:space="preserve">（5）</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r>
      <w:tr>
        <w:trPr>
          <w:trHeight w:val="381"/>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4"/>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施工进度计划和各阶段进度的保证措施(</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5"/>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进度计划详尽，项目实施进度、时间点、关键节点</w:t>
            </w:r>
            <w:r>
              <w:rPr>
                <w:rFonts w:hint="eastAsia" w:ascii="宋体" w:hAnsi="宋体" w:cs="宋体"/>
                <w:sz w:val="24"/>
                <w:szCs w:val="24"/>
                <w:highlight w:val="none"/>
                <w:lang w:val="en-US" w:eastAsia="zh-CN" w:bidi="ar-SA"/>
              </w:rPr>
              <w:t xml:space="preserve">、施工网络图</w:t>
            </w:r>
            <w:r>
              <w:rPr>
                <w:rFonts w:hint="eastAsia" w:ascii="宋体" w:hAnsi="宋体" w:eastAsia="宋体" w:cs="宋体"/>
                <w:sz w:val="24"/>
                <w:szCs w:val="24"/>
                <w:highlight w:val="none"/>
                <w:lang w:val="en-US" w:eastAsia="zh-CN" w:bidi="ar-SA"/>
              </w:rPr>
              <w:t xml:space="preserve">等设置清晰准确的得6分</w:t>
            </w:r>
            <w:r>
              <w:rPr>
                <w:rFonts w:hint="eastAsia" w:ascii="宋体" w:hAnsi="宋体" w:cs="宋体"/>
                <w:sz w:val="24"/>
                <w:szCs w:val="24"/>
                <w:highlight w:val="none"/>
                <w:lang w:val="en-US" w:eastAsia="zh-CN" w:bidi="ar-SA"/>
              </w:rPr>
              <w:t xml:space="preserve">；</w:t>
            </w:r>
            <w:r/>
          </w:p>
          <w:p>
            <w:pPr>
              <w:numPr>
                <w:ilvl w:val="0"/>
                <w:numId w:val="5"/>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进度计划</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详尽，项目实施进度、时间点、关键节点</w:t>
            </w:r>
            <w:r>
              <w:rPr>
                <w:rFonts w:hint="eastAsia" w:ascii="宋体" w:hAnsi="宋体" w:cs="宋体"/>
                <w:sz w:val="24"/>
                <w:szCs w:val="24"/>
                <w:highlight w:val="none"/>
                <w:lang w:val="en-US" w:eastAsia="zh-CN" w:bidi="ar-SA"/>
              </w:rPr>
              <w:t xml:space="preserve">、施工网络图</w:t>
            </w:r>
            <w:r>
              <w:rPr>
                <w:rFonts w:hint="eastAsia" w:ascii="宋体" w:hAnsi="宋体" w:eastAsia="宋体" w:cs="宋体"/>
                <w:sz w:val="24"/>
                <w:szCs w:val="24"/>
                <w:highlight w:val="none"/>
                <w:lang w:val="en-US" w:eastAsia="zh-CN" w:bidi="ar-SA"/>
              </w:rPr>
              <w:t xml:space="preserve">等设置</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清晰准确的得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进度计划</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详尽，项目实施进度、时间点、关键</w:t>
            </w:r>
            <w:r>
              <w:rPr>
                <w:rFonts w:hint="eastAsia" w:ascii="宋体" w:hAnsi="宋体" w:cs="宋体"/>
                <w:sz w:val="24"/>
                <w:szCs w:val="24"/>
                <w:highlight w:val="none"/>
                <w:lang w:val="en-US" w:eastAsia="zh-CN" w:bidi="ar-SA"/>
              </w:rPr>
              <w:t xml:space="preserve">节</w:t>
            </w:r>
            <w:r>
              <w:rPr>
                <w:rFonts w:hint="eastAsia" w:ascii="宋体" w:hAnsi="宋体" w:eastAsia="宋体" w:cs="宋体"/>
                <w:sz w:val="24"/>
                <w:szCs w:val="24"/>
                <w:highlight w:val="none"/>
                <w:lang w:val="en-US" w:eastAsia="zh-CN" w:bidi="ar-SA"/>
              </w:rPr>
              <w:t xml:space="preserve">点</w:t>
            </w:r>
            <w:r>
              <w:rPr>
                <w:rFonts w:hint="eastAsia" w:ascii="宋体" w:hAnsi="宋体" w:cs="宋体"/>
                <w:sz w:val="24"/>
                <w:szCs w:val="24"/>
                <w:highlight w:val="none"/>
                <w:lang w:val="en-US" w:eastAsia="zh-CN" w:bidi="ar-SA"/>
              </w:rPr>
              <w:t xml:space="preserve">、施工网络图</w:t>
            </w:r>
            <w:r>
              <w:rPr>
                <w:rFonts w:hint="eastAsia" w:ascii="宋体" w:hAnsi="宋体" w:eastAsia="宋体" w:cs="宋体"/>
                <w:sz w:val="24"/>
                <w:szCs w:val="24"/>
                <w:highlight w:val="none"/>
                <w:lang w:val="en-US" w:eastAsia="zh-CN" w:bidi="ar-SA"/>
              </w:rPr>
              <w:t xml:space="preserve">等设置</w:t>
            </w:r>
            <w:r>
              <w:rPr>
                <w:rFonts w:hint="eastAsia" w:ascii="宋体" w:hAnsi="宋体" w:cs="宋体"/>
                <w:sz w:val="24"/>
                <w:szCs w:val="24"/>
                <w:highlight w:val="none"/>
                <w:lang w:val="en-US" w:eastAsia="zh-CN" w:bidi="ar-SA"/>
              </w:rPr>
              <w:t xml:space="preserve">不够清晰准确的</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进度计划一般，项目实施进度、时间点、关键</w:t>
            </w:r>
            <w:r>
              <w:rPr>
                <w:rFonts w:hint="eastAsia" w:ascii="宋体" w:hAnsi="宋体" w:cs="宋体"/>
                <w:sz w:val="24"/>
                <w:szCs w:val="24"/>
                <w:highlight w:val="none"/>
                <w:lang w:val="en-US" w:eastAsia="zh-CN" w:bidi="ar-SA"/>
              </w:rPr>
              <w:t xml:space="preserve">节</w:t>
            </w:r>
            <w:r>
              <w:rPr>
                <w:rFonts w:hint="eastAsia" w:ascii="宋体" w:hAnsi="宋体" w:eastAsia="宋体" w:cs="宋体"/>
                <w:sz w:val="24"/>
                <w:szCs w:val="24"/>
                <w:highlight w:val="none"/>
                <w:lang w:val="en-US" w:eastAsia="zh-CN" w:bidi="ar-SA"/>
              </w:rPr>
              <w:t xml:space="preserve">点</w:t>
            </w:r>
            <w:r>
              <w:rPr>
                <w:rFonts w:hint="eastAsia" w:ascii="宋体" w:hAnsi="宋体" w:cs="宋体"/>
                <w:sz w:val="24"/>
                <w:szCs w:val="24"/>
                <w:highlight w:val="none"/>
                <w:lang w:val="en-US" w:eastAsia="zh-CN" w:bidi="ar-SA"/>
              </w:rPr>
              <w:t xml:space="preserve">、施工网络图</w:t>
            </w:r>
            <w:r>
              <w:rPr>
                <w:rFonts w:hint="eastAsia" w:ascii="宋体" w:hAnsi="宋体" w:eastAsia="宋体" w:cs="宋体"/>
                <w:sz w:val="24"/>
                <w:szCs w:val="24"/>
                <w:highlight w:val="none"/>
                <w:lang w:val="en-US" w:eastAsia="zh-CN" w:bidi="ar-SA"/>
              </w:rPr>
              <w:t xml:space="preserve">等</w:t>
            </w:r>
            <w:r>
              <w:rPr>
                <w:rFonts w:hint="eastAsia" w:ascii="宋体" w:hAnsi="宋体" w:cs="宋体"/>
                <w:sz w:val="24"/>
                <w:szCs w:val="24"/>
                <w:highlight w:val="none"/>
                <w:lang w:val="en-US" w:eastAsia="zh-CN" w:bidi="ar-SA"/>
              </w:rPr>
              <w:t xml:space="preserve">设置不清晰不准确的</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1042"/>
              <w:numPr>
                <w:ilvl w:val="0"/>
                <w:numId w:val="0"/>
              </w:numPr>
              <w:ind w:firstLine="0"/>
              <w:jc w:val="left"/>
              <w:keepLines w:val="0"/>
              <w:keepNext w:val="0"/>
              <w:pageBreakBefore w:val="0"/>
              <w:spacing w:after="0" w:line="360" w:lineRule="auto"/>
              <w:rPr>
                <w:rFonts w:hint="eastAsia"/>
                <w:sz w:val="24"/>
                <w:szCs w:val="24"/>
              </w:rPr>
            </w:pPr>
            <w:r>
              <w:rPr>
                <w:rFonts w:hint="eastAsia" w:ascii="宋体" w:hAnsi="宋体" w:cs="宋体"/>
                <w:sz w:val="24"/>
                <w:szCs w:val="24"/>
                <w:highlight w:val="none"/>
                <w:lang w:val="en-US" w:eastAsia="zh-CN" w:bidi="ar-SA"/>
              </w:rPr>
              <w:t xml:space="preserve">（</w:t>
            </w:r>
            <w:r>
              <w:rPr>
                <w:rFonts w:hint="eastAsia" w:ascii="宋体" w:hAnsi="宋体" w:cs="宋体"/>
                <w:sz w:val="24"/>
                <w:szCs w:val="24"/>
                <w:lang w:val="en-US" w:eastAsia="zh-CN" w:bidi="ar-SA"/>
              </w:rPr>
              <w:t xml:space="preserve">5</w:t>
            </w:r>
            <w:r>
              <w:rPr>
                <w:rFonts w:hint="eastAsia" w:ascii="宋体" w:hAnsi="宋体" w:cs="宋体"/>
                <w:sz w:val="24"/>
                <w:szCs w:val="24"/>
                <w:highlight w:val="none"/>
                <w:lang w:val="en-US" w:eastAsia="zh-CN" w:bidi="ar-SA"/>
              </w:rPr>
              <w:t xml:space="preserve">）</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r>
      <w:tr>
        <w:trPr>
          <w:trHeight w:val="2533"/>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4"/>
              </w:numPr>
              <w:ind w:left="0"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劳动力、机械设备和材料投入计划(</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6"/>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rPr>
              <w:t xml:space="preserve">劳动力机械设备和材料投入</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考虑周全的得6分</w:t>
            </w:r>
            <w:r>
              <w:rPr>
                <w:rFonts w:hint="eastAsia" w:ascii="宋体" w:hAnsi="宋体" w:cs="宋体"/>
                <w:sz w:val="24"/>
                <w:szCs w:val="24"/>
                <w:highlight w:val="none"/>
                <w:lang w:val="en-US" w:eastAsia="zh-CN" w:bidi="ar-SA"/>
              </w:rPr>
              <w:t xml:space="preserve">；</w:t>
            </w:r>
            <w:r/>
          </w:p>
          <w:p>
            <w:pPr>
              <w:numPr>
                <w:ilvl w:val="0"/>
                <w:numId w:val="6"/>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rPr>
              <w:t xml:space="preserve">劳动力机械设备和材料投入</w:t>
            </w:r>
            <w:r>
              <w:rPr>
                <w:rFonts w:hint="eastAsia" w:ascii="宋体" w:hAnsi="宋体" w:cs="宋体"/>
                <w:sz w:val="24"/>
                <w:szCs w:val="24"/>
                <w:lang w:val="en-US" w:eastAsia="zh-CN"/>
              </w:rPr>
              <w:t xml:space="preserve">基本</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周全的得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rPr>
              <w:t xml:space="preserve">劳动力机械设备和材料投入</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周全的得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rPr>
              <w:t xml:space="preserve">劳动力机械设备和材料投入</w:t>
            </w:r>
            <w:r>
              <w:rPr>
                <w:rFonts w:hint="eastAsia" w:ascii="宋体" w:hAnsi="宋体" w:cs="宋体"/>
                <w:sz w:val="24"/>
                <w:szCs w:val="24"/>
                <w:highlight w:val="none"/>
                <w:lang w:val="en-US" w:eastAsia="zh-CN" w:bidi="ar-SA"/>
              </w:rPr>
              <w:t xml:space="preserve">不</w:t>
            </w:r>
            <w:r>
              <w:rPr>
                <w:rFonts w:hint="eastAsia" w:ascii="宋体" w:hAnsi="宋体" w:eastAsia="宋体" w:cs="宋体"/>
                <w:sz w:val="24"/>
                <w:szCs w:val="24"/>
                <w:highlight w:val="none"/>
                <w:lang w:val="en-US" w:eastAsia="zh-CN" w:bidi="ar-SA"/>
              </w:rPr>
              <w:t xml:space="preserve">科学合理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不</w:t>
            </w:r>
            <w:r>
              <w:rPr>
                <w:rFonts w:hint="eastAsia" w:ascii="宋体" w:hAnsi="宋体" w:eastAsia="宋体" w:cs="宋体"/>
                <w:sz w:val="24"/>
                <w:szCs w:val="24"/>
                <w:highlight w:val="none"/>
                <w:lang w:val="en-US" w:eastAsia="zh-CN" w:bidi="ar-SA"/>
              </w:rPr>
              <w:t xml:space="preserve">周全的得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1042"/>
              <w:numPr>
                <w:ilvl w:val="0"/>
                <w:numId w:val="0"/>
              </w:numPr>
              <w:ind w:firstLine="0"/>
              <w:jc w:val="left"/>
              <w:keepLines w:val="0"/>
              <w:keepNext w:val="0"/>
              <w:pageBreakBefore w:val="0"/>
              <w:spacing w:after="0" w:line="360" w:lineRule="auto"/>
              <w:widowControl w:val="off"/>
              <w:rPr>
                <w:rFonts w:hint="eastAsia"/>
                <w:sz w:val="24"/>
                <w:szCs w:val="24"/>
              </w:rPr>
            </w:pPr>
            <w:r>
              <w:rPr>
                <w:rFonts w:hint="eastAsia" w:ascii="宋体" w:hAnsi="宋体" w:cs="宋体"/>
                <w:sz w:val="24"/>
                <w:szCs w:val="24"/>
                <w:highlight w:val="none"/>
                <w:lang w:val="en-US" w:eastAsia="zh-CN" w:bidi="ar-SA"/>
              </w:rPr>
              <w:t xml:space="preserve">（5）</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r>
      <w:tr>
        <w:trPr>
          <w:trHeight w:val="643"/>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关键施工技术、工艺及工程项目实施的重点、难点和解决方案(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default" w:ascii="宋体" w:hAnsi="宋体" w:eastAsia="宋体" w:cs="宋体"/>
                <w:sz w:val="24"/>
                <w:szCs w:val="24"/>
                <w:highlight w:val="none"/>
                <w:lang w:val="en-US" w:eastAsia="zh-CN" w:bidi="ar-SA"/>
              </w:rPr>
              <w:t xml:space="preserve">对施工现场情况了解详尽，对施工重点、难点分析准确，解决方案详细具体、科学合理且符合项目实际的得</w:t>
            </w:r>
            <w:r>
              <w:rPr>
                <w:rFonts w:hint="eastAsia" w:ascii="宋体" w:hAnsi="宋体" w:eastAsia="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对施工现场情况了解详尽，对施工重点、难点分析准确，解决方案</w:t>
            </w:r>
            <w:r>
              <w:rPr>
                <w:rFonts w:hint="eastAsia" w:ascii="宋体" w:hAnsi="宋体" w:cs="宋体"/>
                <w:sz w:val="24"/>
                <w:szCs w:val="24"/>
                <w:highlight w:val="none"/>
                <w:lang w:val="en-US" w:eastAsia="zh-CN" w:bidi="ar-SA"/>
              </w:rPr>
              <w:t xml:space="preserve">基本</w:t>
            </w:r>
            <w:r>
              <w:rPr>
                <w:rFonts w:hint="default" w:ascii="宋体" w:hAnsi="宋体" w:eastAsia="宋体" w:cs="宋体"/>
                <w:sz w:val="24"/>
                <w:szCs w:val="24"/>
                <w:highlight w:val="none"/>
                <w:lang w:val="en-US" w:eastAsia="zh-CN" w:bidi="ar-SA"/>
              </w:rPr>
              <w:t xml:space="preserve">详细具体、科学合理且符合项目实际的得</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对施工现场情况了解不充分，对施工重点、难点分析不完整，提供了</w:t>
            </w:r>
            <w:r>
              <w:rPr>
                <w:rFonts w:hint="eastAsia" w:ascii="宋体" w:hAnsi="宋体" w:eastAsia="宋体" w:cs="宋体"/>
                <w:sz w:val="24"/>
                <w:szCs w:val="24"/>
                <w:highlight w:val="none"/>
                <w:lang w:val="en-US" w:eastAsia="zh-CN" w:bidi="ar-SA"/>
              </w:rPr>
              <w:t xml:space="preserve">不够</w:t>
            </w:r>
            <w:r>
              <w:rPr>
                <w:rFonts w:hint="default" w:ascii="宋体" w:hAnsi="宋体" w:eastAsia="宋体" w:cs="宋体"/>
                <w:sz w:val="24"/>
                <w:szCs w:val="24"/>
                <w:highlight w:val="none"/>
                <w:lang w:val="en-US" w:eastAsia="zh-CN" w:bidi="ar-SA"/>
              </w:rPr>
              <w:t xml:space="preserve">详细具体、科学合理的解决方案的得</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对施工现场情况了解片面，对施工重点、难点分析不完整，所提供的解决方案不具体的得</w:t>
            </w:r>
            <w:r>
              <w:rPr>
                <w:rFonts w:hint="eastAsia" w:ascii="宋体" w:hAnsi="宋体" w:cs="宋体"/>
                <w:sz w:val="24"/>
                <w:szCs w:val="24"/>
                <w:highlight w:val="none"/>
                <w:lang w:val="en-US" w:eastAsia="zh-CN" w:bidi="ar-SA"/>
              </w:rPr>
              <w:t xml:space="preserve">2</w:t>
            </w:r>
            <w:r>
              <w:rPr>
                <w:rFonts w:hint="default" w:ascii="宋体" w:hAnsi="宋体" w:eastAsia="宋体" w:cs="宋体"/>
                <w:sz w:val="24"/>
                <w:szCs w:val="24"/>
                <w:highlight w:val="none"/>
                <w:lang w:val="en-US" w:eastAsia="zh-CN" w:bidi="ar-SA"/>
              </w:rPr>
              <w:t xml:space="preserve">分；</w:t>
            </w:r>
            <w:r/>
          </w:p>
          <w:p>
            <w:pPr>
              <w:pStyle w:val="1042"/>
              <w:numPr>
                <w:ilvl w:val="0"/>
                <w:numId w:val="0"/>
              </w:numPr>
              <w:ind w:firstLine="0"/>
              <w:jc w:val="left"/>
              <w:keepLines w:val="0"/>
              <w:keepNext w:val="0"/>
              <w:pageBreakBefore w:val="0"/>
              <w:spacing w:after="0" w:line="360" w:lineRule="auto"/>
              <w:rPr>
                <w:rFonts w:hint="eastAsia"/>
                <w:sz w:val="24"/>
                <w:szCs w:val="24"/>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未提供不得分。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r>
      <w:tr>
        <w:trPr>
          <w:trHeight w:val="378"/>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0"/>
              </w:numPr>
              <w:ind w:firstLine="0"/>
              <w:jc w:val="left"/>
              <w:keepLines w:val="0"/>
              <w:keepNext w:val="0"/>
              <w:pageBreakBefore w:val="0"/>
              <w:spacing w:after="0"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文明施工、环境保护管理体系与质量管理体系措施(</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default" w:ascii="宋体" w:hAnsi="宋体" w:eastAsia="宋体" w:cs="宋体"/>
                <w:sz w:val="24"/>
                <w:szCs w:val="24"/>
                <w:highlight w:val="none"/>
                <w:lang w:val="en-US" w:eastAsia="zh-CN" w:bidi="ar-SA"/>
              </w:rPr>
              <w:t xml:space="preserve">对</w:t>
            </w:r>
            <w:r>
              <w:rPr>
                <w:rFonts w:hint="eastAsia" w:ascii="宋体" w:hAnsi="宋体" w:cs="宋体"/>
                <w:sz w:val="24"/>
                <w:szCs w:val="24"/>
                <w:highlight w:val="none"/>
                <w:lang w:val="en-US" w:eastAsia="zh-CN" w:bidi="ar-SA"/>
              </w:rPr>
              <w:t xml:space="preserve">文明施工、环境保护、质量管理</w:t>
            </w:r>
            <w:r>
              <w:rPr>
                <w:rFonts w:hint="default" w:ascii="宋体" w:hAnsi="宋体" w:eastAsia="宋体" w:cs="宋体"/>
                <w:sz w:val="24"/>
                <w:szCs w:val="24"/>
                <w:highlight w:val="none"/>
                <w:lang w:val="en-US" w:eastAsia="zh-CN" w:bidi="ar-SA"/>
              </w:rPr>
              <w:t xml:space="preserve">详细具体、科学合理的得</w:t>
            </w:r>
            <w:r>
              <w:rPr>
                <w:rFonts w:hint="eastAsia" w:ascii="宋体" w:hAnsi="宋体" w:eastAsia="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w:t>
            </w:r>
            <w:r>
              <w:rPr>
                <w:rFonts w:hint="eastAsia" w:ascii="宋体" w:hAnsi="宋体" w:cs="宋体"/>
                <w:sz w:val="24"/>
                <w:szCs w:val="24"/>
                <w:highlight w:val="none"/>
                <w:lang w:val="en-US" w:eastAsia="zh-CN" w:bidi="ar-SA"/>
              </w:rPr>
              <w:t xml:space="preserve">文明施工、环境保护、质量管理基本</w:t>
            </w:r>
            <w:r>
              <w:rPr>
                <w:rFonts w:hint="default" w:ascii="宋体" w:hAnsi="宋体" w:eastAsia="宋体" w:cs="宋体"/>
                <w:sz w:val="24"/>
                <w:szCs w:val="24"/>
                <w:highlight w:val="none"/>
                <w:lang w:val="en-US" w:eastAsia="zh-CN" w:bidi="ar-SA"/>
              </w:rPr>
              <w:t xml:space="preserve">详细具体、科学合理的得</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w:t>
            </w:r>
            <w:r>
              <w:rPr>
                <w:rFonts w:hint="eastAsia" w:ascii="宋体" w:hAnsi="宋体" w:cs="宋体"/>
                <w:sz w:val="24"/>
                <w:szCs w:val="24"/>
                <w:highlight w:val="none"/>
                <w:lang w:val="en-US" w:eastAsia="zh-CN" w:bidi="ar-SA"/>
              </w:rPr>
              <w:t xml:space="preserve">文明施工、环境保护、质量管理不够</w:t>
            </w:r>
            <w:r>
              <w:rPr>
                <w:rFonts w:hint="default" w:ascii="宋体" w:hAnsi="宋体" w:eastAsia="宋体" w:cs="宋体"/>
                <w:sz w:val="24"/>
                <w:szCs w:val="24"/>
                <w:highlight w:val="none"/>
                <w:lang w:val="en-US" w:eastAsia="zh-CN" w:bidi="ar-SA"/>
              </w:rPr>
              <w:t xml:space="preserve">详细具体、科学合理的得</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分；</w:t>
            </w:r>
            <w:r/>
          </w:p>
          <w:p>
            <w:pPr>
              <w:ind w:firstLine="0"/>
              <w:jc w:val="left"/>
              <w:keepLines w:val="0"/>
              <w:keepNext w:val="0"/>
              <w:pageBreakBefore w:val="0"/>
              <w:spacing w:after="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w:t>
            </w:r>
            <w:r>
              <w:rPr>
                <w:rFonts w:hint="eastAsia" w:ascii="宋体" w:hAnsi="宋体" w:cs="宋体"/>
                <w:sz w:val="24"/>
                <w:szCs w:val="24"/>
                <w:highlight w:val="none"/>
                <w:lang w:val="en-US" w:eastAsia="zh-CN" w:bidi="ar-SA"/>
              </w:rPr>
              <w:t xml:space="preserve">文明施工、环境保护、质量管理不</w:t>
            </w:r>
            <w:r>
              <w:rPr>
                <w:rFonts w:hint="default" w:ascii="宋体" w:hAnsi="宋体" w:eastAsia="宋体" w:cs="宋体"/>
                <w:sz w:val="24"/>
                <w:szCs w:val="24"/>
                <w:highlight w:val="none"/>
                <w:lang w:val="en-US" w:eastAsia="zh-CN" w:bidi="ar-SA"/>
              </w:rPr>
              <w:t xml:space="preserve">具体、科学合理的得</w:t>
            </w:r>
            <w:r>
              <w:rPr>
                <w:rFonts w:hint="eastAsia" w:ascii="宋体" w:hAnsi="宋体" w:cs="宋体"/>
                <w:sz w:val="24"/>
                <w:szCs w:val="24"/>
                <w:highlight w:val="none"/>
                <w:lang w:val="en-US" w:eastAsia="zh-CN" w:bidi="ar-SA"/>
              </w:rPr>
              <w:t xml:space="preserve">2</w:t>
            </w:r>
            <w:r>
              <w:rPr>
                <w:rFonts w:hint="default" w:ascii="宋体" w:hAnsi="宋体" w:eastAsia="宋体" w:cs="宋体"/>
                <w:sz w:val="24"/>
                <w:szCs w:val="24"/>
                <w:highlight w:val="none"/>
                <w:lang w:val="en-US" w:eastAsia="zh-CN" w:bidi="ar-SA"/>
              </w:rPr>
              <w:t xml:space="preserve">分；</w:t>
            </w:r>
            <w:r/>
          </w:p>
          <w:p>
            <w:pPr>
              <w:pStyle w:val="1042"/>
              <w:numPr>
                <w:ilvl w:val="0"/>
                <w:numId w:val="0"/>
              </w:numPr>
              <w:ind w:firstLine="0"/>
              <w:jc w:val="left"/>
              <w:keepLines w:val="0"/>
              <w:keepNext w:val="0"/>
              <w:pageBreakBefore w:val="0"/>
              <w:spacing w:after="0" w:line="360" w:lineRule="auto"/>
              <w:rPr>
                <w:rFonts w:hint="eastAsia"/>
                <w:sz w:val="24"/>
                <w:szCs w:val="24"/>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未提供不得分。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分</w:t>
            </w:r>
            <w:r/>
          </w:p>
        </w:tc>
      </w:tr>
      <w:tr>
        <w:trPr>
          <w:trHeight w:val="873"/>
        </w:trPr>
        <w:tc>
          <w:tcPr>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967" w:type="pct"/>
            <w:vAlign w:val="center"/>
            <w:textDirection w:val="lrTb"/>
            <w:noWrap w:val="false"/>
          </w:tcPr>
          <w:p>
            <w:pPr>
              <w:numPr>
                <w:ilvl w:val="0"/>
                <w:numId w:val="7"/>
              </w:numPr>
              <w:ind w:firstLine="0"/>
              <w:jc w:val="left"/>
              <w:keepLines w:val="0"/>
              <w:keepNext w:val="0"/>
              <w:pageBreakBefore w:val="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项目人员配置:管理班子机构健全、职责明确、人员齐配，满足本项目要求(</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8"/>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机构健全、</w:t>
            </w:r>
            <w:r>
              <w:rPr>
                <w:rFonts w:hint="eastAsia" w:ascii="宋体" w:hAnsi="宋体" w:cs="宋体"/>
                <w:sz w:val="24"/>
                <w:szCs w:val="24"/>
                <w:highlight w:val="none"/>
                <w:lang w:val="en-US" w:eastAsia="zh-CN" w:bidi="ar-SA"/>
              </w:rPr>
              <w:t xml:space="preserve">职责</w:t>
            </w:r>
            <w:r>
              <w:rPr>
                <w:rFonts w:hint="eastAsia" w:ascii="宋体" w:hAnsi="宋体" w:eastAsia="宋体" w:cs="宋体"/>
                <w:sz w:val="24"/>
                <w:szCs w:val="24"/>
                <w:highlight w:val="none"/>
                <w:lang w:val="en-US" w:eastAsia="zh-CN" w:bidi="ar-SA"/>
              </w:rPr>
              <w:t xml:space="preserve">明确、人员齐配的得6分</w:t>
            </w:r>
            <w:r>
              <w:rPr>
                <w:rFonts w:hint="eastAsia" w:ascii="宋体" w:hAnsi="宋体" w:cs="宋体"/>
                <w:sz w:val="24"/>
                <w:szCs w:val="24"/>
                <w:highlight w:val="none"/>
                <w:lang w:val="en-US" w:eastAsia="zh-CN" w:bidi="ar-SA"/>
              </w:rPr>
              <w:t xml:space="preserve">；</w:t>
            </w:r>
            <w:r/>
          </w:p>
          <w:p>
            <w:pPr>
              <w:numPr>
                <w:ilvl w:val="0"/>
                <w:numId w:val="8"/>
              </w:numPr>
              <w:ind w:firstLine="0"/>
              <w:jc w:val="left"/>
              <w:keepLines w:val="0"/>
              <w:keepNext w:val="0"/>
              <w:pageBreakBefore w:val="0"/>
              <w:spacing w:after="0"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机构健全、</w:t>
            </w:r>
            <w:r>
              <w:rPr>
                <w:rFonts w:hint="eastAsia" w:ascii="宋体" w:hAnsi="宋体" w:cs="宋体"/>
                <w:sz w:val="24"/>
                <w:szCs w:val="24"/>
                <w:highlight w:val="none"/>
                <w:lang w:val="en-US" w:eastAsia="zh-CN" w:bidi="ar-SA"/>
              </w:rPr>
              <w:t xml:space="preserve">职责</w:t>
            </w:r>
            <w:r>
              <w:rPr>
                <w:rFonts w:hint="eastAsia" w:ascii="宋体" w:hAnsi="宋体" w:eastAsia="宋体" w:cs="宋体"/>
                <w:sz w:val="24"/>
                <w:szCs w:val="24"/>
                <w:highlight w:val="none"/>
                <w:lang w:val="en-US" w:eastAsia="zh-CN" w:bidi="ar-SA"/>
              </w:rPr>
              <w:t xml:space="preserve">明确、人员</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齐配的得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）机构</w:t>
            </w:r>
            <w:r>
              <w:rPr>
                <w:rFonts w:hint="eastAsia" w:ascii="宋体" w:hAnsi="宋体" w:cs="宋体"/>
                <w:sz w:val="24"/>
                <w:szCs w:val="24"/>
                <w:highlight w:val="none"/>
                <w:lang w:val="en-US" w:eastAsia="zh-CN" w:bidi="ar-SA"/>
              </w:rPr>
              <w:t xml:space="preserve">不健全</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职责不够</w:t>
            </w:r>
            <w:r>
              <w:rPr>
                <w:rFonts w:hint="eastAsia" w:ascii="宋体" w:hAnsi="宋体" w:eastAsia="宋体" w:cs="宋体"/>
                <w:sz w:val="24"/>
                <w:szCs w:val="24"/>
                <w:highlight w:val="none"/>
                <w:lang w:val="en-US" w:eastAsia="zh-CN" w:bidi="ar-SA"/>
              </w:rPr>
              <w:t xml:space="preserve">明确、人员</w:t>
            </w:r>
            <w:r>
              <w:rPr>
                <w:rFonts w:hint="eastAsia" w:ascii="宋体" w:hAnsi="宋体" w:cs="宋体"/>
                <w:sz w:val="24"/>
                <w:szCs w:val="24"/>
                <w:highlight w:val="none"/>
                <w:lang w:val="en-US" w:eastAsia="zh-CN" w:bidi="ar-SA"/>
              </w:rPr>
              <w:t xml:space="preserve">缺少</w:t>
            </w:r>
            <w:r>
              <w:rPr>
                <w:rFonts w:hint="eastAsia" w:ascii="宋体" w:hAnsi="宋体" w:eastAsia="宋体" w:cs="宋体"/>
                <w:sz w:val="24"/>
                <w:szCs w:val="24"/>
                <w:highlight w:val="none"/>
                <w:lang w:val="en-US" w:eastAsia="zh-CN" w:bidi="ar-SA"/>
              </w:rPr>
              <w:t xml:space="preserve">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jc w:val="left"/>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）机构</w:t>
            </w:r>
            <w:r>
              <w:rPr>
                <w:rFonts w:hint="eastAsia" w:ascii="宋体" w:hAnsi="宋体" w:cs="宋体"/>
                <w:sz w:val="24"/>
                <w:szCs w:val="24"/>
                <w:highlight w:val="none"/>
                <w:lang w:val="en-US" w:eastAsia="zh-CN" w:bidi="ar-SA"/>
              </w:rPr>
              <w:t xml:space="preserve">不健全</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职责模糊</w:t>
            </w:r>
            <w:r>
              <w:rPr>
                <w:rFonts w:hint="eastAsia" w:ascii="宋体" w:hAnsi="宋体" w:eastAsia="宋体" w:cs="宋体"/>
                <w:sz w:val="24"/>
                <w:szCs w:val="24"/>
                <w:highlight w:val="none"/>
                <w:lang w:val="en-US" w:eastAsia="zh-CN" w:bidi="ar-SA"/>
              </w:rPr>
              <w:t xml:space="preserve">、人员</w:t>
            </w:r>
            <w:r>
              <w:rPr>
                <w:rFonts w:hint="eastAsia" w:ascii="宋体" w:hAnsi="宋体" w:cs="宋体"/>
                <w:sz w:val="24"/>
                <w:szCs w:val="24"/>
                <w:highlight w:val="none"/>
                <w:lang w:val="en-US" w:eastAsia="zh-CN" w:bidi="ar-SA"/>
              </w:rPr>
              <w:t xml:space="preserve">较少</w:t>
            </w:r>
            <w:r>
              <w:rPr>
                <w:rFonts w:hint="eastAsia" w:ascii="宋体" w:hAnsi="宋体" w:eastAsia="宋体" w:cs="宋体"/>
                <w:sz w:val="24"/>
                <w:szCs w:val="24"/>
                <w:highlight w:val="none"/>
                <w:lang w:val="en-US" w:eastAsia="zh-CN" w:bidi="ar-SA"/>
              </w:rPr>
              <w:t xml:space="preserve">的得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1042"/>
              <w:numPr>
                <w:ilvl w:val="0"/>
                <w:numId w:val="0"/>
              </w:numPr>
              <w:ind w:firstLine="0"/>
              <w:jc w:val="left"/>
              <w:keepLines w:val="0"/>
              <w:keepNext w:val="0"/>
              <w:pageBreakBefore w:val="0"/>
              <w:spacing w:after="0" w:line="360" w:lineRule="auto"/>
              <w:rPr>
                <w:rFonts w:hint="eastAsia"/>
                <w:sz w:val="24"/>
                <w:szCs w:val="24"/>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未提供</w:t>
            </w:r>
            <w:r>
              <w:rPr>
                <w:rFonts w:hint="eastAsia" w:ascii="宋体" w:hAnsi="宋体" w:eastAsia="宋体" w:cs="宋体"/>
                <w:sz w:val="24"/>
                <w:szCs w:val="24"/>
                <w:highlight w:val="none"/>
                <w:lang w:val="en-US" w:eastAsia="zh-CN" w:bidi="ar-SA"/>
              </w:rPr>
              <w:t xml:space="preserve">的不得分。</w:t>
            </w:r>
            <w:r/>
          </w:p>
        </w:tc>
        <w:tc>
          <w:tcPr>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r>
      <w:tr>
        <w:trPr>
          <w:trHeight w:val="2958"/>
        </w:trPr>
        <w:tc>
          <w:tcPr>
            <w:shd w:val="clear" w:color="auto" w:fill="auto"/>
            <w:tcW w:w="61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业绩</w:t>
            </w:r>
            <w:r/>
          </w:p>
          <w:p>
            <w:pPr>
              <w:ind w:firstLine="0"/>
              <w:jc w:val="left"/>
              <w:keepLines w:val="0"/>
              <w:keepNext w:val="0"/>
              <w:pageBreakBefore w:val="0"/>
              <w:spacing w:after="0"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shd w:val="clear" w:color="auto" w:fill="auto"/>
            <w:tcW w:w="3967" w:type="pct"/>
            <w:vAlign w:val="center"/>
            <w:textDirection w:val="lrTb"/>
            <w:noWrap w:val="false"/>
          </w:tcPr>
          <w:p>
            <w:pPr>
              <w:ind w:firstLine="240"/>
              <w:jc w:val="left"/>
              <w:keepLines w:val="0"/>
              <w:keepNext w:val="0"/>
              <w:pageBreakBefore w:val="0"/>
              <w:spacing w:after="0"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近3年</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分，最高为</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分，没有不得分。以</w:t>
            </w:r>
            <w:r>
              <w:rPr>
                <w:rFonts w:hint="eastAsia" w:ascii="宋体" w:hAnsi="宋体" w:cs="宋体"/>
                <w:color w:val="auto"/>
                <w:sz w:val="24"/>
                <w:szCs w:val="24"/>
                <w:highlight w:val="none"/>
                <w:lang w:val="en-US" w:eastAsia="zh-CN"/>
              </w:rPr>
              <w:t xml:space="preserve">竣工验收</w:t>
            </w: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auto"/>
                <w:sz w:val="24"/>
                <w:szCs w:val="24"/>
                <w:highlight w:val="none"/>
              </w:rPr>
              <w:t xml:space="preserve">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【业绩证明材料须提供中标通知书、施工合同、验收证明（竣工验收证明或完工验收鉴定书，并由建设、监理、施工各参建单位签字盖章），缺一不可。】</w:t>
            </w:r>
            <w:r>
              <w:rPr>
                <w:rFonts w:hint="eastAsia" w:ascii="宋体" w:hAnsi="宋体" w:eastAsia="宋体" w:cs="宋体"/>
                <w:color w:val="auto"/>
                <w:sz w:val="24"/>
                <w:szCs w:val="24"/>
                <w:highlight w:val="none"/>
                <w:lang w:val="en-US" w:eastAsia="zh-CN" w:bidi="ar"/>
              </w:rPr>
              <w:t xml:space="preserve">相关材料扫描件上传至电子标书。</w:t>
            </w:r>
            <w:r/>
          </w:p>
          <w:p>
            <w:pPr>
              <w:pStyle w:val="1042"/>
              <w:ind w:firstLine="420"/>
              <w:jc w:val="left"/>
              <w:keepLines w:val="0"/>
              <w:keepNext w:val="0"/>
              <w:pageBreakBefore w:val="0"/>
              <w:spacing w:after="0" w:line="360" w:lineRule="auto"/>
              <w:rPr>
                <w:rFonts w:hint="eastAsia" w:asciiTheme="minorAscii" w:hAnsiTheme="minorAscii" w:eastAsiaTheme="minorEastAsia" w:cstheme="minorBidi"/>
                <w:sz w:val="20"/>
                <w:szCs w:val="24"/>
                <w:highlight w:val="none"/>
                <w:lang w:val="en-US" w:eastAsia="zh-CN" w:bidi="ar-SA"/>
              </w:rPr>
            </w:pPr>
            <w:r>
              <w:rPr>
                <w:rFonts w:hint="eastAsia" w:ascii="宋体" w:hAnsi="宋体" w:eastAsia="宋体" w:cs="宋体"/>
                <w:color w:val="auto"/>
                <w:sz w:val="24"/>
                <w:szCs w:val="24"/>
                <w:highlight w:val="none"/>
              </w:rPr>
              <w:t xml:space="preserve">以上工程业绩须提供网站项目业绩的中标人公告网页截图</w:t>
            </w:r>
            <w:r>
              <w:rPr>
                <w:rFonts w:hint="eastAsia" w:ascii="宋体" w:hAnsi="宋体" w:eastAsia="宋体" w:cs="宋体"/>
                <w:color w:val="auto"/>
                <w:sz w:val="24"/>
                <w:szCs w:val="24"/>
                <w:highlight w:val="none"/>
                <w:lang w:val="en-US" w:eastAsia="zh-CN"/>
              </w:rPr>
              <w:t xml:space="preserve">及网址查询链接</w:t>
            </w:r>
            <w:r>
              <w:rPr>
                <w:rFonts w:hint="eastAsia" w:ascii="宋体" w:hAnsi="宋体" w:eastAsia="宋体" w:cs="宋体"/>
                <w:color w:val="auto"/>
                <w:sz w:val="24"/>
                <w:szCs w:val="24"/>
                <w:highlight w:val="none"/>
              </w:rPr>
              <w:t xml:space="preserve">，否则不予认可</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r>
        <w:trPr>
          <w:trHeight w:val="2581"/>
        </w:trPr>
        <w:tc>
          <w:tcPr>
            <w:shd w:val="clear" w:color="auto" w:fill="auto"/>
            <w:tcW w:w="611" w:type="pct"/>
            <w:vAlign w:val="center"/>
            <w:vMerge w:val="restart"/>
            <w:textDirection w:val="lrTb"/>
            <w:noWrap w:val="false"/>
          </w:tcPr>
          <w:p>
            <w:pPr>
              <w:ind w:right="0"/>
              <w:jc w:val="left"/>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r>
            <w:r/>
          </w:p>
          <w:p>
            <w:pPr>
              <w:ind w:right="0"/>
              <w:jc w:val="left"/>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项目管理人员</w:t>
            </w:r>
            <w:r/>
          </w:p>
          <w:p>
            <w:pPr>
              <w:ind w:right="0"/>
              <w:jc w:val="left"/>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（16分）</w:t>
            </w:r>
            <w:r/>
          </w:p>
          <w:p>
            <w:pPr>
              <w:ind w:firstLine="0"/>
              <w:jc w:val="left"/>
              <w:keepLines w:val="0"/>
              <w:keepNext w:val="0"/>
              <w:pageBreakBefore w:val="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3967" w:type="pct"/>
            <w:vAlign w:val="center"/>
            <w:textDirection w:val="lrTb"/>
            <w:noWrap w:val="false"/>
          </w:tcPr>
          <w:p>
            <w:pPr>
              <w:pStyle w:val="1040"/>
              <w:numPr>
                <w:ilvl w:val="0"/>
                <w:numId w:val="9"/>
              </w:numPr>
              <w:ind w:firstLine="0"/>
              <w:jc w:val="left"/>
              <w:keepLines w:val="0"/>
              <w:keepNext w:val="0"/>
              <w:pageBreakBefore w:val="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拟派的</w:t>
            </w:r>
            <w:r>
              <w:rPr>
                <w:rFonts w:hint="eastAsia" w:ascii="宋体" w:hAnsi="宋体" w:eastAsia="宋体" w:cs="宋体"/>
                <w:color w:val="auto"/>
                <w:sz w:val="24"/>
                <w:szCs w:val="24"/>
                <w:highlight w:val="none"/>
                <w:lang w:val="en-US" w:eastAsia="zh-CN"/>
              </w:rPr>
              <w:t xml:space="preserve">项目</w:t>
            </w:r>
            <w:r>
              <w:rPr>
                <w:rFonts w:hint="eastAsia"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负责人</w:t>
            </w:r>
            <w:r>
              <w:rPr>
                <w:rFonts w:hint="eastAsia"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工程类</w:t>
            </w:r>
            <w:r>
              <w:rPr>
                <w:rFonts w:hint="eastAsia"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职称得</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hAnsi="宋体" w:cs="宋体"/>
                <w:color w:val="auto"/>
                <w:sz w:val="24"/>
                <w:szCs w:val="24"/>
                <w:highlight w:val="none"/>
                <w:lang w:val="en-US" w:eastAsia="zh-CN"/>
              </w:rPr>
              <w:t xml:space="preserve">；</w:t>
            </w:r>
            <w:r/>
          </w:p>
          <w:p>
            <w:pPr>
              <w:pStyle w:val="1040"/>
              <w:numPr>
                <w:ilvl w:val="0"/>
                <w:numId w:val="9"/>
              </w:numPr>
              <w:ind w:firstLine="0"/>
              <w:jc w:val="left"/>
              <w:keepLines w:val="0"/>
              <w:keepNext w:val="0"/>
              <w:pageBreakBefore w:val="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拟派的</w:t>
            </w:r>
            <w:r>
              <w:rPr>
                <w:rFonts w:hint="eastAsia" w:ascii="宋体" w:hAnsi="宋体" w:eastAsia="宋体" w:cs="宋体"/>
                <w:color w:val="auto"/>
                <w:sz w:val="24"/>
                <w:szCs w:val="24"/>
                <w:highlight w:val="none"/>
                <w:lang w:val="en-US" w:eastAsia="zh-CN"/>
              </w:rPr>
              <w:t xml:space="preserve">项目</w:t>
            </w:r>
            <w:r>
              <w:rPr>
                <w:rFonts w:hint="eastAsia"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负责人</w:t>
            </w:r>
            <w:r>
              <w:rPr>
                <w:rFonts w:hint="eastAsia"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工程类高级及以上职称得</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其余不得分</w:t>
            </w:r>
            <w:r>
              <w:rPr>
                <w:rFonts w:hint="eastAsia" w:hAnsi="宋体" w:cs="宋体"/>
                <w:color w:val="auto"/>
                <w:sz w:val="24"/>
                <w:szCs w:val="24"/>
                <w:highlight w:val="none"/>
                <w:lang w:val="en-US" w:eastAsia="zh-CN"/>
              </w:rPr>
              <w:t xml:space="preserve">；</w:t>
            </w:r>
            <w:r/>
          </w:p>
          <w:p>
            <w:pPr>
              <w:pStyle w:val="1041"/>
              <w:numPr>
                <w:ilvl w:val="0"/>
                <w:numId w:val="0"/>
              </w:numPr>
              <w:ind w:left="0" w:firstLine="0"/>
              <w:jc w:val="left"/>
              <w:keepLines w:val="0"/>
              <w:keepNext w:val="0"/>
              <w:pageBreakBefore w:val="0"/>
              <w:spacing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注：高级工程师须为省人力资源与社会保障厅颁发的证书，</w:t>
            </w:r>
            <w:r>
              <w:rPr>
                <w:rFonts w:hint="eastAsia" w:ascii="宋体" w:hAnsi="宋体" w:eastAsia="宋体" w:cs="宋体"/>
                <w:color w:val="auto"/>
                <w:sz w:val="24"/>
                <w:szCs w:val="24"/>
                <w:lang w:val="en-US" w:eastAsia="zh-CN"/>
              </w:rPr>
              <w:t xml:space="preserve">提供职称证书及近期任意1</w:t>
            </w:r>
            <w:r>
              <w:rPr>
                <w:rFonts w:hint="eastAsia" w:ascii="宋体" w:hAnsi="宋体" w:eastAsia="宋体" w:cs="宋体"/>
                <w:color w:val="auto"/>
                <w:sz w:val="24"/>
                <w:szCs w:val="24"/>
              </w:rPr>
              <w:t xml:space="preserve">个月社保证明</w:t>
            </w:r>
            <w:r>
              <w:rPr>
                <w:rFonts w:hint="eastAsia" w:ascii="宋体" w:hAnsi="宋体" w:eastAsia="宋体" w:cs="宋体"/>
                <w:color w:val="auto"/>
                <w:sz w:val="24"/>
                <w:szCs w:val="24"/>
                <w:highlight w:val="none"/>
              </w:rPr>
              <w:t xml:space="preserve">。</w:t>
            </w:r>
            <w:r/>
          </w:p>
        </w:tc>
        <w:tc>
          <w:tcPr>
            <w:shd w:val="clear" w:color="auto" w:fill="auto"/>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ind w:firstLine="0"/>
              <w:jc w:val="left"/>
              <w:keepLines w:val="0"/>
              <w:keepNext w:val="0"/>
              <w:pageBreakBefore w:val="0"/>
              <w:spacing w:after="0"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lang w:val="en-US" w:eastAsia="zh-CN"/>
              </w:rPr>
              <w:t xml:space="preserve">6分</w:t>
            </w:r>
            <w:r/>
          </w:p>
        </w:tc>
      </w:tr>
      <w:tr>
        <w:trPr>
          <w:trHeight w:val="672"/>
        </w:trPr>
        <w:tc>
          <w:tcPr>
            <w:shd w:val="clear" w:color="auto" w:fill="auto"/>
            <w:tcW w:w="611" w:type="pct"/>
            <w:vAlign w:val="center"/>
            <w:vMerge w:val="continue"/>
            <w:textDirection w:val="lrTb"/>
            <w:noWrap w:val="false"/>
          </w:tcPr>
          <w:p>
            <w:pPr>
              <w:ind w:firstLine="0"/>
              <w:jc w:val="left"/>
              <w:keepLines w:val="0"/>
              <w:keepNext w:val="0"/>
              <w:pageBreakBefore w:val="0"/>
              <w:spacing w:after="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3967" w:type="pct"/>
            <w:vAlign w:val="center"/>
            <w:textDirection w:val="lrTb"/>
            <w:noWrap w:val="false"/>
          </w:tcPr>
          <w:p>
            <w:pPr>
              <w:ind w:right="0"/>
              <w:jc w:val="left"/>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1.拟派的施工员、安全员、质量员、资料员、材料员具有证书的有一个加1分，共计5分。</w:t>
            </w:r>
            <w:r/>
          </w:p>
          <w:p>
            <w:pPr>
              <w:ind w:right="0"/>
              <w:jc w:val="left"/>
              <w:keepLines w:val="0"/>
              <w:keepNext w:val="0"/>
              <w:pageBreakBefore w:val="0"/>
              <w:spacing w:before="0" w:after="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2.拟派的施工员、安全员、质量员、资料员、材料员具有工程类中级及以上职称证书的有一个加1分，共计5分；</w:t>
            </w:r>
            <w:r/>
          </w:p>
          <w:p>
            <w:pPr>
              <w:pStyle w:val="1040"/>
              <w:ind w:firstLine="0"/>
              <w:jc w:val="left"/>
              <w:keepLines w:val="0"/>
              <w:keepNext w:val="0"/>
              <w:pageBreakBefore w:val="0"/>
              <w:spacing w:line="360" w:lineRule="auto"/>
              <w:rPr>
                <w:rFonts w:hint="eastAsia" w:ascii="宋体" w:hAnsi="宋体" w:eastAsia="宋体" w:cs="宋体"/>
                <w:i w:val="0"/>
                <w:iCs w:val="0"/>
                <w:caps w:val="0"/>
                <w:color w:val="auto"/>
                <w:spacing w:val="0"/>
                <w:sz w:val="24"/>
                <w:szCs w:val="24"/>
                <w:shd w:val="clear" w:color="auto" w:fill="ffffff"/>
                <w:lang w:val="en-US" w:eastAsia="zh-CN" w:bidi="ar-SA"/>
              </w:rPr>
            </w:pPr>
            <w:r>
              <w:rPr>
                <w:rFonts w:hint="eastAsia" w:ascii="宋体" w:hAnsi="宋体" w:eastAsia="宋体" w:cs="宋体"/>
                <w:sz w:val="24"/>
                <w:szCs w:val="24"/>
                <w:highlight w:val="none"/>
                <w:lang w:val="en-US" w:eastAsia="zh-CN"/>
              </w:rPr>
              <w:t xml:space="preserve">注：提供相关证书和</w:t>
            </w:r>
            <w:r>
              <w:rPr>
                <w:rFonts w:hint="eastAsia" w:hAnsi="宋体" w:cs="宋体"/>
                <w:sz w:val="24"/>
                <w:szCs w:val="24"/>
                <w:highlight w:val="none"/>
                <w:lang w:val="en-US" w:eastAsia="zh-CN"/>
              </w:rPr>
              <w:t xml:space="preserve">近期任意1</w:t>
            </w:r>
            <w:r>
              <w:rPr>
                <w:rFonts w:hint="eastAsia" w:ascii="宋体" w:hAnsi="宋体" w:eastAsia="宋体" w:cs="宋体"/>
                <w:sz w:val="24"/>
                <w:szCs w:val="24"/>
                <w:highlight w:val="none"/>
                <w:lang w:val="en-US" w:eastAsia="zh-CN"/>
              </w:rPr>
              <w:t xml:space="preserve">个月社保证明。</w:t>
            </w:r>
            <w:r/>
          </w:p>
        </w:tc>
        <w:tc>
          <w:tcPr>
            <w:shd w:val="clear" w:color="auto" w:fill="auto"/>
            <w:tcW w:w="421" w:type="pct"/>
            <w:vAlign w:val="center"/>
            <w:textDirection w:val="lrTb"/>
            <w:noWrap w:val="false"/>
          </w:tcPr>
          <w:p>
            <w:pPr>
              <w:ind w:firstLine="0"/>
              <w:jc w:val="left"/>
              <w:keepLines w:val="0"/>
              <w:keepNext w:val="0"/>
              <w:pageBreakBefore w:val="0"/>
              <w:spacing w:after="0" w:line="360" w:lineRule="auto"/>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lang w:val="en-US" w:eastAsia="zh-CN"/>
              </w:rPr>
              <w:t xml:space="preserve">10分</w:t>
            </w:r>
            <w:r/>
          </w:p>
        </w:tc>
      </w:tr>
    </w:tbl>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政府采购网上进行公告。磋商供应商对采购过程和成交结果有质疑的必须在相关法律法规规定的时间内提出。</w:t>
      </w:r>
      <w:r/>
    </w:p>
    <w:p>
      <w:pPr>
        <w:ind w:firstLine="472"/>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磋商过程保密</w:t>
      </w:r>
      <w:r/>
    </w:p>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在宣布确定成交之前，凡属于审查、澄清、磋商、比较响应文件和确定成交意向等有关信息，均不得泄露给任何与磋商工作无关的人员。</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r/>
    </w:p>
    <w:p>
      <w:pPr>
        <w:ind w:firstLine="480"/>
        <w:pageBreakBefore w:val="0"/>
        <w:spacing w:line="380" w:lineRule="exact"/>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383" w:right="1474" w:bottom="1440" w:left="1474"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在磋商期间，采购人将指定联络员与磋商供应商进行联</w:t>
      </w:r>
      <w:bookmarkEnd w:id="29"/>
      <w:r/>
      <w:r/>
    </w:p>
    <w:p>
      <w:pPr>
        <w:numPr>
          <w:ilvl w:val="0"/>
          <w:numId w:val="0"/>
        </w:numPr>
        <w:jc w:val="both"/>
        <w:pageBreakBefore w:val="0"/>
        <w:spacing w:line="380" w:lineRule="exact"/>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numPr>
          <w:ilvl w:val="0"/>
          <w:numId w:val="10"/>
        </w:numPr>
        <w:ind w:firstLine="2729"/>
        <w:spacing w:before="61" w:line="222" w:lineRule="auto"/>
        <w:rPr>
          <w:rFonts w:hint="default" w:ascii="宋体" w:hAnsi="宋体" w:cs="宋体"/>
          <w:b/>
          <w:bCs/>
          <w:spacing w:val="1"/>
          <w:sz w:val="30"/>
          <w:szCs w:val="30"/>
          <w:lang w:val="en-US" w:eastAsia="zh-CN"/>
        </w:rPr>
        <w:outlineLvl w:val="0"/>
      </w:pPr>
      <w:r>
        <w:rPr>
          <w:rFonts w:hint="eastAsia" w:ascii="宋体" w:hAnsi="宋体" w:eastAsia="宋体" w:cs="宋体"/>
          <w:b/>
          <w:bCs/>
          <w:spacing w:val="1"/>
          <w:sz w:val="30"/>
          <w:szCs w:val="30"/>
          <w:lang w:val="en-US" w:eastAsia="zh-CN"/>
        </w:rPr>
        <w:t xml:space="preserve"> </w:t>
      </w:r>
      <w:r>
        <w:rPr>
          <w:rFonts w:hint="eastAsia" w:ascii="宋体" w:hAnsi="宋体" w:cs="宋体"/>
          <w:b/>
          <w:bCs/>
          <w:spacing w:val="1"/>
          <w:sz w:val="30"/>
          <w:szCs w:val="30"/>
          <w:lang w:val="en-US" w:eastAsia="zh-CN"/>
        </w:rPr>
        <w:t xml:space="preserve">    采购需求</w:t>
      </w:r>
      <w:r/>
    </w:p>
    <w:p>
      <w:pPr>
        <w:numPr>
          <w:ilvl w:val="0"/>
          <w:numId w:val="0"/>
        </w:numPr>
        <w:spacing w:before="61" w:line="222" w:lineRule="auto"/>
        <w:rPr>
          <w:rFonts w:hint="default" w:ascii="宋体" w:hAnsi="宋体" w:cs="宋体"/>
          <w:b/>
          <w:bCs/>
          <w:spacing w:val="1"/>
          <w:sz w:val="30"/>
          <w:szCs w:val="30"/>
          <w:lang w:val="en-US" w:eastAsia="zh-CN"/>
        </w:rPr>
        <w:outlineLvl w:val="0"/>
      </w:pPr>
      <w:r>
        <w:rPr>
          <w:rFonts w:hint="eastAsia" w:ascii="宋体" w:hAnsi="宋体" w:cs="宋体"/>
          <w:b/>
          <w:bCs/>
          <w:spacing w:val="1"/>
          <w:sz w:val="30"/>
          <w:szCs w:val="30"/>
          <w:lang w:val="en-US" w:eastAsia="zh-CN"/>
        </w:rPr>
        <w:t xml:space="preserve">（详见全费用清单）</w:t>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pStyle w:val="1015"/>
        <w:jc w:val="both"/>
        <w:spacing w:line="248" w:lineRule="auto"/>
      </w:pPr>
      <w:r/>
      <w:r/>
    </w:p>
    <w:p>
      <w:pPr>
        <w:jc w:val="center"/>
        <w:spacing w:line="400" w:lineRule="exact"/>
        <w:rPr>
          <w:rFonts w:ascii="Times New Roman" w:hAnsi="Times New Roman"/>
          <w:b/>
          <w:bCs/>
          <w:sz w:val="28"/>
          <w:szCs w:val="28"/>
        </w:rPr>
        <w:outlineLvl w:val="1"/>
      </w:pPr>
      <w:r>
        <w:rPr>
          <w:rFonts w:ascii="Times New Roman" w:hAnsi="Times New Roman"/>
          <w:b/>
          <w:bCs/>
          <w:sz w:val="32"/>
          <w:szCs w:val="32"/>
        </w:rPr>
        <w:t xml:space="preserve">第</w:t>
      </w:r>
      <w:r>
        <w:rPr>
          <w:rFonts w:hint="eastAsia" w:ascii="Times New Roman" w:hAnsi="Times New Roman"/>
          <w:b/>
          <w:bCs/>
          <w:sz w:val="32"/>
          <w:szCs w:val="32"/>
          <w:lang w:val="en-US" w:eastAsia="zh-CN"/>
        </w:rPr>
        <w:t xml:space="preserve">五</w:t>
      </w:r>
      <w:r>
        <w:rPr>
          <w:rFonts w:ascii="Times New Roman" w:hAnsi="Times New Roman"/>
          <w:b/>
          <w:bCs/>
          <w:sz w:val="32"/>
          <w:szCs w:val="32"/>
        </w:rPr>
        <w:t xml:space="preserve">章 合同协议书</w:t>
      </w:r>
      <w:r/>
    </w:p>
    <w:p>
      <w:pPr>
        <w:jc w:val="center"/>
        <w:rPr>
          <w:rFonts w:ascii="Times New Roman" w:hAnsi="Times New Roman"/>
          <w:b/>
          <w:szCs w:val="21"/>
        </w:rPr>
        <w:outlineLvl w:val="2"/>
      </w:pPr>
      <w:r>
        <w:rPr>
          <w:rFonts w:ascii="Times New Roman" w:hAnsi="Times New Roman"/>
          <w:b/>
          <w:szCs w:val="21"/>
        </w:rPr>
      </w:r>
      <w:r/>
    </w:p>
    <w:p>
      <w:pPr>
        <w:jc w:val="center"/>
        <w:spacing w:line="400" w:lineRule="exact"/>
        <w:rPr>
          <w:rFonts w:ascii="宋体" w:hAnsi="宋体"/>
          <w:b/>
          <w:bCs/>
          <w:sz w:val="22"/>
          <w:szCs w:val="22"/>
        </w:rPr>
      </w:pPr>
      <w:r>
        <w:rPr>
          <w:rFonts w:hint="eastAsia" w:ascii="宋体" w:hAnsi="宋体"/>
          <w:b/>
          <w:bCs/>
          <w:sz w:val="22"/>
          <w:szCs w:val="22"/>
        </w:rPr>
        <w:t xml:space="preserve">第一部分  协议书格式</w:t>
      </w:r>
      <w:r/>
    </w:p>
    <w:p>
      <w:pPr>
        <w:rPr>
          <w:rFonts w:hint="eastAsia" w:ascii="宋体" w:hAnsi="宋体"/>
          <w:szCs w:val="21"/>
        </w:rPr>
      </w:pPr>
      <w:r>
        <w:rPr>
          <w:rFonts w:hint="eastAsia" w:ascii="宋体" w:hAnsi="宋体"/>
          <w:szCs w:val="21"/>
        </w:rPr>
      </w:r>
      <w:r/>
    </w:p>
    <w:p>
      <w:pPr>
        <w:spacing w:line="360" w:lineRule="auto"/>
        <w:rPr>
          <w:rFonts w:hint="eastAsia" w:ascii="宋体" w:hAnsi="宋体"/>
          <w:sz w:val="22"/>
          <w:szCs w:val="22"/>
        </w:rPr>
      </w:pPr>
      <w:r>
        <w:rPr>
          <w:rFonts w:hint="eastAsia" w:ascii="宋体" w:hAnsi="宋体"/>
          <w:sz w:val="22"/>
          <w:szCs w:val="22"/>
        </w:rPr>
        <w:t xml:space="preserve">发包人（全称）</w:t>
      </w:r>
      <w:r>
        <w:rPr>
          <w:rFonts w:hint="eastAsia" w:ascii="宋体" w:hAnsi="宋体"/>
          <w:sz w:val="22"/>
          <w:szCs w:val="22"/>
          <w:u w:val="single"/>
        </w:rPr>
        <w:t xml:space="preserve">                        </w:t>
      </w:r>
      <w:r>
        <w:rPr>
          <w:rFonts w:hint="eastAsia" w:ascii="宋体" w:hAnsi="宋体"/>
          <w:sz w:val="22"/>
          <w:szCs w:val="22"/>
        </w:rPr>
        <w:t xml:space="preserve">（简称甲方）</w:t>
      </w:r>
      <w:r/>
    </w:p>
    <w:p>
      <w:pPr>
        <w:spacing w:line="360" w:lineRule="auto"/>
        <w:rPr>
          <w:rFonts w:hint="eastAsia" w:ascii="宋体" w:hAnsi="宋体"/>
          <w:sz w:val="22"/>
          <w:szCs w:val="22"/>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rPr>
        <w:t xml:space="preserve">（简称乙方）</w:t>
      </w:r>
      <w:r/>
    </w:p>
    <w:p>
      <w:pPr>
        <w:spacing w:line="360" w:lineRule="auto"/>
        <w:rPr>
          <w:rFonts w:hint="eastAsia" w:ascii="宋体" w:hAnsi="宋体"/>
          <w:sz w:val="22"/>
          <w:szCs w:val="22"/>
        </w:rPr>
      </w:pPr>
      <w:r>
        <w:rPr>
          <w:rFonts w:hint="eastAsia" w:ascii="宋体" w:hAnsi="宋体"/>
          <w:sz w:val="22"/>
          <w:szCs w:val="22"/>
        </w:rPr>
        <w:t xml:space="preserve">    依照《中华人民共和国合同法》、《中华人民共和国建筑法》及其他有关法律、行政法规，遵循平等、自愿、公平和诚实信用的原则，双方就本工程施工事项协商一致，订立本合同。</w:t>
      </w:r>
      <w:r/>
    </w:p>
    <w:p>
      <w:pPr>
        <w:spacing w:line="360" w:lineRule="auto"/>
        <w:rPr>
          <w:rFonts w:hint="eastAsia" w:ascii="宋体" w:hAnsi="宋体"/>
          <w:sz w:val="22"/>
          <w:szCs w:val="22"/>
        </w:rPr>
      </w:pPr>
      <w:r>
        <w:rPr>
          <w:rFonts w:hint="eastAsia" w:ascii="宋体" w:hAnsi="宋体"/>
          <w:sz w:val="22"/>
          <w:szCs w:val="22"/>
        </w:rPr>
        <w:t xml:space="preserve">    一、工程概况</w:t>
      </w:r>
      <w:r/>
    </w:p>
    <w:p>
      <w:pPr>
        <w:ind w:firstLine="435"/>
        <w:spacing w:line="360" w:lineRule="auto"/>
        <w:rPr>
          <w:rFonts w:hint="eastAsia" w:ascii="宋体" w:hAnsi="宋体"/>
          <w:sz w:val="22"/>
          <w:szCs w:val="22"/>
        </w:rPr>
      </w:pPr>
      <w:r>
        <w:rPr>
          <w:rFonts w:hint="eastAsia" w:ascii="宋体" w:hAnsi="宋体"/>
          <w:sz w:val="22"/>
          <w:szCs w:val="22"/>
          <w:lang w:val="en-US" w:eastAsia="zh-CN"/>
        </w:rPr>
        <w:t xml:space="preserve">项目</w:t>
      </w:r>
      <w:r>
        <w:rPr>
          <w:rFonts w:hint="eastAsia" w:ascii="宋体" w:hAnsi="宋体"/>
          <w:sz w:val="22"/>
          <w:szCs w:val="22"/>
        </w:rPr>
        <w:t xml:space="preserve">名称：</w:t>
      </w:r>
      <w:r/>
    </w:p>
    <w:p>
      <w:pPr>
        <w:spacing w:line="360" w:lineRule="auto"/>
        <w:rPr>
          <w:rFonts w:hint="eastAsia" w:ascii="宋体" w:hAnsi="宋体"/>
          <w:sz w:val="22"/>
          <w:szCs w:val="22"/>
        </w:rPr>
      </w:pPr>
      <w:r>
        <w:rPr>
          <w:rFonts w:hint="eastAsia" w:ascii="宋体" w:hAnsi="宋体"/>
          <w:sz w:val="22"/>
          <w:szCs w:val="22"/>
        </w:rPr>
        <w:t xml:space="preserve">    </w:t>
      </w:r>
      <w:r>
        <w:rPr>
          <w:rFonts w:hint="eastAsia" w:ascii="宋体" w:hAnsi="宋体"/>
          <w:sz w:val="22"/>
          <w:szCs w:val="22"/>
          <w:lang w:val="en-US" w:eastAsia="zh-CN"/>
        </w:rPr>
        <w:t xml:space="preserve">项目</w:t>
      </w:r>
      <w:r>
        <w:rPr>
          <w:rFonts w:hint="eastAsia" w:ascii="宋体" w:hAnsi="宋体"/>
          <w:sz w:val="22"/>
          <w:szCs w:val="22"/>
        </w:rPr>
        <w:t xml:space="preserve">地点：</w:t>
      </w:r>
      <w:r>
        <w:rPr>
          <w:rFonts w:hint="eastAsia" w:ascii="宋体" w:hAnsi="宋体" w:cs="宋体"/>
          <w:sz w:val="22"/>
          <w:szCs w:val="22"/>
          <w:u w:val="single"/>
        </w:rPr>
        <w:t xml:space="preserve">                                 </w:t>
      </w:r>
      <w:r/>
    </w:p>
    <w:p>
      <w:pPr>
        <w:pStyle w:val="1019"/>
        <w:spacing w:line="360" w:lineRule="auto"/>
        <w:rPr>
          <w:rFonts w:hint="eastAsia" w:hAnsi="宋体"/>
          <w:sz w:val="22"/>
          <w:szCs w:val="21"/>
          <w:u w:val="single"/>
        </w:rPr>
      </w:pPr>
      <w:r>
        <w:rPr>
          <w:rFonts w:hint="eastAsia"/>
          <w:sz w:val="22"/>
          <w:szCs w:val="21"/>
        </w:rPr>
        <w:t xml:space="preserve">    </w:t>
      </w:r>
      <w:r>
        <w:rPr>
          <w:rFonts w:hint="eastAsia"/>
          <w:sz w:val="22"/>
          <w:szCs w:val="21"/>
          <w:lang w:val="en-US" w:eastAsia="zh-CN"/>
        </w:rPr>
        <w:t xml:space="preserve">项目</w:t>
      </w:r>
      <w:r>
        <w:rPr>
          <w:rFonts w:hint="eastAsia"/>
          <w:sz w:val="22"/>
          <w:szCs w:val="21"/>
        </w:rPr>
        <w:t xml:space="preserve">内容：</w:t>
      </w:r>
      <w:r>
        <w:rPr>
          <w:rFonts w:hint="eastAsia"/>
          <w:sz w:val="22"/>
          <w:szCs w:val="21"/>
          <w:u w:val="single"/>
        </w:rPr>
        <w:t xml:space="preserve">                                 </w:t>
      </w:r>
      <w:r/>
    </w:p>
    <w:p>
      <w:pPr>
        <w:ind w:firstLine="435"/>
        <w:spacing w:line="360" w:lineRule="auto"/>
        <w:rPr>
          <w:rFonts w:hint="eastAsia" w:ascii="宋体" w:hAnsi="宋体"/>
          <w:sz w:val="22"/>
          <w:szCs w:val="22"/>
          <w:u w:val="single"/>
        </w:rPr>
      </w:pPr>
      <w:r>
        <w:rPr>
          <w:rFonts w:hint="eastAsia" w:ascii="宋体" w:hAnsi="宋体"/>
          <w:sz w:val="22"/>
          <w:szCs w:val="22"/>
        </w:rPr>
        <w:t xml:space="preserve">资金来源：</w:t>
      </w:r>
      <w:r>
        <w:rPr>
          <w:rFonts w:hint="eastAsia" w:ascii="宋体" w:hAnsi="宋体"/>
          <w:sz w:val="22"/>
          <w:szCs w:val="22"/>
          <w:u w:val="single"/>
        </w:rPr>
        <w:t xml:space="preserve">           </w:t>
      </w:r>
      <w:r/>
    </w:p>
    <w:p>
      <w:pPr>
        <w:pStyle w:val="1027"/>
        <w:ind w:left="0" w:firstLine="440"/>
        <w:rPr>
          <w:rFonts w:hint="default" w:ascii="宋体" w:hAnsi="宋体" w:eastAsia="宋体" w:cs="Times New Roman"/>
          <w:color w:val="auto"/>
          <w:sz w:val="22"/>
          <w:szCs w:val="22"/>
          <w:u w:val="single"/>
          <w:lang w:val="en-US" w:eastAsia="zh-CN" w:bidi="ar-SA"/>
        </w:rPr>
      </w:pPr>
      <w:r>
        <w:rPr>
          <w:rFonts w:hint="eastAsia" w:ascii="宋体" w:hAnsi="宋体" w:eastAsia="宋体" w:cs="Times New Roman"/>
          <w:color w:val="auto"/>
          <w:sz w:val="22"/>
          <w:szCs w:val="22"/>
          <w:lang w:val="en-US" w:eastAsia="zh-CN" w:bidi="ar-SA"/>
        </w:rPr>
        <w:t xml:space="preserve">二、工程范围</w:t>
      </w:r>
      <w:r>
        <w:rPr>
          <w:rFonts w:hint="eastAsia" w:ascii="宋体" w:hAnsi="宋体" w:cs="Times New Roman"/>
          <w:color w:val="auto"/>
          <w:sz w:val="22"/>
          <w:szCs w:val="22"/>
          <w:lang w:val="en-US" w:eastAsia="zh-CN" w:bidi="ar-SA"/>
        </w:rPr>
        <w:t xml:space="preserve">：</w:t>
      </w:r>
      <w:r>
        <w:rPr>
          <w:rFonts w:hint="eastAsia" w:ascii="宋体" w:hAnsi="宋体" w:cs="Times New Roman"/>
          <w:color w:val="auto"/>
          <w:sz w:val="22"/>
          <w:szCs w:val="22"/>
          <w:u w:val="single"/>
          <w:lang w:val="en-US" w:eastAsia="zh-CN" w:bidi="ar-SA"/>
        </w:rPr>
        <w:t xml:space="preserve">           </w:t>
      </w:r>
      <w:r/>
    </w:p>
    <w:p>
      <w:pPr>
        <w:spacing w:line="360" w:lineRule="auto"/>
        <w:rPr>
          <w:rFonts w:hint="default" w:eastAsia="宋体"/>
          <w:sz w:val="22"/>
          <w:szCs w:val="28"/>
          <w:u w:val="single"/>
          <w:lang w:val="en-US" w:eastAsia="zh-CN"/>
        </w:rPr>
      </w:pPr>
      <w:r>
        <w:rPr>
          <w:rFonts w:hint="eastAsia" w:ascii="宋体" w:hAnsi="宋体"/>
          <w:sz w:val="22"/>
          <w:szCs w:val="22"/>
        </w:rPr>
        <w:t xml:space="preserve">    </w:t>
      </w:r>
      <w:r>
        <w:rPr>
          <w:rFonts w:hint="eastAsia" w:ascii="宋体" w:hAnsi="宋体"/>
          <w:sz w:val="22"/>
          <w:szCs w:val="22"/>
          <w:lang w:val="en-US" w:eastAsia="zh-CN"/>
        </w:rPr>
        <w:t xml:space="preserve">三</w:t>
      </w:r>
      <w:r>
        <w:rPr>
          <w:rFonts w:hint="eastAsia" w:ascii="宋体" w:hAnsi="宋体"/>
          <w:sz w:val="22"/>
          <w:szCs w:val="22"/>
        </w:rPr>
        <w:t xml:space="preserve">、</w:t>
      </w:r>
      <w:r>
        <w:rPr>
          <w:rFonts w:hint="eastAsia" w:ascii="宋体" w:hAnsi="宋体"/>
          <w:sz w:val="22"/>
          <w:szCs w:val="22"/>
          <w:lang w:val="en-US" w:eastAsia="zh-CN"/>
        </w:rPr>
        <w:t xml:space="preserve">施工</w:t>
      </w:r>
      <w:r>
        <w:rPr>
          <w:rFonts w:hint="eastAsia" w:ascii="宋体" w:hAnsi="宋体"/>
          <w:sz w:val="22"/>
          <w:szCs w:val="22"/>
        </w:rPr>
        <w:t xml:space="preserve">工期</w:t>
      </w:r>
      <w:r>
        <w:rPr>
          <w:rFonts w:hint="eastAsia" w:ascii="宋体" w:hAnsi="宋体"/>
          <w:sz w:val="22"/>
          <w:szCs w:val="22"/>
          <w:lang w:eastAsia="zh-CN"/>
        </w:rPr>
        <w:t xml:space="preserve">：</w:t>
      </w:r>
      <w:r>
        <w:rPr>
          <w:rFonts w:hint="eastAsia" w:ascii="宋体" w:hAnsi="宋体"/>
          <w:sz w:val="22"/>
          <w:szCs w:val="22"/>
          <w:u w:val="single"/>
          <w:lang w:val="en-US" w:eastAsia="zh-CN"/>
        </w:rPr>
        <w:t xml:space="preserve"> 3年，（由于公墓建造性质特殊，将分批进行建造，具体时间由招标人确定）。          </w:t>
      </w:r>
      <w:r/>
    </w:p>
    <w:p>
      <w:pPr>
        <w:spacing w:line="360" w:lineRule="auto"/>
        <w:rPr>
          <w:rFonts w:hint="eastAsia" w:ascii="宋体" w:hAnsi="宋体"/>
          <w:sz w:val="22"/>
          <w:szCs w:val="22"/>
          <w:u w:val="single"/>
        </w:rPr>
      </w:pPr>
      <w:r>
        <w:rPr>
          <w:rFonts w:hint="eastAsia" w:ascii="宋体" w:hAnsi="宋体"/>
          <w:sz w:val="22"/>
          <w:szCs w:val="22"/>
        </w:rPr>
        <w:t xml:space="preserve">    </w:t>
      </w:r>
      <w:r>
        <w:rPr>
          <w:rFonts w:hint="eastAsia" w:ascii="宋体" w:hAnsi="宋体"/>
          <w:sz w:val="22"/>
          <w:szCs w:val="22"/>
          <w:lang w:val="en-US" w:eastAsia="zh-CN"/>
        </w:rPr>
        <w:t xml:space="preserve">四</w:t>
      </w:r>
      <w:r>
        <w:rPr>
          <w:rFonts w:hint="eastAsia" w:ascii="宋体" w:hAnsi="宋体"/>
          <w:sz w:val="22"/>
          <w:szCs w:val="22"/>
        </w:rPr>
        <w:t xml:space="preserve">、质量标准：</w:t>
      </w:r>
      <w:r>
        <w:rPr>
          <w:rFonts w:hint="eastAsia" w:ascii="宋体" w:hAnsi="宋体"/>
          <w:sz w:val="22"/>
          <w:szCs w:val="22"/>
          <w:u w:val="single"/>
        </w:rPr>
        <w:t xml:space="preserve"> 合格 </w:t>
      </w:r>
      <w:r/>
    </w:p>
    <w:p>
      <w:pPr>
        <w:spacing w:line="360" w:lineRule="auto"/>
        <w:rPr>
          <w:rFonts w:hint="eastAsia" w:ascii="宋体" w:hAnsi="宋体"/>
          <w:sz w:val="22"/>
          <w:szCs w:val="22"/>
        </w:rPr>
      </w:pPr>
      <w:r>
        <w:rPr>
          <w:rFonts w:hint="eastAsia" w:ascii="宋体" w:hAnsi="宋体"/>
          <w:sz w:val="22"/>
          <w:szCs w:val="22"/>
        </w:rPr>
        <w:t xml:space="preserve">   </w:t>
      </w:r>
      <w:r>
        <w:rPr>
          <w:rFonts w:hint="eastAsia" w:ascii="宋体" w:hAnsi="宋体"/>
          <w:sz w:val="22"/>
          <w:szCs w:val="22"/>
          <w:lang w:val="en-US" w:eastAsia="zh-CN"/>
        </w:rPr>
        <w:t xml:space="preserve"> 五</w:t>
      </w:r>
      <w:r>
        <w:rPr>
          <w:rFonts w:hint="eastAsia" w:ascii="宋体" w:hAnsi="宋体"/>
          <w:sz w:val="22"/>
          <w:szCs w:val="22"/>
        </w:rPr>
        <w:t xml:space="preserve">、合同价款：</w:t>
      </w:r>
      <w:r/>
    </w:p>
    <w:p>
      <w:pPr>
        <w:spacing w:line="360" w:lineRule="auto"/>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元</w:t>
      </w:r>
      <w:r>
        <w:rPr>
          <w:rFonts w:hint="eastAsia" w:ascii="宋体" w:hAnsi="宋体"/>
          <w:sz w:val="22"/>
          <w:szCs w:val="22"/>
        </w:rPr>
        <w:t xml:space="preserve">（人民币）,￥：</w:t>
      </w:r>
      <w:r>
        <w:rPr>
          <w:rFonts w:hint="eastAsia" w:ascii="宋体" w:hAnsi="宋体"/>
          <w:sz w:val="22"/>
          <w:szCs w:val="22"/>
          <w:u w:val="single"/>
        </w:rPr>
        <w:t xml:space="preserve">                </w:t>
      </w:r>
      <w:r>
        <w:rPr>
          <w:rFonts w:hint="eastAsia" w:ascii="宋体" w:hAnsi="宋体"/>
          <w:sz w:val="22"/>
          <w:szCs w:val="22"/>
        </w:rPr>
        <w:t xml:space="preserve">万元</w:t>
      </w:r>
      <w:r/>
    </w:p>
    <w:p>
      <w:pPr>
        <w:ind w:firstLine="440"/>
        <w:spacing w:line="360" w:lineRule="auto"/>
        <w:rPr>
          <w:rFonts w:hint="default" w:ascii="宋体" w:hAnsi="宋体" w:eastAsia="宋体"/>
          <w:sz w:val="22"/>
          <w:szCs w:val="22"/>
          <w:u w:val="single"/>
          <w:lang w:val="en-US" w:eastAsia="zh-CN"/>
        </w:rPr>
      </w:pPr>
      <w:r>
        <w:rPr>
          <w:rFonts w:hint="eastAsia" w:ascii="宋体" w:hAnsi="宋体"/>
          <w:sz w:val="22"/>
          <w:szCs w:val="22"/>
          <w:lang w:val="en-US" w:eastAsia="zh-CN"/>
        </w:rPr>
        <w:t xml:space="preserve">六</w:t>
      </w:r>
      <w:r>
        <w:rPr>
          <w:rFonts w:hint="eastAsia" w:ascii="宋体" w:hAnsi="宋体"/>
          <w:sz w:val="22"/>
          <w:szCs w:val="22"/>
        </w:rPr>
        <w:t xml:space="preserve">、</w:t>
      </w:r>
      <w:r>
        <w:rPr>
          <w:rFonts w:hint="eastAsia" w:ascii="宋体" w:hAnsi="宋体"/>
          <w:sz w:val="22"/>
          <w:szCs w:val="22"/>
          <w:lang w:val="en-US" w:eastAsia="zh-CN"/>
        </w:rPr>
        <w:t xml:space="preserve">付款</w:t>
      </w:r>
      <w:r>
        <w:rPr>
          <w:rFonts w:hint="eastAsia" w:ascii="宋体" w:hAnsi="宋体"/>
          <w:sz w:val="22"/>
          <w:szCs w:val="22"/>
        </w:rPr>
        <w:t xml:space="preserve">方式：</w:t>
      </w:r>
      <w:r>
        <w:rPr>
          <w:rFonts w:hint="eastAsia" w:ascii="宋体" w:hAnsi="宋体"/>
          <w:sz w:val="22"/>
          <w:szCs w:val="22"/>
          <w:u w:val="single"/>
          <w:lang w:val="en-US" w:eastAsia="zh-CN"/>
        </w:rPr>
        <w:t xml:space="preserve">                                   </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、组成合同的文件</w:t>
      </w:r>
      <w:r/>
    </w:p>
    <w:p>
      <w:pPr>
        <w:ind w:firstLine="420"/>
        <w:spacing w:line="360" w:lineRule="auto"/>
        <w:rPr>
          <w:rFonts w:hint="eastAsia" w:ascii="宋体" w:hAnsi="宋体"/>
          <w:sz w:val="22"/>
          <w:szCs w:val="22"/>
        </w:rPr>
      </w:pPr>
      <w:r>
        <w:rPr>
          <w:rFonts w:hint="eastAsia" w:ascii="宋体" w:hAnsi="宋体"/>
          <w:sz w:val="22"/>
          <w:szCs w:val="22"/>
        </w:rPr>
        <w:t xml:space="preserve">组成本合同的文件包括：</w:t>
      </w:r>
      <w:r/>
    </w:p>
    <w:p>
      <w:pPr>
        <w:ind w:firstLine="420"/>
        <w:spacing w:line="360" w:lineRule="auto"/>
        <w:rPr>
          <w:rFonts w:hint="eastAsia" w:ascii="宋体" w:hAnsi="宋体"/>
          <w:sz w:val="22"/>
          <w:szCs w:val="22"/>
        </w:rPr>
      </w:pPr>
      <w:r>
        <w:rPr>
          <w:rFonts w:hint="eastAsia" w:ascii="宋体" w:hAnsi="宋体"/>
          <w:sz w:val="22"/>
          <w:szCs w:val="22"/>
        </w:rPr>
        <w:t xml:space="preserve">1、本合同协议书及补充协议</w:t>
      </w:r>
      <w:r/>
    </w:p>
    <w:p>
      <w:pPr>
        <w:ind w:firstLine="420"/>
        <w:spacing w:line="360" w:lineRule="auto"/>
        <w:rPr>
          <w:rFonts w:hint="eastAsia" w:ascii="宋体" w:hAnsi="宋体"/>
          <w:sz w:val="22"/>
          <w:szCs w:val="22"/>
        </w:rPr>
      </w:pPr>
      <w:r>
        <w:rPr>
          <w:rFonts w:hint="eastAsia" w:ascii="宋体" w:hAnsi="宋体"/>
          <w:sz w:val="22"/>
          <w:szCs w:val="22"/>
        </w:rPr>
        <w:t xml:space="preserve">2、中标通知书</w:t>
      </w:r>
      <w:r/>
    </w:p>
    <w:p>
      <w:pPr>
        <w:ind w:firstLine="420"/>
        <w:spacing w:line="360" w:lineRule="auto"/>
        <w:rPr>
          <w:rFonts w:hint="eastAsia" w:ascii="宋体" w:hAnsi="宋体"/>
          <w:sz w:val="22"/>
          <w:szCs w:val="22"/>
        </w:rPr>
      </w:pPr>
      <w:r>
        <w:rPr>
          <w:rFonts w:hint="eastAsia" w:ascii="宋体" w:hAnsi="宋体"/>
          <w:sz w:val="22"/>
          <w:szCs w:val="22"/>
        </w:rPr>
        <w:t xml:space="preserve">3、本合同专用条款</w:t>
      </w:r>
      <w:r/>
    </w:p>
    <w:p>
      <w:pPr>
        <w:ind w:firstLine="420"/>
        <w:spacing w:line="360" w:lineRule="auto"/>
        <w:rPr>
          <w:rFonts w:hint="eastAsia" w:ascii="宋体" w:hAnsi="宋体"/>
          <w:sz w:val="22"/>
          <w:szCs w:val="22"/>
        </w:rPr>
      </w:pPr>
      <w:r>
        <w:rPr>
          <w:rFonts w:hint="eastAsia" w:ascii="宋体" w:hAnsi="宋体"/>
          <w:sz w:val="22"/>
          <w:szCs w:val="22"/>
        </w:rPr>
        <w:t xml:space="preserve">4、招标文件及其附件</w:t>
      </w:r>
      <w:r/>
    </w:p>
    <w:p>
      <w:pPr>
        <w:ind w:firstLine="420"/>
        <w:spacing w:line="360" w:lineRule="auto"/>
        <w:rPr>
          <w:rFonts w:hint="eastAsia" w:ascii="宋体" w:hAnsi="宋体"/>
          <w:sz w:val="22"/>
          <w:szCs w:val="22"/>
        </w:rPr>
      </w:pPr>
      <w:r>
        <w:rPr>
          <w:rFonts w:hint="eastAsia" w:ascii="宋体" w:hAnsi="宋体"/>
          <w:sz w:val="22"/>
          <w:szCs w:val="22"/>
        </w:rPr>
        <w:t xml:space="preserve">5、投标文件及其附件</w:t>
      </w:r>
      <w:r/>
    </w:p>
    <w:p>
      <w:pPr>
        <w:ind w:firstLine="420"/>
        <w:spacing w:line="360" w:lineRule="auto"/>
        <w:rPr>
          <w:rFonts w:hint="eastAsia" w:ascii="宋体" w:hAnsi="宋体"/>
          <w:sz w:val="22"/>
          <w:szCs w:val="22"/>
        </w:rPr>
      </w:pPr>
      <w:r>
        <w:rPr>
          <w:rFonts w:hint="eastAsia" w:ascii="宋体" w:hAnsi="宋体"/>
          <w:sz w:val="22"/>
          <w:szCs w:val="22"/>
        </w:rPr>
        <w:t xml:space="preserve">6、本合同通用条款</w:t>
      </w:r>
      <w:r/>
    </w:p>
    <w:p>
      <w:pPr>
        <w:ind w:firstLine="420"/>
        <w:spacing w:line="360" w:lineRule="auto"/>
        <w:rPr>
          <w:rFonts w:hint="eastAsia" w:ascii="宋体" w:hAnsi="宋体"/>
          <w:sz w:val="22"/>
          <w:szCs w:val="22"/>
        </w:rPr>
      </w:pPr>
      <w:r>
        <w:rPr>
          <w:rFonts w:hint="eastAsia" w:ascii="宋体" w:hAnsi="宋体"/>
          <w:sz w:val="22"/>
          <w:szCs w:val="22"/>
        </w:rPr>
        <w:t xml:space="preserve">7、标准、规范及有关技术文件、技术要求</w:t>
      </w:r>
      <w:r/>
    </w:p>
    <w:p>
      <w:pPr>
        <w:ind w:firstLine="432"/>
        <w:spacing w:line="360" w:lineRule="auto"/>
        <w:rPr>
          <w:rFonts w:hint="eastAsia" w:ascii="宋体" w:hAnsi="宋体"/>
          <w:sz w:val="22"/>
          <w:szCs w:val="22"/>
        </w:rPr>
      </w:pPr>
      <w:r>
        <w:rPr>
          <w:rFonts w:hint="eastAsia" w:ascii="宋体" w:hAnsi="宋体"/>
          <w:spacing w:val="-2"/>
          <w:sz w:val="22"/>
          <w:szCs w:val="22"/>
          <w:lang w:val="en-US" w:eastAsia="zh-CN"/>
        </w:rPr>
        <w:t xml:space="preserve">八</w:t>
      </w:r>
      <w:r>
        <w:rPr>
          <w:rFonts w:hint="eastAsia" w:ascii="宋体" w:hAnsi="宋体"/>
          <w:spacing w:val="-2"/>
          <w:sz w:val="22"/>
          <w:szCs w:val="22"/>
        </w:rPr>
        <w:t xml:space="preserve">、</w:t>
      </w:r>
      <w:r>
        <w:rPr>
          <w:rFonts w:hint="eastAsia" w:ascii="宋体" w:hAnsi="宋体"/>
          <w:sz w:val="22"/>
          <w:szCs w:val="22"/>
        </w:rPr>
        <w:t xml:space="preserve">甲方向乙方承诺按照合同约定的期限和方式支付合同价款。</w:t>
      </w:r>
      <w:r/>
    </w:p>
    <w:p>
      <w:pPr>
        <w:spacing w:line="360" w:lineRule="auto"/>
        <w:rPr>
          <w:rFonts w:hint="eastAsia" w:ascii="宋体" w:hAnsi="宋体"/>
          <w:sz w:val="22"/>
          <w:szCs w:val="22"/>
        </w:rPr>
      </w:pPr>
      <w:r>
        <w:rPr>
          <w:rFonts w:hint="eastAsia" w:ascii="宋体" w:hAnsi="宋体"/>
          <w:sz w:val="22"/>
          <w:szCs w:val="22"/>
        </w:rPr>
        <w:t xml:space="preserve">    </w:t>
      </w:r>
      <w:r>
        <w:rPr>
          <w:rFonts w:hint="eastAsia" w:ascii="宋体" w:hAnsi="宋体"/>
          <w:sz w:val="22"/>
          <w:szCs w:val="22"/>
          <w:lang w:val="en-US" w:eastAsia="zh-CN"/>
        </w:rPr>
        <w:t xml:space="preserve">九</w:t>
      </w:r>
      <w:r>
        <w:rPr>
          <w:rFonts w:hint="eastAsia" w:ascii="宋体" w:hAnsi="宋体"/>
          <w:sz w:val="22"/>
          <w:szCs w:val="22"/>
        </w:rPr>
        <w:t xml:space="preserve">、合同生效</w:t>
      </w:r>
      <w:r/>
    </w:p>
    <w:p>
      <w:pPr>
        <w:ind w:firstLine="440"/>
        <w:spacing w:line="360" w:lineRule="auto"/>
        <w:rPr>
          <w:rFonts w:hint="eastAsia" w:ascii="宋体" w:hAnsi="宋体"/>
          <w:sz w:val="22"/>
          <w:szCs w:val="22"/>
        </w:rPr>
      </w:pPr>
      <w:r>
        <w:rPr>
          <w:rFonts w:hint="eastAsia" w:ascii="宋体" w:hAnsi="宋体"/>
          <w:sz w:val="22"/>
          <w:szCs w:val="22"/>
        </w:rPr>
        <w:t xml:space="preserve">本合同</w:t>
      </w:r>
      <w:r>
        <w:rPr>
          <w:rFonts w:hint="eastAsia" w:ascii="宋体" w:hAnsi="宋体" w:eastAsia="宋体" w:cs="宋体"/>
          <w:sz w:val="22"/>
          <w:szCs w:val="28"/>
          <w:u w:val="none"/>
        </w:rPr>
        <w:t xml:space="preserve">一式</w:t>
      </w:r>
      <w:r>
        <w:rPr>
          <w:rFonts w:hint="eastAsia" w:ascii="宋体" w:hAnsi="宋体" w:eastAsia="宋体" w:cs="宋体"/>
          <w:sz w:val="22"/>
          <w:szCs w:val="28"/>
          <w:u w:val="none"/>
          <w:lang w:val="en-US" w:eastAsia="zh-CN"/>
        </w:rPr>
        <w:t xml:space="preserve">陆</w:t>
      </w:r>
      <w:r>
        <w:rPr>
          <w:rFonts w:hint="eastAsia" w:ascii="宋体" w:hAnsi="宋体" w:eastAsia="宋体" w:cs="宋体"/>
          <w:sz w:val="22"/>
          <w:szCs w:val="28"/>
          <w:u w:val="none"/>
        </w:rPr>
        <w:t xml:space="preserve">份，均具有同等法律效力，发包人执</w:t>
      </w:r>
      <w:r>
        <w:rPr>
          <w:rFonts w:hint="eastAsia" w:ascii="宋体" w:hAnsi="宋体" w:eastAsia="宋体" w:cs="宋体"/>
          <w:sz w:val="22"/>
          <w:szCs w:val="28"/>
          <w:lang w:val="en-US" w:eastAsia="zh-CN"/>
        </w:rPr>
        <w:t xml:space="preserve">贰</w:t>
      </w:r>
      <w:r>
        <w:rPr>
          <w:rFonts w:hint="eastAsia" w:ascii="宋体" w:hAnsi="宋体" w:eastAsia="宋体" w:cs="宋体"/>
          <w:sz w:val="22"/>
          <w:szCs w:val="28"/>
          <w:u w:val="none"/>
        </w:rPr>
        <w:t xml:space="preserve">份，承包人执</w:t>
      </w:r>
      <w:r>
        <w:rPr>
          <w:rFonts w:hint="eastAsia" w:ascii="宋体" w:hAnsi="宋体" w:eastAsia="宋体" w:cs="宋体"/>
          <w:sz w:val="22"/>
          <w:szCs w:val="28"/>
          <w:lang w:val="en-US" w:eastAsia="zh-CN"/>
        </w:rPr>
        <w:t xml:space="preserve">贰</w:t>
      </w:r>
      <w:r>
        <w:rPr>
          <w:rFonts w:hint="eastAsia" w:ascii="宋体" w:hAnsi="宋体" w:eastAsia="宋体" w:cs="宋体"/>
          <w:sz w:val="22"/>
          <w:szCs w:val="28"/>
          <w:u w:val="none"/>
        </w:rPr>
        <w:t xml:space="preserve">份</w:t>
      </w:r>
      <w:r>
        <w:rPr>
          <w:rFonts w:hint="eastAsia" w:ascii="宋体" w:hAnsi="宋体" w:eastAsia="宋体" w:cs="宋体"/>
          <w:sz w:val="22"/>
          <w:szCs w:val="28"/>
          <w:u w:val="none"/>
          <w:lang w:eastAsia="zh-CN"/>
        </w:rPr>
        <w:t xml:space="preserve">，</w:t>
      </w:r>
      <w:r>
        <w:rPr>
          <w:rFonts w:hint="eastAsia" w:ascii="宋体" w:hAnsi="宋体" w:eastAsia="宋体" w:cs="宋体"/>
          <w:sz w:val="22"/>
          <w:szCs w:val="28"/>
          <w:u w:val="none"/>
          <w:lang w:val="en-US" w:eastAsia="zh-CN"/>
        </w:rPr>
        <w:t xml:space="preserve">代理机构执贰份</w:t>
      </w:r>
      <w:r>
        <w:rPr>
          <w:rFonts w:hint="eastAsia" w:ascii="宋体" w:hAnsi="宋体" w:eastAsia="宋体" w:cs="宋体"/>
          <w:sz w:val="22"/>
          <w:szCs w:val="28"/>
          <w:u w:val="none"/>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pStyle w:val="1049"/>
        <w:rPr>
          <w:rFonts w:hint="eastAsia"/>
          <w:sz w:val="22"/>
          <w:szCs w:val="22"/>
        </w:rPr>
      </w:pPr>
      <w:r>
        <w:rPr>
          <w:rFonts w:hint="eastAsia"/>
          <w:sz w:val="22"/>
          <w:szCs w:val="22"/>
        </w:rPr>
      </w:r>
      <w:r/>
    </w:p>
    <w:p>
      <w:pPr>
        <w:ind w:firstLine="440"/>
        <w:spacing w:line="360" w:lineRule="auto"/>
        <w:rPr>
          <w:rFonts w:hint="eastAsia" w:ascii="宋体" w:hAnsi="宋体"/>
          <w:sz w:val="22"/>
          <w:szCs w:val="22"/>
        </w:rPr>
      </w:pPr>
      <w:r>
        <w:rPr>
          <w:rFonts w:hint="eastAsia" w:ascii="宋体" w:hAnsi="宋体"/>
          <w:sz w:val="22"/>
          <w:szCs w:val="22"/>
        </w:rPr>
        <w:t xml:space="preserve">甲方：（公章）                          乙方：（公章）    </w:t>
      </w:r>
      <w:r/>
    </w:p>
    <w:p>
      <w:pPr>
        <w:ind w:firstLine="440"/>
        <w:spacing w:line="360" w:lineRule="auto"/>
        <w:rPr>
          <w:rFonts w:hint="eastAsia" w:ascii="宋体" w:hAnsi="宋体"/>
          <w:sz w:val="22"/>
          <w:szCs w:val="22"/>
        </w:rPr>
      </w:pPr>
      <w:r>
        <w:rPr>
          <w:rFonts w:hint="eastAsia" w:ascii="宋体" w:hAnsi="宋体"/>
          <w:sz w:val="22"/>
          <w:szCs w:val="22"/>
        </w:rPr>
        <w:t xml:space="preserve">住      所：                           住      所：    </w:t>
      </w:r>
      <w:r/>
    </w:p>
    <w:p>
      <w:pPr>
        <w:ind w:firstLine="440"/>
        <w:spacing w:line="360" w:lineRule="auto"/>
        <w:rPr>
          <w:rFonts w:hint="eastAsia" w:ascii="宋体" w:hAnsi="宋体"/>
          <w:sz w:val="22"/>
          <w:szCs w:val="22"/>
        </w:rPr>
      </w:pPr>
      <w:r>
        <w:rPr>
          <w:rFonts w:hint="eastAsia" w:ascii="宋体" w:hAnsi="宋体"/>
          <w:sz w:val="22"/>
          <w:szCs w:val="22"/>
        </w:rPr>
        <w:t xml:space="preserve">法定代表人：                           法定代表人：    </w:t>
      </w:r>
      <w:r/>
    </w:p>
    <w:p>
      <w:pPr>
        <w:ind w:firstLine="440"/>
        <w:spacing w:line="360" w:lineRule="auto"/>
        <w:rPr>
          <w:rFonts w:hint="eastAsia" w:ascii="宋体" w:hAnsi="宋体"/>
          <w:sz w:val="22"/>
          <w:szCs w:val="22"/>
        </w:rPr>
      </w:pPr>
      <w:r>
        <w:rPr>
          <w:rFonts w:hint="eastAsia" w:ascii="宋体" w:hAnsi="宋体"/>
          <w:sz w:val="22"/>
          <w:szCs w:val="22"/>
        </w:rPr>
        <w:t xml:space="preserve">委托代表人：                           委托代表人：    </w:t>
      </w:r>
      <w:r/>
    </w:p>
    <w:p>
      <w:pPr>
        <w:ind w:firstLine="440"/>
        <w:spacing w:line="360" w:lineRule="auto"/>
        <w:rPr>
          <w:rFonts w:hint="eastAsia" w:ascii="宋体" w:hAnsi="宋体"/>
          <w:sz w:val="22"/>
          <w:szCs w:val="22"/>
        </w:rPr>
      </w:pPr>
      <w:r>
        <w:rPr>
          <w:rFonts w:hint="eastAsia" w:ascii="宋体" w:hAnsi="宋体"/>
          <w:sz w:val="22"/>
          <w:szCs w:val="22"/>
        </w:rPr>
        <w:t xml:space="preserve">电      话：                           电      话：    </w:t>
      </w:r>
      <w:r/>
    </w:p>
    <w:p>
      <w:pPr>
        <w:ind w:firstLine="440"/>
        <w:spacing w:line="360" w:lineRule="auto"/>
        <w:rPr>
          <w:rFonts w:hint="eastAsia" w:ascii="宋体" w:hAnsi="宋体"/>
          <w:sz w:val="22"/>
          <w:szCs w:val="22"/>
        </w:rPr>
      </w:pPr>
      <w:r>
        <w:rPr>
          <w:rFonts w:hint="eastAsia" w:ascii="宋体" w:hAnsi="宋体"/>
          <w:sz w:val="22"/>
          <w:szCs w:val="22"/>
        </w:rPr>
        <w:t xml:space="preserve">传      真：                           传      真：    </w:t>
      </w:r>
      <w:r/>
    </w:p>
    <w:p>
      <w:pPr>
        <w:ind w:firstLine="440"/>
        <w:spacing w:line="360" w:lineRule="auto"/>
        <w:rPr>
          <w:rFonts w:hint="eastAsia" w:ascii="宋体" w:hAnsi="宋体"/>
          <w:sz w:val="22"/>
          <w:szCs w:val="22"/>
        </w:rPr>
      </w:pPr>
      <w:r>
        <w:rPr>
          <w:rFonts w:hint="eastAsia" w:ascii="宋体" w:hAnsi="宋体"/>
          <w:sz w:val="22"/>
          <w:szCs w:val="22"/>
        </w:rPr>
        <w:t xml:space="preserve">开户银行：                             开户银行：    </w:t>
      </w:r>
      <w:r/>
    </w:p>
    <w:p>
      <w:pPr>
        <w:ind w:firstLine="440"/>
        <w:spacing w:line="360" w:lineRule="auto"/>
        <w:rPr>
          <w:rFonts w:hint="eastAsia" w:ascii="宋体" w:hAnsi="宋体"/>
          <w:sz w:val="22"/>
          <w:szCs w:val="22"/>
        </w:rPr>
      </w:pPr>
      <w:r>
        <w:rPr>
          <w:rFonts w:hint="eastAsia" w:ascii="宋体" w:hAnsi="宋体"/>
          <w:sz w:val="22"/>
          <w:szCs w:val="22"/>
        </w:rPr>
        <w:t xml:space="preserve">帐      号：                           帐      号：    </w:t>
      </w:r>
      <w:r/>
    </w:p>
    <w:p>
      <w:pPr>
        <w:ind w:firstLine="440"/>
        <w:spacing w:line="360" w:lineRule="auto"/>
        <w:rPr>
          <w:rFonts w:hint="eastAsia" w:ascii="宋体" w:hAnsi="宋体"/>
          <w:sz w:val="22"/>
          <w:szCs w:val="22"/>
        </w:rPr>
      </w:pPr>
      <w:r>
        <w:rPr>
          <w:rFonts w:hint="eastAsia" w:ascii="宋体" w:hAnsi="宋体"/>
          <w:sz w:val="22"/>
          <w:szCs w:val="22"/>
        </w:rPr>
        <w:t xml:space="preserve">邮政编码：                             邮政编码：</w:t>
      </w:r>
      <w:r/>
    </w:p>
    <w:p>
      <w:pPr>
        <w:pStyle w:val="1049"/>
        <w:ind w:left="0" w:firstLine="440"/>
        <w:spacing w:line="360" w:lineRule="auto"/>
        <w:rPr>
          <w:rFonts w:hint="eastAsia" w:ascii="宋体" w:hAnsi="宋体" w:eastAsia="宋体" w:cs="Times New Roman"/>
          <w:sz w:val="22"/>
          <w:szCs w:val="22"/>
          <w:lang w:val="en-US" w:eastAsia="zh-CN" w:bidi="ar-SA"/>
        </w:rPr>
      </w:pPr>
      <w:r>
        <w:rPr>
          <w:rFonts w:hint="eastAsia" w:ascii="宋体" w:hAnsi="宋体" w:eastAsia="宋体" w:cs="Times New Roman"/>
          <w:sz w:val="22"/>
          <w:szCs w:val="22"/>
          <w:lang w:val="en-US" w:eastAsia="zh-CN" w:bidi="ar-SA"/>
        </w:rPr>
        <w:t xml:space="preserve">日期</w:t>
      </w:r>
      <w:r>
        <w:rPr>
          <w:rFonts w:hint="eastAsia" w:hAnsi="宋体" w:cs="Times New Roman"/>
          <w:sz w:val="22"/>
          <w:szCs w:val="22"/>
          <w:lang w:val="en-US" w:eastAsia="zh-CN" w:bidi="ar-SA"/>
        </w:rPr>
        <w:t xml:space="preserve">：</w:t>
      </w:r>
      <w:r>
        <w:rPr>
          <w:rFonts w:hint="eastAsia" w:ascii="宋体" w:hAnsi="宋体"/>
          <w:sz w:val="22"/>
          <w:szCs w:val="22"/>
        </w:rPr>
        <w:t xml:space="preserve">  </w:t>
      </w:r>
      <w:r>
        <w:rPr>
          <w:rFonts w:hint="eastAsia" w:ascii="宋体" w:hAnsi="宋体" w:eastAsia="宋体" w:cs="Times New Roman"/>
          <w:sz w:val="22"/>
          <w:szCs w:val="22"/>
          <w:lang w:val="en-US" w:eastAsia="zh-CN" w:bidi="ar-SA"/>
        </w:rPr>
        <w:t xml:space="preserve"> 年    月   日</w:t>
      </w:r>
      <w:r>
        <w:rPr>
          <w:rFonts w:hint="eastAsia" w:hAnsi="宋体" w:cs="Times New Roman"/>
          <w:sz w:val="22"/>
          <w:szCs w:val="22"/>
          <w:lang w:val="en-US" w:eastAsia="zh-CN" w:bidi="ar-SA"/>
        </w:rPr>
        <w:t xml:space="preserve">                </w:t>
      </w:r>
      <w:r>
        <w:rPr>
          <w:rFonts w:hint="eastAsia" w:ascii="宋体" w:hAnsi="宋体" w:eastAsia="宋体" w:cs="Times New Roman"/>
          <w:sz w:val="22"/>
          <w:szCs w:val="22"/>
          <w:lang w:val="en-US" w:eastAsia="zh-CN" w:bidi="ar-SA"/>
        </w:rPr>
        <w:t xml:space="preserve">日期</w:t>
      </w:r>
      <w:r>
        <w:rPr>
          <w:rFonts w:hint="eastAsia" w:hAnsi="宋体" w:cs="Times New Roman"/>
          <w:sz w:val="22"/>
          <w:szCs w:val="22"/>
          <w:lang w:val="en-US" w:eastAsia="zh-CN" w:bidi="ar-SA"/>
        </w:rPr>
        <w:t xml:space="preserve">：</w:t>
      </w:r>
      <w:r>
        <w:rPr>
          <w:rFonts w:hint="eastAsia" w:ascii="宋体" w:hAnsi="宋体"/>
          <w:sz w:val="22"/>
          <w:szCs w:val="22"/>
        </w:rPr>
        <w:t xml:space="preserve">  </w:t>
      </w:r>
      <w:r>
        <w:rPr>
          <w:rFonts w:hint="eastAsia" w:ascii="宋体" w:hAnsi="宋体" w:eastAsia="宋体" w:cs="Times New Roman"/>
          <w:sz w:val="22"/>
          <w:szCs w:val="22"/>
          <w:lang w:val="en-US" w:eastAsia="zh-CN" w:bidi="ar-SA"/>
        </w:rPr>
        <w:t xml:space="preserve"> 年    月   日</w:t>
      </w:r>
      <w:r/>
    </w:p>
    <w:p>
      <w:pPr>
        <w:pStyle w:val="1015"/>
        <w:ind w:left="63" w:right="63"/>
        <w:spacing w:line="360" w:lineRule="auto"/>
        <w:rPr>
          <w:rFonts w:ascii="Times New Roman" w:hAnsi="Times New Roman"/>
          <w:b/>
          <w:sz w:val="28"/>
          <w:szCs w:val="28"/>
        </w:rPr>
      </w:pPr>
      <w:r>
        <w:rPr>
          <w:rFonts w:ascii="Times New Roman" w:hAnsi="Times New Roman"/>
          <w:b/>
          <w:sz w:val="28"/>
          <w:szCs w:val="28"/>
        </w:rPr>
      </w:r>
      <w:r/>
    </w:p>
    <w:p>
      <w:pPr>
        <w:jc w:val="center"/>
        <w:spacing w:line="600" w:lineRule="auto"/>
        <w:tabs>
          <w:tab w:val="left" w:pos="0" w:leader="none"/>
        </w:tabs>
        <w:rPr>
          <w:rFonts w:hint="eastAsia" w:ascii="宋体" w:hAnsi="宋体"/>
          <w:b/>
          <w:bCs/>
          <w:sz w:val="22"/>
          <w:szCs w:val="22"/>
        </w:rPr>
      </w:pPr>
      <w:r>
        <w:rPr>
          <w:rFonts w:hint="eastAsia" w:ascii="宋体" w:hAnsi="宋体"/>
          <w:b/>
          <w:bCs/>
          <w:sz w:val="22"/>
          <w:szCs w:val="22"/>
        </w:rPr>
        <w:t xml:space="preserve">第二部分     通用条款（略：同标准通用条款）</w:t>
      </w:r>
      <w:r/>
    </w:p>
    <w:p>
      <w:pPr>
        <w:jc w:val="center"/>
        <w:spacing w:line="400" w:lineRule="exact"/>
        <w:rPr>
          <w:rFonts w:hint="eastAsia" w:ascii="宋体" w:hAnsi="宋体"/>
          <w:b/>
          <w:bCs/>
          <w:sz w:val="22"/>
          <w:szCs w:val="22"/>
        </w:rPr>
      </w:pPr>
      <w:r>
        <w:rPr>
          <w:rFonts w:hint="eastAsia" w:ascii="宋体" w:hAnsi="宋体"/>
          <w:b/>
          <w:bCs/>
          <w:sz w:val="22"/>
          <w:szCs w:val="22"/>
        </w:rPr>
        <w:t xml:space="preserve">第三部分    专用条款</w:t>
      </w:r>
      <w:r/>
    </w:p>
    <w:p>
      <w:pPr>
        <w:pStyle w:val="1009"/>
        <w:pageBreakBefore w:val="0"/>
        <w:spacing w:before="120" w:after="120" w:line="420" w:lineRule="exact"/>
        <w:rPr>
          <w:rFonts w:hint="eastAsia" w:ascii="宋体" w:hAnsi="宋体" w:eastAsia="宋体" w:cs="宋体"/>
          <w:b w:val="0"/>
          <w:color w:val="000000"/>
          <w:sz w:val="22"/>
          <w:szCs w:val="22"/>
          <w:highlight w:val="none"/>
        </w:rPr>
      </w:pPr>
      <w:r>
        <w:rPr>
          <w:rFonts w:hint="eastAsia" w:ascii="宋体" w:hAnsi="宋体" w:eastAsia="宋体" w:cs="宋体"/>
          <w:b w:val="0"/>
          <w:color w:val="000000"/>
          <w:sz w:val="22"/>
          <w:szCs w:val="22"/>
          <w:highlight w:val="none"/>
        </w:rPr>
        <w:t xml:space="preserve">1</w:t>
      </w:r>
      <w:bookmarkStart w:id="31" w:name="_Toc296944495"/>
      <w:r/>
      <w:bookmarkStart w:id="32" w:name="_Toc297048342"/>
      <w:r/>
      <w:bookmarkStart w:id="33" w:name="_Toc297120456"/>
      <w:r/>
      <w:bookmarkStart w:id="34" w:name="_Toc292559866"/>
      <w:r/>
      <w:bookmarkStart w:id="35" w:name="_Toc292559361"/>
      <w:r/>
      <w:bookmarkStart w:id="36" w:name="_Toc296890984"/>
      <w:r/>
      <w:bookmarkStart w:id="37" w:name="_Toc296891196"/>
      <w:r/>
      <w:bookmarkStart w:id="38" w:name="_Toc296347155"/>
      <w:r/>
      <w:bookmarkStart w:id="39" w:name="_Toc296346657"/>
      <w:r/>
      <w:bookmarkStart w:id="40" w:name="_Toc296503156"/>
      <w:r>
        <w:rPr>
          <w:rFonts w:hint="eastAsia" w:ascii="宋体" w:hAnsi="宋体" w:eastAsia="宋体" w:cs="宋体"/>
          <w:b w:val="0"/>
          <w:color w:val="000000"/>
          <w:sz w:val="22"/>
          <w:szCs w:val="22"/>
          <w:highlight w:val="none"/>
        </w:rPr>
        <w:t xml:space="preserve">. 一般约定</w:t>
      </w:r>
      <w:bookmarkEnd w:id="31"/>
      <w:r/>
      <w:bookmarkEnd w:id="32"/>
      <w:r/>
      <w:bookmarkEnd w:id="33"/>
      <w:r/>
      <w:bookmarkEnd w:id="34"/>
      <w:r/>
      <w:bookmarkEnd w:id="35"/>
      <w:r/>
      <w:bookmarkEnd w:id="36"/>
      <w:r/>
      <w:bookmarkEnd w:id="37"/>
      <w:r/>
      <w:bookmarkEnd w:id="38"/>
      <w:r/>
      <w:bookmarkEnd w:id="39"/>
      <w:r/>
      <w:bookmarkEnd w:id="40"/>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000000"/>
          <w:sz w:val="22"/>
          <w:szCs w:val="22"/>
          <w:highlight w:val="none"/>
        </w:rPr>
        <w:t xml:space="preserve">1.1 词语定</w:t>
      </w:r>
      <w:r>
        <w:rPr>
          <w:rFonts w:hint="eastAsia" w:ascii="宋体" w:hAnsi="宋体" w:eastAsia="宋体" w:cs="宋体"/>
          <w:color w:val="auto"/>
          <w:sz w:val="22"/>
          <w:szCs w:val="22"/>
          <w:highlight w:val="none"/>
        </w:rPr>
        <w:t xml:space="preserve">义</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left="809" w:hanging="330"/>
        <w:keepLines w:val="0"/>
        <w:keepNext w:val="0"/>
        <w:pageBreakBefore w:val="0"/>
        <w:spacing w:line="420" w:lineRule="exact"/>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color w:val="auto"/>
          <w:sz w:val="22"/>
          <w:szCs w:val="22"/>
          <w:highlight w:val="none"/>
          <w:u w:val="single"/>
        </w:rPr>
        <w:t xml:space="preserve">招标文件、投标文件及合同履行过程中有关工程的洽商、变更等书面协议或文件（如施工组织设计文件、造价咨询合同、会议纪要等）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40"/>
        <w:pageBreakBefore w:val="0"/>
        <w:spacing w:line="420" w:lineRule="exact"/>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由承包人根据现场条件确定，但须经发包人批准。</w:t>
      </w:r>
      <w:r>
        <w:rPr>
          <w:rFonts w:hint="eastAsia" w:ascii="宋体" w:hAnsi="宋体" w:eastAsia="宋体" w:cs="宋体"/>
          <w:color w:val="auto"/>
          <w:sz w:val="22"/>
          <w:szCs w:val="22"/>
          <w:highlight w:val="none"/>
          <w:u w:val="single"/>
          <w:lang w:eastAsia="zh-CN"/>
        </w:rPr>
        <w:t xml:space="preserve">应由承包人办理申请手续并承担相应费用，</w:t>
      </w:r>
      <w:r>
        <w:rPr>
          <w:rFonts w:hint="eastAsia" w:ascii="宋体" w:hAnsi="宋体" w:eastAsia="宋体" w:cs="宋体"/>
          <w:color w:val="auto"/>
          <w:sz w:val="22"/>
          <w:szCs w:val="22"/>
          <w:highlight w:val="none"/>
          <w:u w:val="single"/>
        </w:rPr>
        <w:t xml:space="preserve">所涉费用，承包人已综合考虑在投标报价中，发包人不再额外予以补偿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依据设计图纸确定</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由承包人根据现场条件确定，但须经发包人批准。</w:t>
      </w:r>
      <w:r>
        <w:rPr>
          <w:rFonts w:hint="eastAsia" w:ascii="宋体" w:hAnsi="宋体" w:eastAsia="宋体" w:cs="宋体"/>
          <w:color w:val="auto"/>
          <w:sz w:val="22"/>
          <w:szCs w:val="22"/>
          <w:highlight w:val="none"/>
          <w:u w:val="single"/>
          <w:lang w:eastAsia="zh-CN"/>
        </w:rPr>
        <w:t xml:space="preserve">应由承包人办理申请手续并承担相应费用，</w:t>
      </w:r>
      <w:r>
        <w:rPr>
          <w:rFonts w:hint="eastAsia" w:ascii="宋体" w:hAnsi="宋体" w:eastAsia="宋体" w:cs="宋体"/>
          <w:color w:val="auto"/>
          <w:sz w:val="22"/>
          <w:szCs w:val="22"/>
          <w:highlight w:val="none"/>
          <w:u w:val="single"/>
        </w:rPr>
        <w:t xml:space="preserve">所涉费用，承包人已综合考虑在投标报价中，发包人不再额外予以补偿</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江苏省、淮安市以及</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现行的规范性文件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国家部委颁发的有关施工验收标准、规范，以及江苏省、淮安市、</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建设以及环保等相关主管部门颁布的文件</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发包人提供国外标准、规范的时间：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596"/>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p>
    <w:p>
      <w:pPr>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rPr>
        <w:t xml:space="preserve">合同签订后7日内</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eastAsia="zh-CN"/>
        </w:rPr>
        <w:t xml:space="preserve">一</w:t>
      </w:r>
      <w:r>
        <w:rPr>
          <w:rFonts w:hint="eastAsia" w:ascii="宋体" w:hAnsi="宋体" w:eastAsia="宋体" w:cs="宋体"/>
          <w:color w:val="auto"/>
          <w:sz w:val="22"/>
          <w:szCs w:val="22"/>
          <w:highlight w:val="none"/>
          <w:u w:val="single"/>
        </w:rPr>
        <w:t xml:space="preserve">套。承包人如需要增加图纸套数的，发包人可代为复制，复制费用由承包人承担；或由承包人直接向设计单位购买</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rPr>
        <w:t xml:space="preserve">全套施工图纸</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ind w:left="0" w:firstLine="440"/>
        <w:jc w:val="left"/>
        <w:keepLines w:val="0"/>
        <w:keepNext w:val="0"/>
        <w:pageBreakBefore w:val="0"/>
        <w:spacing w:line="420" w:lineRule="exact"/>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施工组织设计、专项施工方案、工程进度计划、材料及设备采购清单与进场计划、劳动力计划、必要的加工图和大样图等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（1）施工组织设计：合同签订后14天内提交详细的施工组织设计，但</w:t>
      </w:r>
      <w:r>
        <w:rPr>
          <w:rFonts w:hint="eastAsia" w:ascii="宋体" w:hAnsi="宋体" w:cs="宋体"/>
          <w:color w:val="auto"/>
          <w:sz w:val="22"/>
          <w:szCs w:val="22"/>
          <w:highlight w:val="none"/>
          <w:u w:val="single"/>
          <w:lang w:eastAsia="zh-CN"/>
        </w:rPr>
        <w:t xml:space="preserve">最</w:t>
      </w:r>
      <w:r>
        <w:rPr>
          <w:rFonts w:hint="eastAsia" w:ascii="宋体" w:hAnsi="宋体" w:eastAsia="宋体" w:cs="宋体"/>
          <w:color w:val="auto"/>
          <w:sz w:val="22"/>
          <w:szCs w:val="22"/>
          <w:highlight w:val="none"/>
          <w:u w:val="single"/>
        </w:rPr>
        <w:t xml:space="preserve">迟不得晚于监理人发出开工通知中载明的开工日期前7天；（2）专项施工方案：专项工程实施前7日内；（3）工程进度计划：每月25日前报月进度计划，每周工地例会前报周进度计划；（4）材料及设备采购清单与进场计划、已完工作量报表、劳动力计划等：每月25日前及每周工地例会前；（5）其他文件：及时按监理人或发包人要求提交。承包人提供的文件应首先递交监理人，并由监理人审核签署意见后报送发包人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同类纸质文件不少于3份（具体由发包人根据实际需要确定），电子文件1份</w:t>
      </w:r>
      <w:r>
        <w:rPr>
          <w:rFonts w:hint="eastAsia" w:ascii="宋体" w:hAnsi="宋体" w:eastAsia="宋体" w:cs="宋体"/>
          <w:color w:val="auto"/>
          <w:sz w:val="22"/>
          <w:szCs w:val="22"/>
          <w:highlight w:val="none"/>
          <w:u w:val="single"/>
          <w:lang w:eastAsia="zh-CN"/>
        </w:rPr>
        <w:t xml:space="preserve">，承包人所有资料提交按规定时间的提交、每次例会及通知单等内容要在规定的时间内整改及提交，每延期一天处以</w:t>
      </w:r>
      <w:r>
        <w:rPr>
          <w:rFonts w:hint="eastAsia" w:ascii="宋体" w:hAnsi="宋体" w:eastAsia="宋体" w:cs="宋体"/>
          <w:color w:val="auto"/>
          <w:sz w:val="22"/>
          <w:szCs w:val="22"/>
          <w:highlight w:val="none"/>
          <w:u w:val="single"/>
          <w:lang w:val="en-US" w:eastAsia="zh-CN"/>
        </w:rPr>
        <w:t xml:space="preserve">1000元的处罚</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纸质文件与电子文件</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rPr>
        <w:t xml:space="preserve">收到承包人报送的文件之日起7日内</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承包人应在施工现场保存一套完整的施工图纸、施工组织设计和施工进度计划等文件</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color w:val="auto"/>
          <w:sz w:val="22"/>
          <w:szCs w:val="22"/>
          <w:highlight w:val="none"/>
          <w:u w:val="single"/>
        </w:rPr>
        <w:t xml:space="preserve">项目所在地发包人项目部</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发包人代表</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项目所在地承包人项目部</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承包人项目经理</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项目所在地监理人办公室</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监理工程师</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ind w:firstLine="440"/>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w:t>
      </w:r>
      <w:bookmarkStart w:id="41" w:name="_Toc312677986"/>
      <w:r/>
      <w:bookmarkStart w:id="42" w:name="_Toc303539100"/>
      <w:r/>
      <w:bookmarkStart w:id="43" w:name="_Toc304295521"/>
      <w:r/>
      <w:bookmarkStart w:id="44" w:name="_Toc300934943"/>
      <w:r/>
      <w:bookmarkStart w:id="45" w:name="_Toc318581155"/>
      <w:r>
        <w:rPr>
          <w:rFonts w:hint="eastAsia" w:ascii="宋体" w:hAnsi="宋体" w:eastAsia="宋体" w:cs="宋体"/>
          <w:color w:val="auto"/>
          <w:sz w:val="22"/>
          <w:szCs w:val="22"/>
          <w:highlight w:val="none"/>
        </w:rPr>
        <w:t xml:space="preserve">.10.1 出入现场的权利</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按发包人要求负责取得出入施工现场所需的批准手续和全部权利，以及取得因施工所需修建道路以及其他基础设施的权利，相关手续费用和建设费用，承包人已在投标报价中综合考虑，发包人不再予以额外补偿</w:t>
      </w:r>
      <w:r>
        <w:rPr>
          <w:rFonts w:hint="eastAsia" w:ascii="宋体" w:hAnsi="宋体" w:eastAsia="宋体" w:cs="宋体"/>
          <w:color w:val="auto"/>
          <w:sz w:val="22"/>
          <w:szCs w:val="22"/>
          <w:highlight w:val="none"/>
        </w:rPr>
        <w:t xml:space="preserve">。</w:t>
      </w:r>
      <w:bookmarkEnd w:id="41"/>
      <w:r/>
      <w:bookmarkEnd w:id="42"/>
      <w:r/>
      <w:bookmarkEnd w:id="43"/>
      <w:r/>
      <w:bookmarkEnd w:id="44"/>
      <w:r/>
      <w:bookmarkEnd w:id="45"/>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w:t>
      </w:r>
      <w:bookmarkStart w:id="46" w:name="_Toc303539101"/>
      <w:r/>
      <w:bookmarkStart w:id="47" w:name="_Toc304295522"/>
      <w:r/>
      <w:bookmarkStart w:id="48" w:name="_Toc318581156"/>
      <w:r/>
      <w:bookmarkStart w:id="49" w:name="_Toc312677987"/>
      <w:r/>
      <w:bookmarkStart w:id="50" w:name="_Toc300934944"/>
      <w:r>
        <w:rPr>
          <w:rFonts w:hint="eastAsia" w:ascii="宋体" w:hAnsi="宋体" w:eastAsia="宋体" w:cs="宋体"/>
          <w:color w:val="auto"/>
          <w:sz w:val="22"/>
          <w:szCs w:val="22"/>
          <w:highlight w:val="none"/>
        </w:rPr>
        <w:t xml:space="preserve">.10.3 场内交通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以规划红线为界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lang w:eastAsia="zh-CN"/>
        </w:rPr>
        <w:t xml:space="preserve">按现状，如</w:t>
      </w:r>
      <w:r>
        <w:rPr>
          <w:rFonts w:hint="eastAsia" w:ascii="宋体" w:hAnsi="宋体" w:eastAsia="宋体" w:cs="宋体"/>
          <w:color w:val="auto"/>
          <w:sz w:val="22"/>
          <w:szCs w:val="22"/>
          <w:highlight w:val="none"/>
          <w:u w:val="single"/>
        </w:rPr>
        <w:t xml:space="preserve">施工需要的场内道路和交通设施</w:t>
      </w:r>
      <w:r>
        <w:rPr>
          <w:rFonts w:hint="eastAsia" w:ascii="宋体" w:hAnsi="宋体" w:eastAsia="宋体" w:cs="宋体"/>
          <w:color w:val="auto"/>
          <w:sz w:val="22"/>
          <w:szCs w:val="22"/>
          <w:highlight w:val="none"/>
          <w:u w:val="single"/>
          <w:lang w:eastAsia="zh-CN"/>
        </w:rPr>
        <w:t xml:space="preserve">及临时围墙、施工绿色围挡（含绿色围墙、张贴广告等）</w:t>
      </w:r>
      <w:r>
        <w:rPr>
          <w:rFonts w:hint="eastAsia" w:ascii="宋体" w:hAnsi="宋体" w:eastAsia="宋体" w:cs="宋体"/>
          <w:color w:val="auto"/>
          <w:sz w:val="22"/>
          <w:szCs w:val="22"/>
          <w:highlight w:val="none"/>
          <w:u w:val="single"/>
        </w:rPr>
        <w:t xml:space="preserve">由承包人自行建设或维护</w:t>
      </w:r>
      <w:r>
        <w:rPr>
          <w:rFonts w:hint="eastAsia" w:ascii="宋体" w:hAnsi="宋体" w:eastAsia="宋体" w:cs="宋体"/>
          <w:color w:val="auto"/>
          <w:sz w:val="22"/>
          <w:szCs w:val="22"/>
          <w:highlight w:val="none"/>
          <w:u w:val="single"/>
          <w:lang w:eastAsia="zh-CN"/>
        </w:rPr>
        <w:t xml:space="preserve">及协调</w:t>
      </w:r>
      <w:r>
        <w:rPr>
          <w:rFonts w:hint="eastAsia" w:ascii="宋体" w:hAnsi="宋体" w:eastAsia="宋体" w:cs="宋体"/>
          <w:color w:val="auto"/>
          <w:sz w:val="22"/>
          <w:szCs w:val="22"/>
          <w:highlight w:val="none"/>
          <w:u w:val="single"/>
        </w:rPr>
        <w:t xml:space="preserve">，其费用承包人在投标报价时已根据施工现场实际情况综合考虑，已含在签约合同价中，竣工结算时不做任何调整。因承包人原因造成场内原有道路、绿化、管网及交通设施等损坏的，由承包人承担修复义务及修复费用</w:t>
      </w:r>
      <w:r>
        <w:rPr>
          <w:rFonts w:hint="eastAsia" w:ascii="宋体" w:hAnsi="宋体" w:eastAsia="宋体" w:cs="宋体"/>
          <w:color w:val="auto"/>
          <w:sz w:val="22"/>
          <w:szCs w:val="22"/>
          <w:highlight w:val="none"/>
        </w:rPr>
        <w:t xml:space="preserve">。</w:t>
      </w:r>
      <w:bookmarkEnd w:id="46"/>
      <w:r/>
      <w:bookmarkEnd w:id="47"/>
      <w:r/>
      <w:bookmarkEnd w:id="48"/>
      <w:r/>
      <w:bookmarkEnd w:id="49"/>
      <w:r/>
      <w:bookmarkEnd w:id="50"/>
      <w:r>
        <w:rPr>
          <w:rFonts w:hint="eastAsia" w:ascii="宋体" w:hAnsi="宋体" w:eastAsia="宋体" w:cs="宋体"/>
          <w:color w:val="auto"/>
          <w:sz w:val="22"/>
          <w:szCs w:val="22"/>
          <w:highlight w:val="none"/>
        </w:rPr>
        <w:t xml:space="preserve">  </w:t>
      </w:r>
      <w:bookmarkStart w:id="51" w:name="_Toc318581157"/>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51"/>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发包人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color w:val="auto"/>
          <w:sz w:val="22"/>
          <w:szCs w:val="22"/>
          <w:highlight w:val="none"/>
          <w:u w:val="single"/>
        </w:rPr>
        <w:t xml:space="preserve">发包人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按通用合同条款执行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 </w:t>
      </w:r>
      <w:r>
        <w:rPr>
          <w:rFonts w:hint="eastAsia" w:ascii="宋体" w:hAnsi="宋体" w:cs="宋体"/>
          <w:color w:val="ff0000"/>
          <w:sz w:val="22"/>
          <w:szCs w:val="22"/>
          <w:highlight w:val="none"/>
          <w:u w:val="single"/>
          <w:lang w:eastAsia="zh-CN"/>
        </w:rPr>
        <w:t xml:space="preserve">不调整</w:t>
      </w:r>
      <w:r>
        <w:rPr>
          <w:rFonts w:hint="eastAsia" w:ascii="宋体" w:hAnsi="宋体" w:eastAsia="宋体" w:cs="宋体"/>
          <w:color w:val="ff0000"/>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2" w:name="_Toc351203634"/>
      <w:r>
        <w:rPr>
          <w:rFonts w:hint="eastAsia" w:ascii="宋体" w:hAnsi="宋体" w:eastAsia="宋体" w:cs="宋体"/>
          <w:b w:val="0"/>
          <w:color w:val="auto"/>
          <w:sz w:val="22"/>
          <w:szCs w:val="22"/>
          <w:highlight w:val="none"/>
        </w:rPr>
        <w:t xml:space="preserve">2</w:t>
      </w:r>
      <w:bookmarkStart w:id="53" w:name="_Toc292559362"/>
      <w:r/>
      <w:bookmarkStart w:id="54" w:name="_Toc296503157"/>
      <w:r/>
      <w:bookmarkStart w:id="55" w:name="_Toc292559867"/>
      <w:r/>
      <w:bookmarkStart w:id="56" w:name="_Toc296944496"/>
      <w:r/>
      <w:bookmarkStart w:id="57" w:name="_Toc297120457"/>
      <w:r/>
      <w:bookmarkStart w:id="58" w:name="_Toc297048343"/>
      <w:r/>
      <w:bookmarkStart w:id="59" w:name="_Toc296891197"/>
      <w:r/>
      <w:bookmarkStart w:id="60" w:name="_Toc296890985"/>
      <w:r/>
      <w:bookmarkStart w:id="61" w:name="_Toc296346658"/>
      <w:r/>
      <w:bookmarkStart w:id="62" w:name="_Toc296347156"/>
      <w:r>
        <w:rPr>
          <w:rFonts w:hint="eastAsia" w:ascii="宋体" w:hAnsi="宋体" w:eastAsia="宋体" w:cs="宋体"/>
          <w:b w:val="0"/>
          <w:color w:val="auto"/>
          <w:sz w:val="22"/>
          <w:szCs w:val="22"/>
          <w:highlight w:val="none"/>
        </w:rPr>
        <w:t xml:space="preserve">. 发包人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发包人代表签名式样：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color w:val="auto"/>
          <w:sz w:val="22"/>
          <w:szCs w:val="22"/>
          <w:highlight w:val="none"/>
          <w:u w:val="single"/>
        </w:rPr>
        <w:t xml:space="preserve">发包人代表行使发包人的权利，包括组织施工现场发包人的工作、对监理工作的检查及代表发包人行使本合同授予发包人的相关权力。具体包括：①确认承包人提出顺延工期的签证；②对发生的不可抗力造成工程无法继续施工的处置；③设计变更等有关签证的确认；④工程竣工验收及甩项验收的报告确认；⑤工程最终造价的确认；⑥督促指导监理工程师行使职权，协调施工现场各方面的关系、审核工程进度报表等；⑦行使合同约定的权利，履行合同约定的职责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u w:val="single"/>
        </w:rPr>
        <w:t xml:space="preserve">开工日期前15天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关于发包人应负责提供施工所需要的条件，</w:t>
      </w:r>
      <w:r>
        <w:rPr>
          <w:rFonts w:hint="eastAsia" w:ascii="宋体" w:hAnsi="宋体" w:eastAsia="宋体" w:cs="宋体"/>
          <w:color w:val="auto"/>
          <w:sz w:val="22"/>
          <w:szCs w:val="22"/>
          <w:highlight w:val="none"/>
          <w:u w:val="single"/>
          <w:lang w:eastAsia="zh-CN"/>
        </w:rPr>
        <w:t xml:space="preserve">按现状，</w:t>
      </w:r>
      <w:r>
        <w:rPr>
          <w:rFonts w:hint="eastAsia" w:ascii="宋体" w:hAnsi="宋体" w:eastAsia="宋体" w:cs="宋体"/>
          <w:color w:val="auto"/>
          <w:sz w:val="22"/>
          <w:szCs w:val="22"/>
          <w:highlight w:val="none"/>
        </w:rPr>
        <w:t xml:space="preserve">包括：</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w:t>
      </w:r>
      <w:r>
        <w:rPr>
          <w:rFonts w:hint="eastAsia" w:ascii="宋体" w:hAnsi="宋体" w:eastAsia="宋体" w:cs="宋体"/>
          <w:color w:val="auto"/>
          <w:sz w:val="22"/>
          <w:szCs w:val="22"/>
          <w:highlight w:val="none"/>
          <w:u w:val="single"/>
        </w:rPr>
        <w:t xml:space="preserve">将施工所需的水、电、通讯线路接至施工场地的时间、地点和供应要求：发包人不提供</w:t>
      </w:r>
      <w:r>
        <w:rPr>
          <w:rFonts w:hint="eastAsia" w:ascii="宋体" w:hAnsi="宋体" w:eastAsia="宋体" w:cs="宋体"/>
          <w:color w:val="auto"/>
          <w:sz w:val="22"/>
          <w:szCs w:val="22"/>
          <w:highlight w:val="none"/>
          <w:u w:val="single"/>
          <w:lang w:eastAsia="zh-CN"/>
        </w:rPr>
        <w:t xml:space="preserve">临时</w:t>
      </w:r>
      <w:r>
        <w:rPr>
          <w:rFonts w:hint="eastAsia" w:ascii="宋体" w:hAnsi="宋体" w:eastAsia="宋体" w:cs="宋体"/>
          <w:color w:val="auto"/>
          <w:sz w:val="22"/>
          <w:szCs w:val="22"/>
          <w:highlight w:val="none"/>
          <w:u w:val="single"/>
        </w:rPr>
        <w:t xml:space="preserve">水源、电源接入点，由承包人自行</w:t>
      </w:r>
      <w:r>
        <w:rPr>
          <w:rFonts w:hint="eastAsia" w:ascii="宋体" w:hAnsi="宋体" w:eastAsia="宋体" w:cs="宋体"/>
          <w:color w:val="auto"/>
          <w:sz w:val="22"/>
          <w:szCs w:val="22"/>
          <w:highlight w:val="none"/>
          <w:u w:val="single"/>
          <w:lang w:eastAsia="zh-CN"/>
        </w:rPr>
        <w:t xml:space="preserve">联系</w:t>
      </w:r>
      <w:r>
        <w:rPr>
          <w:rFonts w:hint="eastAsia" w:ascii="宋体" w:hAnsi="宋体" w:eastAsia="宋体" w:cs="宋体"/>
          <w:color w:val="auto"/>
          <w:sz w:val="22"/>
          <w:szCs w:val="22"/>
          <w:highlight w:val="none"/>
          <w:u w:val="single"/>
        </w:rPr>
        <w:t xml:space="preserve">解决并接至施工区域内，同时承担相应费用。承包人必须按有关部门要求装表计量，按规定及时缴纳水电费用，如承包人不及时缴纳，发生违约金、滞纳金等所有费用均由承包人承担；施工现场的通讯由承包人自行与电信部门办理，并承担相应费用。承包人已将上述涉及的费用计入投标报价之中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w:t>
      </w:r>
      <w:r>
        <w:rPr>
          <w:rFonts w:hint="eastAsia" w:ascii="宋体" w:hAnsi="宋体" w:eastAsia="宋体" w:cs="宋体"/>
          <w:color w:val="auto"/>
          <w:sz w:val="22"/>
          <w:szCs w:val="22"/>
          <w:highlight w:val="none"/>
          <w:u w:val="single"/>
        </w:rPr>
        <w:t xml:space="preserve">施工场地与公共道路的通道开通时间和要求：承包人应自行踏勘施工现场，了解工程现状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⑶</w:t>
      </w:r>
      <w:r>
        <w:rPr>
          <w:rFonts w:hint="eastAsia" w:ascii="宋体" w:hAnsi="宋体" w:eastAsia="宋体" w:cs="宋体"/>
          <w:color w:val="auto"/>
          <w:sz w:val="22"/>
          <w:szCs w:val="22"/>
          <w:highlight w:val="none"/>
          <w:u w:val="single"/>
          <w:lang w:eastAsia="zh-CN"/>
        </w:rPr>
        <w:t xml:space="preserve">自行</w:t>
      </w:r>
      <w:r>
        <w:rPr>
          <w:rFonts w:hint="eastAsia" w:ascii="宋体" w:hAnsi="宋体" w:eastAsia="宋体" w:cs="宋体"/>
          <w:color w:val="auto"/>
          <w:sz w:val="22"/>
          <w:szCs w:val="22"/>
          <w:highlight w:val="none"/>
          <w:u w:val="single"/>
        </w:rPr>
        <w:t xml:space="preserve">协调处理施工场地周围地下管线和邻近建筑物、构筑物（含文物保护建筑）、古树名木的保护工作：承包人施工前，须组织专业人员，依据施工图纸、勘察和（或）测绘报告</w:t>
      </w:r>
      <w:r>
        <w:rPr>
          <w:rFonts w:hint="eastAsia" w:ascii="宋体" w:hAnsi="宋体" w:eastAsia="宋体" w:cs="宋体"/>
          <w:color w:val="auto"/>
          <w:sz w:val="22"/>
          <w:szCs w:val="22"/>
          <w:highlight w:val="none"/>
          <w:u w:val="single"/>
          <w:lang w:eastAsia="zh-CN"/>
        </w:rPr>
        <w:t xml:space="preserve">及自行联系坐标控制点</w:t>
      </w:r>
      <w:r>
        <w:rPr>
          <w:rFonts w:hint="eastAsia" w:ascii="宋体" w:hAnsi="宋体" w:eastAsia="宋体" w:cs="宋体"/>
          <w:color w:val="auto"/>
          <w:sz w:val="22"/>
          <w:szCs w:val="22"/>
          <w:highlight w:val="none"/>
          <w:u w:val="single"/>
        </w:rPr>
        <w:t xml:space="preserve">等，对施工场地及周边地上、地下进行细致排查，结合发包人及相关部门要求（含报批），制定切实可行的实施、监督、保护方案。因承包人施工不当、探察不细、保护措施不力等原因造成损害的或导致周边单位、部门、居民停电、停水、停气及停产等情况的，其责任与损失赔偿皆由承包人承担。该等费用，承包人已综合考虑在投标报价中，发包人不再额外予以补偿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u w:val="single"/>
        </w:rPr>
        <w:t xml:space="preserve">施工场地具备施工条件的要求及完成的时间：承包人应自行到工地勘察以充分了解工地位置、邻近建筑物、道路、储存空间、起卸限制及任何其他足以影响投标报价之情况。中标后，承包人不得因忽视或误解工地情况提出费用或工期索赔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⑸</w:t>
      </w:r>
      <w:r>
        <w:rPr>
          <w:rFonts w:hint="eastAsia" w:ascii="宋体" w:hAnsi="宋体" w:eastAsia="宋体" w:cs="宋体"/>
          <w:color w:val="auto"/>
          <w:sz w:val="22"/>
          <w:szCs w:val="22"/>
          <w:highlight w:val="none"/>
          <w:u w:val="single"/>
        </w:rPr>
        <w:t xml:space="preserve">若施工时发现有地下管线或者地质情况与工程地质勘察报告所描述不相符合时应及时向监理工程师和发包人汇报，并采取相应措施，否则由承包人承担责任及相应费用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63" w:name="_Toc351203635"/>
      <w:r>
        <w:rPr>
          <w:rFonts w:hint="eastAsia" w:ascii="宋体" w:hAnsi="宋体" w:eastAsia="宋体" w:cs="宋体"/>
          <w:b w:val="0"/>
          <w:color w:val="auto"/>
          <w:sz w:val="22"/>
          <w:szCs w:val="22"/>
          <w:highlight w:val="none"/>
        </w:rPr>
        <w:t xml:space="preserve">3</w:t>
      </w:r>
      <w:bookmarkStart w:id="64" w:name="_Toc297048344"/>
      <w:r/>
      <w:bookmarkStart w:id="65" w:name="_Toc292559363"/>
      <w:r/>
      <w:bookmarkStart w:id="66" w:name="_Toc296347157"/>
      <w:r/>
      <w:bookmarkStart w:id="67" w:name="_Toc296346659"/>
      <w:r/>
      <w:bookmarkStart w:id="68" w:name="_Toc296944497"/>
      <w:r/>
      <w:bookmarkStart w:id="69" w:name="_Toc292559868"/>
      <w:r/>
      <w:bookmarkStart w:id="70" w:name="_Toc296503158"/>
      <w:r/>
      <w:bookmarkStart w:id="71" w:name="_Toc296891198"/>
      <w:r/>
      <w:bookmarkStart w:id="72" w:name="_Toc296890986"/>
      <w:r/>
      <w:bookmarkStart w:id="73" w:name="_Toc297120458"/>
      <w:r>
        <w:rPr>
          <w:rFonts w:hint="eastAsia" w:ascii="宋体" w:hAnsi="宋体" w:eastAsia="宋体" w:cs="宋体"/>
          <w:b w:val="0"/>
          <w:color w:val="auto"/>
          <w:sz w:val="22"/>
          <w:szCs w:val="22"/>
          <w:highlight w:val="none"/>
        </w:rPr>
        <w:t xml:space="preserve">. 承包人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 包括但不限于</w:t>
      </w:r>
      <w:r>
        <w:rPr>
          <w:rFonts w:hint="eastAsia" w:ascii="宋体" w:hAnsi="宋体" w:eastAsia="宋体" w:cs="宋体"/>
          <w:color w:val="auto"/>
          <w:sz w:val="22"/>
          <w:szCs w:val="22"/>
          <w:highlight w:val="none"/>
          <w:u w:val="single"/>
          <w:lang w:eastAsia="zh-CN"/>
        </w:rPr>
        <w:t xml:space="preserve">竣工图、</w:t>
      </w:r>
      <w:r>
        <w:rPr>
          <w:rFonts w:hint="eastAsia" w:ascii="宋体" w:hAnsi="宋体" w:eastAsia="宋体" w:cs="宋体"/>
          <w:color w:val="auto"/>
          <w:sz w:val="22"/>
          <w:szCs w:val="22"/>
          <w:highlight w:val="none"/>
          <w:u w:val="single"/>
        </w:rPr>
        <w:t xml:space="preserve">施工技术管理文件、产品质量证明文件、检验和检测报告、施工记录、检验批质量验收记录、分项工程验收记录、分部工程验收记录、竣工验收证明及竣工图等，具体应符合地方质量监督部门与城建档案管理机构</w:t>
      </w:r>
      <w:r>
        <w:rPr>
          <w:rFonts w:hint="eastAsia" w:ascii="宋体" w:hAnsi="宋体" w:eastAsia="宋体" w:cs="宋体"/>
          <w:color w:val="auto"/>
          <w:sz w:val="22"/>
          <w:szCs w:val="22"/>
          <w:highlight w:val="none"/>
          <w:u w:val="single"/>
          <w:lang w:eastAsia="zh-CN"/>
        </w:rPr>
        <w:t xml:space="preserve">等相关职能部门</w:t>
      </w:r>
      <w:r>
        <w:rPr>
          <w:rFonts w:hint="eastAsia" w:ascii="宋体" w:hAnsi="宋体" w:eastAsia="宋体" w:cs="宋体"/>
          <w:color w:val="auto"/>
          <w:sz w:val="22"/>
          <w:szCs w:val="22"/>
          <w:highlight w:val="none"/>
          <w:u w:val="single"/>
        </w:rPr>
        <w:t xml:space="preserve">施工资料要求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 不少于</w:t>
      </w:r>
      <w:r>
        <w:rPr>
          <w:rFonts w:hint="eastAsia" w:ascii="宋体" w:hAnsi="宋体" w:eastAsia="宋体" w:cs="宋体"/>
          <w:color w:val="auto"/>
          <w:sz w:val="22"/>
          <w:szCs w:val="22"/>
          <w:highlight w:val="none"/>
          <w:u w:val="single"/>
          <w:lang w:val="en-US" w:eastAsia="zh-CN"/>
        </w:rPr>
        <w:t xml:space="preserve">4</w:t>
      </w:r>
      <w:r>
        <w:rPr>
          <w:rFonts w:hint="eastAsia" w:ascii="宋体" w:hAnsi="宋体" w:eastAsia="宋体" w:cs="宋体"/>
          <w:color w:val="auto"/>
          <w:sz w:val="22"/>
          <w:szCs w:val="22"/>
          <w:highlight w:val="none"/>
          <w:u w:val="single"/>
        </w:rPr>
        <w:t xml:space="preserve">套</w:t>
      </w:r>
      <w:r>
        <w:rPr>
          <w:rFonts w:hint="eastAsia" w:ascii="宋体" w:hAnsi="宋体" w:eastAsia="宋体" w:cs="宋体"/>
          <w:color w:val="auto"/>
          <w:sz w:val="22"/>
          <w:szCs w:val="22"/>
          <w:highlight w:val="none"/>
          <w:u w:val="single"/>
          <w:lang w:eastAsia="zh-CN"/>
        </w:rPr>
        <w:t xml:space="preserve">含光盘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638"/>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w:t>
      </w:r>
      <w:r/>
    </w:p>
    <w:p>
      <w:pPr>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u w:val="single"/>
        </w:rPr>
        <w:t xml:space="preserve"> 申报工程竣工验收之前由承包人负责整理和提交竣工资料（包括竣工图）报相关部门验收.竣工验收合格并经发包人认可后28天内承包人向发包人提交完整竣工资料报送审计</w:t>
      </w:r>
      <w:r>
        <w:rPr>
          <w:rFonts w:hint="eastAsia" w:ascii="宋体" w:hAnsi="宋体" w:eastAsia="宋体" w:cs="宋体"/>
          <w:color w:val="auto"/>
          <w:sz w:val="22"/>
          <w:szCs w:val="22"/>
          <w:u w:val="single"/>
          <w:lang w:eastAsia="zh-CN"/>
        </w:rPr>
        <w:t xml:space="preserve">并</w:t>
      </w:r>
      <w:r>
        <w:rPr>
          <w:rFonts w:hint="eastAsia" w:ascii="宋体" w:hAnsi="宋体" w:eastAsia="宋体" w:cs="宋体"/>
          <w:color w:val="auto"/>
          <w:sz w:val="22"/>
          <w:szCs w:val="22"/>
          <w:u w:val="single"/>
        </w:rPr>
        <w:t xml:space="preserve">完成所有资料向工程所在地城建档案管理部门及</w:t>
      </w:r>
      <w:r>
        <w:rPr>
          <w:rFonts w:hint="eastAsia" w:ascii="宋体" w:hAnsi="宋体" w:eastAsia="宋体" w:cs="宋体"/>
          <w:color w:val="auto"/>
          <w:sz w:val="22"/>
          <w:szCs w:val="22"/>
          <w:u w:val="single"/>
          <w:lang w:eastAsia="zh-CN"/>
        </w:rPr>
        <w:t xml:space="preserve">相关职能</w:t>
      </w:r>
      <w:r>
        <w:rPr>
          <w:rFonts w:hint="eastAsia" w:ascii="宋体" w:hAnsi="宋体" w:eastAsia="宋体" w:cs="宋体"/>
          <w:color w:val="auto"/>
          <w:sz w:val="22"/>
          <w:szCs w:val="22"/>
          <w:u w:val="single"/>
        </w:rPr>
        <w:t xml:space="preserve">部门的移交工作,若因承包人提供的竣工资料延误或所报材料不符合要求影响正常工程竣工验收,导致发包人的工程不能按期交付或投入使用,无论哪项拖延，均视为承包人</w:t>
      </w:r>
      <w:r>
        <w:rPr>
          <w:rFonts w:hint="eastAsia" w:ascii="宋体" w:hAnsi="宋体" w:eastAsia="宋体" w:cs="宋体"/>
          <w:color w:val="auto"/>
          <w:sz w:val="22"/>
          <w:szCs w:val="22"/>
          <w:highlight w:val="none"/>
          <w:u w:val="single"/>
        </w:rPr>
        <w:t xml:space="preserve">违约,承包人按每拖延一天 </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000元向发包人支付违约金,并且发包人保留进一步向承包人索赔补偿不足部分的权利   </w:t>
      </w:r>
      <w:r>
        <w:rPr>
          <w:rFonts w:hint="eastAsia" w:ascii="宋体" w:hAnsi="宋体" w:eastAsia="宋体" w:cs="宋体"/>
          <w:color w:val="auto"/>
          <w:sz w:val="22"/>
          <w:szCs w:val="22"/>
          <w:highlight w:val="none"/>
        </w:rPr>
        <w:t xml:space="preserve">。</w:t>
      </w:r>
      <w:r/>
    </w:p>
    <w:p>
      <w:pPr>
        <w:ind w:left="0" w:firstLine="440"/>
        <w:jc w:val="left"/>
        <w:keepLines w:val="0"/>
        <w:keepNext w:val="0"/>
        <w:pageBreakBefore w:val="0"/>
        <w:spacing w:line="420" w:lineRule="exact"/>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 除提供纸质文件（书面形式且装订成册）外，还应提供相关信息电子文件及影像文件</w:t>
      </w:r>
      <w:r>
        <w:rPr>
          <w:rFonts w:hint="eastAsia" w:ascii="宋体" w:hAnsi="宋体" w:eastAsia="宋体" w:cs="宋体"/>
          <w:color w:val="auto"/>
          <w:sz w:val="22"/>
          <w:szCs w:val="22"/>
          <w:highlight w:val="none"/>
          <w:u w:val="single"/>
          <w:lang w:eastAsia="zh-CN"/>
        </w:rPr>
        <w:t xml:space="preserve">且满足相关职能部门要求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（10）承包人应履行的其他义务：</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发包人按照淮安市以及</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建设行政主管部门要求，及时提供用于申办本工程备案、报批等手续所需的必要资料，承包人应在发包人提供上述资料后</w:t>
      </w:r>
      <w:r>
        <w:rPr>
          <w:rFonts w:hint="eastAsia" w:ascii="宋体" w:hAnsi="宋体" w:eastAsia="宋体" w:cs="宋体"/>
          <w:color w:val="auto"/>
          <w:sz w:val="22"/>
          <w:szCs w:val="22"/>
          <w:highlight w:val="none"/>
          <w:u w:val="single"/>
          <w:lang w:val="en-US" w:eastAsia="zh-CN"/>
        </w:rPr>
        <w:t xml:space="preserve">15</w:t>
      </w:r>
      <w:r>
        <w:rPr>
          <w:rFonts w:hint="eastAsia" w:ascii="宋体" w:hAnsi="宋体" w:eastAsia="宋体" w:cs="宋体"/>
          <w:color w:val="auto"/>
          <w:sz w:val="22"/>
          <w:szCs w:val="22"/>
          <w:highlight w:val="none"/>
          <w:u w:val="single"/>
        </w:rPr>
        <w:t xml:space="preserve">天内完成备案、手续的办理工作，因承包人原因逾期未办妥的而导致工期延误，工期不予顺延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承担发包人上级领导</w:t>
      </w:r>
      <w:r>
        <w:rPr>
          <w:rFonts w:hint="eastAsia" w:ascii="宋体" w:hAnsi="宋体" w:eastAsia="宋体" w:cs="宋体"/>
          <w:color w:val="auto"/>
          <w:sz w:val="22"/>
          <w:szCs w:val="22"/>
          <w:highlight w:val="none"/>
          <w:u w:val="single"/>
          <w:lang w:eastAsia="zh-CN"/>
        </w:rPr>
        <w:t xml:space="preserve">及其他相关部门</w:t>
      </w:r>
      <w:r>
        <w:rPr>
          <w:rFonts w:hint="eastAsia" w:ascii="宋体" w:hAnsi="宋体" w:eastAsia="宋体" w:cs="宋体"/>
          <w:color w:val="auto"/>
          <w:sz w:val="22"/>
          <w:szCs w:val="22"/>
          <w:highlight w:val="none"/>
          <w:u w:val="single"/>
        </w:rPr>
        <w:t xml:space="preserve">检查、视察工地所需的现场准备工作；配合质监、安监</w:t>
      </w:r>
      <w:r>
        <w:rPr>
          <w:rFonts w:hint="eastAsia" w:ascii="宋体" w:hAnsi="宋体" w:eastAsia="宋体" w:cs="宋体"/>
          <w:color w:val="auto"/>
          <w:sz w:val="22"/>
          <w:szCs w:val="22"/>
          <w:highlight w:val="none"/>
          <w:u w:val="single"/>
          <w:lang w:eastAsia="zh-CN"/>
        </w:rPr>
        <w:t xml:space="preserve">、供电、消防、园林等</w:t>
      </w:r>
      <w:r>
        <w:rPr>
          <w:rFonts w:hint="eastAsia" w:ascii="宋体" w:hAnsi="宋体" w:eastAsia="宋体" w:cs="宋体"/>
          <w:color w:val="auto"/>
          <w:sz w:val="22"/>
          <w:szCs w:val="22"/>
          <w:highlight w:val="none"/>
          <w:u w:val="single"/>
        </w:rPr>
        <w:t xml:space="preserve">单位的现场检查，并承担由此引起的相关费用。发包人需要时，可能对施工做出某些限制和配合要求，承包人应按照要求做出必要的配合，并承担有可能因此而引起工效降低需增加的费用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承包人必须遵守江苏省及淮安市、</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行业主管部门的相关规定，服从行业主管部门的管理，凡涉及到承包人的安全监督、质量监督、施工备案、车辆准运等有关证、照，均由承包人自行办理，发包人给予配合，发生的费用全部由承包人承担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涉及到的所有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承包人所报价格应包含其自身分包引起的各项增加的或额外的费用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u w:val="single"/>
        </w:rPr>
        <w:t xml:space="preserve">承包人加强工程施工车辆的管理，施工车辆不得无故堵塞道路交通，不得沿途抛洒弃土，并根据发包人的要求，安排人员在主要路口疏导车辆、行人交通，其费用由承包人负责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u w:val="single"/>
        </w:rPr>
        <w:t xml:space="preserve">承包人必须对施工现场临时用水、用电工作，进行统一管理，包括但不限于以下内容：</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u w:val="single"/>
        </w:rPr>
        <w:t xml:space="preserve">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u w:val="single"/>
        </w:rPr>
        <w:t xml:space="preserve">承包人负责布设临时水、电设施并进行日常维护管理以保证满足整个工程期间的需要，所发生的布设、维护管理费用包含在投标报价内 。</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u w:val="single"/>
        </w:rPr>
        <w:t xml:space="preserve">承包人应充分考虑用电负荷控制和漏电保护，否则承担一切损失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④</w:t>
      </w:r>
      <w:r>
        <w:rPr>
          <w:rFonts w:hint="eastAsia" w:ascii="宋体" w:hAnsi="宋体" w:eastAsia="宋体" w:cs="宋体"/>
          <w:color w:val="auto"/>
          <w:sz w:val="22"/>
          <w:szCs w:val="22"/>
          <w:highlight w:val="none"/>
          <w:u w:val="single"/>
        </w:rPr>
        <w:t xml:space="preserve">承包人的自行分包项目，其使用水电由承包人自行解决与管理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⑤</w:t>
      </w:r>
      <w:r>
        <w:rPr>
          <w:rFonts w:hint="eastAsia" w:ascii="宋体" w:hAnsi="宋体" w:eastAsia="宋体" w:cs="宋体"/>
          <w:color w:val="auto"/>
          <w:sz w:val="22"/>
          <w:szCs w:val="22"/>
          <w:highlight w:val="none"/>
          <w:u w:val="single"/>
        </w:rPr>
        <w:t xml:space="preserve">承包人应该充分考虑为各专业承包人提供足额的用水量，否则造成重新从总水源接水的费用由承包人承担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⑥</w:t>
      </w:r>
      <w:r>
        <w:rPr>
          <w:rFonts w:hint="eastAsia" w:ascii="宋体" w:hAnsi="宋体" w:eastAsia="宋体" w:cs="宋体"/>
          <w:color w:val="auto"/>
          <w:sz w:val="22"/>
          <w:szCs w:val="22"/>
          <w:highlight w:val="none"/>
          <w:u w:val="single"/>
        </w:rPr>
        <w:t xml:space="preserve">如因城市供电、供水部门等非发包人原因导致的停电、停水，承包人不得向发包人提出索赔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⑦</w:t>
      </w:r>
      <w:r>
        <w:rPr>
          <w:rFonts w:hint="eastAsia" w:ascii="宋体" w:hAnsi="宋体" w:eastAsia="宋体" w:cs="宋体"/>
          <w:color w:val="auto"/>
          <w:sz w:val="22"/>
          <w:szCs w:val="22"/>
          <w:highlight w:val="none"/>
          <w:u w:val="single"/>
        </w:rPr>
        <w:t xml:space="preserve">临时水电设施的拆除必须征得监理工程师与发包人的批准，拆除后的临时水、电设施由承包人自行处理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u w:val="single"/>
        </w:rPr>
        <w:t xml:space="preserve">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u w:val="single"/>
        </w:rPr>
        <w:t xml:space="preserve">设置、维修和管理临时排污系统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u w:val="single"/>
        </w:rPr>
        <w:t xml:space="preserve">每天保持施工道路的畅通与清洁，负责保养及维修进入工地施工区域道路，费用由承包人承担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u w:val="single"/>
        </w:rPr>
        <w:t xml:space="preserve">收集和处理所有施工现场和生活区域内的所有垃圾，直到竣工交付为止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④</w:t>
      </w:r>
      <w:r>
        <w:rPr>
          <w:rFonts w:hint="eastAsia" w:ascii="宋体" w:hAnsi="宋体" w:eastAsia="宋体" w:cs="宋体"/>
          <w:color w:val="auto"/>
          <w:sz w:val="22"/>
          <w:szCs w:val="22"/>
          <w:highlight w:val="none"/>
          <w:u w:val="single"/>
        </w:rPr>
        <w:t xml:space="preserve">承包人应按发包人要求，按规定做好场内道路硬化、布置各项标识、标牌、便于检查、视察或参观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⑤</w:t>
      </w:r>
      <w:r>
        <w:rPr>
          <w:rFonts w:hint="eastAsia" w:ascii="宋体" w:hAnsi="宋体" w:eastAsia="宋体" w:cs="宋体"/>
          <w:color w:val="auto"/>
          <w:sz w:val="22"/>
          <w:szCs w:val="22"/>
          <w:highlight w:val="none"/>
          <w:u w:val="single"/>
        </w:rPr>
        <w:t xml:space="preserve">竣工交付时应将其排污设施全部拆除并清理至发包人满意，承包人承担其相应的费用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9）</w:t>
      </w:r>
      <w:r>
        <w:rPr>
          <w:rFonts w:hint="eastAsia" w:ascii="宋体" w:hAnsi="宋体" w:eastAsia="宋体" w:cs="宋体"/>
          <w:color w:val="auto"/>
          <w:sz w:val="22"/>
          <w:szCs w:val="22"/>
          <w:highlight w:val="none"/>
          <w:u w:val="single"/>
        </w:rPr>
        <w:t xml:space="preserve">在现场施工中，承包人应负责自身施工区域与公共区域的安全设施的搭设与维修管理工作，以及为安全检查所进行的管理、协调、配合工作等。承包人应允许发包人另行发包的专业工程承包商使用由承包人修建的道路、提供临时设施（库房等）及搭设的安全设施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u w:val="single"/>
        </w:rPr>
        <w:t xml:space="preserve">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11）</w:t>
      </w:r>
      <w:r>
        <w:rPr>
          <w:rFonts w:hint="eastAsia" w:ascii="宋体" w:hAnsi="宋体" w:eastAsia="宋体" w:cs="宋体"/>
          <w:color w:val="auto"/>
          <w:sz w:val="22"/>
          <w:szCs w:val="22"/>
          <w:highlight w:val="none"/>
          <w:u w:val="single"/>
        </w:rPr>
        <w:t xml:space="preserve">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w:t>
      </w:r>
      <w:r>
        <w:rPr>
          <w:rFonts w:hint="eastAsia" w:ascii="宋体" w:hAnsi="宋体" w:eastAsia="宋体" w:cs="宋体"/>
          <w:color w:val="auto"/>
          <w:sz w:val="22"/>
          <w:szCs w:val="22"/>
          <w:highlight w:val="none"/>
          <w:u w:val="single"/>
          <w:lang w:eastAsia="zh-CN"/>
        </w:rPr>
        <w:t xml:space="preserve">天</w:t>
      </w:r>
      <w:r>
        <w:rPr>
          <w:rFonts w:hint="eastAsia" w:ascii="宋体" w:hAnsi="宋体" w:eastAsia="宋体" w:cs="宋体"/>
          <w:color w:val="auto"/>
          <w:sz w:val="22"/>
          <w:szCs w:val="22"/>
          <w:highlight w:val="none"/>
          <w:u w:val="single"/>
        </w:rPr>
        <w:t xml:space="preserve">的违约金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u w:val="single"/>
        </w:rPr>
        <w:t xml:space="preserve">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13）</w:t>
      </w:r>
      <w:r>
        <w:rPr>
          <w:rFonts w:hint="eastAsia" w:ascii="宋体" w:hAnsi="宋体" w:eastAsia="宋体" w:cs="宋体"/>
          <w:color w:val="auto"/>
          <w:sz w:val="22"/>
          <w:szCs w:val="22"/>
          <w:highlight w:val="none"/>
          <w:u w:val="single"/>
        </w:rPr>
        <w:t xml:space="preserve">承包人必须签收监理工程师发出的书面资料，如有异议必须在收文之日起3日内书面回复，否则视同认可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w:t>
      </w:r>
      <w:r>
        <w:rPr>
          <w:rFonts w:hint="eastAsia" w:ascii="宋体" w:hAnsi="宋体" w:eastAsia="宋体" w:cs="宋体"/>
          <w:color w:val="auto"/>
          <w:sz w:val="22"/>
          <w:szCs w:val="22"/>
          <w:highlight w:val="none"/>
          <w:u w:val="single"/>
        </w:rPr>
        <w:t xml:space="preserve">承包人应履行施工总包管理职责。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u w:val="single"/>
        </w:rPr>
        <w:t xml:space="preserve">承包人负责上述整个项目的现场管理、工期控制、各专业工程间协调、产品保护、缺陷修补，并对整个项目质量保修期内的质量和缺陷修复负责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u w:val="single"/>
        </w:rPr>
        <w:t xml:space="preserve">承包人负责制定上述整个项目的施工总进度计划、总施工组织设计、执行监理人的有关指令，圆满解决施工、验收中的所有问题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u w:val="single"/>
        </w:rPr>
        <w:t xml:space="preserve">承包人必须负责将专业工程项目的施工单位纳入总承包管理之中，对其进度、质量、安全等进行管理，确保按时、按质的完成上述整个项目内所有专业工程项目。具体责任包括但不限于如下列举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a.</w:t>
      </w:r>
      <w:r>
        <w:rPr>
          <w:rFonts w:hint="eastAsia" w:ascii="宋体" w:hAnsi="宋体" w:eastAsia="宋体" w:cs="宋体"/>
          <w:color w:val="auto"/>
          <w:sz w:val="22"/>
          <w:szCs w:val="22"/>
          <w:highlight w:val="none"/>
          <w:u w:val="single"/>
        </w:rPr>
        <w:t xml:space="preserve">配合专业工程的施工，包括提供施工场地和工作面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b.</w:t>
      </w:r>
      <w:r>
        <w:rPr>
          <w:rFonts w:hint="eastAsia" w:ascii="宋体" w:hAnsi="宋体" w:eastAsia="宋体" w:cs="宋体"/>
          <w:color w:val="auto"/>
          <w:sz w:val="22"/>
          <w:szCs w:val="22"/>
          <w:highlight w:val="none"/>
          <w:u w:val="single"/>
        </w:rPr>
        <w:t xml:space="preserve">承担施工界面交接处产生的缺陷修补及收头处理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c.</w:t>
      </w:r>
      <w:r>
        <w:rPr>
          <w:rFonts w:hint="eastAsia" w:ascii="宋体" w:hAnsi="宋体" w:eastAsia="宋体" w:cs="宋体"/>
          <w:color w:val="auto"/>
          <w:sz w:val="22"/>
          <w:szCs w:val="22"/>
          <w:highlight w:val="none"/>
          <w:u w:val="single"/>
        </w:rPr>
        <w:t xml:space="preserve">负责向专业工程单位提供施工用水、施工用电接口和容量、提供搭设临时设施的场地、并负责整个施工区域内（包括临时设施）的用水、用电、排水、生活卫生、文明安全施工等的协调、平衡、日常维护与管理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d.</w:t>
      </w:r>
      <w:r>
        <w:rPr>
          <w:rFonts w:hint="eastAsia" w:ascii="宋体" w:hAnsi="宋体" w:eastAsia="宋体" w:cs="宋体"/>
          <w:color w:val="auto"/>
          <w:sz w:val="22"/>
          <w:szCs w:val="22"/>
          <w:highlight w:val="none"/>
          <w:u w:val="single"/>
        </w:rPr>
        <w:t xml:space="preserve">负责向专业工程单位，按届时的现场条件提供已有的垂直运输机械、脚手架的使用方便，且不得向其收取任何额外的费用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e.</w:t>
      </w:r>
      <w:r>
        <w:rPr>
          <w:rFonts w:hint="eastAsia" w:ascii="宋体" w:hAnsi="宋体" w:eastAsia="宋体" w:cs="宋体"/>
          <w:color w:val="auto"/>
          <w:sz w:val="22"/>
          <w:szCs w:val="22"/>
          <w:highlight w:val="none"/>
          <w:u w:val="single"/>
        </w:rPr>
        <w:t xml:space="preserv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f.</w:t>
      </w:r>
      <w:r>
        <w:rPr>
          <w:rFonts w:hint="eastAsia" w:ascii="宋体" w:hAnsi="宋体" w:eastAsia="宋体" w:cs="宋体"/>
          <w:color w:val="auto"/>
          <w:sz w:val="22"/>
          <w:szCs w:val="22"/>
          <w:highlight w:val="none"/>
          <w:u w:val="single"/>
        </w:rPr>
        <w:t xml:space="preserve">按照国家和地方颁布的工程质量标准、规范，有针对性地落实工程各阶段、各专业的质量管理措施，督查专业工程单位严格执行，确保工程达到本合同要求的质量目标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g.</w:t>
      </w:r>
      <w:r>
        <w:rPr>
          <w:rFonts w:hint="eastAsia" w:ascii="宋体" w:hAnsi="宋体" w:eastAsia="宋体" w:cs="宋体"/>
          <w:color w:val="auto"/>
          <w:sz w:val="22"/>
          <w:szCs w:val="22"/>
          <w:highlight w:val="none"/>
          <w:u w:val="single"/>
        </w:rPr>
        <w:t xml:space="preserve">督促和检查专业工程单位按发包人的要求整理各类施工及竣工(包括竣工图) 的工程技术资料编制，并负责收集整理、汇总本工程施工过程中的有关图纸、技术资料和其他各类工程档案文件资料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h.</w:t>
      </w:r>
      <w:r>
        <w:rPr>
          <w:rFonts w:hint="eastAsia" w:ascii="宋体" w:hAnsi="宋体" w:eastAsia="宋体" w:cs="宋体"/>
          <w:color w:val="auto"/>
          <w:sz w:val="22"/>
          <w:szCs w:val="22"/>
          <w:highlight w:val="none"/>
          <w:u w:val="single"/>
        </w:rPr>
        <w:t xml:space="preserve">督查专业工程单位落实产品保护工作。设置足够的为产品保护所需的人力及其他必要的临设，以确保已完工程的完好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i.</w:t>
      </w:r>
      <w:r>
        <w:rPr>
          <w:rFonts w:hint="eastAsia" w:ascii="宋体" w:hAnsi="宋体" w:eastAsia="宋体" w:cs="宋体"/>
          <w:color w:val="auto"/>
          <w:sz w:val="22"/>
          <w:szCs w:val="22"/>
          <w:highlight w:val="none"/>
          <w:u w:val="single"/>
        </w:rPr>
        <w:t xml:space="preserve">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szCs w:val="22"/>
          <w:highlight w:val="none"/>
          <w:u w:val="single"/>
        </w:rPr>
        <w:t xml:space="preserve">承包人应积极主动核对图纸中的标高、轴线、预留洞口尺寸等技术数据，充分理解设计意图。若由于设计图纸问题（例如尺寸标注不闭合、文字标识相互矛盾等）和发包人（包括监理）不正确的指令，造成工程质量、安全、进度损失，</w:t>
      </w:r>
      <w:r>
        <w:rPr>
          <w:rFonts w:hint="eastAsia" w:ascii="宋体" w:hAnsi="宋体" w:eastAsia="宋体" w:cs="宋体"/>
          <w:color w:val="auto"/>
          <w:sz w:val="22"/>
          <w:szCs w:val="22"/>
          <w:highlight w:val="none"/>
          <w:u w:val="single"/>
          <w:lang w:eastAsia="zh-CN"/>
        </w:rPr>
        <w:t xml:space="preserve">将追究</w:t>
      </w:r>
      <w:r>
        <w:rPr>
          <w:rFonts w:hint="eastAsia" w:ascii="宋体" w:hAnsi="宋体" w:eastAsia="宋体" w:cs="宋体"/>
          <w:color w:val="auto"/>
          <w:sz w:val="22"/>
          <w:szCs w:val="22"/>
          <w:highlight w:val="none"/>
          <w:u w:val="single"/>
        </w:rPr>
        <w:t xml:space="preserve">承包人的责任</w:t>
      </w:r>
      <w:r>
        <w:rPr>
          <w:rFonts w:hint="eastAsia" w:ascii="宋体" w:hAnsi="宋体" w:eastAsia="宋体" w:cs="宋体"/>
          <w:color w:val="auto"/>
          <w:sz w:val="22"/>
          <w:szCs w:val="22"/>
          <w:highlight w:val="none"/>
          <w:u w:val="single"/>
          <w:lang w:eastAsia="zh-CN"/>
        </w:rPr>
        <w:t xml:space="preserve">并</w:t>
      </w:r>
      <w:r>
        <w:rPr>
          <w:rFonts w:hint="eastAsia" w:ascii="宋体" w:hAnsi="宋体" w:eastAsia="宋体" w:cs="宋体"/>
          <w:color w:val="auto"/>
          <w:sz w:val="22"/>
          <w:szCs w:val="22"/>
          <w:highlight w:val="none"/>
          <w:u w:val="single"/>
        </w:rPr>
        <w:t xml:space="preserve">承担由此造成的返工拆除及外运等工程费用增加和工期延误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16）</w:t>
      </w:r>
      <w:r>
        <w:rPr>
          <w:rFonts w:hint="eastAsia" w:ascii="宋体" w:hAnsi="宋体" w:eastAsia="宋体" w:cs="宋体"/>
          <w:color w:val="auto"/>
          <w:sz w:val="22"/>
          <w:szCs w:val="22"/>
          <w:highlight w:val="none"/>
          <w:u w:val="single"/>
        </w:rPr>
        <w:t xml:space="preserve">承包人应</w:t>
      </w:r>
      <w:r>
        <w:rPr>
          <w:rFonts w:hint="eastAsia" w:ascii="宋体" w:hAnsi="宋体" w:cs="宋体"/>
          <w:color w:val="auto"/>
          <w:sz w:val="22"/>
          <w:szCs w:val="22"/>
          <w:highlight w:val="none"/>
          <w:u w:val="single"/>
          <w:lang w:eastAsia="zh-CN"/>
        </w:rPr>
        <w:t xml:space="preserve">自行</w:t>
      </w:r>
      <w:r>
        <w:rPr>
          <w:rFonts w:hint="eastAsia" w:ascii="宋体" w:hAnsi="宋体" w:eastAsia="宋体" w:cs="宋体"/>
          <w:color w:val="auto"/>
          <w:sz w:val="22"/>
          <w:szCs w:val="22"/>
          <w:highlight w:val="none"/>
          <w:u w:val="single"/>
        </w:rPr>
        <w:t xml:space="preserve">协调处理扰民与民扰问题，发包人不承担任何责任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w:t>
      </w:r>
      <w:r>
        <w:rPr>
          <w:rFonts w:hint="eastAsia" w:ascii="宋体" w:hAnsi="宋体" w:eastAsia="宋体" w:cs="宋体"/>
          <w:color w:val="auto"/>
          <w:sz w:val="22"/>
          <w:szCs w:val="22"/>
          <w:highlight w:val="none"/>
          <w:u w:val="single"/>
        </w:rPr>
        <w:t xml:space="preserve">发包人批准承包人临时建筑搭建位置，如在项目竣工前因特殊情况需要使用其占地时，无论何时，承包人应无条件且自费予以搬迁与重建，发包人不予任何补偿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none"/>
          <w:lang w:val="en-US" w:eastAsia="zh-CN"/>
        </w:rPr>
        <w:t xml:space="preserve">18）</w:t>
      </w:r>
      <w:r>
        <w:rPr>
          <w:rFonts w:hint="eastAsia" w:ascii="宋体" w:hAnsi="宋体" w:eastAsia="宋体" w:cs="宋体"/>
          <w:color w:val="auto"/>
          <w:sz w:val="22"/>
          <w:szCs w:val="22"/>
          <w:u w:val="single"/>
        </w:rPr>
        <w:t xml:space="preserve">现场项目部环境和职业健康安全管理制度</w:t>
      </w:r>
      <w:r/>
    </w:p>
    <w:p>
      <w:pPr>
        <w:numPr>
          <w:ilvl w:val="0"/>
          <w:numId w:val="11"/>
        </w:num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承包人须对本工程的环境因素和危险源进行识别，编制项目的《环境因素辨识清单》 和《危险源辨识清单》，并识别出其中的重大环境因素和重大危险源。</w:t>
      </w:r>
      <w:r/>
    </w:p>
    <w:p>
      <w:p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 b、《环境因素辨识清单》和《危险源辨识清单》应报监理部备案。 </w:t>
      </w:r>
      <w:r/>
    </w:p>
    <w:p>
      <w:p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c、针对识别出的重大环境因素和重大危险源，承包人须编制管理方案，报发包人、监理 单位批准后实施。 </w:t>
      </w:r>
      <w:r/>
    </w:p>
    <w:p>
      <w:p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d、承包人须识别出本工程在环境和职业健康安全方面的应急事件，针对应急事件编制 《应急预案》，组织应急演习。 </w:t>
      </w:r>
      <w:r/>
    </w:p>
    <w:p>
      <w:pPr>
        <w:ind w:firstLine="220"/>
        <w:pageBreakBefore w:val="0"/>
        <w:spacing w:line="420" w:lineRule="exact"/>
        <w:rPr>
          <w:rFonts w:hint="eastAsia" w:ascii="宋体" w:hAnsi="宋体" w:eastAsia="宋体" w:cs="宋体"/>
          <w:b/>
          <w:bCs/>
          <w:color w:val="auto"/>
          <w:sz w:val="22"/>
          <w:szCs w:val="22"/>
          <w:u w:val="single"/>
        </w:rPr>
      </w:pPr>
      <w:r>
        <w:rPr>
          <w:rFonts w:hint="eastAsia" w:ascii="宋体" w:hAnsi="宋体" w:eastAsia="宋体" w:cs="宋体"/>
          <w:color w:val="auto"/>
          <w:sz w:val="22"/>
          <w:szCs w:val="22"/>
          <w:u w:val="none"/>
          <w:lang w:val="en-US" w:eastAsia="zh-CN"/>
        </w:rPr>
        <w:t xml:space="preserve">19）</w:t>
      </w:r>
      <w:r>
        <w:rPr>
          <w:rFonts w:hint="eastAsia" w:ascii="宋体" w:hAnsi="宋体" w:eastAsia="宋体" w:cs="宋体"/>
          <w:color w:val="auto"/>
          <w:sz w:val="22"/>
          <w:szCs w:val="22"/>
          <w:u w:val="single"/>
        </w:rPr>
        <w:t xml:space="preserve"> 在履行合同过程中，承包人应执行国家和地方的法律法规法令，或任何对工程有管 辖权的部门规章规定</w:t>
      </w:r>
      <w:r>
        <w:rPr>
          <w:rFonts w:hint="eastAsia" w:ascii="宋体" w:hAnsi="宋体" w:eastAsia="宋体" w:cs="宋体"/>
          <w:color w:val="auto"/>
          <w:sz w:val="22"/>
          <w:szCs w:val="22"/>
          <w:u w:val="single"/>
          <w:lang w:eastAsia="zh-CN"/>
        </w:rPr>
        <w:t xml:space="preserve">及要求或相关部门要求建设单位进行整改</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u w:val="single"/>
          <w:lang w:eastAsia="zh-CN"/>
        </w:rPr>
        <w:t xml:space="preserve">都有承包人</w:t>
      </w:r>
      <w:r>
        <w:rPr>
          <w:rFonts w:hint="eastAsia" w:ascii="宋体" w:hAnsi="宋体" w:eastAsia="宋体" w:cs="宋体"/>
          <w:color w:val="auto"/>
          <w:sz w:val="22"/>
          <w:szCs w:val="22"/>
          <w:u w:val="single"/>
        </w:rPr>
        <w:t xml:space="preserve">按要求支付有关费用。因承包人未及时缴纳其应支付的相关费用，责任 由承包人承担，发包人可视情形代为缴纳，发包人代承包人缴纳的费用可从当期工程款或履 约保证金中双倍扣回。 </w:t>
      </w:r>
      <w:r/>
    </w:p>
    <w:p>
      <w:pPr>
        <w:ind w:firstLine="440"/>
        <w:pageBreakBefore w:val="0"/>
        <w:spacing w:line="420" w:lineRule="exact"/>
        <w:rPr>
          <w:rFonts w:hint="eastAsia" w:ascii="宋体" w:hAnsi="宋体" w:eastAsia="宋体" w:cs="宋体"/>
          <w:sz w:val="22"/>
          <w:szCs w:val="22"/>
          <w:u w:val="single"/>
          <w:lang w:eastAsia="zh-CN"/>
        </w:rPr>
      </w:pPr>
      <w:r>
        <w:rPr>
          <w:rFonts w:hint="eastAsia" w:ascii="宋体" w:hAnsi="宋体" w:eastAsia="宋体" w:cs="宋体"/>
          <w:sz w:val="22"/>
          <w:szCs w:val="22"/>
          <w:u w:val="single"/>
          <w:lang w:eastAsia="zh-CN"/>
        </w:rPr>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w:t>
      </w:r>
      <w:r>
        <w:rPr>
          <w:rFonts w:hint="eastAsia" w:ascii="宋体" w:hAnsi="宋体" w:eastAsia="宋体" w:cs="宋体"/>
          <w:color w:val="auto"/>
          <w:sz w:val="22"/>
          <w:szCs w:val="22"/>
          <w:highlight w:val="none"/>
        </w:rPr>
        <w:t xml:space="preserve">项目经理：</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项目经理签名式样：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  。</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 项目经理必须常驻施工现场，每周不少于5个工作日、每天不少于8小时在本工程现场工作，项目经理必须参加每</w:t>
      </w:r>
      <w:r>
        <w:rPr>
          <w:rFonts w:hint="eastAsia" w:ascii="宋体" w:hAnsi="宋体" w:eastAsia="宋体" w:cs="宋体"/>
          <w:color w:val="auto"/>
          <w:sz w:val="22"/>
          <w:szCs w:val="22"/>
          <w:highlight w:val="none"/>
          <w:u w:val="single"/>
          <w:lang w:eastAsia="zh-CN"/>
        </w:rPr>
        <w:t xml:space="preserve">次</w:t>
      </w:r>
      <w:r>
        <w:rPr>
          <w:rFonts w:hint="eastAsia" w:ascii="宋体" w:hAnsi="宋体" w:eastAsia="宋体" w:cs="宋体"/>
          <w:color w:val="auto"/>
          <w:sz w:val="22"/>
          <w:szCs w:val="22"/>
          <w:highlight w:val="none"/>
          <w:u w:val="single"/>
        </w:rPr>
        <w:t xml:space="preserve">召开的工地例会</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 承包人向发包人交纳违约金不低于</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万元，同时责令限期提交劳动合同并补缴社会保险。如超过期限，发包人有权要求更换项目经理或解除本合同，由此增加的费用和（或）延误的工期由承包人承担</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 向发包人交纳违约金</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000元/天，如果是缺席的每周工地例会，向发包人支付违约金</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000元/次</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 应向发包人支付违约金不低于</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万元，同时发包人有权单方解除合同并追究由此给发包人带来的一切损失，及时上报建设行政主管部门、招投标监管部门</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lang w:val="zh-CN"/>
        </w:rPr>
        <w:t xml:space="preserve"> 发包人有权终止合同，追究由此带来的发包人一切损失，且承包人应承担不低于</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val="zh-CN"/>
        </w:rPr>
        <w:t xml:space="preserve">万元的违约金。同时发包人将上报至建设行政主管部门、招投标监管部门</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lang w:val="zh-CN"/>
        </w:rPr>
        <w:t xml:space="preserve"> 接到开工通知后7天内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lang w:val="zh-CN"/>
        </w:rPr>
        <w:t xml:space="preserve"> 承包人拒绝更换的，发包人有权解除合同，追究由此带来的发包人一切损失，且承包人应承担不低于</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lang w:val="zh-CN"/>
        </w:rPr>
        <w:t xml:space="preserve">万元</w:t>
      </w:r>
      <w:r>
        <w:rPr>
          <w:rFonts w:hint="eastAsia" w:ascii="宋体" w:hAnsi="宋体" w:eastAsia="宋体" w:cs="宋体"/>
          <w:color w:val="auto"/>
          <w:sz w:val="22"/>
          <w:szCs w:val="22"/>
          <w:highlight w:val="none"/>
          <w:u w:val="single"/>
        </w:rPr>
        <w:t xml:space="preserve">/人•次</w:t>
      </w:r>
      <w:r>
        <w:rPr>
          <w:rFonts w:hint="eastAsia" w:ascii="宋体" w:hAnsi="宋体" w:eastAsia="宋体" w:cs="宋体"/>
          <w:color w:val="auto"/>
          <w:sz w:val="22"/>
          <w:szCs w:val="22"/>
          <w:highlight w:val="none"/>
          <w:u w:val="single"/>
          <w:lang w:val="zh-CN"/>
        </w:rPr>
        <w:t xml:space="preserve">的违约金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 承包人主要施工管理人员</w:t>
      </w:r>
      <w:r>
        <w:rPr>
          <w:rFonts w:hint="eastAsia" w:ascii="宋体" w:hAnsi="宋体" w:eastAsia="宋体" w:cs="宋体"/>
          <w:color w:val="auto"/>
          <w:sz w:val="22"/>
          <w:szCs w:val="22"/>
        </w:rPr>
        <w:t xml:space="preserve">（项目经理、技术负责人、安全员</w:t>
      </w:r>
      <w:r>
        <w:rPr>
          <w:rFonts w:hint="eastAsia" w:ascii="宋体" w:hAnsi="宋体" w:eastAsia="宋体" w:cs="宋体"/>
          <w:color w:val="auto"/>
          <w:sz w:val="22"/>
          <w:szCs w:val="22"/>
          <w:lang w:eastAsia="zh-CN"/>
        </w:rPr>
        <w:t xml:space="preserve">、施工员、质检员</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highlight w:val="none"/>
        </w:rPr>
        <w:t xml:space="preserve">离开施工现场的批准要求：         </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承包人主要施工管理人员必须常驻工地，接受发包人及监理人的考勤，每周工地例会须通报考勤情况。离开施工现场前，</w:t>
      </w:r>
      <w:r>
        <w:rPr>
          <w:rFonts w:hint="eastAsia" w:ascii="宋体" w:hAnsi="宋体" w:eastAsia="宋体" w:cs="宋体"/>
          <w:color w:val="auto"/>
          <w:sz w:val="22"/>
          <w:szCs w:val="22"/>
          <w:highlight w:val="none"/>
          <w:u w:val="single"/>
          <w:lang w:val="zh-CN"/>
        </w:rPr>
        <w:t xml:space="preserve">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lang w:val="zh-CN"/>
        </w:rPr>
        <w:t xml:space="preserve"> 承包人向发包人交纳违约金不低于1000元/人•天，必要时发包人有权要求承包人停工整顿，停工整顿期间造成的工期延误及损失由承包人自行承担，同时发包人将上报建设行政主管部门、招投标监管部门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lang w:val="zh-CN"/>
        </w:rPr>
        <w:t xml:space="preserve"> 向发包人交纳违约金不低于</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lang w:val="zh-CN"/>
        </w:rPr>
        <w:t xml:space="preserve">000元/人•次，如擅自离开施工现场而未参加工地例会的，向发包人交纳违约金不低于</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lang w:val="zh-CN"/>
        </w:rPr>
        <w:t xml:space="preserve">000元/人•次，如月累计三次及以上的，承包人须再向发包人交纳违约金不低于</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000元，同时发包人有权要求承包人更换相应管理人员，</w:t>
      </w:r>
      <w:r>
        <w:rPr>
          <w:rFonts w:hint="eastAsia" w:ascii="宋体" w:hAnsi="宋体" w:eastAsia="宋体" w:cs="宋体"/>
          <w:color w:val="auto"/>
          <w:sz w:val="22"/>
          <w:szCs w:val="22"/>
          <w:highlight w:val="none"/>
          <w:u w:val="single"/>
          <w:lang w:val="zh-CN"/>
        </w:rPr>
        <w:t xml:space="preserve">由此造成的一切损失由承包人自行承担</w:t>
      </w:r>
      <w:r>
        <w:rPr>
          <w:rFonts w:hint="eastAsia" w:ascii="宋体" w:hAnsi="宋体" w:eastAsia="宋体" w:cs="宋体"/>
          <w:color w:val="auto"/>
          <w:sz w:val="22"/>
          <w:szCs w:val="22"/>
          <w:highlight w:val="none"/>
          <w:u w:val="single"/>
        </w:rPr>
        <w:t xml:space="preserve">；施工现场主要管理人员在岗率，一次如低于50%，承包人向发包人交纳违约金不低于</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000元，</w:t>
      </w:r>
      <w:r>
        <w:rPr>
          <w:rFonts w:hint="eastAsia" w:ascii="宋体" w:hAnsi="宋体" w:eastAsia="宋体" w:cs="宋体"/>
          <w:color w:val="auto"/>
          <w:sz w:val="22"/>
          <w:szCs w:val="22"/>
          <w:highlight w:val="none"/>
          <w:u w:val="single"/>
          <w:lang w:val="zh-CN"/>
        </w:rPr>
        <w:t xml:space="preserve">如月累计二次及以上的，承包人须再向发包人交纳违约金不低于</w:t>
      </w:r>
      <w:r>
        <w:rPr>
          <w:rFonts w:hint="eastAsia" w:ascii="宋体" w:hAnsi="宋体" w:eastAsia="宋体" w:cs="宋体"/>
          <w:color w:val="auto"/>
          <w:sz w:val="22"/>
          <w:szCs w:val="22"/>
          <w:highlight w:val="none"/>
          <w:u w:val="single"/>
        </w:rPr>
        <w:t xml:space="preserve">3000元，同时发包人有权单方终止合同，</w:t>
      </w:r>
      <w:r>
        <w:rPr>
          <w:rFonts w:hint="eastAsia" w:ascii="宋体" w:hAnsi="宋体" w:eastAsia="宋体" w:cs="宋体"/>
          <w:color w:val="auto"/>
          <w:sz w:val="22"/>
          <w:szCs w:val="22"/>
          <w:highlight w:val="none"/>
          <w:u w:val="single"/>
          <w:lang w:val="zh-CN"/>
        </w:rPr>
        <w:t xml:space="preserve">由此造成的一切损失由承包人自行承担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74" w:name="_Toc296890987"/>
      <w:r/>
      <w:bookmarkStart w:id="75" w:name="_Toc297120459"/>
      <w:r/>
      <w:bookmarkStart w:id="76" w:name="_Toc312677988"/>
      <w:r/>
      <w:bookmarkStart w:id="77" w:name="_Toc296891199"/>
      <w:r/>
      <w:bookmarkStart w:id="78" w:name="_Toc296503159"/>
      <w:r/>
      <w:bookmarkStart w:id="79" w:name="_Toc292559869"/>
      <w:r/>
      <w:bookmarkStart w:id="80" w:name="_Toc296944498"/>
      <w:r/>
      <w:bookmarkStart w:id="81" w:name="_Toc296346660"/>
      <w:r/>
      <w:bookmarkStart w:id="82" w:name="_Toc297123492"/>
      <w:r/>
      <w:bookmarkStart w:id="83" w:name="_Toc296347158"/>
      <w:r/>
      <w:bookmarkStart w:id="84" w:name="_Toc297048345"/>
      <w:r/>
      <w:bookmarkStart w:id="85" w:name="_Toc300934945"/>
      <w:r/>
      <w:bookmarkStart w:id="86" w:name="_Toc292559364"/>
      <w:r/>
      <w:bookmarkStart w:id="87" w:name="_Toc297216151"/>
      <w:r/>
      <w:bookmarkStart w:id="88" w:name="_Toc304295523"/>
      <w:r/>
      <w:bookmarkStart w:id="89" w:name="_Toc303539102"/>
      <w:r>
        <w:rPr>
          <w:rFonts w:hint="eastAsia" w:ascii="宋体" w:hAnsi="宋体" w:eastAsia="宋体" w:cs="宋体"/>
          <w:color w:val="auto"/>
          <w:sz w:val="22"/>
          <w:szCs w:val="22"/>
          <w:highlight w:val="none"/>
        </w:rPr>
        <w:t xml:space="preserve">.5 分包</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90" w:name="_Toc300934946"/>
      <w:r/>
      <w:bookmarkStart w:id="91" w:name="_Toc297120460"/>
      <w:r/>
      <w:bookmarkStart w:id="92" w:name="_Toc304295524"/>
      <w:r/>
      <w:bookmarkStart w:id="93" w:name="_Toc296890988"/>
      <w:r/>
      <w:bookmarkStart w:id="94" w:name="_Toc296503160"/>
      <w:r/>
      <w:bookmarkStart w:id="95" w:name="_Toc297216152"/>
      <w:r/>
      <w:bookmarkStart w:id="96" w:name="_Toc297123493"/>
      <w:r/>
      <w:bookmarkStart w:id="97" w:name="_Toc296891200"/>
      <w:r/>
      <w:bookmarkStart w:id="98" w:name="_Toc296347159"/>
      <w:r/>
      <w:bookmarkStart w:id="99" w:name="_Toc296944499"/>
      <w:r/>
      <w:bookmarkStart w:id="100" w:name="_Toc292559365"/>
      <w:r/>
      <w:bookmarkStart w:id="101" w:name="_Toc292559870"/>
      <w:r/>
      <w:bookmarkStart w:id="102" w:name="_Toc296346661"/>
      <w:r/>
      <w:bookmarkStart w:id="103" w:name="_Toc297048346"/>
      <w:r/>
      <w:bookmarkStart w:id="104" w:name="_Toc303539103"/>
      <w:r/>
      <w:bookmarkStart w:id="105" w:name="_Toc318581158"/>
      <w:r/>
      <w:bookmarkStart w:id="106" w:name="_Toc312677989"/>
      <w:r>
        <w:rPr>
          <w:rFonts w:hint="eastAsia" w:ascii="宋体" w:hAnsi="宋体" w:eastAsia="宋体" w:cs="宋体"/>
          <w:color w:val="auto"/>
          <w:sz w:val="22"/>
          <w:szCs w:val="22"/>
          <w:highlight w:val="none"/>
        </w:rPr>
        <w:t xml:space="preserve">.5.1 分包的一般约定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ff0000"/>
          <w:sz w:val="22"/>
          <w:szCs w:val="22"/>
          <w:highlight w:val="none"/>
          <w:u w:val="single"/>
          <w:lang w:val="zh-CN"/>
        </w:rPr>
        <w:t xml:space="preserve"></w:t>
      </w:r>
      <w:r>
        <w:rPr>
          <w:rFonts w:hint="eastAsia" w:ascii="宋体" w:hAnsi="宋体" w:eastAsia="宋体" w:cs="宋体"/>
          <w:color w:val="ff0000"/>
          <w:sz w:val="22"/>
          <w:szCs w:val="22"/>
          <w:highlight w:val="none"/>
          <w:u w:val="single"/>
          <w:lang w:val="en-US" w:eastAsia="zh-CN"/>
        </w:rPr>
        <w:t xml:space="preserve">    </w:t>
      </w:r>
      <w:r>
        <w:rPr>
          <w:rFonts w:hint="eastAsia" w:ascii="宋体" w:hAnsi="宋体" w:eastAsia="宋体" w:cs="宋体"/>
          <w:color w:val="ff0000"/>
          <w:sz w:val="22"/>
          <w:szCs w:val="22"/>
          <w:highlight w:val="none"/>
          <w:u w:val="single"/>
          <w:lang w:val="zh-CN"/>
        </w:rPr>
        <w:t xml:space="preserve"> </w:t>
      </w:r>
      <w:r>
        <w:rPr>
          <w:rFonts w:hint="eastAsia" w:ascii="宋体" w:hAnsi="宋体" w:eastAsia="宋体" w:cs="宋体"/>
          <w:color w:val="ff0000"/>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7" w:name="_Toc296891201"/>
      <w:r/>
      <w:bookmarkStart w:id="108" w:name="_Toc296890989"/>
      <w:r/>
      <w:bookmarkStart w:id="109" w:name="_Toc297216153"/>
      <w:r/>
      <w:bookmarkStart w:id="110" w:name="_Toc304295525"/>
      <w:r/>
      <w:bookmarkStart w:id="111" w:name="_Toc296503161"/>
      <w:r/>
      <w:bookmarkStart w:id="112" w:name="_Toc303539104"/>
      <w:r/>
      <w:bookmarkStart w:id="113" w:name="_Toc297120461"/>
      <w:r/>
      <w:bookmarkStart w:id="114" w:name="_Toc297048347"/>
      <w:r/>
      <w:bookmarkStart w:id="115" w:name="_Toc296346662"/>
      <w:r/>
      <w:bookmarkStart w:id="116" w:name="_Toc297123494"/>
      <w:r/>
      <w:bookmarkStart w:id="117" w:name="_Toc300934947"/>
      <w:r/>
      <w:bookmarkStart w:id="118" w:name="_Toc296944500"/>
      <w:r/>
      <w:bookmarkStart w:id="119" w:name="_Toc296347160"/>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w:t>
      </w:r>
      <w:bookmarkStart w:id="120" w:name="_Toc312677990"/>
      <w:r/>
      <w:bookmarkStart w:id="121" w:name="_Toc318581159"/>
      <w:r>
        <w:rPr>
          <w:rFonts w:hint="eastAsia" w:ascii="宋体" w:hAnsi="宋体" w:eastAsia="宋体" w:cs="宋体"/>
          <w:color w:val="auto"/>
          <w:sz w:val="22"/>
          <w:szCs w:val="22"/>
          <w:highlight w:val="none"/>
        </w:rPr>
        <w:t xml:space="preserve">.5.2分包的确定</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lang w:val="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w:t>
      </w:r>
      <w:r/>
    </w:p>
    <w:p>
      <w:pPr>
        <w:pStyle w:val="1019"/>
        <w:ind w:firstLine="60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3.5.4 分包合同价款</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lang w:val="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w:t>
      </w:r>
      <w:bookmarkEnd w:id="120"/>
      <w:r/>
      <w:bookmarkEnd w:id="121"/>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ind w:firstLine="440"/>
        <w:pageBreakBefore w:val="0"/>
        <w:spacing w:before="120" w:after="120"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zh-CN"/>
        </w:rPr>
        <w:t xml:space="preserve">按通用合同条款执行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lang w:val="zh-CN"/>
        </w:rPr>
        <w:t xml:space="preserve"> 提供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承包人提供履约担保的形式、金额及期限的：</w:t>
      </w:r>
      <w:r/>
    </w:p>
    <w:p>
      <w:pPr>
        <w:ind w:firstLine="440"/>
        <w:jc w:val="left"/>
        <w:pageBreakBefore w:val="0"/>
        <w:spacing w:line="420" w:lineRule="exact"/>
        <w:rPr>
          <w:rFonts w:hint="eastAsia" w:ascii="宋体" w:hAnsi="宋体" w:eastAsia="宋体" w:cs="宋体"/>
          <w:color w:val="auto"/>
          <w:sz w:val="22"/>
          <w:szCs w:val="22"/>
          <w:highlight w:val="none"/>
          <w:u w:val="single"/>
          <w:lang w:val="zh-CN"/>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u w:val="single"/>
          <w:lang w:val="zh-CN"/>
        </w:rPr>
        <w:t xml:space="preserve">履约担保形式：签订合同前，承包人向发包人提交履约保证金（不计利息），履约保证金采用基本户转账</w:t>
      </w:r>
      <w:r>
        <w:rPr>
          <w:rFonts w:hint="eastAsia" w:ascii="宋体" w:hAnsi="宋体" w:cs="宋体"/>
          <w:color w:val="auto"/>
          <w:sz w:val="22"/>
          <w:szCs w:val="22"/>
          <w:highlight w:val="none"/>
          <w:u w:val="single"/>
          <w:lang w:val="zh-CN"/>
        </w:rPr>
        <w:t xml:space="preserve">、</w:t>
      </w:r>
      <w:r>
        <w:rPr>
          <w:rFonts w:hint="eastAsia" w:ascii="宋体" w:hAnsi="宋体" w:eastAsia="宋体" w:cs="宋体"/>
          <w:color w:val="auto"/>
          <w:sz w:val="22"/>
          <w:szCs w:val="22"/>
          <w:highlight w:val="none"/>
          <w:u w:val="single"/>
          <w:lang w:val="zh-CN"/>
        </w:rPr>
        <w:t xml:space="preserve">银行汇票方式</w:t>
      </w:r>
      <w:r>
        <w:rPr>
          <w:rFonts w:hint="eastAsia" w:ascii="宋体" w:hAnsi="宋体" w:cs="宋体"/>
          <w:color w:val="auto"/>
          <w:sz w:val="22"/>
          <w:szCs w:val="22"/>
          <w:highlight w:val="none"/>
          <w:u w:val="single"/>
          <w:lang w:val="en-US" w:eastAsia="zh-CN"/>
        </w:rPr>
        <w:t xml:space="preserve">及银行保函</w:t>
      </w:r>
      <w:r>
        <w:rPr>
          <w:rFonts w:hint="eastAsia" w:ascii="宋体" w:hAnsi="宋体" w:eastAsia="宋体" w:cs="宋体"/>
          <w:color w:val="auto"/>
          <w:sz w:val="22"/>
          <w:szCs w:val="22"/>
          <w:highlight w:val="none"/>
          <w:u w:val="single"/>
          <w:lang w:val="zh-CN"/>
        </w:rPr>
        <w:t xml:space="preserve"> ，存入发包人指定的帐户中，为取得履约担保所需的费用由承包人承担</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rPr>
          <w:rFonts w:hint="eastAsia" w:ascii="宋体" w:hAnsi="宋体" w:cs="宋体"/>
          <w:color w:val="000000"/>
          <w:sz w:val="22"/>
          <w:szCs w:val="22"/>
          <w:u w:val="single"/>
          <w:lang w:val="en-US" w:eastAsia="zh-CN"/>
        </w:rPr>
        <w:t xml:space="preserve">如采用银行保函形式，只接受中标人基本账户开户银行出具的保函。</w:t>
      </w:r>
      <w:r>
        <w:rPr>
          <w:rFonts w:hint="eastAsia" w:ascii="宋体" w:hAnsi="宋体" w:eastAsia="宋体" w:cs="宋体"/>
          <w:color w:val="auto"/>
          <w:sz w:val="22"/>
          <w:szCs w:val="22"/>
          <w:highlight w:val="none"/>
          <w:lang w:val="zh-CN"/>
        </w:rPr>
        <w:t xml:space="preserve">；</w:t>
      </w:r>
      <w:r/>
    </w:p>
    <w:p>
      <w:pPr>
        <w:ind w:firstLine="440"/>
        <w:spacing w:line="400" w:lineRule="atLeast"/>
        <w:rPr>
          <w:rFonts w:hint="eastAsia" w:ascii="宋体" w:hAnsi="宋体" w:eastAsia="宋体" w:cs="宋体"/>
          <w:color w:val="auto"/>
          <w:sz w:val="22"/>
          <w:szCs w:val="22"/>
          <w:highlight w:val="none"/>
          <w:u w:val="single"/>
          <w:lang w:val="zh-CN"/>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u w:val="single"/>
          <w:lang w:val="zh-CN"/>
        </w:rPr>
        <w:t xml:space="preserve">履约担保金额：签约合同价的</w:t>
      </w:r>
      <w:r>
        <w:rPr>
          <w:rFonts w:hint="eastAsia" w:ascii="宋体" w:hAnsi="宋体" w:eastAsia="宋体" w:cs="宋体"/>
          <w:color w:val="auto"/>
          <w:sz w:val="22"/>
          <w:szCs w:val="22"/>
          <w:highlight w:val="none"/>
          <w:u w:val="single"/>
          <w:lang w:val="en-US" w:eastAsia="zh-CN"/>
        </w:rPr>
        <w:t xml:space="preserve">1</w:t>
      </w:r>
      <w:r>
        <w:rPr>
          <w:rFonts w:hint="eastAsia" w:ascii="宋体" w:hAnsi="宋体" w:cs="宋体"/>
          <w:color w:val="auto"/>
          <w:sz w:val="22"/>
          <w:szCs w:val="22"/>
          <w:highlight w:val="none"/>
          <w:u w:val="single"/>
          <w:lang w:val="en-US" w:eastAsia="zh-CN"/>
        </w:rPr>
        <w:t xml:space="preserve">0</w:t>
      </w:r>
      <w:r>
        <w:rPr>
          <w:rFonts w:hint="eastAsia" w:ascii="宋体" w:hAnsi="宋体" w:eastAsia="宋体" w:cs="宋体"/>
          <w:color w:val="auto"/>
          <w:sz w:val="22"/>
          <w:szCs w:val="22"/>
          <w:highlight w:val="none"/>
          <w:u w:val="single"/>
          <w:lang w:val="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000000"/>
          <w:sz w:val="22"/>
          <w:szCs w:val="22"/>
          <w:u w:val="single"/>
        </w:rPr>
        <w:t xml:space="preserve">竣工验收合格后无息返还（职能部门全部验收合格）</w:t>
      </w:r>
      <w:r>
        <w:rPr>
          <w:rFonts w:hint="eastAsia" w:ascii="宋体" w:hAnsi="宋体" w:eastAsia="宋体" w:cs="宋体"/>
          <w:color w:val="auto"/>
          <w:sz w:val="22"/>
          <w:szCs w:val="22"/>
          <w:highlight w:val="none"/>
          <w:lang w:val="zh-CN"/>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u w:val="single"/>
          <w:lang w:val="zh-CN"/>
        </w:rPr>
        <w:t xml:space="preserve">履约担保有效期：应当自本合同生效之日起至工程</w:t>
      </w:r>
      <w:r>
        <w:rPr>
          <w:rFonts w:hint="eastAsia" w:ascii="宋体" w:hAnsi="宋体" w:eastAsia="宋体" w:cs="宋体"/>
          <w:color w:val="000000"/>
          <w:sz w:val="22"/>
          <w:szCs w:val="22"/>
          <w:u w:val="single"/>
        </w:rPr>
        <w:t xml:space="preserve">职能部门全部验收合格</w:t>
      </w:r>
      <w:r>
        <w:rPr>
          <w:rFonts w:hint="eastAsia" w:ascii="宋体" w:hAnsi="宋体" w:eastAsia="宋体" w:cs="宋体"/>
          <w:color w:val="auto"/>
          <w:sz w:val="22"/>
          <w:szCs w:val="22"/>
          <w:highlight w:val="none"/>
          <w:u w:val="single"/>
          <w:lang w:val="zh-CN"/>
        </w:rPr>
        <w:t xml:space="preserve">之日止</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22" w:name="_Toc351203636"/>
      <w:r/>
      <w:r/>
    </w:p>
    <w:p>
      <w:pPr>
        <w:pStyle w:val="1009"/>
        <w:pageBreakBefore w:val="0"/>
        <w:spacing w:before="120" w:after="120" w:line="420" w:lineRule="exact"/>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4</w:t>
      </w:r>
      <w:bookmarkStart w:id="123" w:name="_Toc296346663"/>
      <w:r/>
      <w:bookmarkStart w:id="124" w:name="_Toc297120462"/>
      <w:r/>
      <w:bookmarkStart w:id="125" w:name="_Toc296944501"/>
      <w:r/>
      <w:bookmarkStart w:id="126" w:name="_Toc296891202"/>
      <w:r/>
      <w:bookmarkStart w:id="127" w:name="_Toc267251413"/>
      <w:r/>
      <w:bookmarkStart w:id="128" w:name="_Toc292559366"/>
      <w:r/>
      <w:bookmarkStart w:id="129" w:name="_Toc292559871"/>
      <w:r/>
      <w:bookmarkStart w:id="130" w:name="_Toc296503162"/>
      <w:r/>
      <w:bookmarkStart w:id="131" w:name="_Toc297048348"/>
      <w:r/>
      <w:bookmarkStart w:id="132" w:name="_Toc296890990"/>
      <w:r/>
      <w:bookmarkStart w:id="133" w:name="_Toc296347161"/>
      <w:r>
        <w:rPr>
          <w:rFonts w:hint="eastAsia" w:ascii="宋体" w:hAnsi="宋体" w:eastAsia="宋体" w:cs="宋体"/>
          <w:b w:val="0"/>
          <w:color w:val="auto"/>
          <w:sz w:val="22"/>
          <w:szCs w:val="22"/>
          <w:highlight w:val="none"/>
        </w:rPr>
        <w:t xml:space="preserve">. 监</w:t>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val="0"/>
          <w:color w:val="auto"/>
          <w:sz w:val="22"/>
          <w:szCs w:val="22"/>
          <w:highlight w:val="none"/>
        </w:rPr>
        <w:t xml:space="preserve">理人</w:t>
      </w:r>
      <w:bookmarkEnd w:id="122"/>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lang w:val="zh-CN"/>
        </w:rPr>
        <w:t xml:space="preserve"> 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lang w:val="zh-CN"/>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w:t>
      </w:r>
      <w:r>
        <w:rPr>
          <w:rFonts w:hint="eastAsia"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lang w:val="zh-CN"/>
        </w:rPr>
        <w:t xml:space="preserve">）暂列金额、计日工、暂估价的使用和确认等 </w:t>
      </w:r>
      <w:r>
        <w:rPr>
          <w:rFonts w:hint="eastAsia" w:ascii="宋体" w:hAnsi="宋体" w:eastAsia="宋体" w:cs="宋体"/>
          <w:color w:val="auto"/>
          <w:sz w:val="22"/>
          <w:szCs w:val="22"/>
          <w:highlight w:val="none"/>
        </w:rPr>
        <w:t xml:space="preserve">。 </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lang w:val="zh-CN"/>
        </w:rPr>
        <w:t xml:space="preserve"> 承包人免费负责提供发包人和监理人在施工现场的办公场所，并配备必备的办公桌椅、文件柜等设施，相关费用承包人已在投标报价中综合考虑，发包人不再额外予以补偿。监理人的生活场所，由监理人自行解决。如果承包人向监理人提供食宿等，不论有偿或无偿，都将视为承包人违约，由承包人向发包人支付违约金</w:t>
      </w:r>
      <w:r>
        <w:rPr>
          <w:rFonts w:hint="eastAsia" w:ascii="宋体" w:hAnsi="宋体" w:eastAsia="宋体" w:cs="宋体"/>
          <w:color w:val="auto"/>
          <w:sz w:val="22"/>
          <w:szCs w:val="22"/>
          <w:highlight w:val="none"/>
          <w:u w:val="single"/>
          <w:lang w:val="en-US" w:eastAsia="zh-CN"/>
        </w:rPr>
        <w:t xml:space="preserve">2000元</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 商定或确定</w:t>
      </w:r>
      <w:r/>
    </w:p>
    <w:p>
      <w:pPr>
        <w:ind w:firstLine="440"/>
        <w:pageBreakBefore w:val="0"/>
        <w:spacing w:line="420" w:lineRule="exact"/>
        <w:rPr>
          <w:rFonts w:hint="eastAsia" w:ascii="宋体" w:hAnsi="宋体" w:eastAsia="宋体" w:cs="宋体"/>
          <w:color w:val="auto"/>
          <w:sz w:val="22"/>
          <w:szCs w:val="22"/>
          <w:highlight w:val="none"/>
        </w:rPr>
      </w:pPr>
      <w:r/>
      <w:bookmarkStart w:id="134" w:name="_Toc267251418"/>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135" w:name="_Toc351203637"/>
      <w:r>
        <w:rPr>
          <w:rFonts w:hint="eastAsia" w:ascii="宋体" w:hAnsi="宋体" w:eastAsia="宋体" w:cs="宋体"/>
          <w:b w:val="0"/>
          <w:color w:val="auto"/>
          <w:sz w:val="22"/>
          <w:szCs w:val="22"/>
          <w:highlight w:val="none"/>
        </w:rPr>
        <w:t xml:space="preserve">5</w:t>
      </w:r>
      <w:bookmarkEnd w:id="134"/>
      <w:r/>
      <w:bookmarkStart w:id="136" w:name="_Toc296503163"/>
      <w:r/>
      <w:bookmarkStart w:id="137" w:name="_Toc296890991"/>
      <w:r/>
      <w:bookmarkStart w:id="138" w:name="_Toc296347162"/>
      <w:r/>
      <w:bookmarkStart w:id="139" w:name="_Toc292559872"/>
      <w:r/>
      <w:bookmarkStart w:id="140" w:name="_Toc297048349"/>
      <w:r/>
      <w:bookmarkStart w:id="141" w:name="_Toc296891203"/>
      <w:r/>
      <w:bookmarkStart w:id="142" w:name="_Toc297120463"/>
      <w:r/>
      <w:bookmarkStart w:id="143" w:name="_Toc296346664"/>
      <w:r/>
      <w:bookmarkStart w:id="144" w:name="_Toc292559367"/>
      <w:r/>
      <w:bookmarkStart w:id="145" w:name="_Toc296944502"/>
      <w:r>
        <w:rPr>
          <w:rFonts w:hint="eastAsia" w:ascii="宋体" w:hAnsi="宋体" w:eastAsia="宋体" w:cs="宋体"/>
          <w:b w:val="0"/>
          <w:color w:val="auto"/>
          <w:sz w:val="22"/>
          <w:szCs w:val="22"/>
          <w:highlight w:val="none"/>
        </w:rPr>
        <w:t xml:space="preserve">. 工程质量</w:t>
      </w:r>
      <w:bookmarkEnd w:id="135"/>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5.1 质量要求</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bookmarkStart w:id="146" w:name="_Toc304295527"/>
      <w:r/>
      <w:bookmarkStart w:id="147" w:name="_Toc303539106"/>
      <w:r/>
      <w:bookmarkStart w:id="148" w:name="_Toc297216155"/>
      <w:r/>
      <w:bookmarkStart w:id="149" w:name="_Toc297123496"/>
      <w:r/>
      <w:bookmarkStart w:id="150" w:name="_Toc312677997"/>
      <w:r/>
      <w:bookmarkStart w:id="151" w:name="_Toc300934949"/>
      <w:r/>
      <w:bookmarkStart w:id="152" w:name="_Toc318581164"/>
      <w:r>
        <w:rPr>
          <w:rFonts w:hint="eastAsia" w:ascii="宋体" w:hAnsi="宋体" w:eastAsia="宋体" w:cs="宋体"/>
          <w:color w:val="auto"/>
          <w:sz w:val="22"/>
          <w:szCs w:val="22"/>
          <w:highlight w:val="none"/>
        </w:rPr>
        <w:t xml:space="preserve">.1.1 特殊质量标准和要求：</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5.3 隐蔽工程检查</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5.3.2承包人提前通知监理人隐蔽工程检查的期限的约定：</w:t>
      </w:r>
      <w:r>
        <w:rPr>
          <w:rFonts w:hint="eastAsia" w:ascii="宋体" w:hAnsi="宋体" w:eastAsia="宋体" w:cs="宋体"/>
          <w:color w:val="auto"/>
          <w:sz w:val="22"/>
          <w:szCs w:val="22"/>
          <w:highlight w:val="none"/>
          <w:u w:val="single"/>
          <w:lang w:val="zh-CN"/>
        </w:rPr>
        <w:t xml:space="preserve"> 承包人应在检查前48小时以书面形式通知监理人检查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小时提交书面延期要求。</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rPr>
        <w:t xml:space="preserve">小时。</w:t>
      </w:r>
      <w:bookmarkStart w:id="153" w:name="_Toc351203638"/>
      <w:r>
        <w:rPr>
          <w:rFonts w:hint="eastAsia" w:ascii="宋体" w:hAnsi="宋体" w:eastAsia="宋体" w:cs="宋体"/>
          <w:color w:val="auto"/>
          <w:sz w:val="22"/>
          <w:szCs w:val="22"/>
          <w:highlight w:val="none"/>
        </w:rPr>
        <w:t xml:space="preserve"> </w:t>
      </w:r>
      <w:r/>
    </w:p>
    <w:p>
      <w:pPr>
        <w:pStyle w:val="1009"/>
        <w:pageBreakBefore w:val="0"/>
        <w:spacing w:before="120" w:after="120" w:line="420" w:lineRule="exact"/>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6. 安全文明施工与环境保护</w:t>
      </w:r>
      <w:bookmarkEnd w:id="153"/>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在达到100%等。承包人在</w:t>
      </w:r>
      <w:r>
        <w:rPr>
          <w:rFonts w:hint="eastAsia" w:ascii="宋体" w:hAnsi="宋体" w:eastAsia="宋体" w:cs="宋体"/>
          <w:color w:val="auto"/>
          <w:sz w:val="22"/>
          <w:szCs w:val="22"/>
          <w:highlight w:val="none"/>
          <w:u w:val="single"/>
          <w:lang w:eastAsia="zh-CN"/>
        </w:rPr>
        <w:t xml:space="preserve">施工范围内</w:t>
      </w:r>
      <w:r>
        <w:rPr>
          <w:rFonts w:hint="eastAsia" w:ascii="宋体" w:hAnsi="宋体" w:eastAsia="宋体" w:cs="宋体"/>
          <w:color w:val="auto"/>
          <w:sz w:val="22"/>
          <w:szCs w:val="22"/>
          <w:highlight w:val="none"/>
          <w:u w:val="single"/>
        </w:rPr>
        <w:t xml:space="preserve">的安全管理、教育和安全事故责任由承包人负责</w:t>
      </w:r>
      <w:r>
        <w:rPr>
          <w:rFonts w:hint="eastAsia" w:ascii="宋体" w:hAnsi="宋体" w:eastAsia="宋体" w:cs="宋体"/>
          <w:color w:val="auto"/>
          <w:sz w:val="22"/>
          <w:szCs w:val="22"/>
          <w:u w:val="single"/>
        </w:rPr>
        <w:t xml:space="preserve">负责协调处理并承担全部责任</w:t>
      </w:r>
      <w:r>
        <w:rPr>
          <w:rFonts w:hint="eastAsia" w:ascii="宋体" w:hAnsi="宋体" w:eastAsia="宋体" w:cs="宋体"/>
          <w:color w:val="auto"/>
          <w:sz w:val="22"/>
          <w:szCs w:val="22"/>
          <w:highlight w:val="none"/>
          <w:u w:val="single"/>
        </w:rPr>
        <w:t xml:space="preserve">，费用含在安全文明施工费中。承包人负责施工现场的安全及第三方的人身安全 </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u w:val="single"/>
        </w:rPr>
        <w:t xml:space="preserve">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w:t>
      </w:r>
      <w:r>
        <w:rPr>
          <w:rFonts w:hint="eastAsia" w:ascii="宋体" w:hAnsi="宋体" w:eastAsia="宋体" w:cs="宋体"/>
          <w:color w:val="auto"/>
          <w:sz w:val="22"/>
          <w:szCs w:val="22"/>
          <w:u w:val="single"/>
        </w:rPr>
        <w:t xml:space="preserve">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由于时间紧，乙方应精心组织，加强领导，针对不同的施工方案采取不同的安全措施，确保安全措施落到实处，做到文明施工，使本工程按质、按量、按期完成。安全生产及安全防护费用已包含在合同价款内。</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color w:val="auto"/>
          <w:sz w:val="22"/>
          <w:szCs w:val="22"/>
          <w:highlight w:val="none"/>
          <w:u w:val="single"/>
        </w:rPr>
        <w:t xml:space="preserve"> 由承包人负责统一管理施工现场的治安保卫事项，履行合同工程的治安保卫职责，其费用由承包人自行承担</w:t>
      </w:r>
      <w:r>
        <w:rPr>
          <w:rFonts w:hint="eastAsia" w:ascii="宋体" w:hAnsi="宋体" w:eastAsia="宋体" w:cs="宋体"/>
          <w:color w:val="auto"/>
          <w:sz w:val="22"/>
          <w:szCs w:val="22"/>
          <w:highlight w:val="none"/>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jc w:val="left"/>
        <w:pageBreakBefore w:val="0"/>
        <w:spacing w:line="420" w:lineRule="exact"/>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 本工程施工场地须符合有关主管部门规定的标准化施工现场和文明工地要求，同时应满足市政、市容等有关主管部门的有关规定，承包人违反规定造成的损失和罚款由承包人负责 </w:t>
      </w:r>
      <w:r>
        <w:rPr>
          <w:rFonts w:hint="eastAsia" w:ascii="宋体" w:hAnsi="宋体" w:eastAsia="宋体" w:cs="宋体"/>
          <w:color w:val="auto"/>
          <w:sz w:val="22"/>
          <w:szCs w:val="22"/>
          <w:u w:val="single"/>
        </w:rPr>
        <w:t xml:space="preserve">（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w:t>
      </w:r>
      <w:r>
        <w:rPr>
          <w:rFonts w:hint="eastAsia" w:ascii="宋体" w:hAnsi="宋体" w:eastAsia="宋体" w:cs="宋体"/>
          <w:color w:val="auto"/>
          <w:sz w:val="22"/>
          <w:szCs w:val="22"/>
          <w:u w:val="single"/>
          <w:lang w:eastAsia="zh-CN"/>
        </w:rPr>
        <w:t xml:space="preserve">及相关部门要求建设单位对围挡、围墙（绿色围墙、围挡）等外围进行整改或张贴广告</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u w:val="single"/>
          <w:lang w:eastAsia="zh-CN"/>
        </w:rPr>
        <w:t xml:space="preserve">均由承包人承担，</w:t>
      </w:r>
      <w:r>
        <w:rPr>
          <w:rFonts w:hint="eastAsia" w:ascii="宋体" w:hAnsi="宋体" w:eastAsia="宋体" w:cs="宋体"/>
          <w:color w:val="auto"/>
          <w:sz w:val="22"/>
          <w:szCs w:val="22"/>
          <w:u w:val="single"/>
        </w:rPr>
        <w:t xml:space="preserve">相应费用已包含在现场安全文明施工措施费中。（3）现场废水和污水排放应按批准的方法</w:t>
      </w:r>
      <w:r>
        <w:rPr>
          <w:rFonts w:hint="eastAsia" w:ascii="宋体" w:hAnsi="宋体" w:eastAsia="宋体" w:cs="宋体"/>
          <w:color w:val="auto"/>
          <w:sz w:val="22"/>
          <w:szCs w:val="22"/>
          <w:highlight w:val="none"/>
          <w:u w:val="single"/>
        </w:rPr>
        <w:t xml:space="preserve">处理后，排入指定的排水沟或排水井内，不得污染环境。（4）</w:t>
      </w:r>
      <w:r>
        <w:rPr>
          <w:rFonts w:hint="eastAsia" w:ascii="宋体" w:hAnsi="宋体" w:eastAsia="宋体" w:cs="宋体"/>
          <w:color w:val="auto"/>
          <w:sz w:val="22"/>
          <w:szCs w:val="22"/>
          <w:highlight w:val="none"/>
          <w:u w:val="single"/>
          <w:lang w:eastAsia="zh-CN"/>
        </w:rPr>
        <w:t xml:space="preserve">现场现有围挡及围墙的拆除，</w:t>
      </w:r>
      <w:r>
        <w:rPr>
          <w:rFonts w:hint="eastAsia" w:ascii="宋体" w:hAnsi="宋体" w:eastAsia="宋体" w:cs="宋体"/>
          <w:color w:val="auto"/>
          <w:sz w:val="22"/>
          <w:szCs w:val="22"/>
          <w:highlight w:val="none"/>
          <w:u w:val="single"/>
        </w:rPr>
        <w:t xml:space="preserve">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w:t>
      </w:r>
      <w:r>
        <w:rPr>
          <w:rFonts w:hint="eastAsia" w:ascii="宋体" w:hAnsi="宋体" w:eastAsia="宋体" w:cs="宋体"/>
          <w:color w:val="auto"/>
          <w:sz w:val="22"/>
          <w:szCs w:val="22"/>
          <w:u w:val="single"/>
        </w:rPr>
        <w:t xml:space="preserve">）临时搭建须经发包人书面批准，且应整齐美观。（7）承包人应保持道路畅通整洁，如污染城市道路和排水管网，一切责任由承包人负责。（8）施</w:t>
      </w:r>
      <w:r>
        <w:rPr>
          <w:rFonts w:hint="eastAsia" w:ascii="宋体" w:hAnsi="宋体" w:eastAsia="宋体" w:cs="宋体"/>
          <w:color w:val="auto"/>
          <w:sz w:val="22"/>
          <w:szCs w:val="22"/>
          <w:highlight w:val="none"/>
          <w:u w:val="single"/>
        </w:rPr>
        <w:t xml:space="preserve">工过程中如遇地下管线、电缆、道路、道板、场地及其它设施等破坏修复费用及</w:t>
      </w:r>
      <w:r>
        <w:rPr>
          <w:rFonts w:hint="eastAsia" w:ascii="宋体" w:hAnsi="宋体" w:eastAsia="宋体" w:cs="宋体"/>
          <w:color w:val="auto"/>
          <w:sz w:val="22"/>
          <w:szCs w:val="22"/>
          <w:highlight w:val="none"/>
          <w:u w:val="single"/>
          <w:lang w:eastAsia="zh-CN"/>
        </w:rPr>
        <w:t xml:space="preserve">管网移位等</w:t>
      </w:r>
      <w:r>
        <w:rPr>
          <w:rFonts w:hint="eastAsia" w:ascii="宋体" w:hAnsi="宋体" w:eastAsia="宋体" w:cs="宋体"/>
          <w:color w:val="auto"/>
          <w:sz w:val="22"/>
          <w:szCs w:val="22"/>
          <w:highlight w:val="none"/>
          <w:u w:val="single"/>
        </w:rPr>
        <w:t xml:space="preserve">施工过程中发生的一切安全责任，均由承包人自行承担；如低于原标准或未能及时</w:t>
      </w:r>
      <w:r>
        <w:rPr>
          <w:rFonts w:hint="eastAsia" w:ascii="宋体" w:hAnsi="宋体" w:eastAsia="宋体" w:cs="宋体"/>
          <w:color w:val="auto"/>
          <w:sz w:val="22"/>
          <w:szCs w:val="22"/>
          <w:u w:val="single"/>
        </w:rPr>
        <w:t xml:space="preserve">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w:t>
      </w: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lang w:val="en-US" w:eastAsia="zh-CN"/>
        </w:rPr>
        <w:t xml:space="preserve">10</w:t>
      </w:r>
      <w:r>
        <w:rPr>
          <w:rFonts w:hint="eastAsia" w:ascii="宋体" w:hAnsi="宋体" w:eastAsia="宋体" w:cs="宋体"/>
          <w:color w:val="auto"/>
          <w:sz w:val="22"/>
          <w:szCs w:val="22"/>
          <w:u w:val="single"/>
          <w:lang w:eastAsia="zh-CN"/>
        </w:rPr>
        <w:t xml:space="preserve">）承包人须严格执行绿色施工相关规范及标准等要求，如有一项达不到将处罚</w:t>
      </w:r>
      <w:r>
        <w:rPr>
          <w:rFonts w:hint="eastAsia" w:ascii="宋体" w:hAnsi="宋体" w:eastAsia="宋体" w:cs="宋体"/>
          <w:color w:val="auto"/>
          <w:sz w:val="22"/>
          <w:szCs w:val="22"/>
          <w:u w:val="single"/>
          <w:lang w:val="en-US" w:eastAsia="zh-CN"/>
        </w:rPr>
        <w:t xml:space="preserve">5000元，由发包人从承包人当前进度款中直接扣除。</w:t>
      </w:r>
      <w:r/>
    </w:p>
    <w:p>
      <w:pPr>
        <w:keepLines/>
        <w:keepNext/>
        <w:pageBreakBefore w:val="0"/>
        <w:spacing w:before="120" w:after="120" w:line="420" w:lineRule="exact"/>
        <w:rPr>
          <w:rFonts w:hint="eastAsia" w:ascii="宋体" w:hAnsi="宋体" w:eastAsia="宋体" w:cs="宋体"/>
          <w:color w:val="auto"/>
          <w:sz w:val="22"/>
          <w:szCs w:val="22"/>
          <w:u w:val="single"/>
        </w:rPr>
        <w:outlineLvl w:val="3"/>
      </w:pPr>
      <w:r>
        <w:rPr>
          <w:rFonts w:hint="eastAsia" w:ascii="宋体" w:hAnsi="宋体" w:eastAsia="宋体" w:cs="宋体"/>
          <w:b/>
          <w:bCs/>
          <w:color w:val="auto"/>
          <w:sz w:val="22"/>
          <w:szCs w:val="22"/>
        </w:rPr>
        <w:t xml:space="preserve">注：上述相关费用由承包人在投标报价中自行考虑，施工期间发生的该类一切费用发包人不予补偿。</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color w:val="auto"/>
          <w:sz w:val="22"/>
          <w:szCs w:val="22"/>
          <w:highlight w:val="none"/>
          <w:u w:val="single"/>
        </w:rPr>
        <w:t xml:space="preserve"> 按专用合同条款第12.4.1项〔付款周期〕的约定予以支付 </w:t>
      </w:r>
      <w:r>
        <w:rPr>
          <w:rFonts w:hint="eastAsia" w:ascii="宋体" w:hAnsi="宋体" w:eastAsia="宋体" w:cs="宋体"/>
          <w:color w:val="auto"/>
          <w:sz w:val="22"/>
          <w:szCs w:val="22"/>
          <w:highlight w:val="none"/>
        </w:rPr>
        <w:t xml:space="preserve">。</w:t>
      </w:r>
      <w:bookmarkEnd w:id="146"/>
      <w:r/>
      <w:bookmarkEnd w:id="147"/>
      <w:r/>
      <w:bookmarkEnd w:id="148"/>
      <w:r/>
      <w:bookmarkEnd w:id="149"/>
      <w:r/>
      <w:bookmarkEnd w:id="150"/>
      <w:r/>
      <w:bookmarkEnd w:id="151"/>
      <w:r/>
      <w:bookmarkEnd w:id="152"/>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154" w:name="_Toc351203639"/>
      <w:r>
        <w:rPr>
          <w:rFonts w:hint="eastAsia" w:ascii="宋体" w:hAnsi="宋体" w:eastAsia="宋体" w:cs="宋体"/>
          <w:b w:val="0"/>
          <w:color w:val="auto"/>
          <w:sz w:val="22"/>
          <w:szCs w:val="22"/>
          <w:highlight w:val="none"/>
        </w:rPr>
        <w:t xml:space="preserve">7. 工期和进度</w:t>
      </w:r>
      <w:bookmarkEnd w:id="154"/>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w:t>
      </w:r>
      <w:r>
        <w:rPr>
          <w:rFonts w:hint="eastAsia" w:ascii="宋体" w:hAnsi="宋体" w:eastAsia="宋体" w:cs="宋体"/>
          <w:color w:val="auto"/>
          <w:sz w:val="22"/>
          <w:szCs w:val="22"/>
          <w:highlight w:val="none"/>
        </w:rPr>
        <w:t xml:space="preserve">同当事人约定的施工组织设计应包括的其他内容：</w:t>
      </w:r>
      <w:r>
        <w:rPr>
          <w:rFonts w:hint="eastAsia" w:ascii="宋体" w:hAnsi="宋体" w:eastAsia="宋体" w:cs="宋体"/>
          <w:color w:val="auto"/>
          <w:sz w:val="22"/>
          <w:szCs w:val="22"/>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w:t>
      </w:r>
      <w:r>
        <w:rPr>
          <w:rFonts w:hint="eastAsia" w:ascii="宋体" w:hAnsi="宋体" w:eastAsia="宋体" w:cs="宋体"/>
          <w:color w:val="auto"/>
          <w:sz w:val="22"/>
          <w:szCs w:val="22"/>
          <w:highlight w:val="none"/>
        </w:rPr>
        <w:t xml:space="preserve">施工组织设计的提交和修改</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 承包人应在合同签订后14天内提交详细的施工组织设计，但至迟不得晚于监理人发出开工通知中载明的开工日期前7天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rPr>
        <w:t xml:space="preserve"> 7天内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55" w:name="_Toc303539123"/>
      <w:r/>
      <w:bookmarkStart w:id="156" w:name="_Toc297216173"/>
      <w:r/>
      <w:bookmarkStart w:id="157" w:name="_Toc297123514"/>
      <w:r/>
      <w:bookmarkStart w:id="158" w:name="_Toc300934966"/>
      <w:r/>
      <w:bookmarkStart w:id="159" w:name="_Toc312677479"/>
      <w:r/>
      <w:bookmarkStart w:id="160" w:name="_Toc312678005"/>
      <w:r/>
      <w:bookmarkStart w:id="161" w:name="_Toc304295541"/>
      <w:r>
        <w:rPr>
          <w:rFonts w:hint="eastAsia" w:ascii="宋体" w:hAnsi="宋体" w:eastAsia="宋体" w:cs="宋体"/>
          <w:color w:val="auto"/>
          <w:sz w:val="22"/>
          <w:szCs w:val="22"/>
          <w:highlight w:val="none"/>
        </w:rPr>
        <w:t xml:space="preserve">.2 施工进度计划</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rPr>
        <w:t xml:space="preserve"> 7天内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关于承包人提交</w:t>
      </w:r>
      <w:r>
        <w:rPr>
          <w:rFonts w:hint="eastAsia" w:ascii="宋体" w:hAnsi="宋体" w:eastAsia="宋体" w:cs="宋体"/>
          <w:color w:val="auto"/>
          <w:sz w:val="22"/>
          <w:szCs w:val="22"/>
          <w:highlight w:val="none"/>
        </w:rPr>
        <w:t xml:space="preserve">工程开工报审表的期限：</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w:t>
      </w:r>
      <w:r>
        <w:rPr>
          <w:rFonts w:hint="eastAsia" w:ascii="宋体" w:hAnsi="宋体" w:eastAsia="宋体" w:cs="宋体"/>
          <w:color w:val="auto"/>
          <w:sz w:val="22"/>
          <w:szCs w:val="22"/>
          <w:highlight w:val="none"/>
          <w:lang w:eastAsia="zh-CN"/>
        </w:rPr>
        <w:t xml:space="preserve">承包</w:t>
      </w:r>
      <w:r>
        <w:rPr>
          <w:rFonts w:hint="eastAsia" w:ascii="宋体" w:hAnsi="宋体" w:eastAsia="宋体" w:cs="宋体"/>
          <w:color w:val="auto"/>
          <w:sz w:val="22"/>
          <w:szCs w:val="22"/>
          <w:highlight w:val="none"/>
        </w:rPr>
        <w:t xml:space="preserve">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天内发出开工通知的，承包人有权提出解除合同。</w:t>
      </w:r>
      <w:bookmarkEnd w:id="155"/>
      <w:r/>
      <w:bookmarkEnd w:id="156"/>
      <w:r/>
      <w:bookmarkEnd w:id="157"/>
      <w:r/>
      <w:bookmarkEnd w:id="158"/>
      <w:r/>
      <w:bookmarkEnd w:id="159"/>
      <w:r/>
      <w:bookmarkEnd w:id="160"/>
      <w:r/>
      <w:bookmarkEnd w:id="161"/>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 按合同条款执行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62" w:name="_Toc297123516"/>
      <w:r/>
      <w:bookmarkStart w:id="163" w:name="_Toc300934968"/>
      <w:r/>
      <w:bookmarkStart w:id="164" w:name="_Toc304295546"/>
      <w:r/>
      <w:bookmarkStart w:id="165" w:name="_Toc312678010"/>
      <w:r/>
      <w:bookmarkStart w:id="166" w:name="_Toc312677484"/>
      <w:r/>
      <w:bookmarkStart w:id="167" w:name="_Toc303539125"/>
      <w:r/>
      <w:bookmarkStart w:id="168" w:name="_Toc297216175"/>
      <w:r>
        <w:rPr>
          <w:rFonts w:hint="eastAsia" w:ascii="宋体" w:hAnsi="宋体" w:eastAsia="宋体" w:cs="宋体"/>
          <w:color w:val="auto"/>
          <w:sz w:val="22"/>
          <w:szCs w:val="22"/>
          <w:highlight w:val="none"/>
        </w:rPr>
        <w:t xml:space="preserve">.5 工期延误</w:t>
      </w:r>
      <w:bookmarkEnd w:id="162"/>
      <w:r/>
      <w:bookmarkEnd w:id="163"/>
      <w:r/>
      <w:bookmarkEnd w:id="164"/>
      <w:r/>
      <w:bookmarkEnd w:id="165"/>
      <w:r/>
      <w:bookmarkEnd w:id="166"/>
      <w:r/>
      <w:bookmarkEnd w:id="167"/>
      <w:r/>
      <w:bookmarkEnd w:id="168"/>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（7）因发包人原因导致工期延误的其他情形：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69" w:name="_Toc318581169"/>
      <w:r/>
      <w:bookmarkStart w:id="170" w:name="_Toc312678012"/>
      <w:r/>
      <w:bookmarkStart w:id="171" w:name="_Toc312677486"/>
      <w:r/>
      <w:bookmarkStart w:id="172" w:name="_Toc304295548"/>
      <w:r/>
      <w:bookmarkStart w:id="173" w:name="_Toc303539127"/>
      <w:r/>
      <w:bookmarkStart w:id="174" w:name="_Toc297216177"/>
      <w:r/>
      <w:bookmarkStart w:id="175" w:name="_Toc297123518"/>
      <w:r/>
      <w:bookmarkStart w:id="176" w:name="_Toc300934970"/>
      <w:r>
        <w:rPr>
          <w:rFonts w:hint="eastAsia" w:ascii="宋体" w:hAnsi="宋体" w:eastAsia="宋体" w:cs="宋体"/>
          <w:color w:val="auto"/>
          <w:sz w:val="22"/>
          <w:szCs w:val="22"/>
          <w:highlight w:val="none"/>
        </w:rPr>
        <w:t xml:space="preserve">.5.2 因承包人原因导致工期延误</w:t>
      </w:r>
      <w:bookmarkEnd w:id="169"/>
      <w:r/>
      <w:bookmarkEnd w:id="170"/>
      <w:r/>
      <w:bookmarkEnd w:id="171"/>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w:t>
      </w:r>
      <w:bookmarkStart w:id="177" w:name="_Toc312677487"/>
      <w:r/>
      <w:bookmarkStart w:id="178" w:name="_Toc312678013"/>
      <w:r/>
      <w:bookmarkStart w:id="179"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color w:val="auto"/>
          <w:sz w:val="22"/>
          <w:szCs w:val="22"/>
          <w:highlight w:val="none"/>
          <w:u w:val="single"/>
        </w:rPr>
        <w:t xml:space="preserve"> 承包人向发包人支付</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000元/天的违约金 </w:t>
      </w:r>
      <w:r>
        <w:rPr>
          <w:rFonts w:hint="eastAsia" w:ascii="宋体" w:hAnsi="宋体" w:eastAsia="宋体" w:cs="宋体"/>
          <w:color w:val="auto"/>
          <w:sz w:val="22"/>
          <w:szCs w:val="22"/>
          <w:highlight w:val="none"/>
        </w:rPr>
        <w:t xml:space="preserve">。</w:t>
      </w:r>
      <w:bookmarkEnd w:id="172"/>
      <w:r/>
      <w:bookmarkEnd w:id="173"/>
      <w:r/>
      <w:bookmarkEnd w:id="174"/>
      <w:r/>
      <w:bookmarkEnd w:id="175"/>
      <w:r/>
      <w:bookmarkEnd w:id="176"/>
      <w:r/>
      <w:bookmarkEnd w:id="177"/>
      <w:r/>
      <w:bookmarkEnd w:id="178"/>
      <w:r/>
      <w:bookmarkEnd w:id="179"/>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80" w:name="_Toc297123519"/>
      <w:r/>
      <w:bookmarkStart w:id="181" w:name="_Toc297216178"/>
      <w:r/>
      <w:bookmarkStart w:id="182" w:name="_Toc303539128"/>
      <w:r/>
      <w:bookmarkStart w:id="183" w:name="_Toc312678015"/>
      <w:r/>
      <w:bookmarkStart w:id="184" w:name="_Toc300934971"/>
      <w:r/>
      <w:bookmarkStart w:id="185" w:name="_Toc304295549"/>
      <w:r>
        <w:rPr>
          <w:rFonts w:hint="eastAsia" w:ascii="宋体" w:hAnsi="宋体" w:eastAsia="宋体" w:cs="宋体"/>
          <w:color w:val="auto"/>
          <w:sz w:val="22"/>
          <w:szCs w:val="22"/>
          <w:highlight w:val="none"/>
        </w:rPr>
        <w:t xml:space="preserve">.6 不</w:t>
      </w:r>
      <w:bookmarkEnd w:id="180"/>
      <w:r/>
      <w:bookmarkEnd w:id="181"/>
      <w:r/>
      <w:bookmarkEnd w:id="182"/>
      <w:r/>
      <w:bookmarkEnd w:id="183"/>
      <w:r/>
      <w:bookmarkEnd w:id="184"/>
      <w:r/>
      <w:bookmarkEnd w:id="185"/>
      <w:r>
        <w:rPr>
          <w:rFonts w:hint="eastAsia" w:ascii="宋体" w:hAnsi="宋体" w:eastAsia="宋体" w:cs="宋体"/>
          <w:color w:val="auto"/>
          <w:sz w:val="22"/>
          <w:szCs w:val="22"/>
          <w:highlight w:val="none"/>
        </w:rPr>
        <w:t xml:space="preserve">利物质条件</w:t>
      </w:r>
      <w:r/>
    </w:p>
    <w:p>
      <w:pPr>
        <w:ind w:firstLine="440"/>
        <w:jc w:val="left"/>
        <w:pageBreakBefore w:val="0"/>
        <w:spacing w:line="420" w:lineRule="exact"/>
        <w:rPr>
          <w:rFonts w:hint="eastAsia" w:ascii="宋体" w:hAnsi="宋体" w:eastAsia="宋体" w:cs="宋体"/>
          <w:color w:val="auto"/>
          <w:sz w:val="22"/>
          <w:szCs w:val="22"/>
          <w:highlight w:val="none"/>
        </w:rPr>
      </w:pPr>
      <w:r/>
      <w:bookmarkStart w:id="186" w:name="_Toc304295550"/>
      <w:r/>
      <w:bookmarkStart w:id="187" w:name="_Toc300934972"/>
      <w:r/>
      <w:bookmarkStart w:id="188" w:name="_Toc297216179"/>
      <w:r/>
      <w:bookmarkStart w:id="189" w:name="_Toc312678016"/>
      <w:r/>
      <w:bookmarkStart w:id="190" w:name="_Toc297123520"/>
      <w:r/>
      <w:bookmarkStart w:id="191" w:name="_Toc303539129"/>
      <w:r/>
      <w:bookmarkStart w:id="192" w:name="_Toc318581172"/>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186"/>
      <w:r/>
      <w:bookmarkEnd w:id="187"/>
      <w:r/>
      <w:bookmarkEnd w:id="188"/>
      <w:r/>
      <w:bookmarkEnd w:id="189"/>
      <w:r/>
      <w:bookmarkEnd w:id="190"/>
      <w:r/>
      <w:bookmarkEnd w:id="191"/>
      <w:r/>
      <w:bookmarkEnd w:id="192"/>
      <w:r/>
      <w:r/>
    </w:p>
    <w:p>
      <w:pPr>
        <w:ind w:firstLine="440"/>
        <w:pageBreakBefore w:val="0"/>
        <w:spacing w:after="120" w:line="4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7</w:t>
      </w:r>
      <w:bookmarkStart w:id="193" w:name="_Toc312678017"/>
      <w:r/>
      <w:bookmarkStart w:id="194" w:name="_Toc300934973"/>
      <w:r/>
      <w:bookmarkStart w:id="195" w:name="_Toc297123521"/>
      <w:r/>
      <w:bookmarkStart w:id="196" w:name="_Toc304295551"/>
      <w:r/>
      <w:bookmarkStart w:id="197" w:name="_Toc303539130"/>
      <w:r/>
      <w:bookmarkStart w:id="198" w:name="_Toc297216180"/>
      <w:r>
        <w:rPr>
          <w:rFonts w:hint="eastAsia" w:ascii="宋体" w:hAnsi="宋体" w:eastAsia="宋体" w:cs="宋体"/>
          <w:color w:val="auto"/>
          <w:sz w:val="22"/>
          <w:szCs w:val="22"/>
          <w:highlight w:val="none"/>
        </w:rPr>
        <w:t xml:space="preserve">.7异常恶劣的气候条件</w:t>
      </w:r>
      <w:r>
        <w:rPr>
          <w:rFonts w:hint="eastAsia" w:ascii="宋体" w:hAnsi="宋体" w:eastAsia="宋体" w:cs="宋体"/>
          <w:color w:val="auto"/>
          <w:sz w:val="22"/>
          <w:szCs w:val="22"/>
          <w:highlight w:val="none"/>
          <w:lang w:eastAsia="zh-CN"/>
        </w:rPr>
        <w:t xml:space="preserve">（顺延工期的条件）</w:t>
      </w:r>
      <w:bookmarkEnd w:id="193"/>
      <w:r/>
      <w:bookmarkEnd w:id="194"/>
      <w:r/>
      <w:bookmarkEnd w:id="195"/>
      <w:r/>
      <w:bookmarkEnd w:id="196"/>
      <w:r/>
      <w:bookmarkEnd w:id="197"/>
      <w:r/>
      <w:bookmarkEnd w:id="198"/>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numPr>
          <w:ilvl w:val="0"/>
          <w:numId w:val="12"/>
        </w:num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气温高于</w:t>
      </w:r>
      <w:r>
        <w:rPr>
          <w:rFonts w:hint="eastAsia" w:ascii="宋体" w:hAnsi="宋体" w:eastAsia="宋体" w:cs="宋体"/>
          <w:color w:val="auto"/>
          <w:sz w:val="22"/>
          <w:szCs w:val="22"/>
          <w:highlight w:val="none"/>
          <w:u w:val="single"/>
          <w:lang w:val="en-US" w:eastAsia="zh-CN"/>
        </w:rPr>
        <w:t xml:space="preserve">35</w:t>
      </w:r>
      <w:r>
        <w:rPr>
          <w:rFonts w:hint="eastAsia" w:ascii="宋体" w:hAnsi="宋体" w:eastAsia="宋体" w:cs="宋体"/>
          <w:color w:val="auto"/>
          <w:sz w:val="22"/>
          <w:szCs w:val="22"/>
          <w:highlight w:val="none"/>
          <w:u w:val="single"/>
        </w:rPr>
        <w:t xml:space="preserve">度或低于零下5度   </w:t>
      </w:r>
      <w:r>
        <w:rPr>
          <w:rFonts w:hint="eastAsia" w:ascii="宋体" w:hAnsi="宋体" w:eastAsia="宋体" w:cs="宋体"/>
          <w:color w:val="auto"/>
          <w:sz w:val="22"/>
          <w:szCs w:val="22"/>
          <w:highlight w:val="none"/>
        </w:rPr>
        <w:t xml:space="preserve">；</w:t>
      </w:r>
      <w:r/>
    </w:p>
    <w:p>
      <w:pPr>
        <w:numPr>
          <w:ilvl w:val="0"/>
          <w:numId w:val="12"/>
        </w:numPr>
        <w:ind w:firstLine="440"/>
        <w:jc w:val="left"/>
        <w:pageBreakBefore w:val="0"/>
        <w:spacing w:line="420" w:lineRule="exact"/>
        <w:rPr>
          <w:rFonts w:hint="eastAsia"/>
          <w:color w:val="auto"/>
          <w:sz w:val="22"/>
          <w:szCs w:val="22"/>
          <w:highlight w:val="none"/>
        </w:rPr>
      </w:pPr>
      <w:r>
        <w:rPr>
          <w:rFonts w:hint="eastAsia" w:ascii="宋体" w:hAnsi="宋体" w:cs="宋体"/>
          <w:color w:val="auto"/>
          <w:sz w:val="22"/>
          <w:szCs w:val="22"/>
          <w:highlight w:val="none"/>
          <w:u w:val="single"/>
          <w:lang w:eastAsia="zh-CN"/>
        </w:rPr>
        <w:t xml:space="preserve">雨天</w:t>
      </w:r>
      <w:r>
        <w:rPr>
          <w:rFonts w:hint="eastAsia" w:ascii="宋体" w:hAnsi="宋体" w:eastAsia="宋体" w:cs="宋体"/>
          <w:color w:val="auto"/>
          <w:sz w:val="22"/>
          <w:szCs w:val="22"/>
          <w:highlight w:val="none"/>
          <w:u w:val="single"/>
        </w:rPr>
        <w:t xml:space="preserve">降水量超过</w:t>
      </w:r>
      <w:r>
        <w:rPr>
          <w:rFonts w:hint="eastAsia" w:ascii="宋体" w:hAnsi="宋体"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u w:val="single"/>
        </w:rPr>
        <w:t xml:space="preserve">0毫米的大暴雨 </w:t>
      </w:r>
      <w:r>
        <w:rPr>
          <w:rFonts w:hint="eastAsia" w:ascii="宋体" w:hAnsi="宋体" w:eastAsia="宋体" w:cs="宋体"/>
          <w:color w:val="auto"/>
          <w:sz w:val="22"/>
          <w:szCs w:val="22"/>
          <w:highlight w:val="none"/>
        </w:rPr>
        <w:t xml:space="preserve">。</w:t>
      </w:r>
      <w:r/>
    </w:p>
    <w:p>
      <w:pPr>
        <w:numPr>
          <w:ilvl w:val="0"/>
          <w:numId w:val="0"/>
        </w:numPr>
        <w:ind w:firstLine="880"/>
        <w:jc w:val="left"/>
        <w:pageBreakBefore w:val="0"/>
        <w:spacing w:line="4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注：均以气象部门公布的为准。</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199" w:name="_Toc351203640"/>
      <w:r>
        <w:rPr>
          <w:rFonts w:hint="eastAsia" w:ascii="宋体" w:hAnsi="宋体" w:eastAsia="宋体" w:cs="宋体"/>
          <w:b w:val="0"/>
          <w:color w:val="auto"/>
          <w:sz w:val="22"/>
          <w:szCs w:val="22"/>
          <w:highlight w:val="none"/>
        </w:rPr>
        <w:t xml:space="preserve">8. 材料与设备</w:t>
      </w:r>
      <w:bookmarkEnd w:id="199"/>
      <w:r/>
      <w:bookmarkEnd w:id="136"/>
      <w:r/>
      <w:bookmarkEnd w:id="137"/>
      <w:r/>
      <w:bookmarkEnd w:id="138"/>
      <w:r/>
      <w:bookmarkEnd w:id="139"/>
      <w:r/>
      <w:bookmarkEnd w:id="140"/>
      <w:r/>
      <w:bookmarkEnd w:id="141"/>
      <w:r/>
      <w:bookmarkEnd w:id="142"/>
      <w:r/>
      <w:bookmarkEnd w:id="143"/>
      <w:r/>
      <w:bookmarkEnd w:id="144"/>
      <w:r/>
      <w:bookmarkEnd w:id="145"/>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200" w:name="_Toc300934979"/>
      <w:r/>
      <w:bookmarkStart w:id="201" w:name="_Toc296890995"/>
      <w:r/>
      <w:bookmarkStart w:id="202" w:name="_Toc296347166"/>
      <w:r/>
      <w:bookmarkStart w:id="203" w:name="_Toc292559877"/>
      <w:r/>
      <w:bookmarkStart w:id="204" w:name="_Toc297048353"/>
      <w:r/>
      <w:bookmarkStart w:id="205" w:name="_Toc312677493"/>
      <w:r/>
      <w:bookmarkStart w:id="206" w:name="_Toc296944506"/>
      <w:r/>
      <w:bookmarkStart w:id="207" w:name="_Toc303539136"/>
      <w:r/>
      <w:bookmarkStart w:id="208" w:name="_Toc292559372"/>
      <w:r/>
      <w:bookmarkStart w:id="209" w:name="_Toc297216186"/>
      <w:r/>
      <w:bookmarkStart w:id="210" w:name="_Toc304295556"/>
      <w:r/>
      <w:bookmarkStart w:id="211" w:name="_Toc297123527"/>
      <w:r/>
      <w:bookmarkStart w:id="212" w:name="_Toc280868654"/>
      <w:r/>
      <w:bookmarkStart w:id="213" w:name="_Toc312678019"/>
      <w:r/>
      <w:bookmarkStart w:id="214" w:name="_Toc296891207"/>
      <w:r/>
      <w:bookmarkStart w:id="215" w:name="_Toc296503167"/>
      <w:r/>
      <w:bookmarkStart w:id="216" w:name="_Toc297120467"/>
      <w:r/>
      <w:bookmarkStart w:id="217" w:name="_Toc296346668"/>
      <w:r/>
      <w:bookmarkStart w:id="218" w:name="_Toc280868656"/>
      <w:r/>
      <w:bookmarkStart w:id="219" w:name="_Toc280868655"/>
      <w:r/>
      <w:bookmarkStart w:id="220" w:name="_Toc267251424"/>
      <w:r>
        <w:rPr>
          <w:rFonts w:hint="eastAsia" w:ascii="宋体" w:hAnsi="宋体" w:eastAsia="宋体" w:cs="宋体"/>
          <w:color w:val="auto"/>
          <w:sz w:val="22"/>
          <w:szCs w:val="22"/>
          <w:highlight w:val="none"/>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221" w:name="_Toc292559373"/>
      <w:r/>
      <w:bookmarkStart w:id="222" w:name="_Toc292559878"/>
      <w:r/>
      <w:bookmarkStart w:id="223" w:name="_Toc297216187"/>
      <w:r/>
      <w:bookmarkStart w:id="224" w:name="_Toc296503168"/>
      <w:r/>
      <w:bookmarkStart w:id="225" w:name="_Toc297120468"/>
      <w:r/>
      <w:bookmarkStart w:id="226" w:name="_Toc296346669"/>
      <w:r/>
      <w:bookmarkStart w:id="227" w:name="_Toc312678020"/>
      <w:r/>
      <w:bookmarkStart w:id="228" w:name="_Toc297123528"/>
      <w:r/>
      <w:bookmarkStart w:id="229" w:name="_Toc300934980"/>
      <w:r/>
      <w:bookmarkStart w:id="230" w:name="_Toc312677494"/>
      <w:r/>
      <w:bookmarkStart w:id="231" w:name="_Toc296944507"/>
      <w:r/>
      <w:bookmarkStart w:id="232" w:name="_Toc304295557"/>
      <w:r/>
      <w:bookmarkStart w:id="233" w:name="_Toc296891208"/>
      <w:r/>
      <w:bookmarkStart w:id="234" w:name="_Toc296347167"/>
      <w:r/>
      <w:bookmarkStart w:id="235" w:name="_Toc296890996"/>
      <w:r/>
      <w:bookmarkStart w:id="236" w:name="_Toc303539137"/>
      <w:r/>
      <w:bookmarkStart w:id="237" w:name="_Toc318581173"/>
      <w:r/>
      <w:bookmarkStart w:id="238" w:name="_Toc297048354"/>
      <w:r>
        <w:rPr>
          <w:rFonts w:hint="eastAsia" w:ascii="宋体" w:hAnsi="宋体" w:eastAsia="宋体" w:cs="宋体"/>
          <w:color w:val="auto"/>
          <w:sz w:val="22"/>
          <w:szCs w:val="22"/>
          <w:highlight w:val="none"/>
        </w:rPr>
        <w:t xml:space="preserve">.4.1发包人供应的材料设备的保管费用的承担：</w:t>
      </w:r>
      <w:r>
        <w:rPr>
          <w:rFonts w:hint="eastAsia" w:ascii="宋体" w:hAnsi="宋体" w:eastAsia="宋体" w:cs="宋体"/>
          <w:color w:val="auto"/>
          <w:sz w:val="22"/>
          <w:szCs w:val="22"/>
          <w:highlight w:val="none"/>
          <w:u w:val="single"/>
        </w:rPr>
        <w:t xml:space="preserve"> 承包人已综合考虑在投标报价中，发包人不再额外予以补偿 </w:t>
      </w:r>
      <w:r>
        <w:rPr>
          <w:rFonts w:hint="eastAsia" w:ascii="宋体" w:hAnsi="宋体" w:eastAsia="宋体" w:cs="宋体"/>
          <w:color w:val="auto"/>
          <w:sz w:val="22"/>
          <w:szCs w:val="22"/>
          <w:highlight w:val="none"/>
        </w:rPr>
        <w:t xml:space="preserve">。</w:t>
      </w:r>
      <w:bookmarkEnd w:id="221"/>
      <w:r/>
      <w:bookmarkEnd w:id="222"/>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样品的报送与封存</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 按有关规定和发包人要求执行。（1）用于本工程之任何材料或设备，承包人应提供样本作认可之用，使用前必须得到发包人、监理人认可或批准。发包人、监理人对任何样本之认可或批准，并不会解除承包人按合同须履行之责任；（2）如发包人、监理人要求承包人提供不少于三家或三家以上的材料或设备品牌供选择或考察时，承包人须无条件执行且</w:t>
      </w:r>
      <w:r>
        <w:rPr>
          <w:rFonts w:hint="eastAsia" w:ascii="宋体" w:hAnsi="宋体" w:eastAsia="宋体" w:cs="宋体"/>
          <w:color w:val="auto"/>
          <w:sz w:val="22"/>
          <w:szCs w:val="22"/>
          <w:highlight w:val="none"/>
          <w:u w:val="single"/>
        </w:rPr>
        <w:t xml:space="preserve">推荐品牌质量在同类或同行中为优等品；（3）承包人应在投标文件中明确材料或设备所选的品牌、厂家，如果承包人在投标文件中没有明确选用何种品牌，发包人可以指定其他任一品牌厂家，且合同价格不予调整；（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5）发包人有权对承包人的材料采购环节进行监控，对此承包人不得拒绝。相关风险承包人已在投标报价中综合考虑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u w:val="single"/>
        </w:rPr>
        <w:t xml:space="preserve">承包人应自行承担修建临时道路、交通</w:t>
      </w:r>
      <w:r>
        <w:rPr>
          <w:rFonts w:hint="eastAsia" w:ascii="宋体" w:hAnsi="宋体" w:eastAsia="宋体" w:cs="宋体"/>
          <w:color w:val="auto"/>
          <w:sz w:val="22"/>
          <w:szCs w:val="22"/>
          <w:u w:val="single"/>
          <w:lang w:eastAsia="zh-CN"/>
        </w:rPr>
        <w:t xml:space="preserve">、绿色围挡（围墙、张贴广告）并满足相关部门要求</w:t>
      </w:r>
      <w:r>
        <w:rPr>
          <w:rFonts w:hint="eastAsia" w:ascii="宋体" w:hAnsi="宋体" w:eastAsia="宋体" w:cs="宋体"/>
          <w:color w:val="auto"/>
          <w:sz w:val="22"/>
          <w:szCs w:val="22"/>
          <w:u w:val="single"/>
        </w:rPr>
        <w:t xml:space="preserve">等临时设施的费用，并自行保养施工区域，满足施工运输的需要，保证施工期间的畅通，并应免费提供发包人、监理人及与本合同有关的其他承包人使用；相关费用由承包人在投标踏勘现场时综合考虑并计入投标报价内，施工期间发生的该类一切费用发包人不予补偿，承包人所承担的临时设施建设须符合相关政策文件规定。</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239" w:name="_Toc351203641"/>
      <w:r>
        <w:rPr>
          <w:rFonts w:hint="eastAsia" w:ascii="宋体" w:hAnsi="宋体" w:eastAsia="宋体" w:cs="宋体"/>
          <w:b w:val="0"/>
          <w:color w:val="auto"/>
          <w:sz w:val="22"/>
          <w:szCs w:val="22"/>
          <w:highlight w:val="none"/>
        </w:rPr>
        <w:t xml:space="preserve">9</w:t>
      </w:r>
      <w:bookmarkEnd w:id="218"/>
      <w:r/>
      <w:bookmarkEnd w:id="219"/>
      <w:r/>
      <w:bookmarkEnd w:id="220"/>
      <w:r/>
      <w:bookmarkStart w:id="240" w:name="_Toc300934982"/>
      <w:r/>
      <w:bookmarkStart w:id="241" w:name="_Toc297123533"/>
      <w:r/>
      <w:bookmarkStart w:id="242" w:name="_Toc297216192"/>
      <w:r/>
      <w:bookmarkStart w:id="243" w:name="_Toc312677495"/>
      <w:r/>
      <w:bookmarkStart w:id="244" w:name="_Toc312678021"/>
      <w:r/>
      <w:bookmarkStart w:id="245" w:name="_Toc304295559"/>
      <w:r/>
      <w:bookmarkStart w:id="246" w:name="_Toc303539139"/>
      <w:r/>
      <w:bookmarkStart w:id="247" w:name="_Toc296503173"/>
      <w:r/>
      <w:bookmarkStart w:id="248" w:name="_Toc267251427"/>
      <w:r/>
      <w:bookmarkStart w:id="249" w:name="_Toc296891001"/>
      <w:r/>
      <w:bookmarkStart w:id="250" w:name="_Toc297120473"/>
      <w:r/>
      <w:bookmarkStart w:id="251" w:name="_Toc296891213"/>
      <w:r/>
      <w:bookmarkStart w:id="252" w:name="_Toc292559378"/>
      <w:r/>
      <w:bookmarkStart w:id="253" w:name="_Toc267251428"/>
      <w:r/>
      <w:bookmarkStart w:id="254" w:name="_Toc292559883"/>
      <w:r/>
      <w:bookmarkStart w:id="255" w:name="_Toc297048359"/>
      <w:r/>
      <w:bookmarkStart w:id="256" w:name="_Toc296944512"/>
      <w:r/>
      <w:bookmarkStart w:id="257" w:name="_Toc296346674"/>
      <w:r/>
      <w:bookmarkStart w:id="258" w:name="_Toc296347172"/>
      <w:r>
        <w:rPr>
          <w:rFonts w:hint="eastAsia" w:ascii="宋体" w:hAnsi="宋体" w:eastAsia="宋体" w:cs="宋体"/>
          <w:b w:val="0"/>
          <w:color w:val="auto"/>
          <w:sz w:val="22"/>
          <w:szCs w:val="22"/>
          <w:highlight w:val="none"/>
        </w:rPr>
        <w:t xml:space="preserve">. 试验与检验</w:t>
      </w:r>
      <w:bookmarkEnd w:id="239"/>
      <w:r/>
      <w:bookmarkEnd w:id="240"/>
      <w:r/>
      <w:bookmarkEnd w:id="241"/>
      <w:r/>
      <w:bookmarkEnd w:id="242"/>
      <w:r/>
      <w:bookmarkEnd w:id="243"/>
      <w:r/>
      <w:bookmarkEnd w:id="244"/>
      <w:r/>
      <w:bookmarkEnd w:id="245"/>
      <w:r/>
      <w:bookmarkEnd w:id="246"/>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59" w:name="_Toc312678022"/>
      <w:r/>
      <w:bookmarkStart w:id="260" w:name="_Toc303539140"/>
      <w:r/>
      <w:bookmarkStart w:id="261" w:name="_Toc304295560"/>
      <w:r/>
      <w:bookmarkStart w:id="262" w:name="_Toc312677496"/>
      <w:r/>
      <w:bookmarkStart w:id="263" w:name="_Toc297123534"/>
      <w:r/>
      <w:bookmarkStart w:id="264" w:name="_Toc300934983"/>
      <w:r/>
      <w:bookmarkStart w:id="265" w:name="_Toc297216193"/>
      <w:r>
        <w:rPr>
          <w:rFonts w:hint="eastAsia" w:ascii="宋体" w:hAnsi="宋体" w:eastAsia="宋体" w:cs="宋体"/>
          <w:color w:val="auto"/>
          <w:sz w:val="22"/>
          <w:szCs w:val="22"/>
          <w:highlight w:val="none"/>
        </w:rPr>
        <w:t xml:space="preserve">.1试验设备与试验人员</w:t>
      </w:r>
      <w:bookmarkEnd w:id="259"/>
      <w:r/>
      <w:bookmarkEnd w:id="260"/>
      <w:r/>
      <w:bookmarkEnd w:id="261"/>
      <w:r/>
      <w:bookmarkEnd w:id="262"/>
      <w:r/>
      <w:bookmarkEnd w:id="263"/>
      <w:r/>
      <w:bookmarkEnd w:id="264"/>
      <w:r/>
      <w:bookmarkEnd w:id="265"/>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66" w:name="_Toc297123535"/>
      <w:r/>
      <w:bookmarkStart w:id="267" w:name="_Toc300934984"/>
      <w:r/>
      <w:bookmarkStart w:id="268" w:name="_Toc303539141"/>
      <w:r/>
      <w:bookmarkStart w:id="269" w:name="_Toc312678023"/>
      <w:r/>
      <w:bookmarkStart w:id="270" w:name="_Toc297216194"/>
      <w:r/>
      <w:bookmarkStart w:id="271" w:name="_Toc312677497"/>
      <w:r/>
      <w:bookmarkStart w:id="272" w:name="_Toc304295561"/>
      <w:r/>
      <w:bookmarkStart w:id="273" w:name="_Toc318581174"/>
      <w:r>
        <w:rPr>
          <w:rFonts w:hint="eastAsia" w:ascii="宋体" w:hAnsi="宋体" w:eastAsia="宋体" w:cs="宋体"/>
          <w:color w:val="auto"/>
          <w:sz w:val="22"/>
          <w:szCs w:val="22"/>
          <w:highlight w:val="none"/>
        </w:rPr>
        <w:t xml:space="preserve">.1.2 试验设备</w:t>
      </w:r>
      <w:r/>
    </w:p>
    <w:p>
      <w:pPr>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3539142"/>
      <w:r/>
      <w:bookmarkStart w:id="275" w:name="_Toc312677498"/>
      <w:r/>
      <w:bookmarkStart w:id="276" w:name="_Toc300934985"/>
      <w:r/>
      <w:bookmarkStart w:id="277" w:name="_Toc312678024"/>
      <w:r/>
      <w:bookmarkStart w:id="278" w:name="_Toc297123536"/>
      <w:r/>
      <w:bookmarkStart w:id="279" w:name="_Toc297216195"/>
      <w:r/>
      <w:bookmarkStart w:id="280" w:name="_Toc304295562"/>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按现行相关规定、质监部门的有关要求及监理人指示进行配置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highlight w:val="none"/>
        </w:rPr>
        <w:t xml:space="preserve"> </w:t>
      </w:r>
      <w:r/>
    </w:p>
    <w:p>
      <w:pPr>
        <w:jc w:val="left"/>
        <w:pageBreakBefore w:val="0"/>
        <w:spacing w:line="420" w:lineRule="exact"/>
        <w:rPr>
          <w:rFonts w:hint="eastAsia" w:ascii="宋体" w:hAnsi="宋体" w:eastAsia="宋体" w:cs="宋体"/>
          <w:color w:val="auto"/>
          <w:sz w:val="22"/>
          <w:szCs w:val="22"/>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按现行相关规定、质监部门的有关要求及监理人指示进行配置  </w:t>
      </w:r>
      <w:r>
        <w:rPr>
          <w:rFonts w:hint="eastAsia" w:ascii="宋体" w:hAnsi="宋体" w:eastAsia="宋体" w:cs="宋体"/>
          <w:color w:val="auto"/>
          <w:sz w:val="22"/>
          <w:szCs w:val="22"/>
        </w:rPr>
        <w:t xml:space="preserve">。 </w:t>
      </w:r>
      <w:r/>
    </w:p>
    <w:p>
      <w:pPr>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按现行相关规定、质监部门的有关要求及监理人指示进行配置  </w:t>
      </w:r>
      <w:r>
        <w:rPr>
          <w:rFonts w:hint="eastAsia" w:ascii="宋体" w:hAnsi="宋体" w:eastAsia="宋体" w:cs="宋体"/>
          <w:color w:val="auto"/>
          <w:sz w:val="22"/>
          <w:szCs w:val="22"/>
        </w:rPr>
        <w:t xml:space="preserve">。 </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273"/>
      <w:r/>
      <w:bookmarkEnd w:id="274"/>
      <w:r/>
      <w:bookmarkEnd w:id="275"/>
      <w:r/>
      <w:bookmarkEnd w:id="276"/>
      <w:r/>
      <w:bookmarkEnd w:id="277"/>
      <w:r/>
      <w:bookmarkEnd w:id="278"/>
      <w:r/>
      <w:bookmarkEnd w:id="279"/>
      <w:r/>
      <w:bookmarkEnd w:id="280"/>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281" w:name="_Toc351203642"/>
      <w:r>
        <w:rPr>
          <w:rFonts w:hint="eastAsia" w:ascii="宋体" w:hAnsi="宋体" w:eastAsia="宋体" w:cs="宋体"/>
          <w:b w:val="0"/>
          <w:color w:val="auto"/>
          <w:sz w:val="22"/>
          <w:szCs w:val="22"/>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297048379"/>
      <w:r/>
      <w:bookmarkStart w:id="283" w:name="_Toc292559398"/>
      <w:r/>
      <w:bookmarkStart w:id="284" w:name="_Toc304295566"/>
      <w:r/>
      <w:bookmarkStart w:id="285" w:name="_Toc297123540"/>
      <w:r/>
      <w:bookmarkStart w:id="286" w:name="_Toc297120493"/>
      <w:r/>
      <w:bookmarkStart w:id="287" w:name="_Toc292559903"/>
      <w:r/>
      <w:bookmarkStart w:id="288" w:name="_Toc296346694"/>
      <w:r/>
      <w:bookmarkStart w:id="289" w:name="_Toc296503193"/>
      <w:r/>
      <w:bookmarkStart w:id="290" w:name="_Toc296891233"/>
      <w:r/>
      <w:bookmarkStart w:id="291" w:name="_Toc296347192"/>
      <w:r/>
      <w:bookmarkStart w:id="292" w:name="_Toc296944532"/>
      <w:r/>
      <w:bookmarkStart w:id="293" w:name="_Toc300934989"/>
      <w:r/>
      <w:bookmarkStart w:id="294" w:name="_Toc296891021"/>
      <w:r/>
      <w:bookmarkStart w:id="295" w:name="_Toc297216199"/>
      <w:r/>
      <w:bookmarkStart w:id="296" w:name="_Toc303539146"/>
      <w:r/>
      <w:bookmarkStart w:id="297" w:name="_Toc312678025"/>
      <w:r/>
      <w:bookmarkStart w:id="298" w:name="_Toc312677499"/>
      <w:r/>
      <w:bookmarkStart w:id="299" w:name="_Toc267251441"/>
      <w:r/>
      <w:bookmarkStart w:id="300" w:name="_Toc267251435"/>
      <w:r/>
      <w:bookmarkStart w:id="301" w:name="_Toc267251439"/>
      <w:r/>
      <w:bookmarkStart w:id="302" w:name="_Toc267251437"/>
      <w:r/>
      <w:bookmarkStart w:id="303" w:name="_Toc267251440"/>
      <w:r/>
      <w:bookmarkStart w:id="304" w:name="_Toc267251433"/>
      <w:r/>
      <w:bookmarkStart w:id="305" w:name="_Toc267251442"/>
      <w:r>
        <w:rPr>
          <w:rFonts w:hint="eastAsia" w:ascii="宋体" w:hAnsi="宋体" w:eastAsia="宋体" w:cs="宋体"/>
          <w:b w:val="0"/>
          <w:color w:val="auto"/>
          <w:sz w:val="22"/>
          <w:szCs w:val="22"/>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06" w:name="_Toc296891022"/>
      <w:r/>
      <w:bookmarkStart w:id="307" w:name="_Toc300934990"/>
      <w:r/>
      <w:bookmarkStart w:id="308" w:name="_Toc297216200"/>
      <w:r/>
      <w:bookmarkStart w:id="309" w:name="_Toc312677500"/>
      <w:r/>
      <w:bookmarkStart w:id="310" w:name="_Toc296346695"/>
      <w:r/>
      <w:bookmarkStart w:id="311" w:name="_Toc297048380"/>
      <w:r/>
      <w:bookmarkStart w:id="312" w:name="_Toc292559904"/>
      <w:r/>
      <w:bookmarkStart w:id="313" w:name="_Toc312678026"/>
      <w:r/>
      <w:bookmarkStart w:id="314" w:name="_Toc296347193"/>
      <w:r/>
      <w:bookmarkStart w:id="315" w:name="_Toc296891234"/>
      <w:r/>
      <w:bookmarkStart w:id="316" w:name="_Toc292559399"/>
      <w:r/>
      <w:bookmarkStart w:id="317" w:name="_Toc296944533"/>
      <w:r/>
      <w:bookmarkStart w:id="318" w:name="_Toc297120494"/>
      <w:r/>
      <w:bookmarkStart w:id="319" w:name="_Toc296503194"/>
      <w:r/>
      <w:bookmarkStart w:id="320" w:name="_Toc304295567"/>
      <w:r/>
      <w:bookmarkStart w:id="321" w:name="_Toc303539147"/>
      <w:r/>
      <w:bookmarkStart w:id="322" w:name="_Toc297123541"/>
      <w:r>
        <w:rPr>
          <w:rFonts w:hint="eastAsia" w:ascii="宋体" w:hAnsi="宋体" w:eastAsia="宋体" w:cs="宋体"/>
          <w:color w:val="auto"/>
          <w:sz w:val="22"/>
          <w:szCs w:val="22"/>
          <w:highlight w:val="none"/>
        </w:rPr>
        <w:t xml:space="preserve">0.1变更的范围</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10.4 变更估价</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10.4.1 变更估价原则</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numPr>
          <w:ilvl w:val="0"/>
          <w:numId w:val="0"/>
        </w:num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有效的工程变更签证的认定原则：在工程项目实施过程中发生的变更，签证单上必须有发包人、监理人、承包人的签字和盖章，方可作为结算的依据；签证单上必须明确签证的原因、图片资料、位置、尺寸、数量、材料、人工、机械台班等和签证时间</w:t>
      </w: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rPr>
        <w:t xml:space="preserve">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w:t>
      </w:r>
      <w:r>
        <w:rPr>
          <w:rFonts w:hint="eastAsia" w:ascii="宋体" w:hAnsi="宋体" w:eastAsia="宋体" w:cs="宋体"/>
          <w:color w:val="auto"/>
          <w:sz w:val="22"/>
          <w:szCs w:val="22"/>
          <w:highlight w:val="none"/>
          <w:u w:val="single"/>
        </w:rPr>
        <w:t xml:space="preserve">字盖章确认</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承包人每月底报送当月符合本合同范围的变更签证预算。每月初发包人和承</w:t>
      </w:r>
      <w:r>
        <w:rPr>
          <w:rFonts w:hint="eastAsia" w:ascii="宋体" w:hAnsi="宋体" w:eastAsia="宋体" w:cs="宋体"/>
          <w:color w:val="auto"/>
          <w:sz w:val="22"/>
          <w:szCs w:val="22"/>
          <w:u w:val="single"/>
        </w:rPr>
        <w:t xml:space="preserve">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招标人可自行决定是否调整合同价款以及如果招标人决定调整合同价款时，相应调整的具体金额。</w:t>
      </w:r>
      <w:r/>
    </w:p>
    <w:p>
      <w:pPr>
        <w:ind w:firstLine="663"/>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w:t>
      </w:r>
      <w:r>
        <w:rPr>
          <w:rFonts w:hint="eastAsia" w:ascii="宋体" w:hAnsi="宋体" w:cs="宋体"/>
          <w:b/>
          <w:bCs/>
          <w:color w:val="auto"/>
          <w:sz w:val="22"/>
          <w:szCs w:val="22"/>
          <w:lang w:eastAsia="zh-CN"/>
        </w:rPr>
        <w:t xml:space="preserve">单位公</w:t>
      </w:r>
      <w:r>
        <w:rPr>
          <w:rFonts w:hint="eastAsia" w:ascii="宋体" w:hAnsi="宋体" w:eastAsia="宋体" w:cs="宋体"/>
          <w:b/>
          <w:bCs/>
          <w:color w:val="auto"/>
          <w:sz w:val="22"/>
          <w:szCs w:val="22"/>
        </w:rPr>
        <w:t xml:space="preserve">章否则无效。</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296891025"/>
      <w:r/>
      <w:bookmarkStart w:id="324" w:name="_Toc296503197"/>
      <w:r/>
      <w:bookmarkStart w:id="325" w:name="_Toc292559907"/>
      <w:r/>
      <w:bookmarkStart w:id="326" w:name="_Toc296346698"/>
      <w:r/>
      <w:bookmarkStart w:id="327" w:name="_Toc297123544"/>
      <w:r/>
      <w:bookmarkStart w:id="328" w:name="_Toc292559402"/>
      <w:r/>
      <w:bookmarkStart w:id="329" w:name="_Toc297048383"/>
      <w:r/>
      <w:bookmarkStart w:id="330" w:name="_Toc300934993"/>
      <w:r/>
      <w:bookmarkStart w:id="331" w:name="_Toc296944536"/>
      <w:r/>
      <w:bookmarkStart w:id="332" w:name="_Toc296347196"/>
      <w:r/>
      <w:bookmarkStart w:id="333" w:name="_Toc296891237"/>
      <w:r/>
      <w:bookmarkStart w:id="334" w:name="_Toc303539150"/>
      <w:r/>
      <w:bookmarkStart w:id="335" w:name="_Toc297216203"/>
      <w:r/>
      <w:bookmarkStart w:id="336" w:name="_Toc297120497"/>
      <w:r/>
      <w:bookmarkStart w:id="337" w:name="_Toc312677503"/>
      <w:r/>
      <w:bookmarkStart w:id="338" w:name="_Toc312678029"/>
      <w:r/>
      <w:bookmarkStart w:id="339" w:name="_Toc304295570"/>
      <w:r>
        <w:rPr>
          <w:rFonts w:hint="eastAsia" w:ascii="宋体" w:hAnsi="宋体" w:eastAsia="宋体" w:cs="宋体"/>
          <w:color w:val="auto"/>
          <w:sz w:val="22"/>
          <w:szCs w:val="22"/>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303539151"/>
      <w:r/>
      <w:bookmarkStart w:id="341" w:name="_Toc296891031"/>
      <w:r/>
      <w:bookmarkStart w:id="342" w:name="_Toc296347202"/>
      <w:r/>
      <w:bookmarkStart w:id="343" w:name="_Toc296503203"/>
      <w:r/>
      <w:bookmarkStart w:id="344" w:name="_Toc297216204"/>
      <w:r/>
      <w:bookmarkStart w:id="345" w:name="_Toc296891243"/>
      <w:r/>
      <w:bookmarkStart w:id="346" w:name="_Toc297123545"/>
      <w:r/>
      <w:bookmarkStart w:id="347" w:name="_Toc292559408"/>
      <w:r/>
      <w:bookmarkStart w:id="348" w:name="_Toc296944542"/>
      <w:r/>
      <w:bookmarkStart w:id="349" w:name="_Toc296346704"/>
      <w:r/>
      <w:bookmarkStart w:id="350" w:name="_Toc292559913"/>
      <w:r/>
      <w:bookmarkStart w:id="351" w:name="_Toc297120503"/>
      <w:r/>
      <w:bookmarkStart w:id="352" w:name="_Toc300934994"/>
      <w:r/>
      <w:bookmarkStart w:id="353" w:name="_Toc297048389"/>
      <w:r>
        <w:rPr>
          <w:rFonts w:hint="eastAsia" w:ascii="宋体" w:hAnsi="宋体" w:eastAsia="宋体" w:cs="宋体"/>
          <w:color w:val="auto"/>
          <w:sz w:val="22"/>
          <w:szCs w:val="22"/>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54" w:name="_Toc304295571"/>
      <w:r/>
      <w:bookmarkStart w:id="355" w:name="_Toc297216205"/>
      <w:r/>
      <w:bookmarkStart w:id="356" w:name="_Toc297048390"/>
      <w:r/>
      <w:bookmarkStart w:id="357" w:name="_Toc312678030"/>
      <w:r/>
      <w:bookmarkStart w:id="358" w:name="_Toc318581175"/>
      <w:r/>
      <w:bookmarkStart w:id="359" w:name="_Toc296891244"/>
      <w:r/>
      <w:bookmarkStart w:id="360" w:name="_Toc303539152"/>
      <w:r/>
      <w:bookmarkStart w:id="361" w:name="_Toc292559409"/>
      <w:r/>
      <w:bookmarkStart w:id="362" w:name="_Toc297120504"/>
      <w:r/>
      <w:bookmarkStart w:id="363" w:name="_Toc297123546"/>
      <w:r/>
      <w:bookmarkStart w:id="364" w:name="_Toc296503204"/>
      <w:r/>
      <w:bookmarkStart w:id="365" w:name="_Toc300934995"/>
      <w:r/>
      <w:bookmarkStart w:id="366" w:name="_Toc296891032"/>
      <w:r/>
      <w:bookmarkStart w:id="367" w:name="_Toc296346705"/>
      <w:r/>
      <w:bookmarkStart w:id="368" w:name="_Toc292559914"/>
      <w:r/>
      <w:bookmarkStart w:id="369" w:name="_Toc296347203"/>
      <w:r/>
      <w:bookmarkStart w:id="370" w:name="_Toc296944543"/>
      <w:r/>
      <w:bookmarkStart w:id="371" w:name="_Toc312677504"/>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w:t>
      </w:r>
      <w:bookmarkStart w:id="372" w:name="_Toc297048385"/>
      <w:r/>
      <w:bookmarkStart w:id="373" w:name="_Toc297123548"/>
      <w:r/>
      <w:bookmarkStart w:id="374" w:name="_Toc297120499"/>
      <w:r/>
      <w:bookmarkStart w:id="375" w:name="_Toc296891027"/>
      <w:r/>
      <w:bookmarkStart w:id="376" w:name="_Toc296503199"/>
      <w:r/>
      <w:bookmarkStart w:id="377" w:name="_Toc292559404"/>
      <w:r/>
      <w:bookmarkStart w:id="378" w:name="_Toc296347198"/>
      <w:r/>
      <w:bookmarkStart w:id="379" w:name="_Toc300934997"/>
      <w:r/>
      <w:bookmarkStart w:id="380" w:name="_Toc303539154"/>
      <w:r/>
      <w:bookmarkStart w:id="381" w:name="_Toc296944538"/>
      <w:r/>
      <w:bookmarkStart w:id="382" w:name="_Toc292559909"/>
      <w:r/>
      <w:bookmarkStart w:id="383" w:name="_Toc296346700"/>
      <w:r/>
      <w:bookmarkStart w:id="384" w:name="_Toc297216207"/>
      <w:r/>
      <w:bookmarkStart w:id="385" w:name="_Toc304295574"/>
      <w:r/>
      <w:bookmarkStart w:id="386" w:name="_Toc312677507"/>
      <w:r/>
      <w:bookmarkStart w:id="387" w:name="_Toc312678033"/>
      <w:r/>
      <w:bookmarkStart w:id="388" w:name="_Toc296891239"/>
      <w:r>
        <w:rPr>
          <w:rFonts w:hint="eastAsia" w:ascii="宋体" w:hAnsi="宋体" w:eastAsia="宋体" w:cs="宋体"/>
          <w:color w:val="auto"/>
          <w:sz w:val="22"/>
          <w:szCs w:val="22"/>
          <w:highlight w:val="none"/>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w:t>
      </w:r>
      <w:bookmarkStart w:id="389" w:name="_Toc312677508"/>
      <w:r/>
      <w:bookmarkStart w:id="390" w:name="_Toc318581176"/>
      <w:r/>
      <w:bookmarkStart w:id="391" w:name="_Toc312678034"/>
      <w:r>
        <w:rPr>
          <w:rFonts w:hint="eastAsia" w:ascii="宋体" w:hAnsi="宋体" w:eastAsia="宋体" w:cs="宋体"/>
          <w:color w:val="auto"/>
          <w:sz w:val="22"/>
          <w:szCs w:val="22"/>
          <w:highlight w:val="none"/>
        </w:rPr>
        <w:t xml:space="preserve">估价材料和工程设备的明细详见附件11：《</w:t>
      </w:r>
      <w:r>
        <w:rPr>
          <w:rFonts w:hint="eastAsia" w:ascii="宋体" w:hAnsi="宋体" w:eastAsia="宋体" w:cs="宋体"/>
          <w:color w:val="auto"/>
          <w:sz w:val="22"/>
          <w:szCs w:val="22"/>
          <w:highlight w:val="none"/>
        </w:rPr>
        <w:t xml:space="preserve">暂估价一览表》</w:t>
      </w:r>
      <w:r>
        <w:rPr>
          <w:rFonts w:hint="eastAsia" w:ascii="宋体" w:hAnsi="宋体" w:eastAsia="宋体" w:cs="宋体"/>
          <w:color w:val="auto"/>
          <w:sz w:val="22"/>
          <w:szCs w:val="22"/>
          <w:highlight w:val="none"/>
        </w:rPr>
        <w:t xml:space="preserve">。</w:t>
      </w:r>
      <w:bookmarkEnd w:id="389"/>
      <w:r/>
      <w:bookmarkEnd w:id="390"/>
      <w:r/>
      <w:bookmarkEnd w:id="391"/>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92" w:name="_Toc312677509"/>
      <w:r/>
      <w:bookmarkStart w:id="393" w:name="_Toc318581177"/>
      <w:r/>
      <w:bookmarkStart w:id="394" w:name="_Toc312678035"/>
      <w:r>
        <w:rPr>
          <w:rFonts w:hint="eastAsia" w:ascii="宋体" w:hAnsi="宋体" w:eastAsia="宋体" w:cs="宋体"/>
          <w:color w:val="auto"/>
          <w:sz w:val="22"/>
          <w:szCs w:val="22"/>
          <w:highlight w:val="none"/>
        </w:rPr>
        <w:t xml:space="preserve">0.7.1 依法必须招标的暂估价项目</w:t>
      </w:r>
      <w:bookmarkEnd w:id="392"/>
      <w:r/>
      <w:bookmarkEnd w:id="393"/>
      <w:r/>
      <w:bookmarkEnd w:id="394"/>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种方式确定。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确定中标人后，由承包人与中标人签订暂估价合同（采购合同或分包合同）并报发包人见证。暂估价合同所涉款项皆由承包人独立承担并按其合同约定向中标人及时足额予以支付，因承包人支付不及时或其他原因而导致中标人与承包人发生的纠纷、索赔等，皆由承包人自行承担。最终由</w:t>
      </w:r>
      <w:r>
        <w:rPr>
          <w:rFonts w:hint="eastAsia" w:ascii="宋体" w:hAnsi="宋体" w:eastAsia="宋体" w:cs="宋体"/>
          <w:color w:val="auto"/>
          <w:sz w:val="22"/>
          <w:szCs w:val="22"/>
          <w:highlight w:val="none"/>
          <w:u w:val="single"/>
          <w:lang w:eastAsia="zh-CN"/>
        </w:rPr>
        <w:t xml:space="preserve">县</w:t>
      </w:r>
      <w:r>
        <w:rPr>
          <w:rFonts w:hint="eastAsia" w:ascii="宋体" w:hAnsi="宋体" w:eastAsia="宋体" w:cs="宋体"/>
          <w:color w:val="auto"/>
          <w:sz w:val="22"/>
          <w:szCs w:val="22"/>
          <w:highlight w:val="none"/>
          <w:u w:val="single"/>
        </w:rPr>
        <w:t xml:space="preserve">审计局依据总承包合同、暂估价合同及有关招标文件、投标文件和现场实际情况等进行审计。承包人已充分理解上述情况可能产生的风险及费用并在投标报价时已综合考虑，保证不再向发包人提出其它额外费用补偿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如果出现招投标监管平台仅允许发包人作为招标人实施暂估价项目招标时，承包人仍然同意按照上述条款执行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种方式确定。</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发包人在工程量清单中给定暂估价项目的材料、设备，采用甲控乙购方式，由承包人与供货商按照发包人与供货商确定的付款方式、供货价格、规格型号及质量要求等签订采购合同并支付货款，同时发包人不再支付其它额外费用，此风险已由承包人在投标报价时综合考虑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发包人在工程量清单中给定的专业工程暂估价，按相关法律法规规定，如可直接发包给承包人的，须经发包人批准，但在竣工结算时，</w:t>
      </w:r>
      <w:r>
        <w:rPr>
          <w:rFonts w:hint="eastAsia" w:ascii="宋体" w:hAnsi="宋体" w:eastAsia="宋体" w:cs="宋体"/>
          <w:color w:val="auto"/>
          <w:sz w:val="22"/>
          <w:szCs w:val="22"/>
          <w:highlight w:val="none"/>
          <w:u w:val="single"/>
          <w:lang w:eastAsia="zh-CN"/>
        </w:rPr>
        <w:t xml:space="preserve">县</w:t>
      </w:r>
      <w:r>
        <w:rPr>
          <w:rFonts w:hint="eastAsia" w:ascii="宋体" w:hAnsi="宋体" w:eastAsia="宋体" w:cs="宋体"/>
          <w:color w:val="auto"/>
          <w:sz w:val="22"/>
          <w:szCs w:val="22"/>
          <w:highlight w:val="none"/>
          <w:u w:val="single"/>
        </w:rPr>
        <w:t xml:space="preserve">审计局将依据原招标文件、投标文件、总承包合同、投标让利幅度及现场实际情况等进行审计，否则按照专用合同条款第10.7.1项约定执行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w:t>
      </w:r>
      <w:r>
        <w:rPr>
          <w:rFonts w:hint="eastAsia" w:ascii="宋体" w:hAnsi="宋体" w:eastAsia="宋体" w:cs="宋体"/>
          <w:color w:val="auto"/>
          <w:sz w:val="22"/>
          <w:szCs w:val="22"/>
          <w:highlight w:val="none"/>
        </w:rPr>
        <w:t xml:space="preserve">承包人直接实施的暂估价项目</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rPr>
        <w:t xml:space="preserve"> 按照专用合同条款第10.7.2项执行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 暂列金额归发包人所有或使用 </w:t>
      </w:r>
      <w:r>
        <w:rPr>
          <w:rFonts w:hint="eastAsia" w:ascii="宋体" w:hAnsi="宋体" w:eastAsia="宋体" w:cs="宋体"/>
          <w:color w:val="auto"/>
          <w:sz w:val="22"/>
          <w:szCs w:val="22"/>
          <w:highlight w:val="none"/>
        </w:rPr>
        <w:t xml:space="preserve">。</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395" w:name="_Toc351203643"/>
      <w:r>
        <w:rPr>
          <w:rFonts w:hint="eastAsia" w:ascii="宋体" w:hAnsi="宋体" w:eastAsia="宋体" w:cs="宋体"/>
          <w:b w:val="0"/>
          <w:color w:val="auto"/>
          <w:sz w:val="22"/>
          <w:szCs w:val="22"/>
          <w:highlight w:val="none"/>
        </w:rPr>
        <w:t xml:space="preserve">11. 价格调整</w:t>
      </w:r>
      <w:bookmarkEnd w:id="395"/>
      <w:r/>
      <w:r/>
    </w:p>
    <w:p>
      <w:pPr>
        <w:ind w:firstLine="440"/>
        <w:pageBreakBefore w:val="0"/>
        <w:spacing w:after="120" w:line="420" w:lineRule="exact"/>
        <w:rPr>
          <w:rFonts w:hint="eastAsia" w:ascii="宋体" w:hAnsi="宋体" w:eastAsia="宋体" w:cs="宋体"/>
          <w:color w:val="auto"/>
          <w:sz w:val="22"/>
          <w:szCs w:val="22"/>
          <w:highlight w:val="none"/>
        </w:rPr>
      </w:pPr>
      <w:r/>
      <w:bookmarkStart w:id="396" w:name="_Toc297120501"/>
      <w:r/>
      <w:bookmarkStart w:id="397" w:name="_Toc300935000"/>
      <w:r/>
      <w:bookmarkStart w:id="398" w:name="_Toc296891029"/>
      <w:r/>
      <w:bookmarkStart w:id="399" w:name="_Toc297216209"/>
      <w:r/>
      <w:bookmarkStart w:id="400" w:name="_Toc312678039"/>
      <w:r/>
      <w:bookmarkStart w:id="401" w:name="_Toc296891241"/>
      <w:r/>
      <w:bookmarkStart w:id="402" w:name="_Toc292559911"/>
      <w:r/>
      <w:bookmarkStart w:id="403" w:name="_Toc296944540"/>
      <w:r/>
      <w:bookmarkStart w:id="404" w:name="_Toc296347200"/>
      <w:r/>
      <w:bookmarkStart w:id="405" w:name="_Toc296503201"/>
      <w:r/>
      <w:bookmarkStart w:id="406" w:name="_Toc292559406"/>
      <w:r/>
      <w:bookmarkStart w:id="407" w:name="_Toc303539157"/>
      <w:r/>
      <w:bookmarkStart w:id="408" w:name="_Toc296346702"/>
      <w:r/>
      <w:bookmarkStart w:id="409" w:name="_Toc297048387"/>
      <w:r/>
      <w:bookmarkStart w:id="410" w:name="_Toc304295577"/>
      <w:r/>
      <w:bookmarkStart w:id="411" w:name="_Toc297123550"/>
      <w:r>
        <w:rPr>
          <w:rFonts w:hint="eastAsia" w:ascii="宋体" w:hAnsi="宋体" w:eastAsia="宋体" w:cs="宋体"/>
          <w:color w:val="auto"/>
          <w:sz w:val="22"/>
          <w:szCs w:val="22"/>
          <w:highlight w:val="none"/>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ff0000"/>
          <w:sz w:val="22"/>
          <w:szCs w:val="22"/>
          <w:highlight w:val="none"/>
          <w:u w:val="single"/>
        </w:rPr>
        <w:t xml:space="preserve"> </w:t>
      </w:r>
      <w:r>
        <w:rPr>
          <w:rFonts w:hint="eastAsia" w:ascii="宋体" w:hAnsi="宋体" w:eastAsia="宋体" w:cs="宋体"/>
          <w:color w:val="auto"/>
          <w:sz w:val="22"/>
          <w:szCs w:val="22"/>
          <w:highlight w:val="none"/>
          <w:u w:val="single"/>
        </w:rPr>
        <w:t xml:space="preserve">不予调整 </w:t>
      </w:r>
      <w:r>
        <w:rPr>
          <w:rFonts w:hint="eastAsia" w:ascii="宋体" w:hAnsi="宋体" w:eastAsia="宋体" w:cs="宋体"/>
          <w:color w:val="auto"/>
          <w:sz w:val="22"/>
          <w:szCs w:val="22"/>
          <w:highlight w:val="none"/>
        </w:rPr>
        <w:t xml:space="preserve">。</w:t>
      </w:r>
      <w:bookmarkEnd w:id="299"/>
      <w:r/>
      <w:bookmarkEnd w:id="300"/>
      <w:r/>
      <w:bookmarkEnd w:id="301"/>
      <w:r/>
      <w:bookmarkEnd w:id="302"/>
      <w:r/>
      <w:bookmarkEnd w:id="303"/>
      <w:r/>
      <w:bookmarkEnd w:id="304"/>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412" w:name="_Toc292559915"/>
      <w:r/>
      <w:bookmarkStart w:id="413" w:name="_Toc296503205"/>
      <w:r/>
      <w:bookmarkStart w:id="414" w:name="_Toc296891033"/>
      <w:r/>
      <w:bookmarkStart w:id="415" w:name="_Toc296347204"/>
      <w:r/>
      <w:bookmarkStart w:id="416" w:name="_Toc296891245"/>
      <w:r/>
      <w:bookmarkStart w:id="417" w:name="_Toc297120505"/>
      <w:r/>
      <w:bookmarkStart w:id="418" w:name="_Toc292559410"/>
      <w:r/>
      <w:bookmarkStart w:id="419" w:name="_Toc296944544"/>
      <w:r/>
      <w:bookmarkStart w:id="420" w:name="_Toc297048391"/>
      <w:r/>
      <w:bookmarkStart w:id="421" w:name="_Toc296346706"/>
      <w:r/>
      <w:bookmarkStart w:id="422" w:name="_Toc351203644"/>
      <w:r/>
      <w:bookmarkStart w:id="423" w:name="_Toc304295579"/>
      <w:r/>
      <w:bookmarkStart w:id="424" w:name="_Toc297216211"/>
      <w:r/>
      <w:bookmarkStart w:id="425" w:name="_Toc303539159"/>
      <w:r/>
      <w:bookmarkStart w:id="426" w:name="_Toc312678040"/>
      <w:r/>
      <w:bookmarkStart w:id="427" w:name="_Toc300935002"/>
      <w:r/>
      <w:bookmarkStart w:id="428" w:name="_Toc297123552"/>
      <w:r>
        <w:rPr>
          <w:rFonts w:hint="eastAsia" w:ascii="宋体" w:hAnsi="宋体" w:eastAsia="宋体" w:cs="宋体"/>
          <w:b w:val="0"/>
          <w:color w:val="auto"/>
          <w:sz w:val="22"/>
          <w:szCs w:val="22"/>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b w:val="0"/>
          <w:color w:val="auto"/>
          <w:sz w:val="22"/>
          <w:szCs w:val="22"/>
          <w:highlight w:val="none"/>
        </w:rPr>
        <w:t xml:space="preserve">合同价格、计量与支付</w:t>
      </w:r>
      <w:bookmarkEnd w:id="422"/>
      <w:r/>
      <w:bookmarkEnd w:id="423"/>
      <w:r/>
      <w:bookmarkEnd w:id="424"/>
      <w:r/>
      <w:bookmarkEnd w:id="425"/>
      <w:r/>
      <w:bookmarkEnd w:id="426"/>
      <w:r/>
      <w:bookmarkEnd w:id="427"/>
      <w:r/>
      <w:bookmarkEnd w:id="428"/>
      <w:r/>
      <w:r/>
    </w:p>
    <w:p>
      <w:pPr>
        <w:ind w:firstLine="440"/>
        <w:pageBreakBefore w:val="0"/>
        <w:spacing w:after="120" w:line="420" w:lineRule="exact"/>
        <w:rPr>
          <w:rFonts w:hint="eastAsia" w:ascii="宋体" w:hAnsi="宋体" w:eastAsia="宋体" w:cs="宋体"/>
          <w:color w:val="auto"/>
          <w:sz w:val="22"/>
          <w:szCs w:val="22"/>
          <w:highlight w:val="none"/>
        </w:rPr>
      </w:pPr>
      <w:r/>
      <w:bookmarkStart w:id="429" w:name="_Toc292559411"/>
      <w:r/>
      <w:bookmarkStart w:id="430" w:name="_Toc292559916"/>
      <w:r/>
      <w:bookmarkStart w:id="431" w:name="_Toc267251461"/>
      <w:r/>
      <w:bookmarkStart w:id="432" w:name="_Toc297120506"/>
      <w:r/>
      <w:bookmarkStart w:id="433" w:name="_Toc296891034"/>
      <w:r/>
      <w:bookmarkStart w:id="434" w:name="_Toc296346707"/>
      <w:r/>
      <w:bookmarkStart w:id="435" w:name="_Toc297048392"/>
      <w:r/>
      <w:bookmarkStart w:id="436" w:name="_Toc296944545"/>
      <w:r/>
      <w:bookmarkStart w:id="437" w:name="_Toc296503206"/>
      <w:r/>
      <w:bookmarkStart w:id="438" w:name="_Toc296891246"/>
      <w:r/>
      <w:bookmarkStart w:id="439" w:name="_Toc296347205"/>
      <w:r/>
      <w:bookmarkStart w:id="440" w:name="_Toc304295580"/>
      <w:r/>
      <w:bookmarkStart w:id="441" w:name="_Toc297123553"/>
      <w:r/>
      <w:bookmarkStart w:id="442" w:name="_Toc300935003"/>
      <w:r/>
      <w:bookmarkStart w:id="443" w:name="_Toc303539160"/>
      <w:r/>
      <w:bookmarkStart w:id="444" w:name="_Toc312678041"/>
      <w:r/>
      <w:bookmarkStart w:id="445" w:name="_Toc297216212"/>
      <w:r>
        <w:rPr>
          <w:rFonts w:hint="eastAsia" w:ascii="宋体" w:hAnsi="宋体" w:eastAsia="宋体" w:cs="宋体"/>
          <w:color w:val="auto"/>
          <w:sz w:val="22"/>
          <w:szCs w:val="22"/>
          <w:highlight w:val="none"/>
        </w:rPr>
        <w:t xml:space="preserve">12.1 合</w:t>
      </w:r>
      <w:bookmarkEnd w:id="429"/>
      <w:r/>
      <w:bookmarkEnd w:id="430"/>
      <w:r/>
      <w:bookmarkEnd w:id="431"/>
      <w:r>
        <w:rPr>
          <w:rFonts w:hint="eastAsia" w:ascii="宋体" w:hAnsi="宋体" w:eastAsia="宋体" w:cs="宋体"/>
          <w:color w:val="auto"/>
          <w:sz w:val="22"/>
          <w:szCs w:val="22"/>
          <w:highlight w:val="none"/>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color w:val="auto"/>
          <w:sz w:val="22"/>
          <w:szCs w:val="22"/>
          <w:highlight w:val="none"/>
        </w:rPr>
        <w:t xml:space="preserve">格形式</w:t>
      </w:r>
      <w:bookmarkEnd w:id="440"/>
      <w:r/>
      <w:bookmarkEnd w:id="441"/>
      <w:r/>
      <w:bookmarkEnd w:id="442"/>
      <w:r/>
      <w:bookmarkEnd w:id="443"/>
      <w:r/>
      <w:bookmarkEnd w:id="444"/>
      <w:r/>
      <w:bookmarkEnd w:id="445"/>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000000"/>
          <w:sz w:val="22"/>
          <w:szCs w:val="22"/>
          <w:highlight w:val="none"/>
        </w:rPr>
        <w:t xml:space="preserve">单价合同</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color w:val="auto"/>
          <w:sz w:val="22"/>
          <w:szCs w:val="22"/>
          <w:u w:val="single"/>
        </w:rPr>
        <w:t xml:space="preserve">（1）承包人在投标时应充分考虑投标至开工期间、施工期间及质量保修期内物价变化引起的人工工资、机械台班和建筑材料价格变化以及合同明示或暗示的所有责任、义务和风险；承包人不得采用总价优惠或以总价百分比优惠的方式进行投标报价，其优惠应直接体现在各项报价的单价中，合同风险范围内的中标单价一经确认一次性包死将不做任何调整；承包人在投标时应对工程量清单中的每一个项目进行报价（包括综合单价及合价），如漏报或少报项目，则视为其费用已含在其它项目的综合单价或合价中，结算时不作调整。</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（2）投标报价应包括完成招标文件</w:t>
      </w: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rPr>
        <w:t xml:space="preserve">技术规范规定的全部工程内容所需的全部费用，其内涵：a、包括分部分项工程费、措施项目费、其它项目费和规费、税金；b、包括完成每个分部分项工程所含全部工程内容的费用；c、包括完成每项工程内容所需的对临近建筑物、构筑物、公用设施的保护以及现场成品拆除、成品保护（包含周围环境中已有的成品）、水电、垃圾清运等全部费用；</w:t>
      </w:r>
      <w:r>
        <w:rPr>
          <w:rFonts w:hint="eastAsia" w:ascii="宋体" w:hAnsi="宋体" w:eastAsia="宋体" w:cs="宋体"/>
          <w:color w:val="auto"/>
          <w:sz w:val="22"/>
          <w:szCs w:val="22"/>
          <w:u w:val="single"/>
          <w:lang w:val="en-US" w:eastAsia="zh-CN"/>
        </w:rPr>
        <w:t xml:space="preserve">d</w:t>
      </w:r>
      <w:r>
        <w:rPr>
          <w:rFonts w:hint="eastAsia" w:ascii="宋体" w:hAnsi="宋体" w:eastAsia="宋体" w:cs="宋体"/>
          <w:color w:val="auto"/>
          <w:sz w:val="22"/>
          <w:szCs w:val="22"/>
          <w:u w:val="single"/>
        </w:rPr>
        <w:t xml:space="preserve">、因招标人在招标文件中的要求而发生的费用；</w:t>
      </w:r>
      <w:r>
        <w:rPr>
          <w:rFonts w:hint="eastAsia" w:ascii="宋体" w:hAnsi="宋体" w:eastAsia="宋体" w:cs="宋体"/>
          <w:color w:val="auto"/>
          <w:sz w:val="22"/>
          <w:szCs w:val="22"/>
          <w:u w:val="single"/>
          <w:lang w:val="en-US" w:eastAsia="zh-CN"/>
        </w:rPr>
        <w:t xml:space="preserve">e</w:t>
      </w:r>
      <w:r>
        <w:rPr>
          <w:rFonts w:hint="eastAsia" w:ascii="宋体" w:hAnsi="宋体" w:eastAsia="宋体" w:cs="宋体"/>
          <w:color w:val="auto"/>
          <w:sz w:val="22"/>
          <w:szCs w:val="22"/>
          <w:u w:val="single"/>
        </w:rPr>
        <w:t xml:space="preserve">、还包括为完成本工程可能发生和承包人认为所需的一切费用。</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u w:val="single"/>
        </w:rPr>
        <w:t xml:space="preserve">（3）工程量清单中标价的单价和合价，应包括但不限于所需的人工费、材料费（包括甲控乙购材料设备到现场的卸力及场内运杂、采购保管费用等）、施工机械使用费、企业</w:t>
      </w:r>
      <w:r>
        <w:rPr>
          <w:rFonts w:hint="eastAsia" w:ascii="宋体" w:hAnsi="宋体" w:eastAsia="宋体" w:cs="宋体"/>
          <w:color w:val="auto"/>
          <w:sz w:val="22"/>
          <w:szCs w:val="22"/>
          <w:highlight w:val="none"/>
          <w:u w:val="single"/>
        </w:rPr>
        <w:t xml:space="preserve">管理费（包括缺陷修复、保险、协调、维护费、与其它工种的配合费）、二次深化设计费用、利润、验收直至交付使用和保修期保障维修等相关服务的费用。</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4</w:t>
      </w:r>
      <w:r>
        <w:rPr>
          <w:rFonts w:hint="eastAsia" w:ascii="宋体" w:hAnsi="宋体" w:eastAsia="宋体" w:cs="宋体"/>
          <w:color w:val="auto"/>
          <w:sz w:val="22"/>
          <w:szCs w:val="22"/>
          <w:highlight w:val="none"/>
          <w:u w:val="single"/>
        </w:rPr>
        <w:t xml:space="preserve">）措施项目费是指为完成工程项目施工所必须发生的施工准备和施工</w:t>
      </w:r>
      <w:r>
        <w:rPr>
          <w:rFonts w:hint="eastAsia" w:ascii="宋体" w:hAnsi="宋体" w:eastAsia="宋体" w:cs="宋体"/>
          <w:color w:val="auto"/>
          <w:sz w:val="22"/>
          <w:szCs w:val="22"/>
          <w:u w:val="single"/>
        </w:rPr>
        <w:t xml:space="preserve">过程中技术、生活、安全、环境保护等方面的非工程实体项目费用。</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①措施项目费包括现场安全文明施工（包括施工现场操作场地的硬化、防噪音措施费、防污染措施费等）、白天及夜间照明及夜间施工增加费、材料和设备的场内二次搬运费、冬雨季施工增加费、地上、地下设施，建筑物的临时保护设施、已完工程及设备保护、临时设施费（包括场地内临时道路等，不含其他施工单位的临时设施费）、赶工措施费、特殊条件下施工增加费、模板及支架费用、脚手架费用（含超高费及柱梁墙板超高支撑增加费）、垂直运输费、甲供材料、设备的施工现场保管费、工程用水加压措施费、进入现场的开办费用、高压线防护措施费</w:t>
      </w:r>
      <w:r>
        <w:rPr>
          <w:rFonts w:hint="eastAsia" w:ascii="宋体" w:hAnsi="宋体" w:eastAsia="宋体" w:cs="宋体"/>
          <w:color w:val="auto"/>
          <w:sz w:val="22"/>
          <w:szCs w:val="22"/>
          <w:u w:val="single"/>
          <w:lang w:eastAsia="zh-CN"/>
        </w:rPr>
        <w:t xml:space="preserve">、施工现场外围围墙（含围挡）按相关部门要求整改及张贴广告</w:t>
      </w:r>
      <w:r>
        <w:rPr>
          <w:rFonts w:hint="eastAsia" w:ascii="宋体" w:hAnsi="宋体" w:eastAsia="宋体" w:cs="宋体"/>
          <w:color w:val="auto"/>
          <w:sz w:val="22"/>
          <w:szCs w:val="22"/>
          <w:u w:val="single"/>
        </w:rPr>
        <w:t xml:space="preserve">等，招标文件和合同条款中包括的其他所有费用，以及投标人考虑应增加的其它措施费等。②承包人在投标报价时应该将所有措施项目费考虑在内。</w:t>
      </w:r>
      <w:r/>
    </w:p>
    <w:p>
      <w:pPr>
        <w:pStyle w:val="1049"/>
        <w:numPr>
          <w:ilvl w:val="0"/>
          <w:numId w:val="13"/>
        </w:numPr>
        <w:keepLines w:val="0"/>
        <w:keepNext w:val="0"/>
        <w:pageBreakBefore w:val="0"/>
        <w:spacing w:before="0" w:after="0" w:line="420" w:lineRule="exact"/>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u w:val="single"/>
          <w:lang w:val="en-US" w:eastAsia="zh-CN" w:bidi="ar-SA"/>
        </w:rPr>
        <w:t xml:space="preserve">投标报价中应包含自发包人提供的现场水源及电源接驳至投标人自身施工地点的一切费用；中标人的对材料存放场地、工作场所、临时生活场地、临时水电等自行协调，中标人自行办理所有职能部门竣工备案手续，相关费用包含在本次报价中。</w:t>
      </w:r>
      <w:r/>
    </w:p>
    <w:p>
      <w:pPr>
        <w:pStyle w:val="1049"/>
        <w:numPr>
          <w:ilvl w:val="0"/>
          <w:numId w:val="13"/>
        </w:numPr>
        <w:keepLines w:val="0"/>
        <w:keepNext w:val="0"/>
        <w:pageBreakBefore w:val="0"/>
        <w:spacing w:before="0" w:after="0" w:line="420" w:lineRule="exact"/>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u w:val="single"/>
          <w:lang w:val="en-US" w:eastAsia="zh-CN" w:bidi="ar-SA"/>
        </w:rPr>
        <w:t xml:space="preserve">投标报价须充分考虑停电、停水、二次搬运、施工场地不足、垃圾清运费、渣土费、所有涉及到的检测费（包括材料检验试验费、第三方检测、功能性检测、绿建二星等所有的检测费）、及其他可能对施工造成的影响费用和工期变化风险，所有相关费用包含在本次报价中。</w:t>
      </w:r>
      <w:r/>
    </w:p>
    <w:p>
      <w:pPr>
        <w:numPr>
          <w:ilvl w:val="0"/>
          <w:numId w:val="0"/>
        </w:num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eastAsia="zh-CN"/>
        </w:rPr>
        <w:t xml:space="preserve">（</w:t>
      </w:r>
      <w:r>
        <w:rPr>
          <w:rFonts w:hint="eastAsia" w:ascii="宋体" w:hAnsi="宋体" w:cs="宋体"/>
          <w:color w:val="auto"/>
          <w:sz w:val="22"/>
          <w:szCs w:val="22"/>
          <w:u w:val="single"/>
          <w:lang w:val="en-US" w:eastAsia="zh-CN"/>
        </w:rPr>
        <w:t xml:space="preserve">7</w:t>
      </w: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rPr>
        <w:t xml:space="preserve">垃圾清运（含建筑垃圾和生活垃圾）的工程量及运距由承包人根据现场情况自行考虑，并在投标文件中自行报价（含政策性收费项目），发包人不再承担投标报价以外产生的垃圾清运的费用（垃圾清运距离不得低于场地 2 公里范围内，且必须符合相关部门要求，如因乱倒垃圾造成的影响或发包人经济损失的，发包人有权从承包人工程款中扣除）。</w:t>
      </w:r>
      <w:r/>
    </w:p>
    <w:p>
      <w:pPr>
        <w:numPr>
          <w:ilvl w:val="0"/>
          <w:numId w:val="0"/>
        </w:num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eastAsia="zh-CN"/>
        </w:rPr>
        <w:t xml:space="preserve">（</w:t>
      </w:r>
      <w:r>
        <w:rPr>
          <w:rFonts w:hint="eastAsia" w:ascii="宋体" w:hAnsi="宋体" w:cs="宋体"/>
          <w:color w:val="auto"/>
          <w:sz w:val="22"/>
          <w:szCs w:val="22"/>
          <w:u w:val="single"/>
          <w:lang w:val="en-US" w:eastAsia="zh-CN"/>
        </w:rPr>
        <w:t xml:space="preserve">8</w:t>
      </w: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rPr>
        <w:t xml:space="preserve">土方清运或采购的运距由承包人根据现场情况自行考虑，并在投标文件中自行报价（含政策性收费项目），发包人不再承担投标报价以外运距产生的垃圾清运或采购的费用（弃土清运距离不得低于场地 2 公里范围内，且必须符合相关部门要求，如因乱倒弃土造成的影响或发包人经济损失的，发包人有权从承包人工程款中扣除）。</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u w:val="single"/>
        </w:rPr>
        <w:t xml:space="preserve">因施工方施工问题导致已埋入的地下管线设施（如煤气、电力、自来水）及地上苗木、道路等破坏由施工方负责处理，所产生的费用由施工方进行支付，如该项费用由建设方进行垫付的，建设方有权从施工方工程款中扣除。</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u w:val="single"/>
        </w:rPr>
        <w:t xml:space="preserve">承包人在已标价工程量清单中没有填入单价或价格的子目，其费用视为已分摊在工程量清单中其他相关子目的单价或价格之中，承包人不得向发包人提出该部分费用或工期顺延要求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u w:val="single"/>
        </w:rPr>
        <w:t xml:space="preserve">因承包人自身原因造成工期延误、费用增加的风险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u w:val="single"/>
        </w:rPr>
        <w:t xml:space="preserve">作为有丰富经验的承包商应该可以预见到的风险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u w:val="single"/>
        </w:rPr>
        <w:t xml:space="preserve">招标文件中明示和暗示的其他风险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除专用合同条款下述注明的“风险范围以外合同价格的调整方法”外均为“综合单价包含的风险范围”。上述内容仅为需明示的“综合单价包含的风险范围”但不限于此。风险费用的计算方法： </w:t>
      </w:r>
      <w:r>
        <w:rPr>
          <w:rFonts w:hint="eastAsia" w:ascii="宋体" w:hAnsi="宋体" w:eastAsia="宋体" w:cs="宋体"/>
          <w:color w:val="auto"/>
          <w:sz w:val="22"/>
          <w:szCs w:val="22"/>
          <w:u w:val="single"/>
        </w:rPr>
        <w:t xml:space="preserve">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承包人在投标报价时知晓上述风险范围，已经考虑相应的风险费用并已计入报价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u w:val="single"/>
        </w:rPr>
        <w:t xml:space="preserve">图纸变更须经发包人同意，实际变更按实调整，其增减部分按投标价执行，竣工后由审计部门核定。</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w:t>
      </w:r>
      <w:r>
        <w:rPr>
          <w:rFonts w:hint="eastAsia" w:ascii="宋体" w:hAnsi="宋体" w:eastAsia="宋体" w:cs="宋体"/>
          <w:color w:val="auto"/>
          <w:sz w:val="22"/>
          <w:szCs w:val="22"/>
          <w:highlight w:val="none"/>
          <w:u w:val="single"/>
        </w:rPr>
        <w:t xml:space="preserve">设计变更、工程签证的调整办法，</w:t>
      </w:r>
      <w:r>
        <w:rPr>
          <w:rFonts w:hint="eastAsia" w:ascii="宋体" w:hAnsi="宋体" w:eastAsia="宋体" w:cs="宋体"/>
          <w:color w:val="auto"/>
          <w:sz w:val="22"/>
          <w:szCs w:val="22"/>
          <w:u w:val="single"/>
        </w:rPr>
        <w:t xml:space="preserve">（1）合同履行期间，工程变更（包括设计变更）或招标工程量清单的工程量偏差（或项目特征描述不符或缺项）引起已标价工程量清单项目或其工程数量发生变化，其调整原则为：a、已标价工程量清单中有适用于变更工程项目</w:t>
      </w:r>
      <w:r>
        <w:rPr>
          <w:rFonts w:hint="eastAsia" w:ascii="宋体" w:hAnsi="宋体" w:eastAsia="宋体" w:cs="宋体"/>
          <w:color w:val="auto"/>
          <w:sz w:val="22"/>
          <w:szCs w:val="22"/>
          <w:highlight w:val="none"/>
          <w:u w:val="single"/>
        </w:rPr>
        <w:t xml:space="preserve">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中标价或招标控制价中的</w:t>
      </w:r>
      <w:r>
        <w:rPr>
          <w:rFonts w:hint="eastAsia" w:ascii="宋体" w:hAnsi="宋体" w:eastAsia="宋体" w:cs="宋体"/>
          <w:color w:val="auto"/>
          <w:sz w:val="22"/>
          <w:szCs w:val="22"/>
          <w:highlight w:val="none"/>
          <w:u w:val="single"/>
          <w:lang w:eastAsia="zh-CN"/>
        </w:rPr>
        <w:t xml:space="preserve">预留金、</w:t>
      </w:r>
      <w:r>
        <w:rPr>
          <w:rFonts w:hint="eastAsia" w:ascii="宋体" w:hAnsi="宋体" w:eastAsia="宋体" w:cs="宋体"/>
          <w:color w:val="auto"/>
          <w:sz w:val="22"/>
          <w:szCs w:val="22"/>
          <w:highlight w:val="none"/>
          <w:u w:val="single"/>
        </w:rPr>
        <w:t xml:space="preserve">暂列金额、暂估价部分应扣除） 。</w:t>
      </w:r>
      <w:r/>
    </w:p>
    <w:p>
      <w:pPr>
        <w:ind w:firstLine="22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）合同履行期间，市场价格波</w:t>
      </w:r>
      <w:r>
        <w:rPr>
          <w:rFonts w:hint="eastAsia" w:ascii="宋体" w:hAnsi="宋体" w:eastAsia="宋体" w:cs="宋体"/>
          <w:color w:val="auto"/>
          <w:sz w:val="22"/>
          <w:szCs w:val="22"/>
          <w:u w:val="single"/>
        </w:rPr>
        <w:t xml:space="preserve">动引起人工、机械、材料</w:t>
      </w:r>
      <w:r>
        <w:rPr>
          <w:rFonts w:hint="eastAsia" w:ascii="宋体" w:hAnsi="宋体" w:eastAsia="宋体" w:cs="宋体"/>
          <w:color w:val="auto"/>
          <w:sz w:val="22"/>
          <w:szCs w:val="22"/>
          <w:u w:val="single"/>
          <w:lang w:eastAsia="zh-CN"/>
        </w:rPr>
        <w:t xml:space="preserve">等</w:t>
      </w:r>
      <w:r>
        <w:rPr>
          <w:rFonts w:hint="eastAsia" w:ascii="宋体" w:hAnsi="宋体" w:eastAsia="宋体" w:cs="宋体"/>
          <w:color w:val="auto"/>
          <w:sz w:val="22"/>
          <w:szCs w:val="22"/>
          <w:u w:val="single"/>
        </w:rPr>
        <w:t xml:space="preserve">价格变化的，不予调整。</w:t>
      </w:r>
      <w:r/>
    </w:p>
    <w:p>
      <w:pPr>
        <w:ind w:firstLine="22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ff0000"/>
          <w:sz w:val="22"/>
          <w:szCs w:val="22"/>
          <w:u w:val="single"/>
        </w:rPr>
        <w:t xml:space="preserve">（</w:t>
      </w:r>
      <w:r>
        <w:rPr>
          <w:rFonts w:hint="eastAsia" w:ascii="宋体" w:hAnsi="宋体" w:eastAsia="宋体" w:cs="宋体"/>
          <w:color w:val="auto"/>
          <w:sz w:val="22"/>
          <w:szCs w:val="22"/>
          <w:u w:val="single"/>
          <w:lang w:val="en-US" w:eastAsia="zh-CN"/>
        </w:rPr>
        <w:t xml:space="preserve">3</w:t>
      </w:r>
      <w:r>
        <w:rPr>
          <w:rFonts w:hint="eastAsia" w:ascii="宋体" w:hAnsi="宋体" w:eastAsia="宋体" w:cs="宋体"/>
          <w:color w:val="auto"/>
          <w:sz w:val="22"/>
          <w:szCs w:val="22"/>
          <w:u w:val="single"/>
        </w:rPr>
        <w:t xml:space="preserve">）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工程变更引起施工方案改变并使措施项目发生变化时，除合同约定措施项目包干外，承包人提出调整措施项目费的，应事先将拟实施的方案提交发包人确认，并应详细说明与原方案措施项目相比的变化情况。拟实施的方案经发承包双方确认后执行，并应按照计价规范相应条款规定调整措施项目费。如果承包人未事先将拟实施的方案提交给发包人确认，则视为工程变更不引起措施项目费的调整或承包人放弃调整措施项目费的权利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其他说明事项：</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w:t>
      </w:r>
      <w:r>
        <w:rPr>
          <w:rFonts w:hint="eastAsia" w:ascii="宋体" w:hAnsi="宋体" w:eastAsia="宋体" w:cs="宋体"/>
          <w:color w:val="auto"/>
          <w:sz w:val="22"/>
          <w:szCs w:val="22"/>
          <w:highlight w:val="none"/>
          <w:u w:val="single"/>
        </w:rPr>
        <w:t xml:space="preserve">总承包服务费</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u w:val="single"/>
        </w:rPr>
        <w:t xml:space="preserve">总承包服务费:总承包人为配合协调发包人进行的专业工程分包，发包人自行采购的设备、材料等进行保管以及施工现场管理、竣工资料汇总整理等服务所需的费用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u w:val="single"/>
        </w:rPr>
        <w:t xml:space="preserve">承包人负责整个项目的施工总承包管理工作，并为专业工程分包提供施工配合工作。包括但不限于：为各专业分包单位提供已有的、可以利用的脚手架、垂直运输设施、仓储设施、安全保卫等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u w:val="single"/>
        </w:rPr>
        <w:t xml:space="preserve">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w:t>
      </w:r>
      <w:r>
        <w:rPr>
          <w:rFonts w:hint="eastAsia" w:ascii="宋体" w:hAnsi="宋体" w:eastAsia="宋体" w:cs="宋体"/>
          <w:color w:val="auto"/>
          <w:sz w:val="22"/>
          <w:szCs w:val="22"/>
          <w:highlight w:val="none"/>
          <w:u w:val="single"/>
        </w:rPr>
        <w:t xml:space="preserve">因承包人原因导致相应重检费用或发生其他检测费用等，由承包人自行承担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⑶</w:t>
      </w:r>
      <w:r>
        <w:rPr>
          <w:rFonts w:hint="eastAsia" w:ascii="宋体" w:hAnsi="宋体" w:eastAsia="宋体" w:cs="宋体"/>
          <w:color w:val="auto"/>
          <w:sz w:val="22"/>
          <w:szCs w:val="22"/>
          <w:highlight w:val="none"/>
          <w:u w:val="single"/>
        </w:rPr>
        <w:t xml:space="preserve">围堰、便桥、临时道路等（如有时）所有费用均由承包人承担，此项包干结算时不予调整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u w:val="single"/>
        </w:rPr>
        <w:t xml:space="preserve">垂直运输费、脚手架费（如有时）等措施费用一次性包干，中标后承包人提交施工方案报监理、发包人审批，但是不涉及相关费用的调整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w:t>
      </w:r>
      <w:r>
        <w:rPr>
          <w:rFonts w:hint="eastAsia" w:ascii="宋体" w:hAnsi="宋体" w:eastAsia="宋体" w:cs="宋体"/>
          <w:color w:val="auto"/>
          <w:sz w:val="22"/>
          <w:szCs w:val="22"/>
          <w:highlight w:val="none"/>
          <w:u w:val="single"/>
        </w:rPr>
        <w:t xml:space="preserve">降水费用，承包人根据招标文件及相关资料并进行现场踏勘后报价，充分考虑一切相关降水费、风险，此项包干结算时不予调整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排水费为现场所有的坑、塘等积水排除，由承包人自行探勘现场，考虑需排水量和排水方式，此项包干，结算时不作调整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w:t>
      </w:r>
      <w:r>
        <w:rPr>
          <w:rFonts w:hint="eastAsia" w:ascii="宋体" w:hAnsi="宋体" w:eastAsia="宋体" w:cs="宋体"/>
          <w:color w:val="auto"/>
          <w:sz w:val="22"/>
          <w:szCs w:val="22"/>
          <w:highlight w:val="none"/>
          <w:u w:val="single"/>
        </w:rPr>
        <w:t xml:space="preserve">高压杆线保护、模板、大型机械设备进出场及安拆和绿化恢复等包干使用，结算时不予以调整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未尽事宜，由发承包双方协商解决，协商解决不能达成一致意见的按合同争议解决办法处理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如发生风险范围以外合同价格调整因素，承包人应按相关规定和本合同约定条款及时申报，经监理人审核，发包人批准，最终审计部门审定（竣工结算时）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bookmarkStart w:id="446" w:name="_Toc297123554"/>
      <w:r/>
      <w:bookmarkStart w:id="447" w:name="_Toc300935004"/>
      <w:r/>
      <w:bookmarkStart w:id="448" w:name="_Toc303539161"/>
      <w:r/>
      <w:bookmarkStart w:id="449" w:name="_Toc312678042"/>
      <w:r/>
      <w:bookmarkStart w:id="450" w:name="_Toc297216213"/>
      <w:r/>
      <w:bookmarkStart w:id="451" w:name="_Toc304295581"/>
      <w:r/>
      <w:bookmarkStart w:id="452" w:name="_Toc296346708"/>
      <w:r/>
      <w:bookmarkStart w:id="453" w:name="_Toc296347206"/>
      <w:r/>
      <w:bookmarkStart w:id="454" w:name="_Toc296891035"/>
      <w:r/>
      <w:bookmarkStart w:id="455" w:name="_Toc296503207"/>
      <w:r/>
      <w:bookmarkStart w:id="456" w:name="_Toc292559917"/>
      <w:r/>
      <w:bookmarkStart w:id="457" w:name="_Toc296944546"/>
      <w:r/>
      <w:bookmarkStart w:id="458" w:name="_Toc296891247"/>
      <w:r/>
      <w:bookmarkStart w:id="459" w:name="_Toc297120507"/>
      <w:r/>
      <w:bookmarkStart w:id="460" w:name="_Toc292559412"/>
      <w:r/>
      <w:bookmarkStart w:id="461" w:name="_Toc297048393"/>
      <w:r>
        <w:rPr>
          <w:rFonts w:hint="eastAsia" w:ascii="宋体" w:hAnsi="宋体" w:eastAsia="宋体" w:cs="宋体"/>
          <w:color w:val="auto"/>
          <w:sz w:val="22"/>
          <w:szCs w:val="22"/>
          <w:highlight w:val="none"/>
        </w:rPr>
        <w:t xml:space="preserve">12.2 预付款</w:t>
      </w:r>
      <w:bookmarkEnd w:id="446"/>
      <w:r/>
      <w:bookmarkEnd w:id="447"/>
      <w:r/>
      <w:bookmarkEnd w:id="448"/>
      <w:r/>
      <w:bookmarkEnd w:id="449"/>
      <w:r/>
      <w:bookmarkEnd w:id="450"/>
      <w:r/>
      <w:bookmarkEnd w:id="451"/>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预付款扣回的方式：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12.2.2 预付款担保</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承包人提交预付款担保的期限：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预付款担保的形式为：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452"/>
      <w:r/>
      <w:bookmarkEnd w:id="453"/>
      <w:r/>
      <w:bookmarkEnd w:id="454"/>
      <w:r/>
      <w:bookmarkEnd w:id="455"/>
      <w:r/>
      <w:bookmarkEnd w:id="456"/>
      <w:r/>
      <w:bookmarkEnd w:id="457"/>
      <w:r/>
      <w:bookmarkEnd w:id="458"/>
      <w:r/>
      <w:bookmarkEnd w:id="459"/>
      <w:r/>
      <w:bookmarkEnd w:id="460"/>
      <w:r/>
      <w:bookmarkEnd w:id="461"/>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《建设工程工程量清单计价规范》（GB50500-2013）及对应的2013版计量规范、《江苏省建设工程费用定额》（2014年版）、《江苏省市政工程计价定额》（2014版）等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按工程形象进度分段计量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计量范围与要求</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u w:val="single"/>
        </w:rPr>
        <w:t xml:space="preserve">只能对工程量清单、变更工程、计日工等合同规定支付的项目计量，此范围以外的不得进行计量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u w:val="single"/>
        </w:rPr>
        <w:t xml:space="preserve">计量必须严格按合同规定的方法、范围、内容、单位进行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u w:val="single"/>
        </w:rPr>
        <w:t xml:space="preserve">工程质量未经检验或检验不合格的，不得计量；因承包人原因造成返工的工程量不予计量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④</w:t>
      </w:r>
      <w:r>
        <w:rPr>
          <w:rFonts w:hint="eastAsia" w:ascii="宋体" w:hAnsi="宋体" w:eastAsia="宋体" w:cs="宋体"/>
          <w:color w:val="auto"/>
          <w:sz w:val="22"/>
          <w:szCs w:val="22"/>
          <w:highlight w:val="none"/>
          <w:u w:val="single"/>
        </w:rPr>
        <w:t xml:space="preserve">无论一般的和当地的习惯如何，除合同中另有规定，工程的计量应以净值为准。因此，属于承包人超出设计图纸范围的工程量不予计量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计量方法</w:t>
      </w:r>
      <w:r>
        <w:rPr>
          <w:rFonts w:hint="eastAsia" w:ascii="宋体" w:hAnsi="宋体" w:eastAsia="宋体" w:cs="宋体"/>
          <w:color w:val="auto"/>
          <w:sz w:val="22"/>
          <w:szCs w:val="22"/>
          <w:highlight w:val="none"/>
          <w:u w:val="single"/>
          <w:lang w:val="en-US" w:eastAsia="zh-CN"/>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u w:val="single"/>
          <w:lang w:eastAsia="zh-CN"/>
        </w:rPr>
        <w:t xml:space="preserve">按照</w:t>
      </w:r>
      <w:r>
        <w:rPr>
          <w:rFonts w:hint="eastAsia" w:ascii="宋体" w:hAnsi="宋体" w:eastAsia="宋体" w:cs="宋体"/>
          <w:color w:val="auto"/>
          <w:sz w:val="22"/>
          <w:szCs w:val="22"/>
          <w:highlight w:val="none"/>
          <w:u w:val="single"/>
        </w:rPr>
        <w:t xml:space="preserve">《建设工程工程量清单计价规范》（GB50500-2013）及对应的2013版计量规范</w:t>
      </w:r>
      <w:r>
        <w:rPr>
          <w:rFonts w:hint="eastAsia" w:ascii="宋体" w:hAnsi="宋体" w:eastAsia="宋体" w:cs="宋体"/>
          <w:color w:val="auto"/>
          <w:sz w:val="22"/>
          <w:szCs w:val="22"/>
          <w:highlight w:val="none"/>
          <w:u w:val="single"/>
          <w:lang w:eastAsia="zh-CN"/>
        </w:rPr>
        <w:t xml:space="preserve">要求计量；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w:t>
      </w:r>
      <w:r>
        <w:rPr>
          <w:rFonts w:hint="eastAsia"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项</w:t>
      </w:r>
      <w:r>
        <w:rPr>
          <w:rFonts w:hint="eastAsia" w:ascii="宋体" w:hAnsi="宋体" w:eastAsia="宋体" w:cs="宋体"/>
          <w:color w:val="auto"/>
          <w:sz w:val="22"/>
          <w:szCs w:val="22"/>
          <w:highlight w:val="none"/>
        </w:rPr>
        <w:t xml:space="preserve">〔总价合同的计量〕</w:t>
      </w:r>
      <w:r>
        <w:rPr>
          <w:rFonts w:hint="eastAsia" w:ascii="宋体" w:hAnsi="宋体" w:eastAsia="宋体" w:cs="宋体"/>
          <w:color w:val="auto"/>
          <w:sz w:val="22"/>
          <w:szCs w:val="22"/>
          <w:highlight w:val="none"/>
        </w:rPr>
        <w:t xml:space="preserve">约定进行计量：</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40"/>
        <w:jc w:val="left"/>
        <w:pageBreakBefore w:val="0"/>
        <w:spacing w:line="420" w:lineRule="exact"/>
        <w:rPr>
          <w:rFonts w:hint="eastAsia" w:ascii="宋体" w:hAnsi="宋体" w:eastAsia="宋体" w:cs="宋体"/>
          <w:color w:val="auto"/>
          <w:sz w:val="22"/>
          <w:szCs w:val="22"/>
          <w:highlight w:val="none"/>
        </w:rPr>
      </w:pPr>
      <w:r/>
      <w:bookmarkStart w:id="462" w:name="_Toc296347210"/>
      <w:r/>
      <w:bookmarkStart w:id="463" w:name="_Toc296891039"/>
      <w:r/>
      <w:bookmarkStart w:id="464" w:name="_Toc303539163"/>
      <w:r/>
      <w:bookmarkStart w:id="465" w:name="_Toc300935006"/>
      <w:r/>
      <w:bookmarkStart w:id="466" w:name="_Toc296503211"/>
      <w:r/>
      <w:bookmarkStart w:id="467" w:name="_Toc297123556"/>
      <w:r/>
      <w:bookmarkStart w:id="468" w:name="_Toc296891251"/>
      <w:r/>
      <w:bookmarkStart w:id="469" w:name="_Toc296944550"/>
      <w:r/>
      <w:bookmarkStart w:id="470" w:name="_Toc297048397"/>
      <w:r/>
      <w:bookmarkStart w:id="471" w:name="_Toc297120511"/>
      <w:r/>
      <w:bookmarkStart w:id="472" w:name="_Toc292559416"/>
      <w:r/>
      <w:bookmarkStart w:id="473" w:name="_Toc297216215"/>
      <w:r/>
      <w:bookmarkStart w:id="474" w:name="_Toc296346712"/>
      <w:r/>
      <w:bookmarkStart w:id="475" w:name="_Toc292559921"/>
      <w:r>
        <w:rPr>
          <w:rFonts w:hint="eastAsia" w:ascii="宋体" w:hAnsi="宋体" w:eastAsia="宋体" w:cs="宋体"/>
          <w:color w:val="auto"/>
          <w:sz w:val="22"/>
          <w:szCs w:val="22"/>
          <w:highlight w:val="none"/>
        </w:rPr>
        <w:t xml:space="preserve">12.4.1 付款周期</w:t>
      </w:r>
      <w:r/>
    </w:p>
    <w:p>
      <w:pPr>
        <w:ind w:firstLine="440"/>
        <w:jc w:val="left"/>
        <w:pageBreakBefore w:val="0"/>
        <w:spacing w:line="420" w:lineRule="exact"/>
        <w:rPr>
          <w:rFonts w:hint="default" w:ascii="宋体" w:hAnsi="宋体" w:eastAsia="宋体" w:cs="宋体"/>
          <w:color w:val="auto"/>
          <w:sz w:val="22"/>
          <w:szCs w:val="22"/>
          <w:highlight w:val="yellow"/>
          <w:u w:val="single"/>
          <w:lang w:val="en-US" w:eastAsia="zh-CN"/>
        </w:rPr>
      </w:pPr>
      <w:r>
        <w:rPr>
          <w:rFonts w:hint="eastAsia" w:ascii="宋体" w:hAnsi="宋体" w:eastAsia="宋体" w:cs="宋体"/>
          <w:color w:val="auto"/>
          <w:sz w:val="22"/>
          <w:szCs w:val="22"/>
          <w:highlight w:val="none"/>
        </w:rPr>
        <w:t xml:space="preserve">关于付款周期的约定：</w:t>
      </w:r>
      <w:r>
        <w:rPr>
          <w:rFonts w:hint="eastAsia" w:ascii="宋体" w:hAnsi="宋体" w:eastAsia="宋体" w:cs="宋体"/>
          <w:color w:val="auto"/>
          <w:sz w:val="22"/>
          <w:szCs w:val="22"/>
          <w:highlight w:val="yellow"/>
          <w:u w:val="single"/>
          <w:lang w:eastAsia="zh-CN"/>
        </w:rPr>
        <w:t xml:space="preserve">合同签订生效后预付合同价</w:t>
      </w:r>
      <w:r>
        <w:rPr>
          <w:rFonts w:hint="eastAsia" w:ascii="宋体" w:hAnsi="宋体" w:eastAsia="宋体" w:cs="宋体"/>
          <w:color w:val="auto"/>
          <w:sz w:val="22"/>
          <w:szCs w:val="22"/>
          <w:highlight w:val="yellow"/>
          <w:u w:val="single"/>
          <w:lang w:val="en-US" w:eastAsia="zh-CN"/>
        </w:rPr>
        <w:t xml:space="preserve">的</w:t>
      </w:r>
      <w:r>
        <w:rPr>
          <w:rFonts w:hint="eastAsia" w:ascii="宋体" w:hAnsi="宋体" w:eastAsia="宋体" w:cs="宋体"/>
          <w:color w:val="auto"/>
          <w:sz w:val="22"/>
          <w:szCs w:val="22"/>
          <w:highlight w:val="yellow"/>
          <w:u w:val="single"/>
          <w:lang w:eastAsia="zh-CN"/>
        </w:rPr>
        <w:t xml:space="preserve">40%作为预付款</w:t>
      </w:r>
      <w:r>
        <w:rPr>
          <w:rFonts w:hint="eastAsia" w:ascii="宋体" w:hAnsi="宋体" w:eastAsia="宋体" w:cs="宋体"/>
          <w:color w:val="auto"/>
          <w:sz w:val="22"/>
          <w:szCs w:val="22"/>
          <w:highlight w:val="yellow"/>
          <w:u w:val="single"/>
        </w:rPr>
        <w:t xml:space="preserve">（</w:t>
      </w:r>
      <w:r>
        <w:rPr>
          <w:rFonts w:hint="eastAsia" w:ascii="宋体" w:hAnsi="宋体" w:eastAsia="宋体" w:cs="宋体"/>
          <w:color w:val="auto"/>
          <w:sz w:val="22"/>
          <w:szCs w:val="22"/>
          <w:highlight w:val="yellow"/>
          <w:u w:val="single"/>
          <w:lang w:eastAsia="zh-CN"/>
        </w:rPr>
        <w:t xml:space="preserve">付款前乙方须提供等额银行出具付款保函作为担保），工程交工验收合格后付至合同价的80%，审计部门审计结束后付至审定价的97%，余款待质保期满后无质量问题后一次付清。</w:t>
      </w:r>
      <w:r>
        <w:rPr>
          <w:rFonts w:hint="eastAsia" w:ascii="宋体" w:hAnsi="宋体" w:eastAsia="宋体" w:cs="宋体"/>
          <w:color w:val="auto"/>
          <w:sz w:val="22"/>
          <w:szCs w:val="22"/>
          <w:highlight w:val="yellow"/>
          <w:u w:val="single"/>
          <w:lang w:val="en-US" w:eastAsia="zh-CN"/>
        </w:rPr>
        <w:t xml:space="preserve">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按专用合同条款第12.4.1项〔付款周期〕的约定，及时提交进度付款申请单。但如发生合同内调减的工程量，由发包人核实后，在同期工程款支付中予以全部扣除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2"/>
          <w:szCs w:val="22"/>
          <w:highlight w:val="none"/>
        </w:rPr>
        <w:t xml:space="preserve">2.4.3 进度付款申请单的提交</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单价合同进度付款申请单，按照专用合同条款第12.3.3项〔单价合同的计量〕约定及时向监理人提交，并附上已完成工程量报表和有关资料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color w:val="auto"/>
          <w:sz w:val="22"/>
          <w:szCs w:val="22"/>
          <w:highlight w:val="none"/>
          <w:u w:val="single"/>
        </w:rPr>
        <w:t xml:space="preserve"> 监理人应在收到承包人进度付款申请单以及相关资料后7天内完成审查并报送发包人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发包人应在收到监理人报送经其审查的承包人进度付款申请单以及相关资料后7天内完成审批并签发进度款支付证书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发包人应在进度款支付证书或临时进度款支付证书签发后14天内完成支付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u w:val="single"/>
        </w:rPr>
        <w:t xml:space="preserve"> 本条通用合同条款不适用该项目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ind w:left="4556" w:hanging="396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r/>
    </w:p>
    <w:p>
      <w:pPr>
        <w:ind w:firstLine="440"/>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本条通用合同条款不适用该项目 </w:t>
      </w:r>
      <w:r>
        <w:rPr>
          <w:rFonts w:hint="eastAsia" w:ascii="宋体" w:hAnsi="宋体" w:eastAsia="宋体" w:cs="宋体"/>
          <w:color w:val="auto"/>
          <w:sz w:val="22"/>
          <w:szCs w:val="22"/>
          <w:highlight w:val="none"/>
        </w:rPr>
        <w:t xml:space="preserve">。</w:t>
      </w:r>
      <w:bookmarkEnd w:id="305"/>
      <w:r/>
      <w:bookmarkStart w:id="476" w:name="_Toc351203645"/>
      <w:r/>
      <w:bookmarkStart w:id="477" w:name="_Toc296891259"/>
      <w:r/>
      <w:bookmarkStart w:id="478" w:name="_Toc296347218"/>
      <w:r/>
      <w:bookmarkStart w:id="479" w:name="_Toc303539172"/>
      <w:r/>
      <w:bookmarkStart w:id="480" w:name="_Toc292559424"/>
      <w:r/>
      <w:bookmarkStart w:id="481" w:name="_Toc297216223"/>
      <w:r/>
      <w:bookmarkStart w:id="482" w:name="_Toc312678053"/>
      <w:r/>
      <w:bookmarkStart w:id="483" w:name="_Toc297048405"/>
      <w:r/>
      <w:bookmarkStart w:id="484" w:name="_Toc297123564"/>
      <w:r/>
      <w:bookmarkStart w:id="485" w:name="_Toc292559929"/>
      <w:r/>
      <w:bookmarkStart w:id="486" w:name="_Toc296503219"/>
      <w:r/>
      <w:bookmarkStart w:id="487" w:name="_Toc304295593"/>
      <w:r/>
      <w:bookmarkStart w:id="488" w:name="_Toc296346720"/>
      <w:r/>
      <w:bookmarkStart w:id="489" w:name="_Toc297120519"/>
      <w:r/>
      <w:bookmarkStart w:id="490" w:name="_Toc296891047"/>
      <w:r/>
      <w:bookmarkStart w:id="491" w:name="_Toc300935015"/>
      <w:r/>
      <w:bookmarkStart w:id="492" w:name="_Toc296944558"/>
      <w:r/>
      <w:r/>
    </w:p>
    <w:p>
      <w:pPr>
        <w:pStyle w:val="1009"/>
        <w:pageBreakBefore w:val="0"/>
        <w:spacing w:before="120" w:after="120" w:line="420" w:lineRule="exact"/>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40"/>
        <w:jc w:val="left"/>
        <w:pageBreakBefore w:val="0"/>
        <w:spacing w:line="42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40"/>
        <w:pageBreakBefore w:val="0"/>
        <w:spacing w:after="120" w:line="420" w:lineRule="exact"/>
        <w:rPr>
          <w:rFonts w:hint="eastAsia" w:ascii="宋体" w:hAnsi="宋体" w:eastAsia="宋体" w:cs="宋体"/>
          <w:color w:val="auto"/>
          <w:sz w:val="22"/>
          <w:szCs w:val="22"/>
          <w:highlight w:val="none"/>
        </w:rPr>
      </w:pPr>
      <w:r/>
      <w:bookmarkStart w:id="493" w:name="_Toc303539173"/>
      <w:r/>
      <w:bookmarkStart w:id="494" w:name="_Toc296503223"/>
      <w:r/>
      <w:bookmarkStart w:id="495" w:name="_Toc296347222"/>
      <w:r/>
      <w:bookmarkStart w:id="496" w:name="_Toc297216224"/>
      <w:r/>
      <w:bookmarkStart w:id="497" w:name="_Toc297123565"/>
      <w:r/>
      <w:bookmarkStart w:id="498" w:name="_Toc296891051"/>
      <w:r/>
      <w:bookmarkStart w:id="499" w:name="_Toc292559428"/>
      <w:r/>
      <w:bookmarkStart w:id="500" w:name="_Toc296891263"/>
      <w:r/>
      <w:bookmarkStart w:id="501" w:name="_Toc297048409"/>
      <w:r/>
      <w:bookmarkStart w:id="502" w:name="_Toc296944562"/>
      <w:r/>
      <w:bookmarkStart w:id="503" w:name="_Toc312678056"/>
      <w:r/>
      <w:bookmarkStart w:id="504" w:name="_Toc300935016"/>
      <w:r/>
      <w:bookmarkStart w:id="505" w:name="_Toc304295596"/>
      <w:r/>
      <w:bookmarkStart w:id="506" w:name="_Toc296346724"/>
      <w:r/>
      <w:bookmarkStart w:id="507" w:name="_Toc292559933"/>
      <w:r/>
      <w:bookmarkStart w:id="508" w:name="_Toc297120523"/>
      <w:r/>
      <w:bookmarkStart w:id="509" w:name="_Toc267251470"/>
      <w:r/>
      <w:bookmarkStart w:id="510" w:name="_Toc267251475"/>
      <w:r/>
      <w:bookmarkStart w:id="511" w:name="_Toc267251472"/>
      <w:r/>
      <w:bookmarkStart w:id="512" w:name="_Toc267251471"/>
      <w:r/>
      <w:bookmarkStart w:id="513" w:name="_Toc267251476"/>
      <w:r/>
      <w:bookmarkStart w:id="514" w:name="_Toc267251473"/>
      <w:r/>
      <w:bookmarkStart w:id="515" w:name="_Toc267251474"/>
      <w:r>
        <w:rPr>
          <w:rFonts w:hint="eastAsia" w:ascii="宋体" w:hAnsi="宋体" w:eastAsia="宋体" w:cs="宋体"/>
          <w:color w:val="auto"/>
          <w:sz w:val="22"/>
          <w:szCs w:val="22"/>
          <w:highlight w:val="none"/>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40"/>
        <w:jc w:val="left"/>
        <w:pageBreakBefore w:val="0"/>
        <w:spacing w:line="420" w:lineRule="exact"/>
        <w:rPr>
          <w:rFonts w:hint="eastAsia" w:ascii="宋体" w:hAnsi="宋体" w:eastAsia="宋体" w:cs="宋体"/>
          <w:color w:val="auto"/>
          <w:sz w:val="22"/>
          <w:szCs w:val="22"/>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2"/>
          <w:szCs w:val="22"/>
          <w:highlight w:val="none"/>
        </w:rPr>
        <w:t xml:space="preserve">13.2.2竣工验收程序</w:t>
      </w:r>
      <w:bookmarkEnd w:id="516"/>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lang w:eastAsia="zh-CN"/>
        </w:rPr>
        <w:t xml:space="preserve">按管理部门有关要求，其它</w:t>
      </w:r>
      <w:r>
        <w:rPr>
          <w:rFonts w:hint="eastAsia" w:ascii="宋体" w:hAnsi="宋体" w:eastAsia="宋体" w:cs="宋体"/>
          <w:color w:val="auto"/>
          <w:sz w:val="22"/>
          <w:szCs w:val="22"/>
          <w:highlight w:val="none"/>
          <w:u w:val="single"/>
        </w:rPr>
        <w:t xml:space="preserve"> 按通用合同条款执行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本条通用合同条款不适用该项目 </w:t>
      </w:r>
      <w:r>
        <w:rPr>
          <w:rFonts w:hint="eastAsia" w:ascii="宋体" w:hAnsi="宋体" w:eastAsia="宋体" w:cs="宋体"/>
          <w:color w:val="auto"/>
          <w:sz w:val="22"/>
          <w:szCs w:val="22"/>
          <w:highlight w:val="none"/>
        </w:rPr>
        <w:t xml:space="preserve">。</w:t>
      </w:r>
      <w:bookmarkEnd w:id="517"/>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13.2.5移交、接收全部与部分工程</w:t>
      </w:r>
      <w:bookmarkEnd w:id="518"/>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发包人未按本合同约定接收全部或部分工程的，违约金的计算方法为：</w:t>
      </w:r>
      <w:r>
        <w:rPr>
          <w:rFonts w:hint="eastAsia" w:ascii="宋体" w:hAnsi="宋体" w:eastAsia="宋体" w:cs="宋体"/>
          <w:color w:val="auto"/>
          <w:sz w:val="22"/>
          <w:szCs w:val="22"/>
          <w:highlight w:val="none"/>
          <w:u w:val="single"/>
        </w:rPr>
        <w:t xml:space="preserve"> 本条通用合同条款不适用该项目 </w:t>
      </w:r>
      <w:r>
        <w:rPr>
          <w:rFonts w:hint="eastAsia" w:ascii="宋体" w:hAnsi="宋体" w:eastAsia="宋体" w:cs="宋体"/>
          <w:color w:val="auto"/>
          <w:sz w:val="22"/>
          <w:szCs w:val="22"/>
          <w:highlight w:val="none"/>
        </w:rPr>
        <w:t xml:space="preserve">。</w:t>
      </w:r>
      <w:bookmarkEnd w:id="519"/>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 每逾期一天，承包人应向发包人支付</w:t>
      </w:r>
      <w:r>
        <w:rPr>
          <w:rFonts w:hint="eastAsia" w:ascii="宋体" w:hAnsi="宋体" w:cs="宋体"/>
          <w:color w:val="auto"/>
          <w:sz w:val="22"/>
          <w:szCs w:val="22"/>
          <w:highlight w:val="none"/>
          <w:u w:val="single"/>
          <w:lang w:val="en-US" w:eastAsia="zh-CN"/>
        </w:rPr>
        <w:t xml:space="preserve">20</w:t>
      </w:r>
      <w:r>
        <w:rPr>
          <w:rFonts w:hint="eastAsia" w:ascii="宋体" w:hAnsi="宋体" w:eastAsia="宋体" w:cs="宋体"/>
          <w:color w:val="auto"/>
          <w:sz w:val="22"/>
          <w:szCs w:val="22"/>
          <w:highlight w:val="none"/>
          <w:u w:val="single"/>
        </w:rPr>
        <w:t xml:space="preserve">00元的违约金</w:t>
      </w:r>
      <w:r>
        <w:rPr>
          <w:rFonts w:hint="eastAsia" w:ascii="宋体" w:hAnsi="宋体" w:eastAsia="宋体" w:cs="宋体"/>
          <w:color w:val="auto"/>
          <w:sz w:val="22"/>
          <w:szCs w:val="22"/>
          <w:highlight w:val="none"/>
          <w:u w:val="single"/>
          <w:lang w:eastAsia="zh-CN"/>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20"/>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13.3.3 投料试车</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13.6 竣工退场</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13.6.1 竣工退场</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1、 工程完成后，承包人应负责临时设施拆除，建筑垃圾清运及施工场地清理平整等，承包人未按发包人或监理人指定的时间拆除临时设施、建筑垃圾清运（含运距、运输、堆置、弃置等处理费用及渣土等有权部门规定的各项有关费用）及清理完场地的，承包人除承担清理费用外（场地清理 </w:t>
      </w:r>
      <w:r>
        <w:rPr>
          <w:rFonts w:hint="eastAsia" w:ascii="宋体" w:hAnsi="宋体" w:eastAsia="宋体" w:cs="宋体"/>
          <w:color w:val="auto"/>
          <w:sz w:val="22"/>
          <w:szCs w:val="22"/>
          <w:u w:val="single"/>
          <w:lang w:val="en-US" w:eastAsia="zh-CN"/>
        </w:rPr>
        <w:t xml:space="preserve">3</w:t>
      </w:r>
      <w:r>
        <w:rPr>
          <w:rFonts w:hint="eastAsia" w:ascii="宋体" w:hAnsi="宋体" w:eastAsia="宋体" w:cs="宋体"/>
          <w:color w:val="auto"/>
          <w:sz w:val="22"/>
          <w:szCs w:val="22"/>
          <w:u w:val="single"/>
        </w:rPr>
        <w:t xml:space="preserve">万元，临时设施拆除费用按实双倍计算扣除）每延迟一天交纳违约金 1000 元；</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u w:val="single"/>
          <w:lang w:val="en-US" w:eastAsia="zh-CN"/>
        </w:rPr>
        <w:t xml:space="preserve">2</w:t>
      </w:r>
      <w:r>
        <w:rPr>
          <w:rFonts w:hint="eastAsia" w:ascii="宋体" w:hAnsi="宋体" w:eastAsia="宋体" w:cs="宋体"/>
          <w:color w:val="auto"/>
          <w:sz w:val="22"/>
          <w:szCs w:val="22"/>
          <w:u w:val="single"/>
        </w:rPr>
        <w:t xml:space="preserve">、 如承包人在工程完成后一周内未将建筑垃圾、生活垃圾清运的，发包人有权安排其他单位进行清运，除按照第 1 条进行处罚外，对发包人安排清运产生的全部费用发包人将从承包人工程款中</w:t>
      </w:r>
      <w:r>
        <w:rPr>
          <w:rFonts w:hint="eastAsia" w:ascii="宋体" w:hAnsi="宋体" w:eastAsia="宋体" w:cs="宋体"/>
          <w:color w:val="auto"/>
          <w:sz w:val="22"/>
          <w:szCs w:val="22"/>
          <w:u w:val="single"/>
          <w:lang w:eastAsia="zh-CN"/>
        </w:rPr>
        <w:t xml:space="preserve">双倍</w:t>
      </w:r>
      <w:r>
        <w:rPr>
          <w:rFonts w:hint="eastAsia" w:ascii="宋体" w:hAnsi="宋体" w:eastAsia="宋体" w:cs="宋体"/>
          <w:color w:val="auto"/>
          <w:sz w:val="22"/>
          <w:szCs w:val="22"/>
          <w:u w:val="single"/>
        </w:rPr>
        <w:t xml:space="preserve">扣除。</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22" w:name="_Toc351203646"/>
      <w:r>
        <w:rPr>
          <w:rFonts w:hint="eastAsia" w:ascii="宋体" w:hAnsi="宋体" w:eastAsia="宋体" w:cs="宋体"/>
          <w:b w:val="0"/>
          <w:color w:val="auto"/>
          <w:sz w:val="22"/>
          <w:szCs w:val="22"/>
          <w:highlight w:val="none"/>
        </w:rPr>
        <w:t xml:space="preserve">14. 竣工结算</w:t>
      </w:r>
      <w:bookmarkEnd w:id="522"/>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竣工结算申请</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承包人提交竣工结算申请单的期限：</w:t>
      </w:r>
      <w:r>
        <w:rPr>
          <w:rFonts w:hint="eastAsia" w:ascii="宋体" w:hAnsi="宋体" w:eastAsia="宋体" w:cs="宋体"/>
          <w:color w:val="auto"/>
          <w:sz w:val="22"/>
          <w:szCs w:val="22"/>
          <w:highlight w:val="none"/>
          <w:u w:val="single"/>
        </w:rPr>
        <w:t xml:space="preserve"> 应满足专用合同条款第12.4.1项〔付款周期〕中相应时间节点要求 </w:t>
      </w:r>
      <w:r>
        <w:rPr>
          <w:rFonts w:hint="eastAsia" w:ascii="宋体" w:hAnsi="宋体" w:eastAsia="宋体" w:cs="宋体"/>
          <w:color w:val="auto"/>
          <w:sz w:val="22"/>
          <w:szCs w:val="22"/>
          <w:highlight w:val="none"/>
        </w:rPr>
        <w:t xml:space="preserve">。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竣工结算申请单应包括的内容：</w:t>
      </w:r>
      <w:r>
        <w:rPr>
          <w:rFonts w:hint="eastAsia" w:ascii="宋体" w:hAnsi="宋体" w:eastAsia="宋体" w:cs="宋体"/>
          <w:color w:val="auto"/>
          <w:sz w:val="22"/>
          <w:szCs w:val="22"/>
          <w:highlight w:val="none"/>
          <w:u w:val="single"/>
        </w:rPr>
        <w:t xml:space="preserve"> 除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w:t>
      </w:r>
      <w:r>
        <w:rPr>
          <w:rFonts w:hint="eastAsia" w:ascii="宋体" w:hAnsi="宋体" w:cs="宋体"/>
          <w:color w:val="auto"/>
          <w:sz w:val="22"/>
          <w:szCs w:val="22"/>
          <w:highlight w:val="none"/>
          <w:u w:val="single"/>
          <w:lang w:eastAsia="zh-CN"/>
        </w:rPr>
        <w:t xml:space="preserve">注销</w:t>
      </w:r>
      <w:r>
        <w:rPr>
          <w:rFonts w:hint="eastAsia" w:ascii="宋体" w:hAnsi="宋体" w:eastAsia="宋体" w:cs="宋体"/>
          <w:color w:val="auto"/>
          <w:sz w:val="22"/>
          <w:szCs w:val="22"/>
          <w:highlight w:val="none"/>
          <w:u w:val="single"/>
        </w:rPr>
        <w:t xml:space="preserve">（如有）；（9）其他需要的资料。资料清单一式不少于3份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14.2 竣工结算审核</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rPr>
        <w:t xml:space="preserve"> 监理人应在收到竣工结算申请单后及时认真细致地完成核查并报送发包人。发包人应在收到监理人提交的经其审核的竣工结算申请单后及时初审并签署意见后报</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审计局进行全面审计，最终根据</w:t>
      </w:r>
      <w:r>
        <w:rPr>
          <w:rFonts w:hint="eastAsia" w:ascii="宋体" w:hAnsi="宋体" w:eastAsia="宋体" w:cs="宋体"/>
          <w:color w:val="auto"/>
          <w:sz w:val="22"/>
          <w:szCs w:val="22"/>
          <w:highlight w:val="none"/>
          <w:u w:val="single"/>
          <w:lang w:eastAsia="zh-CN"/>
        </w:rPr>
        <w:t xml:space="preserve">盱眙县</w:t>
      </w:r>
      <w:r>
        <w:rPr>
          <w:rFonts w:hint="eastAsia" w:ascii="宋体" w:hAnsi="宋体" w:eastAsia="宋体" w:cs="宋体"/>
          <w:color w:val="auto"/>
          <w:sz w:val="22"/>
          <w:szCs w:val="22"/>
          <w:highlight w:val="none"/>
          <w:u w:val="single"/>
        </w:rPr>
        <w:t xml:space="preserve">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承包人必须为审计工作的顺利进行提供方便，审计工作完成后，承包人应在一个月内对审计结果进行书面确认，如逾期视同承包人认可审计结果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如因承包人提交的工程结算资料不完整，或者承包人不积极配合审计工作，或者承包人未及时确认审计结果，导致出具审核报告的时间延误，相应责任由承包人承担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发包人完成竣工付款的期限：</w:t>
      </w:r>
      <w:r>
        <w:rPr>
          <w:rFonts w:hint="eastAsia" w:ascii="宋体" w:hAnsi="宋体" w:eastAsia="宋体" w:cs="宋体"/>
          <w:color w:val="auto"/>
          <w:sz w:val="22"/>
          <w:szCs w:val="22"/>
          <w:highlight w:val="none"/>
          <w:u w:val="single"/>
        </w:rPr>
        <w:t xml:space="preserve"> 本条通用条款不适用该项目，按专用合同条款第12.4.1项〔付款周期〕的约定执行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 按照第20条〔争议解决〕约定处理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不少于</w:t>
      </w:r>
      <w:r>
        <w:rPr>
          <w:rFonts w:hint="eastAsia" w:ascii="宋体" w:hAnsi="宋体" w:eastAsia="宋体" w:cs="宋体"/>
          <w:color w:val="auto"/>
          <w:sz w:val="22"/>
          <w:szCs w:val="22"/>
          <w:highlight w:val="none"/>
          <w:u w:val="single"/>
          <w:lang w:val="en-US" w:eastAsia="zh-CN"/>
        </w:rPr>
        <w:t xml:space="preserve">4</w:t>
      </w:r>
      <w:r>
        <w:rPr>
          <w:rFonts w:hint="eastAsia" w:ascii="宋体" w:hAnsi="宋体" w:eastAsia="宋体" w:cs="宋体"/>
          <w:color w:val="auto"/>
          <w:sz w:val="22"/>
          <w:szCs w:val="22"/>
          <w:highlight w:val="none"/>
          <w:u w:val="single"/>
        </w:rPr>
        <w:t xml:space="preserve">份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承包人提交最终结清申请单的期限：</w:t>
      </w:r>
      <w:r>
        <w:rPr>
          <w:rFonts w:hint="eastAsia" w:ascii="宋体" w:hAnsi="宋体" w:eastAsia="宋体" w:cs="宋体"/>
          <w:color w:val="auto"/>
          <w:sz w:val="22"/>
          <w:szCs w:val="22"/>
          <w:highlight w:val="none"/>
          <w:u w:val="single"/>
        </w:rPr>
        <w:t xml:space="preserve"> 按通用条款执行 </w:t>
      </w:r>
      <w:r>
        <w:rPr>
          <w:rFonts w:hint="eastAsia" w:ascii="宋体" w:hAnsi="宋体" w:eastAsia="宋体" w:cs="宋体"/>
          <w:color w:val="auto"/>
          <w:sz w:val="22"/>
          <w:szCs w:val="22"/>
          <w:highlight w:val="none"/>
        </w:rPr>
        <w:t xml:space="preserve">。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color w:val="auto"/>
          <w:sz w:val="22"/>
          <w:szCs w:val="22"/>
          <w:highlight w:val="none"/>
          <w:u w:val="single"/>
        </w:rPr>
        <w:t xml:space="preserve"> 本条通用条款不适用该项目，按专用合同条款第12.4.1项〔付款周期〕的约定执行 </w:t>
      </w:r>
      <w:r>
        <w:rPr>
          <w:rFonts w:hint="eastAsia" w:ascii="宋体" w:hAnsi="宋体" w:eastAsia="宋体" w:cs="宋体"/>
          <w:color w:val="auto"/>
          <w:sz w:val="22"/>
          <w:szCs w:val="22"/>
          <w:highlight w:val="none"/>
        </w:rPr>
        <w:t xml:space="preserve">。</w:t>
      </w:r>
      <w:bookmarkEnd w:id="509"/>
      <w:r/>
      <w:bookmarkEnd w:id="510"/>
      <w:r/>
      <w:bookmarkEnd w:id="511"/>
      <w:r/>
      <w:bookmarkEnd w:id="512"/>
      <w:r/>
      <w:bookmarkEnd w:id="513"/>
      <w:r/>
      <w:bookmarkEnd w:id="514"/>
      <w:r/>
      <w:bookmarkEnd w:id="515"/>
      <w:r/>
      <w:bookmarkEnd w:id="521"/>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23" w:name="_Toc351203647"/>
      <w:r/>
      <w:bookmarkStart w:id="524" w:name="_Toc267251483"/>
      <w:r/>
      <w:bookmarkStart w:id="525" w:name="_Toc267251484"/>
      <w:r/>
      <w:bookmarkStart w:id="526" w:name="_Toc267251482"/>
      <w:r/>
      <w:bookmarkStart w:id="527" w:name="_Toc267251485"/>
      <w:r/>
      <w:bookmarkStart w:id="528" w:name="_Toc267251488"/>
      <w:r/>
      <w:bookmarkStart w:id="529" w:name="_Toc267251490"/>
      <w:r/>
      <w:bookmarkStart w:id="530" w:name="_Toc267251486"/>
      <w:r/>
      <w:bookmarkStart w:id="531" w:name="_Toc267251489"/>
      <w:r/>
      <w:bookmarkStart w:id="532" w:name="_Toc267251492"/>
      <w:r/>
      <w:bookmarkStart w:id="533" w:name="_Toc267251498"/>
      <w:r/>
      <w:bookmarkStart w:id="534" w:name="_Toc267251503"/>
      <w:r/>
      <w:bookmarkStart w:id="535" w:name="_Toc267251502"/>
      <w:r/>
      <w:bookmarkStart w:id="536" w:name="_Toc267251496"/>
      <w:r/>
      <w:bookmarkStart w:id="537" w:name="_Toc267251493"/>
      <w:r/>
      <w:bookmarkStart w:id="538" w:name="_Toc267251501"/>
      <w:r/>
      <w:bookmarkStart w:id="539" w:name="_Toc267251495"/>
      <w:r/>
      <w:bookmarkStart w:id="540" w:name="_Toc267251497"/>
      <w:r/>
      <w:bookmarkStart w:id="541" w:name="_Toc267251499"/>
      <w:r/>
      <w:bookmarkStart w:id="542" w:name="_Toc267251491"/>
      <w:r/>
      <w:bookmarkStart w:id="543" w:name="_Toc267251494"/>
      <w:r/>
      <w:bookmarkStart w:id="544" w:name="_Toc267251506"/>
      <w:r/>
      <w:bookmarkStart w:id="545" w:name="_Toc267251504"/>
      <w:r/>
      <w:bookmarkStart w:id="546" w:name="_Toc267251507"/>
      <w:r/>
      <w:bookmarkStart w:id="547" w:name="_Toc267251508"/>
      <w:r/>
      <w:bookmarkStart w:id="548" w:name="_Toc267251513"/>
      <w:r/>
      <w:bookmarkStart w:id="549" w:name="_Toc267251514"/>
      <w:r/>
      <w:bookmarkStart w:id="550" w:name="_Toc267251515"/>
      <w:r/>
      <w:bookmarkStart w:id="551" w:name="_Toc267251511"/>
      <w:r/>
      <w:bookmarkStart w:id="552" w:name="_Toc267251509"/>
      <w:r/>
      <w:bookmarkStart w:id="553" w:name="_Toc267251510"/>
      <w:r>
        <w:rPr>
          <w:rFonts w:hint="eastAsia" w:ascii="宋体" w:hAnsi="宋体" w:eastAsia="宋体" w:cs="宋体"/>
          <w:b w:val="0"/>
          <w:color w:val="auto"/>
          <w:sz w:val="22"/>
          <w:szCs w:val="22"/>
          <w:highlight w:val="none"/>
        </w:rPr>
        <w:t xml:space="preserve">15. 缺陷责任期与保修</w:t>
      </w:r>
      <w:bookmarkEnd w:id="523"/>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bookmarkEnd w:id="524"/>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yellow"/>
          <w:u w:val="single"/>
          <w:lang w:val="en-US" w:eastAsia="zh-CN"/>
        </w:rPr>
        <w:t xml:space="preserve">1年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15.2.4 缺陷责任期终止：</w:t>
      </w:r>
      <w:r>
        <w:rPr>
          <w:rFonts w:hint="eastAsia" w:ascii="宋体" w:hAnsi="宋体" w:eastAsia="宋体" w:cs="宋体"/>
          <w:color w:val="auto"/>
          <w:sz w:val="22"/>
          <w:szCs w:val="22"/>
          <w:highlight w:val="none"/>
          <w:u w:val="single"/>
        </w:rPr>
        <w:t xml:space="preserve"> 按通用条款执行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15.3 质量保证金</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是 </w:t>
      </w:r>
      <w:r>
        <w:rPr>
          <w:rFonts w:hint="eastAsia" w:ascii="宋体" w:hAnsi="宋体" w:eastAsia="宋体" w:cs="宋体"/>
          <w:color w:val="auto"/>
          <w:sz w:val="22"/>
          <w:szCs w:val="22"/>
          <w:highlight w:val="none"/>
        </w:rPr>
        <w:t xml:space="preserve">。在工程项目竣工前，承包人按专用合同条款第3.7条提供履约担保的，发包人不得同时预留工程质量保证金。</w:t>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15.3.1 承包人提供质量保证金的方式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种方式：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%的工程款；</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15.3.2 质量保证金的扣留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种方式：</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（2）工程竣工结算时一次性扣留质量保证金；</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不采用 </w:t>
      </w:r>
      <w:r>
        <w:rPr>
          <w:rFonts w:hint="eastAsia" w:ascii="宋体" w:hAnsi="宋体" w:eastAsia="宋体" w:cs="宋体"/>
          <w:color w:val="auto"/>
          <w:sz w:val="22"/>
          <w:szCs w:val="22"/>
          <w:highlight w:val="none"/>
        </w:rPr>
        <w:t xml:space="preserve">。</w:t>
      </w:r>
      <w:bookmarkEnd w:id="525"/>
      <w:r/>
      <w:bookmarkEnd w:id="526"/>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bookmarkEnd w:id="527"/>
      <w:r/>
      <w:r/>
    </w:p>
    <w:p>
      <w:pPr>
        <w:ind w:firstLine="429"/>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按附件3《工程质量保修书》约定执行 </w:t>
      </w:r>
      <w:r>
        <w:rPr>
          <w:rFonts w:hint="eastAsia" w:ascii="宋体" w:hAnsi="宋体" w:eastAsia="宋体" w:cs="宋体"/>
          <w:color w:val="auto"/>
          <w:sz w:val="22"/>
          <w:szCs w:val="22"/>
          <w:highlight w:val="none"/>
        </w:rPr>
        <w:t xml:space="preserve">。</w:t>
      </w:r>
      <w:r/>
    </w:p>
    <w:p>
      <w:pPr>
        <w:ind w:firstLine="429"/>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 按附件3《工程质量保修书》约定执行 </w:t>
      </w:r>
      <w:r>
        <w:rPr>
          <w:rFonts w:hint="eastAsia" w:ascii="宋体" w:hAnsi="宋体" w:eastAsia="宋体" w:cs="宋体"/>
          <w:color w:val="auto"/>
          <w:sz w:val="22"/>
          <w:szCs w:val="22"/>
          <w:highlight w:val="none"/>
        </w:rPr>
        <w:t xml:space="preserve">。</w:t>
      </w:r>
      <w:bookmarkEnd w:id="528"/>
      <w:r/>
      <w:bookmarkEnd w:id="529"/>
      <w:r/>
      <w:bookmarkEnd w:id="530"/>
      <w:r/>
      <w:bookmarkEnd w:id="531"/>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54" w:name="_Toc351203648"/>
      <w:r/>
      <w:bookmarkStart w:id="555" w:name="_Toc280868717"/>
      <w:r/>
      <w:bookmarkStart w:id="556" w:name="_Toc280868718"/>
      <w:r>
        <w:rPr>
          <w:rFonts w:hint="eastAsia" w:ascii="宋体" w:hAnsi="宋体" w:eastAsia="宋体" w:cs="宋体"/>
          <w:b w:val="0"/>
          <w:color w:val="auto"/>
          <w:sz w:val="22"/>
          <w:szCs w:val="22"/>
          <w:highlight w:val="none"/>
        </w:rPr>
        <w:t xml:space="preserve">16. 违约</w:t>
      </w:r>
      <w:bookmarkEnd w:id="554"/>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ind w:left="1256" w:hanging="66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1500" w:hanging="110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工期顺延但不补偿费用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ff0000"/>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发生时双方另行商定</w:t>
      </w:r>
      <w:r>
        <w:rPr>
          <w:rFonts w:hint="eastAsia" w:ascii="宋体" w:hAnsi="宋体" w:eastAsia="宋体" w:cs="宋体"/>
          <w:color w:val="auto"/>
          <w:sz w:val="22"/>
          <w:szCs w:val="22"/>
          <w:u w:val="single"/>
        </w:rPr>
        <w:t xml:space="preserve">，但不记取延期利息。</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rPr>
        <w:t xml:space="preserve"> 发包人不承担违约责任，承包人在投标报价时已慎重考虑可能发生的风险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上道工序未经验收不得进入下道工序，否则视为承包人违约，承包人应向发包人支付违约金不少于1000元/次。各道工序施工质量无论是否通过监理工程师的验收确认，均不解除承包人对自己承包的工程的质量所负的责任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因承包人原因被责令停工和返工的，除无条件及时整改外，承包人须向发包人支付违约金不低于</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000元/次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因承包人提供的竣工资料原因影响工程正常竣工验收的，每延迟一天，承包人应向发包人支付</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000元的违约金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施工期间因承包人原因发生质量和安全事故，承包人除承担责任外，还必须承担事故处理的一切费用、工程的恢复费用及因此造成后续工程延期费用，并承担由此给发包人所造成的经济损失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u w:val="single"/>
        </w:rPr>
        <w:t xml:space="preserve">被有关部门检查通报批评的，除立即无条件整改外，承包人须向发包人支付违约金不低于</w:t>
      </w:r>
      <w:r>
        <w:rPr>
          <w:rFonts w:hint="eastAsia" w:ascii="宋体" w:hAnsi="宋体" w:eastAsia="宋体" w:cs="宋体"/>
          <w:color w:val="auto"/>
          <w:sz w:val="22"/>
          <w:szCs w:val="22"/>
          <w:highlight w:val="none"/>
          <w:u w:val="single"/>
          <w:lang w:val="en-US" w:eastAsia="zh-CN"/>
        </w:rPr>
        <w:t xml:space="preserve">5</w:t>
      </w:r>
      <w:r>
        <w:rPr>
          <w:rFonts w:hint="eastAsia" w:ascii="宋体" w:hAnsi="宋体" w:eastAsia="宋体" w:cs="宋体"/>
          <w:color w:val="auto"/>
          <w:sz w:val="22"/>
          <w:szCs w:val="22"/>
          <w:highlight w:val="none"/>
          <w:u w:val="single"/>
        </w:rPr>
        <w:t xml:space="preserve">000元/次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left="1256" w:hanging="66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rPr>
        <w:t xml:space="preserve">    </w:t>
      </w:r>
      <w:r/>
    </w:p>
    <w:p>
      <w:pPr>
        <w:numPr>
          <w:ilvl w:val="0"/>
          <w:numId w:val="14"/>
        </w:numPr>
        <w:ind w:firstLine="440"/>
        <w:jc w:val="left"/>
        <w:pageBreakBefore w:val="0"/>
        <w:spacing w:line="42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u w:val="single"/>
        </w:rPr>
        <w:t xml:space="preserve">承包人违反合同约定进行转包或违法分包的：</w:t>
      </w:r>
      <w:r>
        <w:rPr>
          <w:rFonts w:hint="eastAsia" w:ascii="宋体" w:hAnsi="宋体" w:eastAsia="宋体" w:cs="宋体"/>
          <w:color w:val="auto"/>
          <w:sz w:val="22"/>
          <w:szCs w:val="22"/>
          <w:highlight w:val="none"/>
          <w:u w:val="single"/>
          <w:lang w:eastAsia="zh-CN"/>
        </w:rPr>
        <w:t xml:space="preserve">不允许。</w:t>
      </w:r>
      <w:r/>
    </w:p>
    <w:p>
      <w:pPr>
        <w:numPr>
          <w:ilvl w:val="0"/>
          <w:numId w:val="0"/>
        </w:num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承包人违反合同约定采购和使用不合格的材料和工程设备的</w:t>
      </w:r>
      <w:r>
        <w:rPr>
          <w:rFonts w:hint="eastAsia" w:ascii="宋体" w:hAnsi="宋体" w:eastAsia="宋体" w:cs="宋体"/>
          <w:color w:val="auto"/>
          <w:sz w:val="22"/>
          <w:szCs w:val="22"/>
          <w:u w:val="single"/>
        </w:rPr>
        <w:t xml:space="preserve">如材料和工程设备采购前不通知发包人跟踪的或未按发包人（或监理人）要求提供样品的，发包人有权拒绝该材料和工程设备进场；</w:t>
      </w:r>
      <w:r>
        <w:rPr>
          <w:rFonts w:hint="eastAsia" w:ascii="宋体" w:hAnsi="宋体" w:eastAsia="宋体" w:cs="宋体"/>
          <w:color w:val="auto"/>
          <w:sz w:val="22"/>
          <w:szCs w:val="22"/>
          <w:u w:val="single"/>
          <w:lang w:eastAsia="zh-CN"/>
        </w:rPr>
        <w:t xml:space="preserve">如进场材料未经有资质的检测机构检测并检测合格，</w:t>
      </w:r>
      <w:r>
        <w:rPr>
          <w:rFonts w:hint="eastAsia" w:ascii="宋体" w:hAnsi="宋体" w:eastAsia="宋体" w:cs="宋体"/>
          <w:color w:val="auto"/>
          <w:sz w:val="22"/>
          <w:szCs w:val="22"/>
          <w:u w:val="single"/>
        </w:rPr>
        <w:t xml:space="preserve">在结算时对该部分材料和</w:t>
      </w:r>
      <w:r>
        <w:rPr>
          <w:rFonts w:hint="eastAsia" w:ascii="宋体" w:hAnsi="宋体" w:eastAsia="宋体" w:cs="宋体"/>
          <w:color w:val="auto"/>
          <w:sz w:val="22"/>
          <w:szCs w:val="22"/>
          <w:u w:val="single"/>
          <w:lang w:eastAsia="zh-CN"/>
        </w:rPr>
        <w:t xml:space="preserve">人工及</w:t>
      </w:r>
      <w:r>
        <w:rPr>
          <w:rFonts w:hint="eastAsia" w:ascii="宋体" w:hAnsi="宋体" w:eastAsia="宋体" w:cs="宋体"/>
          <w:color w:val="auto"/>
          <w:sz w:val="22"/>
          <w:szCs w:val="22"/>
          <w:u w:val="single"/>
        </w:rPr>
        <w:t xml:space="preserve">工程设备</w:t>
      </w:r>
      <w:r>
        <w:rPr>
          <w:rFonts w:hint="eastAsia" w:ascii="宋体" w:hAnsi="宋体" w:eastAsia="宋体" w:cs="宋体"/>
          <w:color w:val="auto"/>
          <w:sz w:val="22"/>
          <w:szCs w:val="22"/>
          <w:u w:val="single"/>
          <w:lang w:eastAsia="zh-CN"/>
        </w:rPr>
        <w:t xml:space="preserve">等</w:t>
      </w:r>
      <w:r>
        <w:rPr>
          <w:rFonts w:hint="eastAsia" w:ascii="宋体" w:hAnsi="宋体" w:eastAsia="宋体" w:cs="宋体"/>
          <w:color w:val="auto"/>
          <w:sz w:val="22"/>
          <w:szCs w:val="22"/>
          <w:u w:val="single"/>
        </w:rPr>
        <w:t xml:space="preserve">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w:t>
      </w:r>
      <w:r>
        <w:rPr>
          <w:rFonts w:hint="eastAsia" w:ascii="宋体" w:hAnsi="宋体" w:eastAsia="宋体" w:cs="宋体"/>
          <w:color w:val="auto"/>
          <w:sz w:val="22"/>
          <w:szCs w:val="22"/>
          <w:highlight w:val="none"/>
          <w:u w:val="single"/>
        </w:rPr>
        <w:t xml:space="preserve">误的违约责任。在任何情况下，承包人不得以异议未解决为由拖延施工，否则由此造成的一切后果及责任均由承包人承担，且承包人须向发包人支付违约金不低于</w:t>
      </w:r>
      <w:r>
        <w:rPr>
          <w:rFonts w:hint="eastAsia" w:ascii="宋体" w:hAnsi="宋体" w:eastAsia="宋体" w:cs="宋体"/>
          <w:color w:val="auto"/>
          <w:sz w:val="22"/>
          <w:szCs w:val="22"/>
          <w:highlight w:val="none"/>
          <w:u w:val="single"/>
          <w:lang w:val="en-US" w:eastAsia="zh-CN"/>
        </w:rPr>
        <w:t xml:space="preserve">1000</w:t>
      </w:r>
      <w:r>
        <w:rPr>
          <w:rFonts w:hint="eastAsia" w:ascii="宋体" w:hAnsi="宋体" w:eastAsia="宋体" w:cs="宋体"/>
          <w:color w:val="auto"/>
          <w:sz w:val="22"/>
          <w:szCs w:val="22"/>
          <w:highlight w:val="none"/>
          <w:u w:val="single"/>
        </w:rPr>
        <w:t xml:space="preserve">元/次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w:t>
      </w:r>
      <w:r>
        <w:rPr>
          <w:rFonts w:hint="eastAsia" w:ascii="宋体" w:hAnsi="宋体" w:eastAsia="宋体" w:cs="宋体"/>
          <w:color w:val="auto"/>
          <w:sz w:val="22"/>
          <w:szCs w:val="22"/>
          <w:highlight w:val="none"/>
          <w:u w:val="single"/>
          <w:lang w:val="en-US" w:eastAsia="zh-CN"/>
        </w:rPr>
        <w:t xml:space="preserve">5000</w:t>
      </w:r>
      <w:r>
        <w:rPr>
          <w:rFonts w:hint="eastAsia" w:ascii="宋体" w:hAnsi="宋体" w:eastAsia="宋体" w:cs="宋体"/>
          <w:color w:val="auto"/>
          <w:sz w:val="22"/>
          <w:szCs w:val="22"/>
          <w:highlight w:val="none"/>
          <w:u w:val="single"/>
        </w:rPr>
        <w:t xml:space="preserve">元的违约金；工程质量出现严重问题，经返工</w:t>
      </w:r>
      <w:r>
        <w:rPr>
          <w:rFonts w:hint="eastAsia" w:ascii="宋体" w:hAnsi="宋体" w:eastAsia="宋体" w:cs="宋体"/>
          <w:color w:val="auto"/>
          <w:sz w:val="22"/>
          <w:szCs w:val="22"/>
          <w:u w:val="single"/>
        </w:rPr>
        <w:t xml:space="preserve">修复后工程质量仍不符合合同要求无法通过验收的，或已经完成但工程质量不符合合同要求并拒绝返工修复的，视承包人违约，发包人有权单方面解除合同，同时承包人还应赔偿给发包人造成的全部经济损失。质量保修期内，由于承包人原因造成工程质量出现严重问题，发包人有权对承包人索赔不少于人民币</w:t>
      </w:r>
      <w:r>
        <w:rPr>
          <w:rFonts w:hint="eastAsia" w:ascii="宋体" w:hAnsi="宋体" w:eastAsia="宋体" w:cs="宋体"/>
          <w:color w:val="auto"/>
          <w:sz w:val="22"/>
          <w:szCs w:val="22"/>
          <w:u w:val="single"/>
          <w:lang w:val="en-US" w:eastAsia="zh-CN"/>
        </w:rPr>
        <w:t xml:space="preserve">1万元</w:t>
      </w:r>
      <w:r>
        <w:rPr>
          <w:rFonts w:hint="eastAsia" w:ascii="宋体" w:hAnsi="宋体" w:eastAsia="宋体" w:cs="宋体"/>
          <w:color w:val="auto"/>
          <w:sz w:val="22"/>
          <w:szCs w:val="22"/>
          <w:u w:val="single"/>
        </w:rPr>
        <w:t xml:space="preserve">的违约金，同时承包人还应赔偿给发包人造成的全部经济损失</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eastAsia="zh-CN"/>
        </w:rPr>
        <w:t xml:space="preserve">且</w:t>
      </w:r>
      <w:r>
        <w:rPr>
          <w:rFonts w:hint="eastAsia" w:ascii="宋体" w:hAnsi="宋体" w:eastAsia="宋体" w:cs="宋体"/>
          <w:color w:val="auto"/>
          <w:sz w:val="22"/>
          <w:szCs w:val="22"/>
          <w:highlight w:val="none"/>
          <w:u w:val="single"/>
        </w:rPr>
        <w:t xml:space="preserve">发包人有权延期支付工程款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承包人违反第8.9款〔材料与设备专用要求〕的约定，未经批准，私自将已按照合同约定进入施工现场的材料或设备撤离施工现场的：承包人向发包人支付违约金不少于1000元/次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承包人未能按施工进度计划及时完成合同约定的工作，造成工期延误的：按专用合同条款第7.5.2项执行 </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同时承包人还应赔偿给发包人造成的全部经济损失</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ff0000"/>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u w:val="single"/>
        </w:rPr>
        <w:t xml:space="preserve">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u w:val="single"/>
        </w:rPr>
        <w:t xml:space="preserve">承包人明确表示或者以其行为表明不履行合同主要义务的：属于承包人单方违约行为，发包人有权单方解除合同，并将承包人清退出场，且承包人还须向发包人支付违约金不少于</w:t>
      </w:r>
      <w:r>
        <w:rPr>
          <w:rFonts w:hint="eastAsia" w:ascii="宋体" w:hAnsi="宋体" w:eastAsia="宋体" w:cs="宋体"/>
          <w:color w:val="auto"/>
          <w:sz w:val="22"/>
          <w:szCs w:val="22"/>
          <w:highlight w:val="none"/>
          <w:u w:val="single"/>
          <w:lang w:val="en-US" w:eastAsia="zh-CN"/>
        </w:rPr>
        <w:t xml:space="preserve">2</w:t>
      </w:r>
      <w:r>
        <w:rPr>
          <w:rFonts w:hint="eastAsia" w:ascii="宋体" w:hAnsi="宋体" w:cs="宋体"/>
          <w:color w:val="auto"/>
          <w:sz w:val="22"/>
          <w:szCs w:val="22"/>
          <w:highlight w:val="none"/>
          <w:u w:val="single"/>
          <w:lang w:val="en-US" w:eastAsia="zh-CN"/>
        </w:rPr>
        <w:t xml:space="preserve">万</w:t>
      </w:r>
      <w:r>
        <w:rPr>
          <w:rFonts w:hint="eastAsia" w:ascii="宋体" w:hAnsi="宋体" w:eastAsia="宋体" w:cs="宋体"/>
          <w:color w:val="auto"/>
          <w:sz w:val="22"/>
          <w:szCs w:val="22"/>
          <w:highlight w:val="none"/>
          <w:u w:val="single"/>
        </w:rPr>
        <w:t xml:space="preserve">元，同时承包人还应赔偿由此给发包人和相关第三方造成的全部经济损失 </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由此更换施工单位造成的一切损失也由承包人承担，在发包人更换其他单位进场施工之前，发包人有权对承包人</w:t>
      </w:r>
      <w:r>
        <w:rPr>
          <w:rFonts w:hint="eastAsia" w:ascii="宋体" w:hAnsi="宋体" w:eastAsia="宋体" w:cs="宋体"/>
          <w:color w:val="auto"/>
          <w:sz w:val="22"/>
          <w:szCs w:val="22"/>
          <w:u w:val="single"/>
        </w:rPr>
        <w:t xml:space="preserve">索赔每天不少于人民币</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仟元的违约金。</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eastAsia="zh-CN"/>
        </w:rPr>
        <w:t xml:space="preserve">（</w:t>
      </w:r>
      <w:r>
        <w:rPr>
          <w:rFonts w:hint="eastAsia" w:ascii="宋体" w:hAnsi="宋体" w:eastAsia="宋体" w:cs="宋体"/>
          <w:color w:val="auto"/>
          <w:sz w:val="22"/>
          <w:szCs w:val="22"/>
          <w:u w:val="single"/>
        </w:rPr>
        <w:t xml:space="preserve">8）承包人必须服从发包人、监理工程师及有关管理部门的管理监督，施工中发生的质量问题必须及时整改；有偷工减料现象</w:t>
      </w:r>
      <w:r>
        <w:rPr>
          <w:rFonts w:hint="eastAsia" w:ascii="宋体" w:hAnsi="宋体" w:eastAsia="宋体" w:cs="宋体"/>
          <w:color w:val="auto"/>
          <w:sz w:val="22"/>
          <w:szCs w:val="22"/>
          <w:u w:val="single"/>
          <w:lang w:eastAsia="zh-CN"/>
        </w:rPr>
        <w:t xml:space="preserve">及不符合规范的施工和质量问题</w:t>
      </w:r>
      <w:r>
        <w:rPr>
          <w:rFonts w:hint="eastAsia" w:ascii="宋体" w:hAnsi="宋体" w:eastAsia="宋体" w:cs="宋体"/>
          <w:color w:val="auto"/>
          <w:sz w:val="22"/>
          <w:szCs w:val="22"/>
          <w:u w:val="single"/>
        </w:rPr>
        <w:t xml:space="preserve">发现一次由承包人支付违约金人民币</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仟元，并及时整改返工，因承包人原因被责令停工和返工，所造成的一切损失由承包人负责，工期不予索赔。</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u w:val="single"/>
          <w:lang w:val="en-US" w:eastAsia="zh-CN"/>
        </w:rPr>
        <w:t xml:space="preserve">9</w:t>
      </w:r>
      <w:r>
        <w:rPr>
          <w:rFonts w:hint="eastAsia" w:ascii="宋体" w:hAnsi="宋体" w:eastAsia="宋体" w:cs="宋体"/>
          <w:color w:val="auto"/>
          <w:sz w:val="22"/>
          <w:szCs w:val="22"/>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u w:val="single"/>
        </w:rPr>
        <w:t xml:space="preserve">（1</w:t>
      </w:r>
      <w:r>
        <w:rPr>
          <w:rFonts w:hint="eastAsia" w:ascii="宋体" w:hAnsi="宋体" w:eastAsia="宋体" w:cs="宋体"/>
          <w:color w:val="auto"/>
          <w:sz w:val="22"/>
          <w:szCs w:val="22"/>
          <w:u w:val="single"/>
          <w:lang w:val="en-US" w:eastAsia="zh-CN"/>
        </w:rPr>
        <w:t xml:space="preserve">0</w:t>
      </w:r>
      <w:r>
        <w:rPr>
          <w:rFonts w:hint="eastAsia" w:ascii="宋体" w:hAnsi="宋体" w:eastAsia="宋体" w:cs="宋体"/>
          <w:color w:val="auto"/>
          <w:sz w:val="22"/>
          <w:szCs w:val="22"/>
          <w:u w:val="single"/>
        </w:rPr>
        <w:t xml:space="preserve">）在施工过程、工程移交中以及质量保修期内，由于承包人原因出现的质量问题、安全事故或其它原因，受到报纸，电视、网络等媒体的曝光或政府有关部门的通报，给本工程及发包人社会形象造</w:t>
      </w:r>
      <w:r>
        <w:rPr>
          <w:rFonts w:hint="eastAsia" w:ascii="宋体" w:hAnsi="宋体" w:eastAsia="宋体" w:cs="宋体"/>
          <w:color w:val="auto"/>
          <w:sz w:val="22"/>
          <w:szCs w:val="22"/>
          <w:highlight w:val="none"/>
          <w:u w:val="single"/>
        </w:rPr>
        <w:t xml:space="preserve">成严重负面影响时，发包人可向承包人索赔不少于人民币</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万元的名誉损失费，同时承包人还应赔偿给发包人造成的全部经济损失。</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lang w:val="en-US" w:eastAsia="zh-CN"/>
        </w:rPr>
        <w:t xml:space="preserve">1</w:t>
      </w:r>
      <w:r>
        <w:rPr>
          <w:rFonts w:hint="eastAsia" w:ascii="宋体" w:hAnsi="宋体" w:eastAsia="宋体" w:cs="宋体"/>
          <w:color w:val="auto"/>
          <w:sz w:val="22"/>
          <w:szCs w:val="22"/>
          <w:highlight w:val="none"/>
          <w:u w:val="single"/>
        </w:rPr>
        <w:t xml:space="preserve">）工程竣工验收合格后14日</w:t>
      </w:r>
      <w:r>
        <w:rPr>
          <w:rFonts w:hint="eastAsia" w:ascii="宋体" w:hAnsi="宋体" w:eastAsia="宋体" w:cs="宋体"/>
          <w:color w:val="auto"/>
          <w:sz w:val="22"/>
          <w:szCs w:val="22"/>
          <w:u w:val="single"/>
        </w:rPr>
        <w:t xml:space="preserve">内，承包人应将工程交付发包人，每延迟一天承包人交纳违约金人民币</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仟元。</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（1</w:t>
      </w:r>
      <w:r>
        <w:rPr>
          <w:rFonts w:hint="eastAsia" w:ascii="宋体" w:hAnsi="宋体" w:eastAsia="宋体" w:cs="宋体"/>
          <w:color w:val="auto"/>
          <w:sz w:val="22"/>
          <w:szCs w:val="22"/>
          <w:u w:val="single"/>
          <w:lang w:val="en-US" w:eastAsia="zh-CN"/>
        </w:rPr>
        <w:t xml:space="preserve">2</w:t>
      </w:r>
      <w:r>
        <w:rPr>
          <w:rFonts w:hint="eastAsia" w:ascii="宋体" w:hAnsi="宋体" w:eastAsia="宋体" w:cs="宋体"/>
          <w:color w:val="auto"/>
          <w:sz w:val="22"/>
          <w:szCs w:val="22"/>
          <w:u w:val="single"/>
        </w:rPr>
        <w:t xml:space="preserve">）承包人在投标文件中所列及的所有事项，都视为是对发包人及本工程的承诺，施工过程中若发现未经发包人同意而实际操作与投标文件不一致的情况，发包人将视情况给予违约处理。</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（1</w:t>
      </w:r>
      <w:r>
        <w:rPr>
          <w:rFonts w:hint="eastAsia" w:ascii="宋体" w:hAnsi="宋体" w:eastAsia="宋体" w:cs="宋体"/>
          <w:color w:val="auto"/>
          <w:sz w:val="22"/>
          <w:szCs w:val="22"/>
          <w:u w:val="single"/>
          <w:lang w:val="en-US" w:eastAsia="zh-CN"/>
        </w:rPr>
        <w:t xml:space="preserve">3</w:t>
      </w:r>
      <w:r>
        <w:rPr>
          <w:rFonts w:hint="eastAsia" w:ascii="宋体" w:hAnsi="宋体" w:eastAsia="宋体" w:cs="宋体"/>
          <w:color w:val="auto"/>
          <w:sz w:val="22"/>
          <w:szCs w:val="22"/>
          <w:u w:val="single"/>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仟元的违约金。</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u w:val="single"/>
        </w:rPr>
        <w:t xml:space="preserve">（1</w:t>
      </w:r>
      <w:r>
        <w:rPr>
          <w:rFonts w:hint="eastAsia" w:ascii="宋体" w:hAnsi="宋体" w:eastAsia="宋体" w:cs="宋体"/>
          <w:color w:val="auto"/>
          <w:sz w:val="22"/>
          <w:szCs w:val="22"/>
          <w:u w:val="single"/>
          <w:lang w:val="en-US" w:eastAsia="zh-CN"/>
        </w:rPr>
        <w:t xml:space="preserve">4</w:t>
      </w:r>
      <w:r>
        <w:rPr>
          <w:rFonts w:hint="eastAsia" w:ascii="宋体" w:hAnsi="宋体" w:eastAsia="宋体" w:cs="宋体"/>
          <w:color w:val="auto"/>
          <w:sz w:val="22"/>
          <w:szCs w:val="22"/>
          <w:u w:val="single"/>
        </w:rPr>
        <w:t xml:space="preserve">）在履行合同过程中，因承包人违</w:t>
      </w:r>
      <w:r>
        <w:rPr>
          <w:rFonts w:hint="eastAsia" w:ascii="宋体" w:hAnsi="宋体" w:eastAsia="宋体" w:cs="宋体"/>
          <w:color w:val="auto"/>
          <w:sz w:val="22"/>
          <w:szCs w:val="22"/>
          <w:highlight w:val="none"/>
          <w:u w:val="single"/>
        </w:rPr>
        <w:t xml:space="preserve">约必须用现金向发包人交纳违约金，如承包人不及时交纳违约金，责任由承包人承担，发包人有权拒付工程款，或从当期工程款或履约保证金中双倍扣回。</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）承包人未能按照合同约定履行其他义务的：</w:t>
      </w:r>
      <w:r>
        <w:rPr>
          <w:rFonts w:hint="eastAsia" w:ascii="宋体" w:hAnsi="宋体" w:eastAsia="宋体" w:cs="宋体"/>
          <w:color w:val="auto"/>
          <w:sz w:val="22"/>
          <w:szCs w:val="22"/>
          <w:highlight w:val="none"/>
          <w:u w:val="single"/>
        </w:rPr>
        <w:t xml:space="preserve">视为承包人违约，届时根据具体情况，予以处理及处罚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u w:val="single"/>
        </w:rPr>
        <w:t xml:space="preserve"> 除按本合同的相关违约约定执行外，同时承包人还应赔偿因此而给发包人和相关第三方造成的全部经济损失，发包人并将此行为上报当地建设行政主管部门。</w:t>
      </w:r>
      <w:r/>
    </w:p>
    <w:p>
      <w:pPr>
        <w:ind w:firstLine="66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2、</w:t>
      </w:r>
      <w:r>
        <w:rPr>
          <w:rFonts w:hint="eastAsia" w:ascii="宋体" w:hAnsi="宋体" w:eastAsia="宋体" w:cs="宋体"/>
          <w:color w:val="auto"/>
          <w:sz w:val="22"/>
          <w:szCs w:val="22"/>
          <w:u w:val="single"/>
        </w:rPr>
        <w:t xml:space="preserve">有下列情况发包人可单独自行解除协议：</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（1）承包人的组织队伍及技术力量不能满足投标文件的要求，并经发包人三次告知均未达到任何效果。</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（2）对发包人及监理人发现的同一质量问题、安全问题及进度问题连续两次发函要求整改且具不执行。</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（3）承包人施工人员攻击政府机关、行政事业单位、执法人员及普通居民等违法行为不予制止。</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u w:val="single"/>
        </w:rPr>
        <w:t xml:space="preserve">（4）工期延误一个</w:t>
      </w:r>
      <w:r>
        <w:rPr>
          <w:rFonts w:hint="eastAsia" w:ascii="宋体" w:hAnsi="宋体" w:eastAsia="宋体" w:cs="宋体"/>
          <w:color w:val="auto"/>
          <w:sz w:val="22"/>
          <w:szCs w:val="22"/>
          <w:highlight w:val="none"/>
          <w:u w:val="single"/>
        </w:rPr>
        <w:t xml:space="preserve">月以上，且无任何进展。</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（5）无故停工 3 天以上，且发包人要求复工具不复工的。</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（6）合同中规定的其他行为及违反法律法规规定的情况。</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highlight w:val="none"/>
          <w:u w:val="single"/>
        </w:rPr>
        <w:t xml:space="preserve">3、发包人单独解除协议的形</w:t>
      </w:r>
      <w:r>
        <w:rPr>
          <w:rFonts w:hint="eastAsia" w:ascii="宋体" w:hAnsi="宋体" w:eastAsia="宋体" w:cs="宋体"/>
          <w:color w:val="auto"/>
          <w:sz w:val="22"/>
          <w:szCs w:val="22"/>
          <w:u w:val="single"/>
        </w:rPr>
        <w:t xml:space="preserve">式：已书面告知承包人。</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4、承包人在接到发包人单方解除通知后应立即退场并对已完成的工作量进行清算，清算按照合同中约定的内容执行，对于已进场且未用于工程中的材料及已预订的材料不予清算由承包人自行承担。发包人继续使用承包人在施工现场的材料、设备、临时工程、承包人文件和由承包人或以其名义编制的其他文件的费用承担方式：由承包人承担。</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57" w:name="_Toc351203649"/>
      <w:r>
        <w:rPr>
          <w:rFonts w:hint="eastAsia" w:ascii="宋体" w:hAnsi="宋体" w:eastAsia="宋体" w:cs="宋体"/>
          <w:b w:val="0"/>
          <w:color w:val="auto"/>
          <w:sz w:val="22"/>
          <w:szCs w:val="22"/>
          <w:highlight w:val="none"/>
        </w:rPr>
        <w:t xml:space="preserve">17. 不可抗力</w:t>
      </w:r>
      <w:bookmarkEnd w:id="557"/>
      <w:r>
        <w:rPr>
          <w:rFonts w:hint="eastAsia" w:ascii="宋体" w:hAnsi="宋体" w:eastAsia="宋体" w:cs="宋体"/>
          <w:b w:val="0"/>
          <w:color w:val="auto"/>
          <w:sz w:val="22"/>
          <w:szCs w:val="22"/>
          <w:highlight w:val="none"/>
        </w:rPr>
        <w:t xml:space="preserve"> </w:t>
      </w:r>
      <w:bookmarkEnd w:id="555"/>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56 </w:t>
      </w:r>
      <w:r>
        <w:rPr>
          <w:rFonts w:hint="eastAsia" w:ascii="宋体" w:hAnsi="宋体" w:eastAsia="宋体" w:cs="宋体"/>
          <w:color w:val="auto"/>
          <w:sz w:val="22"/>
          <w:szCs w:val="22"/>
          <w:highlight w:val="none"/>
        </w:rPr>
        <w:t xml:space="preserve">天内完成款项的支付。</w:t>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58" w:name="_Toc351203650"/>
      <w:r>
        <w:rPr>
          <w:rFonts w:hint="eastAsia" w:ascii="宋体" w:hAnsi="宋体" w:eastAsia="宋体" w:cs="宋体"/>
          <w:b w:val="0"/>
          <w:color w:val="auto"/>
          <w:sz w:val="22"/>
          <w:szCs w:val="22"/>
          <w:highlight w:val="none"/>
        </w:rPr>
        <w:t xml:space="preserve">18. 保险</w:t>
      </w:r>
      <w:bookmarkEnd w:id="558"/>
      <w:r/>
      <w:bookmarkEnd w:id="556"/>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 发包人委托承包人办理工程一切险和施工场地内自有人员及第三人人员生命财产保险；委托承包人为运至施工场地内用于工程的材料和待安装设备办理保险。有关发包人委托其办理的投保费用，承包人已综合考虑在投标报价中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p>
    <w:p>
      <w:pPr>
        <w:pStyle w:val="1019"/>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承包人须依法对其应投保的人身、财产（包括但不限于对本工程施工作业人员的生命财产和施工机械设备）办理保险，并支付保险费用 </w:t>
      </w:r>
      <w:r>
        <w:rPr>
          <w:rFonts w:hint="eastAsia" w:ascii="宋体" w:hAnsi="宋体" w:eastAsia="宋体" w:cs="宋体"/>
          <w:color w:val="auto"/>
          <w:sz w:val="22"/>
          <w:szCs w:val="22"/>
          <w:highlight w:val="none"/>
        </w:rPr>
        <w:t xml:space="preserve">。</w:t>
      </w:r>
      <w:r/>
    </w:p>
    <w:p>
      <w:pPr>
        <w:pStyle w:val="1019"/>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auto"/>
          <w:sz w:val="22"/>
          <w:szCs w:val="22"/>
          <w:highlight w:val="none"/>
        </w:rPr>
        <w:t xml:space="preserve">。</w:t>
      </w:r>
      <w:r/>
    </w:p>
    <w:p>
      <w:pPr>
        <w:pStyle w:val="1019"/>
        <w:ind w:firstLine="440"/>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 是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1009"/>
        <w:pageBreakBefore w:val="0"/>
        <w:spacing w:before="120" w:after="120" w:line="420" w:lineRule="exact"/>
        <w:rPr>
          <w:rFonts w:hint="eastAsia" w:ascii="宋体" w:hAnsi="宋体" w:eastAsia="宋体" w:cs="宋体"/>
          <w:b w:val="0"/>
          <w:color w:val="auto"/>
          <w:sz w:val="22"/>
          <w:szCs w:val="22"/>
          <w:highlight w:val="none"/>
        </w:rPr>
      </w:pPr>
      <w:r/>
      <w:bookmarkStart w:id="559" w:name="_Toc351203651"/>
      <w:r>
        <w:rPr>
          <w:rFonts w:hint="eastAsia" w:ascii="宋体" w:hAnsi="宋体" w:eastAsia="宋体" w:cs="宋体"/>
          <w:b w:val="0"/>
          <w:color w:val="auto"/>
          <w:sz w:val="22"/>
          <w:szCs w:val="22"/>
          <w:highlight w:val="none"/>
        </w:rPr>
        <w:t xml:space="preserve">20. 争议解决</w:t>
      </w:r>
      <w:bookmarkEnd w:id="559"/>
      <w:r/>
      <w:bookmarkEnd w:id="544"/>
      <w:r/>
      <w:bookmarkEnd w:id="545"/>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20.3 争</w:t>
      </w:r>
      <w:bookmarkEnd w:id="546"/>
      <w:r>
        <w:rPr>
          <w:rFonts w:hint="eastAsia" w:ascii="宋体" w:hAnsi="宋体" w:eastAsia="宋体" w:cs="宋体"/>
          <w:color w:val="auto"/>
          <w:sz w:val="22"/>
          <w:szCs w:val="22"/>
          <w:highlight w:val="none"/>
        </w:rPr>
        <w:t xml:space="preserve">议评审</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20.3.1 争议评审小组的确定</w:t>
      </w:r>
      <w:r/>
    </w:p>
    <w:p>
      <w:pPr>
        <w:ind w:firstLine="440"/>
        <w:jc w:val="left"/>
        <w:pageBreakBefore w:val="0"/>
        <w:spacing w:line="4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20.3.2 争议评审小组的决定</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after="120" w:line="420" w:lineRule="exact"/>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20.4仲裁或诉讼</w:t>
      </w:r>
      <w:bookmarkEnd w:id="547"/>
      <w:r/>
      <w:r/>
    </w:p>
    <w:p>
      <w:pPr>
        <w:ind w:firstLine="440"/>
        <w:pageBreakBefore w:val="0"/>
        <w:spacing w:after="12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种方式解决：</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淮安市盱眙县</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人民法院起诉。</w:t>
      </w:r>
      <w:bookmarkEnd w:id="548"/>
      <w:r/>
      <w:bookmarkEnd w:id="549"/>
      <w:r/>
      <w:bookmarkEnd w:id="550"/>
      <w:r/>
      <w:bookmarkEnd w:id="551"/>
      <w:r/>
      <w:bookmarkEnd w:id="552"/>
      <w:r/>
      <w:bookmarkEnd w:id="553"/>
      <w:r/>
      <w:r/>
    </w:p>
    <w:p>
      <w:pPr>
        <w:pageBreakBefore w:val="0"/>
        <w:spacing w:after="120" w:line="42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21.补充条款</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21.1本合同实施过程中，所有应由承包人负责又需发包人派驻代表/监理审批或确认的事情均不能免除或减轻承包人应负的合同责任。</w:t>
      </w:r>
      <w:r/>
    </w:p>
    <w:p>
      <w:pPr>
        <w:ind w:firstLine="440"/>
        <w:jc w:val="left"/>
        <w:pageBreakBefore w:val="0"/>
        <w:spacing w:line="42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21.2承包人应按照政府相关规定，建立健全的雇员工资发放和劳动保障制度，并及时发放雇员工资，如</w:t>
      </w:r>
      <w:r>
        <w:rPr>
          <w:rFonts w:hint="eastAsia" w:ascii="宋体" w:hAnsi="宋体" w:eastAsia="宋体" w:cs="宋体"/>
          <w:color w:val="auto"/>
          <w:sz w:val="22"/>
          <w:szCs w:val="22"/>
          <w:highlight w:val="none"/>
          <w:lang w:val="zh-CN"/>
        </w:rPr>
        <w:t xml:space="preserve">造成民工上访及其它突发事件或公共事件给发包人造成不良社会影响的或引发纠纷的，承包人自愿接受人民币</w:t>
      </w:r>
      <w:r>
        <w:rPr>
          <w:rFonts w:hint="eastAsia" w:ascii="宋体" w:hAnsi="宋体" w:eastAsia="宋体" w:cs="宋体"/>
          <w:color w:val="auto"/>
          <w:sz w:val="22"/>
          <w:szCs w:val="22"/>
          <w:highlight w:val="none"/>
          <w:lang w:val="en-US" w:eastAsia="zh-CN"/>
        </w:rPr>
        <w:t xml:space="preserve">3000元</w:t>
      </w:r>
      <w:r>
        <w:rPr>
          <w:rFonts w:hint="eastAsia" w:ascii="宋体" w:hAnsi="宋体" w:eastAsia="宋体" w:cs="宋体"/>
          <w:color w:val="auto"/>
          <w:sz w:val="22"/>
          <w:szCs w:val="22"/>
          <w:highlight w:val="none"/>
          <w:lang w:val="zh-CN"/>
        </w:rPr>
        <w:t xml:space="preserve">/次的违约金（从工程款</w:t>
      </w:r>
      <w:r>
        <w:rPr>
          <w:rFonts w:hint="eastAsia" w:ascii="宋体" w:hAnsi="宋体" w:eastAsia="宋体" w:cs="宋体"/>
          <w:color w:val="auto"/>
          <w:sz w:val="22"/>
          <w:szCs w:val="22"/>
          <w:highlight w:val="none"/>
        </w:rPr>
        <w:t xml:space="preserve">或履约保证金中扣</w:t>
      </w:r>
      <w:r>
        <w:rPr>
          <w:rFonts w:hint="eastAsia" w:ascii="宋体" w:hAnsi="宋体" w:eastAsia="宋体" w:cs="宋体"/>
          <w:color w:val="auto"/>
          <w:sz w:val="22"/>
          <w:szCs w:val="22"/>
          <w:highlight w:val="none"/>
          <w:lang w:val="zh-CN"/>
        </w:rPr>
        <w:t xml:space="preserve">除），同时承包人接受上级行政主管部门依照有关规定作出的其它处罚决定。</w:t>
      </w:r>
      <w:r>
        <w:rPr>
          <w:rFonts w:hint="eastAsia" w:ascii="宋体" w:hAnsi="宋体" w:eastAsia="宋体" w:cs="宋体"/>
          <w:color w:val="auto"/>
          <w:sz w:val="22"/>
          <w:szCs w:val="22"/>
          <w:highlight w:val="none"/>
        </w:rPr>
        <w:t xml:space="preserve">如发生拖欠且造成5人以上集体上访的，或</w:t>
      </w:r>
      <w:r>
        <w:rPr>
          <w:rFonts w:hint="eastAsia" w:ascii="宋体" w:hAnsi="宋体" w:eastAsia="宋体" w:cs="宋体"/>
          <w:color w:val="auto"/>
          <w:sz w:val="22"/>
          <w:szCs w:val="22"/>
          <w:highlight w:val="none"/>
          <w:lang w:val="zh-CN"/>
        </w:rPr>
        <w:t xml:space="preserve">承包人组织的施工人员以农民工工资拖欠为由投诉并影响发包人正常工作秩序，</w:t>
      </w:r>
      <w:r>
        <w:rPr>
          <w:rFonts w:hint="eastAsia" w:ascii="宋体" w:hAnsi="宋体" w:eastAsia="宋体" w:cs="宋体"/>
          <w:color w:val="auto"/>
          <w:sz w:val="22"/>
          <w:szCs w:val="22"/>
          <w:highlight w:val="none"/>
        </w:rPr>
        <w:t xml:space="preserve">发包人有权同相关部门协调从承包人预交的农民工工资保证金中直接支付，不足部分</w:t>
      </w:r>
      <w:r>
        <w:rPr>
          <w:rFonts w:hint="eastAsia" w:ascii="宋体" w:hAnsi="宋体" w:eastAsia="宋体" w:cs="宋体"/>
          <w:color w:val="auto"/>
          <w:sz w:val="22"/>
          <w:szCs w:val="22"/>
          <w:highlight w:val="none"/>
          <w:lang w:val="zh-CN"/>
        </w:rPr>
        <w:t xml:space="preserve">发包人有权从承包人的工程款中预提部分资金用于发放员工工资（含农民工工资），同时承包人还应承担由此给发包人所造成的连带法律责任和经济损失。</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对承包人因违约应支付的违约金，发包人有权从履约保证金中及时扣除，且承包人需及时重新补足履约保证金，或发包人有权从当期节点付款时扣除。</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安全文明工地特别要求 </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（1）承包人在施工现场应封闭施工，必须设置警示牌等，出入口处应悬挂横幅宣传标语。</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（2）承包人必须保证施工现场周边道路畅通，有合规且明确清晰的交通导向，增设护栏、夜间反光标识等。</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（3）承包人车辆及机械设备等应醒目地标注承包人名称，现场须配置冲洗台。</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临时通道始终平整、无扬尘状态，指定专人维护与保养，如因承包人维保不及时、不到位，导致附近单位、居民、过往行人等投诉或新闻媒体曝光或发生严重交通堵塞，视为承包人违约，承包人需承担由此产生的一切后果和费用，且须向发包人支付违约金不低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000元/次。如因该等原因导致第三人人身伤害或财产损失，一切责任及费用由承包人自行承担。</w:t>
      </w:r>
      <w:r/>
    </w:p>
    <w:p>
      <w:pPr>
        <w:ind w:firstLine="440"/>
        <w:jc w:val="left"/>
        <w:pageBreakBefore w:val="0"/>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（5）承包人必须采取措施，确保施工现场始终无扬尘，如因承包人保护措施不到位，导致附近单位、居民或过往行人等投诉，承包人无条件按发包人要求限期完成整改，同时向发包人支付违约金</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000元/次，累计超过3次及以上的，承包人无条件停工整顿并向发包人支付违约金</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000元/次。</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auto"/>
          <w:sz w:val="22"/>
          <w:szCs w:val="22"/>
          <w:highlight w:val="none"/>
        </w:rPr>
        <w:t xml:space="preserve">（6）承包人施工过程中产生的砼、碎石等余料、废料不得随意倾倒，更不得拌入种植土中，一旦发现，承包人应无条件返</w:t>
      </w:r>
      <w:r>
        <w:rPr>
          <w:rFonts w:hint="eastAsia" w:ascii="宋体" w:hAnsi="宋体" w:eastAsia="宋体" w:cs="宋体"/>
          <w:color w:val="000000"/>
          <w:sz w:val="22"/>
          <w:szCs w:val="22"/>
          <w:highlight w:val="none"/>
        </w:rPr>
        <w:t xml:space="preserve">工并向发包人支付违约金不低于</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000元/次。</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（7）检查井、雨水口、排水沟等位置，承包人在实施过程中，须有安全防护措施并设置警示标志或路障等，确保施工安全。如发生此类安全事故，承包人承担一切责任和费用。</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 关于通用合同条款的说明</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（1）10.4.2 变更估价程序</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不视为认可承包人提交的变更估价申请。</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“因变更引起的价格调整应计入最近一期的进度款中支付”条款，不适合本合同。</w:t>
      </w:r>
      <w:r/>
    </w:p>
    <w:p>
      <w:pPr>
        <w:ind w:firstLine="440"/>
        <w:jc w:val="left"/>
        <w:pageBreakBefore w:val="0"/>
        <w:spacing w:line="420" w:lineRule="exact"/>
        <w:rPr>
          <w:rFonts w:hint="eastAsia" w:ascii="宋体" w:hAnsi="宋体" w:eastAsia="宋体" w:cs="宋体"/>
          <w:color w:val="000000"/>
          <w:sz w:val="22"/>
          <w:szCs w:val="22"/>
          <w:highlight w:val="none"/>
        </w:rPr>
      </w:pPr>
      <w:r/>
      <w:bookmarkStart w:id="560" w:name="_Toc351203576"/>
      <w:r>
        <w:rPr>
          <w:rFonts w:hint="eastAsia" w:ascii="宋体" w:hAnsi="宋体" w:eastAsia="宋体" w:cs="宋体"/>
          <w:color w:val="000000"/>
          <w:sz w:val="22"/>
          <w:szCs w:val="22"/>
          <w:highlight w:val="none"/>
        </w:rPr>
        <w:t xml:space="preserve">（2）10.9计日工</w:t>
      </w:r>
      <w:bookmarkEnd w:id="560"/>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“计日工由承包人汇总后，列入最近一期进度付款申请单，由监理人审查并经发包人批准后列入进度付款”条款，不适合本合同。</w:t>
      </w:r>
      <w:r/>
    </w:p>
    <w:p>
      <w:pPr>
        <w:ind w:firstLine="440"/>
        <w:jc w:val="left"/>
        <w:pageBreakBefore w:val="0"/>
        <w:spacing w:line="420" w:lineRule="exact"/>
        <w:rPr>
          <w:rFonts w:hint="eastAsia" w:ascii="宋体" w:hAnsi="宋体" w:eastAsia="宋体" w:cs="宋体"/>
          <w:color w:val="000000"/>
          <w:sz w:val="22"/>
          <w:szCs w:val="22"/>
          <w:highlight w:val="none"/>
        </w:rPr>
      </w:pPr>
      <w:r/>
      <w:bookmarkStart w:id="561" w:name="_Toc337558837"/>
      <w:r/>
      <w:bookmarkStart w:id="562" w:name="_Toc351203622"/>
      <w:r/>
      <w:bookmarkStart w:id="563" w:name="_Toc296346643"/>
      <w:r/>
      <w:bookmarkStart w:id="564" w:name="_Toc296503142"/>
      <w:r>
        <w:rPr>
          <w:rFonts w:hint="eastAsia" w:ascii="宋体" w:hAnsi="宋体" w:eastAsia="宋体" w:cs="宋体"/>
          <w:color w:val="000000"/>
          <w:sz w:val="22"/>
          <w:szCs w:val="22"/>
          <w:highlight w:val="none"/>
        </w:rPr>
        <w:t xml:space="preserve">（3）19.2 对承包人索赔的处理</w:t>
      </w:r>
      <w:bookmarkEnd w:id="561"/>
      <w:r/>
      <w:bookmarkEnd w:id="562"/>
      <w:r/>
      <w:bookmarkEnd w:id="563"/>
      <w:r/>
      <w:bookmarkEnd w:id="564"/>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“承包人接受索赔处理结果的，索赔款项在当期进度款中进行支付”条款，不适合本合同；</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承包人应根据省、市建设工程管理规定对工程资料进行归档管理，严格依据规范做好实测实量工作，确保资料公正客观、填写规范、数据准确。</w:t>
      </w:r>
      <w:r/>
    </w:p>
    <w:p>
      <w:pPr>
        <w:ind w:firstLine="440"/>
        <w:jc w:val="left"/>
        <w:pageBreakBefore w:val="0"/>
        <w:spacing w:line="42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承包人应严格按照已批准的《施工技术方案》予以施工，如需调整需按本合同约定及时向发包人提出申请，并经批准后方可实施。发包人将按照经批准实施的《施工技术方案》对照实际完成工程量的质量、进度等进行检查核实 ，如达不到经批准实施的《施工技术方案》要求的，视为承包人违约，发包人将予以处罚，同时承包人应无条件返工、修复至满足</w:t>
      </w:r>
      <w:r>
        <w:rPr>
          <w:rFonts w:hint="eastAsia" w:ascii="宋体" w:hAnsi="宋体" w:eastAsia="宋体" w:cs="宋体"/>
          <w:color w:val="000000"/>
          <w:sz w:val="22"/>
          <w:szCs w:val="22"/>
        </w:rPr>
        <w:t xml:space="preserve">设计要求为止，并</w:t>
      </w:r>
      <w:r>
        <w:rPr>
          <w:rFonts w:hint="eastAsia" w:ascii="宋体" w:hAnsi="宋体" w:eastAsia="宋体" w:cs="宋体"/>
          <w:color w:val="000000"/>
          <w:sz w:val="22"/>
          <w:szCs w:val="22"/>
          <w:highlight w:val="none"/>
        </w:rPr>
        <w:t xml:space="preserve">承担由此产生的一切费用。</w:t>
      </w:r>
      <w:r/>
    </w:p>
    <w:p>
      <w:pPr>
        <w:pStyle w:val="1052"/>
        <w:ind w:firstLine="440"/>
        <w:jc w:val="left"/>
        <w:pageBreakBefore w:val="0"/>
        <w:spacing w:line="42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其他约定：</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承包人绿化部分施工前必须为本项目专门配置</w:t>
      </w:r>
      <w:r>
        <w:rPr>
          <w:rFonts w:hint="eastAsia" w:ascii="宋体" w:hAnsi="宋体" w:eastAsia="宋体" w:cs="宋体"/>
          <w:color w:val="000000"/>
          <w:sz w:val="22"/>
          <w:szCs w:val="22"/>
          <w:highlight w:val="none"/>
          <w:lang w:val="en-US" w:eastAsia="zh-CN"/>
        </w:rPr>
        <w:t xml:space="preserve">1万元以上的修剪等设备；</w:t>
      </w:r>
      <w:r/>
    </w:p>
    <w:p>
      <w:pPr>
        <w:pStyle w:val="1052"/>
        <w:ind w:firstLine="440"/>
        <w:jc w:val="left"/>
        <w:pageBreakBefore w:val="0"/>
        <w:spacing w:line="420" w:lineRule="exact"/>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2、承包</w:t>
      </w:r>
      <w:r>
        <w:rPr>
          <w:rFonts w:hint="eastAsia" w:ascii="宋体" w:hAnsi="宋体" w:eastAsia="宋体" w:cs="宋体"/>
          <w:color w:val="000000"/>
          <w:sz w:val="22"/>
          <w:szCs w:val="22"/>
          <w:highlight w:val="none"/>
          <w:lang w:eastAsia="zh-CN"/>
        </w:rPr>
        <w:t xml:space="preserve">必须按照附</w:t>
      </w:r>
      <w:r>
        <w:rPr>
          <w:rFonts w:hint="eastAsia" w:ascii="宋体" w:hAnsi="宋体" w:eastAsia="宋体" w:cs="宋体"/>
          <w:color w:val="000000"/>
          <w:sz w:val="22"/>
          <w:szCs w:val="22"/>
          <w:highlight w:val="none"/>
          <w:lang w:val="en-US" w:eastAsia="zh-CN" w:bidi="ar-SA"/>
        </w:rPr>
        <w:t xml:space="preserve">件12“绿化养护(两年)管理作业要求”进行养护管理，未按要求养护的，发包人有权直接安排人员进行养护管理，费用计入质量保修金中扣除，承包人不得有异议。</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21.</w:t>
      </w:r>
      <w:r>
        <w:rPr>
          <w:rFonts w:hint="eastAsia" w:ascii="宋体" w:hAnsi="宋体" w:eastAsia="宋体" w:cs="宋体"/>
          <w:color w:val="auto"/>
          <w:sz w:val="22"/>
          <w:szCs w:val="22"/>
          <w:lang w:val="en-US" w:eastAsia="zh-CN"/>
        </w:rPr>
        <w:t xml:space="preserve">9 约定：</w:t>
      </w:r>
      <w:r>
        <w:rPr>
          <w:rFonts w:hint="eastAsia" w:ascii="宋体" w:hAnsi="宋体" w:eastAsia="宋体" w:cs="宋体"/>
          <w:color w:val="auto"/>
          <w:sz w:val="22"/>
          <w:szCs w:val="22"/>
          <w:u w:val="single"/>
        </w:rPr>
        <w:t xml:space="preserve">1、有下列行为的发包人有权擅自解除协议，对发包人造成损失的发包人有权进行索赔：</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（2）、承包人施工进度缓慢或消极怠工，发包人或监理人认为承包人无法在合同工期内完成，发包人有权另行安排施工队进场施工，施工费用从承包人工程款中扣除。</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（3）、承包人必须服从现场发包人现场代表、监理人的调解或指挥，不得野蛮施工。如三次警告无效后，发包人有权单方面解除合同。</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rPr>
        <w:t xml:space="preserve">（4）、承包人不得以任何理由煽动施工人员攻击公务人员或行政机关，如有发现甲方可以单方面解除合同。</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2</w:t>
      </w:r>
      <w:r>
        <w:rPr>
          <w:rFonts w:hint="eastAsia" w:ascii="宋体" w:hAnsi="宋体" w:eastAsia="宋体" w:cs="宋体"/>
          <w:color w:val="auto"/>
          <w:sz w:val="22"/>
          <w:szCs w:val="22"/>
          <w:u w:val="single"/>
        </w:rPr>
        <w:t xml:space="preserve">、合同及其附件中涉及的相关经济处罚，发包人工程部签字盖章生效，不需乙方及监理签字确认。</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3</w:t>
      </w:r>
      <w:r>
        <w:rPr>
          <w:rFonts w:hint="eastAsia" w:ascii="宋体" w:hAnsi="宋体" w:eastAsia="宋体" w:cs="宋体"/>
          <w:color w:val="auto"/>
          <w:sz w:val="22"/>
          <w:szCs w:val="22"/>
          <w:u w:val="single"/>
        </w:rPr>
        <w:t xml:space="preserve">、所有往来文件必须采用 A4 纸打印，手写的一律视为无效文件（人员签名除外）。</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4</w:t>
      </w:r>
      <w:r>
        <w:rPr>
          <w:rFonts w:hint="eastAsia" w:ascii="宋体" w:hAnsi="宋体" w:eastAsia="宋体" w:cs="宋体"/>
          <w:color w:val="auto"/>
          <w:sz w:val="22"/>
          <w:szCs w:val="22"/>
          <w:u w:val="single"/>
        </w:rPr>
        <w:t xml:space="preserve">、承包人必须按有关法规政策及时足额发放农民工工资，办理相关保险，因拖欠发农民工工资及欠缴相关保险，导致农民工上访闹事，承包人须积极协调，如承包人不能有效处理，发包人可自行处理，所产生的费用从承包人工程款中扣除，还有权要求承包人承担因此给发包人造成的一切损失。</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5</w:t>
      </w:r>
      <w:r>
        <w:rPr>
          <w:rFonts w:hint="eastAsia" w:ascii="宋体" w:hAnsi="宋体" w:eastAsia="宋体" w:cs="宋体"/>
          <w:color w:val="auto"/>
          <w:sz w:val="22"/>
          <w:szCs w:val="22"/>
          <w:u w:val="single"/>
        </w:rPr>
        <w:t xml:space="preserve">、施工过程中因变更产生的费用均经最终审计后支付，过程中不予支付。</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6</w:t>
      </w:r>
      <w:r>
        <w:rPr>
          <w:rFonts w:hint="eastAsia" w:ascii="宋体" w:hAnsi="宋体" w:eastAsia="宋体" w:cs="宋体"/>
          <w:color w:val="auto"/>
          <w:sz w:val="22"/>
          <w:szCs w:val="22"/>
          <w:u w:val="single"/>
        </w:rPr>
        <w:t xml:space="preserve">、在施工过</w:t>
      </w:r>
      <w:r>
        <w:rPr>
          <w:rFonts w:hint="eastAsia" w:ascii="宋体" w:hAnsi="宋体" w:eastAsia="宋体" w:cs="宋体"/>
          <w:color w:val="auto"/>
          <w:sz w:val="22"/>
          <w:szCs w:val="22"/>
          <w:highlight w:val="none"/>
          <w:u w:val="single"/>
        </w:rPr>
        <w:t xml:space="preserve">程中，如遇阻工承包人需</w:t>
      </w:r>
      <w:r>
        <w:rPr>
          <w:rFonts w:hint="eastAsia" w:ascii="宋体" w:hAnsi="宋体" w:cs="宋体"/>
          <w:color w:val="auto"/>
          <w:sz w:val="22"/>
          <w:szCs w:val="22"/>
          <w:highlight w:val="none"/>
          <w:u w:val="single"/>
          <w:lang w:eastAsia="zh-CN"/>
        </w:rPr>
        <w:t xml:space="preserve">自行</w:t>
      </w:r>
      <w:r>
        <w:rPr>
          <w:rFonts w:hint="eastAsia" w:ascii="宋体" w:hAnsi="宋体" w:eastAsia="宋体" w:cs="宋体"/>
          <w:color w:val="auto"/>
          <w:sz w:val="22"/>
          <w:szCs w:val="22"/>
          <w:highlight w:val="none"/>
          <w:u w:val="single"/>
        </w:rPr>
        <w:t xml:space="preserve">协调。对此造成的工程延误，由承包人书面向发包人申请，发包人批</w:t>
      </w:r>
      <w:r>
        <w:rPr>
          <w:rFonts w:hint="eastAsia" w:ascii="宋体" w:hAnsi="宋体" w:eastAsia="宋体" w:cs="宋体"/>
          <w:color w:val="auto"/>
          <w:sz w:val="22"/>
          <w:szCs w:val="22"/>
          <w:u w:val="single"/>
        </w:rPr>
        <w:t xml:space="preserve">准后，方可对延误的工期给予顺延，但费用不予索赔。如发包人要求承包人继续施工的承包人应积极配合施工，如承包人不予施工的按照无故停工处理。</w:t>
      </w:r>
      <w:r/>
    </w:p>
    <w:p>
      <w:pPr>
        <w:ind w:firstLine="440"/>
        <w:jc w:val="left"/>
        <w:pageBreakBefore w:val="0"/>
        <w:spacing w:line="42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u w:val="single"/>
          <w:lang w:val="en-US" w:eastAsia="zh-CN"/>
        </w:rPr>
        <w:t xml:space="preserve">7</w:t>
      </w:r>
      <w:r>
        <w:rPr>
          <w:rFonts w:hint="eastAsia" w:ascii="宋体" w:hAnsi="宋体" w:eastAsia="宋体" w:cs="宋体"/>
          <w:color w:val="auto"/>
          <w:sz w:val="22"/>
          <w:szCs w:val="22"/>
          <w:u w:val="single"/>
        </w:rPr>
        <w:t xml:space="preserve">、因承包人在施工过程中造成他人经济损失及人身损失由承包人自行承担。</w:t>
      </w:r>
      <w:r/>
    </w:p>
    <w:p>
      <w:pPr>
        <w:ind w:firstLine="440"/>
        <w:jc w:val="left"/>
        <w:pageBreakBefore w:val="0"/>
        <w:spacing w:line="420" w:lineRule="exact"/>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u w:val="single"/>
          <w:lang w:val="en-US" w:eastAsia="zh-CN"/>
        </w:rPr>
        <w:t xml:space="preserve">8、在验收过程中，因为地形不符合验收要求，罚款1000元/部位；标高不符合要求，罚款1000元/部位；树形、树种不符合要求，罚款投标报价2倍/颗；整改不符合要求的，按上述罚款额度的双倍罚款。</w:t>
      </w:r>
      <w:r/>
    </w:p>
    <w:p>
      <w:pPr>
        <w:pStyle w:val="1049"/>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left"/>
        <w:spacing w:line="400" w:lineRule="atLeast"/>
        <w:rPr>
          <w:rFonts w:hint="eastAsia" w:ascii="宋体" w:hAnsi="宋体" w:eastAsia="宋体" w:cs="宋体"/>
          <w:color w:val="000000"/>
          <w:sz w:val="21"/>
          <w:szCs w:val="21"/>
        </w:rPr>
        <w:sectPr>
          <w:footerReference w:type="default" r:id="rId10"/>
          <w:footerReference w:type="first" r:id="rId11"/>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eastAsia="宋体" w:cs="宋体"/>
          <w:color w:val="000000"/>
          <w:sz w:val="21"/>
          <w:szCs w:val="21"/>
        </w:rPr>
      </w:r>
      <w:r/>
    </w:p>
    <w:p>
      <w:pPr>
        <w:jc w:val="left"/>
        <w:spacing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15"/>
        <w:jc w:val="center"/>
        <w:spacing w:before="132"/>
        <w:rPr>
          <w:rFonts w:hint="eastAsia" w:ascii="宋体" w:hAnsi="宋体" w:eastAsia="宋体" w:cs="宋体"/>
          <w:sz w:val="24"/>
          <w:szCs w:val="24"/>
        </w:rPr>
      </w:pPr>
      <w:r>
        <w:rPr>
          <w:rFonts w:hint="eastAsia" w:ascii="宋体" w:hAnsi="宋体" w:eastAsia="宋体" w:cs="宋体"/>
          <w:sz w:val="24"/>
          <w:szCs w:val="24"/>
        </w:rPr>
        <w:t xml:space="preserve">工程质量保修书</w:t>
      </w:r>
      <w:r/>
    </w:p>
    <w:p>
      <w:pPr>
        <w:pStyle w:val="1015"/>
        <w:jc w:val="left"/>
        <w:spacing w:before="8"/>
        <w:rPr>
          <w:rFonts w:hint="eastAsia" w:ascii="宋体" w:hAnsi="宋体" w:eastAsia="宋体" w:cs="宋体"/>
          <w:sz w:val="22"/>
          <w:szCs w:val="22"/>
        </w:rPr>
      </w:pPr>
      <w:r>
        <w:rPr>
          <w:rFonts w:hint="eastAsia" w:ascii="宋体" w:hAnsi="宋体" w:eastAsia="宋体" w:cs="宋体"/>
          <w:sz w:val="22"/>
          <w:szCs w:val="22"/>
        </w:rPr>
      </w:r>
      <w:r/>
    </w:p>
    <w:p>
      <w:pPr>
        <w:pStyle w:val="1015"/>
        <w:ind w:right="3403" w:firstLine="660"/>
        <w:jc w:val="left"/>
        <w:rPr>
          <w:rFonts w:hint="eastAsia" w:ascii="宋体" w:hAnsi="宋体" w:eastAsia="宋体" w:cs="宋体"/>
          <w:sz w:val="22"/>
          <w:szCs w:val="22"/>
        </w:rPr>
      </w:pPr>
      <w:r>
        <w:rPr>
          <w:rFonts w:hint="eastAsia" w:ascii="宋体" w:hAnsi="宋体" w:eastAsia="宋体" w:cs="宋体"/>
          <w:sz w:val="22"/>
          <w:szCs w:val="22"/>
        </w:rPr>
        <w:t xml:space="preserve">发包人（全称）：                               </w:t>
      </w:r>
      <w:r>
        <w:rPr>
          <w:rFonts w:hint="eastAsia" w:ascii="宋体" w:hAnsi="宋体" w:eastAsia="宋体" w:cs="宋体"/>
          <w:spacing w:val="1"/>
          <w:sz w:val="22"/>
          <w:szCs w:val="22"/>
        </w:rPr>
        <w:t xml:space="preserve"> </w:t>
      </w:r>
      <w:r>
        <w:rPr>
          <w:rFonts w:hint="eastAsia" w:ascii="宋体" w:hAnsi="宋体" w:eastAsia="宋体" w:cs="宋体"/>
          <w:sz w:val="22"/>
          <w:szCs w:val="22"/>
        </w:rPr>
        <w:t xml:space="preserve">  </w:t>
      </w:r>
      <w:r/>
    </w:p>
    <w:p>
      <w:pPr>
        <w:pStyle w:val="1015"/>
        <w:ind w:right="3403" w:firstLine="660"/>
        <w:jc w:val="left"/>
        <w:spacing w:before="134"/>
        <w:rPr>
          <w:rFonts w:hint="eastAsia" w:ascii="宋体" w:hAnsi="宋体" w:eastAsia="宋体" w:cs="宋体"/>
          <w:sz w:val="22"/>
          <w:szCs w:val="22"/>
        </w:rPr>
      </w:pPr>
      <w:r>
        <w:rPr>
          <w:rFonts w:hint="eastAsia" w:ascii="宋体" w:hAnsi="宋体" w:eastAsia="宋体" w:cs="宋体"/>
          <w:sz w:val="22"/>
          <w:szCs w:val="22"/>
        </w:rPr>
        <w:t xml:space="preserve">承包人（全称）：                               </w:t>
      </w:r>
      <w:r>
        <w:rPr>
          <w:rFonts w:hint="eastAsia" w:ascii="宋体" w:hAnsi="宋体" w:eastAsia="宋体" w:cs="宋体"/>
          <w:spacing w:val="1"/>
          <w:sz w:val="22"/>
          <w:szCs w:val="22"/>
        </w:rPr>
        <w:t xml:space="preserve"> </w:t>
      </w:r>
      <w:r>
        <w:rPr>
          <w:rFonts w:hint="eastAsia" w:ascii="宋体" w:hAnsi="宋体" w:eastAsia="宋体" w:cs="宋体"/>
          <w:sz w:val="22"/>
          <w:szCs w:val="22"/>
        </w:rPr>
        <w:t xml:space="preserve">  </w:t>
      </w:r>
      <w:r/>
    </w:p>
    <w:p>
      <w:pPr>
        <w:pStyle w:val="1015"/>
        <w:ind w:left="1080"/>
        <w:jc w:val="left"/>
        <w:spacing w:before="132"/>
        <w:rPr>
          <w:rFonts w:hint="eastAsia" w:ascii="宋体" w:hAnsi="宋体" w:eastAsia="宋体" w:cs="宋体"/>
          <w:sz w:val="22"/>
          <w:szCs w:val="22"/>
        </w:rPr>
      </w:pPr>
      <w:r>
        <w:rPr>
          <w:rFonts w:hint="eastAsia" w:ascii="宋体" w:hAnsi="宋体" w:eastAsia="宋体" w:cs="宋体"/>
          <w:sz w:val="22"/>
          <w:szCs w:val="22"/>
        </w:rPr>
        <w:t xml:space="preserve"> </w:t>
      </w:r>
      <w:r/>
    </w:p>
    <w:p>
      <w:pPr>
        <w:pStyle w:val="1015"/>
        <w:ind w:firstLine="220"/>
        <w:jc w:val="left"/>
        <w:spacing w:before="19" w:line="364" w:lineRule="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pacing w:val="-1"/>
          <w:sz w:val="22"/>
          <w:szCs w:val="22"/>
        </w:rPr>
        <w:t xml:space="preserve"> 发包人和承包人根据《中华人民共和国建筑法》和《建设工程质量管理条例》， </w:t>
      </w:r>
      <w:r>
        <w:rPr>
          <w:rFonts w:hint="eastAsia" w:ascii="宋体" w:hAnsi="宋体" w:eastAsia="宋体" w:cs="宋体"/>
          <w:sz w:val="22"/>
          <w:szCs w:val="22"/>
        </w:rPr>
        <w:t xml:space="preserve">经协商一致就</w:t>
      </w:r>
      <w:r>
        <w:rPr>
          <w:rFonts w:hint="eastAsia" w:ascii="宋体" w:hAnsi="宋体" w:eastAsia="宋体" w:cs="宋体"/>
          <w:spacing w:val="119"/>
          <w:sz w:val="22"/>
          <w:szCs w:val="22"/>
          <w:u w:val="single"/>
        </w:rPr>
        <w:t xml:space="preserve">       </w:t>
      </w:r>
      <w:r>
        <w:rPr>
          <w:rFonts w:hint="eastAsia" w:ascii="宋体" w:hAnsi="宋体" w:eastAsia="宋体" w:cs="宋体"/>
          <w:sz w:val="22"/>
          <w:szCs w:val="22"/>
        </w:rPr>
        <w:t xml:space="preserve">（工程全称）签订工程质量保修书。 </w:t>
      </w:r>
      <w:r/>
    </w:p>
    <w:p>
      <w:pPr>
        <w:pStyle w:val="1015"/>
        <w:jc w:val="left"/>
        <w:spacing w:line="306" w:lineRule="exact"/>
        <w:rPr>
          <w:rFonts w:hint="eastAsia" w:ascii="宋体" w:hAnsi="宋体" w:eastAsia="宋体" w:cs="宋体"/>
          <w:sz w:val="22"/>
          <w:szCs w:val="22"/>
        </w:rPr>
      </w:pPr>
      <w:r/>
      <w:bookmarkStart w:id="565" w:name="一、工程质量保修范围和内容"/>
      <w:r/>
      <w:bookmarkEnd w:id="565"/>
      <w:r>
        <w:rPr>
          <w:rFonts w:hint="eastAsia" w:ascii="宋体" w:hAnsi="宋体" w:eastAsia="宋体" w:cs="宋体"/>
          <w:sz w:val="22"/>
          <w:szCs w:val="22"/>
        </w:rPr>
        <w:t xml:space="preserve">一、工程质量保修范围和内容 </w:t>
      </w:r>
      <w:r/>
    </w:p>
    <w:p>
      <w:pPr>
        <w:pStyle w:val="1015"/>
        <w:ind w:firstLine="220"/>
        <w:jc w:val="left"/>
        <w:spacing w:before="161"/>
        <w:rPr>
          <w:rFonts w:hint="eastAsia" w:ascii="宋体" w:hAnsi="宋体" w:eastAsia="宋体" w:cs="宋体"/>
          <w:sz w:val="22"/>
          <w:szCs w:val="22"/>
        </w:rPr>
      </w:pPr>
      <w:r>
        <w:rPr>
          <w:rFonts w:hint="eastAsia" w:ascii="宋体" w:hAnsi="宋体" w:eastAsia="宋体" w:cs="宋体"/>
          <w:sz w:val="22"/>
          <w:szCs w:val="22"/>
        </w:rPr>
        <w:t xml:space="preserve">    承包人在质量保修期内，按照有关法律规定和合同约定，承担工程质量保修责任。 </w:t>
      </w:r>
      <w:r/>
    </w:p>
    <w:p>
      <w:pPr>
        <w:pStyle w:val="1015"/>
        <w:ind w:firstLine="220"/>
        <w:jc w:val="left"/>
        <w:spacing w:before="158" w:line="364" w:lineRule="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pacing w:val="-7"/>
          <w:sz w:val="22"/>
          <w:szCs w:val="22"/>
        </w:rPr>
        <w:t xml:space="preserve">质量保修范围包括地基基础工程、主体结构工程，屋面防水工程、有防水要求的</w:t>
      </w:r>
      <w:r>
        <w:rPr>
          <w:rFonts w:hint="eastAsia" w:ascii="宋体" w:hAnsi="宋体" w:eastAsia="宋体" w:cs="宋体"/>
          <w:spacing w:val="-10"/>
          <w:sz w:val="22"/>
          <w:szCs w:val="22"/>
        </w:rPr>
        <w:t xml:space="preserve">卫生间、房间和外墙面的防渗漏，供热与供冷系统，电气管线、给排水管道、设备安</w:t>
      </w:r>
      <w:r>
        <w:rPr>
          <w:rFonts w:hint="eastAsia" w:ascii="宋体" w:hAnsi="宋体" w:eastAsia="宋体" w:cs="宋体"/>
          <w:sz w:val="22"/>
          <w:szCs w:val="22"/>
        </w:rPr>
        <w:t xml:space="preserve">装和装修工程，以及双方约定的其他项目。具体保修的内容，双方约定如下： </w:t>
      </w:r>
      <w:r/>
    </w:p>
    <w:p>
      <w:pPr>
        <w:pStyle w:val="1015"/>
        <w:ind w:firstLine="220"/>
        <w:jc w:val="left"/>
        <w:spacing w:line="307" w:lineRule="exact"/>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本合同承包范围以及合同范围外增加的全部工程内容为保修内容。 </w:t>
      </w:r>
      <w:r>
        <w:rPr>
          <w:rFonts w:hint="eastAsia" w:ascii="宋体" w:hAnsi="宋体" w:eastAsia="宋体" w:cs="宋体"/>
          <w:sz w:val="22"/>
          <w:szCs w:val="22"/>
        </w:rPr>
        <w:t xml:space="preserve">。 </w:t>
      </w:r>
      <w:r/>
    </w:p>
    <w:p>
      <w:pPr>
        <w:jc w:val="left"/>
        <w:spacing w:before="161"/>
        <w:rPr>
          <w:rFonts w:hint="eastAsia" w:ascii="宋体" w:hAnsi="宋体" w:cs="宋体"/>
          <w:sz w:val="22"/>
          <w:szCs w:val="22"/>
        </w:rPr>
      </w:pPr>
      <w:r/>
      <w:bookmarkStart w:id="566" w:name="二、质量保修期"/>
      <w:r/>
      <w:bookmarkEnd w:id="566"/>
      <w:r>
        <w:rPr>
          <w:rFonts w:hint="eastAsia" w:ascii="宋体" w:hAnsi="宋体" w:cs="宋体"/>
          <w:sz w:val="22"/>
          <w:szCs w:val="22"/>
        </w:rPr>
        <w:t xml:space="preserve">二、质量保修期 </w:t>
      </w:r>
      <w:r/>
    </w:p>
    <w:p>
      <w:pPr>
        <w:pStyle w:val="1015"/>
        <w:ind w:firstLine="220"/>
        <w:jc w:val="left"/>
        <w:spacing w:before="23" w:line="468" w:lineRule="exact"/>
        <w:rPr>
          <w:rFonts w:hint="eastAsia" w:ascii="宋体" w:hAnsi="宋体" w:eastAsia="宋体" w:cs="宋体"/>
          <w:sz w:val="22"/>
          <w:szCs w:val="22"/>
        </w:rPr>
      </w:pPr>
      <w:r>
        <w:rPr>
          <w:rFonts w:hint="eastAsia" w:ascii="宋体" w:hAnsi="宋体" w:eastAsia="宋体" w:cs="宋体"/>
          <w:sz w:val="22"/>
          <w:szCs w:val="22"/>
        </w:rPr>
        <w:t xml:space="preserve">根据《建设工程质量管理条例》及有关规定，工程的质量保修期如下：</w:t>
      </w:r>
      <w:r/>
    </w:p>
    <w:p>
      <w:pPr>
        <w:pStyle w:val="1015"/>
        <w:ind w:firstLine="585"/>
        <w:jc w:val="left"/>
        <w:spacing w:before="161"/>
        <w:rPr>
          <w:rFonts w:hint="eastAsia" w:ascii="宋体" w:hAnsi="宋体" w:eastAsia="宋体" w:cs="宋体"/>
          <w:sz w:val="22"/>
          <w:szCs w:val="22"/>
        </w:rPr>
      </w:pPr>
      <w:r>
        <w:rPr>
          <w:rFonts w:hint="eastAsia" w:ascii="宋体" w:hAnsi="宋体" w:eastAsia="宋体" w:cs="宋体"/>
          <w:sz w:val="22"/>
          <w:szCs w:val="22"/>
        </w:rPr>
        <w:t xml:space="preserve">1．地基基础工程和主体结构工程为设计文件规定的工程合理使用年限； </w:t>
      </w:r>
      <w:r/>
    </w:p>
    <w:p>
      <w:pPr>
        <w:pStyle w:val="1015"/>
        <w:ind w:firstLine="585"/>
        <w:jc w:val="left"/>
        <w:spacing w:before="161"/>
        <w:rPr>
          <w:rFonts w:hint="eastAsia" w:ascii="宋体" w:hAnsi="宋体" w:eastAsia="宋体" w:cs="宋体"/>
          <w:sz w:val="22"/>
          <w:szCs w:val="22"/>
        </w:rPr>
      </w:pPr>
      <w:r>
        <w:rPr>
          <w:rFonts w:hint="eastAsia" w:ascii="宋体" w:hAnsi="宋体" w:eastAsia="宋体" w:cs="宋体"/>
          <w:sz w:val="22"/>
          <w:szCs w:val="22"/>
        </w:rPr>
        <w:t xml:space="preserve">2.屋面防水工程、有防水要求的卫生间、房间和外墙面的防渗为 </w:t>
      </w:r>
      <w:r>
        <w:rPr>
          <w:rFonts w:hint="eastAsia" w:ascii="宋体" w:hAnsi="宋体" w:eastAsia="宋体" w:cs="宋体"/>
          <w:sz w:val="22"/>
          <w:szCs w:val="22"/>
          <w:u w:val="single"/>
        </w:rPr>
        <w:t xml:space="preserve"> 5  </w:t>
      </w:r>
      <w:r>
        <w:rPr>
          <w:rFonts w:hint="eastAsia" w:ascii="宋体" w:hAnsi="宋体" w:eastAsia="宋体" w:cs="宋体"/>
          <w:sz w:val="22"/>
          <w:szCs w:val="22"/>
        </w:rPr>
        <w:t xml:space="preserve">  年； </w:t>
      </w:r>
      <w:r/>
    </w:p>
    <w:p>
      <w:pPr>
        <w:pStyle w:val="1015"/>
        <w:ind w:firstLine="585"/>
        <w:jc w:val="left"/>
        <w:spacing w:before="161"/>
        <w:rPr>
          <w:rFonts w:hint="eastAsia" w:ascii="宋体" w:hAnsi="宋体" w:eastAsia="宋体" w:cs="宋体"/>
          <w:sz w:val="22"/>
          <w:szCs w:val="22"/>
        </w:rPr>
      </w:pPr>
      <w:r>
        <w:rPr>
          <w:rFonts w:hint="eastAsia" w:ascii="宋体" w:hAnsi="宋体" w:eastAsia="宋体" w:cs="宋体"/>
          <w:sz w:val="22"/>
          <w:szCs w:val="22"/>
        </w:rPr>
        <w:t xml:space="preserve">3．装修工程为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 </w:t>
      </w:r>
      <w:r/>
    </w:p>
    <w:p>
      <w:pPr>
        <w:pStyle w:val="1051"/>
        <w:ind w:firstLine="585"/>
        <w:jc w:val="left"/>
        <w:spacing w:before="158"/>
        <w:tabs>
          <w:tab w:val="left" w:pos="1982" w:leader="none"/>
        </w:tabs>
        <w:rPr>
          <w:rFonts w:hint="eastAsia"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电气管线、给排水管道、设备安装工程为</w:t>
      </w:r>
      <w:r>
        <w:rPr>
          <w:rFonts w:hint="eastAsia" w:ascii="宋体" w:hAnsi="宋体" w:cs="宋体"/>
          <w:sz w:val="22"/>
          <w:szCs w:val="22"/>
          <w:u w:val="single"/>
        </w:rPr>
        <w:t xml:space="preserve"> 2</w:t>
      </w:r>
      <w:r>
        <w:rPr>
          <w:rFonts w:hint="eastAsia" w:ascii="宋体" w:hAnsi="宋体" w:cs="宋体"/>
          <w:sz w:val="22"/>
          <w:szCs w:val="22"/>
        </w:rPr>
        <w:t xml:space="preserve"> 年； </w:t>
      </w:r>
      <w:r/>
    </w:p>
    <w:p>
      <w:pPr>
        <w:pStyle w:val="1051"/>
        <w:ind w:firstLine="585"/>
        <w:jc w:val="left"/>
        <w:spacing w:before="161"/>
        <w:tabs>
          <w:tab w:val="left" w:pos="1982" w:leader="none"/>
        </w:tabs>
        <w:rPr>
          <w:rFonts w:hint="eastAsia" w:ascii="宋体" w:hAnsi="宋体" w:cs="宋体"/>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供热与供冷系统为</w:t>
      </w:r>
      <w:r>
        <w:rPr>
          <w:rFonts w:hint="eastAsia" w:ascii="宋体" w:hAnsi="宋体" w:cs="宋体"/>
          <w:sz w:val="22"/>
          <w:szCs w:val="22"/>
          <w:u w:val="single"/>
        </w:rPr>
        <w:t xml:space="preserve"> 2</w:t>
      </w:r>
      <w:r>
        <w:rPr>
          <w:rFonts w:hint="eastAsia" w:ascii="宋体" w:hAnsi="宋体" w:cs="宋体"/>
          <w:sz w:val="22"/>
          <w:szCs w:val="22"/>
        </w:rPr>
        <w:t xml:space="preserve"> 个采暖期、供冷期； </w:t>
      </w:r>
      <w:r/>
    </w:p>
    <w:p>
      <w:pPr>
        <w:pStyle w:val="1051"/>
        <w:ind w:firstLine="585"/>
        <w:jc w:val="left"/>
        <w:spacing w:before="158"/>
        <w:tabs>
          <w:tab w:val="left" w:pos="1982" w:leader="none"/>
        </w:tabs>
        <w:rPr>
          <w:rFonts w:hint="eastAsia" w:ascii="宋体" w:hAnsi="宋体" w:cs="宋体"/>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住宅小区内的给排水设施、道路等配套工程为</w:t>
      </w:r>
      <w:r>
        <w:rPr>
          <w:rFonts w:hint="eastAsia" w:ascii="宋体" w:hAnsi="宋体" w:cs="宋体"/>
          <w:sz w:val="22"/>
          <w:szCs w:val="22"/>
          <w:u w:val="single"/>
        </w:rPr>
        <w:t xml:space="preserve"> 2</w:t>
      </w:r>
      <w:r>
        <w:rPr>
          <w:rFonts w:hint="eastAsia" w:ascii="宋体" w:hAnsi="宋体" w:cs="宋体"/>
          <w:sz w:val="22"/>
          <w:szCs w:val="22"/>
        </w:rPr>
        <w:t xml:space="preserve"> 年； </w:t>
      </w:r>
      <w:r/>
    </w:p>
    <w:p>
      <w:pPr>
        <w:pStyle w:val="1051"/>
        <w:ind w:firstLine="585"/>
        <w:jc w:val="left"/>
        <w:spacing w:before="161"/>
        <w:tabs>
          <w:tab w:val="left" w:pos="1982" w:leader="none"/>
        </w:tabs>
        <w:rPr>
          <w:rFonts w:hint="eastAsia" w:ascii="宋体" w:hAnsi="宋体" w:cs="宋体"/>
          <w:sz w:val="22"/>
          <w:szCs w:val="22"/>
        </w:rPr>
      </w:pPr>
      <w:r>
        <w:rPr>
          <w:rFonts w:hint="eastAsia" w:ascii="宋体" w:hAnsi="宋体" w:cs="宋体"/>
          <w:sz w:val="22"/>
          <w:szCs w:val="22"/>
          <w:lang w:val="en-US" w:eastAsia="zh-CN"/>
        </w:rPr>
        <w:t xml:space="preserve">7.</w:t>
      </w:r>
      <w:r>
        <w:rPr>
          <w:rFonts w:hint="eastAsia" w:ascii="宋体" w:hAnsi="宋体" w:cs="宋体"/>
          <w:sz w:val="22"/>
          <w:szCs w:val="22"/>
        </w:rPr>
        <w:t xml:space="preserve">其他项目保修期限约定如下</w:t>
      </w:r>
      <w:r>
        <w:rPr>
          <w:rFonts w:hint="eastAsia" w:ascii="宋体" w:hAnsi="宋体" w:cs="宋体"/>
          <w:sz w:val="22"/>
          <w:szCs w:val="22"/>
          <w:highlight w:val="yellow"/>
        </w:rPr>
        <w:t xml:space="preserve">：</w:t>
      </w:r>
      <w:r>
        <w:rPr>
          <w:rFonts w:hint="eastAsia" w:ascii="宋体" w:hAnsi="宋体" w:cs="宋体"/>
          <w:spacing w:val="-8"/>
          <w:sz w:val="22"/>
          <w:szCs w:val="22"/>
          <w:highlight w:val="yellow"/>
          <w:u w:val="single"/>
        </w:rPr>
        <w:t xml:space="preserve"> 本工程质保期</w:t>
      </w:r>
      <w:r>
        <w:rPr>
          <w:rFonts w:hint="eastAsia" w:ascii="宋体" w:hAnsi="宋体" w:cs="宋体"/>
          <w:spacing w:val="-8"/>
          <w:sz w:val="22"/>
          <w:szCs w:val="22"/>
          <w:highlight w:val="yellow"/>
          <w:u w:val="single"/>
          <w:lang w:val="en-US" w:eastAsia="zh-CN"/>
        </w:rPr>
        <w:t xml:space="preserve">1</w:t>
      </w:r>
      <w:r>
        <w:rPr>
          <w:rFonts w:hint="eastAsia" w:ascii="宋体" w:hAnsi="宋体" w:cs="宋体"/>
          <w:spacing w:val="-30"/>
          <w:sz w:val="22"/>
          <w:szCs w:val="22"/>
          <w:highlight w:val="yellow"/>
          <w:u w:val="single"/>
        </w:rPr>
        <w:t xml:space="preserve">年</w:t>
      </w:r>
      <w:r>
        <w:rPr>
          <w:rFonts w:hint="eastAsia" w:ascii="宋体" w:hAnsi="宋体" w:cs="宋体"/>
          <w:sz w:val="22"/>
          <w:szCs w:val="22"/>
          <w:highlight w:val="yellow"/>
        </w:rPr>
        <w:t xml:space="preserve"> </w:t>
      </w:r>
      <w:r>
        <w:rPr>
          <w:rFonts w:hint="eastAsia" w:ascii="宋体" w:hAnsi="宋体" w:cs="宋体"/>
          <w:sz w:val="22"/>
          <w:szCs w:val="22"/>
        </w:rPr>
        <w:t xml:space="preserve">。 </w:t>
      </w:r>
      <w:r/>
    </w:p>
    <w:p>
      <w:pPr>
        <w:pStyle w:val="1015"/>
        <w:ind w:firstLine="585"/>
        <w:jc w:val="left"/>
        <w:spacing w:before="160" w:line="363" w:lineRule="auto"/>
        <w:rPr>
          <w:rFonts w:hint="eastAsia" w:ascii="宋体" w:hAnsi="宋体" w:eastAsia="宋体" w:cs="宋体"/>
          <w:sz w:val="22"/>
          <w:szCs w:val="22"/>
        </w:rPr>
      </w:pPr>
      <w:r>
        <w:rPr>
          <w:rFonts w:hint="eastAsia" w:ascii="宋体" w:hAnsi="宋体" w:eastAsia="宋体" w:cs="宋体"/>
          <w:sz w:val="22"/>
          <w:szCs w:val="22"/>
        </w:rPr>
        <w:t xml:space="preserve">质量保修期自工程竣工验收合格之日起计算。</w:t>
      </w:r>
      <w:bookmarkStart w:id="567" w:name="三、缺陷责任期"/>
      <w:r/>
      <w:bookmarkEnd w:id="567"/>
      <w:r/>
      <w:r/>
    </w:p>
    <w:p>
      <w:pPr>
        <w:pStyle w:val="1015"/>
        <w:jc w:val="left"/>
        <w:spacing w:before="160" w:line="363" w:lineRule="auto"/>
        <w:rPr>
          <w:rFonts w:hint="eastAsia" w:ascii="宋体" w:hAnsi="宋体" w:eastAsia="宋体" w:cs="宋体"/>
          <w:sz w:val="22"/>
          <w:szCs w:val="22"/>
        </w:rPr>
      </w:pPr>
      <w:r>
        <w:rPr>
          <w:rFonts w:hint="eastAsia" w:ascii="宋体" w:hAnsi="宋体" w:eastAsia="宋体" w:cs="宋体"/>
          <w:sz w:val="22"/>
          <w:szCs w:val="22"/>
        </w:rPr>
        <w:t xml:space="preserve">三、缺陷责任期 </w:t>
      </w:r>
      <w:r/>
    </w:p>
    <w:p>
      <w:pPr>
        <w:pStyle w:val="1015"/>
        <w:ind w:firstLine="220"/>
        <w:jc w:val="left"/>
        <w:spacing w:before="5" w:line="364" w:lineRule="auto"/>
        <w:rPr>
          <w:rFonts w:hint="eastAsia" w:ascii="宋体" w:hAnsi="宋体" w:eastAsia="宋体" w:cs="宋体"/>
          <w:sz w:val="22"/>
          <w:szCs w:val="22"/>
        </w:rPr>
      </w:pPr>
      <w:r>
        <w:rPr>
          <w:rFonts w:hint="eastAsia" w:ascii="宋体" w:hAnsi="宋体" w:eastAsia="宋体" w:cs="宋体"/>
          <w:sz w:val="22"/>
          <w:szCs w:val="22"/>
        </w:rPr>
        <w:t xml:space="preserve">工程缺陷责任期为</w:t>
      </w:r>
      <w:r>
        <w:rPr>
          <w:rFonts w:hint="eastAsia" w:ascii="宋体" w:hAnsi="宋体" w:eastAsia="宋体" w:cs="宋体"/>
          <w:spacing w:val="120"/>
          <w:sz w:val="22"/>
          <w:szCs w:val="22"/>
          <w:u w:val="single"/>
        </w:rPr>
        <w:t xml:space="preserve"> </w:t>
      </w:r>
      <w:r>
        <w:rPr>
          <w:rFonts w:hint="eastAsia" w:ascii="宋体" w:hAnsi="宋体" w:cs="宋体"/>
          <w:sz w:val="22"/>
          <w:szCs w:val="22"/>
          <w:highlight w:val="yellow"/>
          <w:u w:val="single"/>
          <w:lang w:val="en-US" w:eastAsia="zh-CN"/>
        </w:rPr>
        <w:t xml:space="preserve">1</w:t>
      </w:r>
      <w:r>
        <w:rPr>
          <w:rFonts w:hint="eastAsia" w:ascii="宋体" w:hAnsi="宋体" w:eastAsia="宋体" w:cs="宋体"/>
          <w:spacing w:val="120"/>
          <w:sz w:val="22"/>
          <w:szCs w:val="22"/>
          <w:u w:val="single"/>
        </w:rPr>
        <w:t xml:space="preserve"> </w:t>
      </w:r>
      <w:r>
        <w:rPr>
          <w:rFonts w:hint="eastAsia" w:ascii="宋体" w:hAnsi="宋体" w:cs="宋体"/>
          <w:spacing w:val="120"/>
          <w:sz w:val="22"/>
          <w:szCs w:val="22"/>
          <w:u w:val="none"/>
          <w:lang w:val="en-US" w:eastAsia="zh-CN"/>
        </w:rPr>
        <w:t xml:space="preserve">年</w:t>
      </w:r>
      <w:r>
        <w:rPr>
          <w:rFonts w:hint="eastAsia" w:ascii="宋体" w:hAnsi="宋体" w:eastAsia="宋体" w:cs="宋体"/>
          <w:spacing w:val="-9"/>
          <w:sz w:val="22"/>
          <w:szCs w:val="22"/>
        </w:rPr>
        <w:t xml:space="preserve">，缺陷责任期自工程通过竣工验收之日起计算。单</w:t>
      </w:r>
      <w:r>
        <w:rPr>
          <w:rFonts w:hint="eastAsia" w:ascii="宋体" w:hAnsi="宋体" w:eastAsia="宋体" w:cs="宋体"/>
          <w:spacing w:val="-12"/>
          <w:sz w:val="22"/>
          <w:szCs w:val="22"/>
        </w:rPr>
        <w:t xml:space="preserve">位工程先于全部工程进行验收，单位工程缺陷责任期自单位工程验收合格之日起算。</w:t>
      </w:r>
      <w:r>
        <w:rPr>
          <w:rFonts w:hint="eastAsia" w:ascii="宋体" w:hAnsi="宋体" w:eastAsia="宋体" w:cs="宋体"/>
          <w:sz w:val="22"/>
          <w:szCs w:val="22"/>
        </w:rPr>
        <w:t xml:space="preserve"> </w:t>
      </w:r>
      <w:r/>
    </w:p>
    <w:p>
      <w:pPr>
        <w:pStyle w:val="1015"/>
        <w:ind w:firstLine="220"/>
        <w:jc w:val="left"/>
        <w:spacing w:line="307" w:lineRule="exact"/>
        <w:rPr>
          <w:rFonts w:hint="eastAsia" w:ascii="宋体" w:hAnsi="宋体" w:eastAsia="宋体" w:cs="宋体"/>
          <w:sz w:val="22"/>
          <w:szCs w:val="22"/>
        </w:rPr>
      </w:pPr>
      <w:r>
        <w:rPr>
          <w:rFonts w:hint="eastAsia" w:ascii="宋体" w:hAnsi="宋体" w:eastAsia="宋体" w:cs="宋体"/>
          <w:sz w:val="22"/>
          <w:szCs w:val="22"/>
        </w:rPr>
        <w:t xml:space="preserve">缺陷责任期终止后，发包人应退还剩余的质量保证金。 </w:t>
      </w:r>
      <w:r/>
    </w:p>
    <w:p>
      <w:pPr>
        <w:pStyle w:val="1015"/>
        <w:jc w:val="left"/>
        <w:spacing w:before="158"/>
        <w:rPr>
          <w:rFonts w:hint="eastAsia" w:ascii="宋体" w:hAnsi="宋体" w:eastAsia="宋体" w:cs="宋体"/>
          <w:sz w:val="22"/>
          <w:szCs w:val="22"/>
        </w:rPr>
      </w:pPr>
      <w:r/>
      <w:bookmarkStart w:id="568" w:name="四、质量保修责任"/>
      <w:r/>
      <w:bookmarkEnd w:id="568"/>
      <w:r>
        <w:rPr>
          <w:rFonts w:hint="eastAsia" w:ascii="宋体" w:hAnsi="宋体" w:eastAsia="宋体" w:cs="宋体"/>
          <w:sz w:val="22"/>
          <w:szCs w:val="22"/>
        </w:rPr>
        <w:t xml:space="preserve">四、质量保修责任 </w:t>
      </w:r>
      <w:r/>
    </w:p>
    <w:p>
      <w:pPr>
        <w:pStyle w:val="1051"/>
        <w:ind w:firstLine="202"/>
        <w:jc w:val="left"/>
        <w:spacing w:before="161" w:line="363" w:lineRule="auto"/>
        <w:tabs>
          <w:tab w:val="left" w:pos="2039" w:leader="none"/>
        </w:tabs>
        <w:rPr>
          <w:rFonts w:hint="eastAsia" w:ascii="宋体" w:hAnsi="宋体" w:cs="宋体"/>
          <w:sz w:val="22"/>
          <w:szCs w:val="22"/>
        </w:rPr>
      </w:pPr>
      <w:r>
        <w:rPr>
          <w:rFonts w:hint="eastAsia" w:ascii="宋体" w:hAnsi="宋体" w:cs="宋体"/>
          <w:spacing w:val="-9"/>
          <w:sz w:val="22"/>
          <w:szCs w:val="22"/>
          <w:lang w:val="en-US" w:eastAsia="zh-CN"/>
        </w:rPr>
        <w:t xml:space="preserve">1.</w:t>
      </w:r>
      <w:r>
        <w:rPr>
          <w:rFonts w:hint="eastAsia" w:ascii="宋体" w:hAnsi="宋体" w:cs="宋体"/>
          <w:spacing w:val="-9"/>
          <w:sz w:val="22"/>
          <w:szCs w:val="22"/>
        </w:rPr>
        <w:t xml:space="preserve">属于保修范围、内容的项目，承包人应当在接到保修通知之日起 </w:t>
      </w:r>
      <w:r>
        <w:rPr>
          <w:rFonts w:hint="eastAsia" w:ascii="宋体" w:hAnsi="宋体" w:cs="宋体"/>
          <w:sz w:val="22"/>
          <w:szCs w:val="22"/>
        </w:rPr>
        <w:t xml:space="preserve">7</w:t>
      </w:r>
      <w:r>
        <w:rPr>
          <w:rFonts w:hint="eastAsia" w:ascii="宋体" w:hAnsi="宋体" w:cs="宋体"/>
          <w:spacing w:val="-15"/>
          <w:sz w:val="22"/>
          <w:szCs w:val="22"/>
        </w:rPr>
        <w:t xml:space="preserve"> 天内派</w:t>
      </w:r>
      <w:r>
        <w:rPr>
          <w:rFonts w:hint="eastAsia" w:ascii="宋体" w:hAnsi="宋体" w:cs="宋体"/>
          <w:spacing w:val="-4"/>
          <w:sz w:val="22"/>
          <w:szCs w:val="22"/>
        </w:rPr>
        <w:t xml:space="preserve">人保修。承包人不在约定期限内派人保修的，发包人可以委托他人修理。 </w:t>
      </w:r>
      <w:r/>
    </w:p>
    <w:p>
      <w:pPr>
        <w:pStyle w:val="1051"/>
        <w:ind w:firstLine="210"/>
        <w:jc w:val="left"/>
        <w:spacing w:before="4"/>
        <w:tabs>
          <w:tab w:val="left" w:pos="2039" w:leader="none"/>
        </w:tabs>
        <w:rPr>
          <w:rFonts w:hint="eastAsia" w:ascii="宋体" w:hAnsi="宋体" w:cs="宋体"/>
          <w:sz w:val="22"/>
          <w:szCs w:val="22"/>
        </w:rPr>
      </w:pPr>
      <w:r>
        <w:rPr>
          <w:rFonts w:hint="eastAsia" w:ascii="宋体" w:hAnsi="宋体" w:cs="宋体"/>
          <w:spacing w:val="-5"/>
          <w:sz w:val="22"/>
          <w:szCs w:val="22"/>
          <w:lang w:val="en-US" w:eastAsia="zh-CN"/>
        </w:rPr>
        <w:t xml:space="preserve">2.</w:t>
      </w:r>
      <w:r>
        <w:rPr>
          <w:rFonts w:hint="eastAsia" w:ascii="宋体" w:hAnsi="宋体" w:cs="宋体"/>
          <w:spacing w:val="-5"/>
          <w:sz w:val="22"/>
          <w:szCs w:val="22"/>
        </w:rPr>
        <w:t xml:space="preserve">发生紧急事故需抢修的，承包人在接到事故通知后，应当立即到达事故现场</w:t>
      </w:r>
      <w:r>
        <w:rPr>
          <w:rFonts w:hint="eastAsia" w:ascii="宋体" w:hAnsi="宋体" w:cs="宋体"/>
          <w:sz w:val="22"/>
          <w:szCs w:val="22"/>
        </w:rPr>
        <w:t xml:space="preserve">抢修。 </w:t>
      </w:r>
      <w:r/>
    </w:p>
    <w:p>
      <w:pPr>
        <w:pStyle w:val="1051"/>
        <w:ind w:firstLine="202"/>
        <w:jc w:val="left"/>
        <w:spacing w:before="161" w:line="364" w:lineRule="auto"/>
        <w:tabs>
          <w:tab w:val="left" w:pos="2039" w:leader="none"/>
        </w:tabs>
        <w:rPr>
          <w:rFonts w:hint="eastAsia" w:ascii="宋体" w:hAnsi="宋体" w:cs="宋体"/>
          <w:sz w:val="22"/>
          <w:szCs w:val="22"/>
        </w:rPr>
      </w:pPr>
      <w:r>
        <w:rPr>
          <w:rFonts w:hint="eastAsia" w:ascii="宋体" w:hAnsi="宋体" w:cs="宋体"/>
          <w:spacing w:val="-9"/>
          <w:sz w:val="22"/>
          <w:szCs w:val="22"/>
          <w:lang w:val="en-US" w:eastAsia="zh-CN"/>
        </w:rPr>
        <w:t xml:space="preserve">3.</w:t>
      </w:r>
      <w:r>
        <w:rPr>
          <w:rFonts w:hint="eastAsia" w:ascii="宋体" w:hAnsi="宋体" w:cs="宋体"/>
          <w:spacing w:val="-9"/>
          <w:sz w:val="22"/>
          <w:szCs w:val="22"/>
        </w:rPr>
        <w:t xml:space="preserve">对于涉及结构安全的质量问题，应当按照《建设工程质量管理条例》的规定</w:t>
      </w:r>
      <w:r>
        <w:rPr>
          <w:rFonts w:hint="eastAsia" w:ascii="宋体" w:hAnsi="宋体" w:cs="宋体"/>
          <w:spacing w:val="-4"/>
          <w:sz w:val="22"/>
          <w:szCs w:val="22"/>
        </w:rPr>
        <w:t xml:space="preserve">，立即向当地建设行政主管部门和有关部门报告，采取安全防范措施，并由原设计人或者具有相应资质等级的设计人提出保修方案，承包人实施保修。 </w:t>
      </w:r>
      <w:r/>
    </w:p>
    <w:p>
      <w:pPr>
        <w:pStyle w:val="1051"/>
        <w:ind w:firstLine="220"/>
        <w:jc w:val="left"/>
        <w:spacing w:line="305" w:lineRule="exact"/>
        <w:tabs>
          <w:tab w:val="left" w:pos="1982" w:leader="none"/>
        </w:tabs>
        <w:rPr>
          <w:rFonts w:hint="eastAsia"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质量保修完成后，由发包人组织验收</w:t>
      </w:r>
      <w:bookmarkStart w:id="569" w:name="五、保修费用"/>
      <w:r/>
      <w:bookmarkEnd w:id="569"/>
      <w:r/>
      <w:r/>
    </w:p>
    <w:p>
      <w:pPr>
        <w:pStyle w:val="1051"/>
        <w:ind w:firstLine="0"/>
        <w:jc w:val="left"/>
        <w:spacing w:line="305" w:lineRule="exact"/>
        <w:tabs>
          <w:tab w:val="left" w:pos="1982" w:leader="none"/>
        </w:tabs>
        <w:rPr>
          <w:rFonts w:hint="eastAsia" w:ascii="宋体" w:hAnsi="宋体" w:cs="宋体"/>
          <w:sz w:val="22"/>
          <w:szCs w:val="22"/>
        </w:rPr>
      </w:pPr>
      <w:r>
        <w:rPr>
          <w:rFonts w:hint="eastAsia" w:ascii="宋体" w:hAnsi="宋体" w:cs="宋体"/>
          <w:sz w:val="22"/>
          <w:szCs w:val="22"/>
        </w:rPr>
      </w:r>
      <w:r/>
    </w:p>
    <w:p>
      <w:pPr>
        <w:pStyle w:val="1051"/>
        <w:ind w:firstLine="0"/>
        <w:jc w:val="left"/>
        <w:spacing w:line="305" w:lineRule="exact"/>
        <w:tabs>
          <w:tab w:val="left" w:pos="1982" w:leader="none"/>
        </w:tabs>
        <w:rPr>
          <w:rFonts w:hint="eastAsia" w:ascii="宋体" w:hAnsi="宋体" w:cs="宋体"/>
          <w:sz w:val="22"/>
          <w:szCs w:val="22"/>
        </w:rPr>
      </w:pPr>
      <w:r>
        <w:rPr>
          <w:rFonts w:hint="eastAsia" w:ascii="宋体" w:hAnsi="宋体" w:cs="宋体"/>
          <w:sz w:val="22"/>
          <w:szCs w:val="22"/>
        </w:rPr>
        <w:t xml:space="preserve">五、保修费用 </w:t>
      </w:r>
      <w:r/>
    </w:p>
    <w:p>
      <w:pPr>
        <w:pStyle w:val="1015"/>
        <w:ind w:firstLine="220"/>
        <w:jc w:val="left"/>
        <w:spacing w:before="158"/>
        <w:rPr>
          <w:rFonts w:hint="eastAsia" w:ascii="宋体" w:hAnsi="宋体" w:eastAsia="宋体" w:cs="宋体"/>
          <w:sz w:val="22"/>
          <w:szCs w:val="22"/>
        </w:rPr>
      </w:pPr>
      <w:r>
        <w:rPr>
          <w:rFonts w:hint="eastAsia" w:ascii="宋体" w:hAnsi="宋体" w:eastAsia="宋体" w:cs="宋体"/>
          <w:sz w:val="22"/>
          <w:szCs w:val="22"/>
        </w:rPr>
        <w:t xml:space="preserve">  保修费用由造成质量缺陷的责任方承担。 </w:t>
      </w:r>
      <w:r/>
    </w:p>
    <w:p>
      <w:pPr>
        <w:pStyle w:val="1015"/>
        <w:jc w:val="left"/>
        <w:spacing w:before="161" w:line="364" w:lineRule="auto"/>
        <w:rPr>
          <w:rFonts w:hint="eastAsia" w:ascii="宋体" w:hAnsi="宋体" w:eastAsia="宋体" w:cs="宋体"/>
          <w:sz w:val="22"/>
          <w:szCs w:val="22"/>
        </w:rPr>
      </w:pPr>
      <w:r>
        <w:rPr>
          <w:rFonts w:hint="eastAsia" w:ascii="宋体" w:hAnsi="宋体" w:eastAsia="宋体" w:cs="宋体"/>
          <w:b/>
          <w:sz w:val="22"/>
          <w:szCs w:val="22"/>
        </w:rPr>
        <w:t xml:space="preserve">六</w:t>
      </w:r>
      <w:r>
        <w:rPr>
          <w:rFonts w:hint="eastAsia" w:ascii="宋体" w:hAnsi="宋体" w:eastAsia="宋体" w:cs="宋体"/>
          <w:spacing w:val="-13"/>
          <w:sz w:val="22"/>
          <w:szCs w:val="22"/>
        </w:rPr>
        <w:t xml:space="preserve">、双方约定的其他工程质量保修事项：</w:t>
      </w:r>
      <w:r>
        <w:rPr>
          <w:rFonts w:hint="eastAsia" w:ascii="宋体" w:hAnsi="宋体" w:eastAsia="宋体" w:cs="宋体"/>
          <w:spacing w:val="-13"/>
          <w:sz w:val="22"/>
          <w:szCs w:val="22"/>
          <w:u w:val="single"/>
        </w:rPr>
        <w:t xml:space="preserve"> </w:t>
      </w:r>
      <w:r>
        <w:rPr>
          <w:rFonts w:hint="eastAsia" w:ascii="宋体" w:hAnsi="宋体" w:eastAsia="宋体" w:cs="宋体"/>
          <w:spacing w:val="-4"/>
          <w:sz w:val="22"/>
          <w:szCs w:val="22"/>
          <w:u w:val="single"/>
          <w:lang w:val="en-US" w:eastAsia="zh-CN" w:bidi="ar-SA"/>
        </w:rPr>
        <w:t xml:space="preserve">按照中华人民共和国建设部第 80 号令《房屋建筑工程质量保修办法》规定执行</w:t>
      </w:r>
      <w:r>
        <w:rPr>
          <w:rFonts w:hint="eastAsia" w:ascii="宋体" w:hAnsi="宋体" w:eastAsia="宋体" w:cs="宋体"/>
          <w:sz w:val="22"/>
          <w:szCs w:val="22"/>
        </w:rPr>
        <w:t xml:space="preserve">。 </w:t>
      </w:r>
      <w:r/>
    </w:p>
    <w:p>
      <w:pPr>
        <w:pStyle w:val="1015"/>
        <w:ind w:firstLine="220"/>
        <w:jc w:val="left"/>
        <w:spacing w:line="362" w:lineRule="auto"/>
        <w:rPr>
          <w:rFonts w:hint="eastAsia" w:ascii="宋体" w:hAnsi="宋体" w:eastAsia="宋体" w:cs="宋体"/>
          <w:sz w:val="22"/>
          <w:szCs w:val="22"/>
        </w:rPr>
      </w:pPr>
      <w:r>
        <w:rPr>
          <w:rFonts w:hint="eastAsia" w:ascii="宋体" w:hAnsi="宋体" w:eastAsia="宋体" w:cs="宋体"/>
          <w:sz w:val="22"/>
          <w:szCs w:val="22"/>
        </w:rPr>
        <w:t xml:space="preserve">工程质量保修书由发包人、承包人在工程竣工验收前共同签署，作为施工合同附件，其有效期限至保修期满。 </w:t>
      </w:r>
      <w:r/>
    </w:p>
    <w:p>
      <w:pPr>
        <w:pStyle w:val="1015"/>
        <w:ind w:firstLine="220"/>
        <w:jc w:val="left"/>
        <w:spacing w:before="4"/>
        <w:rPr>
          <w:rFonts w:hint="eastAsia" w:ascii="宋体" w:hAnsi="宋体" w:eastAsia="宋体" w:cs="宋体"/>
          <w:sz w:val="22"/>
          <w:szCs w:val="22"/>
        </w:rPr>
      </w:pPr>
      <w:r>
        <w:rPr>
          <w:rFonts w:hint="eastAsia" w:ascii="宋体" w:hAnsi="宋体" w:eastAsia="宋体" w:cs="宋体"/>
          <w:sz w:val="22"/>
          <w:szCs w:val="22"/>
        </w:rPr>
        <w:t xml:space="preserve"> </w:t>
      </w:r>
      <w:r/>
    </w:p>
    <w:p>
      <w:pPr>
        <w:pStyle w:val="1015"/>
        <w:ind w:left="0" w:firstLine="0"/>
        <w:jc w:val="left"/>
        <w:spacing w:before="158"/>
        <w:tabs>
          <w:tab w:val="left" w:pos="3120" w:leader="none"/>
          <w:tab w:val="left" w:pos="3720" w:leader="none"/>
        </w:tabs>
        <w:rPr>
          <w:rFonts w:hint="eastAsia"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2133600</wp:posOffset>
                </wp:positionH>
                <wp:positionV relativeFrom="paragraph">
                  <wp:posOffset>121285</wp:posOffset>
                </wp:positionV>
                <wp:extent cx="685800" cy="152400"/>
                <wp:effectExtent l="0" t="0" r="0" b="0"/>
                <wp:wrapNone/>
                <wp:docPr id="7" name="组合 12"/>
                <wp:cNvGraphicFramePr/>
                <a:graphic xmlns:a="http://schemas.openxmlformats.org/drawingml/2006/main">
                  <a:graphicData uri="http://schemas.microsoft.com/office/word/2010/wordprocessingGroup">
                    <wpg:wgp>
                      <wpg:cNvGrpSpPr/>
                      <wpg:grpSpPr bwMode="auto">
                        <a:xfrm>
                          <a:off x="0" y="0"/>
                          <a:ext cx="685800" cy="152400"/>
                          <a:chOff x="3360" y="192"/>
                          <a:chExt cx="1080" cy="240"/>
                        </a:xfrm>
                      </wpg:grpSpPr>
                      <pic:pic xmlns:pic="http://schemas.openxmlformats.org/drawingml/2006/picture">
                        <pic:nvPicPr>
                          <pic:cNvPr id="21" name="图片 4"/>
                          <pic:cNvPicPr>
                            <a:picLocks noChangeAspect="1"/>
                          </pic:cNvPicPr>
                          <pic:nvPr/>
                        </pic:nvPicPr>
                        <pic:blipFill>
                          <a:blip r:embed="rId15"/>
                          <a:stretch/>
                        </pic:blipFill>
                        <pic:spPr bwMode="auto">
                          <a:xfrm>
                            <a:off x="3360" y="191"/>
                            <a:ext cx="480" cy="240"/>
                          </a:xfrm>
                          <a:prstGeom prst="rect">
                            <a:avLst/>
                          </a:prstGeom>
                          <a:noFill/>
                          <a:ln>
                            <a:noFill/>
                          </a:ln>
                        </pic:spPr>
                      </pic:pic>
                      <pic:pic xmlns:pic="http://schemas.openxmlformats.org/drawingml/2006/picture">
                        <pic:nvPicPr>
                          <pic:cNvPr id="22" name="图片 5"/>
                          <pic:cNvPicPr>
                            <a:picLocks noChangeAspect="1"/>
                          </pic:cNvPicPr>
                          <pic:nvPr/>
                        </pic:nvPicPr>
                        <pic:blipFill>
                          <a:blip r:embed="rId16"/>
                          <a:stretch/>
                        </pic:blipFill>
                        <pic:spPr bwMode="auto">
                          <a:xfrm>
                            <a:off x="3720" y="191"/>
                            <a:ext cx="720" cy="240"/>
                          </a:xfrm>
                          <a:prstGeom prst="rect">
                            <a:avLst/>
                          </a:prstGeom>
                          <a:noFill/>
                          <a:ln>
                            <a:noFill/>
                          </a:ln>
                        </pic:spPr>
                      </pic:pic>
                    </wpg:wgp>
                  </a:graphicData>
                </a:graphic>
              </wp:anchor>
            </w:drawing>
          </mc:Choice>
          <mc:Fallback>
            <w:pict>
              <v:group id="group 6" o:spid="_x0000_s0000" style="position:absolute;z-index:-251664384;o:allowoverlap:true;o:allowincell:true;mso-position-horizontal-relative:page;margin-left:168.0pt;mso-position-horizontal:absolute;mso-position-vertical-relative:text;margin-top:9.5pt;mso-position-vertical:absolute;width:54.0pt;height:12.0pt;mso-wrap-distance-left:9.0pt;mso-wrap-distance-top:0.0pt;mso-wrap-distance-right:9.0pt;mso-wrap-distance-bottom:0.0pt;" coordorigin="33,1" coordsize="10,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left:33;top:1;width:4;height:2;" stroked="f">
                  <v:path textboxrect="0,0,0,0"/>
                  <v:imagedata r:id="rId15"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left:37;top:1;width:7;height:2;" stroked="f">
                  <v:path textboxrect="0,0,0,0"/>
                  <v:imagedata r:id="rId16" o:title=""/>
                </v:shape>
              </v:group>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4267835</wp:posOffset>
                </wp:positionH>
                <wp:positionV relativeFrom="paragraph">
                  <wp:posOffset>121285</wp:posOffset>
                </wp:positionV>
                <wp:extent cx="304800" cy="152400"/>
                <wp:effectExtent l="0" t="0" r="0" b="0"/>
                <wp:wrapNone/>
                <wp:docPr id="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a:picLocks noChangeAspect="1"/>
                        </pic:cNvPicPr>
                        <pic:nvPr/>
                      </pic:nvPicPr>
                      <pic:blipFill>
                        <a:blip r:embed="rId15"/>
                        <a:stretch/>
                      </pic:blipFill>
                      <pic:spPr bwMode="auto">
                        <a:xfrm>
                          <a:off x="0" y="0"/>
                          <a:ext cx="30480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page;margin-left:336.1pt;mso-position-horizontal:absolute;mso-position-vertical-relative:text;margin-top:9.5pt;mso-position-vertical:absolute;width:24.0pt;height:12.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cs="宋体"/>
          <w:sz w:val="21"/>
          <w:szCs w:val="21"/>
          <w:u w:val="single"/>
        </w:rPr>
        <w:t xml:space="preserve">           </w:t>
      </w:r>
      <w:r>
        <w:rPr>
          <w:rFonts w:hint="eastAsia" w:ascii="宋体" w:hAnsi="宋体" w:eastAsia="宋体" w:cs="宋体"/>
          <w:sz w:val="21"/>
          <w:szCs w:val="21"/>
        </w:rPr>
        <w:t xml:space="preserve">承包人(公章)：</w:t>
      </w:r>
      <w:r>
        <w:rPr>
          <w:rFonts w:hint="eastAsia" w:ascii="宋体" w:hAnsi="宋体" w:eastAsia="宋体" w:cs="宋体"/>
          <w:sz w:val="21"/>
          <w:szCs w:val="21"/>
          <w:u w:val="single"/>
        </w:rPr>
        <w:t xml:space="preserve">                    </w:t>
      </w:r>
      <w:r/>
    </w:p>
    <w:p>
      <w:pPr>
        <w:pStyle w:val="1009"/>
        <w:jc w:val="left"/>
        <w:rPr>
          <w:rFonts w:hint="eastAsia" w:ascii="宋体" w:hAnsi="宋体" w:eastAsia="宋体" w:cs="宋体"/>
          <w:b w:val="0"/>
          <w:sz w:val="21"/>
          <w:szCs w:val="21"/>
        </w:rPr>
      </w:pP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1676400</wp:posOffset>
                </wp:positionH>
                <wp:positionV relativeFrom="paragraph">
                  <wp:posOffset>123190</wp:posOffset>
                </wp:positionV>
                <wp:extent cx="1219835" cy="152400"/>
                <wp:effectExtent l="0" t="0" r="0" b="0"/>
                <wp:wrapNone/>
                <wp:docPr id="9"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4.png"/>
                        <pic:cNvPicPr>
                          <a:picLocks noChangeAspect="1"/>
                        </pic:cNvPicPr>
                        <pic:nvPr/>
                      </pic:nvPicPr>
                      <pic:blipFill>
                        <a:blip r:embed="rId17"/>
                        <a:stretch/>
                      </pic:blipFill>
                      <pic:spPr bwMode="auto">
                        <a:xfrm>
                          <a:off x="0" y="0"/>
                          <a:ext cx="12198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page;margin-left:132.0pt;mso-position-horizontal:absolute;mso-position-vertical-relative:text;margin-top:9.7pt;mso-position-vertical:absolute;width:96.0pt;height:12.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3733800</wp:posOffset>
                </wp:positionH>
                <wp:positionV relativeFrom="paragraph">
                  <wp:posOffset>123190</wp:posOffset>
                </wp:positionV>
                <wp:extent cx="1296035" cy="152400"/>
                <wp:effectExtent l="0" t="0" r="0" b="0"/>
                <wp:wrapNone/>
                <wp:docPr id="10" name="组合 13"/>
                <wp:cNvGraphicFramePr/>
                <a:graphic xmlns:a="http://schemas.openxmlformats.org/drawingml/2006/main">
                  <a:graphicData uri="http://schemas.microsoft.com/office/word/2010/wordprocessingGroup">
                    <wpg:wgp>
                      <wpg:cNvGrpSpPr/>
                      <wpg:grpSpPr bwMode="auto">
                        <a:xfrm>
                          <a:off x="0" y="0"/>
                          <a:ext cx="1296035" cy="152400"/>
                          <a:chOff x="5881" y="195"/>
                          <a:chExt cx="2041" cy="240"/>
                        </a:xfrm>
                      </wpg:grpSpPr>
                      <pic:pic xmlns:pic="http://schemas.openxmlformats.org/drawingml/2006/picture">
                        <pic:nvPicPr>
                          <pic:cNvPr id="16" name="图片 9"/>
                          <pic:cNvPicPr>
                            <a:picLocks noChangeAspect="1"/>
                          </pic:cNvPicPr>
                          <pic:nvPr/>
                        </pic:nvPicPr>
                        <pic:blipFill>
                          <a:blip r:embed="rId18"/>
                          <a:stretch/>
                        </pic:blipFill>
                        <pic:spPr bwMode="auto">
                          <a:xfrm>
                            <a:off x="5881" y="194"/>
                            <a:ext cx="1680" cy="240"/>
                          </a:xfrm>
                          <a:prstGeom prst="rect">
                            <a:avLst/>
                          </a:prstGeom>
                          <a:noFill/>
                          <a:ln>
                            <a:noFill/>
                          </a:ln>
                        </pic:spPr>
                      </pic:pic>
                      <pic:pic xmlns:pic="http://schemas.openxmlformats.org/drawingml/2006/picture">
                        <pic:nvPicPr>
                          <pic:cNvPr id="17" name="图片 10"/>
                          <pic:cNvPicPr>
                            <a:picLocks noChangeAspect="1"/>
                          </pic:cNvPicPr>
                          <pic:nvPr/>
                        </pic:nvPicPr>
                        <pic:blipFill>
                          <a:blip r:embed="rId15"/>
                          <a:stretch/>
                        </pic:blipFill>
                        <pic:spPr bwMode="auto">
                          <a:xfrm>
                            <a:off x="7440" y="194"/>
                            <a:ext cx="480" cy="240"/>
                          </a:xfrm>
                          <a:prstGeom prst="rect">
                            <a:avLst/>
                          </a:prstGeom>
                          <a:noFill/>
                          <a:ln>
                            <a:noFill/>
                          </a:ln>
                        </pic:spPr>
                      </pic:pic>
                    </wpg:wgp>
                  </a:graphicData>
                </a:graphic>
              </wp:anchor>
            </w:drawing>
          </mc:Choice>
          <mc:Fallback>
            <w:pict>
              <v:group id="group 11" o:spid="_x0000_s0000" style="position:absolute;z-index:-251667456;o:allowoverlap:true;o:allowincell:true;mso-position-horizontal-relative:page;margin-left:294.0pt;mso-position-horizontal:absolute;mso-position-vertical-relative:text;margin-top:9.7pt;mso-position-vertical:absolute;width:102.0pt;height:12.0pt;mso-wrap-distance-left:9.0pt;mso-wrap-distance-top:0.0pt;mso-wrap-distance-right:9.0pt;mso-wrap-distance-bottom:0.0pt;" coordorigin="58,1" coordsize="20,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left:58;top:1;width:16;height:2;" stroked="f">
                  <v:path textboxrect="0,0,0,0"/>
                  <v:imagedata r:id="rId1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left:74;top:1;width:4;height:2;" stroked="f">
                  <v:path textboxrect="0,0,0,0"/>
                  <v:imagedata r:id="rId15" o:title=""/>
                </v:shape>
              </v:group>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page">
                  <wp:posOffset>2362200</wp:posOffset>
                </wp:positionH>
                <wp:positionV relativeFrom="paragraph">
                  <wp:posOffset>419100</wp:posOffset>
                </wp:positionV>
                <wp:extent cx="457200" cy="152400"/>
                <wp:effectExtent l="0" t="0" r="0" b="0"/>
                <wp:wrapNone/>
                <wp:docPr id="1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4.png"/>
                        <pic:cNvPicPr>
                          <a:picLocks noChangeAspect="1"/>
                        </pic:cNvPicPr>
                        <pic:nvPr/>
                      </pic:nvPicPr>
                      <pic:blipFill>
                        <a:blip r:embed="rId16"/>
                        <a:stretch/>
                      </pic:blipFill>
                      <pic:spPr bwMode="auto">
                        <a:xfrm>
                          <a:off x="0" y="0"/>
                          <a:ext cx="457200" cy="152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page;margin-left:186.0pt;mso-position-horizontal:absolute;mso-position-vertical-relative:text;margin-top:33.0pt;mso-position-vertical:absolute;width:36.0pt;height:12.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page">
                  <wp:posOffset>4572635</wp:posOffset>
                </wp:positionH>
                <wp:positionV relativeFrom="paragraph">
                  <wp:posOffset>419100</wp:posOffset>
                </wp:positionV>
                <wp:extent cx="457200" cy="152400"/>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r/>
                      </pic:nvPicPr>
                      <pic:blipFill>
                        <a:blip r:embed="rId16"/>
                        <a:stretch/>
                      </pic:blipFill>
                      <pic:spPr bwMode="auto">
                        <a:xfrm>
                          <a:off x="0" y="0"/>
                          <a:ext cx="457200" cy="152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page;margin-left:360.0pt;mso-position-horizontal:absolute;mso-position-vertical-relative:text;margin-top:33.0pt;mso-position-vertical:absolute;width:36.0pt;height:12.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page">
                  <wp:posOffset>2362200</wp:posOffset>
                </wp:positionH>
                <wp:positionV relativeFrom="paragraph">
                  <wp:posOffset>716280</wp:posOffset>
                </wp:positionV>
                <wp:extent cx="457200" cy="15240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r/>
                      </pic:nvPicPr>
                      <pic:blipFill>
                        <a:blip r:embed="rId16"/>
                        <a:stretch/>
                      </pic:blipFill>
                      <pic:spPr bwMode="auto">
                        <a:xfrm>
                          <a:off x="0" y="0"/>
                          <a:ext cx="45720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0528;o:allowoverlap:true;o:allowincell:true;mso-position-horizontal-relative:page;margin-left:186.0pt;mso-position-horizontal:absolute;mso-position-vertical-relative:text;margin-top:56.4pt;mso-position-vertical:absolute;width:36.0pt;height:12.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page">
                  <wp:posOffset>4572635</wp:posOffset>
                </wp:positionH>
                <wp:positionV relativeFrom="paragraph">
                  <wp:posOffset>716280</wp:posOffset>
                </wp:positionV>
                <wp:extent cx="457200" cy="152400"/>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r/>
                      </pic:nvPicPr>
                      <pic:blipFill>
                        <a:blip r:embed="rId16"/>
                        <a:stretch/>
                      </pic:blipFill>
                      <pic:spPr bwMode="auto">
                        <a:xfrm>
                          <a:off x="0" y="0"/>
                          <a:ext cx="457200" cy="152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page;margin-left:360.0pt;mso-position-horizontal:absolute;mso-position-vertical-relative:text;margin-top:56.4pt;mso-position-vertical:absolute;width:36.0pt;height:12.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page">
                  <wp:posOffset>1600200</wp:posOffset>
                </wp:positionH>
                <wp:positionV relativeFrom="paragraph">
                  <wp:posOffset>1013460</wp:posOffset>
                </wp:positionV>
                <wp:extent cx="1372235" cy="152400"/>
                <wp:effectExtent l="0" t="0" r="0" b="0"/>
                <wp:wrapNone/>
                <wp:docPr id="1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5.png"/>
                        <pic:cNvPicPr>
                          <a:picLocks noChangeAspect="1"/>
                        </pic:cNvPicPr>
                        <pic:nvPr/>
                      </pic:nvPicPr>
                      <pic:blipFill>
                        <a:blip r:embed="rId19"/>
                        <a:stretch/>
                      </pic:blipFill>
                      <pic:spPr bwMode="auto">
                        <a:xfrm>
                          <a:off x="0" y="0"/>
                          <a:ext cx="13722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page;margin-left:126.0pt;mso-position-horizontal:absolute;mso-position-vertical-relative:text;margin-top:79.8pt;mso-position-vertical:absolute;width:108.0pt;height:1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page">
                  <wp:posOffset>3733800</wp:posOffset>
                </wp:positionH>
                <wp:positionV relativeFrom="paragraph">
                  <wp:posOffset>1013460</wp:posOffset>
                </wp:positionV>
                <wp:extent cx="1372235" cy="152400"/>
                <wp:effectExtent l="0" t="0" r="0" b="0"/>
                <wp:wrapNone/>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pic:cNvPicPr>
                        <pic:nvPr/>
                      </pic:nvPicPr>
                      <pic:blipFill>
                        <a:blip r:embed="rId19"/>
                        <a:stretch/>
                      </pic:blipFill>
                      <pic:spPr bwMode="auto">
                        <a:xfrm>
                          <a:off x="0" y="0"/>
                          <a:ext cx="13722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page;margin-left:294.0pt;mso-position-horizontal:absolute;mso-position-vertical-relative:text;margin-top:79.8pt;mso-position-vertical:absolute;width:108.0pt;height:1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1" locked="0" layoutInCell="1" allowOverlap="1">
                <wp:simplePos x="0" y="0"/>
                <wp:positionH relativeFrom="page">
                  <wp:posOffset>1600200</wp:posOffset>
                </wp:positionH>
                <wp:positionV relativeFrom="paragraph">
                  <wp:posOffset>1309370</wp:posOffset>
                </wp:positionV>
                <wp:extent cx="1372235" cy="152400"/>
                <wp:effectExtent l="0" t="0" r="0"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r/>
                      </pic:nvPicPr>
                      <pic:blipFill>
                        <a:blip r:embed="rId19"/>
                        <a:stretch/>
                      </pic:blipFill>
                      <pic:spPr bwMode="auto">
                        <a:xfrm>
                          <a:off x="0" y="0"/>
                          <a:ext cx="13722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page;margin-left:126.0pt;mso-position-horizontal:absolute;mso-position-vertical-relative:text;margin-top:103.1pt;mso-position-vertical:absolute;width:108.0pt;height:1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page">
                  <wp:posOffset>3733800</wp:posOffset>
                </wp:positionH>
                <wp:positionV relativeFrom="paragraph">
                  <wp:posOffset>1309370</wp:posOffset>
                </wp:positionV>
                <wp:extent cx="1524635" cy="152400"/>
                <wp:effectExtent l="0" t="0" r="0" b="0"/>
                <wp:wrapNone/>
                <wp:docPr id="18" name="组合 23"/>
                <wp:cNvGraphicFramePr/>
                <a:graphic xmlns:a="http://schemas.openxmlformats.org/drawingml/2006/main">
                  <a:graphicData uri="http://schemas.microsoft.com/office/word/2010/wordprocessingGroup">
                    <wpg:wgp>
                      <wpg:cNvGrpSpPr/>
                      <wpg:grpSpPr bwMode="auto">
                        <a:xfrm>
                          <a:off x="0" y="0"/>
                          <a:ext cx="1524635" cy="152400"/>
                          <a:chOff x="5881" y="2062"/>
                          <a:chExt cx="2401" cy="240"/>
                        </a:xfrm>
                      </wpg:grpSpPr>
                      <pic:pic xmlns:pic="http://schemas.openxmlformats.org/drawingml/2006/picture">
                        <pic:nvPicPr>
                          <pic:cNvPr id="9" name="图片 19"/>
                          <pic:cNvPicPr>
                            <a:picLocks noChangeAspect="1"/>
                          </pic:cNvPicPr>
                          <pic:nvPr/>
                        </pic:nvPicPr>
                        <pic:blipFill>
                          <a:blip r:embed="rId17"/>
                          <a:stretch/>
                        </pic:blipFill>
                        <pic:spPr bwMode="auto">
                          <a:xfrm>
                            <a:off x="5881" y="2062"/>
                            <a:ext cx="1921" cy="240"/>
                          </a:xfrm>
                          <a:prstGeom prst="rect">
                            <a:avLst/>
                          </a:prstGeom>
                          <a:noFill/>
                          <a:ln>
                            <a:noFill/>
                          </a:ln>
                        </pic:spPr>
                      </pic:pic>
                      <pic:pic xmlns:pic="http://schemas.openxmlformats.org/drawingml/2006/picture">
                        <pic:nvPicPr>
                          <pic:cNvPr id="10" name="图片 20"/>
                          <pic:cNvPicPr>
                            <a:picLocks noChangeAspect="1"/>
                          </pic:cNvPicPr>
                          <pic:nvPr/>
                        </pic:nvPicPr>
                        <pic:blipFill>
                          <a:blip r:embed="rId15"/>
                          <a:stretch/>
                        </pic:blipFill>
                        <pic:spPr bwMode="auto">
                          <a:xfrm>
                            <a:off x="7801" y="2062"/>
                            <a:ext cx="480" cy="240"/>
                          </a:xfrm>
                          <a:prstGeom prst="rect">
                            <a:avLst/>
                          </a:prstGeom>
                          <a:noFill/>
                          <a:ln>
                            <a:noFill/>
                          </a:ln>
                        </pic:spPr>
                      </pic:pic>
                    </wpg:wgp>
                  </a:graphicData>
                </a:graphic>
              </wp:anchor>
            </w:drawing>
          </mc:Choice>
          <mc:Fallback>
            <w:pict>
              <v:group id="group 21" o:spid="_x0000_s0000" style="position:absolute;z-index:-251675648;o:allowoverlap:true;o:allowincell:true;mso-position-horizontal-relative:page;margin-left:294.0pt;mso-position-horizontal:absolute;mso-position-vertical-relative:text;margin-top:103.1pt;mso-position-vertical:absolute;width:120.0pt;height:12.0pt;mso-wrap-distance-left:9.0pt;mso-wrap-distance-top:0.0pt;mso-wrap-distance-right:9.0pt;mso-wrap-distance-bottom:0.0pt;" coordorigin="58,20" coordsize="24,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left:58;top:20;width:19;height:2;" stroked="f">
                  <v:path textboxrect="0,0,0,0"/>
                  <v:imagedata r:id="rId17"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left:78;top:20;width:4;height:2;" stroked="f">
                  <v:path textboxrect="0,0,0,0"/>
                  <v:imagedata r:id="rId15" o:title=""/>
                </v:shape>
              </v:group>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page">
                  <wp:posOffset>1752600</wp:posOffset>
                </wp:positionH>
                <wp:positionV relativeFrom="paragraph">
                  <wp:posOffset>1606550</wp:posOffset>
                </wp:positionV>
                <wp:extent cx="1219835" cy="152400"/>
                <wp:effectExtent l="0" t="0" r="0" b="0"/>
                <wp:wrapNone/>
                <wp:docPr id="1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r/>
                      </pic:nvPicPr>
                      <pic:blipFill>
                        <a:blip r:embed="rId17"/>
                        <a:stretch/>
                      </pic:blipFill>
                      <pic:spPr bwMode="auto">
                        <a:xfrm>
                          <a:off x="0" y="0"/>
                          <a:ext cx="12198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6672;o:allowoverlap:true;o:allowincell:true;mso-position-horizontal-relative:page;margin-left:138.0pt;mso-position-horizontal:absolute;mso-position-vertical-relative:text;margin-top:126.5pt;mso-position-vertical:absolute;width:96.0pt;height:12.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page">
                  <wp:posOffset>3886200</wp:posOffset>
                </wp:positionH>
                <wp:positionV relativeFrom="paragraph">
                  <wp:posOffset>1606550</wp:posOffset>
                </wp:positionV>
                <wp:extent cx="1372235" cy="152400"/>
                <wp:effectExtent l="0" t="0" r="0" b="0"/>
                <wp:wrapNone/>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pic:cNvPicPr>
                          <a:picLocks noChangeAspect="1"/>
                        </pic:cNvPicPr>
                        <pic:nvPr/>
                      </pic:nvPicPr>
                      <pic:blipFill>
                        <a:blip r:embed="rId19"/>
                        <a:stretch/>
                      </pic:blipFill>
                      <pic:spPr bwMode="auto">
                        <a:xfrm>
                          <a:off x="0" y="0"/>
                          <a:ext cx="13722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7696;o:allowoverlap:true;o:allowincell:true;mso-position-horizontal-relative:page;margin-left:306.0pt;mso-position-horizontal:absolute;mso-position-vertical-relative:text;margin-top:126.5pt;mso-position-vertical:absolute;width:108.0pt;height:1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page">
                  <wp:posOffset>1600200</wp:posOffset>
                </wp:positionH>
                <wp:positionV relativeFrom="paragraph">
                  <wp:posOffset>1901825</wp:posOffset>
                </wp:positionV>
                <wp:extent cx="1143000" cy="152400"/>
                <wp:effectExtent l="0" t="0" r="0" b="0"/>
                <wp:wrapNone/>
                <wp:docPr id="21" name="组合 29"/>
                <wp:cNvGraphicFramePr/>
                <a:graphic xmlns:a="http://schemas.openxmlformats.org/drawingml/2006/main">
                  <a:graphicData uri="http://schemas.microsoft.com/office/word/2010/wordprocessingGroup">
                    <wpg:wgp>
                      <wpg:cNvGrpSpPr/>
                      <wpg:grpSpPr bwMode="auto">
                        <a:xfrm>
                          <a:off x="0" y="0"/>
                          <a:ext cx="1143000" cy="152400"/>
                          <a:chOff x="2520" y="2996"/>
                          <a:chExt cx="1800" cy="240"/>
                        </a:xfrm>
                      </wpg:grpSpPr>
                      <pic:pic xmlns:pic="http://schemas.openxmlformats.org/drawingml/2006/picture">
                        <pic:nvPicPr>
                          <pic:cNvPr id="27" name="图片 24"/>
                          <pic:cNvPicPr>
                            <a:picLocks noChangeAspect="1"/>
                          </pic:cNvPicPr>
                          <pic:nvPr/>
                        </pic:nvPicPr>
                        <pic:blipFill>
                          <a:blip r:embed="rId20"/>
                          <a:stretch/>
                        </pic:blipFill>
                        <pic:spPr bwMode="auto">
                          <a:xfrm>
                            <a:off x="2520" y="2995"/>
                            <a:ext cx="1440" cy="240"/>
                          </a:xfrm>
                          <a:prstGeom prst="rect">
                            <a:avLst/>
                          </a:prstGeom>
                          <a:noFill/>
                          <a:ln>
                            <a:noFill/>
                          </a:ln>
                        </pic:spPr>
                      </pic:pic>
                      <pic:pic xmlns:pic="http://schemas.openxmlformats.org/drawingml/2006/picture">
                        <pic:nvPicPr>
                          <pic:cNvPr id="28" name="图片 25"/>
                          <pic:cNvPicPr>
                            <a:picLocks noChangeAspect="1"/>
                          </pic:cNvPicPr>
                          <pic:nvPr/>
                        </pic:nvPicPr>
                        <pic:blipFill>
                          <a:blip r:embed="rId15"/>
                          <a:stretch/>
                        </pic:blipFill>
                        <pic:spPr bwMode="auto">
                          <a:xfrm>
                            <a:off x="3840" y="2995"/>
                            <a:ext cx="480" cy="240"/>
                          </a:xfrm>
                          <a:prstGeom prst="rect">
                            <a:avLst/>
                          </a:prstGeom>
                          <a:noFill/>
                          <a:ln>
                            <a:noFill/>
                          </a:ln>
                        </pic:spPr>
                      </pic:pic>
                    </wpg:wgp>
                  </a:graphicData>
                </a:graphic>
              </wp:anchor>
            </w:drawing>
          </mc:Choice>
          <mc:Fallback>
            <w:pict>
              <v:group id="group 26" o:spid="_x0000_s0000" style="position:absolute;z-index:-251678720;o:allowoverlap:true;o:allowincell:true;mso-position-horizontal-relative:page;margin-left:126.0pt;mso-position-horizontal:absolute;mso-position-vertical-relative:text;margin-top:149.8pt;mso-position-vertical:absolute;width:90.0pt;height:12.0pt;mso-wrap-distance-left:9.0pt;mso-wrap-distance-top:0.0pt;mso-wrap-distance-right:9.0pt;mso-wrap-distance-bottom:0.0pt;" coordorigin="25,29" coordsize="1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left:25;top:29;width:14;height:2;" stroked="f">
                  <v:path textboxrect="0,0,0,0"/>
                  <v:imagedata r:id="rId20"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left:38;top:29;width:4;height:2;" stroked="f">
                  <v:path textboxrect="0,0,0,0"/>
                  <v:imagedata r:id="rId15" o:title=""/>
                </v:shape>
              </v:group>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page">
                  <wp:posOffset>3810000</wp:posOffset>
                </wp:positionH>
                <wp:positionV relativeFrom="paragraph">
                  <wp:posOffset>1901825</wp:posOffset>
                </wp:positionV>
                <wp:extent cx="1372235" cy="152400"/>
                <wp:effectExtent l="0" t="0" r="0" b="0"/>
                <wp:wrapNone/>
                <wp:docPr id="2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19"/>
                        <a:stretch/>
                      </pic:blipFill>
                      <pic:spPr bwMode="auto">
                        <a:xfrm>
                          <a:off x="0" y="0"/>
                          <a:ext cx="13722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9744;o:allowoverlap:true;o:allowincell:true;mso-position-horizontal-relative:page;margin-left:300.0pt;mso-position-horizontal:absolute;mso-position-vertical-relative:text;margin-top:149.8pt;mso-position-vertical:absolute;width:108.0pt;height:12.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page">
                  <wp:posOffset>1828800</wp:posOffset>
                </wp:positionH>
                <wp:positionV relativeFrom="paragraph">
                  <wp:posOffset>2199005</wp:posOffset>
                </wp:positionV>
                <wp:extent cx="1067435" cy="152400"/>
                <wp:effectExtent l="0" t="0" r="0" b="0"/>
                <wp:wrapNone/>
                <wp:docPr id="2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png"/>
                        <pic:cNvPicPr>
                          <a:picLocks noChangeAspect="1"/>
                        </pic:cNvPicPr>
                        <pic:nvPr/>
                      </pic:nvPicPr>
                      <pic:blipFill>
                        <a:blip r:embed="rId18"/>
                        <a:stretch/>
                      </pic:blipFill>
                      <pic:spPr bwMode="auto">
                        <a:xfrm>
                          <a:off x="0" y="0"/>
                          <a:ext cx="1067435"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0768;o:allowoverlap:true;o:allowincell:true;mso-position-horizontal-relative:page;margin-left:144.0pt;mso-position-horizontal:absolute;mso-position-vertical-relative:text;margin-top:173.2pt;mso-position-vertical:absolute;width:84.0pt;height:12.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page">
                  <wp:posOffset>3886200</wp:posOffset>
                </wp:positionH>
                <wp:positionV relativeFrom="paragraph">
                  <wp:posOffset>2199005</wp:posOffset>
                </wp:positionV>
                <wp:extent cx="1372235" cy="152400"/>
                <wp:effectExtent l="0" t="0" r="0" b="0"/>
                <wp:wrapNone/>
                <wp:docPr id="24" name="组合 35"/>
                <wp:cNvGraphicFramePr/>
                <a:graphic xmlns:a="http://schemas.openxmlformats.org/drawingml/2006/main">
                  <a:graphicData uri="http://schemas.microsoft.com/office/word/2010/wordprocessingGroup">
                    <wpg:wgp>
                      <wpg:cNvGrpSpPr/>
                      <wpg:grpSpPr bwMode="auto">
                        <a:xfrm>
                          <a:off x="0" y="0"/>
                          <a:ext cx="1372235" cy="152400"/>
                          <a:chOff x="6121" y="3464"/>
                          <a:chExt cx="2161" cy="240"/>
                        </a:xfrm>
                      </wpg:grpSpPr>
                      <pic:pic xmlns:pic="http://schemas.openxmlformats.org/drawingml/2006/picture">
                        <pic:nvPicPr>
                          <pic:cNvPr id="36" name="图片 29"/>
                          <pic:cNvPicPr>
                            <a:picLocks noChangeAspect="1"/>
                          </pic:cNvPicPr>
                          <pic:nvPr/>
                        </pic:nvPicPr>
                        <pic:blipFill>
                          <a:blip r:embed="rId20"/>
                          <a:stretch/>
                        </pic:blipFill>
                        <pic:spPr bwMode="auto">
                          <a:xfrm>
                            <a:off x="6121" y="3463"/>
                            <a:ext cx="1440" cy="240"/>
                          </a:xfrm>
                          <a:prstGeom prst="rect">
                            <a:avLst/>
                          </a:prstGeom>
                          <a:noFill/>
                          <a:ln>
                            <a:noFill/>
                          </a:ln>
                        </pic:spPr>
                      </pic:pic>
                      <pic:pic xmlns:pic="http://schemas.openxmlformats.org/drawingml/2006/picture">
                        <pic:nvPicPr>
                          <pic:cNvPr id="37" name="图片 30"/>
                          <pic:cNvPicPr>
                            <a:picLocks noChangeAspect="1"/>
                          </pic:cNvPicPr>
                          <pic:nvPr/>
                        </pic:nvPicPr>
                        <pic:blipFill>
                          <a:blip r:embed="rId21"/>
                          <a:stretch/>
                        </pic:blipFill>
                        <pic:spPr bwMode="auto">
                          <a:xfrm>
                            <a:off x="7321" y="3463"/>
                            <a:ext cx="960" cy="240"/>
                          </a:xfrm>
                          <a:prstGeom prst="rect">
                            <a:avLst/>
                          </a:prstGeom>
                          <a:noFill/>
                          <a:ln>
                            <a:noFill/>
                          </a:ln>
                        </pic:spPr>
                      </pic:pic>
                    </wpg:wgp>
                  </a:graphicData>
                </a:graphic>
              </wp:anchor>
            </w:drawing>
          </mc:Choice>
          <mc:Fallback>
            <w:pict>
              <v:group id="group 31" o:spid="_x0000_s0000" style="position:absolute;z-index:-251681792;o:allowoverlap:true;o:allowincell:true;mso-position-horizontal-relative:page;margin-left:306.0pt;mso-position-horizontal:absolute;mso-position-vertical-relative:text;margin-top:173.2pt;mso-position-vertical:absolute;width:108.0pt;height:12.0pt;mso-wrap-distance-left:9.0pt;mso-wrap-distance-top:0.0pt;mso-wrap-distance-right:9.0pt;mso-wrap-distance-bottom:0.0pt;" coordorigin="61,34" coordsize="21,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left:61;top:34;width:14;height:2;" stroked="f">
                  <v:path textboxrect="0,0,0,0"/>
                  <v:imagedata r:id="rId20"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left:73;top:34;width:9;height:2;" stroked="f">
                  <v:path textboxrect="0,0,0,0"/>
                  <v:imagedata r:id="rId21" o:title=""/>
                </v:shape>
              </v:group>
            </w:pict>
          </mc:Fallback>
        </mc:AlternateContent>
      </w:r>
      <w:r>
        <w:rPr>
          <w:rFonts w:hint="eastAsia" w:ascii="宋体" w:hAnsi="宋体" w:eastAsia="宋体" w:cs="宋体"/>
          <w:b w:val="0"/>
          <w:sz w:val="21"/>
          <w:szCs w:val="21"/>
        </w:rPr>
        <w:t xml:space="preserve">地</w:t>
      </w:r>
      <w:r>
        <w:rPr>
          <w:rFonts w:hint="eastAsia" w:ascii="宋体" w:hAnsi="宋体" w:eastAsia="宋体" w:cs="宋体"/>
          <w:b w:val="0"/>
          <w:spacing w:val="119"/>
          <w:sz w:val="21"/>
          <w:szCs w:val="21"/>
        </w:rPr>
        <w:t xml:space="preserve"> </w:t>
      </w:r>
      <w:r>
        <w:rPr>
          <w:rFonts w:hint="eastAsia" w:ascii="宋体" w:hAnsi="宋体" w:eastAsia="宋体" w:cs="宋体"/>
          <w:b w:val="0"/>
          <w:sz w:val="21"/>
          <w:szCs w:val="21"/>
        </w:rPr>
        <w:t xml:space="preserve">址：</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地  址：</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       </w:t>
      </w:r>
      <w:r>
        <w:rPr>
          <w:rFonts w:hint="eastAsia" w:ascii="宋体" w:hAnsi="宋体" w:eastAsia="宋体" w:cs="宋体"/>
          <w:b w:val="0"/>
          <w:spacing w:val="-1"/>
          <w:sz w:val="21"/>
          <w:szCs w:val="21"/>
        </w:rPr>
        <w:t xml:space="preserve">                    </w:t>
      </w:r>
      <w:r>
        <w:rPr>
          <w:rFonts w:hint="eastAsia" w:ascii="宋体" w:hAnsi="宋体" w:eastAsia="宋体" w:cs="宋体"/>
          <w:b w:val="0"/>
          <w:spacing w:val="20"/>
          <w:sz w:val="21"/>
          <w:szCs w:val="21"/>
        </w:rPr>
        <w:t xml:space="preserve"> </w:t>
      </w:r>
      <w:r>
        <w:rPr>
          <w:rFonts w:hint="eastAsia" w:ascii="宋体" w:hAnsi="宋体" w:eastAsia="宋体" w:cs="宋体"/>
          <w:b w:val="0"/>
          <w:spacing w:val="-1"/>
          <w:sz w:val="21"/>
          <w:szCs w:val="21"/>
        </w:rPr>
        <w:t xml:space="preserve">法</w:t>
      </w:r>
      <w:r>
        <w:rPr>
          <w:rFonts w:hint="eastAsia" w:ascii="宋体" w:hAnsi="宋体" w:eastAsia="宋体" w:cs="宋体"/>
          <w:b w:val="0"/>
          <w:sz w:val="21"/>
          <w:szCs w:val="21"/>
        </w:rPr>
        <w:t xml:space="preserve">定代表人(签字)：</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lang w:val="en-US" w:eastAsia="zh-CN"/>
        </w:rPr>
        <w:t xml:space="preserve">   </w:t>
      </w:r>
      <w:r>
        <w:rPr>
          <w:rFonts w:hint="eastAsia" w:ascii="宋体" w:hAnsi="宋体" w:eastAsia="宋体" w:cs="宋体"/>
          <w:b w:val="0"/>
          <w:sz w:val="21"/>
          <w:szCs w:val="21"/>
        </w:rPr>
        <w:t xml:space="preserve">法定代表人(签字)：</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        </w:t>
      </w:r>
      <w:r>
        <w:rPr>
          <w:rFonts w:hint="eastAsia" w:ascii="宋体" w:hAnsi="宋体" w:eastAsia="宋体" w:cs="宋体"/>
          <w:b w:val="0"/>
          <w:spacing w:val="-1"/>
          <w:sz w:val="21"/>
          <w:szCs w:val="21"/>
        </w:rPr>
        <w:t xml:space="preserve">         </w:t>
      </w:r>
      <w:r>
        <w:rPr>
          <w:rFonts w:hint="eastAsia" w:ascii="宋体" w:hAnsi="宋体" w:eastAsia="宋体" w:cs="宋体"/>
          <w:b w:val="0"/>
          <w:spacing w:val="9"/>
          <w:sz w:val="21"/>
          <w:szCs w:val="21"/>
        </w:rPr>
        <w:t xml:space="preserve"> </w:t>
      </w:r>
      <w:r>
        <w:rPr>
          <w:rFonts w:hint="eastAsia" w:ascii="宋体" w:hAnsi="宋体" w:eastAsia="宋体" w:cs="宋体"/>
          <w:b w:val="0"/>
          <w:spacing w:val="-1"/>
          <w:sz w:val="21"/>
          <w:szCs w:val="21"/>
        </w:rPr>
        <w:t xml:space="preserve">委</w:t>
      </w:r>
      <w:r>
        <w:rPr>
          <w:rFonts w:hint="eastAsia" w:ascii="宋体" w:hAnsi="宋体" w:eastAsia="宋体" w:cs="宋体"/>
          <w:b w:val="0"/>
          <w:sz w:val="21"/>
          <w:szCs w:val="21"/>
        </w:rPr>
        <w:t xml:space="preserve">托代理人(签字)：</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lang w:val="en-US" w:eastAsia="zh-CN"/>
        </w:rPr>
        <w:t xml:space="preserve">    </w:t>
      </w:r>
      <w:r>
        <w:rPr>
          <w:rFonts w:hint="eastAsia" w:ascii="宋体" w:hAnsi="宋体" w:eastAsia="宋体" w:cs="宋体"/>
          <w:b w:val="0"/>
          <w:sz w:val="21"/>
          <w:szCs w:val="21"/>
        </w:rPr>
        <w:t xml:space="preserve">委托代理人(签字)：</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电</w:t>
      </w:r>
      <w:r>
        <w:rPr>
          <w:rFonts w:hint="eastAsia" w:ascii="宋体" w:hAnsi="宋体" w:eastAsia="宋体" w:cs="宋体"/>
          <w:b w:val="0"/>
          <w:spacing w:val="119"/>
          <w:sz w:val="21"/>
          <w:szCs w:val="21"/>
        </w:rPr>
        <w:t xml:space="preserve"> </w:t>
      </w:r>
      <w:r>
        <w:rPr>
          <w:rFonts w:hint="eastAsia" w:ascii="宋体" w:hAnsi="宋体" w:eastAsia="宋体" w:cs="宋体"/>
          <w:b w:val="0"/>
          <w:sz w:val="21"/>
          <w:szCs w:val="21"/>
        </w:rPr>
        <w:t xml:space="preserve">话：</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电  话：</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传</w:t>
      </w:r>
      <w:r>
        <w:rPr>
          <w:rFonts w:hint="eastAsia" w:ascii="宋体" w:hAnsi="宋体" w:eastAsia="宋体" w:cs="宋体"/>
          <w:b w:val="0"/>
          <w:spacing w:val="119"/>
          <w:sz w:val="21"/>
          <w:szCs w:val="21"/>
        </w:rPr>
        <w:t xml:space="preserve"> </w:t>
      </w:r>
      <w:r>
        <w:rPr>
          <w:rFonts w:hint="eastAsia" w:ascii="宋体" w:hAnsi="宋体" w:eastAsia="宋体" w:cs="宋体"/>
          <w:b w:val="0"/>
          <w:sz w:val="21"/>
          <w:szCs w:val="21"/>
        </w:rPr>
        <w:t xml:space="preserve">真：</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传  真：</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    </w:t>
      </w:r>
      <w:r/>
    </w:p>
    <w:p>
      <w:pPr>
        <w:pStyle w:val="1009"/>
        <w:jc w:val="left"/>
        <w:rPr>
          <w:rFonts w:hint="eastAsia" w:ascii="宋体" w:hAnsi="宋体" w:eastAsia="宋体" w:cs="宋体"/>
          <w:b w:val="0"/>
          <w:sz w:val="21"/>
          <w:szCs w:val="21"/>
        </w:rPr>
      </w:pPr>
      <w:r>
        <w:rPr>
          <w:rFonts w:hint="eastAsia" w:ascii="宋体" w:hAnsi="宋体" w:eastAsia="宋体" w:cs="宋体"/>
          <w:b w:val="0"/>
          <w:sz w:val="21"/>
          <w:szCs w:val="21"/>
        </w:rPr>
        <w:t xml:space="preserve">开户银行：</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lang w:val="en-US" w:eastAsia="zh-CN"/>
        </w:rPr>
        <w:t xml:space="preserve">  </w:t>
      </w:r>
      <w:r>
        <w:rPr>
          <w:rFonts w:hint="eastAsia" w:ascii="宋体" w:hAnsi="宋体" w:eastAsia="宋体" w:cs="宋体"/>
          <w:b w:val="0"/>
          <w:sz w:val="21"/>
          <w:szCs w:val="21"/>
        </w:rPr>
        <w:t xml:space="preserve">开户银行：</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    </w:t>
      </w:r>
      <w:r/>
    </w:p>
    <w:p>
      <w:pPr>
        <w:pStyle w:val="1009"/>
        <w:jc w:val="left"/>
        <w:rPr>
          <w:rFonts w:hint="eastAsia"/>
          <w:b w:val="0"/>
          <w:sz w:val="21"/>
          <w:szCs w:val="21"/>
        </w:rPr>
      </w:pPr>
      <w:r>
        <w:rPr>
          <w:rFonts w:hint="eastAsia" w:ascii="宋体" w:hAnsi="宋体" w:eastAsia="宋体" w:cs="宋体"/>
          <w:b w:val="0"/>
          <w:sz w:val="21"/>
          <w:szCs w:val="21"/>
        </w:rPr>
        <w:t xml:space="preserve">账</w:t>
      </w:r>
      <w:r>
        <w:rPr>
          <w:rFonts w:hint="eastAsia" w:ascii="宋体" w:hAnsi="宋体" w:eastAsia="宋体" w:cs="宋体"/>
          <w:b w:val="0"/>
          <w:spacing w:val="119"/>
          <w:sz w:val="21"/>
          <w:szCs w:val="21"/>
        </w:rPr>
        <w:t xml:space="preserve"> </w:t>
      </w:r>
      <w:r>
        <w:rPr>
          <w:rFonts w:hint="eastAsia" w:ascii="宋体" w:hAnsi="宋体" w:eastAsia="宋体" w:cs="宋体"/>
          <w:b w:val="0"/>
          <w:sz w:val="21"/>
          <w:szCs w:val="21"/>
        </w:rPr>
        <w:t xml:space="preserve">号：</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lang w:val="en-US" w:eastAsia="zh-CN"/>
        </w:rPr>
        <w:t xml:space="preserve">  </w:t>
      </w:r>
      <w:r>
        <w:rPr>
          <w:rFonts w:hint="eastAsia" w:ascii="宋体" w:hAnsi="宋体" w:eastAsia="宋体" w:cs="宋体"/>
          <w:b w:val="0"/>
          <w:sz w:val="21"/>
          <w:szCs w:val="21"/>
        </w:rPr>
        <w:t xml:space="preserve">账  号：</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 邮政编码：</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lang w:val="en-US" w:eastAsia="zh-CN"/>
        </w:rPr>
        <w:t xml:space="preserve">    </w:t>
      </w:r>
      <w:r>
        <w:rPr>
          <w:rFonts w:hint="eastAsia" w:ascii="宋体" w:hAnsi="宋体" w:eastAsia="宋体" w:cs="宋体"/>
          <w:b w:val="0"/>
          <w:sz w:val="21"/>
          <w:szCs w:val="21"/>
        </w:rPr>
        <w:t xml:space="preserve">邮政编码：</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  </w:t>
      </w:r>
      <w:r/>
    </w:p>
    <w:p>
      <w:pPr>
        <w:jc w:val="left"/>
        <w:rPr>
          <w:rFonts w:hint="eastAsia" w:ascii="宋体" w:hAnsi="宋体" w:cs="宋体"/>
          <w:bCs/>
          <w:sz w:val="24"/>
          <w:szCs w:val="24"/>
        </w:rPr>
      </w:pPr>
      <w:r>
        <w:rPr>
          <w:rFonts w:hint="eastAsia" w:ascii="宋体" w:hAnsi="宋体" w:cs="宋体"/>
          <w:bCs/>
          <w:sz w:val="24"/>
          <w:szCs w:val="24"/>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027"/>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pStyle w:val="1028"/>
        <w:rPr>
          <w:rFonts w:ascii="Arial"/>
          <w:sz w:val="21"/>
        </w:rPr>
      </w:pPr>
      <w:r>
        <w:rPr>
          <w:rFonts w:ascii="Arial"/>
          <w:sz w:val="21"/>
        </w:rPr>
      </w:r>
      <w:r/>
    </w:p>
    <w:p>
      <w:pPr>
        <w:spacing w:line="257" w:lineRule="auto"/>
        <w:rPr>
          <w:rFonts w:ascii="Arial"/>
          <w:sz w:val="21"/>
        </w:rPr>
      </w:pPr>
      <w:r>
        <w:rPr>
          <w:rFonts w:ascii="Arial"/>
          <w:sz w:val="21"/>
        </w:rPr>
      </w:r>
      <w:r/>
    </w:p>
    <w:p>
      <w:pPr>
        <w:spacing w:line="257" w:lineRule="auto"/>
        <w:rPr>
          <w:rFonts w:ascii="Arial"/>
          <w:sz w:val="21"/>
        </w:rPr>
      </w:pPr>
      <w:r>
        <w:rPr>
          <w:rFonts w:ascii="Arial"/>
          <w:sz w:val="21"/>
        </w:rPr>
      </w:r>
      <w:r/>
    </w:p>
    <w:p>
      <w:pPr>
        <w:pStyle w:val="1025"/>
        <w:jc w:val="center"/>
        <w:spacing w:beforeAutospacing="0" w:afterAutospacing="0" w:line="560" w:lineRule="exact"/>
        <w:shd w:val="clear" w:color="auto" w:fill="ffffff"/>
        <w:rPr>
          <w:rFonts w:hint="eastAsia" w:ascii="宋体" w:hAnsi="宋体" w:eastAsia="宋体" w:cs="宋体"/>
          <w:b/>
          <w:bCs/>
          <w:sz w:val="32"/>
          <w:szCs w:val="32"/>
        </w:rPr>
      </w:pPr>
      <w:r>
        <w:rPr>
          <w:rFonts w:hint="eastAsia" w:ascii="宋体" w:hAnsi="宋体" w:eastAsia="宋体" w:cs="宋体"/>
          <w:b/>
          <w:bCs/>
          <w:sz w:val="32"/>
          <w:szCs w:val="32"/>
          <w:shd w:val="clear" w:color="auto" w:fill="ffffff"/>
        </w:rPr>
        <w:t xml:space="preserve">政府采购廉政监督承诺书</w:t>
      </w:r>
      <w:r/>
    </w:p>
    <w:p>
      <w:pPr>
        <w:pStyle w:val="1025"/>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4"/>
          <w:szCs w:val="24"/>
          <w:shd w:val="clear" w:color="auto" w:fill="ffffff"/>
        </w:rPr>
        <w:t xml:space="preserve">（</w:t>
      </w:r>
      <w:r>
        <w:rPr>
          <w:rFonts w:hint="eastAsia" w:ascii="宋体" w:hAnsi="宋体" w:eastAsia="宋体" w:cs="宋体"/>
          <w:b/>
          <w:bCs/>
          <w:sz w:val="24"/>
          <w:szCs w:val="24"/>
        </w:rPr>
        <w:t xml:space="preserve">采购人与中标、成交供应商版</w:t>
      </w:r>
      <w:r>
        <w:rPr>
          <w:rFonts w:hint="eastAsia" w:ascii="宋体" w:hAnsi="宋体" w:eastAsia="宋体" w:cs="宋体"/>
          <w:b/>
          <w:bCs/>
          <w:sz w:val="24"/>
          <w:szCs w:val="24"/>
          <w:shd w:val="clear" w:color="auto" w:fill="ffffff"/>
        </w:rPr>
        <w:t xml:space="preserve">）</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一、采购人承诺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1.坚持“谁采购、谁负责”原则，认真落实政府采购主体责任，履行“三重一大”集体研究程序，完善政府采购内控制度，加强政府采购廉政警示和廉政教育。</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2.细化政府采购预算编制，严格预算执行，科学合理确定采购需求，不擅自提高采购标准，严禁超需要、无预算或超预算采购。</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570" w:name="_Hlk174982092"/>
      <w:r>
        <w:rPr>
          <w:rFonts w:hint="eastAsia" w:ascii="宋体" w:hAnsi="宋体" w:eastAsia="宋体" w:cs="宋体"/>
          <w:color w:val="auto"/>
          <w:sz w:val="22"/>
          <w:szCs w:val="22"/>
          <w:highlight w:val="none"/>
        </w:rPr>
        <w:t xml:space="preserve">不非法干预、影响政府采购评审活动，不对供应商实行差别待遇和歧视待遇。不在开标前泄露政府采购项目相关情况影响公平竞争。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4.不索取、不收受供应商赠送的礼品、现金、有价证券和贵重物品。不参加供应商组织的宴请、旅游、娱乐。不得向供应商报销应当由个人承担的费用。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5.不恶意串通操纵政府采购活动。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6.认真执行双方签订的政府采购合同文件，自觉按合同办事。根据合同履行情况，及时开展履约验收，及时支付采购资金。</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7.坚持公开透明，及时准确做好政府采购全流程信息公开，采购活动全程留痕，采购资料记录全面完整。</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8.依法依规处理政府采购质疑和投诉。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9.不发生其他有悖于政府采购公开、公平、公正和诚实原则的行为，自觉接受财政、监察、审计等有关单位的监督。</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10.如违反以上承诺，愿接受监管部门依照相关法律法规处理并承担相应的法律责任。</w:t>
      </w:r>
      <w:bookmarkEnd w:id="570"/>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二、供应商承诺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1.自觉遵守国家和省、市关于政府采购管理以及廉洁从业的各项规定。</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2.坚持公平竞争、诚实守信，不与采购人、其他供应商或者代理机构恶意串通，不非法干预、影响评审过程和结果，不提供虚假材料谋取中标、成交。</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4.认真执行双方签订的政府采购合同文件，自觉按合同办事。不违规将政府采购合同转包。诚信、确实、全面履行自身合同义务，不擅自变更、中止或者终止政府采购合同。</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5.不提供假冒伪劣产品。</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6.依法依规、有凭有据开展政府采购质疑和投诉。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7.如违反《中华人民共和国政府采购法》及相关法律法规，自觉接受政府采购监管部门依法依规处理。</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 购 人（盖章）：                      中标、成交供应商（盖章）：</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单位负责人或授权代表（签字）：          单位负责人或授权代表（签字）：</w:t>
      </w:r>
      <w:r/>
    </w:p>
    <w:p>
      <w:pPr>
        <w:ind w:firstLine="480"/>
        <w:keepLines w:val="0"/>
        <w:keepNext w:val="0"/>
        <w:pageBreakBefore w:val="0"/>
        <w:spacing w:line="380" w:lineRule="exact"/>
        <w:widowControl w:val="off"/>
        <w:rPr>
          <w:rFonts w:hint="eastAsia" w:ascii="宋体" w:hAnsi="宋体" w:eastAsia="宋体" w:cs="宋体"/>
          <w:b/>
          <w:bCs/>
          <w:color w:val="auto"/>
          <w:sz w:val="40"/>
          <w:szCs w:val="40"/>
          <w:highlight w:val="none"/>
          <w:lang w:eastAsia="zh-CN"/>
        </w:rPr>
      </w:pPr>
      <w:r>
        <w:rPr>
          <w:rFonts w:hint="eastAsia" w:ascii="宋体" w:hAnsi="宋体" w:eastAsia="宋体" w:cs="宋体"/>
          <w:color w:val="auto"/>
          <w:sz w:val="22"/>
          <w:szCs w:val="22"/>
          <w:highlight w:val="none"/>
        </w:rPr>
        <w:t xml:space="preserve">日 期：  年  月  日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 期：  年  月  日   </w:t>
      </w:r>
      <w:r>
        <w:rPr>
          <w:rFonts w:hint="eastAsia" w:ascii="宋体" w:hAnsi="宋体" w:eastAsia="宋体" w:cs="宋体"/>
          <w:b/>
          <w:color w:val="auto"/>
          <w:sz w:val="40"/>
          <w:szCs w:val="40"/>
          <w:highlight w:val="none"/>
          <w:lang w:val="en-US" w:eastAsia="zh-CN"/>
        </w:rPr>
        <w:br w:type="page" w:clear="all"/>
      </w:r>
      <w:r/>
    </w:p>
    <w:p>
      <w:pPr>
        <w:ind w:right="138" w:firstLine="2132"/>
        <w:jc w:val="both"/>
        <w:spacing w:before="232" w:line="288" w:lineRule="auto"/>
        <w:rPr>
          <w:rFonts w:hint="eastAsia" w:ascii="宋体" w:hAnsi="宋体" w:eastAsia="宋体" w:cs="宋体"/>
          <w:b/>
          <w:bCs/>
          <w:spacing w:val="13"/>
          <w:sz w:val="36"/>
          <w:szCs w:val="36"/>
        </w:rPr>
      </w:pPr>
      <w:r>
        <w:rPr>
          <w:rFonts w:hint="eastAsia" w:ascii="宋体" w:hAnsi="宋体" w:eastAsia="宋体" w:cs="宋体"/>
          <w:b/>
          <w:bCs/>
          <w:spacing w:val="17"/>
          <w:sz w:val="32"/>
          <w:szCs w:val="32"/>
        </w:rPr>
        <w:t xml:space="preserve">政府采购履约验收通知单（参考样本）</w:t>
      </w:r>
      <w:r/>
    </w:p>
    <w:p>
      <w:pPr>
        <w:ind w:right="1549"/>
        <w:spacing w:before="232" w:line="288" w:lineRule="auto"/>
        <w:rPr>
          <w:rFonts w:hint="eastAsia" w:ascii="宋体" w:hAnsi="宋体" w:eastAsia="宋体" w:cs="宋体"/>
          <w:sz w:val="23"/>
          <w:szCs w:val="23"/>
        </w:rPr>
      </w:pPr>
      <w:r>
        <w:rPr>
          <w:rFonts w:hint="eastAsia" w:ascii="宋体" w:hAnsi="宋体" w:eastAsia="宋体" w:cs="宋体"/>
          <w:spacing w:val="9"/>
          <w:sz w:val="23"/>
          <w:szCs w:val="23"/>
        </w:rPr>
        <w:t xml:space="preserve">供应商：</w:t>
      </w:r>
      <w:r/>
    </w:p>
    <w:tbl>
      <w:tblPr>
        <w:tblStyle w:val="1044"/>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spacing w:before="249"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采购人</w:t>
            </w:r>
            <w:r/>
          </w:p>
        </w:tc>
        <w:tc>
          <w:tcPr>
            <w:gridSpan w:val="3"/>
            <w:tcW w:w="67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9" w:line="211" w:lineRule="auto"/>
              <w:rPr>
                <w:rFonts w:hint="eastAsia" w:ascii="宋体" w:hAnsi="宋体" w:eastAsia="宋体" w:cs="宋体"/>
                <w:sz w:val="23"/>
                <w:szCs w:val="23"/>
              </w:rPr>
            </w:pPr>
            <w:r>
              <w:rPr>
                <w:rFonts w:hint="eastAsia" w:ascii="宋体" w:hAnsi="宋体" w:eastAsia="宋体" w:cs="宋体"/>
                <w:spacing w:val="2"/>
                <w:sz w:val="23"/>
                <w:szCs w:val="23"/>
              </w:rPr>
              <w:t xml:space="preserve">项目名称</w:t>
            </w:r>
            <w:r/>
          </w:p>
        </w:tc>
        <w:tc>
          <w:tcPr>
            <w:gridSpan w:val="3"/>
            <w:tcW w:w="67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合同名称</w:t>
            </w:r>
            <w:r/>
          </w:p>
        </w:tc>
        <w:tc>
          <w:tcPr>
            <w:gridSpan w:val="3"/>
            <w:tcW w:w="67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7"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合同编号</w:t>
            </w:r>
            <w:r/>
          </w:p>
        </w:tc>
        <w:tc>
          <w:tcPr>
            <w:tcW w:w="1961"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合同金额</w:t>
            </w:r>
            <w:r/>
          </w:p>
        </w:tc>
        <w:tc>
          <w:tcPr>
            <w:tcW w:w="26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8" w:line="212" w:lineRule="auto"/>
              <w:rPr>
                <w:rFonts w:hint="eastAsia" w:ascii="宋体" w:hAnsi="宋体" w:eastAsia="宋体" w:cs="宋体"/>
                <w:sz w:val="23"/>
                <w:szCs w:val="23"/>
              </w:rPr>
            </w:pPr>
            <w:r>
              <w:rPr>
                <w:rFonts w:hint="eastAsia" w:ascii="宋体" w:hAnsi="宋体" w:eastAsia="宋体" w:cs="宋体"/>
                <w:spacing w:val="4"/>
                <w:sz w:val="23"/>
                <w:szCs w:val="23"/>
              </w:rPr>
              <w:t xml:space="preserve">验收时间</w:t>
            </w:r>
            <w:r/>
          </w:p>
        </w:tc>
        <w:tc>
          <w:tcPr>
            <w:tcW w:w="1961"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8" w:line="213" w:lineRule="auto"/>
              <w:rPr>
                <w:rFonts w:hint="eastAsia" w:ascii="宋体" w:hAnsi="宋体" w:eastAsia="宋体" w:cs="宋体"/>
                <w:sz w:val="23"/>
                <w:szCs w:val="23"/>
              </w:rPr>
            </w:pPr>
            <w:r>
              <w:rPr>
                <w:rFonts w:hint="eastAsia" w:ascii="宋体" w:hAnsi="宋体" w:eastAsia="宋体" w:cs="宋体"/>
                <w:spacing w:val="4"/>
                <w:sz w:val="23"/>
                <w:szCs w:val="23"/>
              </w:rPr>
              <w:t xml:space="preserve">验收地点</w:t>
            </w:r>
            <w:r/>
          </w:p>
        </w:tc>
        <w:tc>
          <w:tcPr>
            <w:tcW w:w="26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960"/>
              <w:spacing w:before="248" w:line="213" w:lineRule="auto"/>
              <w:rPr>
                <w:rFonts w:hint="eastAsia" w:ascii="宋体" w:hAnsi="宋体" w:eastAsia="宋体" w:cs="宋体"/>
                <w:sz w:val="23"/>
                <w:szCs w:val="23"/>
              </w:rPr>
            </w:pPr>
            <w:r>
              <w:rPr>
                <w:rFonts w:hint="eastAsia" w:ascii="宋体" w:hAnsi="宋体" w:eastAsia="宋体" w:cs="宋体"/>
                <w:spacing w:val="1"/>
                <w:sz w:val="23"/>
                <w:szCs w:val="23"/>
              </w:rPr>
              <w:t xml:space="preserve">联系人</w:t>
            </w:r>
            <w:r/>
          </w:p>
        </w:tc>
        <w:tc>
          <w:tcPr>
            <w:tcW w:w="1961"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5"/>
              <w:spacing w:before="248" w:line="213" w:lineRule="auto"/>
              <w:rPr>
                <w:rFonts w:hint="eastAsia" w:ascii="宋体" w:hAnsi="宋体" w:eastAsia="宋体" w:cs="宋体"/>
                <w:sz w:val="23"/>
                <w:szCs w:val="23"/>
              </w:rPr>
            </w:pPr>
            <w:r>
              <w:rPr>
                <w:rFonts w:hint="eastAsia" w:ascii="宋体" w:hAnsi="宋体" w:eastAsia="宋体" w:cs="宋体"/>
                <w:spacing w:val="3"/>
                <w:sz w:val="23"/>
                <w:szCs w:val="23"/>
              </w:rPr>
              <w:t xml:space="preserve">联系电话</w:t>
            </w:r>
            <w:r/>
          </w:p>
        </w:tc>
        <w:tc>
          <w:tcPr>
            <w:tcW w:w="2608"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60"/>
        </w:trPr>
        <w:tc>
          <w:tcPr>
            <w:gridSpan w:val="4"/>
            <w:tcW w:w="9318" w:type="dxa"/>
            <w:vAlign w:val="top"/>
            <w:textDirection w:val="lrTb"/>
            <w:noWrap w:val="false"/>
          </w:tcPr>
          <w:p>
            <w:pPr>
              <w:ind w:left="3353"/>
              <w:spacing w:before="250" w:line="212" w:lineRule="auto"/>
              <w:rPr>
                <w:rFonts w:hint="eastAsia" w:ascii="宋体" w:hAnsi="宋体" w:eastAsia="宋体" w:cs="宋体"/>
                <w:sz w:val="23"/>
                <w:szCs w:val="23"/>
              </w:rPr>
            </w:pPr>
            <w:r>
              <w:rPr>
                <w:rFonts w:hint="eastAsia" w:ascii="宋体" w:hAnsi="宋体" w:eastAsia="宋体" w:cs="宋体"/>
                <w:spacing w:val="7"/>
                <w:sz w:val="23"/>
                <w:szCs w:val="23"/>
              </w:rPr>
              <w:t xml:space="preserve">履约验收方案及工作要求</w:t>
            </w:r>
            <w:r/>
          </w:p>
        </w:tc>
      </w:tr>
      <w:tr>
        <w:trPr>
          <w:trHeight w:val="7569"/>
        </w:trPr>
        <w:tc>
          <w:tcPr>
            <w:gridSpan w:val="4"/>
            <w:tcW w:w="9318" w:type="dxa"/>
            <w:vAlign w:val="top"/>
            <w:textDirection w:val="lrTb"/>
            <w:noWrap w:val="false"/>
          </w:tcPr>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1" w:lineRule="auto"/>
              <w:rPr>
                <w:rFonts w:hint="eastAsia" w:ascii="宋体" w:hAnsi="宋体" w:eastAsia="宋体" w:cs="宋体"/>
              </w:rPr>
            </w:pPr>
            <w:r>
              <w:rPr>
                <w:rFonts w:hint="eastAsia" w:ascii="宋体" w:hAnsi="宋体" w:eastAsia="宋体" w:cs="宋体"/>
              </w:rPr>
            </w:r>
            <w:r/>
          </w:p>
          <w:p>
            <w:pPr>
              <w:pStyle w:val="1045"/>
              <w:spacing w:line="242" w:lineRule="auto"/>
              <w:rPr>
                <w:rFonts w:hint="eastAsia" w:ascii="宋体" w:hAnsi="宋体" w:eastAsia="宋体" w:cs="宋体"/>
              </w:rPr>
            </w:pPr>
            <w:r>
              <w:rPr>
                <w:rFonts w:hint="eastAsia" w:ascii="宋体" w:hAnsi="宋体" w:eastAsia="宋体" w:cs="宋体"/>
              </w:rPr>
            </w:r>
            <w:r/>
          </w:p>
          <w:p>
            <w:pPr>
              <w:ind w:left="5311"/>
              <w:spacing w:before="75" w:line="214" w:lineRule="auto"/>
              <w:rPr>
                <w:rFonts w:hint="eastAsia" w:ascii="宋体" w:hAnsi="宋体" w:eastAsia="宋体" w:cs="宋体"/>
                <w:sz w:val="23"/>
                <w:szCs w:val="23"/>
              </w:rPr>
            </w:pPr>
            <w:r>
              <w:rPr>
                <w:rFonts w:hint="eastAsia" w:ascii="宋体" w:hAnsi="宋体" w:eastAsia="宋体" w:cs="宋体"/>
                <w:spacing w:val="3"/>
                <w:sz w:val="23"/>
                <w:szCs w:val="23"/>
              </w:rPr>
              <w:t xml:space="preserve">单位公章</w:t>
            </w:r>
            <w:r/>
          </w:p>
          <w:p>
            <w:pPr>
              <w:pStyle w:val="1045"/>
              <w:spacing w:line="308" w:lineRule="auto"/>
              <w:rPr>
                <w:rFonts w:hint="eastAsia" w:ascii="宋体" w:hAnsi="宋体" w:eastAsia="宋体" w:cs="宋体"/>
              </w:rPr>
            </w:pPr>
            <w:r>
              <w:rPr>
                <w:rFonts w:hint="eastAsia" w:ascii="宋体" w:hAnsi="宋体" w:eastAsia="宋体" w:cs="宋体"/>
              </w:rPr>
            </w:r>
            <w:r/>
          </w:p>
          <w:p>
            <w:pPr>
              <w:ind w:left="5128"/>
              <w:spacing w:before="75" w:line="212" w:lineRule="auto"/>
              <w:rPr>
                <w:rFonts w:hint="eastAsia" w:ascii="宋体" w:hAnsi="宋体" w:eastAsia="宋体" w:cs="宋体"/>
                <w:sz w:val="23"/>
                <w:szCs w:val="23"/>
              </w:rPr>
            </w:pPr>
            <w:r>
              <w:rPr>
                <w:rFonts w:hint="eastAsia" w:ascii="宋体" w:hAnsi="宋体" w:eastAsia="宋体" w:cs="宋体"/>
                <w:spacing w:val="-3"/>
                <w:sz w:val="23"/>
                <w:szCs w:val="23"/>
              </w:rPr>
              <w:t xml:space="preserve">年</w:t>
            </w:r>
            <w:r>
              <w:rPr>
                <w:rFonts w:hint="eastAsia" w:ascii="宋体" w:hAnsi="宋体" w:eastAsia="宋体" w:cs="宋体"/>
                <w:spacing w:val="18"/>
                <w:sz w:val="23"/>
                <w:szCs w:val="23"/>
              </w:rPr>
              <w:t xml:space="preserve">  </w:t>
            </w:r>
            <w:r>
              <w:rPr>
                <w:rFonts w:hint="eastAsia" w:ascii="宋体" w:hAnsi="宋体" w:eastAsia="宋体" w:cs="宋体"/>
                <w:spacing w:val="-3"/>
                <w:sz w:val="23"/>
                <w:szCs w:val="23"/>
              </w:rPr>
              <w:t xml:space="preserve">月</w:t>
            </w:r>
            <w:r>
              <w:rPr>
                <w:rFonts w:hint="eastAsia" w:ascii="宋体" w:hAnsi="宋体" w:eastAsia="宋体" w:cs="宋体"/>
                <w:spacing w:val="12"/>
                <w:sz w:val="23"/>
                <w:szCs w:val="23"/>
              </w:rPr>
              <w:t xml:space="preserve">   </w:t>
            </w:r>
            <w:r>
              <w:rPr>
                <w:rFonts w:hint="eastAsia" w:ascii="宋体" w:hAnsi="宋体" w:eastAsia="宋体" w:cs="宋体"/>
                <w:spacing w:val="-3"/>
                <w:sz w:val="23"/>
                <w:szCs w:val="23"/>
              </w:rPr>
              <w:t xml:space="preserve">日</w:t>
            </w:r>
            <w:r/>
          </w:p>
        </w:tc>
      </w:tr>
    </w:tbl>
    <w:p>
      <w:pPr>
        <w:jc w:val="center"/>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sectPr>
          <w:footerReference w:type="default" r:id="rId12"/>
          <w:footnotePr/>
          <w:endnotePr/>
          <w:type w:val="nextPage"/>
          <w:pgSz w:w="11906" w:h="16838" w:orient="portrait"/>
          <w:pgMar w:top="1270" w:right="1191" w:bottom="1270" w:left="1191" w:header="851" w:footer="992" w:gutter="0"/>
          <w:cols w:num="1" w:sep="0" w:space="720" w:equalWidth="1"/>
          <w:docGrid w:linePitch="360"/>
        </w:sectPr>
      </w:pPr>
      <w:r>
        <w:rPr>
          <w:rFonts w:hint="eastAsia" w:ascii="宋体" w:hAnsi="宋体" w:eastAsia="宋体" w:cs="宋体"/>
          <w:b/>
          <w:color w:val="auto"/>
          <w:sz w:val="40"/>
          <w:szCs w:val="40"/>
          <w:highlight w:val="none"/>
          <w:lang w:val="en-US" w:eastAsia="zh-CN"/>
        </w:rPr>
      </w:r>
      <w:r/>
    </w:p>
    <w:p>
      <w:pPr>
        <w:ind w:left="3943"/>
        <w:spacing w:before="76" w:line="184" w:lineRule="auto"/>
        <w:rPr>
          <w:rFonts w:hint="eastAsia" w:ascii="宋体" w:hAnsi="宋体" w:eastAsia="宋体" w:cs="宋体"/>
          <w:b/>
          <w:bCs/>
          <w:sz w:val="36"/>
          <w:szCs w:val="36"/>
        </w:rPr>
        <w:outlineLvl w:val="0"/>
      </w:pPr>
      <w:r>
        <w:rPr>
          <w:rFonts w:hint="eastAsia" w:ascii="宋体" w:hAnsi="宋体" w:eastAsia="宋体" w:cs="宋体"/>
          <w:b/>
          <w:bCs/>
          <w:spacing w:val="19"/>
          <w:sz w:val="36"/>
          <w:szCs w:val="36"/>
        </w:rPr>
        <w:t xml:space="preserve">政府采购履约验收书参考样本(工程类)</w:t>
      </w:r>
      <w:r/>
    </w:p>
    <w:tbl>
      <w:tblPr>
        <w:tblStyle w:val="1044"/>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5"/>
        <w:gridCol w:w="1972"/>
        <w:gridCol w:w="1842"/>
        <w:gridCol w:w="1994"/>
        <w:gridCol w:w="2127"/>
        <w:gridCol w:w="2164"/>
        <w:gridCol w:w="2260"/>
      </w:tblGrid>
      <w:tr>
        <w:trPr>
          <w:trHeight w:val="427"/>
        </w:trPr>
        <w:tc>
          <w:tcPr>
            <w:tcW w:w="1815" w:type="dxa"/>
            <w:vAlign w:val="top"/>
            <w:textDirection w:val="lrTb"/>
            <w:noWrap w:val="false"/>
          </w:tcPr>
          <w:p>
            <w:pPr>
              <w:ind w:left="640"/>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采购人</w:t>
            </w:r>
            <w:r/>
          </w:p>
        </w:tc>
        <w:tc>
          <w:tcPr>
            <w:tcW w:w="1972"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565"/>
              <w:spacing w:before="297" w:line="208" w:lineRule="auto"/>
              <w:rPr>
                <w:rFonts w:hint="eastAsia" w:ascii="宋体" w:hAnsi="宋体" w:eastAsia="宋体" w:cs="宋体"/>
                <w:sz w:val="18"/>
                <w:szCs w:val="18"/>
              </w:rPr>
            </w:pPr>
            <w:r>
              <w:rPr>
                <w:rFonts w:hint="eastAsia" w:ascii="宋体" w:hAnsi="宋体" w:eastAsia="宋体" w:cs="宋体"/>
                <w:spacing w:val="-3"/>
                <w:sz w:val="18"/>
                <w:szCs w:val="18"/>
              </w:rPr>
              <w:t xml:space="preserve">项目名称</w:t>
            </w:r>
            <w:r/>
          </w:p>
        </w:tc>
        <w:tc>
          <w:tcPr>
            <w:tcW w:w="1994"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合同名称</w:t>
            </w:r>
            <w:r/>
          </w:p>
        </w:tc>
        <w:tc>
          <w:tcPr>
            <w:gridSpan w:val="2"/>
            <w:tcW w:w="4424"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460"/>
        </w:trPr>
        <w:tc>
          <w:tcPr>
            <w:tcW w:w="1815" w:type="dxa"/>
            <w:vAlign w:val="top"/>
            <w:textDirection w:val="lrTb"/>
            <w:noWrap w:val="false"/>
          </w:tcPr>
          <w:p>
            <w:pPr>
              <w:ind w:left="641"/>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供应商</w:t>
            </w:r>
            <w:r/>
          </w:p>
        </w:tc>
        <w:tc>
          <w:tcPr>
            <w:tcW w:w="1972"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294"/>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项目及合同编号</w:t>
            </w:r>
            <w:r/>
          </w:p>
        </w:tc>
        <w:tc>
          <w:tcPr>
            <w:tcW w:w="1994"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合同金额</w:t>
            </w:r>
            <w:r/>
          </w:p>
        </w:tc>
        <w:tc>
          <w:tcPr>
            <w:gridSpan w:val="2"/>
            <w:tcW w:w="4424"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455"/>
        </w:trPr>
        <w:tc>
          <w:tcPr>
            <w:tcW w:w="1815" w:type="dxa"/>
            <w:vAlign w:val="top"/>
            <w:textDirection w:val="lrTb"/>
            <w:noWrap w:val="false"/>
          </w:tcPr>
          <w:p>
            <w:pPr>
              <w:ind w:left="28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分期（段）验收</w:t>
            </w:r>
            <w:r/>
          </w:p>
        </w:tc>
        <w:tc>
          <w:tcPr>
            <w:tcW w:w="1972" w:type="dxa"/>
            <w:vAlign w:val="top"/>
            <w:textDirection w:val="lrTb"/>
            <w:noWrap w:val="false"/>
          </w:tcPr>
          <w:p>
            <w:pPr>
              <w:ind w:left="494"/>
              <w:spacing w:before="265" w:line="240" w:lineRule="exact"/>
              <w:rPr>
                <w:rFonts w:hint="eastAsia" w:ascii="宋体" w:hAnsi="宋体" w:eastAsia="宋体" w:cs="宋体"/>
                <w:sz w:val="18"/>
                <w:szCs w:val="18"/>
              </w:rPr>
            </w:pPr>
            <w:r>
              <w:rPr>
                <w:rFonts w:hint="eastAsia" w:ascii="宋体" w:hAnsi="宋体" w:eastAsia="宋体" w:cs="宋体"/>
                <w:spacing w:val="-6"/>
                <w:position w:val="1"/>
                <w:sz w:val="18"/>
                <w:szCs w:val="18"/>
              </w:rPr>
              <w:t xml:space="preserve">是□</w:t>
            </w:r>
            <w:r>
              <w:rPr>
                <w:rFonts w:hint="eastAsia" w:ascii="宋体" w:hAnsi="宋体" w:eastAsia="宋体" w:cs="宋体"/>
                <w:spacing w:val="4"/>
                <w:position w:val="1"/>
                <w:sz w:val="18"/>
                <w:szCs w:val="18"/>
              </w:rPr>
              <w:t xml:space="preserve">   </w:t>
            </w:r>
            <w:r>
              <w:rPr>
                <w:rFonts w:hint="eastAsia" w:ascii="宋体" w:hAnsi="宋体" w:eastAsia="宋体" w:cs="宋体"/>
                <w:spacing w:val="-6"/>
                <w:position w:val="1"/>
                <w:sz w:val="18"/>
                <w:szCs w:val="18"/>
              </w:rPr>
              <w:t xml:space="preserve">否□</w:t>
            </w:r>
            <w:r/>
          </w:p>
        </w:tc>
        <w:tc>
          <w:tcPr>
            <w:tcW w:w="1842" w:type="dxa"/>
            <w:vAlign w:val="top"/>
            <w:textDirection w:val="lrTb"/>
            <w:noWrap w:val="false"/>
          </w:tcPr>
          <w:p>
            <w:pPr>
              <w:ind w:left="29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分期（段）情况</w:t>
            </w:r>
            <w:r/>
          </w:p>
        </w:tc>
        <w:tc>
          <w:tcPr>
            <w:gridSpan w:val="4"/>
            <w:tcW w:w="8545" w:type="dxa"/>
            <w:vAlign w:val="top"/>
            <w:textDirection w:val="lrTb"/>
            <w:noWrap w:val="false"/>
          </w:tcPr>
          <w:p>
            <w:pPr>
              <w:ind w:left="2564"/>
              <w:spacing w:before="265" w:line="240"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共分   期（段</w:t>
            </w:r>
            <w:r>
              <w:rPr>
                <w:rFonts w:hint="eastAsia" w:ascii="宋体" w:hAnsi="宋体" w:eastAsia="宋体" w:cs="宋体"/>
                <w:spacing w:val="6"/>
                <w:position w:val="1"/>
                <w:sz w:val="18"/>
                <w:szCs w:val="18"/>
              </w:rPr>
              <w:t xml:space="preserve">），</w:t>
            </w:r>
            <w:r>
              <w:rPr>
                <w:rFonts w:hint="eastAsia" w:ascii="宋体" w:hAnsi="宋体" w:eastAsia="宋体" w:cs="宋体"/>
                <w:spacing w:val="-1"/>
                <w:position w:val="1"/>
                <w:sz w:val="18"/>
                <w:szCs w:val="18"/>
              </w:rPr>
              <w:t xml:space="preserve">此为第   期（段）验收</w:t>
            </w:r>
            <w:r/>
          </w:p>
        </w:tc>
      </w:tr>
      <w:tr>
        <w:trPr>
          <w:trHeight w:val="784"/>
        </w:trPr>
        <w:tc>
          <w:tcPr>
            <w:tcW w:w="1815" w:type="dxa"/>
            <w:vAlign w:val="top"/>
            <w:textDirection w:val="lrTb"/>
            <w:noWrap w:val="false"/>
          </w:tcPr>
          <w:p>
            <w:pPr>
              <w:pStyle w:val="1045"/>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验收时间</w:t>
            </w:r>
            <w:r/>
          </w:p>
        </w:tc>
        <w:tc>
          <w:tcPr>
            <w:tcW w:w="1972"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pStyle w:val="1045"/>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验收地点</w:t>
            </w:r>
            <w:r/>
          </w:p>
        </w:tc>
        <w:tc>
          <w:tcPr>
            <w:tcW w:w="1994"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pStyle w:val="1045"/>
              <w:spacing w:line="256" w:lineRule="auto"/>
              <w:rPr>
                <w:rFonts w:hint="eastAsia" w:ascii="宋体" w:hAnsi="宋体" w:eastAsia="宋体" w:cs="宋体"/>
              </w:rPr>
            </w:pPr>
            <w:r>
              <w:rPr>
                <w:rFonts w:hint="eastAsia" w:ascii="宋体" w:hAnsi="宋体" w:eastAsia="宋体" w:cs="宋体"/>
              </w:rPr>
            </w:r>
            <w:r/>
          </w:p>
          <w:p>
            <w:pPr>
              <w:ind w:firstLine="352"/>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验收组织形式</w:t>
            </w:r>
            <w:r/>
          </w:p>
        </w:tc>
        <w:tc>
          <w:tcPr>
            <w:gridSpan w:val="2"/>
            <w:tcW w:w="4424" w:type="dxa"/>
            <w:vAlign w:val="top"/>
            <w:textDirection w:val="lrTb"/>
            <w:noWrap w:val="false"/>
          </w:tcPr>
          <w:p>
            <w:pPr>
              <w:ind w:left="1599"/>
              <w:spacing w:before="266" w:line="240" w:lineRule="exact"/>
              <w:rPr>
                <w:rFonts w:hint="eastAsia" w:ascii="宋体" w:hAnsi="宋体" w:eastAsia="宋体" w:cs="宋体"/>
                <w:sz w:val="18"/>
                <w:szCs w:val="18"/>
              </w:rPr>
            </w:pPr>
            <w:r>
              <w:rPr>
                <w:rFonts w:hint="eastAsia" w:ascii="宋体" w:hAnsi="宋体" w:eastAsia="宋体" w:cs="宋体"/>
                <w:spacing w:val="-4"/>
                <w:position w:val="1"/>
                <w:sz w:val="18"/>
                <w:szCs w:val="18"/>
              </w:rPr>
              <w:t xml:space="preserve">□验收小组验收</w:t>
            </w:r>
            <w:r/>
          </w:p>
          <w:p>
            <w:pPr>
              <w:ind w:firstLine="1566"/>
              <w:spacing w:before="59" w:line="238" w:lineRule="exact"/>
              <w:rPr>
                <w:rFonts w:hint="eastAsia" w:ascii="宋体" w:hAnsi="宋体" w:eastAsia="宋体" w:cs="宋体"/>
                <w:sz w:val="18"/>
                <w:szCs w:val="18"/>
              </w:rPr>
            </w:pPr>
            <w:r>
              <w:rPr>
                <w:rFonts w:hint="eastAsia" w:ascii="宋体" w:hAnsi="宋体" w:eastAsia="宋体" w:cs="宋体"/>
                <w:spacing w:val="-3"/>
                <w:position w:val="1"/>
                <w:sz w:val="18"/>
                <w:szCs w:val="18"/>
                <w:lang w:eastAsia="zh-CN"/>
              </w:rPr>
              <w:t xml:space="preserve">□</w:t>
            </w:r>
            <w:r>
              <w:rPr>
                <w:rFonts w:hint="eastAsia" w:ascii="宋体" w:hAnsi="宋体" w:eastAsia="宋体" w:cs="宋体"/>
                <w:spacing w:val="-3"/>
                <w:position w:val="1"/>
                <w:sz w:val="18"/>
                <w:szCs w:val="18"/>
              </w:rPr>
              <w:t xml:space="preserve">采购代理机构验收</w:t>
            </w:r>
            <w:r/>
          </w:p>
        </w:tc>
      </w:tr>
      <w:tr>
        <w:trPr>
          <w:trHeight w:val="1119"/>
        </w:trPr>
        <w:tc>
          <w:tcPr>
            <w:tcBorders>
              <w:bottom w:val="none" w:color="000000" w:sz="4" w:space="0"/>
            </w:tcBorders>
            <w:tcW w:w="1815" w:type="dxa"/>
            <w:vAlign w:val="top"/>
            <w:vMerge w:val="restart"/>
            <w:textDirection w:val="lrTb"/>
            <w:noWrap w:val="false"/>
          </w:tcPr>
          <w:p>
            <w:pPr>
              <w:pStyle w:val="1045"/>
              <w:spacing w:line="268" w:lineRule="auto"/>
              <w:rPr>
                <w:rFonts w:hint="eastAsia" w:ascii="宋体" w:hAnsi="宋体" w:eastAsia="宋体" w:cs="宋体"/>
              </w:rPr>
            </w:pPr>
            <w:r>
              <w:rPr>
                <w:rFonts w:hint="eastAsia" w:ascii="宋体" w:hAnsi="宋体" w:eastAsia="宋体" w:cs="宋体"/>
              </w:rPr>
            </w:r>
            <w:r/>
          </w:p>
          <w:p>
            <w:pPr>
              <w:pStyle w:val="1045"/>
              <w:spacing w:line="268" w:lineRule="auto"/>
              <w:rPr>
                <w:rFonts w:hint="eastAsia" w:ascii="宋体" w:hAnsi="宋体" w:eastAsia="宋体" w:cs="宋体"/>
              </w:rPr>
            </w:pPr>
            <w:r>
              <w:rPr>
                <w:rFonts w:hint="eastAsia" w:ascii="宋体" w:hAnsi="宋体" w:eastAsia="宋体" w:cs="宋体"/>
              </w:rPr>
            </w:r>
            <w:r/>
          </w:p>
          <w:p>
            <w:pPr>
              <w:pStyle w:val="1045"/>
              <w:spacing w:line="268" w:lineRule="auto"/>
              <w:rPr>
                <w:rFonts w:hint="eastAsia" w:ascii="宋体" w:hAnsi="宋体" w:eastAsia="宋体" w:cs="宋体"/>
              </w:rPr>
            </w:pPr>
            <w:r>
              <w:rPr>
                <w:rFonts w:hint="eastAsia" w:ascii="宋体" w:hAnsi="宋体" w:eastAsia="宋体" w:cs="宋体"/>
              </w:rPr>
            </w:r>
            <w:r/>
          </w:p>
          <w:p>
            <w:pPr>
              <w:pStyle w:val="1045"/>
              <w:spacing w:line="268" w:lineRule="auto"/>
              <w:rPr>
                <w:rFonts w:hint="eastAsia" w:ascii="宋体" w:hAnsi="宋体" w:eastAsia="宋体" w:cs="宋体"/>
              </w:rPr>
            </w:pPr>
            <w:r>
              <w:rPr>
                <w:rFonts w:hint="eastAsia" w:ascii="宋体" w:hAnsi="宋体" w:eastAsia="宋体" w:cs="宋体"/>
              </w:rPr>
            </w:r>
            <w:r/>
          </w:p>
          <w:p>
            <w:pPr>
              <w:ind w:left="549"/>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验收内容</w:t>
            </w:r>
            <w:r/>
          </w:p>
        </w:tc>
        <w:tc>
          <w:tcPr>
            <w:tcW w:w="1972" w:type="dxa"/>
            <w:vAlign w:val="top"/>
            <w:textDirection w:val="lrTb"/>
            <w:noWrap w:val="false"/>
          </w:tcPr>
          <w:p>
            <w:pPr>
              <w:pStyle w:val="1045"/>
              <w:spacing w:line="257" w:lineRule="auto"/>
              <w:rPr>
                <w:rFonts w:hint="eastAsia" w:ascii="宋体" w:hAnsi="宋体" w:eastAsia="宋体" w:cs="宋体"/>
              </w:rPr>
            </w:pPr>
            <w:r>
              <w:rPr>
                <w:rFonts w:hint="eastAsia" w:ascii="宋体" w:hAnsi="宋体" w:eastAsia="宋体" w:cs="宋体"/>
              </w:rPr>
            </w:r>
            <w:r/>
          </w:p>
          <w:p>
            <w:pPr>
              <w:pStyle w:val="1045"/>
              <w:spacing w:line="258" w:lineRule="auto"/>
              <w:rPr>
                <w:rFonts w:hint="eastAsia" w:ascii="宋体" w:hAnsi="宋体" w:eastAsia="宋体" w:cs="宋体"/>
              </w:rPr>
            </w:pPr>
            <w:r>
              <w:rPr>
                <w:rFonts w:hint="eastAsia" w:ascii="宋体" w:hAnsi="宋体" w:eastAsia="宋体" w:cs="宋体"/>
              </w:rPr>
            </w:r>
            <w:r/>
          </w:p>
          <w:p>
            <w:pPr>
              <w:ind w:left="625"/>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施工内容</w:t>
            </w:r>
            <w:r/>
          </w:p>
        </w:tc>
        <w:tc>
          <w:tcPr>
            <w:tcW w:w="1842" w:type="dxa"/>
            <w:vAlign w:val="top"/>
            <w:textDirection w:val="lrTb"/>
            <w:noWrap w:val="false"/>
          </w:tcPr>
          <w:p>
            <w:pPr>
              <w:pStyle w:val="1045"/>
              <w:spacing w:line="257" w:lineRule="auto"/>
              <w:rPr>
                <w:rFonts w:hint="eastAsia" w:ascii="宋体" w:hAnsi="宋体" w:eastAsia="宋体" w:cs="宋体"/>
              </w:rPr>
            </w:pPr>
            <w:r>
              <w:rPr>
                <w:rFonts w:hint="eastAsia" w:ascii="宋体" w:hAnsi="宋体" w:eastAsia="宋体" w:cs="宋体"/>
              </w:rPr>
            </w:r>
            <w:r/>
          </w:p>
          <w:p>
            <w:pPr>
              <w:pStyle w:val="1045"/>
              <w:spacing w:line="257" w:lineRule="auto"/>
              <w:rPr>
                <w:rFonts w:hint="eastAsia" w:ascii="宋体" w:hAnsi="宋体" w:eastAsia="宋体" w:cs="宋体"/>
              </w:rPr>
            </w:pPr>
            <w:r>
              <w:rPr>
                <w:rFonts w:hint="eastAsia" w:ascii="宋体" w:hAnsi="宋体" w:eastAsia="宋体" w:cs="宋体"/>
              </w:rPr>
            </w:r>
            <w:r/>
          </w:p>
          <w:p>
            <w:pPr>
              <w:ind w:left="561"/>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施工进度</w:t>
            </w:r>
            <w:r/>
          </w:p>
        </w:tc>
        <w:tc>
          <w:tcPr>
            <w:tcW w:w="1994" w:type="dxa"/>
            <w:vAlign w:val="top"/>
            <w:textDirection w:val="lrTb"/>
            <w:noWrap w:val="false"/>
          </w:tcPr>
          <w:p>
            <w:pPr>
              <w:pStyle w:val="1045"/>
              <w:spacing w:line="257" w:lineRule="auto"/>
              <w:rPr>
                <w:rFonts w:hint="eastAsia" w:ascii="宋体" w:hAnsi="宋体" w:eastAsia="宋体" w:cs="宋体"/>
              </w:rPr>
            </w:pPr>
            <w:r>
              <w:rPr>
                <w:rFonts w:hint="eastAsia" w:ascii="宋体" w:hAnsi="宋体" w:eastAsia="宋体" w:cs="宋体"/>
              </w:rPr>
            </w:r>
            <w:r/>
          </w:p>
          <w:p>
            <w:pPr>
              <w:pStyle w:val="1045"/>
              <w:spacing w:line="258" w:lineRule="auto"/>
              <w:rPr>
                <w:rFonts w:hint="eastAsia" w:ascii="宋体" w:hAnsi="宋体" w:eastAsia="宋体" w:cs="宋体"/>
              </w:rPr>
            </w:pPr>
            <w:r>
              <w:rPr>
                <w:rFonts w:hint="eastAsia" w:ascii="宋体" w:hAnsi="宋体" w:eastAsia="宋体" w:cs="宋体"/>
              </w:rPr>
            </w:r>
            <w:r/>
          </w:p>
          <w:p>
            <w:pPr>
              <w:ind w:left="637"/>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施工质量</w:t>
            </w:r>
            <w:r/>
          </w:p>
        </w:tc>
        <w:tc>
          <w:tcPr>
            <w:tcW w:w="2127" w:type="dxa"/>
            <w:vAlign w:val="top"/>
            <w:textDirection w:val="lrTb"/>
            <w:noWrap w:val="false"/>
          </w:tcPr>
          <w:p>
            <w:pPr>
              <w:ind w:left="719"/>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施工人员</w:t>
            </w:r>
            <w:r/>
          </w:p>
          <w:p>
            <w:pPr>
              <w:pStyle w:val="1045"/>
              <w:spacing w:line="299" w:lineRule="auto"/>
              <w:rPr>
                <w:rFonts w:hint="eastAsia" w:ascii="宋体" w:hAnsi="宋体" w:eastAsia="宋体" w:cs="宋体"/>
              </w:rPr>
            </w:pPr>
            <w:r>
              <w:rPr>
                <w:rFonts w:hint="eastAsia" w:ascii="宋体" w:hAnsi="宋体" w:eastAsia="宋体" w:cs="宋体"/>
              </w:rPr>
            </w:r>
            <w:r/>
          </w:p>
          <w:p>
            <w:pPr>
              <w:ind w:left="72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164" w:type="dxa"/>
            <w:vAlign w:val="top"/>
            <w:textDirection w:val="lrTb"/>
            <w:noWrap w:val="false"/>
          </w:tcPr>
          <w:p>
            <w:pPr>
              <w:ind w:left="754"/>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施工设备</w:t>
            </w:r>
            <w:r/>
          </w:p>
          <w:p>
            <w:pPr>
              <w:pStyle w:val="1045"/>
              <w:spacing w:line="299" w:lineRule="auto"/>
              <w:rPr>
                <w:rFonts w:hint="eastAsia" w:ascii="宋体" w:hAnsi="宋体" w:eastAsia="宋体" w:cs="宋体"/>
              </w:rPr>
            </w:pPr>
            <w:r>
              <w:rPr>
                <w:rFonts w:hint="eastAsia" w:ascii="宋体" w:hAnsi="宋体" w:eastAsia="宋体" w:cs="宋体"/>
              </w:rPr>
            </w:r>
            <w:r/>
          </w:p>
          <w:p>
            <w:pPr>
              <w:ind w:left="755"/>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260" w:type="dxa"/>
            <w:vAlign w:val="top"/>
            <w:textDirection w:val="lrTb"/>
            <w:noWrap w:val="false"/>
          </w:tcPr>
          <w:p>
            <w:pPr>
              <w:pStyle w:val="1045"/>
              <w:spacing w:line="257" w:lineRule="auto"/>
              <w:rPr>
                <w:rFonts w:hint="eastAsia" w:ascii="宋体" w:hAnsi="宋体" w:eastAsia="宋体" w:cs="宋体"/>
              </w:rPr>
            </w:pPr>
            <w:r>
              <w:rPr>
                <w:rFonts w:hint="eastAsia" w:ascii="宋体" w:hAnsi="宋体" w:eastAsia="宋体" w:cs="宋体"/>
              </w:rPr>
            </w:r>
            <w:r/>
          </w:p>
          <w:p>
            <w:pPr>
              <w:pStyle w:val="1045"/>
              <w:spacing w:line="257" w:lineRule="auto"/>
              <w:rPr>
                <w:rFonts w:hint="eastAsia" w:ascii="宋体" w:hAnsi="宋体" w:eastAsia="宋体" w:cs="宋体"/>
              </w:rPr>
            </w:pPr>
            <w:r>
              <w:rPr>
                <w:rFonts w:hint="eastAsia" w:ascii="宋体" w:hAnsi="宋体" w:eastAsia="宋体" w:cs="宋体"/>
              </w:rPr>
            </w:r>
            <w:r/>
          </w:p>
          <w:p>
            <w:pPr>
              <w:ind w:left="613"/>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安全文明标准</w:t>
            </w:r>
            <w:r/>
          </w:p>
        </w:tc>
      </w:tr>
      <w:tr>
        <w:trPr>
          <w:trHeight w:val="1119"/>
        </w:trPr>
        <w:tc>
          <w:tcPr>
            <w:tcBorders>
              <w:top w:val="none" w:color="000000" w:sz="4" w:space="0"/>
            </w:tcBorders>
            <w:tcW w:w="1815" w:type="dxa"/>
            <w:vAlign w:val="top"/>
            <w:vMerge w:val="continue"/>
            <w:textDirection w:val="lrTb"/>
            <w:noWrap w:val="false"/>
          </w:tcPr>
          <w:p>
            <w:pPr>
              <w:pStyle w:val="1045"/>
              <w:rPr>
                <w:rFonts w:hint="eastAsia" w:ascii="宋体" w:hAnsi="宋体" w:eastAsia="宋体" w:cs="宋体"/>
              </w:rPr>
            </w:pPr>
            <w:r>
              <w:rPr>
                <w:rFonts w:hint="eastAsia" w:ascii="宋体" w:hAnsi="宋体" w:eastAsia="宋体" w:cs="宋体"/>
              </w:rPr>
            </w:r>
            <w:r/>
          </w:p>
        </w:tc>
        <w:tc>
          <w:tcPr>
            <w:tcW w:w="1972" w:type="dxa"/>
            <w:vAlign w:val="top"/>
            <w:textDirection w:val="lrTb"/>
            <w:noWrap w:val="false"/>
          </w:tcPr>
          <w:p>
            <w:pPr>
              <w:ind w:left="718"/>
              <w:spacing w:before="267" w:line="240"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合格□</w:t>
            </w:r>
            <w:r/>
          </w:p>
          <w:p>
            <w:pPr>
              <w:pStyle w:val="1045"/>
              <w:spacing w:line="259" w:lineRule="auto"/>
              <w:rPr>
                <w:rFonts w:hint="eastAsia" w:ascii="宋体" w:hAnsi="宋体" w:eastAsia="宋体" w:cs="宋体"/>
              </w:rPr>
            </w:pPr>
            <w:r>
              <w:rPr>
                <w:rFonts w:hint="eastAsia" w:ascii="宋体" w:hAnsi="宋体" w:eastAsia="宋体" w:cs="宋体"/>
              </w:rPr>
            </w:r>
            <w:r/>
          </w:p>
          <w:p>
            <w:pPr>
              <w:ind w:left="629"/>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842" w:type="dxa"/>
            <w:vAlign w:val="top"/>
            <w:textDirection w:val="lrTb"/>
            <w:noWrap w:val="false"/>
          </w:tcPr>
          <w:p>
            <w:pPr>
              <w:ind w:left="563"/>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1045"/>
              <w:spacing w:line="259" w:lineRule="auto"/>
              <w:rPr>
                <w:rFonts w:hint="eastAsia" w:ascii="宋体" w:hAnsi="宋体" w:eastAsia="宋体" w:cs="宋体"/>
              </w:rPr>
            </w:pPr>
            <w:r>
              <w:rPr>
                <w:rFonts w:hint="eastAsia" w:ascii="宋体" w:hAnsi="宋体" w:eastAsia="宋体" w:cs="宋体"/>
              </w:rPr>
            </w:r>
            <w:r/>
          </w:p>
          <w:p>
            <w:pPr>
              <w:ind w:left="565"/>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994" w:type="dxa"/>
            <w:vAlign w:val="top"/>
            <w:textDirection w:val="lrTb"/>
            <w:noWrap w:val="false"/>
          </w:tcPr>
          <w:p>
            <w:pPr>
              <w:ind w:left="638"/>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1045"/>
              <w:spacing w:line="259" w:lineRule="auto"/>
              <w:rPr>
                <w:rFonts w:hint="eastAsia" w:ascii="宋体" w:hAnsi="宋体" w:eastAsia="宋体" w:cs="宋体"/>
              </w:rPr>
            </w:pPr>
            <w:r>
              <w:rPr>
                <w:rFonts w:hint="eastAsia" w:ascii="宋体" w:hAnsi="宋体" w:eastAsia="宋体" w:cs="宋体"/>
              </w:rPr>
            </w:r>
            <w:r/>
          </w:p>
          <w:p>
            <w:pPr>
              <w:ind w:left="640"/>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27" w:type="dxa"/>
            <w:vAlign w:val="top"/>
            <w:textDirection w:val="lrTb"/>
            <w:noWrap w:val="false"/>
          </w:tcPr>
          <w:p>
            <w:pPr>
              <w:ind w:left="72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1045"/>
              <w:spacing w:line="259" w:lineRule="auto"/>
              <w:rPr>
                <w:rFonts w:hint="eastAsia" w:ascii="宋体" w:hAnsi="宋体" w:eastAsia="宋体" w:cs="宋体"/>
              </w:rPr>
            </w:pPr>
            <w:r>
              <w:rPr>
                <w:rFonts w:hint="eastAsia" w:ascii="宋体" w:hAnsi="宋体" w:eastAsia="宋体" w:cs="宋体"/>
              </w:rPr>
            </w:r>
            <w:r/>
          </w:p>
          <w:p>
            <w:pPr>
              <w:ind w:left="72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64" w:type="dxa"/>
            <w:vAlign w:val="top"/>
            <w:textDirection w:val="lrTb"/>
            <w:noWrap w:val="false"/>
          </w:tcPr>
          <w:p>
            <w:pPr>
              <w:ind w:left="756"/>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1045"/>
              <w:spacing w:line="259" w:lineRule="auto"/>
              <w:rPr>
                <w:rFonts w:hint="eastAsia" w:ascii="宋体" w:hAnsi="宋体" w:eastAsia="宋体" w:cs="宋体"/>
              </w:rPr>
            </w:pPr>
            <w:r>
              <w:rPr>
                <w:rFonts w:hint="eastAsia" w:ascii="宋体" w:hAnsi="宋体" w:eastAsia="宋体" w:cs="宋体"/>
              </w:rPr>
            </w:r>
            <w:r/>
          </w:p>
          <w:p>
            <w:pPr>
              <w:ind w:left="758"/>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260" w:type="dxa"/>
            <w:vAlign w:val="top"/>
            <w:textDirection w:val="lrTb"/>
            <w:noWrap w:val="false"/>
          </w:tcPr>
          <w:p>
            <w:pPr>
              <w:ind w:left="79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1045"/>
              <w:spacing w:line="259" w:lineRule="auto"/>
              <w:rPr>
                <w:rFonts w:hint="eastAsia" w:ascii="宋体" w:hAnsi="宋体" w:eastAsia="宋体" w:cs="宋体"/>
              </w:rPr>
            </w:pPr>
            <w:r>
              <w:rPr>
                <w:rFonts w:hint="eastAsia" w:ascii="宋体" w:hAnsi="宋体" w:eastAsia="宋体" w:cs="宋体"/>
              </w:rPr>
            </w:r>
            <w:r/>
          </w:p>
          <w:p>
            <w:pPr>
              <w:ind w:left="79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r>
      <w:tr>
        <w:trPr>
          <w:trHeight w:val="854"/>
        </w:trPr>
        <w:tc>
          <w:tcPr>
            <w:tcW w:w="1815" w:type="dxa"/>
            <w:vAlign w:val="top"/>
            <w:textDirection w:val="lrTb"/>
            <w:noWrap w:val="false"/>
          </w:tcPr>
          <w:p>
            <w:pPr>
              <w:ind w:left="369"/>
              <w:spacing w:before="29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采购代理机构</w:t>
            </w:r>
            <w:r/>
          </w:p>
          <w:p>
            <w:pPr>
              <w:ind w:firstLine="352"/>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情况说明</w:t>
            </w:r>
            <w:r/>
          </w:p>
        </w:tc>
        <w:tc>
          <w:tcPr>
            <w:gridSpan w:val="6"/>
            <w:tcW w:w="12359" w:type="dxa"/>
            <w:vAlign w:val="top"/>
            <w:textDirection w:val="lrTb"/>
            <w:noWrap w:val="false"/>
          </w:tcPr>
          <w:p>
            <w:pPr>
              <w:pStyle w:val="1045"/>
              <w:spacing w:line="243" w:lineRule="auto"/>
              <w:rPr>
                <w:rFonts w:hint="eastAsia" w:ascii="宋体" w:hAnsi="宋体" w:eastAsia="宋体" w:cs="宋体"/>
              </w:rPr>
            </w:pPr>
            <w:r>
              <w:rPr>
                <w:rFonts w:hint="eastAsia" w:ascii="宋体" w:hAnsi="宋体" w:eastAsia="宋体" w:cs="宋体"/>
              </w:rPr>
            </w:r>
            <w:r/>
          </w:p>
          <w:p>
            <w:pPr>
              <w:pStyle w:val="1045"/>
              <w:spacing w:line="243" w:lineRule="auto"/>
              <w:rPr>
                <w:rFonts w:hint="eastAsia" w:ascii="宋体" w:hAnsi="宋体" w:eastAsia="宋体" w:cs="宋体"/>
              </w:rPr>
            </w:pPr>
            <w:r>
              <w:rPr>
                <w:rFonts w:hint="eastAsia" w:ascii="宋体" w:hAnsi="宋体" w:eastAsia="宋体" w:cs="宋体"/>
              </w:rPr>
            </w:r>
            <w:r/>
          </w:p>
          <w:p>
            <w:pPr>
              <w:ind w:left="4027"/>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（设计、监理等机构可根据实际情况，出具相关意见）</w:t>
            </w:r>
            <w:r/>
          </w:p>
        </w:tc>
      </w:tr>
      <w:tr>
        <w:trPr>
          <w:trHeight w:val="834"/>
        </w:trPr>
        <w:tc>
          <w:tcPr>
            <w:tcW w:w="1815" w:type="dxa"/>
            <w:vAlign w:val="top"/>
            <w:textDirection w:val="lrTb"/>
            <w:noWrap w:val="false"/>
          </w:tcPr>
          <w:p>
            <w:pPr>
              <w:pStyle w:val="1045"/>
              <w:spacing w:line="241" w:lineRule="auto"/>
              <w:rPr>
                <w:rFonts w:hint="eastAsia" w:ascii="宋体" w:hAnsi="宋体" w:eastAsia="宋体" w:cs="宋体"/>
              </w:rPr>
            </w:pPr>
            <w:r>
              <w:rPr>
                <w:rFonts w:hint="eastAsia" w:ascii="宋体" w:hAnsi="宋体" w:eastAsia="宋体" w:cs="宋体"/>
              </w:rPr>
            </w:r>
            <w:r/>
          </w:p>
          <w:p>
            <w:pPr>
              <w:ind w:left="46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存在问题和</w:t>
            </w:r>
            <w:r/>
          </w:p>
          <w:p>
            <w:pPr>
              <w:ind w:firstLine="516"/>
              <w:spacing w:before="58" w:line="207" w:lineRule="auto"/>
              <w:rPr>
                <w:rFonts w:hint="eastAsia" w:ascii="宋体" w:hAnsi="宋体" w:eastAsia="宋体" w:cs="宋体"/>
                <w:sz w:val="18"/>
                <w:szCs w:val="18"/>
              </w:rPr>
            </w:pPr>
            <w:r>
              <w:rPr>
                <w:rFonts w:hint="eastAsia" w:ascii="宋体" w:hAnsi="宋体" w:eastAsia="宋体" w:cs="宋体"/>
                <w:spacing w:val="-4"/>
                <w:sz w:val="18"/>
                <w:szCs w:val="18"/>
              </w:rPr>
              <w:t xml:space="preserve">改进意见</w:t>
            </w:r>
            <w:r/>
          </w:p>
        </w:tc>
        <w:tc>
          <w:tcPr>
            <w:gridSpan w:val="6"/>
            <w:tcW w:w="12359"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60"/>
        </w:trPr>
        <w:tc>
          <w:tcPr>
            <w:tcW w:w="1815"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p>
            <w:pPr>
              <w:ind w:left="552"/>
              <w:spacing w:before="59"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最终结论</w:t>
            </w:r>
            <w:r/>
          </w:p>
        </w:tc>
        <w:tc>
          <w:tcPr>
            <w:gridSpan w:val="6"/>
            <w:tcW w:w="12359" w:type="dxa"/>
            <w:vAlign w:val="top"/>
            <w:textDirection w:val="lrTb"/>
            <w:noWrap w:val="false"/>
          </w:tcPr>
          <w:p>
            <w:pPr>
              <w:ind w:left="4111"/>
              <w:spacing w:before="270"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合  格□</w:t>
            </w:r>
            <w:r>
              <w:rPr>
                <w:rFonts w:hint="eastAsia" w:ascii="宋体" w:hAnsi="宋体" w:eastAsia="宋体" w:cs="宋体"/>
                <w:position w:val="1"/>
                <w:sz w:val="18"/>
                <w:szCs w:val="18"/>
              </w:rPr>
              <w:t xml:space="preserve">                              </w:t>
            </w:r>
            <w:r>
              <w:rPr>
                <w:rFonts w:hint="eastAsia" w:ascii="宋体" w:hAnsi="宋体" w:eastAsia="宋体" w:cs="宋体"/>
                <w:spacing w:val="-2"/>
                <w:position w:val="1"/>
                <w:sz w:val="18"/>
                <w:szCs w:val="18"/>
              </w:rPr>
              <w:t xml:space="preserve">不合格□</w:t>
            </w:r>
            <w:r/>
          </w:p>
        </w:tc>
      </w:tr>
    </w:tbl>
    <w:p>
      <w:pPr>
        <w:spacing w:line="39" w:lineRule="exact"/>
        <w:rPr>
          <w:rFonts w:hint="eastAsia" w:ascii="宋体" w:hAnsi="宋体" w:eastAsia="宋体" w:cs="宋体"/>
          <w:sz w:val="3"/>
        </w:rPr>
      </w:pPr>
      <w:r>
        <w:rPr>
          <w:rFonts w:hint="eastAsia" w:ascii="宋体" w:hAnsi="宋体" w:eastAsia="宋体" w:cs="宋体"/>
          <w:sz w:val="3"/>
        </w:rPr>
      </w:r>
      <w:r/>
    </w:p>
    <w:p>
      <w:pPr>
        <w:spacing w:line="39" w:lineRule="exact"/>
        <w:rPr>
          <w:rFonts w:hint="eastAsia" w:ascii="宋体" w:hAnsi="宋体" w:eastAsia="宋体" w:cs="宋体"/>
          <w:sz w:val="3"/>
          <w:szCs w:val="3"/>
        </w:rPr>
        <w:sectPr>
          <w:footerReference w:type="default" r:id="rId13"/>
          <w:footnotePr/>
          <w:endnotePr/>
          <w:type w:val="nextPage"/>
          <w:pgSz w:w="16838" w:h="11906" w:orient="landscape"/>
          <w:pgMar w:top="1011" w:right="1329" w:bottom="1424" w:left="1328" w:header="0" w:footer="1122" w:gutter="0"/>
          <w:cols w:num="1" w:sep="0" w:space="720" w:equalWidth="1"/>
          <w:docGrid w:linePitch="360"/>
        </w:sectPr>
      </w:pPr>
      <w:r>
        <w:rPr>
          <w:rFonts w:hint="eastAsia" w:ascii="宋体" w:hAnsi="宋体" w:eastAsia="宋体" w:cs="宋体"/>
          <w:sz w:val="3"/>
          <w:szCs w:val="3"/>
        </w:rPr>
      </w:r>
      <w:r/>
    </w:p>
    <w:p>
      <w:pPr>
        <w:spacing w:before="164"/>
        <w:rPr>
          <w:rFonts w:hint="eastAsia" w:ascii="宋体" w:hAnsi="宋体" w:eastAsia="宋体" w:cs="宋体"/>
        </w:rPr>
      </w:pPr>
      <w:r>
        <w:rPr>
          <w:rFonts w:hint="eastAsia" w:ascii="宋体" w:hAnsi="宋体" w:eastAsia="宋体" w:cs="宋体"/>
        </w:rPr>
      </w:r>
      <w:r/>
    </w:p>
    <w:tbl>
      <w:tblPr>
        <w:tblStyle w:val="1044"/>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4"/>
        <w:gridCol w:w="7117"/>
      </w:tblGrid>
      <w:tr>
        <w:trPr>
          <w:trHeight w:val="567"/>
        </w:trPr>
        <w:tc>
          <w:tcPr>
            <w:tcW w:w="1813" w:type="dxa"/>
            <w:vAlign w:val="top"/>
            <w:textDirection w:val="lrTb"/>
            <w:noWrap w:val="false"/>
          </w:tcPr>
          <w:p>
            <w:pPr>
              <w:ind w:left="189"/>
              <w:spacing w:before="298"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验收小组成员签字</w:t>
            </w:r>
            <w:r/>
          </w:p>
        </w:tc>
        <w:tc>
          <w:tcPr>
            <w:gridSpan w:val="2"/>
            <w:tcW w:w="12361" w:type="dxa"/>
            <w:vAlign w:val="top"/>
            <w:textDirection w:val="lrTb"/>
            <w:noWrap w:val="false"/>
          </w:tcPr>
          <w:p>
            <w:pPr>
              <w:pStyle w:val="1045"/>
              <w:rPr>
                <w:rFonts w:hint="eastAsia" w:ascii="宋体" w:hAnsi="宋体" w:eastAsia="宋体" w:cs="宋体"/>
              </w:rPr>
            </w:pPr>
            <w:r>
              <w:rPr>
                <w:rFonts w:hint="eastAsia" w:ascii="宋体" w:hAnsi="宋体" w:eastAsia="宋体" w:cs="宋体"/>
              </w:rPr>
            </w:r>
            <w:r/>
          </w:p>
        </w:tc>
      </w:tr>
      <w:tr>
        <w:trPr>
          <w:trHeight w:val="559"/>
        </w:trPr>
        <w:tc>
          <w:tcPr>
            <w:gridSpan w:val="2"/>
            <w:tcW w:w="7057" w:type="dxa"/>
            <w:vAlign w:val="top"/>
            <w:textDirection w:val="lrTb"/>
            <w:noWrap w:val="false"/>
          </w:tcPr>
          <w:p>
            <w:pPr>
              <w:ind w:left="2812"/>
              <w:spacing w:before="295"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采购代理机构意见</w:t>
            </w:r>
            <w:r/>
          </w:p>
        </w:tc>
        <w:tc>
          <w:tcPr>
            <w:tcW w:w="7117" w:type="dxa"/>
            <w:vAlign w:val="top"/>
            <w:textDirection w:val="lrTb"/>
            <w:noWrap w:val="false"/>
          </w:tcPr>
          <w:p>
            <w:pPr>
              <w:ind w:left="3111"/>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采购人意见</w:t>
            </w:r>
            <w:r/>
          </w:p>
        </w:tc>
      </w:tr>
      <w:tr>
        <w:trPr>
          <w:trHeight w:val="1118"/>
        </w:trPr>
        <w:tc>
          <w:tcPr>
            <w:gridSpan w:val="2"/>
            <w:tcW w:w="7057" w:type="dxa"/>
            <w:vAlign w:val="top"/>
            <w:textDirection w:val="lrTb"/>
            <w:noWrap w:val="false"/>
          </w:tcPr>
          <w:p>
            <w:pPr>
              <w:pStyle w:val="1045"/>
              <w:spacing w:line="242" w:lineRule="auto"/>
              <w:rPr>
                <w:rFonts w:hint="eastAsia" w:ascii="宋体" w:hAnsi="宋体" w:eastAsia="宋体" w:cs="宋体"/>
              </w:rPr>
            </w:pPr>
            <w:r>
              <w:rPr>
                <w:rFonts w:hint="eastAsia" w:ascii="宋体" w:hAnsi="宋体" w:eastAsia="宋体" w:cs="宋体"/>
              </w:rPr>
            </w:r>
            <w:r/>
          </w:p>
          <w:p>
            <w:pPr>
              <w:pStyle w:val="1045"/>
              <w:spacing w:line="243" w:lineRule="auto"/>
              <w:rPr>
                <w:rFonts w:hint="eastAsia" w:ascii="宋体" w:hAnsi="宋体" w:eastAsia="宋体" w:cs="宋体"/>
              </w:rPr>
            </w:pPr>
            <w:r>
              <w:rPr>
                <w:rFonts w:hint="eastAsia" w:ascii="宋体" w:hAnsi="宋体" w:eastAsia="宋体" w:cs="宋体"/>
              </w:rPr>
            </w:r>
            <w:r/>
          </w:p>
          <w:p>
            <w:pPr>
              <w:ind w:left="114"/>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经办人：         负责人</w:t>
            </w:r>
            <w:r>
              <w:rPr>
                <w:rFonts w:hint="eastAsia" w:ascii="宋体" w:hAnsi="宋体" w:eastAsia="宋体" w:cs="宋体"/>
                <w:spacing w:val="-18"/>
                <w:position w:val="1"/>
                <w:sz w:val="18"/>
                <w:szCs w:val="18"/>
              </w:rPr>
              <w:t xml:space="preserve">：</w:t>
            </w:r>
            <w:r>
              <w:rPr>
                <w:rFonts w:hint="eastAsia" w:ascii="宋体" w:hAnsi="宋体" w:eastAsia="宋体" w:cs="宋体"/>
                <w:spacing w:val="10"/>
                <w:position w:val="1"/>
                <w:sz w:val="18"/>
                <w:szCs w:val="18"/>
              </w:rPr>
              <w:t xml:space="preserve">         </w:t>
            </w:r>
            <w:r>
              <w:rPr>
                <w:rFonts w:hint="eastAsia" w:ascii="宋体" w:hAnsi="宋体" w:eastAsia="宋体" w:cs="宋体"/>
                <w:spacing w:val="-18"/>
                <w:position w:val="1"/>
                <w:sz w:val="18"/>
                <w:szCs w:val="18"/>
              </w:rPr>
              <w:t xml:space="preserve">（</w:t>
            </w:r>
            <w:r>
              <w:rPr>
                <w:rFonts w:hint="eastAsia" w:ascii="宋体" w:hAnsi="宋体" w:eastAsia="宋体" w:cs="宋体"/>
                <w:spacing w:val="1"/>
                <w:position w:val="1"/>
                <w:sz w:val="18"/>
                <w:szCs w:val="18"/>
              </w:rPr>
              <w:t xml:space="preserve">采购代理机构公章）</w:t>
            </w:r>
            <w:r/>
          </w:p>
        </w:tc>
        <w:tc>
          <w:tcPr>
            <w:tcW w:w="7117" w:type="dxa"/>
            <w:vAlign w:val="top"/>
            <w:textDirection w:val="lrTb"/>
            <w:noWrap w:val="false"/>
          </w:tcPr>
          <w:p>
            <w:pPr>
              <w:pStyle w:val="1045"/>
              <w:spacing w:line="254" w:lineRule="auto"/>
              <w:rPr>
                <w:rFonts w:hint="eastAsia" w:ascii="宋体" w:hAnsi="宋体" w:eastAsia="宋体" w:cs="宋体"/>
              </w:rPr>
            </w:pPr>
            <w:r>
              <w:rPr>
                <w:rFonts w:hint="eastAsia" w:ascii="宋体" w:hAnsi="宋体" w:eastAsia="宋体" w:cs="宋体"/>
              </w:rPr>
            </w:r>
            <w:r/>
          </w:p>
          <w:p>
            <w:pPr>
              <w:pStyle w:val="1045"/>
              <w:spacing w:line="255" w:lineRule="auto"/>
              <w:rPr>
                <w:rFonts w:hint="eastAsia" w:ascii="宋体" w:hAnsi="宋体" w:eastAsia="宋体" w:cs="宋体"/>
              </w:rPr>
            </w:pPr>
            <w:r>
              <w:rPr>
                <w:rFonts w:hint="eastAsia" w:ascii="宋体" w:hAnsi="宋体" w:eastAsia="宋体" w:cs="宋体"/>
              </w:rPr>
            </w:r>
            <w:r/>
          </w:p>
          <w:p>
            <w:pPr>
              <w:pStyle w:val="1045"/>
              <w:spacing w:line="255" w:lineRule="auto"/>
              <w:rPr>
                <w:rFonts w:hint="eastAsia" w:ascii="宋体" w:hAnsi="宋体" w:eastAsia="宋体" w:cs="宋体"/>
              </w:rPr>
            </w:pPr>
            <w:r>
              <w:rPr>
                <w:rFonts w:hint="eastAsia" w:ascii="宋体" w:hAnsi="宋体" w:eastAsia="宋体" w:cs="宋体"/>
              </w:rPr>
            </w:r>
            <w:r/>
          </w:p>
          <w:p>
            <w:pPr>
              <w:ind w:left="113"/>
              <w:spacing w:before="58"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经办人：       负责人</w:t>
            </w:r>
            <w:r>
              <w:rPr>
                <w:rFonts w:hint="eastAsia" w:ascii="宋体" w:hAnsi="宋体" w:eastAsia="宋体" w:cs="宋体"/>
                <w:spacing w:val="-25"/>
                <w:position w:val="1"/>
                <w:sz w:val="18"/>
                <w:szCs w:val="18"/>
              </w:rPr>
              <w:t xml:space="preserve">：</w:t>
            </w:r>
            <w:r>
              <w:rPr>
                <w:rFonts w:hint="eastAsia" w:ascii="宋体" w:hAnsi="宋体" w:eastAsia="宋体" w:cs="宋体"/>
                <w:spacing w:val="6"/>
                <w:position w:val="1"/>
                <w:sz w:val="18"/>
                <w:szCs w:val="18"/>
              </w:rPr>
              <w:t xml:space="preserve">              </w:t>
            </w:r>
            <w:r>
              <w:rPr>
                <w:rFonts w:hint="eastAsia" w:ascii="宋体" w:hAnsi="宋体" w:eastAsia="宋体" w:cs="宋体"/>
                <w:spacing w:val="-25"/>
                <w:position w:val="1"/>
                <w:sz w:val="18"/>
                <w:szCs w:val="18"/>
              </w:rPr>
              <w:t xml:space="preserve">（</w:t>
            </w:r>
            <w:r>
              <w:rPr>
                <w:rFonts w:hint="eastAsia" w:ascii="宋体" w:hAnsi="宋体" w:eastAsia="宋体" w:cs="宋体"/>
                <w:spacing w:val="2"/>
                <w:position w:val="1"/>
                <w:sz w:val="18"/>
                <w:szCs w:val="18"/>
              </w:rPr>
              <w:t xml:space="preserve">采购人公章）</w:t>
            </w:r>
            <w:r/>
          </w:p>
        </w:tc>
      </w:tr>
      <w:tr>
        <w:trPr>
          <w:trHeight w:val="1680"/>
        </w:trPr>
        <w:tc>
          <w:tcPr>
            <w:gridSpan w:val="3"/>
            <w:tcW w:w="14174" w:type="dxa"/>
            <w:vAlign w:val="top"/>
            <w:textDirection w:val="lrTb"/>
            <w:noWrap w:val="false"/>
          </w:tcPr>
          <w:p>
            <w:pPr>
              <w:ind w:left="113"/>
              <w:spacing w:before="29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供应商确认：</w:t>
            </w:r>
            <w:r/>
          </w:p>
          <w:p>
            <w:pPr>
              <w:pStyle w:val="1045"/>
              <w:spacing w:line="275" w:lineRule="auto"/>
              <w:rPr>
                <w:rFonts w:hint="eastAsia" w:ascii="宋体" w:hAnsi="宋体" w:eastAsia="宋体" w:cs="宋体"/>
              </w:rPr>
            </w:pPr>
            <w:r>
              <w:rPr>
                <w:rFonts w:hint="eastAsia" w:ascii="宋体" w:hAnsi="宋体" w:eastAsia="宋体" w:cs="宋体"/>
              </w:rPr>
            </w:r>
            <w:r/>
          </w:p>
          <w:p>
            <w:pPr>
              <w:pStyle w:val="1045"/>
              <w:spacing w:line="275" w:lineRule="auto"/>
              <w:rPr>
                <w:rFonts w:hint="eastAsia" w:ascii="宋体" w:hAnsi="宋体" w:eastAsia="宋体" w:cs="宋体"/>
              </w:rPr>
            </w:pPr>
            <w:r>
              <w:rPr>
                <w:rFonts w:hint="eastAsia" w:ascii="宋体" w:hAnsi="宋体" w:eastAsia="宋体" w:cs="宋体"/>
              </w:rPr>
            </w:r>
            <w:r/>
          </w:p>
          <w:p>
            <w:pPr>
              <w:pStyle w:val="1045"/>
              <w:spacing w:line="275" w:lineRule="auto"/>
              <w:rPr>
                <w:rFonts w:hint="eastAsia" w:ascii="宋体" w:hAnsi="宋体" w:eastAsia="宋体" w:cs="宋体"/>
              </w:rPr>
            </w:pPr>
            <w:r>
              <w:rPr>
                <w:rFonts w:hint="eastAsia" w:ascii="宋体" w:hAnsi="宋体" w:eastAsia="宋体" w:cs="宋体"/>
              </w:rPr>
            </w:r>
            <w:r/>
          </w:p>
          <w:p>
            <w:pPr>
              <w:ind w:left="118"/>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（单位公章或授权代表签字）</w:t>
            </w:r>
            <w:r/>
          </w:p>
        </w:tc>
      </w:tr>
    </w:tbl>
    <w:p>
      <w:pPr>
        <w:ind w:left="98"/>
        <w:spacing w:before="267" w:line="239" w:lineRule="exact"/>
        <w:rPr>
          <w:rFonts w:hint="eastAsia" w:ascii="宋体" w:hAnsi="宋体" w:eastAsia="宋体" w:cs="宋体"/>
          <w:sz w:val="20"/>
          <w:szCs w:val="20"/>
        </w:rPr>
      </w:pPr>
      <w:r>
        <w:rPr>
          <w:rFonts w:hint="eastAsia" w:ascii="宋体" w:hAnsi="宋体" w:eastAsia="宋体" w:cs="宋体"/>
          <w:position w:val="1"/>
          <w:sz w:val="20"/>
          <w:szCs w:val="20"/>
        </w:rPr>
        <w:t xml:space="preserve">说明：1.该表为工程类项目履约验收的参考样表，采购人或采购代理机构可以</w:t>
      </w:r>
      <w:r>
        <w:rPr>
          <w:rFonts w:hint="eastAsia" w:ascii="宋体" w:hAnsi="宋体" w:eastAsia="宋体" w:cs="宋体"/>
          <w:spacing w:val="-1"/>
          <w:position w:val="1"/>
          <w:sz w:val="20"/>
          <w:szCs w:val="20"/>
        </w:rPr>
        <w:t xml:space="preserve">根据工作实际进行调整。</w:t>
      </w:r>
      <w:r/>
    </w:p>
    <w:p>
      <w:pPr>
        <w:spacing w:line="262" w:lineRule="auto"/>
        <w:rPr>
          <w:rFonts w:hint="eastAsia" w:ascii="宋体" w:hAnsi="宋体" w:eastAsia="宋体" w:cs="宋体"/>
          <w:sz w:val="22"/>
          <w:szCs w:val="28"/>
        </w:rPr>
      </w:pPr>
      <w:r>
        <w:rPr>
          <w:rFonts w:hint="eastAsia" w:ascii="宋体" w:hAnsi="宋体" w:eastAsia="宋体" w:cs="宋体"/>
          <w:sz w:val="22"/>
          <w:szCs w:val="28"/>
        </w:rPr>
      </w:r>
      <w:r/>
    </w:p>
    <w:p>
      <w:pPr>
        <w:ind w:left="638"/>
        <w:spacing w:before="59" w:line="238" w:lineRule="exact"/>
        <w:rPr>
          <w:rFonts w:hint="eastAsia" w:ascii="宋体" w:hAnsi="宋体" w:eastAsia="宋体" w:cs="宋体"/>
          <w:sz w:val="20"/>
          <w:szCs w:val="20"/>
        </w:rPr>
        <w:outlineLvl w:val="1"/>
      </w:pPr>
      <w:r>
        <w:rPr>
          <w:rFonts w:hint="eastAsia" w:ascii="宋体" w:hAnsi="宋体" w:eastAsia="宋体" w:cs="宋体"/>
          <w:position w:val="1"/>
          <w:sz w:val="20"/>
          <w:szCs w:val="20"/>
        </w:rPr>
        <w:t xml:space="preserve">2.未委托采购代理机构开展履约验收工作的，无需填写“</w:t>
      </w:r>
      <w:r>
        <w:rPr>
          <w:rFonts w:hint="eastAsia" w:ascii="宋体" w:hAnsi="宋体" w:eastAsia="宋体" w:cs="宋体"/>
          <w:spacing w:val="-1"/>
          <w:position w:val="1"/>
          <w:sz w:val="20"/>
          <w:szCs w:val="20"/>
        </w:rPr>
        <w:t xml:space="preserve">采购代理机构意见</w:t>
      </w:r>
      <w:r>
        <w:rPr>
          <w:rFonts w:hint="eastAsia" w:ascii="宋体" w:hAnsi="宋体" w:eastAsia="宋体" w:cs="宋体"/>
          <w:spacing w:val="-66"/>
          <w:position w:val="1"/>
          <w:sz w:val="20"/>
          <w:szCs w:val="20"/>
        </w:rPr>
        <w:t xml:space="preserve"> </w:t>
      </w:r>
      <w:r>
        <w:rPr>
          <w:rFonts w:hint="eastAsia" w:ascii="宋体" w:hAnsi="宋体" w:eastAsia="宋体" w:cs="宋体"/>
          <w:spacing w:val="-1"/>
          <w:position w:val="1"/>
          <w:sz w:val="20"/>
          <w:szCs w:val="20"/>
        </w:rPr>
        <w:t xml:space="preserve">”。</w:t>
      </w:r>
      <w:r/>
    </w:p>
    <w:p>
      <w:pPr>
        <w:jc w:val="both"/>
        <w:pageBreakBefore w:val="0"/>
        <w:spacing w:line="380" w:lineRule="exact"/>
        <w:rPr>
          <w:rFonts w:hint="eastAsia" w:ascii="宋体" w:hAnsi="宋体" w:eastAsia="宋体" w:cs="宋体"/>
          <w:b/>
          <w:color w:val="auto"/>
          <w:sz w:val="44"/>
          <w:szCs w:val="44"/>
          <w:highlight w:val="none"/>
          <w:lang w:val="en-US" w:eastAsia="zh-CN"/>
        </w:rPr>
        <w:sectPr>
          <w:footnotePr/>
          <w:endnotePr/>
          <w:type w:val="nextPage"/>
          <w:pgSz w:w="16838" w:h="11906" w:orient="landscape"/>
          <w:pgMar w:top="1474" w:right="1440" w:bottom="1474" w:left="1440" w:header="851" w:footer="992" w:gutter="0"/>
          <w:cols w:num="1" w:sep="0" w:space="720" w:equalWidth="1"/>
          <w:docGrid w:linePitch="360"/>
        </w:sectPr>
      </w:pPr>
      <w:r>
        <w:rPr>
          <w:rFonts w:hint="eastAsia" w:ascii="宋体" w:hAnsi="宋体" w:eastAsia="宋体" w:cs="宋体"/>
          <w:b/>
          <w:color w:val="auto"/>
          <w:sz w:val="44"/>
          <w:szCs w:val="44"/>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center"/>
        <w:pageBreakBefore w:val="0"/>
        <w:spacing w:line="380" w:lineRule="exact"/>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 xml:space="preserve">第 六 章</w:t>
      </w:r>
      <w:r/>
    </w:p>
    <w:p>
      <w:pPr>
        <w:pStyle w:val="101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9"/>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1019"/>
        <w:numPr>
          <w:ilvl w:val="0"/>
          <w:numId w:val="0"/>
        </w:numPr>
        <w:jc w:val="center"/>
        <w:pageBreakBefore w:val="0"/>
        <w:spacing w:line="38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响  应  文  件</w:t>
      </w:r>
      <w:r/>
    </w:p>
    <w:p>
      <w:pPr>
        <w:pStyle w:val="1019"/>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19"/>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 目 名 称：               </w:t>
      </w:r>
      <w:r/>
    </w:p>
    <w:p>
      <w:pPr>
        <w:jc w:val="center"/>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 目</w:t>
      </w:r>
      <w:r>
        <w:rPr>
          <w:rFonts w:hint="eastAsia" w:ascii="宋体" w:hAnsi="宋体" w:eastAsia="宋体" w:cs="宋体"/>
          <w:b/>
          <w:bCs/>
          <w:color w:val="auto"/>
          <w:sz w:val="32"/>
          <w:szCs w:val="32"/>
          <w:highlight w:val="none"/>
        </w:rPr>
        <w:t xml:space="preserve"> 编 号：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供应商名称：（加盖公章）</w:t>
      </w:r>
      <w:r/>
    </w:p>
    <w:p>
      <w:pPr>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 xml:space="preserve">日    期 ：         </w:t>
      </w: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20"/>
        <w:ind w:right="-2" w:firstLine="0"/>
        <w:pageBreakBefore w:val="0"/>
        <w:spacing w:line="380" w:lineRule="exact"/>
        <w:tabs>
          <w:tab w:val="left" w:pos="42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1020"/>
        <w:ind w:right="-2" w:firstLine="0"/>
        <w:jc w:val="center"/>
        <w:pageBreakBefore w:val="0"/>
        <w:spacing w:line="380" w:lineRule="exact"/>
        <w:tabs>
          <w:tab w:val="left" w:pos="420" w:leader="none"/>
        </w:tabs>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3769"/>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 xml:space="preserve">一、磋商函</w:t>
      </w:r>
      <w:r/>
    </w:p>
    <w:p>
      <w:pPr>
        <w:pStyle w:val="1046"/>
        <w:ind w:firstLine="560"/>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pStyle w:val="1046"/>
        <w:ind w:firstLine="70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名称），全权处理本次项目投标的有关事宜。</w:t>
      </w:r>
      <w:r/>
    </w:p>
    <w:p>
      <w:pPr>
        <w:pStyle w:val="1046"/>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1、我单位经现场勘察和研究按上述磋商文件、合同条款、工程建设标准、图纸、工程量清单和其他文件后我方愿以磋商报价为【大写:人民币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）】的磋商报价承包上述工程的施工、竣工和承担任何质量缺陷的保修责任。</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2、一旦我方成交，我方保证在收到采购单位发出的书面开工令后立即开工，将派出项目负责人（</w:t>
      </w:r>
      <w:r>
        <w:rPr>
          <w:rFonts w:hint="eastAsia" w:ascii="宋体" w:hAnsi="宋体" w:eastAsia="宋体" w:cs="宋体"/>
          <w:color w:val="auto"/>
          <w:sz w:val="24"/>
          <w:szCs w:val="22"/>
          <w:highlight w:val="none"/>
          <w:u w:val="single"/>
          <w:lang w:val="en-US" w:eastAsia="zh-CN"/>
        </w:rPr>
        <w:t xml:space="preserve">姓名    </w:t>
      </w:r>
      <w:r>
        <w:rPr>
          <w:rFonts w:hint="eastAsia" w:ascii="宋体" w:hAnsi="宋体" w:eastAsia="宋体" w:cs="宋体"/>
          <w:color w:val="auto"/>
          <w:sz w:val="24"/>
          <w:szCs w:val="22"/>
          <w:highlight w:val="none"/>
          <w:lang w:val="en-US" w:eastAsia="zh-CN"/>
        </w:rPr>
        <w:t xml:space="preserve">）作为本工程的项目负责人，并保证质量达到采购文件所要求的标准，在</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天内竣工并移交整个工程。</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没有为本项目提供整体设计、规范编制或者项目管理、监理、检测等服务。</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046"/>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、我们接受招标文件的所有的条款和规定。</w:t>
      </w:r>
      <w:r/>
    </w:p>
    <w:p>
      <w:pPr>
        <w:pStyle w:val="1046"/>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、我们同意按照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文件第二章</w:t>
      </w:r>
      <w:r>
        <w:rPr>
          <w:rFonts w:hint="eastAsia" w:ascii="宋体" w:hAnsi="宋体" w:eastAsia="宋体" w:cs="宋体"/>
          <w:color w:val="auto"/>
          <w:sz w:val="24"/>
          <w:szCs w:val="24"/>
          <w:highlight w:val="none"/>
          <w:lang w:val="en-US" w:eastAsia="zh-CN"/>
        </w:rPr>
        <w:t xml:space="preserve">供应商须知</w:t>
      </w: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条的规定，本投标文件的有效期为从开标</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046"/>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、我们理解，你们无义务必须接受投标价最低的投标。同时也理解你们不承担我们本次投标的费用。</w:t>
      </w:r>
      <w:r/>
    </w:p>
    <w:p>
      <w:pPr>
        <w:pStyle w:val="1046"/>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、我们同意向贵方提供贵方可能要求的与投标有关的任何证据或资料，并保证所提供的都是真实的、准确的。</w:t>
      </w:r>
      <w:r/>
    </w:p>
    <w:p>
      <w:pPr>
        <w:pStyle w:val="1046"/>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、一旦我方中标，我方将根据</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文件的规定，严格履行合同的责任和义务，并保证</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文件中规定的时间内供货，并完成项目的施工、调试、交付买方验收、使用。</w:t>
      </w:r>
      <w:r/>
    </w:p>
    <w:p>
      <w:pPr>
        <w:pStyle w:val="1046"/>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sz w:val="24"/>
          <w:szCs w:val="22"/>
          <w:highlight w:val="none"/>
        </w:rPr>
        <w:t xml:space="preserve">（电子签章）</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1046"/>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right="56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019"/>
        <w:ind w:right="560"/>
        <w:jc w:val="left"/>
        <w:keepLines w:val="0"/>
        <w:keepNext w:val="0"/>
        <w:pageBreakBefore w:val="0"/>
        <w:spacing w:line="380" w:lineRule="exact"/>
        <w:widowControl w:val="off"/>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22"/>
          <w:highlight w:val="none"/>
          <w:lang w:val="en-US" w:eastAsia="zh-CN"/>
        </w:rPr>
        <w:t xml:space="preserve">或受托人</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r/>
    </w:p>
    <w:p>
      <w:pPr>
        <w:pStyle w:val="1019"/>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1019"/>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pStyle w:val="1019"/>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二、开标一览表</w:t>
      </w:r>
      <w:r/>
    </w:p>
    <w:p>
      <w:pPr>
        <w:ind w:firstLine="3036"/>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25"/>
        <w:keepLines w:val="0"/>
        <w:keepNext w:val="0"/>
        <w:pageBreakBefore w:val="0"/>
        <w:spacing w:line="380" w:lineRule="exact"/>
        <w:widowControl/>
        <w:rPr>
          <w:rFonts w:hint="eastAsia" w:ascii="宋体" w:hAnsi="宋体" w:eastAsia="宋体" w:cs="宋体"/>
          <w:color w:val="auto"/>
          <w:highlight w:val="none"/>
          <w:lang w:eastAsia="zh-CN"/>
        </w:rPr>
        <w:suppressLineNumbers w:val="0"/>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1025"/>
        <w:keepLines w:val="0"/>
        <w:keepNext w:val="0"/>
        <w:pageBreakBefore w:val="0"/>
        <w:spacing w:line="380" w:lineRule="exact"/>
        <w:widowControl/>
        <w:rPr>
          <w:rFonts w:hint="eastAsia" w:ascii="宋体" w:hAnsi="宋体" w:eastAsia="宋体" w:cs="宋体"/>
          <w:color w:val="auto"/>
          <w:highlight w:val="none"/>
          <w:u w:val="single"/>
          <w:lang w:val="en-US" w:eastAsia="zh-CN"/>
        </w:rPr>
        <w:suppressLineNumbers w:val="0"/>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lang w:val="en-US" w:eastAsia="zh-CN"/>
        </w:rPr>
        <w:t xml:space="preserve">                         </w:t>
      </w:r>
      <w:r/>
    </w:p>
    <w:p>
      <w:pPr>
        <w:pStyle w:val="1025"/>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lang w:val="en-US" w:eastAsia="zh-CN"/>
        </w:rPr>
        <w:t xml:space="preserve">                    </w:t>
      </w:r>
      <w:r/>
    </w:p>
    <w:p>
      <w:pPr>
        <w:pStyle w:val="1025"/>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1011"/>
        <w:tblW w:w="4019" w:type="pct"/>
        <w:tblInd w:w="75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60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小写：          （大写人民币：      ）</w:t>
            </w:r>
            <w:r/>
          </w:p>
        </w:tc>
      </w:tr>
    </w:tbl>
    <w:p>
      <w:pPr>
        <w:pStyle w:val="1025"/>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ind w:firstLine="4080"/>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电子签章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1025"/>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1025"/>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1025"/>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p>
    <w:p>
      <w:pPr>
        <w:jc w:val="both"/>
        <w:pageBreakBefore w:val="0"/>
        <w:spacing w:line="380" w:lineRule="exact"/>
        <w:rPr>
          <w:rFonts w:hint="eastAsia" w:ascii="宋体" w:hAnsi="宋体" w:eastAsia="宋体" w:cs="宋体"/>
          <w:b w:val="0"/>
          <w:bCs w:val="0"/>
          <w:color w:val="auto"/>
          <w:sz w:val="32"/>
          <w:szCs w:val="40"/>
          <w:highlight w:val="none"/>
          <w:lang w:val="en-US" w:eastAsia="zh-CN"/>
        </w:rPr>
      </w:pPr>
      <w:r>
        <w:rPr>
          <w:rFonts w:hint="eastAsia" w:ascii="宋体" w:hAnsi="宋体" w:eastAsia="宋体" w:cs="宋体"/>
          <w:b w:val="0"/>
          <w:bCs w:val="0"/>
          <w:color w:val="auto"/>
          <w:sz w:val="32"/>
          <w:szCs w:val="40"/>
          <w:highlight w:val="none"/>
          <w:lang w:val="en-US" w:eastAsia="zh-CN"/>
        </w:rPr>
        <w:t xml:space="preserve"> </w:t>
      </w:r>
      <w:r/>
    </w:p>
    <w:p>
      <w:pPr>
        <w:jc w:val="both"/>
        <w:pageBreakBefore w:val="0"/>
        <w:spacing w:line="380" w:lineRule="exact"/>
        <w:rPr>
          <w:rFonts w:hint="eastAsia" w:ascii="宋体" w:hAnsi="宋体" w:eastAsia="宋体" w:cs="宋体"/>
          <w:b w:val="0"/>
          <w:bCs w:val="0"/>
          <w:color w:val="auto"/>
          <w:sz w:val="32"/>
          <w:szCs w:val="40"/>
          <w:highlight w:val="none"/>
          <w:lang w:val="en-US" w:eastAsia="zh-CN"/>
        </w:rPr>
      </w:pPr>
      <w:r>
        <w:rPr>
          <w:rFonts w:hint="eastAsia" w:ascii="宋体" w:hAnsi="宋体" w:eastAsia="宋体" w:cs="宋体"/>
          <w:b w:val="0"/>
          <w:bCs w:val="0"/>
          <w:color w:val="auto"/>
          <w:sz w:val="32"/>
          <w:szCs w:val="40"/>
          <w:highlight w:val="none"/>
          <w:lang w:val="en-US" w:eastAsia="zh-CN"/>
        </w:rPr>
      </w:r>
      <w:r/>
    </w:p>
    <w:p>
      <w:pPr>
        <w:jc w:val="both"/>
        <w:pageBreakBefore w:val="0"/>
        <w:spacing w:line="380" w:lineRule="exact"/>
        <w:rPr>
          <w:rFonts w:hint="eastAsia" w:ascii="宋体" w:hAnsi="宋体" w:eastAsia="宋体" w:cs="宋体"/>
          <w:b w:val="0"/>
          <w:bCs w:val="0"/>
          <w:color w:val="auto"/>
          <w:sz w:val="32"/>
          <w:szCs w:val="40"/>
          <w:highlight w:val="none"/>
          <w:lang w:val="en-US" w:eastAsia="zh-CN"/>
        </w:rPr>
      </w:pPr>
      <w:r>
        <w:rPr>
          <w:rFonts w:hint="eastAsia" w:ascii="宋体" w:hAnsi="宋体" w:eastAsia="宋体" w:cs="宋体"/>
          <w:b w:val="0"/>
          <w:bCs w:val="0"/>
          <w:color w:val="auto"/>
          <w:sz w:val="32"/>
          <w:szCs w:val="40"/>
          <w:highlight w:val="none"/>
          <w:lang w:val="en-US" w:eastAsia="zh-CN"/>
        </w:rPr>
      </w:r>
      <w:r/>
    </w:p>
    <w:p>
      <w:pPr>
        <w:jc w:val="both"/>
        <w:pageBreakBefore w:val="0"/>
        <w:spacing w:line="380" w:lineRule="exact"/>
        <w:rPr>
          <w:rFonts w:hint="eastAsia" w:ascii="宋体" w:hAnsi="宋体" w:eastAsia="宋体" w:cs="宋体"/>
          <w:b w:val="0"/>
          <w:bCs w:val="0"/>
          <w:color w:val="auto"/>
          <w:sz w:val="32"/>
          <w:szCs w:val="40"/>
          <w:highlight w:val="none"/>
          <w:lang w:val="en-US" w:eastAsia="zh-CN"/>
        </w:rPr>
      </w:pPr>
      <w:r>
        <w:rPr>
          <w:rFonts w:hint="eastAsia" w:ascii="宋体" w:hAnsi="宋体" w:eastAsia="宋体" w:cs="宋体"/>
          <w:b w:val="0"/>
          <w:bCs w:val="0"/>
          <w:color w:val="auto"/>
          <w:sz w:val="32"/>
          <w:szCs w:val="40"/>
          <w:highlight w:val="none"/>
          <w:lang w:val="en-US" w:eastAsia="zh-CN"/>
        </w:rPr>
      </w:r>
      <w:r/>
    </w:p>
    <w:p>
      <w:pPr>
        <w:ind w:firstLine="2560"/>
        <w:jc w:val="both"/>
        <w:pageBreakBefore w:val="0"/>
        <w:spacing w:line="380" w:lineRule="exact"/>
        <w:rPr>
          <w:rFonts w:hint="eastAsia" w:ascii="宋体" w:hAnsi="宋体" w:eastAsia="宋体" w:cs="宋体"/>
          <w:b/>
          <w:bCs/>
          <w:sz w:val="32"/>
          <w:szCs w:val="32"/>
          <w:lang w:val="en-US" w:eastAsia="zh-CN"/>
        </w:rPr>
      </w:pPr>
      <w:r>
        <w:rPr>
          <w:rFonts w:hint="eastAsia" w:ascii="宋体" w:hAnsi="宋体" w:cs="宋体"/>
          <w:b w:val="0"/>
          <w:bCs w:val="0"/>
          <w:color w:val="auto"/>
          <w:sz w:val="32"/>
          <w:szCs w:val="40"/>
          <w:highlight w:val="none"/>
          <w:lang w:val="en-US" w:eastAsia="zh-CN"/>
        </w:rPr>
        <w:t xml:space="preserve">三、</w:t>
      </w:r>
      <w:r>
        <w:rPr>
          <w:rFonts w:ascii="宋体" w:hAnsi="宋体" w:eastAsia="宋体" w:cs="宋体"/>
          <w:b/>
          <w:bCs/>
          <w:spacing w:val="1"/>
          <w:sz w:val="30"/>
          <w:szCs w:val="30"/>
        </w:rPr>
        <w:t xml:space="preserve">全费用工程量清单与计价表</w:t>
      </w:r>
      <w:r>
        <w:rPr>
          <w:rFonts w:hint="eastAsia" w:ascii="宋体" w:hAnsi="宋体" w:eastAsia="宋体" w:cs="宋体"/>
          <w:b/>
          <w:bCs/>
          <w:spacing w:val="1"/>
          <w:sz w:val="30"/>
          <w:szCs w:val="30"/>
          <w:lang w:eastAsia="zh-CN"/>
        </w:rPr>
        <w:t xml:space="preserve">（</w:t>
      </w:r>
      <w:r>
        <w:rPr>
          <w:rFonts w:ascii="宋体" w:hAnsi="宋体" w:eastAsia="宋体" w:cs="宋体"/>
          <w:b/>
          <w:bCs/>
          <w:spacing w:val="1"/>
          <w:sz w:val="30"/>
          <w:szCs w:val="30"/>
        </w:rPr>
        <w:t xml:space="preserve">清单</w:t>
      </w:r>
      <w:r>
        <w:rPr>
          <w:rFonts w:hint="eastAsia" w:ascii="宋体" w:hAnsi="宋体" w:eastAsia="宋体" w:cs="宋体"/>
          <w:b/>
          <w:bCs/>
          <w:spacing w:val="1"/>
          <w:sz w:val="30"/>
          <w:szCs w:val="30"/>
          <w:lang w:eastAsia="zh-CN"/>
        </w:rPr>
        <w:t xml:space="preserve">）</w:t>
      </w:r>
      <w:r/>
    </w:p>
    <w:p>
      <w:pPr>
        <w:jc w:val="both"/>
        <w:spacing w:line="520" w:lineRule="exact"/>
        <w:rPr>
          <w:rFonts w:hint="default" w:ascii="宋体" w:hAnsi="宋体" w:eastAsia="黑体" w:cs="宋体"/>
          <w:b/>
          <w:bCs/>
          <w:sz w:val="32"/>
          <w:szCs w:val="32"/>
          <w:lang w:val="en-US" w:eastAsia="zh-CN"/>
        </w:rPr>
        <w:outlineLvl w:val="0"/>
      </w:pPr>
      <w:r>
        <w:rPr>
          <w:rFonts w:ascii="黑体" w:hAnsi="黑体" w:eastAsia="黑体" w:cs="黑体"/>
          <w:b/>
          <w:bCs/>
          <w:spacing w:val="-1"/>
          <w:sz w:val="17"/>
          <w:szCs w:val="17"/>
        </w:rPr>
        <w:t xml:space="preserve">工程名称：公益性公墓改造工程</w:t>
      </w:r>
      <w:r>
        <w:rPr>
          <w:rFonts w:hint="eastAsia" w:ascii="黑体" w:hAnsi="黑体" w:eastAsia="黑体" w:cs="黑体"/>
          <w:b/>
          <w:bCs/>
          <w:spacing w:val="-1"/>
          <w:sz w:val="17"/>
          <w:szCs w:val="17"/>
          <w:lang w:val="en-US" w:eastAsia="zh-CN"/>
        </w:rPr>
        <w:t xml:space="preserve">                                                                 第1页 共5页</w:t>
      </w:r>
      <w:r/>
    </w:p>
    <w:tbl>
      <w:tblPr>
        <w:tblStyle w:val="1044"/>
        <w:tblW w:w="1013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188"/>
        <w:gridCol w:w="1414"/>
        <w:gridCol w:w="1504"/>
        <w:gridCol w:w="899"/>
        <w:gridCol w:w="854"/>
        <w:gridCol w:w="1061"/>
        <w:gridCol w:w="1250"/>
        <w:gridCol w:w="1120"/>
      </w:tblGrid>
      <w:tr>
        <w:trPr>
          <w:trHeight w:val="442"/>
        </w:trPr>
        <w:tc>
          <w:tcPr>
            <w:tcBorders>
              <w:top w:val="single" w:color="000000" w:sz="10" w:space="0"/>
              <w:left w:val="single" w:color="000000" w:sz="10" w:space="0"/>
              <w:bottom w:val="none" w:color="000000" w:sz="4" w:space="0"/>
            </w:tcBorders>
            <w:tcW w:w="845" w:type="dxa"/>
            <w:vAlign w:val="top"/>
            <w:vMerge w:val="restart"/>
            <w:textDirection w:val="lrTb"/>
            <w:noWrap w:val="false"/>
          </w:tcPr>
          <w:p>
            <w:pPr>
              <w:pStyle w:val="1045"/>
              <w:spacing w:line="396" w:lineRule="auto"/>
            </w:pPr>
            <w:r/>
            <w:r/>
          </w:p>
          <w:p>
            <w:pPr>
              <w:ind w:left="211"/>
              <w:spacing w:before="65" w:line="222" w:lineRule="auto"/>
              <w:rPr>
                <w:rFonts w:ascii="宋体" w:hAnsi="宋体" w:eastAsia="宋体" w:cs="宋体"/>
                <w:sz w:val="20"/>
                <w:szCs w:val="20"/>
              </w:rPr>
            </w:pPr>
            <w:r>
              <w:rPr>
                <w:rFonts w:ascii="宋体" w:hAnsi="宋体" w:eastAsia="宋体" w:cs="宋体"/>
                <w:b/>
                <w:bCs/>
                <w:spacing w:val="-4"/>
                <w:sz w:val="20"/>
                <w:szCs w:val="20"/>
              </w:rPr>
              <w:t xml:space="preserve">序号</w:t>
            </w:r>
            <w:r/>
          </w:p>
        </w:tc>
        <w:tc>
          <w:tcPr>
            <w:tcBorders>
              <w:top w:val="single" w:color="000000" w:sz="10" w:space="0"/>
              <w:bottom w:val="none" w:color="000000" w:sz="4" w:space="0"/>
            </w:tcBorders>
            <w:tcW w:w="1188" w:type="dxa"/>
            <w:vAlign w:val="top"/>
            <w:vMerge w:val="restart"/>
            <w:textDirection w:val="lrTb"/>
            <w:noWrap w:val="false"/>
          </w:tcPr>
          <w:p>
            <w:pPr>
              <w:pStyle w:val="1045"/>
              <w:spacing w:line="396" w:lineRule="auto"/>
            </w:pPr>
            <w:r/>
            <w:r/>
          </w:p>
          <w:p>
            <w:pPr>
              <w:ind w:left="189"/>
              <w:spacing w:before="65" w:line="220" w:lineRule="auto"/>
              <w:rPr>
                <w:rFonts w:ascii="宋体" w:hAnsi="宋体" w:eastAsia="宋体" w:cs="宋体"/>
                <w:sz w:val="20"/>
                <w:szCs w:val="20"/>
              </w:rPr>
            </w:pPr>
            <w:r>
              <w:rPr>
                <w:rFonts w:ascii="宋体" w:hAnsi="宋体" w:eastAsia="宋体" w:cs="宋体"/>
                <w:b/>
                <w:bCs/>
                <w:spacing w:val="-4"/>
                <w:sz w:val="20"/>
                <w:szCs w:val="20"/>
              </w:rPr>
              <w:t xml:space="preserve">项目编码</w:t>
            </w:r>
            <w:r/>
          </w:p>
        </w:tc>
        <w:tc>
          <w:tcPr>
            <w:tcBorders>
              <w:top w:val="single" w:color="000000" w:sz="10" w:space="0"/>
              <w:bottom w:val="none" w:color="000000" w:sz="4" w:space="0"/>
            </w:tcBorders>
            <w:tcW w:w="1414" w:type="dxa"/>
            <w:vAlign w:val="top"/>
            <w:vMerge w:val="restart"/>
            <w:textDirection w:val="lrTb"/>
            <w:noWrap w:val="false"/>
          </w:tcPr>
          <w:p>
            <w:pPr>
              <w:pStyle w:val="1045"/>
              <w:spacing w:line="396" w:lineRule="auto"/>
            </w:pPr>
            <w:r/>
            <w:r/>
          </w:p>
          <w:p>
            <w:pPr>
              <w:ind w:left="304"/>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项目名称</w:t>
            </w:r>
            <w:r/>
          </w:p>
        </w:tc>
        <w:tc>
          <w:tcPr>
            <w:tcBorders>
              <w:top w:val="single" w:color="000000" w:sz="10" w:space="0"/>
              <w:bottom w:val="none" w:color="000000" w:sz="4" w:space="0"/>
            </w:tcBorders>
            <w:tcW w:w="1504" w:type="dxa"/>
            <w:vAlign w:val="top"/>
            <w:vMerge w:val="restart"/>
            <w:textDirection w:val="lrTb"/>
            <w:noWrap w:val="false"/>
          </w:tcPr>
          <w:p>
            <w:pPr>
              <w:pStyle w:val="1045"/>
              <w:spacing w:line="396" w:lineRule="auto"/>
            </w:pPr>
            <w:r/>
            <w:r/>
          </w:p>
          <w:p>
            <w:pPr>
              <w:ind w:left="152"/>
              <w:spacing w:before="65" w:line="220" w:lineRule="auto"/>
              <w:rPr>
                <w:rFonts w:ascii="宋体" w:hAnsi="宋体" w:eastAsia="宋体" w:cs="宋体"/>
                <w:sz w:val="20"/>
                <w:szCs w:val="20"/>
              </w:rPr>
            </w:pPr>
            <w:r>
              <w:rPr>
                <w:rFonts w:ascii="宋体" w:hAnsi="宋体" w:eastAsia="宋体" w:cs="宋体"/>
                <w:b/>
                <w:bCs/>
                <w:spacing w:val="-3"/>
                <w:sz w:val="20"/>
                <w:szCs w:val="20"/>
              </w:rPr>
              <w:t xml:space="preserve">项目特征描述</w:t>
            </w:r>
            <w:r/>
          </w:p>
        </w:tc>
        <w:tc>
          <w:tcPr>
            <w:tcBorders>
              <w:top w:val="single" w:color="000000" w:sz="10" w:space="0"/>
              <w:bottom w:val="none" w:color="000000" w:sz="4" w:space="0"/>
            </w:tcBorders>
            <w:tcW w:w="899" w:type="dxa"/>
            <w:vAlign w:val="top"/>
            <w:vMerge w:val="restart"/>
            <w:textDirection w:val="lrTb"/>
            <w:noWrap w:val="false"/>
          </w:tcPr>
          <w:p>
            <w:pPr>
              <w:pStyle w:val="1045"/>
              <w:spacing w:line="253" w:lineRule="auto"/>
            </w:pPr>
            <w:r/>
            <w:r/>
          </w:p>
          <w:p>
            <w:pPr>
              <w:ind w:left="253" w:right="242" w:hanging="1"/>
              <w:spacing w:before="65" w:line="267" w:lineRule="auto"/>
              <w:rPr>
                <w:rFonts w:ascii="宋体" w:hAnsi="宋体" w:eastAsia="宋体" w:cs="宋体"/>
                <w:sz w:val="20"/>
                <w:szCs w:val="20"/>
              </w:rPr>
            </w:pPr>
            <w:r>
              <w:rPr>
                <w:rFonts w:ascii="宋体" w:hAnsi="宋体" w:eastAsia="宋体" w:cs="宋体"/>
                <w:b/>
                <w:bCs/>
                <w:spacing w:val="-6"/>
                <w:sz w:val="20"/>
                <w:szCs w:val="20"/>
              </w:rPr>
              <w:t xml:space="preserve">计量单位</w:t>
            </w:r>
            <w:r/>
          </w:p>
        </w:tc>
        <w:tc>
          <w:tcPr>
            <w:tcBorders>
              <w:top w:val="single" w:color="000000" w:sz="10" w:space="0"/>
              <w:bottom w:val="none" w:color="000000" w:sz="4" w:space="0"/>
            </w:tcBorders>
            <w:tcW w:w="854" w:type="dxa"/>
            <w:vAlign w:val="top"/>
            <w:vMerge w:val="restart"/>
            <w:textDirection w:val="lrTb"/>
            <w:noWrap w:val="false"/>
          </w:tcPr>
          <w:p>
            <w:pPr>
              <w:pStyle w:val="1045"/>
              <w:spacing w:line="396" w:lineRule="auto"/>
            </w:pPr>
            <w:r/>
            <w:r/>
          </w:p>
          <w:p>
            <w:pPr>
              <w:ind w:left="133"/>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工程量</w:t>
            </w:r>
            <w:r/>
          </w:p>
        </w:tc>
        <w:tc>
          <w:tcPr>
            <w:gridSpan w:val="3"/>
            <w:tcBorders>
              <w:top w:val="single" w:color="000000" w:sz="10" w:space="0"/>
              <w:right w:val="single" w:color="000000" w:sz="10" w:space="0"/>
            </w:tcBorders>
            <w:tcW w:w="3431" w:type="dxa"/>
            <w:vAlign w:val="top"/>
            <w:textDirection w:val="lrTb"/>
            <w:noWrap w:val="false"/>
          </w:tcPr>
          <w:p>
            <w:pPr>
              <w:ind w:left="1194"/>
              <w:spacing w:before="106" w:line="220" w:lineRule="auto"/>
              <w:rPr>
                <w:rFonts w:ascii="宋体" w:hAnsi="宋体" w:eastAsia="宋体" w:cs="宋体"/>
                <w:sz w:val="20"/>
                <w:szCs w:val="20"/>
              </w:rPr>
            </w:pPr>
            <w:r>
              <w:rPr>
                <w:rFonts w:ascii="宋体" w:hAnsi="宋体" w:eastAsia="宋体" w:cs="宋体"/>
                <w:b/>
                <w:bCs/>
                <w:spacing w:val="-3"/>
                <w:sz w:val="20"/>
                <w:szCs w:val="20"/>
              </w:rPr>
              <w:t xml:space="preserve">全费用金额</w:t>
            </w:r>
            <w:r>
              <w:rPr>
                <w:rFonts w:hint="eastAsia" w:ascii="宋体" w:hAnsi="宋体" w:eastAsia="宋体" w:cs="宋体"/>
                <w:b/>
                <w:bCs/>
                <w:spacing w:val="-3"/>
                <w:sz w:val="20"/>
                <w:szCs w:val="20"/>
                <w:lang w:eastAsia="zh-CN"/>
              </w:rPr>
              <w:t xml:space="preserve">（</w:t>
            </w:r>
            <w:r>
              <w:rPr>
                <w:rFonts w:ascii="宋体" w:hAnsi="宋体" w:eastAsia="宋体" w:cs="宋体"/>
                <w:b/>
                <w:bCs/>
                <w:spacing w:val="-3"/>
                <w:sz w:val="20"/>
                <w:szCs w:val="20"/>
              </w:rPr>
              <w:t xml:space="preserve">元</w:t>
            </w:r>
            <w:r>
              <w:rPr>
                <w:rFonts w:hint="eastAsia" w:ascii="宋体" w:hAnsi="宋体" w:eastAsia="宋体" w:cs="宋体"/>
                <w:b/>
                <w:bCs/>
                <w:spacing w:val="-3"/>
                <w:sz w:val="20"/>
                <w:szCs w:val="20"/>
                <w:lang w:eastAsia="zh-CN"/>
              </w:rPr>
              <w:t xml:space="preserve">）</w:t>
            </w:r>
            <w:r/>
          </w:p>
        </w:tc>
      </w:tr>
      <w:tr>
        <w:trPr>
          <w:trHeight w:val="704"/>
        </w:trPr>
        <w:tc>
          <w:tcPr>
            <w:tcBorders>
              <w:top w:val="none" w:color="000000" w:sz="4" w:space="0"/>
              <w:left w:val="single" w:color="000000" w:sz="10" w:space="0"/>
            </w:tcBorders>
            <w:tcW w:w="845" w:type="dxa"/>
            <w:vAlign w:val="top"/>
            <w:vMerge w:val="continue"/>
            <w:textDirection w:val="lrTb"/>
            <w:noWrap w:val="false"/>
          </w:tcPr>
          <w:p>
            <w:pPr>
              <w:pStyle w:val="1045"/>
            </w:pPr>
            <w:r/>
            <w:r/>
          </w:p>
        </w:tc>
        <w:tc>
          <w:tcPr>
            <w:tcBorders>
              <w:top w:val="none" w:color="000000" w:sz="4" w:space="0"/>
            </w:tcBorders>
            <w:tcW w:w="1188" w:type="dxa"/>
            <w:vAlign w:val="top"/>
            <w:vMerge w:val="continue"/>
            <w:textDirection w:val="lrTb"/>
            <w:noWrap w:val="false"/>
          </w:tcPr>
          <w:p>
            <w:pPr>
              <w:pStyle w:val="1045"/>
            </w:pPr>
            <w:r/>
            <w:r/>
          </w:p>
        </w:tc>
        <w:tc>
          <w:tcPr>
            <w:tcBorders>
              <w:top w:val="none" w:color="000000" w:sz="4" w:space="0"/>
            </w:tcBorders>
            <w:tcW w:w="1414" w:type="dxa"/>
            <w:vAlign w:val="top"/>
            <w:vMerge w:val="continue"/>
            <w:textDirection w:val="lrTb"/>
            <w:noWrap w:val="false"/>
          </w:tcPr>
          <w:p>
            <w:pPr>
              <w:pStyle w:val="1045"/>
            </w:pPr>
            <w:r/>
            <w:r/>
          </w:p>
        </w:tc>
        <w:tc>
          <w:tcPr>
            <w:tcBorders>
              <w:top w:val="none" w:color="000000" w:sz="4" w:space="0"/>
            </w:tcBorders>
            <w:tcW w:w="1504" w:type="dxa"/>
            <w:vAlign w:val="top"/>
            <w:vMerge w:val="continue"/>
            <w:textDirection w:val="lrTb"/>
            <w:noWrap w:val="false"/>
          </w:tcPr>
          <w:p>
            <w:pPr>
              <w:pStyle w:val="1045"/>
            </w:pPr>
            <w:r/>
            <w:r/>
          </w:p>
        </w:tc>
        <w:tc>
          <w:tcPr>
            <w:tcBorders>
              <w:top w:val="none" w:color="000000" w:sz="4" w:space="0"/>
            </w:tcBorders>
            <w:tcW w:w="899" w:type="dxa"/>
            <w:vAlign w:val="top"/>
            <w:vMerge w:val="continue"/>
            <w:textDirection w:val="lrTb"/>
            <w:noWrap w:val="false"/>
          </w:tcPr>
          <w:p>
            <w:pPr>
              <w:pStyle w:val="1045"/>
            </w:pPr>
            <w:r/>
            <w:r/>
          </w:p>
        </w:tc>
        <w:tc>
          <w:tcPr>
            <w:tcBorders>
              <w:top w:val="none" w:color="000000" w:sz="4" w:space="0"/>
            </w:tcBorders>
            <w:tcW w:w="854" w:type="dxa"/>
            <w:vAlign w:val="top"/>
            <w:vMerge w:val="continue"/>
            <w:textDirection w:val="lrTb"/>
            <w:noWrap w:val="false"/>
          </w:tcPr>
          <w:p>
            <w:pPr>
              <w:pStyle w:val="1045"/>
            </w:pPr>
            <w:r/>
            <w:r/>
          </w:p>
        </w:tc>
        <w:tc>
          <w:tcPr>
            <w:tcW w:w="1061" w:type="dxa"/>
            <w:vAlign w:val="top"/>
            <w:textDirection w:val="lrTb"/>
            <w:noWrap w:val="false"/>
          </w:tcPr>
          <w:p>
            <w:pPr>
              <w:ind w:left="222"/>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综合单价</w:t>
            </w:r>
            <w:r/>
          </w:p>
        </w:tc>
        <w:tc>
          <w:tcPr>
            <w:tcW w:w="1250" w:type="dxa"/>
            <w:vAlign w:val="top"/>
            <w:textDirection w:val="lrTb"/>
            <w:noWrap w:val="false"/>
          </w:tcPr>
          <w:p>
            <w:pPr>
              <w:ind w:left="333"/>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综合合价</w:t>
            </w:r>
            <w:r/>
          </w:p>
        </w:tc>
        <w:tc>
          <w:tcPr>
            <w:tcBorders>
              <w:right w:val="single" w:color="000000" w:sz="10" w:space="0"/>
            </w:tcBorders>
            <w:tcW w:w="1120" w:type="dxa"/>
            <w:vAlign w:val="top"/>
            <w:textDirection w:val="lrTb"/>
            <w:noWrap w:val="false"/>
          </w:tcPr>
          <w:p>
            <w:pPr>
              <w:ind w:left="271"/>
              <w:spacing w:before="238" w:line="219" w:lineRule="auto"/>
              <w:rPr>
                <w:rFonts w:ascii="宋体" w:hAnsi="宋体" w:eastAsia="宋体" w:cs="宋体"/>
                <w:sz w:val="20"/>
                <w:szCs w:val="20"/>
              </w:rPr>
            </w:pPr>
            <w:r>
              <w:rPr>
                <w:rFonts w:ascii="宋体" w:hAnsi="宋体" w:eastAsia="宋体" w:cs="宋体"/>
                <w:b/>
                <w:bCs/>
                <w:spacing w:val="-5"/>
                <w:sz w:val="20"/>
                <w:szCs w:val="20"/>
              </w:rPr>
              <w:t xml:space="preserve">暂估价</w:t>
            </w:r>
            <w:r/>
          </w:p>
        </w:tc>
      </w:tr>
      <w:tr>
        <w:trPr>
          <w:trHeight w:val="443"/>
        </w:trPr>
        <w:tc>
          <w:tcPr>
            <w:tcBorders>
              <w:left w:val="single" w:color="000000" w:sz="10" w:space="0"/>
            </w:tcBorders>
            <w:tcW w:w="845" w:type="dxa"/>
            <w:vAlign w:val="top"/>
            <w:textDirection w:val="lrTb"/>
            <w:noWrap w:val="false"/>
          </w:tcPr>
          <w:p>
            <w:pPr>
              <w:pStyle w:val="1045"/>
            </w:pPr>
            <w:r/>
            <w:r/>
          </w:p>
        </w:tc>
        <w:tc>
          <w:tcPr>
            <w:tcW w:w="1188" w:type="dxa"/>
            <w:vAlign w:val="top"/>
            <w:textDirection w:val="lrTb"/>
            <w:noWrap w:val="false"/>
          </w:tcPr>
          <w:p>
            <w:pPr>
              <w:pStyle w:val="1045"/>
            </w:pPr>
            <w:r/>
            <w:r/>
          </w:p>
        </w:tc>
        <w:tc>
          <w:tcPr>
            <w:gridSpan w:val="2"/>
            <w:tcW w:w="2918" w:type="dxa"/>
            <w:vAlign w:val="top"/>
            <w:textDirection w:val="lrTb"/>
            <w:noWrap w:val="false"/>
          </w:tcPr>
          <w:p>
            <w:pPr>
              <w:ind w:left="554"/>
              <w:spacing w:before="107" w:line="223" w:lineRule="auto"/>
              <w:rPr>
                <w:rFonts w:ascii="宋体" w:hAnsi="宋体" w:eastAsia="宋体" w:cs="宋体"/>
                <w:sz w:val="20"/>
                <w:szCs w:val="20"/>
              </w:rPr>
            </w:pPr>
            <w:r>
              <w:rPr>
                <w:rFonts w:ascii="宋体" w:hAnsi="宋体" w:eastAsia="宋体" w:cs="宋体"/>
                <w:spacing w:val="-1"/>
                <w:sz w:val="20"/>
                <w:szCs w:val="20"/>
              </w:rPr>
              <w:t xml:space="preserve">0104 双穴公墓900座</w:t>
            </w:r>
            <w:r/>
          </w:p>
        </w:tc>
        <w:tc>
          <w:tcPr>
            <w:tcW w:w="899" w:type="dxa"/>
            <w:vAlign w:val="top"/>
            <w:textDirection w:val="lrTb"/>
            <w:noWrap w:val="false"/>
          </w:tcPr>
          <w:p>
            <w:pPr>
              <w:pStyle w:val="1045"/>
            </w:pPr>
            <w:r/>
            <w:r/>
          </w:p>
        </w:tc>
        <w:tc>
          <w:tcPr>
            <w:tcW w:w="854" w:type="dxa"/>
            <w:vAlign w:val="top"/>
            <w:textDirection w:val="lrTb"/>
            <w:noWrap w:val="false"/>
          </w:tcPr>
          <w:p>
            <w:pPr>
              <w:ind w:right="7"/>
              <w:jc w:val="right"/>
              <w:spacing w:before="108" w:line="242" w:lineRule="auto"/>
              <w:rPr>
                <w:rFonts w:ascii="宋体" w:hAnsi="宋体" w:eastAsia="宋体" w:cs="宋体"/>
                <w:sz w:val="20"/>
                <w:szCs w:val="20"/>
              </w:rPr>
            </w:pPr>
            <w:r>
              <w:rPr>
                <w:rFonts w:ascii="宋体" w:hAnsi="宋体" w:eastAsia="宋体" w:cs="宋体"/>
                <w:sz w:val="20"/>
                <w:szCs w:val="20"/>
              </w:rPr>
              <w:t xml:space="preserve">1</w:t>
            </w:r>
            <w:r/>
          </w:p>
        </w:tc>
        <w:tc>
          <w:tcPr>
            <w:tcW w:w="1061" w:type="dxa"/>
            <w:vAlign w:val="top"/>
            <w:textDirection w:val="lrTb"/>
            <w:noWrap w:val="false"/>
          </w:tcPr>
          <w:p>
            <w:pPr>
              <w:pStyle w:val="1045"/>
            </w:pPr>
            <w:r/>
            <w:r/>
          </w:p>
        </w:tc>
        <w:tc>
          <w:tcPr>
            <w:tcW w:w="1250" w:type="dxa"/>
            <w:vAlign w:val="top"/>
            <w:textDirection w:val="lrTb"/>
            <w:noWrap w:val="false"/>
          </w:tcPr>
          <w:p>
            <w:pPr>
              <w:ind w:right="20"/>
              <w:jc w:val="right"/>
              <w:spacing w:before="108"/>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120" w:type="dxa"/>
            <w:vAlign w:val="top"/>
            <w:textDirection w:val="lrTb"/>
            <w:noWrap w:val="false"/>
          </w:tcPr>
          <w:p>
            <w:pPr>
              <w:pStyle w:val="1045"/>
            </w:pPr>
            <w:r/>
            <w:r/>
          </w:p>
        </w:tc>
      </w:tr>
      <w:tr>
        <w:trPr>
          <w:trHeight w:val="3485"/>
        </w:trPr>
        <w:tc>
          <w:tcPr>
            <w:tcBorders>
              <w:left w:val="single" w:color="000000" w:sz="10" w:space="0"/>
            </w:tcBorders>
            <w:tcW w:w="845"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pStyle w:val="1045"/>
              <w:spacing w:line="260" w:lineRule="auto"/>
            </w:pPr>
            <w:r/>
            <w:r/>
          </w:p>
          <w:p>
            <w:pPr>
              <w:ind w:left="377"/>
              <w:spacing w:before="65" w:line="242" w:lineRule="auto"/>
              <w:rPr>
                <w:rFonts w:ascii="宋体" w:hAnsi="宋体" w:eastAsia="宋体" w:cs="宋体"/>
                <w:sz w:val="20"/>
                <w:szCs w:val="20"/>
              </w:rPr>
            </w:pPr>
            <w:r>
              <w:rPr>
                <w:rFonts w:ascii="宋体" w:hAnsi="宋体" w:eastAsia="宋体" w:cs="宋体"/>
                <w:sz w:val="20"/>
                <w:szCs w:val="20"/>
              </w:rPr>
              <w:t xml:space="preserve">1</w:t>
            </w:r>
            <w:r/>
          </w:p>
        </w:tc>
        <w:tc>
          <w:tcPr>
            <w:tcW w:w="1188" w:type="dxa"/>
            <w:vAlign w:val="top"/>
            <w:textDirection w:val="lrTb"/>
            <w:noWrap w:val="false"/>
          </w:tcPr>
          <w:p>
            <w:pPr>
              <w:pStyle w:val="1045"/>
              <w:spacing w:line="282" w:lineRule="auto"/>
            </w:pPr>
            <w:r/>
            <w:r/>
          </w:p>
          <w:p>
            <w:pPr>
              <w:pStyle w:val="1045"/>
              <w:spacing w:line="282" w:lineRule="auto"/>
            </w:pPr>
            <w:r/>
            <w:r/>
          </w:p>
          <w:p>
            <w:pPr>
              <w:pStyle w:val="1045"/>
              <w:spacing w:line="283" w:lineRule="auto"/>
            </w:pPr>
            <w:r/>
            <w:r/>
          </w:p>
          <w:p>
            <w:pPr>
              <w:pStyle w:val="1045"/>
              <w:spacing w:line="283" w:lineRule="auto"/>
            </w:pPr>
            <w:r/>
            <w:r/>
          </w:p>
          <w:p>
            <w:pPr>
              <w:pStyle w:val="1045"/>
              <w:spacing w:line="283"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01040100800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pStyle w:val="1045"/>
              <w:spacing w:line="260" w:lineRule="auto"/>
            </w:pPr>
            <w:r/>
            <w:r/>
          </w:p>
          <w:p>
            <w:pPr>
              <w:ind w:left="302"/>
              <w:spacing w:before="65" w:line="220" w:lineRule="auto"/>
              <w:rPr>
                <w:rFonts w:ascii="宋体" w:hAnsi="宋体" w:eastAsia="宋体" w:cs="宋体"/>
                <w:sz w:val="20"/>
                <w:szCs w:val="20"/>
              </w:rPr>
            </w:pPr>
            <w:r>
              <w:rPr>
                <w:rFonts w:ascii="宋体" w:hAnsi="宋体" w:eastAsia="宋体" w:cs="宋体"/>
                <w:spacing w:val="-1"/>
                <w:sz w:val="20"/>
                <w:szCs w:val="20"/>
              </w:rPr>
              <w:t xml:space="preserve">零星砌砖</w:t>
            </w:r>
            <w:r/>
          </w:p>
        </w:tc>
        <w:tc>
          <w:tcPr>
            <w:tcW w:w="1504" w:type="dxa"/>
            <w:vAlign w:val="top"/>
            <w:textDirection w:val="lrTb"/>
            <w:noWrap w:val="false"/>
          </w:tcPr>
          <w:p>
            <w:pPr>
              <w:pStyle w:val="1045"/>
              <w:spacing w:line="273" w:lineRule="auto"/>
            </w:pPr>
            <w:r/>
            <w:r/>
          </w:p>
          <w:p>
            <w:pPr>
              <w:ind w:left="36" w:right="58" w:firstLine="15"/>
              <w:spacing w:before="65" w:line="265" w:lineRule="auto"/>
              <w:rPr>
                <w:rFonts w:ascii="宋体" w:hAnsi="宋体" w:eastAsia="宋体" w:cs="宋体"/>
                <w:sz w:val="20"/>
                <w:szCs w:val="20"/>
              </w:rPr>
            </w:pPr>
            <w:r>
              <w:rPr>
                <w:rFonts w:ascii="宋体" w:hAnsi="宋体" w:eastAsia="宋体" w:cs="宋体"/>
                <w:spacing w:val="-2"/>
                <w:sz w:val="20"/>
                <w:szCs w:val="20"/>
              </w:rPr>
              <w:t xml:space="preserve">1.零星砌砖名称</w:t>
            </w:r>
            <w:r>
              <w:rPr>
                <w:rFonts w:ascii="宋体" w:hAnsi="宋体" w:eastAsia="宋体" w:cs="宋体"/>
                <w:sz w:val="20"/>
                <w:szCs w:val="20"/>
              </w:rPr>
              <w:t xml:space="preserve"> </w:t>
            </w:r>
            <w:r>
              <w:rPr>
                <w:rFonts w:ascii="宋体" w:hAnsi="宋体" w:eastAsia="宋体" w:cs="宋体"/>
                <w:spacing w:val="-2"/>
                <w:sz w:val="20"/>
                <w:szCs w:val="20"/>
              </w:rPr>
              <w:t xml:space="preserve">、部位：双穴公</w:t>
            </w:r>
            <w:r>
              <w:rPr>
                <w:rFonts w:ascii="宋体" w:hAnsi="宋体" w:eastAsia="宋体" w:cs="宋体"/>
                <w:spacing w:val="-1"/>
                <w:sz w:val="20"/>
                <w:szCs w:val="20"/>
              </w:rPr>
              <w:t xml:space="preserve">墓砖基础</w:t>
            </w:r>
            <w:r/>
          </w:p>
          <w:p>
            <w:pPr>
              <w:ind w:left="50" w:right="58" w:hanging="11"/>
              <w:spacing w:before="1" w:line="264" w:lineRule="auto"/>
              <w:rPr>
                <w:rFonts w:ascii="宋体" w:hAnsi="宋体" w:eastAsia="宋体" w:cs="宋体"/>
                <w:sz w:val="20"/>
                <w:szCs w:val="20"/>
              </w:rPr>
            </w:pPr>
            <w:r>
              <w:rPr>
                <w:rFonts w:ascii="宋体" w:hAnsi="宋体" w:eastAsia="宋体" w:cs="宋体"/>
                <w:spacing w:val="-1"/>
                <w:sz w:val="20"/>
                <w:szCs w:val="20"/>
              </w:rPr>
              <w:t xml:space="preserve">2.砖品种、规格</w:t>
            </w:r>
            <w:r>
              <w:rPr>
                <w:rFonts w:ascii="宋体" w:hAnsi="宋体" w:eastAsia="宋体" w:cs="宋体"/>
                <w:spacing w:val="3"/>
                <w:sz w:val="20"/>
                <w:szCs w:val="20"/>
              </w:rPr>
              <w:t xml:space="preserve"> </w:t>
            </w:r>
            <w:r>
              <w:rPr>
                <w:rFonts w:ascii="宋体" w:hAnsi="宋体" w:eastAsia="宋体" w:cs="宋体"/>
                <w:spacing w:val="-9"/>
                <w:sz w:val="20"/>
                <w:szCs w:val="20"/>
              </w:rPr>
              <w:t xml:space="preserve">、强度等级：</w:t>
            </w:r>
            <w:r/>
          </w:p>
          <w:p>
            <w:pPr>
              <w:ind w:left="30"/>
              <w:spacing w:line="221" w:lineRule="auto"/>
              <w:rPr>
                <w:rFonts w:ascii="宋体" w:hAnsi="宋体" w:eastAsia="宋体" w:cs="宋体"/>
                <w:sz w:val="20"/>
                <w:szCs w:val="20"/>
              </w:rPr>
            </w:pPr>
            <w:r>
              <w:rPr>
                <w:rFonts w:ascii="宋体" w:hAnsi="宋体" w:eastAsia="宋体" w:cs="宋体"/>
                <w:sz w:val="20"/>
                <w:szCs w:val="20"/>
              </w:rPr>
              <w:t xml:space="preserve">MU15混凝土砌块</w:t>
            </w:r>
            <w:r/>
          </w:p>
          <w:p>
            <w:pPr>
              <w:ind w:left="53" w:right="58" w:hanging="13"/>
              <w:spacing w:before="46" w:line="265" w:lineRule="auto"/>
              <w:rPr>
                <w:rFonts w:ascii="宋体" w:hAnsi="宋体" w:eastAsia="宋体" w:cs="宋体"/>
                <w:sz w:val="20"/>
                <w:szCs w:val="20"/>
              </w:rPr>
            </w:pPr>
            <w:r>
              <w:rPr>
                <w:rFonts w:ascii="宋体" w:hAnsi="宋体" w:eastAsia="宋体" w:cs="宋体"/>
                <w:spacing w:val="-1"/>
                <w:sz w:val="20"/>
                <w:szCs w:val="20"/>
              </w:rPr>
              <w:t xml:space="preserve">3.砂浆强度等级</w:t>
            </w:r>
            <w:r>
              <w:rPr>
                <w:rFonts w:ascii="宋体" w:hAnsi="宋体" w:eastAsia="宋体" w:cs="宋体"/>
                <w:spacing w:val="1"/>
                <w:sz w:val="20"/>
                <w:szCs w:val="20"/>
              </w:rPr>
              <w:t xml:space="preserve"> </w:t>
            </w:r>
            <w:r>
              <w:rPr>
                <w:rFonts w:ascii="宋体" w:hAnsi="宋体" w:eastAsia="宋体" w:cs="宋体"/>
                <w:spacing w:val="-4"/>
                <w:sz w:val="20"/>
                <w:szCs w:val="20"/>
              </w:rPr>
              <w:t xml:space="preserve">：DMM5.0</w:t>
            </w:r>
            <w:r/>
          </w:p>
          <w:p>
            <w:pPr>
              <w:ind w:left="36"/>
              <w:spacing w:line="220" w:lineRule="auto"/>
              <w:rPr>
                <w:rFonts w:ascii="宋体" w:hAnsi="宋体" w:eastAsia="宋体" w:cs="宋体"/>
                <w:sz w:val="20"/>
                <w:szCs w:val="20"/>
              </w:rPr>
            </w:pPr>
            <w:r>
              <w:rPr>
                <w:rFonts w:ascii="宋体" w:hAnsi="宋体" w:eastAsia="宋体" w:cs="宋体"/>
                <w:spacing w:val="-6"/>
                <w:sz w:val="20"/>
                <w:szCs w:val="20"/>
              </w:rPr>
              <w:t xml:space="preserve">4.整体规格：</w:t>
            </w:r>
            <w:r/>
          </w:p>
          <w:p>
            <w:pPr>
              <w:ind w:left="51"/>
              <w:spacing w:before="47" w:line="241" w:lineRule="auto"/>
              <w:rPr>
                <w:rFonts w:ascii="宋体" w:hAnsi="宋体" w:eastAsia="宋体" w:cs="宋体"/>
                <w:sz w:val="20"/>
                <w:szCs w:val="20"/>
              </w:rPr>
            </w:pPr>
            <w:r>
              <w:rPr>
                <w:rFonts w:ascii="宋体" w:hAnsi="宋体" w:eastAsia="宋体" w:cs="宋体"/>
                <w:spacing w:val="-2"/>
                <w:sz w:val="20"/>
                <w:szCs w:val="20"/>
              </w:rPr>
              <w:t xml:space="preserve">1100*720*300mm</w:t>
            </w:r>
            <w:r/>
          </w:p>
        </w:tc>
        <w:tc>
          <w:tcPr>
            <w:tcW w:w="899"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ind w:left="347"/>
              <w:spacing w:before="65" w:line="241" w:lineRule="auto"/>
              <w:rPr>
                <w:rFonts w:ascii="宋体" w:hAnsi="宋体" w:eastAsia="宋体" w:cs="宋体"/>
                <w:sz w:val="20"/>
                <w:szCs w:val="20"/>
              </w:rPr>
            </w:pPr>
            <w:r>
              <w:rPr>
                <w:rFonts w:ascii="宋体" w:hAnsi="宋体" w:eastAsia="宋体" w:cs="宋体"/>
                <w:spacing w:val="-1"/>
                <w:sz w:val="20"/>
                <w:szCs w:val="20"/>
              </w:rPr>
              <w:t xml:space="preserve">m3</w:t>
            </w:r>
            <w:r/>
          </w:p>
        </w:tc>
        <w:tc>
          <w:tcPr>
            <w:tcW w:w="854"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pStyle w:val="1045"/>
              <w:spacing w:line="260" w:lineRule="auto"/>
            </w:pPr>
            <w:r/>
            <w:r/>
          </w:p>
          <w:p>
            <w:pPr>
              <w:ind w:right="26"/>
              <w:jc w:val="right"/>
              <w:spacing w:before="65"/>
              <w:rPr>
                <w:rFonts w:ascii="宋体" w:hAnsi="宋体" w:eastAsia="宋体" w:cs="宋体"/>
                <w:sz w:val="20"/>
                <w:szCs w:val="20"/>
              </w:rPr>
            </w:pPr>
            <w:r>
              <w:rPr>
                <w:rFonts w:ascii="宋体" w:hAnsi="宋体" w:eastAsia="宋体" w:cs="宋体"/>
                <w:spacing w:val="-3"/>
                <w:sz w:val="20"/>
                <w:szCs w:val="20"/>
              </w:rPr>
              <w:t xml:space="preserve">127.44</w:t>
            </w:r>
            <w:r/>
          </w:p>
        </w:tc>
        <w:tc>
          <w:tcPr>
            <w:tcW w:w="1061"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pStyle w:val="1045"/>
              <w:spacing w:line="260" w:lineRule="auto"/>
            </w:pPr>
            <w:r/>
            <w:r/>
          </w:p>
          <w:p>
            <w:pPr>
              <w:ind w:right="23"/>
              <w:jc w:val="right"/>
              <w:spacing w:before="65"/>
              <w:rPr>
                <w:rFonts w:ascii="宋体" w:hAnsi="宋体" w:eastAsia="宋体" w:cs="宋体"/>
                <w:sz w:val="20"/>
                <w:szCs w:val="20"/>
              </w:rPr>
            </w:pPr>
            <w:r>
              <w:rPr>
                <w:rFonts w:ascii="宋体" w:hAnsi="宋体" w:eastAsia="宋体" w:cs="宋体"/>
                <w:sz w:val="20"/>
                <w:szCs w:val="20"/>
              </w:rPr>
            </w:r>
            <w:r/>
          </w:p>
        </w:tc>
        <w:tc>
          <w:tcPr>
            <w:tcW w:w="1250" w:type="dxa"/>
            <w:vAlign w:val="top"/>
            <w:textDirection w:val="lrTb"/>
            <w:noWrap w:val="false"/>
          </w:tcPr>
          <w:p>
            <w:pPr>
              <w:pStyle w:val="1045"/>
              <w:spacing w:line="259" w:lineRule="auto"/>
            </w:pPr>
            <w:r/>
            <w:r/>
          </w:p>
          <w:p>
            <w:pPr>
              <w:pStyle w:val="1045"/>
              <w:spacing w:line="259" w:lineRule="auto"/>
            </w:pPr>
            <w:r/>
            <w:r/>
          </w:p>
          <w:p>
            <w:pPr>
              <w:pStyle w:val="1045"/>
              <w:spacing w:line="259" w:lineRule="auto"/>
            </w:pPr>
            <w:r/>
            <w:r/>
          </w:p>
          <w:p>
            <w:pPr>
              <w:pStyle w:val="1045"/>
              <w:spacing w:line="259" w:lineRule="auto"/>
            </w:pPr>
            <w:r/>
            <w:r/>
          </w:p>
          <w:p>
            <w:pPr>
              <w:pStyle w:val="1045"/>
              <w:spacing w:line="260" w:lineRule="auto"/>
            </w:pPr>
            <w:r/>
            <w:r/>
          </w:p>
          <w:p>
            <w:pPr>
              <w:pStyle w:val="1045"/>
              <w:spacing w:line="260"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120" w:type="dxa"/>
            <w:vAlign w:val="top"/>
            <w:textDirection w:val="lrTb"/>
            <w:noWrap w:val="false"/>
          </w:tcPr>
          <w:p>
            <w:pPr>
              <w:pStyle w:val="1045"/>
            </w:pPr>
            <w:r/>
            <w:r/>
          </w:p>
        </w:tc>
      </w:tr>
      <w:tr>
        <w:trPr>
          <w:trHeight w:val="2335"/>
        </w:trPr>
        <w:tc>
          <w:tcPr>
            <w:tcBorders>
              <w:left w:val="single" w:color="000000" w:sz="10" w:space="0"/>
            </w:tcBorders>
            <w:tcW w:w="845" w:type="dxa"/>
            <w:vAlign w:val="top"/>
            <w:textDirection w:val="lrTb"/>
            <w:noWrap w:val="false"/>
          </w:tcPr>
          <w:p>
            <w:pPr>
              <w:pStyle w:val="1045"/>
              <w:spacing w:line="246" w:lineRule="auto"/>
            </w:pPr>
            <w:r/>
            <w:r/>
          </w:p>
          <w:p>
            <w:pPr>
              <w:pStyle w:val="1045"/>
              <w:spacing w:line="247" w:lineRule="auto"/>
            </w:pPr>
            <w:r/>
            <w:r/>
          </w:p>
          <w:p>
            <w:pPr>
              <w:pStyle w:val="1045"/>
              <w:spacing w:line="247" w:lineRule="auto"/>
            </w:pPr>
            <w:r/>
            <w:r/>
          </w:p>
          <w:p>
            <w:pPr>
              <w:pStyle w:val="1045"/>
              <w:spacing w:line="247" w:lineRule="auto"/>
            </w:pPr>
            <w:r/>
            <w:r/>
          </w:p>
          <w:p>
            <w:pPr>
              <w:ind w:left="365"/>
              <w:spacing w:before="65" w:line="242" w:lineRule="auto"/>
              <w:rPr>
                <w:rFonts w:ascii="宋体" w:hAnsi="宋体" w:eastAsia="宋体" w:cs="宋体"/>
                <w:sz w:val="20"/>
                <w:szCs w:val="20"/>
              </w:rPr>
            </w:pPr>
            <w:r>
              <w:rPr>
                <w:rFonts w:ascii="宋体" w:hAnsi="宋体" w:eastAsia="宋体" w:cs="宋体"/>
                <w:sz w:val="20"/>
                <w:szCs w:val="20"/>
              </w:rPr>
              <w:t xml:space="preserve">2</w:t>
            </w:r>
            <w:r/>
          </w:p>
        </w:tc>
        <w:tc>
          <w:tcPr>
            <w:tcW w:w="1188" w:type="dxa"/>
            <w:vAlign w:val="top"/>
            <w:textDirection w:val="lrTb"/>
            <w:noWrap w:val="false"/>
          </w:tcPr>
          <w:p>
            <w:pPr>
              <w:pStyle w:val="1045"/>
              <w:spacing w:line="281" w:lineRule="auto"/>
            </w:pPr>
            <w:r/>
            <w:r/>
          </w:p>
          <w:p>
            <w:pPr>
              <w:pStyle w:val="1045"/>
              <w:spacing w:line="281" w:lineRule="auto"/>
            </w:pPr>
            <w:r/>
            <w:r/>
          </w:p>
          <w:p>
            <w:pPr>
              <w:pStyle w:val="1045"/>
              <w:spacing w:line="282"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01050100100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246" w:lineRule="auto"/>
            </w:pPr>
            <w:r/>
            <w:r/>
          </w:p>
          <w:p>
            <w:pPr>
              <w:pStyle w:val="1045"/>
              <w:spacing w:line="247" w:lineRule="auto"/>
            </w:pPr>
            <w:r/>
            <w:r/>
          </w:p>
          <w:p>
            <w:pPr>
              <w:pStyle w:val="1045"/>
              <w:spacing w:line="247" w:lineRule="auto"/>
            </w:pPr>
            <w:r/>
            <w:r/>
          </w:p>
          <w:p>
            <w:pPr>
              <w:pStyle w:val="1045"/>
              <w:spacing w:line="247" w:lineRule="auto"/>
            </w:pPr>
            <w:r/>
            <w:r/>
          </w:p>
          <w:p>
            <w:pPr>
              <w:ind w:left="301"/>
              <w:spacing w:before="65" w:line="220" w:lineRule="auto"/>
              <w:rPr>
                <w:rFonts w:ascii="宋体" w:hAnsi="宋体" w:eastAsia="宋体" w:cs="宋体"/>
                <w:sz w:val="20"/>
                <w:szCs w:val="20"/>
              </w:rPr>
            </w:pPr>
            <w:r>
              <w:rPr>
                <w:rFonts w:ascii="宋体" w:hAnsi="宋体" w:eastAsia="宋体" w:cs="宋体"/>
                <w:spacing w:val="-1"/>
                <w:sz w:val="20"/>
                <w:szCs w:val="20"/>
              </w:rPr>
              <w:t xml:space="preserve">基础垫层</w:t>
            </w:r>
            <w:r/>
          </w:p>
        </w:tc>
        <w:tc>
          <w:tcPr>
            <w:tcW w:w="1504" w:type="dxa"/>
            <w:vAlign w:val="top"/>
            <w:textDirection w:val="lrTb"/>
            <w:noWrap w:val="false"/>
          </w:tcPr>
          <w:p>
            <w:pPr>
              <w:ind w:left="51" w:right="259"/>
              <w:spacing w:before="54" w:line="265" w:lineRule="auto"/>
              <w:rPr>
                <w:rFonts w:ascii="宋体" w:hAnsi="宋体" w:eastAsia="宋体" w:cs="宋体"/>
                <w:sz w:val="20"/>
                <w:szCs w:val="20"/>
              </w:rPr>
            </w:pPr>
            <w:r>
              <w:rPr>
                <w:rFonts w:ascii="宋体" w:hAnsi="宋体" w:eastAsia="宋体" w:cs="宋体"/>
                <w:spacing w:val="-3"/>
                <w:sz w:val="20"/>
                <w:szCs w:val="20"/>
              </w:rPr>
              <w:t xml:space="preserve">1.基础形式：</w:t>
            </w:r>
            <w:r>
              <w:rPr>
                <w:rFonts w:ascii="宋体" w:hAnsi="宋体" w:eastAsia="宋体" w:cs="宋体"/>
                <w:spacing w:val="3"/>
                <w:sz w:val="20"/>
                <w:szCs w:val="20"/>
              </w:rPr>
              <w:t xml:space="preserve"> </w:t>
            </w:r>
            <w:r>
              <w:rPr>
                <w:rFonts w:ascii="宋体" w:hAnsi="宋体" w:eastAsia="宋体" w:cs="宋体"/>
                <w:spacing w:val="-2"/>
                <w:sz w:val="20"/>
                <w:szCs w:val="20"/>
              </w:rPr>
              <w:t xml:space="preserve">1100*720方形</w:t>
            </w:r>
            <w:r/>
          </w:p>
          <w:p>
            <w:pPr>
              <w:ind w:left="39"/>
              <w:spacing w:line="221" w:lineRule="auto"/>
              <w:rPr>
                <w:rFonts w:ascii="宋体" w:hAnsi="宋体" w:eastAsia="宋体" w:cs="宋体"/>
                <w:sz w:val="20"/>
                <w:szCs w:val="20"/>
              </w:rPr>
            </w:pPr>
            <w:r>
              <w:rPr>
                <w:rFonts w:ascii="宋体" w:hAnsi="宋体" w:eastAsia="宋体" w:cs="宋体"/>
                <w:spacing w:val="-1"/>
                <w:sz w:val="20"/>
                <w:szCs w:val="20"/>
              </w:rPr>
              <w:t xml:space="preserve">2.厚度：5cm</w:t>
            </w:r>
            <w:r/>
          </w:p>
          <w:p>
            <w:pPr>
              <w:ind w:left="35" w:right="58" w:firstLine="5"/>
              <w:spacing w:before="44" w:line="265" w:lineRule="auto"/>
              <w:rPr>
                <w:rFonts w:ascii="宋体" w:hAnsi="宋体" w:eastAsia="宋体" w:cs="宋体"/>
                <w:sz w:val="20"/>
                <w:szCs w:val="20"/>
              </w:rPr>
            </w:pPr>
            <w:r>
              <w:rPr>
                <w:rFonts w:ascii="宋体" w:hAnsi="宋体" w:eastAsia="宋体" w:cs="宋体"/>
                <w:spacing w:val="-1"/>
                <w:sz w:val="20"/>
                <w:szCs w:val="20"/>
              </w:rPr>
              <w:t xml:space="preserve">3.材料品种、强</w:t>
            </w:r>
            <w:r>
              <w:rPr>
                <w:rFonts w:ascii="宋体" w:hAnsi="宋体" w:eastAsia="宋体" w:cs="宋体"/>
                <w:sz w:val="20"/>
                <w:szCs w:val="20"/>
              </w:rPr>
              <w:t xml:space="preserve">度要求、配比： C20预拌商品混</w:t>
            </w:r>
            <w:r>
              <w:rPr>
                <w:rFonts w:ascii="宋体" w:hAnsi="宋体" w:eastAsia="宋体" w:cs="宋体"/>
                <w:spacing w:val="-2"/>
                <w:sz w:val="20"/>
                <w:szCs w:val="20"/>
              </w:rPr>
              <w:t xml:space="preserve">凝土</w:t>
            </w:r>
            <w:r/>
          </w:p>
          <w:p>
            <w:pPr>
              <w:ind w:left="36"/>
              <w:spacing w:line="220" w:lineRule="auto"/>
              <w:rPr>
                <w:rFonts w:ascii="宋体" w:hAnsi="宋体" w:eastAsia="宋体" w:cs="宋体"/>
                <w:sz w:val="20"/>
                <w:szCs w:val="20"/>
              </w:rPr>
            </w:pPr>
            <w:r>
              <w:rPr>
                <w:rFonts w:ascii="宋体" w:hAnsi="宋体" w:eastAsia="宋体" w:cs="宋体"/>
                <w:sz w:val="20"/>
                <w:szCs w:val="20"/>
              </w:rPr>
              <w:t xml:space="preserve">4.3cm碎石垫层</w:t>
            </w:r>
            <w:r/>
          </w:p>
        </w:tc>
        <w:tc>
          <w:tcPr>
            <w:tcW w:w="899" w:type="dxa"/>
            <w:vAlign w:val="top"/>
            <w:textDirection w:val="lrTb"/>
            <w:noWrap w:val="false"/>
          </w:tcPr>
          <w:p>
            <w:pPr>
              <w:pStyle w:val="1045"/>
              <w:spacing w:line="246" w:lineRule="auto"/>
            </w:pPr>
            <w:r/>
            <w:r/>
          </w:p>
          <w:p>
            <w:pPr>
              <w:pStyle w:val="1045"/>
              <w:spacing w:line="246" w:lineRule="auto"/>
            </w:pPr>
            <w:r/>
            <w:r/>
          </w:p>
          <w:p>
            <w:pPr>
              <w:pStyle w:val="1045"/>
              <w:spacing w:line="247" w:lineRule="auto"/>
            </w:pPr>
            <w:r/>
            <w:r/>
          </w:p>
          <w:p>
            <w:pPr>
              <w:pStyle w:val="1045"/>
              <w:spacing w:line="247" w:lineRule="auto"/>
            </w:pPr>
            <w:r/>
            <w:r/>
          </w:p>
          <w:p>
            <w:pPr>
              <w:ind w:left="347"/>
              <w:spacing w:before="65" w:line="241" w:lineRule="auto"/>
              <w:rPr>
                <w:rFonts w:ascii="宋体" w:hAnsi="宋体" w:eastAsia="宋体" w:cs="宋体"/>
                <w:sz w:val="20"/>
                <w:szCs w:val="20"/>
              </w:rPr>
            </w:pPr>
            <w:r>
              <w:rPr>
                <w:rFonts w:ascii="宋体" w:hAnsi="宋体" w:eastAsia="宋体" w:cs="宋体"/>
                <w:spacing w:val="-1"/>
                <w:sz w:val="20"/>
                <w:szCs w:val="20"/>
              </w:rPr>
              <w:t xml:space="preserve">m3</w:t>
            </w:r>
            <w:r/>
          </w:p>
        </w:tc>
        <w:tc>
          <w:tcPr>
            <w:tcW w:w="854" w:type="dxa"/>
            <w:vAlign w:val="top"/>
            <w:textDirection w:val="lrTb"/>
            <w:noWrap w:val="false"/>
          </w:tcPr>
          <w:p>
            <w:pPr>
              <w:pStyle w:val="1045"/>
              <w:spacing w:line="246" w:lineRule="auto"/>
            </w:pPr>
            <w:r/>
            <w:r/>
          </w:p>
          <w:p>
            <w:pPr>
              <w:pStyle w:val="1045"/>
              <w:spacing w:line="246" w:lineRule="auto"/>
            </w:pPr>
            <w:r/>
            <w:r/>
          </w:p>
          <w:p>
            <w:pPr>
              <w:pStyle w:val="1045"/>
              <w:spacing w:line="247" w:lineRule="auto"/>
            </w:pPr>
            <w:r/>
            <w:r/>
          </w:p>
          <w:p>
            <w:pPr>
              <w:pStyle w:val="1045"/>
              <w:spacing w:line="247" w:lineRule="auto"/>
            </w:pPr>
            <w:r/>
            <w:r/>
          </w:p>
          <w:p>
            <w:pPr>
              <w:ind w:right="27"/>
              <w:jc w:val="right"/>
              <w:spacing w:before="65"/>
              <w:rPr>
                <w:rFonts w:ascii="宋体" w:hAnsi="宋体" w:eastAsia="宋体" w:cs="宋体"/>
                <w:sz w:val="20"/>
                <w:szCs w:val="20"/>
              </w:rPr>
            </w:pPr>
            <w:r>
              <w:rPr>
                <w:rFonts w:ascii="宋体" w:hAnsi="宋体" w:eastAsia="宋体" w:cs="宋体"/>
                <w:spacing w:val="-2"/>
                <w:sz w:val="20"/>
                <w:szCs w:val="20"/>
              </w:rPr>
              <w:t xml:space="preserve">35.64</w:t>
            </w:r>
            <w:r/>
          </w:p>
        </w:tc>
        <w:tc>
          <w:tcPr>
            <w:tcW w:w="1061" w:type="dxa"/>
            <w:vAlign w:val="top"/>
            <w:textDirection w:val="lrTb"/>
            <w:noWrap w:val="false"/>
          </w:tcPr>
          <w:p>
            <w:pPr>
              <w:pStyle w:val="1045"/>
              <w:spacing w:line="246" w:lineRule="auto"/>
            </w:pPr>
            <w:r/>
            <w:r/>
          </w:p>
          <w:p>
            <w:pPr>
              <w:pStyle w:val="1045"/>
              <w:spacing w:line="246" w:lineRule="auto"/>
            </w:pPr>
            <w:r/>
            <w:r/>
          </w:p>
          <w:p>
            <w:pPr>
              <w:pStyle w:val="1045"/>
              <w:spacing w:line="247" w:lineRule="auto"/>
            </w:pPr>
            <w:r/>
            <w:r/>
          </w:p>
          <w:p>
            <w:pPr>
              <w:pStyle w:val="1045"/>
              <w:spacing w:line="247"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250" w:type="dxa"/>
            <w:vAlign w:val="top"/>
            <w:textDirection w:val="lrTb"/>
            <w:noWrap w:val="false"/>
          </w:tcPr>
          <w:p>
            <w:pPr>
              <w:pStyle w:val="1045"/>
              <w:spacing w:line="246" w:lineRule="auto"/>
            </w:pPr>
            <w:r/>
            <w:r/>
          </w:p>
          <w:p>
            <w:pPr>
              <w:pStyle w:val="1045"/>
              <w:spacing w:line="246" w:lineRule="auto"/>
            </w:pPr>
            <w:r/>
            <w:r/>
          </w:p>
          <w:p>
            <w:pPr>
              <w:pStyle w:val="1045"/>
              <w:spacing w:line="247" w:lineRule="auto"/>
            </w:pPr>
            <w:r/>
            <w:r/>
          </w:p>
          <w:p>
            <w:pPr>
              <w:pStyle w:val="1045"/>
              <w:spacing w:line="247"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120" w:type="dxa"/>
            <w:vAlign w:val="top"/>
            <w:textDirection w:val="lrTb"/>
            <w:noWrap w:val="false"/>
          </w:tcPr>
          <w:p>
            <w:pPr>
              <w:pStyle w:val="1045"/>
            </w:pPr>
            <w:r/>
            <w:r/>
          </w:p>
        </w:tc>
      </w:tr>
      <w:tr>
        <w:trPr>
          <w:trHeight w:val="902"/>
        </w:trPr>
        <w:tc>
          <w:tcPr>
            <w:tcBorders>
              <w:left w:val="single" w:color="000000" w:sz="10" w:space="0"/>
            </w:tcBorders>
            <w:tcW w:w="845" w:type="dxa"/>
            <w:vAlign w:val="top"/>
            <w:textDirection w:val="lrTb"/>
            <w:noWrap w:val="false"/>
          </w:tcPr>
          <w:p>
            <w:pPr>
              <w:pStyle w:val="1045"/>
              <w:spacing w:line="275" w:lineRule="auto"/>
            </w:pPr>
            <w:r/>
            <w:r/>
          </w:p>
          <w:p>
            <w:pPr>
              <w:ind w:left="367"/>
              <w:spacing w:before="65" w:line="241" w:lineRule="auto"/>
              <w:rPr>
                <w:rFonts w:ascii="宋体" w:hAnsi="宋体" w:eastAsia="宋体" w:cs="宋体"/>
                <w:sz w:val="20"/>
                <w:szCs w:val="20"/>
              </w:rPr>
            </w:pPr>
            <w:r>
              <w:rPr>
                <w:rFonts w:ascii="宋体" w:hAnsi="宋体" w:eastAsia="宋体" w:cs="宋体"/>
                <w:sz w:val="20"/>
                <w:szCs w:val="20"/>
              </w:rPr>
              <w:t xml:space="preserve">3</w:t>
            </w:r>
            <w:r/>
          </w:p>
        </w:tc>
        <w:tc>
          <w:tcPr>
            <w:tcW w:w="1188" w:type="dxa"/>
            <w:vAlign w:val="top"/>
            <w:textDirection w:val="lrTb"/>
            <w:noWrap w:val="false"/>
          </w:tcPr>
          <w:p>
            <w:pPr>
              <w:ind w:left="36"/>
              <w:spacing w:before="199" w:line="241" w:lineRule="auto"/>
              <w:rPr>
                <w:rFonts w:ascii="宋体" w:hAnsi="宋体" w:eastAsia="宋体" w:cs="宋体"/>
                <w:sz w:val="20"/>
                <w:szCs w:val="20"/>
              </w:rPr>
            </w:pPr>
            <w:r>
              <w:rPr>
                <w:rFonts w:ascii="宋体" w:hAnsi="宋体" w:eastAsia="宋体" w:cs="宋体"/>
                <w:spacing w:val="-1"/>
                <w:sz w:val="20"/>
                <w:szCs w:val="20"/>
              </w:rPr>
              <w:t xml:space="preserve">01050500100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275" w:lineRule="auto"/>
            </w:pPr>
            <w:r/>
            <w:r/>
          </w:p>
          <w:p>
            <w:pPr>
              <w:ind w:left="303"/>
              <w:spacing w:before="65" w:line="220" w:lineRule="auto"/>
              <w:rPr>
                <w:rFonts w:ascii="宋体" w:hAnsi="宋体" w:eastAsia="宋体" w:cs="宋体"/>
                <w:sz w:val="20"/>
                <w:szCs w:val="20"/>
              </w:rPr>
            </w:pPr>
            <w:r>
              <w:rPr>
                <w:rFonts w:ascii="宋体" w:hAnsi="宋体" w:eastAsia="宋体" w:cs="宋体"/>
                <w:spacing w:val="-2"/>
                <w:sz w:val="20"/>
                <w:szCs w:val="20"/>
              </w:rPr>
              <w:t xml:space="preserve">垫层模板</w:t>
            </w:r>
            <w:r/>
          </w:p>
        </w:tc>
        <w:tc>
          <w:tcPr>
            <w:tcW w:w="1504" w:type="dxa"/>
            <w:vAlign w:val="top"/>
            <w:textDirection w:val="lrTb"/>
            <w:noWrap w:val="false"/>
          </w:tcPr>
          <w:p>
            <w:pPr>
              <w:ind w:left="37" w:right="58" w:firstLine="14"/>
              <w:jc w:val="both"/>
              <w:spacing w:before="56" w:line="257" w:lineRule="auto"/>
              <w:rPr>
                <w:rFonts w:ascii="宋体" w:hAnsi="宋体" w:eastAsia="宋体" w:cs="宋体"/>
                <w:sz w:val="20"/>
                <w:szCs w:val="20"/>
              </w:rPr>
            </w:pPr>
            <w:r>
              <w:rPr>
                <w:rFonts w:ascii="宋体" w:hAnsi="宋体" w:eastAsia="宋体" w:cs="宋体"/>
                <w:spacing w:val="-2"/>
                <w:sz w:val="20"/>
                <w:szCs w:val="20"/>
              </w:rPr>
              <w:t xml:space="preserve">1.垫层部位：墓</w:t>
            </w:r>
            <w:r>
              <w:rPr>
                <w:rFonts w:ascii="宋体" w:hAnsi="宋体" w:eastAsia="宋体" w:cs="宋体"/>
                <w:spacing w:val="-1"/>
                <w:sz w:val="20"/>
                <w:szCs w:val="20"/>
              </w:rPr>
              <w:t xml:space="preserve">穴混凝土垫层模</w:t>
            </w:r>
            <w:r>
              <w:rPr>
                <w:rFonts w:ascii="宋体" w:hAnsi="宋体" w:eastAsia="宋体" w:cs="宋体"/>
                <w:sz w:val="20"/>
                <w:szCs w:val="20"/>
              </w:rPr>
              <w:t xml:space="preserve">板</w:t>
            </w:r>
            <w:r/>
          </w:p>
        </w:tc>
        <w:tc>
          <w:tcPr>
            <w:tcW w:w="899" w:type="dxa"/>
            <w:vAlign w:val="top"/>
            <w:textDirection w:val="lrTb"/>
            <w:noWrap w:val="false"/>
          </w:tcPr>
          <w:p>
            <w:pPr>
              <w:pStyle w:val="1045"/>
              <w:spacing w:line="276"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75" w:lineRule="auto"/>
            </w:pPr>
            <w:r/>
            <w:r/>
          </w:p>
          <w:p>
            <w:pPr>
              <w:ind w:right="25"/>
              <w:jc w:val="right"/>
              <w:spacing w:before="65"/>
              <w:rPr>
                <w:rFonts w:ascii="宋体" w:hAnsi="宋体" w:eastAsia="宋体" w:cs="宋体"/>
                <w:sz w:val="20"/>
                <w:szCs w:val="20"/>
              </w:rPr>
            </w:pPr>
            <w:r>
              <w:rPr>
                <w:rFonts w:ascii="宋体" w:hAnsi="宋体" w:eastAsia="宋体" w:cs="宋体"/>
                <w:spacing w:val="-4"/>
                <w:sz w:val="20"/>
                <w:szCs w:val="20"/>
              </w:rPr>
              <w:t xml:space="preserve">163.8</w:t>
            </w:r>
            <w:r/>
          </w:p>
        </w:tc>
        <w:tc>
          <w:tcPr>
            <w:tcW w:w="1061" w:type="dxa"/>
            <w:vAlign w:val="top"/>
            <w:textDirection w:val="lrTb"/>
            <w:noWrap w:val="false"/>
          </w:tcPr>
          <w:p>
            <w:pPr>
              <w:pStyle w:val="1045"/>
              <w:spacing w:line="275" w:lineRule="auto"/>
            </w:pPr>
            <w:r/>
            <w:r/>
          </w:p>
          <w:p>
            <w:pPr>
              <w:ind w:right="23"/>
              <w:jc w:val="right"/>
              <w:spacing w:before="65"/>
              <w:rPr>
                <w:rFonts w:ascii="宋体" w:hAnsi="宋体" w:eastAsia="宋体" w:cs="宋体"/>
                <w:sz w:val="20"/>
                <w:szCs w:val="20"/>
              </w:rPr>
            </w:pPr>
            <w:r>
              <w:rPr>
                <w:rFonts w:ascii="宋体" w:hAnsi="宋体" w:eastAsia="宋体" w:cs="宋体"/>
                <w:sz w:val="20"/>
                <w:szCs w:val="20"/>
              </w:rPr>
            </w:r>
            <w:r/>
          </w:p>
        </w:tc>
        <w:tc>
          <w:tcPr>
            <w:tcW w:w="1250" w:type="dxa"/>
            <w:vAlign w:val="top"/>
            <w:textDirection w:val="lrTb"/>
            <w:noWrap w:val="false"/>
          </w:tcPr>
          <w:p>
            <w:pPr>
              <w:pStyle w:val="1045"/>
              <w:spacing w:line="275"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120" w:type="dxa"/>
            <w:vAlign w:val="top"/>
            <w:textDirection w:val="lrTb"/>
            <w:noWrap w:val="false"/>
          </w:tcPr>
          <w:p>
            <w:pPr>
              <w:pStyle w:val="1045"/>
            </w:pPr>
            <w:r/>
            <w:r/>
          </w:p>
        </w:tc>
      </w:tr>
      <w:tr>
        <w:trPr>
          <w:trHeight w:val="2912"/>
        </w:trPr>
        <w:tc>
          <w:tcPr>
            <w:tcBorders>
              <w:left w:val="single" w:color="000000" w:sz="10" w:space="0"/>
            </w:tcBorders>
            <w:tcW w:w="845"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left="362"/>
              <w:spacing w:before="65" w:line="242" w:lineRule="auto"/>
              <w:rPr>
                <w:rFonts w:ascii="宋体" w:hAnsi="宋体" w:eastAsia="宋体" w:cs="宋体"/>
                <w:sz w:val="20"/>
                <w:szCs w:val="20"/>
              </w:rPr>
            </w:pPr>
            <w:r>
              <w:rPr>
                <w:rFonts w:ascii="宋体" w:hAnsi="宋体" w:eastAsia="宋体" w:cs="宋体"/>
                <w:sz w:val="20"/>
                <w:szCs w:val="20"/>
              </w:rPr>
              <w:t xml:space="preserve">4</w:t>
            </w:r>
            <w:r/>
          </w:p>
        </w:tc>
        <w:tc>
          <w:tcPr>
            <w:tcW w:w="1188"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01110800100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left="101"/>
              <w:spacing w:before="65" w:line="220" w:lineRule="auto"/>
              <w:rPr>
                <w:rFonts w:ascii="宋体" w:hAnsi="宋体" w:eastAsia="宋体" w:cs="宋体"/>
                <w:sz w:val="20"/>
                <w:szCs w:val="20"/>
              </w:rPr>
            </w:pPr>
            <w:r>
              <w:rPr>
                <w:rFonts w:ascii="宋体" w:hAnsi="宋体" w:eastAsia="宋体" w:cs="宋体"/>
                <w:spacing w:val="-1"/>
                <w:sz w:val="20"/>
                <w:szCs w:val="20"/>
              </w:rPr>
              <w:t xml:space="preserve">石材零星项目</w:t>
            </w:r>
            <w:r/>
          </w:p>
        </w:tc>
        <w:tc>
          <w:tcPr>
            <w:tcW w:w="1504" w:type="dxa"/>
            <w:vAlign w:val="top"/>
            <w:textDirection w:val="lrTb"/>
            <w:noWrap w:val="false"/>
          </w:tcPr>
          <w:p>
            <w:pPr>
              <w:ind w:left="36" w:right="58" w:firstLine="14"/>
              <w:spacing w:before="201" w:line="265" w:lineRule="auto"/>
              <w:rPr>
                <w:rFonts w:ascii="宋体" w:hAnsi="宋体" w:eastAsia="宋体" w:cs="宋体"/>
                <w:sz w:val="20"/>
                <w:szCs w:val="20"/>
              </w:rPr>
            </w:pPr>
            <w:r>
              <w:rPr>
                <w:rFonts w:ascii="宋体" w:hAnsi="宋体" w:eastAsia="宋体" w:cs="宋体"/>
                <w:spacing w:val="-2"/>
                <w:sz w:val="20"/>
                <w:szCs w:val="20"/>
              </w:rPr>
              <w:t xml:space="preserve">1.结合层厚度、</w:t>
            </w:r>
            <w:r>
              <w:rPr>
                <w:rFonts w:ascii="宋体" w:hAnsi="宋体" w:eastAsia="宋体" w:cs="宋体"/>
                <w:spacing w:val="-1"/>
                <w:sz w:val="20"/>
                <w:szCs w:val="20"/>
              </w:rPr>
              <w:t xml:space="preserve">材料种类及强度等级：素水泥浆</w:t>
            </w:r>
            <w:r>
              <w:rPr>
                <w:rFonts w:ascii="宋体" w:hAnsi="宋体" w:eastAsia="宋体" w:cs="宋体"/>
                <w:spacing w:val="-2"/>
                <w:sz w:val="20"/>
                <w:szCs w:val="20"/>
              </w:rPr>
              <w:t xml:space="preserve">粘贴</w:t>
            </w:r>
            <w:r/>
          </w:p>
          <w:p>
            <w:pPr>
              <w:ind w:left="37" w:right="58" w:firstLine="1"/>
              <w:spacing w:before="1" w:line="264" w:lineRule="auto"/>
              <w:rPr>
                <w:rFonts w:ascii="宋体" w:hAnsi="宋体" w:eastAsia="宋体" w:cs="宋体"/>
                <w:sz w:val="20"/>
                <w:szCs w:val="20"/>
              </w:rPr>
            </w:pPr>
            <w:r>
              <w:rPr>
                <w:rFonts w:ascii="宋体" w:hAnsi="宋体" w:eastAsia="宋体" w:cs="宋体"/>
                <w:spacing w:val="-1"/>
                <w:sz w:val="20"/>
                <w:szCs w:val="20"/>
              </w:rPr>
              <w:t xml:space="preserve">2.面层材料品种</w:t>
            </w:r>
            <w:r>
              <w:rPr>
                <w:rFonts w:ascii="宋体" w:hAnsi="宋体" w:eastAsia="宋体" w:cs="宋体"/>
                <w:spacing w:val="3"/>
                <w:sz w:val="20"/>
                <w:szCs w:val="20"/>
              </w:rPr>
              <w:t xml:space="preserve"> </w:t>
            </w:r>
            <w:r>
              <w:rPr>
                <w:rFonts w:ascii="宋体" w:hAnsi="宋体" w:eastAsia="宋体" w:cs="宋体"/>
                <w:spacing w:val="-2"/>
                <w:sz w:val="20"/>
                <w:szCs w:val="20"/>
              </w:rPr>
              <w:t xml:space="preserve">、规格：15mm厚花岗岩</w:t>
            </w:r>
            <w:r/>
          </w:p>
          <w:p>
            <w:pPr>
              <w:ind w:left="40" w:right="58"/>
              <w:spacing w:line="266" w:lineRule="auto"/>
              <w:rPr>
                <w:rFonts w:ascii="宋体" w:hAnsi="宋体" w:eastAsia="宋体" w:cs="宋体"/>
                <w:sz w:val="20"/>
                <w:szCs w:val="20"/>
              </w:rPr>
            </w:pPr>
            <w:r>
              <w:rPr>
                <w:rFonts w:ascii="宋体" w:hAnsi="宋体" w:eastAsia="宋体" w:cs="宋体"/>
                <w:spacing w:val="-1"/>
                <w:sz w:val="20"/>
                <w:szCs w:val="20"/>
              </w:rPr>
              <w:t xml:space="preserve">3.报价含加工倒角等全部费用</w:t>
            </w:r>
            <w:r/>
          </w:p>
        </w:tc>
        <w:tc>
          <w:tcPr>
            <w:tcW w:w="899"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right="26"/>
              <w:jc w:val="right"/>
              <w:spacing w:before="65"/>
              <w:rPr>
                <w:rFonts w:ascii="宋体" w:hAnsi="宋体" w:eastAsia="宋体" w:cs="宋体"/>
                <w:sz w:val="20"/>
                <w:szCs w:val="20"/>
              </w:rPr>
            </w:pPr>
            <w:r>
              <w:rPr>
                <w:rFonts w:ascii="宋体" w:hAnsi="宋体" w:eastAsia="宋体" w:cs="宋体"/>
                <w:spacing w:val="-3"/>
                <w:sz w:val="20"/>
                <w:szCs w:val="20"/>
              </w:rPr>
              <w:t xml:space="preserve">1846.8</w:t>
            </w:r>
            <w:r/>
          </w:p>
        </w:tc>
        <w:tc>
          <w:tcPr>
            <w:tcW w:w="1061"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250"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right="22"/>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120" w:type="dxa"/>
            <w:vAlign w:val="top"/>
            <w:textDirection w:val="lrTb"/>
            <w:noWrap w:val="false"/>
          </w:tcPr>
          <w:p>
            <w:pPr>
              <w:pStyle w:val="1045"/>
            </w:pPr>
            <w:r/>
            <w:r/>
          </w:p>
        </w:tc>
      </w:tr>
    </w:tbl>
    <w:p>
      <w:pPr>
        <w:spacing w:line="14" w:lineRule="auto"/>
        <w:rPr>
          <w:rFonts w:ascii="Arial"/>
          <w:sz w:val="2"/>
        </w:rPr>
      </w:pPr>
      <w:r>
        <w:rPr>
          <w:rFonts w:ascii="Arial"/>
          <w:sz w:val="2"/>
        </w:rPr>
      </w:r>
      <w:r/>
    </w:p>
    <w:p>
      <w:pPr>
        <w:spacing w:line="14" w:lineRule="auto"/>
        <w:rPr>
          <w:rFonts w:ascii="Arial" w:hAnsi="Arial" w:eastAsia="Arial" w:cs="Arial"/>
          <w:sz w:val="2"/>
          <w:szCs w:val="2"/>
        </w:rPr>
        <w:sectPr>
          <w:footnotePr/>
          <w:endnotePr/>
          <w:type w:val="nextPage"/>
          <w:pgSz w:w="11906" w:h="16838" w:orient="portrait"/>
          <w:pgMar w:top="1020" w:right="390" w:bottom="969" w:left="836" w:header="0" w:footer="775" w:gutter="0"/>
          <w:cols w:num="1" w:sep="0" w:space="1701" w:equalWidth="0">
            <w:col w:w="10679" w:space="0"/>
          </w:cols>
          <w:docGrid w:linePitch="360"/>
        </w:sectPr>
      </w:pPr>
      <w:r>
        <w:rPr>
          <w:rFonts w:ascii="Arial" w:hAnsi="Arial" w:eastAsia="Arial" w:cs="Arial"/>
          <w:sz w:val="2"/>
          <w:szCs w:val="2"/>
        </w:rPr>
      </w:r>
      <w:r/>
    </w:p>
    <w:p>
      <w:pPr>
        <w:ind w:left="2972"/>
        <w:spacing w:before="61" w:line="222" w:lineRule="auto"/>
        <w:rPr>
          <w:rFonts w:ascii="宋体" w:hAnsi="宋体" w:eastAsia="宋体" w:cs="宋体"/>
          <w:sz w:val="30"/>
          <w:szCs w:val="30"/>
        </w:rPr>
      </w:pPr>
      <w:r>
        <w:rPr>
          <w:rFonts w:ascii="宋体" w:hAnsi="宋体" w:eastAsia="宋体" w:cs="宋体"/>
          <w:b/>
          <w:bCs/>
          <w:spacing w:val="1"/>
          <w:sz w:val="30"/>
          <w:szCs w:val="30"/>
        </w:rPr>
        <w:t xml:space="preserve">全费用工程量清单与计价表</w:t>
      </w:r>
      <w:r>
        <w:rPr>
          <w:rFonts w:hint="eastAsia" w:ascii="宋体" w:hAnsi="宋体" w:eastAsia="宋体" w:cs="宋体"/>
          <w:b/>
          <w:bCs/>
          <w:spacing w:val="1"/>
          <w:sz w:val="30"/>
          <w:szCs w:val="30"/>
          <w:lang w:eastAsia="zh-CN"/>
        </w:rPr>
        <w:t xml:space="preserve">（</w:t>
      </w:r>
      <w:r>
        <w:rPr>
          <w:rFonts w:ascii="宋体" w:hAnsi="宋体" w:eastAsia="宋体" w:cs="宋体"/>
          <w:b/>
          <w:bCs/>
          <w:spacing w:val="1"/>
          <w:sz w:val="30"/>
          <w:szCs w:val="30"/>
        </w:rPr>
        <w:t xml:space="preserve">清单</w:t>
      </w:r>
      <w:r>
        <w:rPr>
          <w:rFonts w:hint="eastAsia" w:ascii="宋体" w:hAnsi="宋体" w:eastAsia="宋体" w:cs="宋体"/>
          <w:b/>
          <w:bCs/>
          <w:spacing w:val="1"/>
          <w:sz w:val="30"/>
          <w:szCs w:val="30"/>
          <w:lang w:eastAsia="zh-CN"/>
        </w:rPr>
        <w:t xml:space="preserve">）</w:t>
      </w:r>
      <w:r/>
    </w:p>
    <w:p>
      <w:pPr>
        <w:pStyle w:val="1015"/>
        <w:spacing w:line="326" w:lineRule="auto"/>
      </w:pPr>
      <w:r/>
      <w:r/>
    </w:p>
    <w:p>
      <w:pPr>
        <w:ind w:left="47"/>
        <w:spacing w:before="55" w:line="224" w:lineRule="auto"/>
        <w:rPr>
          <w:rFonts w:ascii="黑体" w:hAnsi="黑体" w:eastAsia="黑体" w:cs="黑体"/>
          <w:sz w:val="17"/>
          <w:szCs w:val="17"/>
        </w:rPr>
      </w:pPr>
      <w:r>
        <w:rPr>
          <w:rFonts w:ascii="黑体" w:hAnsi="黑体" w:eastAsia="黑体" w:cs="黑体"/>
          <w:b/>
          <w:bCs/>
          <w:spacing w:val="-1"/>
          <w:sz w:val="17"/>
          <w:szCs w:val="17"/>
        </w:rPr>
        <w:t xml:space="preserve">工程名称：公益性公墓改造工程</w:t>
      </w:r>
      <w:r/>
    </w:p>
    <w:p>
      <w:pPr>
        <w:spacing w:line="36" w:lineRule="auto"/>
        <w:rPr>
          <w:rFonts w:ascii="Arial"/>
          <w:sz w:val="2"/>
        </w:rPr>
      </w:pPr>
      <w:r>
        <w:rPr>
          <w:rFonts w:ascii="Arial"/>
          <w:sz w:val="2"/>
        </w:rPr>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jc w:val="right"/>
        <w:spacing w:before="55" w:line="224" w:lineRule="auto"/>
        <w:rPr>
          <w:rFonts w:ascii="黑体" w:hAnsi="黑体" w:eastAsia="黑体" w:cs="黑体"/>
          <w:sz w:val="17"/>
          <w:szCs w:val="17"/>
        </w:rPr>
      </w:pPr>
      <w:r>
        <w:rPr>
          <w:rFonts w:ascii="黑体" w:hAnsi="黑体" w:eastAsia="黑体" w:cs="黑体"/>
          <w:b/>
          <w:bCs/>
          <w:spacing w:val="-3"/>
          <w:sz w:val="17"/>
          <w:szCs w:val="17"/>
        </w:rPr>
        <w:t xml:space="preserve">第2页</w:t>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ind w:left="94"/>
        <w:spacing w:before="55" w:line="225" w:lineRule="auto"/>
        <w:rPr>
          <w:rFonts w:ascii="黑体" w:hAnsi="黑体" w:eastAsia="黑体" w:cs="黑体"/>
          <w:sz w:val="17"/>
          <w:szCs w:val="17"/>
        </w:rPr>
      </w:pPr>
      <w:r>
        <w:rPr>
          <w:rFonts w:ascii="黑体" w:hAnsi="黑体" w:eastAsia="黑体" w:cs="黑体"/>
          <w:b/>
          <w:bCs/>
          <w:spacing w:val="-3"/>
          <w:sz w:val="17"/>
          <w:szCs w:val="17"/>
        </w:rPr>
        <w:t xml:space="preserve">共5页</w:t>
      </w:r>
      <w:r/>
    </w:p>
    <w:p>
      <w:pPr>
        <w:spacing w:line="225" w:lineRule="auto"/>
        <w:rPr>
          <w:rFonts w:ascii="黑体" w:hAnsi="黑体" w:eastAsia="黑体" w:cs="黑体"/>
          <w:sz w:val="17"/>
          <w:szCs w:val="17"/>
        </w:rPr>
        <w:sectPr>
          <w:footnotePr/>
          <w:endnotePr/>
          <w:type w:val="nextPage"/>
          <w:pgSz w:w="11906" w:h="16838" w:orient="portrait"/>
          <w:pgMar w:top="1020" w:right="390" w:bottom="969" w:left="836" w:header="0" w:footer="775" w:gutter="0"/>
          <w:cols w:num="3" w:sep="0" w:space="1701" w:equalWidth="0">
            <w:col w:w="9139" w:space="100"/>
            <w:col w:w="720" w:space="0"/>
            <w:col w:w="720" w:space="0"/>
          </w:cols>
          <w:docGrid w:linePitch="360"/>
        </w:sectPr>
      </w:pPr>
      <w:r>
        <w:rPr>
          <w:rFonts w:ascii="黑体" w:hAnsi="黑体" w:eastAsia="黑体" w:cs="黑体"/>
          <w:sz w:val="17"/>
          <w:szCs w:val="17"/>
        </w:rPr>
      </w:r>
      <w:r/>
    </w:p>
    <w:p>
      <w:pPr>
        <w:spacing w:line="201" w:lineRule="exact"/>
      </w:pPr>
      <w:r/>
      <w:r/>
    </w:p>
    <w:tbl>
      <w:tblPr>
        <w:tblStyle w:val="1044"/>
        <w:tblW w:w="1002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188"/>
        <w:gridCol w:w="1414"/>
        <w:gridCol w:w="1504"/>
        <w:gridCol w:w="899"/>
        <w:gridCol w:w="854"/>
        <w:gridCol w:w="1021"/>
        <w:gridCol w:w="1270"/>
        <w:gridCol w:w="1030"/>
      </w:tblGrid>
      <w:tr>
        <w:trPr>
          <w:trHeight w:val="442"/>
        </w:trPr>
        <w:tc>
          <w:tcPr>
            <w:tcBorders>
              <w:top w:val="single" w:color="000000" w:sz="10" w:space="0"/>
              <w:left w:val="single" w:color="000000" w:sz="10" w:space="0"/>
              <w:bottom w:val="none" w:color="000000" w:sz="4" w:space="0"/>
            </w:tcBorders>
            <w:tcW w:w="845" w:type="dxa"/>
            <w:vAlign w:val="top"/>
            <w:vMerge w:val="restart"/>
            <w:textDirection w:val="lrTb"/>
            <w:noWrap w:val="false"/>
          </w:tcPr>
          <w:p>
            <w:pPr>
              <w:pStyle w:val="1045"/>
              <w:spacing w:line="396" w:lineRule="auto"/>
            </w:pPr>
            <w:r/>
            <w:r/>
          </w:p>
          <w:p>
            <w:pPr>
              <w:ind w:left="211"/>
              <w:spacing w:before="65" w:line="222" w:lineRule="auto"/>
              <w:rPr>
                <w:rFonts w:ascii="宋体" w:hAnsi="宋体" w:eastAsia="宋体" w:cs="宋体"/>
                <w:sz w:val="20"/>
                <w:szCs w:val="20"/>
              </w:rPr>
            </w:pPr>
            <w:r>
              <w:rPr>
                <w:rFonts w:ascii="宋体" w:hAnsi="宋体" w:eastAsia="宋体" w:cs="宋体"/>
                <w:b/>
                <w:bCs/>
                <w:spacing w:val="-4"/>
                <w:sz w:val="20"/>
                <w:szCs w:val="20"/>
              </w:rPr>
              <w:t xml:space="preserve">序号</w:t>
            </w:r>
            <w:r/>
          </w:p>
        </w:tc>
        <w:tc>
          <w:tcPr>
            <w:tcBorders>
              <w:top w:val="single" w:color="000000" w:sz="10" w:space="0"/>
              <w:bottom w:val="none" w:color="000000" w:sz="4" w:space="0"/>
            </w:tcBorders>
            <w:tcW w:w="1188" w:type="dxa"/>
            <w:vAlign w:val="top"/>
            <w:vMerge w:val="restart"/>
            <w:textDirection w:val="lrTb"/>
            <w:noWrap w:val="false"/>
          </w:tcPr>
          <w:p>
            <w:pPr>
              <w:pStyle w:val="1045"/>
              <w:spacing w:line="396" w:lineRule="auto"/>
            </w:pPr>
            <w:r/>
            <w:r/>
          </w:p>
          <w:p>
            <w:pPr>
              <w:ind w:left="189"/>
              <w:spacing w:before="65" w:line="220" w:lineRule="auto"/>
              <w:rPr>
                <w:rFonts w:ascii="宋体" w:hAnsi="宋体" w:eastAsia="宋体" w:cs="宋体"/>
                <w:sz w:val="20"/>
                <w:szCs w:val="20"/>
              </w:rPr>
            </w:pPr>
            <w:r>
              <w:rPr>
                <w:rFonts w:ascii="宋体" w:hAnsi="宋体" w:eastAsia="宋体" w:cs="宋体"/>
                <w:b/>
                <w:bCs/>
                <w:spacing w:val="-4"/>
                <w:sz w:val="20"/>
                <w:szCs w:val="20"/>
              </w:rPr>
              <w:t xml:space="preserve">项目编码</w:t>
            </w:r>
            <w:r/>
          </w:p>
        </w:tc>
        <w:tc>
          <w:tcPr>
            <w:tcBorders>
              <w:top w:val="single" w:color="000000" w:sz="10" w:space="0"/>
              <w:bottom w:val="none" w:color="000000" w:sz="4" w:space="0"/>
            </w:tcBorders>
            <w:tcW w:w="1414" w:type="dxa"/>
            <w:vAlign w:val="top"/>
            <w:vMerge w:val="restart"/>
            <w:textDirection w:val="lrTb"/>
            <w:noWrap w:val="false"/>
          </w:tcPr>
          <w:p>
            <w:pPr>
              <w:pStyle w:val="1045"/>
              <w:spacing w:line="396" w:lineRule="auto"/>
            </w:pPr>
            <w:r/>
            <w:r/>
          </w:p>
          <w:p>
            <w:pPr>
              <w:ind w:left="304"/>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项目名称</w:t>
            </w:r>
            <w:r/>
          </w:p>
        </w:tc>
        <w:tc>
          <w:tcPr>
            <w:tcBorders>
              <w:top w:val="single" w:color="000000" w:sz="10" w:space="0"/>
              <w:bottom w:val="none" w:color="000000" w:sz="4" w:space="0"/>
            </w:tcBorders>
            <w:tcW w:w="1504" w:type="dxa"/>
            <w:vAlign w:val="top"/>
            <w:vMerge w:val="restart"/>
            <w:textDirection w:val="lrTb"/>
            <w:noWrap w:val="false"/>
          </w:tcPr>
          <w:p>
            <w:pPr>
              <w:pStyle w:val="1045"/>
              <w:spacing w:line="396" w:lineRule="auto"/>
            </w:pPr>
            <w:r/>
            <w:r/>
          </w:p>
          <w:p>
            <w:pPr>
              <w:ind w:left="152"/>
              <w:spacing w:before="65" w:line="220" w:lineRule="auto"/>
              <w:rPr>
                <w:rFonts w:ascii="宋体" w:hAnsi="宋体" w:eastAsia="宋体" w:cs="宋体"/>
                <w:sz w:val="20"/>
                <w:szCs w:val="20"/>
              </w:rPr>
            </w:pPr>
            <w:r>
              <w:rPr>
                <w:rFonts w:ascii="宋体" w:hAnsi="宋体" w:eastAsia="宋体" w:cs="宋体"/>
                <w:b/>
                <w:bCs/>
                <w:spacing w:val="-3"/>
                <w:sz w:val="20"/>
                <w:szCs w:val="20"/>
              </w:rPr>
              <w:t xml:space="preserve">项目特征描述</w:t>
            </w:r>
            <w:r/>
          </w:p>
        </w:tc>
        <w:tc>
          <w:tcPr>
            <w:tcBorders>
              <w:top w:val="single" w:color="000000" w:sz="10" w:space="0"/>
              <w:bottom w:val="none" w:color="000000" w:sz="4" w:space="0"/>
            </w:tcBorders>
            <w:tcW w:w="899" w:type="dxa"/>
            <w:vAlign w:val="top"/>
            <w:vMerge w:val="restart"/>
            <w:textDirection w:val="lrTb"/>
            <w:noWrap w:val="false"/>
          </w:tcPr>
          <w:p>
            <w:pPr>
              <w:pStyle w:val="1045"/>
              <w:spacing w:line="253" w:lineRule="auto"/>
            </w:pPr>
            <w:r/>
            <w:r/>
          </w:p>
          <w:p>
            <w:pPr>
              <w:ind w:left="253" w:right="242" w:hanging="1"/>
              <w:spacing w:before="65" w:line="267" w:lineRule="auto"/>
              <w:rPr>
                <w:rFonts w:ascii="宋体" w:hAnsi="宋体" w:eastAsia="宋体" w:cs="宋体"/>
                <w:sz w:val="20"/>
                <w:szCs w:val="20"/>
              </w:rPr>
            </w:pPr>
            <w:r>
              <w:rPr>
                <w:rFonts w:ascii="宋体" w:hAnsi="宋体" w:eastAsia="宋体" w:cs="宋体"/>
                <w:b/>
                <w:bCs/>
                <w:spacing w:val="-6"/>
                <w:sz w:val="20"/>
                <w:szCs w:val="20"/>
              </w:rPr>
              <w:t xml:space="preserve">计量单位</w:t>
            </w:r>
            <w:r/>
          </w:p>
        </w:tc>
        <w:tc>
          <w:tcPr>
            <w:tcBorders>
              <w:top w:val="single" w:color="000000" w:sz="10" w:space="0"/>
              <w:bottom w:val="none" w:color="000000" w:sz="4" w:space="0"/>
            </w:tcBorders>
            <w:tcW w:w="854" w:type="dxa"/>
            <w:vAlign w:val="top"/>
            <w:vMerge w:val="restart"/>
            <w:textDirection w:val="lrTb"/>
            <w:noWrap w:val="false"/>
          </w:tcPr>
          <w:p>
            <w:pPr>
              <w:pStyle w:val="1045"/>
              <w:spacing w:line="396" w:lineRule="auto"/>
            </w:pPr>
            <w:r/>
            <w:r/>
          </w:p>
          <w:p>
            <w:pPr>
              <w:ind w:left="133"/>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工程量</w:t>
            </w:r>
            <w:r/>
          </w:p>
        </w:tc>
        <w:tc>
          <w:tcPr>
            <w:gridSpan w:val="3"/>
            <w:tcBorders>
              <w:top w:val="single" w:color="000000" w:sz="10" w:space="0"/>
              <w:right w:val="single" w:color="000000" w:sz="10" w:space="0"/>
            </w:tcBorders>
            <w:tcW w:w="3321" w:type="dxa"/>
            <w:vAlign w:val="top"/>
            <w:textDirection w:val="lrTb"/>
            <w:noWrap w:val="false"/>
          </w:tcPr>
          <w:p>
            <w:pPr>
              <w:ind w:left="1194"/>
              <w:spacing w:before="106" w:line="220" w:lineRule="auto"/>
              <w:rPr>
                <w:rFonts w:ascii="宋体" w:hAnsi="宋体" w:eastAsia="宋体" w:cs="宋体"/>
                <w:sz w:val="20"/>
                <w:szCs w:val="20"/>
              </w:rPr>
            </w:pPr>
            <w:r>
              <w:rPr>
                <w:rFonts w:ascii="宋体" w:hAnsi="宋体" w:eastAsia="宋体" w:cs="宋体"/>
                <w:b/>
                <w:bCs/>
                <w:spacing w:val="-3"/>
                <w:sz w:val="20"/>
                <w:szCs w:val="20"/>
              </w:rPr>
              <w:t xml:space="preserve">全费用金额</w:t>
            </w:r>
            <w:r>
              <w:rPr>
                <w:rFonts w:hint="eastAsia" w:ascii="宋体" w:hAnsi="宋体" w:eastAsia="宋体" w:cs="宋体"/>
                <w:b/>
                <w:bCs/>
                <w:spacing w:val="-3"/>
                <w:sz w:val="20"/>
                <w:szCs w:val="20"/>
                <w:lang w:eastAsia="zh-CN"/>
              </w:rPr>
              <w:t xml:space="preserve">（</w:t>
            </w:r>
            <w:r>
              <w:rPr>
                <w:rFonts w:ascii="宋体" w:hAnsi="宋体" w:eastAsia="宋体" w:cs="宋体"/>
                <w:b/>
                <w:bCs/>
                <w:spacing w:val="-3"/>
                <w:sz w:val="20"/>
                <w:szCs w:val="20"/>
              </w:rPr>
              <w:t xml:space="preserve">元</w:t>
            </w:r>
            <w:r>
              <w:rPr>
                <w:rFonts w:hint="eastAsia" w:ascii="宋体" w:hAnsi="宋体" w:eastAsia="宋体" w:cs="宋体"/>
                <w:b/>
                <w:bCs/>
                <w:spacing w:val="-3"/>
                <w:sz w:val="20"/>
                <w:szCs w:val="20"/>
                <w:lang w:eastAsia="zh-CN"/>
              </w:rPr>
              <w:t xml:space="preserve">）</w:t>
            </w:r>
            <w:r/>
          </w:p>
        </w:tc>
      </w:tr>
      <w:tr>
        <w:trPr>
          <w:trHeight w:val="703"/>
        </w:trPr>
        <w:tc>
          <w:tcPr>
            <w:tcBorders>
              <w:top w:val="none" w:color="000000" w:sz="4" w:space="0"/>
              <w:left w:val="single" w:color="000000" w:sz="10" w:space="0"/>
            </w:tcBorders>
            <w:tcW w:w="845" w:type="dxa"/>
            <w:vAlign w:val="top"/>
            <w:vMerge w:val="continue"/>
            <w:textDirection w:val="lrTb"/>
            <w:noWrap w:val="false"/>
          </w:tcPr>
          <w:p>
            <w:pPr>
              <w:pStyle w:val="1045"/>
            </w:pPr>
            <w:r/>
            <w:r/>
          </w:p>
        </w:tc>
        <w:tc>
          <w:tcPr>
            <w:tcBorders>
              <w:top w:val="none" w:color="000000" w:sz="4" w:space="0"/>
            </w:tcBorders>
            <w:tcW w:w="1188" w:type="dxa"/>
            <w:vAlign w:val="top"/>
            <w:vMerge w:val="continue"/>
            <w:textDirection w:val="lrTb"/>
            <w:noWrap w:val="false"/>
          </w:tcPr>
          <w:p>
            <w:pPr>
              <w:pStyle w:val="1045"/>
            </w:pPr>
            <w:r/>
            <w:r/>
          </w:p>
        </w:tc>
        <w:tc>
          <w:tcPr>
            <w:tcBorders>
              <w:top w:val="none" w:color="000000" w:sz="4" w:space="0"/>
            </w:tcBorders>
            <w:tcW w:w="1414" w:type="dxa"/>
            <w:vAlign w:val="top"/>
            <w:vMerge w:val="continue"/>
            <w:textDirection w:val="lrTb"/>
            <w:noWrap w:val="false"/>
          </w:tcPr>
          <w:p>
            <w:pPr>
              <w:pStyle w:val="1045"/>
            </w:pPr>
            <w:r/>
            <w:r/>
          </w:p>
        </w:tc>
        <w:tc>
          <w:tcPr>
            <w:tcBorders>
              <w:top w:val="none" w:color="000000" w:sz="4" w:space="0"/>
            </w:tcBorders>
            <w:tcW w:w="1504" w:type="dxa"/>
            <w:vAlign w:val="top"/>
            <w:vMerge w:val="continue"/>
            <w:textDirection w:val="lrTb"/>
            <w:noWrap w:val="false"/>
          </w:tcPr>
          <w:p>
            <w:pPr>
              <w:pStyle w:val="1045"/>
            </w:pPr>
            <w:r/>
            <w:r/>
          </w:p>
        </w:tc>
        <w:tc>
          <w:tcPr>
            <w:tcBorders>
              <w:top w:val="none" w:color="000000" w:sz="4" w:space="0"/>
            </w:tcBorders>
            <w:tcW w:w="899" w:type="dxa"/>
            <w:vAlign w:val="top"/>
            <w:vMerge w:val="continue"/>
            <w:textDirection w:val="lrTb"/>
            <w:noWrap w:val="false"/>
          </w:tcPr>
          <w:p>
            <w:pPr>
              <w:pStyle w:val="1045"/>
            </w:pPr>
            <w:r/>
            <w:r/>
          </w:p>
        </w:tc>
        <w:tc>
          <w:tcPr>
            <w:tcBorders>
              <w:top w:val="none" w:color="000000" w:sz="4" w:space="0"/>
            </w:tcBorders>
            <w:tcW w:w="854" w:type="dxa"/>
            <w:vAlign w:val="top"/>
            <w:vMerge w:val="continue"/>
            <w:textDirection w:val="lrTb"/>
            <w:noWrap w:val="false"/>
          </w:tcPr>
          <w:p>
            <w:pPr>
              <w:pStyle w:val="1045"/>
            </w:pPr>
            <w:r/>
            <w:r/>
          </w:p>
        </w:tc>
        <w:tc>
          <w:tcPr>
            <w:tcW w:w="1021" w:type="dxa"/>
            <w:vAlign w:val="top"/>
            <w:textDirection w:val="lrTb"/>
            <w:noWrap w:val="false"/>
          </w:tcPr>
          <w:p>
            <w:pPr>
              <w:ind w:left="222"/>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综合单价</w:t>
            </w:r>
            <w:r/>
          </w:p>
        </w:tc>
        <w:tc>
          <w:tcPr>
            <w:tcW w:w="1270" w:type="dxa"/>
            <w:vAlign w:val="top"/>
            <w:textDirection w:val="lrTb"/>
            <w:noWrap w:val="false"/>
          </w:tcPr>
          <w:p>
            <w:pPr>
              <w:ind w:left="333"/>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综合合价</w:t>
            </w:r>
            <w:r/>
          </w:p>
        </w:tc>
        <w:tc>
          <w:tcPr>
            <w:tcBorders>
              <w:right w:val="single" w:color="000000" w:sz="10" w:space="0"/>
            </w:tcBorders>
            <w:tcW w:w="1030" w:type="dxa"/>
            <w:vAlign w:val="top"/>
            <w:textDirection w:val="lrTb"/>
            <w:noWrap w:val="false"/>
          </w:tcPr>
          <w:p>
            <w:pPr>
              <w:ind w:left="271"/>
              <w:spacing w:before="238" w:line="219" w:lineRule="auto"/>
              <w:rPr>
                <w:rFonts w:ascii="宋体" w:hAnsi="宋体" w:eastAsia="宋体" w:cs="宋体"/>
                <w:sz w:val="20"/>
                <w:szCs w:val="20"/>
              </w:rPr>
            </w:pPr>
            <w:r>
              <w:rPr>
                <w:rFonts w:ascii="宋体" w:hAnsi="宋体" w:eastAsia="宋体" w:cs="宋体"/>
                <w:b/>
                <w:bCs/>
                <w:spacing w:val="-5"/>
                <w:sz w:val="20"/>
                <w:szCs w:val="20"/>
              </w:rPr>
              <w:t xml:space="preserve">暂估价</w:t>
            </w:r>
            <w:r/>
          </w:p>
        </w:tc>
      </w:tr>
      <w:tr>
        <w:trPr>
          <w:trHeight w:val="2913"/>
        </w:trPr>
        <w:tc>
          <w:tcPr>
            <w:tcBorders>
              <w:left w:val="single" w:color="000000" w:sz="10" w:space="0"/>
            </w:tcBorders>
            <w:tcW w:w="845"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ind w:left="367"/>
              <w:spacing w:before="65" w:line="241" w:lineRule="auto"/>
              <w:rPr>
                <w:rFonts w:ascii="宋体" w:hAnsi="宋体" w:eastAsia="宋体" w:cs="宋体"/>
                <w:sz w:val="20"/>
                <w:szCs w:val="20"/>
              </w:rPr>
            </w:pPr>
            <w:r>
              <w:rPr>
                <w:rFonts w:ascii="宋体" w:hAnsi="宋体" w:eastAsia="宋体" w:cs="宋体"/>
                <w:sz w:val="20"/>
                <w:szCs w:val="20"/>
              </w:rPr>
              <w:t xml:space="preserve">5</w:t>
            </w:r>
            <w:r/>
          </w:p>
        </w:tc>
        <w:tc>
          <w:tcPr>
            <w:tcW w:w="1188"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01110800100</w:t>
            </w:r>
            <w:r/>
          </w:p>
          <w:p>
            <w:pPr>
              <w:ind w:left="541"/>
              <w:spacing w:before="25" w:line="241" w:lineRule="auto"/>
              <w:rPr>
                <w:rFonts w:ascii="宋体" w:hAnsi="宋体" w:eastAsia="宋体" w:cs="宋体"/>
                <w:sz w:val="20"/>
                <w:szCs w:val="20"/>
              </w:rPr>
            </w:pPr>
            <w:r>
              <w:rPr>
                <w:rFonts w:ascii="宋体" w:hAnsi="宋体" w:eastAsia="宋体" w:cs="宋体"/>
                <w:sz w:val="20"/>
                <w:szCs w:val="20"/>
              </w:rPr>
              <w:t xml:space="preserve">5</w:t>
            </w:r>
            <w:r/>
          </w:p>
        </w:tc>
        <w:tc>
          <w:tcPr>
            <w:tcW w:w="1414"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ind w:left="101"/>
              <w:spacing w:before="65" w:line="220" w:lineRule="auto"/>
              <w:rPr>
                <w:rFonts w:ascii="宋体" w:hAnsi="宋体" w:eastAsia="宋体" w:cs="宋体"/>
                <w:sz w:val="20"/>
                <w:szCs w:val="20"/>
              </w:rPr>
            </w:pPr>
            <w:r>
              <w:rPr>
                <w:rFonts w:ascii="宋体" w:hAnsi="宋体" w:eastAsia="宋体" w:cs="宋体"/>
                <w:spacing w:val="-1"/>
                <w:sz w:val="20"/>
                <w:szCs w:val="20"/>
              </w:rPr>
              <w:t xml:space="preserve">石材零星项目</w:t>
            </w:r>
            <w:r/>
          </w:p>
        </w:tc>
        <w:tc>
          <w:tcPr>
            <w:tcW w:w="1504" w:type="dxa"/>
            <w:vAlign w:val="top"/>
            <w:textDirection w:val="lrTb"/>
            <w:noWrap w:val="false"/>
          </w:tcPr>
          <w:p>
            <w:pPr>
              <w:ind w:left="51" w:right="58"/>
              <w:spacing w:before="54" w:line="265" w:lineRule="auto"/>
              <w:rPr>
                <w:rFonts w:ascii="宋体" w:hAnsi="宋体" w:eastAsia="宋体" w:cs="宋体"/>
                <w:sz w:val="20"/>
                <w:szCs w:val="20"/>
              </w:rPr>
            </w:pPr>
            <w:r>
              <w:rPr>
                <w:rFonts w:ascii="宋体" w:hAnsi="宋体" w:eastAsia="宋体" w:cs="宋体"/>
                <w:spacing w:val="-2"/>
                <w:sz w:val="20"/>
                <w:szCs w:val="20"/>
              </w:rPr>
              <w:t xml:space="preserve">1.面层材料品种</w:t>
            </w:r>
            <w:r>
              <w:rPr>
                <w:rFonts w:ascii="宋体" w:hAnsi="宋体" w:eastAsia="宋体" w:cs="宋体"/>
                <w:sz w:val="20"/>
                <w:szCs w:val="20"/>
              </w:rPr>
              <w:t xml:space="preserve"> </w:t>
            </w:r>
            <w:r>
              <w:rPr>
                <w:rFonts w:ascii="宋体" w:hAnsi="宋体" w:eastAsia="宋体" w:cs="宋体"/>
                <w:spacing w:val="-5"/>
                <w:sz w:val="20"/>
                <w:szCs w:val="20"/>
              </w:rPr>
              <w:t xml:space="preserve">、规格：暂定</w:t>
            </w:r>
            <w:r/>
          </w:p>
          <w:p>
            <w:pPr>
              <w:ind w:left="37" w:right="158" w:hanging="1"/>
              <w:spacing w:before="1" w:line="264" w:lineRule="auto"/>
              <w:rPr>
                <w:rFonts w:ascii="宋体" w:hAnsi="宋体" w:eastAsia="宋体" w:cs="宋体"/>
                <w:sz w:val="20"/>
                <w:szCs w:val="20"/>
              </w:rPr>
            </w:pPr>
            <w:r>
              <w:rPr>
                <w:rFonts w:ascii="宋体" w:hAnsi="宋体" w:eastAsia="宋体" w:cs="宋体"/>
                <w:spacing w:val="-1"/>
                <w:sz w:val="20"/>
                <w:szCs w:val="20"/>
              </w:rPr>
              <w:t xml:space="preserve">450*850mm光面花岗岩卧碑</w:t>
            </w:r>
            <w:r/>
          </w:p>
          <w:p>
            <w:pPr>
              <w:ind w:left="50" w:right="58" w:hanging="11"/>
              <w:spacing w:before="1" w:line="264" w:lineRule="auto"/>
              <w:rPr>
                <w:rFonts w:ascii="宋体" w:hAnsi="宋体" w:eastAsia="宋体" w:cs="宋体"/>
                <w:sz w:val="20"/>
                <w:szCs w:val="20"/>
              </w:rPr>
            </w:pPr>
            <w:r>
              <w:rPr>
                <w:rFonts w:ascii="宋体" w:hAnsi="宋体" w:eastAsia="宋体" w:cs="宋体"/>
                <w:spacing w:val="-1"/>
                <w:sz w:val="20"/>
                <w:szCs w:val="20"/>
              </w:rPr>
              <w:t xml:space="preserve">2.厚度：前50mm</w:t>
            </w:r>
            <w:r>
              <w:rPr>
                <w:rFonts w:ascii="宋体" w:hAnsi="宋体" w:eastAsia="宋体" w:cs="宋体"/>
                <w:spacing w:val="5"/>
                <w:sz w:val="20"/>
                <w:szCs w:val="20"/>
              </w:rPr>
              <w:t xml:space="preserve"> </w:t>
            </w:r>
            <w:r>
              <w:rPr>
                <w:rFonts w:ascii="宋体" w:hAnsi="宋体" w:eastAsia="宋体" w:cs="宋体"/>
                <w:spacing w:val="-3"/>
                <w:sz w:val="20"/>
                <w:szCs w:val="20"/>
              </w:rPr>
              <w:t xml:space="preserve">、后80mm</w:t>
            </w:r>
            <w:r/>
          </w:p>
          <w:p>
            <w:pPr>
              <w:ind w:left="39" w:right="58" w:firstLine="1"/>
              <w:spacing w:before="1" w:line="260" w:lineRule="auto"/>
              <w:rPr>
                <w:rFonts w:ascii="宋体" w:hAnsi="宋体" w:eastAsia="宋体" w:cs="宋体"/>
                <w:sz w:val="20"/>
                <w:szCs w:val="20"/>
              </w:rPr>
            </w:pPr>
            <w:r>
              <w:rPr>
                <w:rFonts w:ascii="宋体" w:hAnsi="宋体" w:eastAsia="宋体" w:cs="宋体"/>
                <w:spacing w:val="-1"/>
                <w:sz w:val="20"/>
                <w:szCs w:val="20"/>
              </w:rPr>
              <w:t xml:space="preserve">3.样式尺寸由建设单位选定，不限于上述描述特</w:t>
            </w:r>
            <w:r>
              <w:rPr>
                <w:rFonts w:ascii="宋体" w:hAnsi="宋体" w:eastAsia="宋体" w:cs="宋体"/>
                <w:sz w:val="20"/>
                <w:szCs w:val="20"/>
              </w:rPr>
              <w:t xml:space="preserve">征</w:t>
            </w:r>
            <w:r/>
          </w:p>
        </w:tc>
        <w:tc>
          <w:tcPr>
            <w:tcW w:w="899"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pStyle w:val="1045"/>
              <w:spacing w:line="255"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pStyle w:val="1045"/>
              <w:spacing w:line="255" w:lineRule="auto"/>
            </w:pPr>
            <w:r/>
            <w:r/>
          </w:p>
          <w:p>
            <w:pPr>
              <w:ind w:right="28"/>
              <w:jc w:val="right"/>
              <w:spacing w:before="65"/>
              <w:rPr>
                <w:rFonts w:ascii="宋体" w:hAnsi="宋体" w:eastAsia="宋体" w:cs="宋体"/>
                <w:sz w:val="20"/>
                <w:szCs w:val="20"/>
              </w:rPr>
            </w:pPr>
            <w:r>
              <w:rPr>
                <w:rFonts w:ascii="宋体" w:hAnsi="宋体" w:eastAsia="宋体" w:cs="宋体"/>
                <w:spacing w:val="-2"/>
                <w:sz w:val="20"/>
                <w:szCs w:val="20"/>
              </w:rPr>
              <w:t xml:space="preserve">344.25</w:t>
            </w:r>
            <w:r/>
          </w:p>
        </w:tc>
        <w:tc>
          <w:tcPr>
            <w:tcW w:w="1021"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pStyle w:val="1045"/>
              <w:spacing w:line="255"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270"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pStyle w:val="1045"/>
              <w:spacing w:line="255" w:lineRule="auto"/>
            </w:pPr>
            <w:r/>
            <w:r/>
          </w:p>
          <w:p>
            <w:pPr>
              <w:ind w:right="22"/>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r>
        <w:trPr>
          <w:trHeight w:val="2052"/>
        </w:trPr>
        <w:tc>
          <w:tcPr>
            <w:tcBorders>
              <w:left w:val="single" w:color="000000" w:sz="10" w:space="0"/>
            </w:tcBorders>
            <w:tcW w:w="845" w:type="dxa"/>
            <w:vAlign w:val="top"/>
            <w:textDirection w:val="lrTb"/>
            <w:noWrap w:val="false"/>
          </w:tcPr>
          <w:p>
            <w:pPr>
              <w:pStyle w:val="1045"/>
              <w:spacing w:line="281" w:lineRule="auto"/>
            </w:pPr>
            <w:r/>
            <w:r/>
          </w:p>
          <w:p>
            <w:pPr>
              <w:pStyle w:val="1045"/>
              <w:spacing w:line="282" w:lineRule="auto"/>
            </w:pPr>
            <w:r/>
            <w:r/>
          </w:p>
          <w:p>
            <w:pPr>
              <w:pStyle w:val="1045"/>
              <w:spacing w:line="282" w:lineRule="auto"/>
            </w:pPr>
            <w:r/>
            <w:r/>
          </w:p>
          <w:p>
            <w:pPr>
              <w:ind w:left="364"/>
              <w:spacing w:before="65" w:line="241" w:lineRule="auto"/>
              <w:rPr>
                <w:rFonts w:ascii="宋体" w:hAnsi="宋体" w:eastAsia="宋体" w:cs="宋体"/>
                <w:sz w:val="20"/>
                <w:szCs w:val="20"/>
              </w:rPr>
            </w:pPr>
            <w:r>
              <w:rPr>
                <w:rFonts w:ascii="宋体" w:hAnsi="宋体" w:eastAsia="宋体" w:cs="宋体"/>
                <w:sz w:val="20"/>
                <w:szCs w:val="20"/>
              </w:rPr>
              <w:t xml:space="preserve">6</w:t>
            </w:r>
            <w:r/>
          </w:p>
        </w:tc>
        <w:tc>
          <w:tcPr>
            <w:tcW w:w="1188" w:type="dxa"/>
            <w:vAlign w:val="top"/>
            <w:textDirection w:val="lrTb"/>
            <w:noWrap w:val="false"/>
          </w:tcPr>
          <w:p>
            <w:pPr>
              <w:pStyle w:val="1045"/>
              <w:spacing w:line="351" w:lineRule="auto"/>
            </w:pPr>
            <w:r/>
            <w:r/>
          </w:p>
          <w:p>
            <w:pPr>
              <w:pStyle w:val="1045"/>
              <w:spacing w:line="352"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01120200100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351" w:lineRule="auto"/>
            </w:pPr>
            <w:r/>
            <w:r/>
          </w:p>
          <w:p>
            <w:pPr>
              <w:pStyle w:val="1045"/>
              <w:spacing w:line="351" w:lineRule="auto"/>
            </w:pPr>
            <w:r/>
            <w:r/>
          </w:p>
          <w:p>
            <w:pPr>
              <w:ind w:left="502" w:right="105" w:hanging="401"/>
              <w:spacing w:before="65" w:line="267" w:lineRule="auto"/>
              <w:rPr>
                <w:rFonts w:ascii="宋体" w:hAnsi="宋体" w:eastAsia="宋体" w:cs="宋体"/>
                <w:sz w:val="20"/>
                <w:szCs w:val="20"/>
              </w:rPr>
            </w:pPr>
            <w:r>
              <w:rPr>
                <w:rFonts w:ascii="宋体" w:hAnsi="宋体" w:eastAsia="宋体" w:cs="宋体"/>
                <w:spacing w:val="-1"/>
                <w:sz w:val="20"/>
                <w:szCs w:val="20"/>
              </w:rPr>
              <w:t xml:space="preserve">零星项目一般</w:t>
            </w:r>
            <w:r>
              <w:rPr>
                <w:rFonts w:ascii="宋体" w:hAnsi="宋体" w:eastAsia="宋体" w:cs="宋体"/>
                <w:spacing w:val="-2"/>
                <w:sz w:val="20"/>
                <w:szCs w:val="20"/>
              </w:rPr>
              <w:t xml:space="preserve">抹灰</w:t>
            </w:r>
            <w:r/>
          </w:p>
        </w:tc>
        <w:tc>
          <w:tcPr>
            <w:tcW w:w="1504" w:type="dxa"/>
            <w:vAlign w:val="top"/>
            <w:textDirection w:val="lrTb"/>
            <w:noWrap w:val="false"/>
          </w:tcPr>
          <w:p>
            <w:pPr>
              <w:ind w:left="36" w:right="58" w:firstLine="14"/>
              <w:spacing w:before="199" w:line="265" w:lineRule="auto"/>
              <w:rPr>
                <w:rFonts w:ascii="宋体" w:hAnsi="宋体" w:eastAsia="宋体" w:cs="宋体"/>
                <w:sz w:val="20"/>
                <w:szCs w:val="20"/>
              </w:rPr>
            </w:pPr>
            <w:r>
              <w:rPr>
                <w:rFonts w:ascii="宋体" w:hAnsi="宋体" w:eastAsia="宋体" w:cs="宋体"/>
                <w:spacing w:val="-2"/>
                <w:sz w:val="20"/>
                <w:szCs w:val="20"/>
              </w:rPr>
              <w:t xml:space="preserve">1.基层类型、部</w:t>
            </w:r>
            <w:r>
              <w:rPr>
                <w:rFonts w:ascii="宋体" w:hAnsi="宋体" w:eastAsia="宋体" w:cs="宋体"/>
                <w:spacing w:val="-1"/>
                <w:sz w:val="20"/>
                <w:szCs w:val="20"/>
              </w:rPr>
              <w:t xml:space="preserve">位：混凝土砌块</w:t>
            </w:r>
            <w:r/>
          </w:p>
          <w:p>
            <w:pPr>
              <w:ind w:left="36" w:right="58" w:firstLine="2"/>
              <w:spacing w:before="2" w:line="265" w:lineRule="auto"/>
              <w:rPr>
                <w:rFonts w:ascii="宋体" w:hAnsi="宋体" w:eastAsia="宋体" w:cs="宋体"/>
                <w:sz w:val="20"/>
                <w:szCs w:val="20"/>
              </w:rPr>
            </w:pPr>
            <w:r>
              <w:rPr>
                <w:rFonts w:ascii="宋体" w:hAnsi="宋体" w:eastAsia="宋体" w:cs="宋体"/>
                <w:spacing w:val="-1"/>
                <w:sz w:val="20"/>
                <w:szCs w:val="20"/>
              </w:rPr>
              <w:t xml:space="preserve">2.各层厚度、材料种类及强度等级：20厚1:3水</w:t>
            </w:r>
            <w:r>
              <w:rPr>
                <w:rFonts w:ascii="宋体" w:hAnsi="宋体" w:eastAsia="宋体" w:cs="宋体"/>
                <w:spacing w:val="-2"/>
                <w:sz w:val="20"/>
                <w:szCs w:val="20"/>
              </w:rPr>
              <w:t xml:space="preserve">泥砂浆</w:t>
            </w:r>
            <w:r/>
          </w:p>
        </w:tc>
        <w:tc>
          <w:tcPr>
            <w:tcW w:w="899"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81" w:lineRule="auto"/>
            </w:pPr>
            <w:r/>
            <w:r/>
          </w:p>
          <w:p>
            <w:pPr>
              <w:pStyle w:val="1045"/>
              <w:spacing w:line="282" w:lineRule="auto"/>
            </w:pPr>
            <w:r/>
            <w:r/>
          </w:p>
          <w:p>
            <w:pPr>
              <w:pStyle w:val="1045"/>
              <w:spacing w:line="282" w:lineRule="auto"/>
            </w:pPr>
            <w:r/>
            <w:r/>
          </w:p>
          <w:p>
            <w:pPr>
              <w:ind w:right="26"/>
              <w:jc w:val="right"/>
              <w:spacing w:before="65"/>
              <w:rPr>
                <w:rFonts w:ascii="宋体" w:hAnsi="宋体" w:eastAsia="宋体" w:cs="宋体"/>
                <w:sz w:val="20"/>
                <w:szCs w:val="20"/>
              </w:rPr>
            </w:pPr>
            <w:r>
              <w:rPr>
                <w:rFonts w:ascii="宋体" w:hAnsi="宋体" w:eastAsia="宋体" w:cs="宋体"/>
                <w:spacing w:val="-3"/>
                <w:sz w:val="20"/>
                <w:szCs w:val="20"/>
              </w:rPr>
              <w:t xml:space="preserve">1846.8</w:t>
            </w:r>
            <w:r/>
          </w:p>
        </w:tc>
        <w:tc>
          <w:tcPr>
            <w:tcW w:w="1021" w:type="dxa"/>
            <w:vAlign w:val="top"/>
            <w:textDirection w:val="lrTb"/>
            <w:noWrap w:val="false"/>
          </w:tcPr>
          <w:p>
            <w:pPr>
              <w:pStyle w:val="1045"/>
              <w:spacing w:line="281" w:lineRule="auto"/>
            </w:pPr>
            <w:r/>
            <w:r/>
          </w:p>
          <w:p>
            <w:pPr>
              <w:pStyle w:val="1045"/>
              <w:spacing w:line="282" w:lineRule="auto"/>
            </w:pPr>
            <w:r/>
            <w:r/>
          </w:p>
          <w:p>
            <w:pPr>
              <w:pStyle w:val="1045"/>
              <w:spacing w:line="282"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270" w:type="dxa"/>
            <w:vAlign w:val="top"/>
            <w:textDirection w:val="lrTb"/>
            <w:noWrap w:val="false"/>
          </w:tcPr>
          <w:p>
            <w:pPr>
              <w:pStyle w:val="1045"/>
              <w:spacing w:line="281" w:lineRule="auto"/>
            </w:pPr>
            <w:r/>
            <w:r/>
          </w:p>
          <w:p>
            <w:pPr>
              <w:pStyle w:val="1045"/>
              <w:spacing w:line="282" w:lineRule="auto"/>
            </w:pPr>
            <w:r/>
            <w:r/>
          </w:p>
          <w:p>
            <w:pPr>
              <w:pStyle w:val="1045"/>
              <w:spacing w:line="282"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r>
        <w:trPr>
          <w:trHeight w:val="443"/>
        </w:trPr>
        <w:tc>
          <w:tcPr>
            <w:tcBorders>
              <w:left w:val="single" w:color="000000" w:sz="10" w:space="0"/>
            </w:tcBorders>
            <w:tcW w:w="845" w:type="dxa"/>
            <w:vAlign w:val="top"/>
            <w:textDirection w:val="lrTb"/>
            <w:noWrap w:val="false"/>
          </w:tcPr>
          <w:p>
            <w:pPr>
              <w:pStyle w:val="1045"/>
            </w:pPr>
            <w:r/>
            <w:r/>
          </w:p>
        </w:tc>
        <w:tc>
          <w:tcPr>
            <w:tcW w:w="1188" w:type="dxa"/>
            <w:vAlign w:val="top"/>
            <w:textDirection w:val="lrTb"/>
            <w:noWrap w:val="false"/>
          </w:tcPr>
          <w:p>
            <w:pPr>
              <w:pStyle w:val="1045"/>
            </w:pPr>
            <w:r/>
            <w:r/>
          </w:p>
        </w:tc>
        <w:tc>
          <w:tcPr>
            <w:gridSpan w:val="2"/>
            <w:tcW w:w="2918" w:type="dxa"/>
            <w:vAlign w:val="top"/>
            <w:textDirection w:val="lrTb"/>
            <w:noWrap w:val="false"/>
          </w:tcPr>
          <w:p>
            <w:pPr>
              <w:ind w:left="554"/>
              <w:spacing w:before="112" w:line="221" w:lineRule="auto"/>
              <w:rPr>
                <w:rFonts w:ascii="宋体" w:hAnsi="宋体" w:eastAsia="宋体" w:cs="宋体"/>
                <w:sz w:val="20"/>
                <w:szCs w:val="20"/>
              </w:rPr>
            </w:pPr>
            <w:r>
              <w:rPr>
                <w:rFonts w:ascii="宋体" w:hAnsi="宋体" w:eastAsia="宋体" w:cs="宋体"/>
                <w:spacing w:val="-1"/>
                <w:sz w:val="20"/>
                <w:szCs w:val="20"/>
              </w:rPr>
              <w:t xml:space="preserve">0104 单穴公墓100座</w:t>
            </w:r>
            <w:r/>
          </w:p>
        </w:tc>
        <w:tc>
          <w:tcPr>
            <w:tcW w:w="899" w:type="dxa"/>
            <w:vAlign w:val="top"/>
            <w:textDirection w:val="lrTb"/>
            <w:noWrap w:val="false"/>
          </w:tcPr>
          <w:p>
            <w:pPr>
              <w:pStyle w:val="1045"/>
            </w:pPr>
            <w:r/>
            <w:r/>
          </w:p>
        </w:tc>
        <w:tc>
          <w:tcPr>
            <w:tcW w:w="854" w:type="dxa"/>
            <w:vAlign w:val="top"/>
            <w:textDirection w:val="lrTb"/>
            <w:noWrap w:val="false"/>
          </w:tcPr>
          <w:p>
            <w:pPr>
              <w:ind w:right="7"/>
              <w:jc w:val="right"/>
              <w:spacing w:before="112" w:line="242" w:lineRule="auto"/>
              <w:rPr>
                <w:rFonts w:ascii="宋体" w:hAnsi="宋体" w:eastAsia="宋体" w:cs="宋体"/>
                <w:sz w:val="20"/>
                <w:szCs w:val="20"/>
              </w:rPr>
            </w:pPr>
            <w:r>
              <w:rPr>
                <w:rFonts w:ascii="宋体" w:hAnsi="宋体" w:eastAsia="宋体" w:cs="宋体"/>
                <w:sz w:val="20"/>
                <w:szCs w:val="20"/>
              </w:rPr>
              <w:t xml:space="preserve">1</w:t>
            </w:r>
            <w:r/>
          </w:p>
        </w:tc>
        <w:tc>
          <w:tcPr>
            <w:tcW w:w="1021" w:type="dxa"/>
            <w:vAlign w:val="top"/>
            <w:textDirection w:val="lrTb"/>
            <w:noWrap w:val="false"/>
          </w:tcPr>
          <w:p>
            <w:pPr>
              <w:pStyle w:val="1045"/>
            </w:pPr>
            <w:r/>
            <w:r/>
          </w:p>
        </w:tc>
        <w:tc>
          <w:tcPr>
            <w:tcW w:w="1270" w:type="dxa"/>
            <w:vAlign w:val="top"/>
            <w:textDirection w:val="lrTb"/>
            <w:noWrap w:val="false"/>
          </w:tcPr>
          <w:p>
            <w:pPr>
              <w:ind w:right="21"/>
              <w:jc w:val="right"/>
              <w:spacing w:before="112"/>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r>
        <w:trPr>
          <w:trHeight w:val="3196"/>
        </w:trPr>
        <w:tc>
          <w:tcPr>
            <w:tcBorders>
              <w:left w:val="single" w:color="000000" w:sz="10" w:space="0"/>
            </w:tcBorders>
            <w:tcW w:w="845"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left="367"/>
              <w:spacing w:before="65" w:line="241" w:lineRule="auto"/>
              <w:rPr>
                <w:rFonts w:ascii="宋体" w:hAnsi="宋体" w:eastAsia="宋体" w:cs="宋体"/>
                <w:sz w:val="20"/>
                <w:szCs w:val="20"/>
              </w:rPr>
            </w:pPr>
            <w:r>
              <w:rPr>
                <w:rFonts w:ascii="宋体" w:hAnsi="宋体" w:eastAsia="宋体" w:cs="宋体"/>
                <w:sz w:val="20"/>
                <w:szCs w:val="20"/>
              </w:rPr>
              <w:t xml:space="preserve">7</w:t>
            </w:r>
            <w:r/>
          </w:p>
        </w:tc>
        <w:tc>
          <w:tcPr>
            <w:tcW w:w="1188"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01040100800</w:t>
            </w:r>
            <w:r/>
          </w:p>
          <w:p>
            <w:pPr>
              <w:ind w:left="539"/>
              <w:spacing w:before="25" w:line="242" w:lineRule="auto"/>
              <w:rPr>
                <w:rFonts w:ascii="宋体" w:hAnsi="宋体" w:eastAsia="宋体" w:cs="宋体"/>
                <w:sz w:val="20"/>
                <w:szCs w:val="20"/>
              </w:rPr>
            </w:pPr>
            <w:r>
              <w:rPr>
                <w:rFonts w:ascii="宋体" w:hAnsi="宋体" w:eastAsia="宋体" w:cs="宋体"/>
                <w:sz w:val="20"/>
                <w:szCs w:val="20"/>
              </w:rPr>
              <w:t xml:space="preserve">2</w:t>
            </w:r>
            <w:r/>
          </w:p>
        </w:tc>
        <w:tc>
          <w:tcPr>
            <w:tcW w:w="1414"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left="302"/>
              <w:spacing w:before="65" w:line="220" w:lineRule="auto"/>
              <w:rPr>
                <w:rFonts w:ascii="宋体" w:hAnsi="宋体" w:eastAsia="宋体" w:cs="宋体"/>
                <w:sz w:val="20"/>
                <w:szCs w:val="20"/>
              </w:rPr>
            </w:pPr>
            <w:r>
              <w:rPr>
                <w:rFonts w:ascii="宋体" w:hAnsi="宋体" w:eastAsia="宋体" w:cs="宋体"/>
                <w:spacing w:val="-1"/>
                <w:sz w:val="20"/>
                <w:szCs w:val="20"/>
              </w:rPr>
              <w:t xml:space="preserve">零星砌砖</w:t>
            </w:r>
            <w:r/>
          </w:p>
        </w:tc>
        <w:tc>
          <w:tcPr>
            <w:tcW w:w="1504" w:type="dxa"/>
            <w:vAlign w:val="top"/>
            <w:textDirection w:val="lrTb"/>
            <w:noWrap w:val="false"/>
          </w:tcPr>
          <w:p>
            <w:pPr>
              <w:ind w:left="36" w:right="58" w:firstLine="15"/>
              <w:spacing w:before="199" w:line="265" w:lineRule="auto"/>
              <w:rPr>
                <w:rFonts w:ascii="宋体" w:hAnsi="宋体" w:eastAsia="宋体" w:cs="宋体"/>
                <w:sz w:val="20"/>
                <w:szCs w:val="20"/>
              </w:rPr>
            </w:pPr>
            <w:r>
              <w:rPr>
                <w:rFonts w:ascii="宋体" w:hAnsi="宋体" w:eastAsia="宋体" w:cs="宋体"/>
                <w:spacing w:val="-2"/>
                <w:sz w:val="20"/>
                <w:szCs w:val="20"/>
              </w:rPr>
              <w:t xml:space="preserve">1.零星砌砖名称</w:t>
            </w:r>
            <w:r>
              <w:rPr>
                <w:rFonts w:ascii="宋体" w:hAnsi="宋体" w:eastAsia="宋体" w:cs="宋体"/>
                <w:sz w:val="20"/>
                <w:szCs w:val="20"/>
              </w:rPr>
              <w:t xml:space="preserve"> </w:t>
            </w:r>
            <w:r>
              <w:rPr>
                <w:rFonts w:ascii="宋体" w:hAnsi="宋体" w:eastAsia="宋体" w:cs="宋体"/>
                <w:spacing w:val="-2"/>
                <w:sz w:val="20"/>
                <w:szCs w:val="20"/>
              </w:rPr>
              <w:t xml:space="preserve">、部位：单穴公</w:t>
            </w:r>
            <w:r>
              <w:rPr>
                <w:rFonts w:ascii="宋体" w:hAnsi="宋体" w:eastAsia="宋体" w:cs="宋体"/>
                <w:spacing w:val="-1"/>
                <w:sz w:val="20"/>
                <w:szCs w:val="20"/>
              </w:rPr>
              <w:t xml:space="preserve">墓砖基础</w:t>
            </w:r>
            <w:r/>
          </w:p>
          <w:p>
            <w:pPr>
              <w:ind w:left="50" w:right="58" w:hanging="11"/>
              <w:spacing w:before="1" w:line="264" w:lineRule="auto"/>
              <w:rPr>
                <w:rFonts w:ascii="宋体" w:hAnsi="宋体" w:eastAsia="宋体" w:cs="宋体"/>
                <w:sz w:val="20"/>
                <w:szCs w:val="20"/>
              </w:rPr>
            </w:pPr>
            <w:r>
              <w:rPr>
                <w:rFonts w:ascii="宋体" w:hAnsi="宋体" w:eastAsia="宋体" w:cs="宋体"/>
                <w:spacing w:val="-1"/>
                <w:sz w:val="20"/>
                <w:szCs w:val="20"/>
              </w:rPr>
              <w:t xml:space="preserve">2.砖品种、规格</w:t>
            </w:r>
            <w:r>
              <w:rPr>
                <w:rFonts w:ascii="宋体" w:hAnsi="宋体" w:eastAsia="宋体" w:cs="宋体"/>
                <w:spacing w:val="3"/>
                <w:sz w:val="20"/>
                <w:szCs w:val="20"/>
              </w:rPr>
              <w:t xml:space="preserve"> </w:t>
            </w:r>
            <w:r>
              <w:rPr>
                <w:rFonts w:ascii="宋体" w:hAnsi="宋体" w:eastAsia="宋体" w:cs="宋体"/>
                <w:spacing w:val="-9"/>
                <w:sz w:val="20"/>
                <w:szCs w:val="20"/>
              </w:rPr>
              <w:t xml:space="preserve">、强度等级：</w:t>
            </w:r>
            <w:r/>
          </w:p>
          <w:p>
            <w:pPr>
              <w:ind w:left="30"/>
              <w:spacing w:line="221" w:lineRule="auto"/>
              <w:rPr>
                <w:rFonts w:ascii="宋体" w:hAnsi="宋体" w:eastAsia="宋体" w:cs="宋体"/>
                <w:sz w:val="20"/>
                <w:szCs w:val="20"/>
              </w:rPr>
            </w:pPr>
            <w:r>
              <w:rPr>
                <w:rFonts w:ascii="宋体" w:hAnsi="宋体" w:eastAsia="宋体" w:cs="宋体"/>
                <w:sz w:val="20"/>
                <w:szCs w:val="20"/>
              </w:rPr>
              <w:t xml:space="preserve">MU15混凝土砌块</w:t>
            </w:r>
            <w:r/>
          </w:p>
          <w:p>
            <w:pPr>
              <w:ind w:left="53" w:right="58" w:hanging="13"/>
              <w:spacing w:before="46" w:line="265" w:lineRule="auto"/>
              <w:rPr>
                <w:rFonts w:ascii="宋体" w:hAnsi="宋体" w:eastAsia="宋体" w:cs="宋体"/>
                <w:sz w:val="20"/>
                <w:szCs w:val="20"/>
              </w:rPr>
            </w:pPr>
            <w:r>
              <w:rPr>
                <w:rFonts w:ascii="宋体" w:hAnsi="宋体" w:eastAsia="宋体" w:cs="宋体"/>
                <w:spacing w:val="-1"/>
                <w:sz w:val="20"/>
                <w:szCs w:val="20"/>
              </w:rPr>
              <w:t xml:space="preserve">3.砂浆强度等级</w:t>
            </w:r>
            <w:r>
              <w:rPr>
                <w:rFonts w:ascii="宋体" w:hAnsi="宋体" w:eastAsia="宋体" w:cs="宋体"/>
                <w:spacing w:val="1"/>
                <w:sz w:val="20"/>
                <w:szCs w:val="20"/>
              </w:rPr>
              <w:t xml:space="preserve"> </w:t>
            </w:r>
            <w:r>
              <w:rPr>
                <w:rFonts w:ascii="宋体" w:hAnsi="宋体" w:eastAsia="宋体" w:cs="宋体"/>
                <w:spacing w:val="-4"/>
                <w:sz w:val="20"/>
                <w:szCs w:val="20"/>
              </w:rPr>
              <w:t xml:space="preserve">：DMM5.0</w:t>
            </w:r>
            <w:r/>
          </w:p>
          <w:p>
            <w:pPr>
              <w:ind w:left="36"/>
              <w:spacing w:line="220" w:lineRule="auto"/>
              <w:rPr>
                <w:rFonts w:ascii="宋体" w:hAnsi="宋体" w:eastAsia="宋体" w:cs="宋体"/>
                <w:sz w:val="20"/>
                <w:szCs w:val="20"/>
              </w:rPr>
            </w:pPr>
            <w:r>
              <w:rPr>
                <w:rFonts w:ascii="宋体" w:hAnsi="宋体" w:eastAsia="宋体" w:cs="宋体"/>
                <w:spacing w:val="-6"/>
                <w:sz w:val="20"/>
                <w:szCs w:val="20"/>
              </w:rPr>
              <w:t xml:space="preserve">4.整体规格：</w:t>
            </w:r>
            <w:r/>
          </w:p>
          <w:p>
            <w:pPr>
              <w:ind w:left="41"/>
              <w:spacing w:before="47" w:line="241" w:lineRule="auto"/>
              <w:rPr>
                <w:rFonts w:ascii="宋体" w:hAnsi="宋体" w:eastAsia="宋体" w:cs="宋体"/>
                <w:sz w:val="20"/>
                <w:szCs w:val="20"/>
              </w:rPr>
            </w:pPr>
            <w:r>
              <w:rPr>
                <w:rFonts w:ascii="宋体" w:hAnsi="宋体" w:eastAsia="宋体" w:cs="宋体"/>
                <w:spacing w:val="-1"/>
                <w:sz w:val="20"/>
                <w:szCs w:val="20"/>
              </w:rPr>
              <w:t xml:space="preserve">700*770*300mm</w:t>
            </w:r>
            <w:r/>
          </w:p>
        </w:tc>
        <w:tc>
          <w:tcPr>
            <w:tcW w:w="899"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left="347"/>
              <w:spacing w:before="65" w:line="241" w:lineRule="auto"/>
              <w:rPr>
                <w:rFonts w:ascii="宋体" w:hAnsi="宋体" w:eastAsia="宋体" w:cs="宋体"/>
                <w:sz w:val="20"/>
                <w:szCs w:val="20"/>
              </w:rPr>
            </w:pPr>
            <w:r>
              <w:rPr>
                <w:rFonts w:ascii="宋体" w:hAnsi="宋体" w:eastAsia="宋体" w:cs="宋体"/>
                <w:spacing w:val="-1"/>
                <w:sz w:val="20"/>
                <w:szCs w:val="20"/>
              </w:rPr>
              <w:t xml:space="preserve">m3</w:t>
            </w:r>
            <w:r/>
          </w:p>
        </w:tc>
        <w:tc>
          <w:tcPr>
            <w:tcW w:w="854"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right="25"/>
              <w:jc w:val="right"/>
              <w:spacing w:before="65"/>
              <w:rPr>
                <w:rFonts w:ascii="宋体" w:hAnsi="宋体" w:eastAsia="宋体" w:cs="宋体"/>
                <w:sz w:val="20"/>
                <w:szCs w:val="20"/>
              </w:rPr>
            </w:pPr>
            <w:r>
              <w:rPr>
                <w:rFonts w:ascii="宋体" w:hAnsi="宋体" w:eastAsia="宋体" w:cs="宋体"/>
                <w:spacing w:val="-4"/>
                <w:sz w:val="20"/>
                <w:szCs w:val="20"/>
              </w:rPr>
              <w:t xml:space="preserve">11.37</w:t>
            </w:r>
            <w:r/>
          </w:p>
        </w:tc>
        <w:tc>
          <w:tcPr>
            <w:tcW w:w="1021"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right="23"/>
              <w:jc w:val="right"/>
              <w:spacing w:before="65"/>
              <w:rPr>
                <w:rFonts w:ascii="宋体" w:hAnsi="宋体" w:eastAsia="宋体" w:cs="宋体"/>
                <w:sz w:val="20"/>
                <w:szCs w:val="20"/>
              </w:rPr>
            </w:pPr>
            <w:r>
              <w:rPr>
                <w:rFonts w:ascii="宋体" w:hAnsi="宋体" w:eastAsia="宋体" w:cs="宋体"/>
                <w:sz w:val="20"/>
                <w:szCs w:val="20"/>
              </w:rPr>
            </w:r>
            <w:r/>
          </w:p>
        </w:tc>
        <w:tc>
          <w:tcPr>
            <w:tcW w:w="1270" w:type="dxa"/>
            <w:vAlign w:val="top"/>
            <w:textDirection w:val="lrTb"/>
            <w:noWrap w:val="false"/>
          </w:tcPr>
          <w:p>
            <w:pPr>
              <w:pStyle w:val="1045"/>
              <w:spacing w:line="283" w:lineRule="auto"/>
            </w:pPr>
            <w:r/>
            <w:r/>
          </w:p>
          <w:p>
            <w:pPr>
              <w:pStyle w:val="1045"/>
              <w:spacing w:line="283" w:lineRule="auto"/>
            </w:pPr>
            <w:r/>
            <w:r/>
          </w:p>
          <w:p>
            <w:pPr>
              <w:pStyle w:val="1045"/>
              <w:spacing w:line="283" w:lineRule="auto"/>
            </w:pPr>
            <w:r/>
            <w:r/>
          </w:p>
          <w:p>
            <w:pPr>
              <w:pStyle w:val="1045"/>
              <w:spacing w:line="283" w:lineRule="auto"/>
            </w:pPr>
            <w:r/>
            <w:r/>
          </w:p>
          <w:p>
            <w:pPr>
              <w:pStyle w:val="1045"/>
              <w:spacing w:line="284"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r>
        <w:trPr>
          <w:trHeight w:val="2335"/>
        </w:trPr>
        <w:tc>
          <w:tcPr>
            <w:tcBorders>
              <w:left w:val="single" w:color="000000" w:sz="10" w:space="0"/>
            </w:tcBorders>
            <w:tcW w:w="845" w:type="dxa"/>
            <w:vAlign w:val="top"/>
            <w:textDirection w:val="lrTb"/>
            <w:noWrap w:val="false"/>
          </w:tcPr>
          <w:p>
            <w:pPr>
              <w:pStyle w:val="1045"/>
              <w:spacing w:line="247" w:lineRule="auto"/>
            </w:pPr>
            <w:r/>
            <w:r/>
          </w:p>
          <w:p>
            <w:pPr>
              <w:pStyle w:val="1045"/>
              <w:spacing w:line="247" w:lineRule="auto"/>
            </w:pPr>
            <w:r/>
            <w:r/>
          </w:p>
          <w:p>
            <w:pPr>
              <w:pStyle w:val="1045"/>
              <w:spacing w:line="248" w:lineRule="auto"/>
            </w:pPr>
            <w:r/>
            <w:r/>
          </w:p>
          <w:p>
            <w:pPr>
              <w:pStyle w:val="1045"/>
              <w:spacing w:line="248" w:lineRule="auto"/>
            </w:pPr>
            <w:r/>
            <w:r/>
          </w:p>
          <w:p>
            <w:pPr>
              <w:ind w:left="363"/>
              <w:spacing w:before="65" w:line="241" w:lineRule="auto"/>
              <w:rPr>
                <w:rFonts w:ascii="宋体" w:hAnsi="宋体" w:eastAsia="宋体" w:cs="宋体"/>
                <w:sz w:val="20"/>
                <w:szCs w:val="20"/>
              </w:rPr>
            </w:pPr>
            <w:r>
              <w:rPr>
                <w:rFonts w:ascii="宋体" w:hAnsi="宋体" w:eastAsia="宋体" w:cs="宋体"/>
                <w:sz w:val="20"/>
                <w:szCs w:val="20"/>
              </w:rPr>
              <w:t xml:space="preserve">8</w:t>
            </w:r>
            <w:r/>
          </w:p>
        </w:tc>
        <w:tc>
          <w:tcPr>
            <w:tcW w:w="1188" w:type="dxa"/>
            <w:vAlign w:val="top"/>
            <w:textDirection w:val="lrTb"/>
            <w:noWrap w:val="false"/>
          </w:tcPr>
          <w:p>
            <w:pPr>
              <w:pStyle w:val="1045"/>
              <w:spacing w:line="282" w:lineRule="auto"/>
            </w:pPr>
            <w:r/>
            <w:r/>
          </w:p>
          <w:p>
            <w:pPr>
              <w:pStyle w:val="1045"/>
              <w:spacing w:line="283" w:lineRule="auto"/>
            </w:pPr>
            <w:r/>
            <w:r/>
          </w:p>
          <w:p>
            <w:pPr>
              <w:pStyle w:val="1045"/>
              <w:spacing w:line="283"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01050100100</w:t>
            </w:r>
            <w:r/>
          </w:p>
          <w:p>
            <w:pPr>
              <w:ind w:left="539"/>
              <w:spacing w:before="25" w:line="242" w:lineRule="auto"/>
              <w:rPr>
                <w:rFonts w:ascii="宋体" w:hAnsi="宋体" w:eastAsia="宋体" w:cs="宋体"/>
                <w:sz w:val="20"/>
                <w:szCs w:val="20"/>
              </w:rPr>
            </w:pPr>
            <w:r>
              <w:rPr>
                <w:rFonts w:ascii="宋体" w:hAnsi="宋体" w:eastAsia="宋体" w:cs="宋体"/>
                <w:sz w:val="20"/>
                <w:szCs w:val="20"/>
              </w:rPr>
              <w:t xml:space="preserve">2</w:t>
            </w:r>
            <w:r/>
          </w:p>
        </w:tc>
        <w:tc>
          <w:tcPr>
            <w:tcW w:w="1414" w:type="dxa"/>
            <w:vAlign w:val="top"/>
            <w:textDirection w:val="lrTb"/>
            <w:noWrap w:val="false"/>
          </w:tcPr>
          <w:p>
            <w:pPr>
              <w:pStyle w:val="1045"/>
              <w:spacing w:line="247" w:lineRule="auto"/>
            </w:pPr>
            <w:r/>
            <w:r/>
          </w:p>
          <w:p>
            <w:pPr>
              <w:pStyle w:val="1045"/>
              <w:spacing w:line="248" w:lineRule="auto"/>
            </w:pPr>
            <w:r/>
            <w:r/>
          </w:p>
          <w:p>
            <w:pPr>
              <w:pStyle w:val="1045"/>
              <w:spacing w:line="248" w:lineRule="auto"/>
            </w:pPr>
            <w:r/>
            <w:r/>
          </w:p>
          <w:p>
            <w:pPr>
              <w:pStyle w:val="1045"/>
              <w:spacing w:line="248" w:lineRule="auto"/>
            </w:pPr>
            <w:r/>
            <w:r/>
          </w:p>
          <w:p>
            <w:pPr>
              <w:ind w:left="301"/>
              <w:spacing w:before="65" w:line="220" w:lineRule="auto"/>
              <w:rPr>
                <w:rFonts w:ascii="宋体" w:hAnsi="宋体" w:eastAsia="宋体" w:cs="宋体"/>
                <w:sz w:val="20"/>
                <w:szCs w:val="20"/>
              </w:rPr>
            </w:pPr>
            <w:r>
              <w:rPr>
                <w:rFonts w:ascii="宋体" w:hAnsi="宋体" w:eastAsia="宋体" w:cs="宋体"/>
                <w:spacing w:val="-1"/>
                <w:sz w:val="20"/>
                <w:szCs w:val="20"/>
              </w:rPr>
              <w:t xml:space="preserve">基础垫层</w:t>
            </w:r>
            <w:r/>
          </w:p>
        </w:tc>
        <w:tc>
          <w:tcPr>
            <w:tcW w:w="1504" w:type="dxa"/>
            <w:vAlign w:val="top"/>
            <w:textDirection w:val="lrTb"/>
            <w:noWrap w:val="false"/>
          </w:tcPr>
          <w:p>
            <w:pPr>
              <w:ind w:left="41" w:right="305" w:firstLine="10"/>
              <w:spacing w:before="58" w:line="265" w:lineRule="auto"/>
              <w:rPr>
                <w:rFonts w:ascii="宋体" w:hAnsi="宋体" w:eastAsia="宋体" w:cs="宋体"/>
                <w:sz w:val="20"/>
                <w:szCs w:val="20"/>
              </w:rPr>
            </w:pPr>
            <w:r>
              <w:rPr>
                <w:rFonts w:ascii="宋体" w:hAnsi="宋体" w:eastAsia="宋体" w:cs="宋体"/>
                <w:spacing w:val="-10"/>
                <w:sz w:val="20"/>
                <w:szCs w:val="20"/>
              </w:rPr>
              <w:t xml:space="preserve">1.基础形式：</w:t>
            </w:r>
            <w:r>
              <w:rPr>
                <w:rFonts w:ascii="宋体" w:hAnsi="宋体" w:eastAsia="宋体" w:cs="宋体"/>
                <w:spacing w:val="5"/>
                <w:sz w:val="20"/>
                <w:szCs w:val="20"/>
              </w:rPr>
              <w:t xml:space="preserve"> </w:t>
            </w:r>
            <w:r>
              <w:rPr>
                <w:rFonts w:ascii="宋体" w:hAnsi="宋体" w:eastAsia="宋体" w:cs="宋体"/>
                <w:spacing w:val="-1"/>
                <w:sz w:val="20"/>
                <w:szCs w:val="20"/>
              </w:rPr>
              <w:t xml:space="preserve">700*770方形</w:t>
            </w:r>
            <w:r/>
          </w:p>
          <w:p>
            <w:pPr>
              <w:ind w:left="39"/>
              <w:spacing w:line="221" w:lineRule="auto"/>
              <w:rPr>
                <w:rFonts w:ascii="宋体" w:hAnsi="宋体" w:eastAsia="宋体" w:cs="宋体"/>
                <w:sz w:val="20"/>
                <w:szCs w:val="20"/>
              </w:rPr>
            </w:pPr>
            <w:r>
              <w:rPr>
                <w:rFonts w:ascii="宋体" w:hAnsi="宋体" w:eastAsia="宋体" w:cs="宋体"/>
                <w:spacing w:val="-1"/>
                <w:sz w:val="20"/>
                <w:szCs w:val="20"/>
              </w:rPr>
              <w:t xml:space="preserve">2.厚度：5cm</w:t>
            </w:r>
            <w:r/>
          </w:p>
          <w:p>
            <w:pPr>
              <w:ind w:left="35" w:right="58" w:firstLine="5"/>
              <w:spacing w:before="44" w:line="265" w:lineRule="auto"/>
              <w:rPr>
                <w:rFonts w:ascii="宋体" w:hAnsi="宋体" w:eastAsia="宋体" w:cs="宋体"/>
                <w:sz w:val="20"/>
                <w:szCs w:val="20"/>
              </w:rPr>
            </w:pPr>
            <w:r>
              <w:rPr>
                <w:rFonts w:ascii="宋体" w:hAnsi="宋体" w:eastAsia="宋体" w:cs="宋体"/>
                <w:spacing w:val="-1"/>
                <w:sz w:val="20"/>
                <w:szCs w:val="20"/>
              </w:rPr>
              <w:t xml:space="preserve">3.材料品种、强</w:t>
            </w:r>
            <w:r>
              <w:rPr>
                <w:rFonts w:ascii="宋体" w:hAnsi="宋体" w:eastAsia="宋体" w:cs="宋体"/>
                <w:sz w:val="20"/>
                <w:szCs w:val="20"/>
              </w:rPr>
              <w:t xml:space="preserve">度要求、配比： C20预拌商品混</w:t>
            </w:r>
            <w:r>
              <w:rPr>
                <w:rFonts w:ascii="宋体" w:hAnsi="宋体" w:eastAsia="宋体" w:cs="宋体"/>
                <w:spacing w:val="-2"/>
                <w:sz w:val="20"/>
                <w:szCs w:val="20"/>
              </w:rPr>
              <w:t xml:space="preserve">凝土</w:t>
            </w:r>
            <w:r/>
          </w:p>
          <w:p>
            <w:pPr>
              <w:ind w:left="36"/>
              <w:spacing w:line="220" w:lineRule="auto"/>
              <w:rPr>
                <w:rFonts w:ascii="宋体" w:hAnsi="宋体" w:eastAsia="宋体" w:cs="宋体"/>
                <w:sz w:val="20"/>
                <w:szCs w:val="20"/>
              </w:rPr>
            </w:pPr>
            <w:r>
              <w:rPr>
                <w:rFonts w:ascii="宋体" w:hAnsi="宋体" w:eastAsia="宋体" w:cs="宋体"/>
                <w:sz w:val="20"/>
                <w:szCs w:val="20"/>
              </w:rPr>
              <w:t xml:space="preserve">4.3cm碎石垫层</w:t>
            </w:r>
            <w:r/>
          </w:p>
        </w:tc>
        <w:tc>
          <w:tcPr>
            <w:tcW w:w="899" w:type="dxa"/>
            <w:vAlign w:val="top"/>
            <w:textDirection w:val="lrTb"/>
            <w:noWrap w:val="false"/>
          </w:tcPr>
          <w:p>
            <w:pPr>
              <w:pStyle w:val="1045"/>
              <w:spacing w:line="247" w:lineRule="auto"/>
            </w:pPr>
            <w:r/>
            <w:r/>
          </w:p>
          <w:p>
            <w:pPr>
              <w:pStyle w:val="1045"/>
              <w:spacing w:line="247" w:lineRule="auto"/>
            </w:pPr>
            <w:r/>
            <w:r/>
          </w:p>
          <w:p>
            <w:pPr>
              <w:pStyle w:val="1045"/>
              <w:spacing w:line="248" w:lineRule="auto"/>
            </w:pPr>
            <w:r/>
            <w:r/>
          </w:p>
          <w:p>
            <w:pPr>
              <w:pStyle w:val="1045"/>
              <w:spacing w:line="248" w:lineRule="auto"/>
            </w:pPr>
            <w:r/>
            <w:r/>
          </w:p>
          <w:p>
            <w:pPr>
              <w:ind w:left="347"/>
              <w:spacing w:before="65" w:line="241" w:lineRule="auto"/>
              <w:rPr>
                <w:rFonts w:ascii="宋体" w:hAnsi="宋体" w:eastAsia="宋体" w:cs="宋体"/>
                <w:sz w:val="20"/>
                <w:szCs w:val="20"/>
              </w:rPr>
            </w:pPr>
            <w:r>
              <w:rPr>
                <w:rFonts w:ascii="宋体" w:hAnsi="宋体" w:eastAsia="宋体" w:cs="宋体"/>
                <w:spacing w:val="-1"/>
                <w:sz w:val="20"/>
                <w:szCs w:val="20"/>
              </w:rPr>
              <w:t xml:space="preserve">m3</w:t>
            </w:r>
            <w:r/>
          </w:p>
        </w:tc>
        <w:tc>
          <w:tcPr>
            <w:tcW w:w="854" w:type="dxa"/>
            <w:vAlign w:val="top"/>
            <w:textDirection w:val="lrTb"/>
            <w:noWrap w:val="false"/>
          </w:tcPr>
          <w:p>
            <w:pPr>
              <w:pStyle w:val="1045"/>
              <w:spacing w:line="247" w:lineRule="auto"/>
            </w:pPr>
            <w:r/>
            <w:r/>
          </w:p>
          <w:p>
            <w:pPr>
              <w:pStyle w:val="1045"/>
              <w:spacing w:line="248" w:lineRule="auto"/>
            </w:pPr>
            <w:r/>
            <w:r/>
          </w:p>
          <w:p>
            <w:pPr>
              <w:pStyle w:val="1045"/>
              <w:spacing w:line="248" w:lineRule="auto"/>
            </w:pPr>
            <w:r/>
            <w:r/>
          </w:p>
          <w:p>
            <w:pPr>
              <w:pStyle w:val="1045"/>
              <w:spacing w:line="248" w:lineRule="auto"/>
            </w:pPr>
            <w:r/>
            <w:r/>
          </w:p>
          <w:p>
            <w:pPr>
              <w:ind w:right="27"/>
              <w:jc w:val="right"/>
              <w:spacing w:before="65"/>
              <w:rPr>
                <w:rFonts w:ascii="宋体" w:hAnsi="宋体" w:eastAsia="宋体" w:cs="宋体"/>
                <w:sz w:val="20"/>
                <w:szCs w:val="20"/>
              </w:rPr>
            </w:pPr>
            <w:r>
              <w:rPr>
                <w:rFonts w:ascii="宋体" w:hAnsi="宋体" w:eastAsia="宋体" w:cs="宋体"/>
                <w:spacing w:val="-2"/>
                <w:sz w:val="20"/>
                <w:szCs w:val="20"/>
              </w:rPr>
              <w:t xml:space="preserve">2.70</w:t>
            </w:r>
            <w:r/>
          </w:p>
        </w:tc>
        <w:tc>
          <w:tcPr>
            <w:tcW w:w="1021" w:type="dxa"/>
            <w:vAlign w:val="top"/>
            <w:textDirection w:val="lrTb"/>
            <w:noWrap w:val="false"/>
          </w:tcPr>
          <w:p>
            <w:pPr>
              <w:pStyle w:val="1045"/>
              <w:spacing w:line="247" w:lineRule="auto"/>
            </w:pPr>
            <w:r/>
            <w:r/>
          </w:p>
          <w:p>
            <w:pPr>
              <w:pStyle w:val="1045"/>
              <w:spacing w:line="248" w:lineRule="auto"/>
            </w:pPr>
            <w:r/>
            <w:r/>
          </w:p>
          <w:p>
            <w:pPr>
              <w:pStyle w:val="1045"/>
              <w:spacing w:line="248" w:lineRule="auto"/>
            </w:pPr>
            <w:r/>
            <w:r/>
          </w:p>
          <w:p>
            <w:pPr>
              <w:pStyle w:val="1045"/>
              <w:spacing w:line="248"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270" w:type="dxa"/>
            <w:vAlign w:val="top"/>
            <w:textDirection w:val="lrTb"/>
            <w:noWrap w:val="false"/>
          </w:tcPr>
          <w:p>
            <w:pPr>
              <w:pStyle w:val="1045"/>
              <w:spacing w:line="247" w:lineRule="auto"/>
            </w:pPr>
            <w:r/>
            <w:r/>
          </w:p>
          <w:p>
            <w:pPr>
              <w:pStyle w:val="1045"/>
              <w:spacing w:line="248" w:lineRule="auto"/>
            </w:pPr>
            <w:r/>
            <w:r/>
          </w:p>
          <w:p>
            <w:pPr>
              <w:pStyle w:val="1045"/>
              <w:spacing w:line="248" w:lineRule="auto"/>
            </w:pPr>
            <w:r/>
            <w:r/>
          </w:p>
          <w:p>
            <w:pPr>
              <w:pStyle w:val="1045"/>
              <w:spacing w:line="248"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r>
        <w:trPr>
          <w:trHeight w:val="916"/>
        </w:trPr>
        <w:tc>
          <w:tcPr>
            <w:tcBorders>
              <w:left w:val="single" w:color="000000" w:sz="10" w:space="0"/>
            </w:tcBorders>
            <w:tcW w:w="845" w:type="dxa"/>
            <w:vAlign w:val="top"/>
            <w:textDirection w:val="lrTb"/>
            <w:noWrap w:val="false"/>
          </w:tcPr>
          <w:p>
            <w:pPr>
              <w:pStyle w:val="1045"/>
              <w:spacing w:line="280" w:lineRule="auto"/>
            </w:pPr>
            <w:r/>
            <w:r/>
          </w:p>
          <w:p>
            <w:pPr>
              <w:ind w:left="363"/>
              <w:spacing w:before="65" w:line="241" w:lineRule="auto"/>
              <w:rPr>
                <w:rFonts w:ascii="宋体" w:hAnsi="宋体" w:eastAsia="宋体" w:cs="宋体"/>
                <w:sz w:val="20"/>
                <w:szCs w:val="20"/>
              </w:rPr>
            </w:pPr>
            <w:r>
              <w:rPr>
                <w:rFonts w:ascii="宋体" w:hAnsi="宋体" w:eastAsia="宋体" w:cs="宋体"/>
                <w:sz w:val="20"/>
                <w:szCs w:val="20"/>
              </w:rPr>
              <w:t xml:space="preserve">9</w:t>
            </w:r>
            <w:r/>
          </w:p>
        </w:tc>
        <w:tc>
          <w:tcPr>
            <w:tcW w:w="1188" w:type="dxa"/>
            <w:vAlign w:val="top"/>
            <w:textDirection w:val="lrTb"/>
            <w:noWrap w:val="false"/>
          </w:tcPr>
          <w:p>
            <w:pPr>
              <w:ind w:left="36"/>
              <w:spacing w:before="203" w:line="241" w:lineRule="auto"/>
              <w:rPr>
                <w:rFonts w:ascii="宋体" w:hAnsi="宋体" w:eastAsia="宋体" w:cs="宋体"/>
                <w:sz w:val="20"/>
                <w:szCs w:val="20"/>
              </w:rPr>
            </w:pPr>
            <w:r>
              <w:rPr>
                <w:rFonts w:ascii="宋体" w:hAnsi="宋体" w:eastAsia="宋体" w:cs="宋体"/>
                <w:spacing w:val="-1"/>
                <w:sz w:val="20"/>
                <w:szCs w:val="20"/>
              </w:rPr>
              <w:t xml:space="preserve">01050500100</w:t>
            </w:r>
            <w:r/>
          </w:p>
          <w:p>
            <w:pPr>
              <w:ind w:left="539"/>
              <w:spacing w:before="25" w:line="242" w:lineRule="auto"/>
              <w:rPr>
                <w:rFonts w:ascii="宋体" w:hAnsi="宋体" w:eastAsia="宋体" w:cs="宋体"/>
                <w:sz w:val="20"/>
                <w:szCs w:val="20"/>
              </w:rPr>
            </w:pPr>
            <w:r>
              <w:rPr>
                <w:rFonts w:ascii="宋体" w:hAnsi="宋体" w:eastAsia="宋体" w:cs="宋体"/>
                <w:sz w:val="20"/>
                <w:szCs w:val="20"/>
              </w:rPr>
              <w:t xml:space="preserve">2</w:t>
            </w:r>
            <w:r/>
          </w:p>
        </w:tc>
        <w:tc>
          <w:tcPr>
            <w:tcW w:w="1414" w:type="dxa"/>
            <w:vAlign w:val="top"/>
            <w:textDirection w:val="lrTb"/>
            <w:noWrap w:val="false"/>
          </w:tcPr>
          <w:p>
            <w:pPr>
              <w:pStyle w:val="1045"/>
              <w:spacing w:line="280" w:lineRule="auto"/>
            </w:pPr>
            <w:r/>
            <w:r/>
          </w:p>
          <w:p>
            <w:pPr>
              <w:ind w:left="303"/>
              <w:spacing w:before="65" w:line="220" w:lineRule="auto"/>
              <w:rPr>
                <w:rFonts w:ascii="宋体" w:hAnsi="宋体" w:eastAsia="宋体" w:cs="宋体"/>
                <w:sz w:val="20"/>
                <w:szCs w:val="20"/>
              </w:rPr>
            </w:pPr>
            <w:r>
              <w:rPr>
                <w:rFonts w:ascii="宋体" w:hAnsi="宋体" w:eastAsia="宋体" w:cs="宋体"/>
                <w:spacing w:val="-2"/>
                <w:sz w:val="20"/>
                <w:szCs w:val="20"/>
              </w:rPr>
              <w:t xml:space="preserve">垫层模板</w:t>
            </w:r>
            <w:r/>
          </w:p>
        </w:tc>
        <w:tc>
          <w:tcPr>
            <w:tcW w:w="1504" w:type="dxa"/>
            <w:vAlign w:val="top"/>
            <w:textDirection w:val="lrTb"/>
            <w:noWrap w:val="false"/>
          </w:tcPr>
          <w:p>
            <w:pPr>
              <w:ind w:left="37" w:right="58" w:firstLine="14"/>
              <w:jc w:val="both"/>
              <w:spacing w:before="61" w:line="260" w:lineRule="auto"/>
              <w:rPr>
                <w:rFonts w:ascii="宋体" w:hAnsi="宋体" w:eastAsia="宋体" w:cs="宋体"/>
                <w:sz w:val="20"/>
                <w:szCs w:val="20"/>
              </w:rPr>
            </w:pPr>
            <w:r>
              <w:rPr>
                <w:rFonts w:ascii="宋体" w:hAnsi="宋体" w:eastAsia="宋体" w:cs="宋体"/>
                <w:spacing w:val="-2"/>
                <w:sz w:val="20"/>
                <w:szCs w:val="20"/>
              </w:rPr>
              <w:t xml:space="preserve">1.垫层部位：墓</w:t>
            </w:r>
            <w:r>
              <w:rPr>
                <w:rFonts w:ascii="宋体" w:hAnsi="宋体" w:eastAsia="宋体" w:cs="宋体"/>
                <w:spacing w:val="-1"/>
                <w:sz w:val="20"/>
                <w:szCs w:val="20"/>
              </w:rPr>
              <w:t xml:space="preserve">穴混凝土垫层模</w:t>
            </w:r>
            <w:r>
              <w:rPr>
                <w:rFonts w:ascii="宋体" w:hAnsi="宋体" w:eastAsia="宋体" w:cs="宋体"/>
                <w:sz w:val="20"/>
                <w:szCs w:val="20"/>
              </w:rPr>
              <w:t xml:space="preserve">板</w:t>
            </w:r>
            <w:r/>
          </w:p>
        </w:tc>
        <w:tc>
          <w:tcPr>
            <w:tcW w:w="899" w:type="dxa"/>
            <w:vAlign w:val="top"/>
            <w:textDirection w:val="lrTb"/>
            <w:noWrap w:val="false"/>
          </w:tcPr>
          <w:p>
            <w:pPr>
              <w:pStyle w:val="1045"/>
              <w:spacing w:line="280"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80" w:lineRule="auto"/>
            </w:pPr>
            <w:r/>
            <w:r/>
          </w:p>
          <w:p>
            <w:pPr>
              <w:ind w:right="24"/>
              <w:jc w:val="right"/>
              <w:spacing w:before="65"/>
              <w:rPr>
                <w:rFonts w:ascii="宋体" w:hAnsi="宋体" w:eastAsia="宋体" w:cs="宋体"/>
                <w:sz w:val="20"/>
                <w:szCs w:val="20"/>
              </w:rPr>
            </w:pPr>
            <w:r>
              <w:rPr>
                <w:rFonts w:ascii="宋体" w:hAnsi="宋体" w:eastAsia="宋体" w:cs="宋体"/>
                <w:spacing w:val="-4"/>
                <w:sz w:val="20"/>
                <w:szCs w:val="20"/>
              </w:rPr>
              <w:t xml:space="preserve">14.7</w:t>
            </w:r>
            <w:r/>
          </w:p>
        </w:tc>
        <w:tc>
          <w:tcPr>
            <w:tcW w:w="1021" w:type="dxa"/>
            <w:vAlign w:val="top"/>
            <w:textDirection w:val="lrTb"/>
            <w:noWrap w:val="false"/>
          </w:tcPr>
          <w:p>
            <w:pPr>
              <w:pStyle w:val="1045"/>
              <w:spacing w:line="280" w:lineRule="auto"/>
            </w:pPr>
            <w:r/>
            <w:r/>
          </w:p>
          <w:p>
            <w:pPr>
              <w:ind w:right="23"/>
              <w:jc w:val="right"/>
              <w:spacing w:before="65"/>
              <w:rPr>
                <w:rFonts w:ascii="宋体" w:hAnsi="宋体" w:eastAsia="宋体" w:cs="宋体"/>
                <w:sz w:val="20"/>
                <w:szCs w:val="20"/>
              </w:rPr>
            </w:pPr>
            <w:r>
              <w:rPr>
                <w:rFonts w:ascii="宋体" w:hAnsi="宋体" w:eastAsia="宋体" w:cs="宋体"/>
                <w:sz w:val="20"/>
                <w:szCs w:val="20"/>
              </w:rPr>
            </w:r>
            <w:r/>
          </w:p>
        </w:tc>
        <w:tc>
          <w:tcPr>
            <w:tcW w:w="1270" w:type="dxa"/>
            <w:vAlign w:val="top"/>
            <w:textDirection w:val="lrTb"/>
            <w:noWrap w:val="false"/>
          </w:tcPr>
          <w:p>
            <w:pPr>
              <w:pStyle w:val="1045"/>
              <w:spacing w:line="280" w:lineRule="auto"/>
            </w:pPr>
            <w:r/>
            <w:r/>
          </w:p>
          <w:p>
            <w:pPr>
              <w:ind w:right="19"/>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30" w:type="dxa"/>
            <w:vAlign w:val="top"/>
            <w:textDirection w:val="lrTb"/>
            <w:noWrap w:val="false"/>
          </w:tcPr>
          <w:p>
            <w:pPr>
              <w:pStyle w:val="1045"/>
            </w:pPr>
            <w:r/>
            <w:r/>
          </w:p>
        </w:tc>
      </w:tr>
    </w:tbl>
    <w:p>
      <w:pPr>
        <w:pStyle w:val="1015"/>
        <w:spacing w:line="14" w:lineRule="auto"/>
        <w:rPr>
          <w:sz w:val="2"/>
        </w:rPr>
      </w:pPr>
      <w:r>
        <w:rPr>
          <w:sz w:val="2"/>
        </w:rPr>
      </w:r>
      <w:r/>
    </w:p>
    <w:p>
      <w:pPr>
        <w:spacing w:line="14" w:lineRule="auto"/>
        <w:rPr>
          <w:sz w:val="2"/>
          <w:szCs w:val="2"/>
        </w:rPr>
        <w:sectPr>
          <w:footnotePr/>
          <w:endnotePr/>
          <w:type w:val="continuous"/>
          <w:pgSz w:w="11906" w:h="16838" w:orient="portrait"/>
          <w:pgMar w:top="1020" w:right="390" w:bottom="969" w:left="836" w:header="0" w:footer="775" w:gutter="0"/>
          <w:cols w:num="1" w:sep="0" w:space="1701" w:equalWidth="0">
            <w:col w:w="10679" w:space="0"/>
          </w:cols>
          <w:docGrid w:linePitch="360"/>
        </w:sectPr>
      </w:pPr>
      <w:r>
        <w:rPr>
          <w:sz w:val="2"/>
          <w:szCs w:val="2"/>
        </w:rPr>
      </w:r>
      <w:r/>
    </w:p>
    <w:p>
      <w:pPr>
        <w:ind w:left="2972"/>
        <w:spacing w:before="61" w:line="222" w:lineRule="auto"/>
        <w:rPr>
          <w:rFonts w:ascii="宋体" w:hAnsi="宋体" w:eastAsia="宋体" w:cs="宋体"/>
          <w:sz w:val="30"/>
          <w:szCs w:val="30"/>
        </w:rPr>
      </w:pPr>
      <w:r>
        <w:rPr>
          <w:rFonts w:ascii="宋体" w:hAnsi="宋体" w:eastAsia="宋体" w:cs="宋体"/>
          <w:b/>
          <w:bCs/>
          <w:spacing w:val="1"/>
          <w:sz w:val="30"/>
          <w:szCs w:val="30"/>
        </w:rPr>
        <w:t xml:space="preserve">全费用工程量清单与计价表</w:t>
      </w:r>
      <w:r>
        <w:rPr>
          <w:rFonts w:hint="eastAsia" w:ascii="宋体" w:hAnsi="宋体" w:eastAsia="宋体" w:cs="宋体"/>
          <w:b/>
          <w:bCs/>
          <w:spacing w:val="1"/>
          <w:sz w:val="30"/>
          <w:szCs w:val="30"/>
          <w:lang w:eastAsia="zh-CN"/>
        </w:rPr>
        <w:t xml:space="preserve">（</w:t>
      </w:r>
      <w:r>
        <w:rPr>
          <w:rFonts w:ascii="宋体" w:hAnsi="宋体" w:eastAsia="宋体" w:cs="宋体"/>
          <w:b/>
          <w:bCs/>
          <w:spacing w:val="1"/>
          <w:sz w:val="30"/>
          <w:szCs w:val="30"/>
        </w:rPr>
        <w:t xml:space="preserve">清单</w:t>
      </w:r>
      <w:r>
        <w:rPr>
          <w:rFonts w:hint="eastAsia" w:ascii="宋体" w:hAnsi="宋体" w:eastAsia="宋体" w:cs="宋体"/>
          <w:b/>
          <w:bCs/>
          <w:spacing w:val="1"/>
          <w:sz w:val="30"/>
          <w:szCs w:val="30"/>
          <w:lang w:eastAsia="zh-CN"/>
        </w:rPr>
        <w:t xml:space="preserve">）</w:t>
      </w:r>
      <w:r/>
    </w:p>
    <w:p>
      <w:pPr>
        <w:pStyle w:val="1015"/>
        <w:spacing w:line="326" w:lineRule="auto"/>
      </w:pPr>
      <w:r/>
      <w:r/>
    </w:p>
    <w:p>
      <w:pPr>
        <w:ind w:left="47"/>
        <w:spacing w:before="55" w:line="224" w:lineRule="auto"/>
        <w:rPr>
          <w:rFonts w:ascii="黑体" w:hAnsi="黑体" w:eastAsia="黑体" w:cs="黑体"/>
          <w:sz w:val="17"/>
          <w:szCs w:val="17"/>
        </w:rPr>
      </w:pPr>
      <w:r>
        <w:rPr>
          <w:rFonts w:ascii="黑体" w:hAnsi="黑体" w:eastAsia="黑体" w:cs="黑体"/>
          <w:b/>
          <w:bCs/>
          <w:spacing w:val="-1"/>
          <w:sz w:val="17"/>
          <w:szCs w:val="17"/>
        </w:rPr>
        <w:t xml:space="preserve">工程名称：公益性公墓改造工程</w:t>
      </w:r>
      <w:r/>
    </w:p>
    <w:p>
      <w:pPr>
        <w:spacing w:line="36" w:lineRule="auto"/>
        <w:rPr>
          <w:rFonts w:ascii="Arial"/>
          <w:sz w:val="2"/>
        </w:rPr>
      </w:pPr>
      <w:r>
        <w:rPr>
          <w:rFonts w:ascii="Arial"/>
          <w:sz w:val="2"/>
        </w:rPr>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jc w:val="right"/>
        <w:spacing w:before="55" w:line="224" w:lineRule="auto"/>
        <w:rPr>
          <w:rFonts w:ascii="黑体" w:hAnsi="黑体" w:eastAsia="黑体" w:cs="黑体"/>
          <w:sz w:val="17"/>
          <w:szCs w:val="17"/>
        </w:rPr>
      </w:pPr>
      <w:r>
        <w:rPr>
          <w:rFonts w:ascii="黑体" w:hAnsi="黑体" w:eastAsia="黑体" w:cs="黑体"/>
          <w:b/>
          <w:bCs/>
          <w:spacing w:val="-3"/>
          <w:sz w:val="17"/>
          <w:szCs w:val="17"/>
        </w:rPr>
        <w:t xml:space="preserve">第3页</w:t>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ind w:left="94"/>
        <w:spacing w:before="55" w:line="225" w:lineRule="auto"/>
        <w:rPr>
          <w:rFonts w:ascii="黑体" w:hAnsi="黑体" w:eastAsia="黑体" w:cs="黑体"/>
          <w:sz w:val="17"/>
          <w:szCs w:val="17"/>
        </w:rPr>
      </w:pPr>
      <w:r>
        <w:rPr>
          <w:rFonts w:ascii="黑体" w:hAnsi="黑体" w:eastAsia="黑体" w:cs="黑体"/>
          <w:b/>
          <w:bCs/>
          <w:spacing w:val="-3"/>
          <w:sz w:val="17"/>
          <w:szCs w:val="17"/>
        </w:rPr>
        <w:t xml:space="preserve">共5页</w:t>
      </w:r>
      <w:r/>
    </w:p>
    <w:p>
      <w:pPr>
        <w:spacing w:line="225" w:lineRule="auto"/>
        <w:rPr>
          <w:rFonts w:ascii="黑体" w:hAnsi="黑体" w:eastAsia="黑体" w:cs="黑体"/>
          <w:sz w:val="17"/>
          <w:szCs w:val="17"/>
        </w:rPr>
        <w:sectPr>
          <w:footnotePr/>
          <w:endnotePr/>
          <w:type w:val="nextPage"/>
          <w:pgSz w:w="11906" w:h="16838" w:orient="portrait"/>
          <w:pgMar w:top="1020" w:right="390" w:bottom="969" w:left="836" w:header="0" w:footer="775" w:gutter="0"/>
          <w:cols w:num="3" w:sep="0" w:space="1701" w:equalWidth="0">
            <w:col w:w="9139" w:space="100"/>
            <w:col w:w="720" w:space="0"/>
            <w:col w:w="720" w:space="0"/>
          </w:cols>
          <w:docGrid w:linePitch="360"/>
        </w:sectPr>
      </w:pPr>
      <w:r>
        <w:rPr>
          <w:rFonts w:ascii="黑体" w:hAnsi="黑体" w:eastAsia="黑体" w:cs="黑体"/>
          <w:sz w:val="17"/>
          <w:szCs w:val="17"/>
        </w:rPr>
      </w:r>
      <w:r/>
    </w:p>
    <w:p>
      <w:pPr>
        <w:spacing w:line="201" w:lineRule="exact"/>
      </w:pPr>
      <w:r/>
      <w:r/>
    </w:p>
    <w:tbl>
      <w:tblPr>
        <w:tblStyle w:val="1044"/>
        <w:tblW w:w="1007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188"/>
        <w:gridCol w:w="1414"/>
        <w:gridCol w:w="1504"/>
        <w:gridCol w:w="899"/>
        <w:gridCol w:w="854"/>
        <w:gridCol w:w="1091"/>
        <w:gridCol w:w="1310"/>
        <w:gridCol w:w="970"/>
      </w:tblGrid>
      <w:tr>
        <w:trPr>
          <w:trHeight w:val="442"/>
        </w:trPr>
        <w:tc>
          <w:tcPr>
            <w:tcBorders>
              <w:top w:val="single" w:color="000000" w:sz="10" w:space="0"/>
              <w:left w:val="single" w:color="000000" w:sz="10" w:space="0"/>
              <w:bottom w:val="none" w:color="000000" w:sz="4" w:space="0"/>
            </w:tcBorders>
            <w:tcW w:w="845" w:type="dxa"/>
            <w:vAlign w:val="top"/>
            <w:vMerge w:val="restart"/>
            <w:textDirection w:val="lrTb"/>
            <w:noWrap w:val="false"/>
          </w:tcPr>
          <w:p>
            <w:pPr>
              <w:pStyle w:val="1045"/>
              <w:spacing w:line="396" w:lineRule="auto"/>
            </w:pPr>
            <w:r/>
            <w:r/>
          </w:p>
          <w:p>
            <w:pPr>
              <w:ind w:left="211"/>
              <w:spacing w:before="65" w:line="222" w:lineRule="auto"/>
              <w:rPr>
                <w:rFonts w:ascii="宋体" w:hAnsi="宋体" w:eastAsia="宋体" w:cs="宋体"/>
                <w:sz w:val="20"/>
                <w:szCs w:val="20"/>
              </w:rPr>
            </w:pPr>
            <w:r>
              <w:rPr>
                <w:rFonts w:ascii="宋体" w:hAnsi="宋体" w:eastAsia="宋体" w:cs="宋体"/>
                <w:b/>
                <w:bCs/>
                <w:spacing w:val="-4"/>
                <w:sz w:val="20"/>
                <w:szCs w:val="20"/>
              </w:rPr>
              <w:t xml:space="preserve">序号</w:t>
            </w:r>
            <w:r/>
          </w:p>
        </w:tc>
        <w:tc>
          <w:tcPr>
            <w:tcBorders>
              <w:top w:val="single" w:color="000000" w:sz="10" w:space="0"/>
              <w:bottom w:val="none" w:color="000000" w:sz="4" w:space="0"/>
            </w:tcBorders>
            <w:tcW w:w="1188" w:type="dxa"/>
            <w:vAlign w:val="top"/>
            <w:vMerge w:val="restart"/>
            <w:textDirection w:val="lrTb"/>
            <w:noWrap w:val="false"/>
          </w:tcPr>
          <w:p>
            <w:pPr>
              <w:pStyle w:val="1045"/>
              <w:spacing w:line="396" w:lineRule="auto"/>
            </w:pPr>
            <w:r/>
            <w:r/>
          </w:p>
          <w:p>
            <w:pPr>
              <w:ind w:left="189"/>
              <w:spacing w:before="65" w:line="220" w:lineRule="auto"/>
              <w:rPr>
                <w:rFonts w:ascii="宋体" w:hAnsi="宋体" w:eastAsia="宋体" w:cs="宋体"/>
                <w:sz w:val="20"/>
                <w:szCs w:val="20"/>
              </w:rPr>
            </w:pPr>
            <w:r>
              <w:rPr>
                <w:rFonts w:ascii="宋体" w:hAnsi="宋体" w:eastAsia="宋体" w:cs="宋体"/>
                <w:b/>
                <w:bCs/>
                <w:spacing w:val="-4"/>
                <w:sz w:val="20"/>
                <w:szCs w:val="20"/>
              </w:rPr>
              <w:t xml:space="preserve">项目编码</w:t>
            </w:r>
            <w:r/>
          </w:p>
        </w:tc>
        <w:tc>
          <w:tcPr>
            <w:tcBorders>
              <w:top w:val="single" w:color="000000" w:sz="10" w:space="0"/>
              <w:bottom w:val="none" w:color="000000" w:sz="4" w:space="0"/>
            </w:tcBorders>
            <w:tcW w:w="1414" w:type="dxa"/>
            <w:vAlign w:val="top"/>
            <w:vMerge w:val="restart"/>
            <w:textDirection w:val="lrTb"/>
            <w:noWrap w:val="false"/>
          </w:tcPr>
          <w:p>
            <w:pPr>
              <w:pStyle w:val="1045"/>
              <w:spacing w:line="396" w:lineRule="auto"/>
            </w:pPr>
            <w:r/>
            <w:r/>
          </w:p>
          <w:p>
            <w:pPr>
              <w:ind w:left="304"/>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项目名称</w:t>
            </w:r>
            <w:r/>
          </w:p>
        </w:tc>
        <w:tc>
          <w:tcPr>
            <w:tcBorders>
              <w:top w:val="single" w:color="000000" w:sz="10" w:space="0"/>
              <w:bottom w:val="none" w:color="000000" w:sz="4" w:space="0"/>
            </w:tcBorders>
            <w:tcW w:w="1504" w:type="dxa"/>
            <w:vAlign w:val="top"/>
            <w:vMerge w:val="restart"/>
            <w:textDirection w:val="lrTb"/>
            <w:noWrap w:val="false"/>
          </w:tcPr>
          <w:p>
            <w:pPr>
              <w:pStyle w:val="1045"/>
              <w:spacing w:line="396" w:lineRule="auto"/>
            </w:pPr>
            <w:r/>
            <w:r/>
          </w:p>
          <w:p>
            <w:pPr>
              <w:ind w:left="152"/>
              <w:spacing w:before="65" w:line="220" w:lineRule="auto"/>
              <w:rPr>
                <w:rFonts w:ascii="宋体" w:hAnsi="宋体" w:eastAsia="宋体" w:cs="宋体"/>
                <w:sz w:val="20"/>
                <w:szCs w:val="20"/>
              </w:rPr>
            </w:pPr>
            <w:r>
              <w:rPr>
                <w:rFonts w:ascii="宋体" w:hAnsi="宋体" w:eastAsia="宋体" w:cs="宋体"/>
                <w:b/>
                <w:bCs/>
                <w:spacing w:val="-3"/>
                <w:sz w:val="20"/>
                <w:szCs w:val="20"/>
              </w:rPr>
              <w:t xml:space="preserve">项目特征描述</w:t>
            </w:r>
            <w:r/>
          </w:p>
        </w:tc>
        <w:tc>
          <w:tcPr>
            <w:tcBorders>
              <w:top w:val="single" w:color="000000" w:sz="10" w:space="0"/>
              <w:bottom w:val="none" w:color="000000" w:sz="4" w:space="0"/>
            </w:tcBorders>
            <w:tcW w:w="899" w:type="dxa"/>
            <w:vAlign w:val="top"/>
            <w:vMerge w:val="restart"/>
            <w:textDirection w:val="lrTb"/>
            <w:noWrap w:val="false"/>
          </w:tcPr>
          <w:p>
            <w:pPr>
              <w:pStyle w:val="1045"/>
              <w:spacing w:line="253" w:lineRule="auto"/>
            </w:pPr>
            <w:r/>
            <w:r/>
          </w:p>
          <w:p>
            <w:pPr>
              <w:ind w:left="253" w:right="242" w:hanging="1"/>
              <w:spacing w:before="65" w:line="267" w:lineRule="auto"/>
              <w:rPr>
                <w:rFonts w:ascii="宋体" w:hAnsi="宋体" w:eastAsia="宋体" w:cs="宋体"/>
                <w:sz w:val="20"/>
                <w:szCs w:val="20"/>
              </w:rPr>
            </w:pPr>
            <w:r>
              <w:rPr>
                <w:rFonts w:ascii="宋体" w:hAnsi="宋体" w:eastAsia="宋体" w:cs="宋体"/>
                <w:b/>
                <w:bCs/>
                <w:spacing w:val="-6"/>
                <w:sz w:val="20"/>
                <w:szCs w:val="20"/>
              </w:rPr>
              <w:t xml:space="preserve">计量单位</w:t>
            </w:r>
            <w:r/>
          </w:p>
        </w:tc>
        <w:tc>
          <w:tcPr>
            <w:tcBorders>
              <w:top w:val="single" w:color="000000" w:sz="10" w:space="0"/>
              <w:bottom w:val="none" w:color="000000" w:sz="4" w:space="0"/>
            </w:tcBorders>
            <w:tcW w:w="854" w:type="dxa"/>
            <w:vAlign w:val="top"/>
            <w:vMerge w:val="restart"/>
            <w:textDirection w:val="lrTb"/>
            <w:noWrap w:val="false"/>
          </w:tcPr>
          <w:p>
            <w:pPr>
              <w:pStyle w:val="1045"/>
              <w:spacing w:line="396" w:lineRule="auto"/>
            </w:pPr>
            <w:r/>
            <w:r/>
          </w:p>
          <w:p>
            <w:pPr>
              <w:ind w:left="133"/>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工程量</w:t>
            </w:r>
            <w:r/>
          </w:p>
        </w:tc>
        <w:tc>
          <w:tcPr>
            <w:gridSpan w:val="3"/>
            <w:tcBorders>
              <w:top w:val="single" w:color="000000" w:sz="10" w:space="0"/>
              <w:right w:val="single" w:color="000000" w:sz="10" w:space="0"/>
            </w:tcBorders>
            <w:tcW w:w="3371" w:type="dxa"/>
            <w:vAlign w:val="top"/>
            <w:textDirection w:val="lrTb"/>
            <w:noWrap w:val="false"/>
          </w:tcPr>
          <w:p>
            <w:pPr>
              <w:ind w:left="1194"/>
              <w:spacing w:before="106" w:line="220" w:lineRule="auto"/>
              <w:rPr>
                <w:rFonts w:ascii="宋体" w:hAnsi="宋体" w:eastAsia="宋体" w:cs="宋体"/>
                <w:sz w:val="20"/>
                <w:szCs w:val="20"/>
              </w:rPr>
            </w:pPr>
            <w:r>
              <w:rPr>
                <w:rFonts w:ascii="宋体" w:hAnsi="宋体" w:eastAsia="宋体" w:cs="宋体"/>
                <w:b/>
                <w:bCs/>
                <w:spacing w:val="-3"/>
                <w:sz w:val="20"/>
                <w:szCs w:val="20"/>
              </w:rPr>
              <w:t xml:space="preserve">全费用金额</w:t>
            </w:r>
            <w:r>
              <w:rPr>
                <w:rFonts w:hint="eastAsia" w:ascii="宋体" w:hAnsi="宋体" w:eastAsia="宋体" w:cs="宋体"/>
                <w:b/>
                <w:bCs/>
                <w:spacing w:val="-3"/>
                <w:sz w:val="20"/>
                <w:szCs w:val="20"/>
                <w:lang w:eastAsia="zh-CN"/>
              </w:rPr>
              <w:t xml:space="preserve">（</w:t>
            </w:r>
            <w:r>
              <w:rPr>
                <w:rFonts w:ascii="宋体" w:hAnsi="宋体" w:eastAsia="宋体" w:cs="宋体"/>
                <w:b/>
                <w:bCs/>
                <w:spacing w:val="-3"/>
                <w:sz w:val="20"/>
                <w:szCs w:val="20"/>
              </w:rPr>
              <w:t xml:space="preserve">元</w:t>
            </w:r>
            <w:r>
              <w:rPr>
                <w:rFonts w:hint="eastAsia" w:ascii="宋体" w:hAnsi="宋体" w:eastAsia="宋体" w:cs="宋体"/>
                <w:b/>
                <w:bCs/>
                <w:spacing w:val="-3"/>
                <w:sz w:val="20"/>
                <w:szCs w:val="20"/>
                <w:lang w:eastAsia="zh-CN"/>
              </w:rPr>
              <w:t xml:space="preserve">）</w:t>
            </w:r>
            <w:r/>
          </w:p>
        </w:tc>
      </w:tr>
      <w:tr>
        <w:trPr>
          <w:trHeight w:val="704"/>
        </w:trPr>
        <w:tc>
          <w:tcPr>
            <w:tcBorders>
              <w:top w:val="none" w:color="000000" w:sz="4" w:space="0"/>
              <w:left w:val="single" w:color="000000" w:sz="10" w:space="0"/>
            </w:tcBorders>
            <w:tcW w:w="845" w:type="dxa"/>
            <w:vAlign w:val="top"/>
            <w:vMerge w:val="continue"/>
            <w:textDirection w:val="lrTb"/>
            <w:noWrap w:val="false"/>
          </w:tcPr>
          <w:p>
            <w:pPr>
              <w:pStyle w:val="1045"/>
            </w:pPr>
            <w:r/>
            <w:r/>
          </w:p>
        </w:tc>
        <w:tc>
          <w:tcPr>
            <w:tcBorders>
              <w:top w:val="none" w:color="000000" w:sz="4" w:space="0"/>
            </w:tcBorders>
            <w:tcW w:w="1188" w:type="dxa"/>
            <w:vAlign w:val="top"/>
            <w:vMerge w:val="continue"/>
            <w:textDirection w:val="lrTb"/>
            <w:noWrap w:val="false"/>
          </w:tcPr>
          <w:p>
            <w:pPr>
              <w:pStyle w:val="1045"/>
            </w:pPr>
            <w:r/>
            <w:r/>
          </w:p>
        </w:tc>
        <w:tc>
          <w:tcPr>
            <w:tcBorders>
              <w:top w:val="none" w:color="000000" w:sz="4" w:space="0"/>
            </w:tcBorders>
            <w:tcW w:w="1414" w:type="dxa"/>
            <w:vAlign w:val="top"/>
            <w:vMerge w:val="continue"/>
            <w:textDirection w:val="lrTb"/>
            <w:noWrap w:val="false"/>
          </w:tcPr>
          <w:p>
            <w:pPr>
              <w:pStyle w:val="1045"/>
            </w:pPr>
            <w:r/>
            <w:r/>
          </w:p>
        </w:tc>
        <w:tc>
          <w:tcPr>
            <w:tcBorders>
              <w:top w:val="none" w:color="000000" w:sz="4" w:space="0"/>
            </w:tcBorders>
            <w:tcW w:w="1504" w:type="dxa"/>
            <w:vAlign w:val="top"/>
            <w:vMerge w:val="continue"/>
            <w:textDirection w:val="lrTb"/>
            <w:noWrap w:val="false"/>
          </w:tcPr>
          <w:p>
            <w:pPr>
              <w:pStyle w:val="1045"/>
            </w:pPr>
            <w:r/>
            <w:r/>
          </w:p>
        </w:tc>
        <w:tc>
          <w:tcPr>
            <w:tcBorders>
              <w:top w:val="none" w:color="000000" w:sz="4" w:space="0"/>
            </w:tcBorders>
            <w:tcW w:w="899" w:type="dxa"/>
            <w:vAlign w:val="top"/>
            <w:vMerge w:val="continue"/>
            <w:textDirection w:val="lrTb"/>
            <w:noWrap w:val="false"/>
          </w:tcPr>
          <w:p>
            <w:pPr>
              <w:pStyle w:val="1045"/>
            </w:pPr>
            <w:r/>
            <w:r/>
          </w:p>
        </w:tc>
        <w:tc>
          <w:tcPr>
            <w:tcBorders>
              <w:top w:val="none" w:color="000000" w:sz="4" w:space="0"/>
            </w:tcBorders>
            <w:tcW w:w="854" w:type="dxa"/>
            <w:vAlign w:val="top"/>
            <w:vMerge w:val="continue"/>
            <w:textDirection w:val="lrTb"/>
            <w:noWrap w:val="false"/>
          </w:tcPr>
          <w:p>
            <w:pPr>
              <w:pStyle w:val="1045"/>
            </w:pPr>
            <w:r/>
            <w:r/>
          </w:p>
        </w:tc>
        <w:tc>
          <w:tcPr>
            <w:tcW w:w="1091" w:type="dxa"/>
            <w:vAlign w:val="top"/>
            <w:textDirection w:val="lrTb"/>
            <w:noWrap w:val="false"/>
          </w:tcPr>
          <w:p>
            <w:pPr>
              <w:ind w:left="222"/>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综合单价</w:t>
            </w:r>
            <w:r/>
          </w:p>
        </w:tc>
        <w:tc>
          <w:tcPr>
            <w:tcW w:w="1310" w:type="dxa"/>
            <w:vAlign w:val="top"/>
            <w:textDirection w:val="lrTb"/>
            <w:noWrap w:val="false"/>
          </w:tcPr>
          <w:p>
            <w:pPr>
              <w:ind w:left="333"/>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综合合价</w:t>
            </w:r>
            <w:r/>
          </w:p>
        </w:tc>
        <w:tc>
          <w:tcPr>
            <w:tcBorders>
              <w:right w:val="single" w:color="000000" w:sz="10" w:space="0"/>
            </w:tcBorders>
            <w:tcW w:w="970" w:type="dxa"/>
            <w:vAlign w:val="top"/>
            <w:textDirection w:val="lrTb"/>
            <w:noWrap w:val="false"/>
          </w:tcPr>
          <w:p>
            <w:pPr>
              <w:ind w:left="271"/>
              <w:spacing w:before="238" w:line="219" w:lineRule="auto"/>
              <w:rPr>
                <w:rFonts w:ascii="宋体" w:hAnsi="宋体" w:eastAsia="宋体" w:cs="宋体"/>
                <w:sz w:val="20"/>
                <w:szCs w:val="20"/>
              </w:rPr>
            </w:pPr>
            <w:r>
              <w:rPr>
                <w:rFonts w:ascii="宋体" w:hAnsi="宋体" w:eastAsia="宋体" w:cs="宋体"/>
                <w:b/>
                <w:bCs/>
                <w:spacing w:val="-5"/>
                <w:sz w:val="20"/>
                <w:szCs w:val="20"/>
              </w:rPr>
              <w:t xml:space="preserve">暂估价</w:t>
            </w:r>
            <w:r/>
          </w:p>
        </w:tc>
      </w:tr>
      <w:tr>
        <w:trPr>
          <w:trHeight w:val="2912"/>
        </w:trPr>
        <w:tc>
          <w:tcPr>
            <w:tcBorders>
              <w:left w:val="single" w:color="000000" w:sz="10" w:space="0"/>
            </w:tcBorders>
            <w:tcW w:w="845"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10</w:t>
            </w:r>
            <w:r/>
          </w:p>
        </w:tc>
        <w:tc>
          <w:tcPr>
            <w:tcW w:w="1188"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2"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01110800100</w:t>
            </w:r>
            <w:r/>
          </w:p>
          <w:p>
            <w:pPr>
              <w:ind w:left="539"/>
              <w:spacing w:before="25" w:line="241" w:lineRule="auto"/>
              <w:rPr>
                <w:rFonts w:ascii="宋体" w:hAnsi="宋体" w:eastAsia="宋体" w:cs="宋体"/>
                <w:sz w:val="20"/>
                <w:szCs w:val="20"/>
              </w:rPr>
            </w:pPr>
            <w:r>
              <w:rPr>
                <w:rFonts w:ascii="宋体" w:hAnsi="宋体" w:eastAsia="宋体" w:cs="宋体"/>
                <w:sz w:val="20"/>
                <w:szCs w:val="20"/>
              </w:rPr>
              <w:t xml:space="preserve">6</w:t>
            </w:r>
            <w:r/>
          </w:p>
        </w:tc>
        <w:tc>
          <w:tcPr>
            <w:tcW w:w="1414"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ind w:left="101"/>
              <w:spacing w:before="65" w:line="220" w:lineRule="auto"/>
              <w:rPr>
                <w:rFonts w:ascii="宋体" w:hAnsi="宋体" w:eastAsia="宋体" w:cs="宋体"/>
                <w:sz w:val="20"/>
                <w:szCs w:val="20"/>
              </w:rPr>
            </w:pPr>
            <w:r>
              <w:rPr>
                <w:rFonts w:ascii="宋体" w:hAnsi="宋体" w:eastAsia="宋体" w:cs="宋体"/>
                <w:spacing w:val="-1"/>
                <w:sz w:val="20"/>
                <w:szCs w:val="20"/>
              </w:rPr>
              <w:t xml:space="preserve">石材零星项目</w:t>
            </w:r>
            <w:r/>
          </w:p>
        </w:tc>
        <w:tc>
          <w:tcPr>
            <w:tcW w:w="1504" w:type="dxa"/>
            <w:vAlign w:val="top"/>
            <w:textDirection w:val="lrTb"/>
            <w:noWrap w:val="false"/>
          </w:tcPr>
          <w:p>
            <w:pPr>
              <w:ind w:left="36" w:right="58" w:firstLine="14"/>
              <w:spacing w:before="195" w:line="265" w:lineRule="auto"/>
              <w:rPr>
                <w:rFonts w:ascii="宋体" w:hAnsi="宋体" w:eastAsia="宋体" w:cs="宋体"/>
                <w:sz w:val="20"/>
                <w:szCs w:val="20"/>
              </w:rPr>
            </w:pPr>
            <w:r>
              <w:rPr>
                <w:rFonts w:ascii="宋体" w:hAnsi="宋体" w:eastAsia="宋体" w:cs="宋体"/>
                <w:spacing w:val="-2"/>
                <w:sz w:val="20"/>
                <w:szCs w:val="20"/>
              </w:rPr>
              <w:t xml:space="preserve">1.结合层厚度、</w:t>
            </w:r>
            <w:r>
              <w:rPr>
                <w:rFonts w:ascii="宋体" w:hAnsi="宋体" w:eastAsia="宋体" w:cs="宋体"/>
                <w:spacing w:val="-1"/>
                <w:sz w:val="20"/>
                <w:szCs w:val="20"/>
              </w:rPr>
              <w:t xml:space="preserve">材料种类及强度等级：素水泥浆</w:t>
            </w:r>
            <w:r>
              <w:rPr>
                <w:rFonts w:ascii="宋体" w:hAnsi="宋体" w:eastAsia="宋体" w:cs="宋体"/>
                <w:spacing w:val="-2"/>
                <w:sz w:val="20"/>
                <w:szCs w:val="20"/>
              </w:rPr>
              <w:t xml:space="preserve">粘贴</w:t>
            </w:r>
            <w:r/>
          </w:p>
          <w:p>
            <w:pPr>
              <w:ind w:left="37" w:right="58" w:firstLine="1"/>
              <w:spacing w:before="1" w:line="264" w:lineRule="auto"/>
              <w:rPr>
                <w:rFonts w:ascii="宋体" w:hAnsi="宋体" w:eastAsia="宋体" w:cs="宋体"/>
                <w:sz w:val="20"/>
                <w:szCs w:val="20"/>
              </w:rPr>
            </w:pPr>
            <w:r>
              <w:rPr>
                <w:rFonts w:ascii="宋体" w:hAnsi="宋体" w:eastAsia="宋体" w:cs="宋体"/>
                <w:spacing w:val="-1"/>
                <w:sz w:val="20"/>
                <w:szCs w:val="20"/>
              </w:rPr>
              <w:t xml:space="preserve">2.面层材料品种</w:t>
            </w:r>
            <w:r>
              <w:rPr>
                <w:rFonts w:ascii="宋体" w:hAnsi="宋体" w:eastAsia="宋体" w:cs="宋体"/>
                <w:spacing w:val="3"/>
                <w:sz w:val="20"/>
                <w:szCs w:val="20"/>
              </w:rPr>
              <w:t xml:space="preserve"> </w:t>
            </w:r>
            <w:r>
              <w:rPr>
                <w:rFonts w:ascii="宋体" w:hAnsi="宋体" w:eastAsia="宋体" w:cs="宋体"/>
                <w:spacing w:val="-2"/>
                <w:sz w:val="20"/>
                <w:szCs w:val="20"/>
              </w:rPr>
              <w:t xml:space="preserve">、规格：15mm厚花岗岩</w:t>
            </w:r>
            <w:r/>
          </w:p>
          <w:p>
            <w:pPr>
              <w:ind w:left="40" w:right="58"/>
              <w:spacing w:line="266" w:lineRule="auto"/>
              <w:rPr>
                <w:rFonts w:ascii="宋体" w:hAnsi="宋体" w:eastAsia="宋体" w:cs="宋体"/>
                <w:sz w:val="20"/>
                <w:szCs w:val="20"/>
              </w:rPr>
            </w:pPr>
            <w:r>
              <w:rPr>
                <w:rFonts w:ascii="宋体" w:hAnsi="宋体" w:eastAsia="宋体" w:cs="宋体"/>
                <w:spacing w:val="-1"/>
                <w:sz w:val="20"/>
                <w:szCs w:val="20"/>
              </w:rPr>
              <w:t xml:space="preserve">3.报价含加工倒角等全部费用</w:t>
            </w:r>
            <w:r/>
          </w:p>
        </w:tc>
        <w:tc>
          <w:tcPr>
            <w:tcW w:w="899"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ind w:right="22"/>
              <w:jc w:val="right"/>
              <w:spacing w:before="65" w:line="241" w:lineRule="auto"/>
              <w:rPr>
                <w:rFonts w:ascii="宋体" w:hAnsi="宋体" w:eastAsia="宋体" w:cs="宋体"/>
                <w:sz w:val="20"/>
                <w:szCs w:val="20"/>
              </w:rPr>
            </w:pPr>
            <w:r>
              <w:rPr>
                <w:rFonts w:ascii="宋体" w:hAnsi="宋体" w:eastAsia="宋体" w:cs="宋体"/>
                <w:spacing w:val="-5"/>
                <w:sz w:val="20"/>
                <w:szCs w:val="20"/>
              </w:rPr>
              <w:t xml:space="preserve">132</w:t>
            </w:r>
            <w:r/>
          </w:p>
        </w:tc>
        <w:tc>
          <w:tcPr>
            <w:tcW w:w="1091"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310" w:type="dxa"/>
            <w:vAlign w:val="top"/>
            <w:textDirection w:val="lrTb"/>
            <w:noWrap w:val="false"/>
          </w:tcPr>
          <w:p>
            <w:pPr>
              <w:pStyle w:val="1045"/>
              <w:spacing w:line="254" w:lineRule="auto"/>
            </w:pPr>
            <w:r/>
            <w:r/>
          </w:p>
          <w:p>
            <w:pPr>
              <w:pStyle w:val="1045"/>
              <w:spacing w:line="254" w:lineRule="auto"/>
            </w:pPr>
            <w:r/>
            <w:r/>
          </w:p>
          <w:p>
            <w:pPr>
              <w:pStyle w:val="1045"/>
              <w:spacing w:line="254" w:lineRule="auto"/>
            </w:pPr>
            <w:r/>
            <w:r/>
          </w:p>
          <w:p>
            <w:pPr>
              <w:pStyle w:val="1045"/>
              <w:spacing w:line="254" w:lineRule="auto"/>
            </w:pPr>
            <w:r/>
            <w:r/>
          </w:p>
          <w:p>
            <w:pPr>
              <w:pStyle w:val="1045"/>
              <w:spacing w:line="255"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970" w:type="dxa"/>
            <w:vAlign w:val="top"/>
            <w:textDirection w:val="lrTb"/>
            <w:noWrap w:val="false"/>
          </w:tcPr>
          <w:p>
            <w:pPr>
              <w:pStyle w:val="1045"/>
            </w:pPr>
            <w:r/>
            <w:r/>
          </w:p>
        </w:tc>
      </w:tr>
      <w:tr>
        <w:trPr>
          <w:trHeight w:val="2723"/>
        </w:trPr>
        <w:tc>
          <w:tcPr>
            <w:tcBorders>
              <w:left w:val="single" w:color="000000" w:sz="10" w:space="0"/>
            </w:tcBorders>
            <w:tcW w:w="845"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left="327"/>
              <w:spacing w:before="65" w:line="242" w:lineRule="auto"/>
              <w:rPr>
                <w:rFonts w:ascii="宋体" w:hAnsi="宋体" w:eastAsia="宋体" w:cs="宋体"/>
                <w:sz w:val="20"/>
                <w:szCs w:val="20"/>
              </w:rPr>
            </w:pPr>
            <w:r>
              <w:rPr>
                <w:rFonts w:ascii="宋体" w:hAnsi="宋体" w:eastAsia="宋体" w:cs="宋体"/>
                <w:spacing w:val="-6"/>
                <w:sz w:val="20"/>
                <w:szCs w:val="20"/>
              </w:rPr>
              <w:t xml:space="preserve">11</w:t>
            </w:r>
            <w:r/>
          </w:p>
        </w:tc>
        <w:tc>
          <w:tcPr>
            <w:tcW w:w="1188" w:type="dxa"/>
            <w:vAlign w:val="top"/>
            <w:textDirection w:val="lrTb"/>
            <w:noWrap w:val="false"/>
          </w:tcPr>
          <w:p>
            <w:pPr>
              <w:pStyle w:val="1045"/>
              <w:spacing w:line="282" w:lineRule="auto"/>
            </w:pPr>
            <w:r/>
            <w:r/>
          </w:p>
          <w:p>
            <w:pPr>
              <w:pStyle w:val="1045"/>
              <w:spacing w:line="283" w:lineRule="auto"/>
            </w:pPr>
            <w:r/>
            <w:r/>
          </w:p>
          <w:p>
            <w:pPr>
              <w:pStyle w:val="1045"/>
              <w:spacing w:line="283" w:lineRule="auto"/>
            </w:pPr>
            <w:r/>
            <w:r/>
          </w:p>
          <w:p>
            <w:pPr>
              <w:pStyle w:val="1045"/>
              <w:spacing w:line="283"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01110800100</w:t>
            </w:r>
            <w:r/>
          </w:p>
          <w:p>
            <w:pPr>
              <w:ind w:left="542"/>
              <w:spacing w:before="25" w:line="241" w:lineRule="auto"/>
              <w:rPr>
                <w:rFonts w:ascii="宋体" w:hAnsi="宋体" w:eastAsia="宋体" w:cs="宋体"/>
                <w:sz w:val="20"/>
                <w:szCs w:val="20"/>
              </w:rPr>
            </w:pPr>
            <w:r>
              <w:rPr>
                <w:rFonts w:ascii="宋体" w:hAnsi="宋体" w:eastAsia="宋体" w:cs="宋体"/>
                <w:sz w:val="20"/>
                <w:szCs w:val="20"/>
              </w:rPr>
              <w:t xml:space="preserve">7</w:t>
            </w:r>
            <w:r/>
          </w:p>
        </w:tc>
        <w:tc>
          <w:tcPr>
            <w:tcW w:w="1414" w:type="dxa"/>
            <w:vAlign w:val="top"/>
            <w:textDirection w:val="lrTb"/>
            <w:noWrap w:val="false"/>
          </w:tcPr>
          <w:p>
            <w:pPr>
              <w:pStyle w:val="1045"/>
              <w:spacing w:line="254" w:lineRule="auto"/>
            </w:pPr>
            <w:r/>
            <w:r/>
          </w:p>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ind w:left="101"/>
              <w:spacing w:before="65" w:line="220" w:lineRule="auto"/>
              <w:rPr>
                <w:rFonts w:ascii="宋体" w:hAnsi="宋体" w:eastAsia="宋体" w:cs="宋体"/>
                <w:sz w:val="20"/>
                <w:szCs w:val="20"/>
              </w:rPr>
            </w:pPr>
            <w:r>
              <w:rPr>
                <w:rFonts w:ascii="宋体" w:hAnsi="宋体" w:eastAsia="宋体" w:cs="宋体"/>
                <w:spacing w:val="-1"/>
                <w:sz w:val="20"/>
                <w:szCs w:val="20"/>
              </w:rPr>
              <w:t xml:space="preserve">石材零星项目</w:t>
            </w:r>
            <w:r/>
          </w:p>
        </w:tc>
        <w:tc>
          <w:tcPr>
            <w:tcW w:w="1504" w:type="dxa"/>
            <w:vAlign w:val="top"/>
            <w:textDirection w:val="lrTb"/>
            <w:noWrap w:val="false"/>
          </w:tcPr>
          <w:p>
            <w:pPr>
              <w:ind w:left="51" w:right="58"/>
              <w:spacing w:before="56" w:line="265" w:lineRule="auto"/>
              <w:rPr>
                <w:rFonts w:ascii="宋体" w:hAnsi="宋体" w:eastAsia="宋体" w:cs="宋体"/>
                <w:sz w:val="20"/>
                <w:szCs w:val="20"/>
              </w:rPr>
            </w:pPr>
            <w:r>
              <w:rPr>
                <w:rFonts w:ascii="宋体" w:hAnsi="宋体" w:eastAsia="宋体" w:cs="宋体"/>
                <w:spacing w:val="-2"/>
                <w:sz w:val="20"/>
                <w:szCs w:val="20"/>
              </w:rPr>
              <w:t xml:space="preserve">1.面层材料品种</w:t>
            </w:r>
            <w:r>
              <w:rPr>
                <w:rFonts w:ascii="宋体" w:hAnsi="宋体" w:eastAsia="宋体" w:cs="宋体"/>
                <w:sz w:val="20"/>
                <w:szCs w:val="20"/>
              </w:rPr>
              <w:t xml:space="preserve"> </w:t>
            </w:r>
            <w:r>
              <w:rPr>
                <w:rFonts w:ascii="宋体" w:hAnsi="宋体" w:eastAsia="宋体" w:cs="宋体"/>
                <w:spacing w:val="-5"/>
                <w:sz w:val="20"/>
                <w:szCs w:val="20"/>
              </w:rPr>
              <w:t xml:space="preserve">、规格：暂定</w:t>
            </w:r>
            <w:r/>
          </w:p>
          <w:p>
            <w:pPr>
              <w:ind w:left="37" w:right="158" w:hanging="1"/>
              <w:spacing w:before="1" w:line="264" w:lineRule="auto"/>
              <w:rPr>
                <w:rFonts w:ascii="宋体" w:hAnsi="宋体" w:eastAsia="宋体" w:cs="宋体"/>
                <w:sz w:val="20"/>
                <w:szCs w:val="20"/>
              </w:rPr>
            </w:pPr>
            <w:r>
              <w:rPr>
                <w:rFonts w:ascii="宋体" w:hAnsi="宋体" w:eastAsia="宋体" w:cs="宋体"/>
                <w:spacing w:val="-1"/>
                <w:sz w:val="20"/>
                <w:szCs w:val="20"/>
              </w:rPr>
              <w:t xml:space="preserve">450*460mm光面花岗岩卧碑</w:t>
            </w:r>
            <w:r/>
          </w:p>
          <w:p>
            <w:pPr>
              <w:ind w:left="50" w:right="58" w:hanging="11"/>
              <w:spacing w:before="1" w:line="264" w:lineRule="auto"/>
              <w:rPr>
                <w:rFonts w:ascii="宋体" w:hAnsi="宋体" w:eastAsia="宋体" w:cs="宋体"/>
                <w:sz w:val="20"/>
                <w:szCs w:val="20"/>
              </w:rPr>
            </w:pPr>
            <w:r>
              <w:rPr>
                <w:rFonts w:ascii="宋体" w:hAnsi="宋体" w:eastAsia="宋体" w:cs="宋体"/>
                <w:spacing w:val="-1"/>
                <w:sz w:val="20"/>
                <w:szCs w:val="20"/>
              </w:rPr>
              <w:t xml:space="preserve">2.厚度：前50mm</w:t>
            </w:r>
            <w:r>
              <w:rPr>
                <w:rFonts w:ascii="宋体" w:hAnsi="宋体" w:eastAsia="宋体" w:cs="宋体"/>
                <w:spacing w:val="5"/>
                <w:sz w:val="20"/>
                <w:szCs w:val="20"/>
              </w:rPr>
              <w:t xml:space="preserve"> </w:t>
            </w:r>
            <w:r>
              <w:rPr>
                <w:rFonts w:ascii="宋体" w:hAnsi="宋体" w:eastAsia="宋体" w:cs="宋体"/>
                <w:spacing w:val="-3"/>
                <w:sz w:val="20"/>
                <w:szCs w:val="20"/>
              </w:rPr>
              <w:t xml:space="preserve">、后80mm</w:t>
            </w:r>
            <w:r/>
          </w:p>
          <w:p>
            <w:pPr>
              <w:ind w:left="39" w:right="58" w:firstLine="1"/>
              <w:spacing w:before="3" w:line="259" w:lineRule="auto"/>
              <w:rPr>
                <w:rFonts w:ascii="宋体" w:hAnsi="宋体" w:eastAsia="宋体" w:cs="宋体"/>
                <w:sz w:val="20"/>
                <w:szCs w:val="20"/>
              </w:rPr>
            </w:pPr>
            <w:r>
              <w:rPr>
                <w:rFonts w:ascii="宋体" w:hAnsi="宋体" w:eastAsia="宋体" w:cs="宋体"/>
                <w:spacing w:val="-1"/>
                <w:sz w:val="20"/>
                <w:szCs w:val="20"/>
              </w:rPr>
              <w:t xml:space="preserve">3.样式尺寸由建设单位选定，不限于上述描述特</w:t>
            </w:r>
            <w:r>
              <w:rPr>
                <w:rFonts w:ascii="宋体" w:hAnsi="宋体" w:eastAsia="宋体" w:cs="宋体"/>
                <w:sz w:val="20"/>
                <w:szCs w:val="20"/>
              </w:rPr>
              <w:t xml:space="preserve">征</w:t>
            </w:r>
            <w:r/>
          </w:p>
        </w:tc>
        <w:tc>
          <w:tcPr>
            <w:tcW w:w="899"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right="27"/>
              <w:jc w:val="right"/>
              <w:spacing w:before="65"/>
              <w:rPr>
                <w:rFonts w:ascii="宋体" w:hAnsi="宋体" w:eastAsia="宋体" w:cs="宋体"/>
                <w:sz w:val="20"/>
                <w:szCs w:val="20"/>
              </w:rPr>
            </w:pPr>
            <w:r>
              <w:rPr>
                <w:rFonts w:ascii="宋体" w:hAnsi="宋体" w:eastAsia="宋体" w:cs="宋体"/>
                <w:spacing w:val="-2"/>
                <w:sz w:val="20"/>
                <w:szCs w:val="20"/>
              </w:rPr>
              <w:t xml:space="preserve">20.7</w:t>
            </w:r>
            <w:r/>
          </w:p>
        </w:tc>
        <w:tc>
          <w:tcPr>
            <w:tcW w:w="1091"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310" w:type="dxa"/>
            <w:vAlign w:val="top"/>
            <w:textDirection w:val="lrTb"/>
            <w:noWrap w:val="false"/>
          </w:tcPr>
          <w:p>
            <w:pPr>
              <w:pStyle w:val="1045"/>
              <w:spacing w:line="254"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970" w:type="dxa"/>
            <w:vAlign w:val="top"/>
            <w:textDirection w:val="lrTb"/>
            <w:noWrap w:val="false"/>
          </w:tcPr>
          <w:p>
            <w:pPr>
              <w:pStyle w:val="1045"/>
            </w:pPr>
            <w:r/>
            <w:r/>
          </w:p>
        </w:tc>
      </w:tr>
      <w:tr>
        <w:trPr>
          <w:trHeight w:val="1872"/>
        </w:trPr>
        <w:tc>
          <w:tcPr>
            <w:tcBorders>
              <w:left w:val="single" w:color="000000" w:sz="10" w:space="0"/>
            </w:tcBorders>
            <w:tcW w:w="845" w:type="dxa"/>
            <w:vAlign w:val="top"/>
            <w:textDirection w:val="lrTb"/>
            <w:noWrap w:val="false"/>
          </w:tcPr>
          <w:p>
            <w:pPr>
              <w:pStyle w:val="1045"/>
              <w:spacing w:line="282" w:lineRule="auto"/>
            </w:pPr>
            <w:r/>
            <w:r/>
          </w:p>
          <w:p>
            <w:pPr>
              <w:pStyle w:val="1045"/>
              <w:spacing w:line="283" w:lineRule="auto"/>
            </w:pPr>
            <w:r/>
            <w:r/>
          </w:p>
          <w:p>
            <w:pPr>
              <w:pStyle w:val="1045"/>
              <w:spacing w:line="283" w:lineRule="auto"/>
            </w:pPr>
            <w:r/>
            <w:r/>
          </w:p>
          <w:p>
            <w:pPr>
              <w:ind w:left="327"/>
              <w:spacing w:before="65" w:line="242" w:lineRule="auto"/>
              <w:rPr>
                <w:rFonts w:ascii="宋体" w:hAnsi="宋体" w:eastAsia="宋体" w:cs="宋体"/>
                <w:sz w:val="20"/>
                <w:szCs w:val="20"/>
              </w:rPr>
            </w:pPr>
            <w:r>
              <w:rPr>
                <w:rFonts w:ascii="宋体" w:hAnsi="宋体" w:eastAsia="宋体" w:cs="宋体"/>
                <w:spacing w:val="-6"/>
                <w:sz w:val="20"/>
                <w:szCs w:val="20"/>
              </w:rPr>
              <w:t xml:space="preserve">12</w:t>
            </w:r>
            <w:r/>
          </w:p>
        </w:tc>
        <w:tc>
          <w:tcPr>
            <w:tcW w:w="1188" w:type="dxa"/>
            <w:vAlign w:val="top"/>
            <w:textDirection w:val="lrTb"/>
            <w:noWrap w:val="false"/>
          </w:tcPr>
          <w:p>
            <w:pPr>
              <w:pStyle w:val="1045"/>
              <w:spacing w:line="352" w:lineRule="auto"/>
            </w:pPr>
            <w:r/>
            <w:r/>
          </w:p>
          <w:p>
            <w:pPr>
              <w:pStyle w:val="1045"/>
              <w:spacing w:line="353"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01120200100</w:t>
            </w:r>
            <w:r/>
          </w:p>
          <w:p>
            <w:pPr>
              <w:ind w:left="539"/>
              <w:spacing w:before="25" w:line="242" w:lineRule="auto"/>
              <w:rPr>
                <w:rFonts w:ascii="宋体" w:hAnsi="宋体" w:eastAsia="宋体" w:cs="宋体"/>
                <w:sz w:val="20"/>
                <w:szCs w:val="20"/>
              </w:rPr>
            </w:pPr>
            <w:r>
              <w:rPr>
                <w:rFonts w:ascii="宋体" w:hAnsi="宋体" w:eastAsia="宋体" w:cs="宋体"/>
                <w:sz w:val="20"/>
                <w:szCs w:val="20"/>
              </w:rPr>
              <w:t xml:space="preserve">2</w:t>
            </w:r>
            <w:r/>
          </w:p>
        </w:tc>
        <w:tc>
          <w:tcPr>
            <w:tcW w:w="1414" w:type="dxa"/>
            <w:vAlign w:val="top"/>
            <w:textDirection w:val="lrTb"/>
            <w:noWrap w:val="false"/>
          </w:tcPr>
          <w:p>
            <w:pPr>
              <w:pStyle w:val="1045"/>
              <w:spacing w:line="352" w:lineRule="auto"/>
            </w:pPr>
            <w:r/>
            <w:r/>
          </w:p>
          <w:p>
            <w:pPr>
              <w:pStyle w:val="1045"/>
              <w:spacing w:line="352" w:lineRule="auto"/>
            </w:pPr>
            <w:r/>
            <w:r/>
          </w:p>
          <w:p>
            <w:pPr>
              <w:ind w:left="502" w:right="105" w:hanging="401"/>
              <w:spacing w:before="65" w:line="267" w:lineRule="auto"/>
              <w:rPr>
                <w:rFonts w:ascii="宋体" w:hAnsi="宋体" w:eastAsia="宋体" w:cs="宋体"/>
                <w:sz w:val="20"/>
                <w:szCs w:val="20"/>
              </w:rPr>
            </w:pPr>
            <w:r>
              <w:rPr>
                <w:rFonts w:ascii="宋体" w:hAnsi="宋体" w:eastAsia="宋体" w:cs="宋体"/>
                <w:spacing w:val="-1"/>
                <w:sz w:val="20"/>
                <w:szCs w:val="20"/>
              </w:rPr>
              <w:t xml:space="preserve">零星项目一般</w:t>
            </w:r>
            <w:r>
              <w:rPr>
                <w:rFonts w:ascii="宋体" w:hAnsi="宋体" w:eastAsia="宋体" w:cs="宋体"/>
                <w:spacing w:val="-2"/>
                <w:sz w:val="20"/>
                <w:szCs w:val="20"/>
              </w:rPr>
              <w:t xml:space="preserve">抹灰</w:t>
            </w:r>
            <w:r/>
          </w:p>
        </w:tc>
        <w:tc>
          <w:tcPr>
            <w:tcW w:w="1504" w:type="dxa"/>
            <w:vAlign w:val="top"/>
            <w:textDirection w:val="lrTb"/>
            <w:noWrap w:val="false"/>
          </w:tcPr>
          <w:p>
            <w:pPr>
              <w:ind w:left="36" w:right="58" w:firstLine="14"/>
              <w:spacing w:before="200" w:line="265" w:lineRule="auto"/>
              <w:rPr>
                <w:rFonts w:ascii="宋体" w:hAnsi="宋体" w:eastAsia="宋体" w:cs="宋体"/>
                <w:sz w:val="20"/>
                <w:szCs w:val="20"/>
              </w:rPr>
            </w:pPr>
            <w:r>
              <w:rPr>
                <w:rFonts w:ascii="宋体" w:hAnsi="宋体" w:eastAsia="宋体" w:cs="宋体"/>
                <w:spacing w:val="-2"/>
                <w:sz w:val="20"/>
                <w:szCs w:val="20"/>
              </w:rPr>
              <w:t xml:space="preserve">1.基层类型、部</w:t>
            </w:r>
            <w:r>
              <w:rPr>
                <w:rFonts w:ascii="宋体" w:hAnsi="宋体" w:eastAsia="宋体" w:cs="宋体"/>
                <w:spacing w:val="-1"/>
                <w:sz w:val="20"/>
                <w:szCs w:val="20"/>
              </w:rPr>
              <w:t xml:space="preserve">位：混凝土砌块</w:t>
            </w:r>
            <w:r/>
          </w:p>
          <w:p>
            <w:pPr>
              <w:ind w:left="36" w:right="58" w:firstLine="2"/>
              <w:spacing w:before="2" w:line="265" w:lineRule="auto"/>
              <w:rPr>
                <w:rFonts w:ascii="宋体" w:hAnsi="宋体" w:eastAsia="宋体" w:cs="宋体"/>
                <w:sz w:val="20"/>
                <w:szCs w:val="20"/>
              </w:rPr>
            </w:pPr>
            <w:r>
              <w:rPr>
                <w:rFonts w:ascii="宋体" w:hAnsi="宋体" w:eastAsia="宋体" w:cs="宋体"/>
                <w:spacing w:val="-1"/>
                <w:sz w:val="20"/>
                <w:szCs w:val="20"/>
              </w:rPr>
              <w:t xml:space="preserve">2.各层厚度、材料种类及强度等级：20厚1:3水</w:t>
            </w:r>
            <w:r>
              <w:rPr>
                <w:rFonts w:ascii="宋体" w:hAnsi="宋体" w:eastAsia="宋体" w:cs="宋体"/>
                <w:spacing w:val="-2"/>
                <w:sz w:val="20"/>
                <w:szCs w:val="20"/>
              </w:rPr>
              <w:t xml:space="preserve">泥砂浆</w:t>
            </w:r>
            <w:r/>
          </w:p>
        </w:tc>
        <w:tc>
          <w:tcPr>
            <w:tcW w:w="899" w:type="dxa"/>
            <w:vAlign w:val="top"/>
            <w:textDirection w:val="lrTb"/>
            <w:noWrap w:val="false"/>
          </w:tcPr>
          <w:p>
            <w:pPr>
              <w:pStyle w:val="1045"/>
              <w:spacing w:line="282" w:lineRule="auto"/>
            </w:pPr>
            <w:r/>
            <w:r/>
          </w:p>
          <w:p>
            <w:pPr>
              <w:pStyle w:val="1045"/>
              <w:spacing w:line="283" w:lineRule="auto"/>
            </w:pPr>
            <w:r/>
            <w:r/>
          </w:p>
          <w:p>
            <w:pPr>
              <w:pStyle w:val="1045"/>
              <w:spacing w:line="283"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54" w:type="dxa"/>
            <w:vAlign w:val="top"/>
            <w:textDirection w:val="lrTb"/>
            <w:noWrap w:val="false"/>
          </w:tcPr>
          <w:p>
            <w:pPr>
              <w:pStyle w:val="1045"/>
              <w:spacing w:line="282" w:lineRule="auto"/>
            </w:pPr>
            <w:r/>
            <w:r/>
          </w:p>
          <w:p>
            <w:pPr>
              <w:pStyle w:val="1045"/>
              <w:spacing w:line="282" w:lineRule="auto"/>
            </w:pPr>
            <w:r/>
            <w:r/>
          </w:p>
          <w:p>
            <w:pPr>
              <w:pStyle w:val="1045"/>
              <w:spacing w:line="283" w:lineRule="auto"/>
            </w:pPr>
            <w:r/>
            <w:r/>
          </w:p>
          <w:p>
            <w:pPr>
              <w:ind w:right="22"/>
              <w:jc w:val="right"/>
              <w:spacing w:before="65" w:line="241" w:lineRule="auto"/>
              <w:rPr>
                <w:rFonts w:ascii="宋体" w:hAnsi="宋体" w:eastAsia="宋体" w:cs="宋体"/>
                <w:sz w:val="20"/>
                <w:szCs w:val="20"/>
              </w:rPr>
            </w:pPr>
            <w:r>
              <w:rPr>
                <w:rFonts w:ascii="宋体" w:hAnsi="宋体" w:eastAsia="宋体" w:cs="宋体"/>
                <w:spacing w:val="-5"/>
                <w:sz w:val="20"/>
                <w:szCs w:val="20"/>
              </w:rPr>
              <w:t xml:space="preserve">132</w:t>
            </w:r>
            <w:r/>
          </w:p>
        </w:tc>
        <w:tc>
          <w:tcPr>
            <w:tcW w:w="1091" w:type="dxa"/>
            <w:vAlign w:val="top"/>
            <w:textDirection w:val="lrTb"/>
            <w:noWrap w:val="false"/>
          </w:tcPr>
          <w:p>
            <w:pPr>
              <w:pStyle w:val="1045"/>
              <w:spacing w:line="282" w:lineRule="auto"/>
            </w:pPr>
            <w:r/>
            <w:r/>
          </w:p>
          <w:p>
            <w:pPr>
              <w:pStyle w:val="1045"/>
              <w:spacing w:line="282" w:lineRule="auto"/>
            </w:pPr>
            <w:r/>
            <w:r/>
          </w:p>
          <w:p>
            <w:pPr>
              <w:pStyle w:val="1045"/>
              <w:spacing w:line="283"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310" w:type="dxa"/>
            <w:vAlign w:val="top"/>
            <w:textDirection w:val="lrTb"/>
            <w:noWrap w:val="false"/>
          </w:tcPr>
          <w:p>
            <w:pPr>
              <w:pStyle w:val="1045"/>
              <w:spacing w:line="282" w:lineRule="auto"/>
            </w:pPr>
            <w:r/>
            <w:r/>
          </w:p>
          <w:p>
            <w:pPr>
              <w:pStyle w:val="1045"/>
              <w:spacing w:line="282" w:lineRule="auto"/>
            </w:pPr>
            <w:r/>
            <w:r/>
          </w:p>
          <w:p>
            <w:pPr>
              <w:pStyle w:val="1045"/>
              <w:spacing w:line="283" w:lineRule="auto"/>
            </w:pPr>
            <w:r/>
            <w:r/>
          </w:p>
          <w:p>
            <w:pPr>
              <w:ind w:right="20"/>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970" w:type="dxa"/>
            <w:vAlign w:val="top"/>
            <w:textDirection w:val="lrTb"/>
            <w:noWrap w:val="false"/>
          </w:tcPr>
          <w:p>
            <w:pPr>
              <w:pStyle w:val="1045"/>
            </w:pPr>
            <w:r/>
            <w:r/>
          </w:p>
        </w:tc>
      </w:tr>
      <w:tr>
        <w:trPr>
          <w:trHeight w:val="443"/>
        </w:trPr>
        <w:tc>
          <w:tcPr>
            <w:tcBorders>
              <w:left w:val="single" w:color="000000" w:sz="10" w:space="0"/>
            </w:tcBorders>
            <w:tcW w:w="845" w:type="dxa"/>
            <w:vAlign w:val="top"/>
            <w:textDirection w:val="lrTb"/>
            <w:noWrap w:val="false"/>
          </w:tcPr>
          <w:p>
            <w:pPr>
              <w:pStyle w:val="1045"/>
            </w:pPr>
            <w:r/>
            <w:r/>
          </w:p>
        </w:tc>
        <w:tc>
          <w:tcPr>
            <w:tcW w:w="1188" w:type="dxa"/>
            <w:vAlign w:val="top"/>
            <w:textDirection w:val="lrTb"/>
            <w:noWrap w:val="false"/>
          </w:tcPr>
          <w:p>
            <w:pPr>
              <w:pStyle w:val="1045"/>
            </w:pPr>
            <w:r/>
            <w:r/>
          </w:p>
        </w:tc>
        <w:tc>
          <w:tcPr>
            <w:gridSpan w:val="2"/>
            <w:tcW w:w="2918" w:type="dxa"/>
            <w:vAlign w:val="top"/>
            <w:textDirection w:val="lrTb"/>
            <w:noWrap w:val="false"/>
          </w:tcPr>
          <w:p>
            <w:pPr>
              <w:ind w:left="504"/>
              <w:spacing w:before="114" w:line="220" w:lineRule="auto"/>
              <w:rPr>
                <w:rFonts w:ascii="宋体" w:hAnsi="宋体" w:eastAsia="宋体" w:cs="宋体"/>
                <w:sz w:val="20"/>
                <w:szCs w:val="20"/>
              </w:rPr>
            </w:pPr>
            <w:r>
              <w:rPr>
                <w:rFonts w:ascii="宋体" w:hAnsi="宋体" w:eastAsia="宋体" w:cs="宋体"/>
                <w:sz w:val="20"/>
                <w:szCs w:val="20"/>
              </w:rPr>
              <w:t xml:space="preserve">0104 室外集中焚烧点</w:t>
            </w:r>
            <w:r/>
          </w:p>
        </w:tc>
        <w:tc>
          <w:tcPr>
            <w:tcW w:w="899" w:type="dxa"/>
            <w:vAlign w:val="top"/>
            <w:textDirection w:val="lrTb"/>
            <w:noWrap w:val="false"/>
          </w:tcPr>
          <w:p>
            <w:pPr>
              <w:pStyle w:val="1045"/>
            </w:pPr>
            <w:r/>
            <w:r/>
          </w:p>
        </w:tc>
        <w:tc>
          <w:tcPr>
            <w:tcW w:w="854" w:type="dxa"/>
            <w:vAlign w:val="top"/>
            <w:textDirection w:val="lrTb"/>
            <w:noWrap w:val="false"/>
          </w:tcPr>
          <w:p>
            <w:pPr>
              <w:ind w:right="7"/>
              <w:jc w:val="right"/>
              <w:spacing w:before="114" w:line="242" w:lineRule="auto"/>
              <w:rPr>
                <w:rFonts w:ascii="宋体" w:hAnsi="宋体" w:eastAsia="宋体" w:cs="宋体"/>
                <w:sz w:val="20"/>
                <w:szCs w:val="20"/>
              </w:rPr>
            </w:pPr>
            <w:r>
              <w:rPr>
                <w:rFonts w:ascii="宋体" w:hAnsi="宋体" w:eastAsia="宋体" w:cs="宋体"/>
                <w:sz w:val="20"/>
                <w:szCs w:val="20"/>
              </w:rPr>
              <w:t xml:space="preserve">1</w:t>
            </w:r>
            <w:r/>
          </w:p>
        </w:tc>
        <w:tc>
          <w:tcPr>
            <w:tcW w:w="1091" w:type="dxa"/>
            <w:vAlign w:val="top"/>
            <w:textDirection w:val="lrTb"/>
            <w:noWrap w:val="false"/>
          </w:tcPr>
          <w:p>
            <w:pPr>
              <w:pStyle w:val="1045"/>
            </w:pPr>
            <w:r/>
            <w:r/>
          </w:p>
        </w:tc>
        <w:tc>
          <w:tcPr>
            <w:tcW w:w="1310" w:type="dxa"/>
            <w:vAlign w:val="top"/>
            <w:textDirection w:val="lrTb"/>
            <w:noWrap w:val="false"/>
          </w:tcPr>
          <w:p>
            <w:pPr>
              <w:ind w:right="21"/>
              <w:jc w:val="right"/>
              <w:spacing w:before="114"/>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970" w:type="dxa"/>
            <w:vAlign w:val="top"/>
            <w:textDirection w:val="lrTb"/>
            <w:noWrap w:val="false"/>
          </w:tcPr>
          <w:p>
            <w:pPr>
              <w:pStyle w:val="1045"/>
            </w:pPr>
            <w:r/>
            <w:r/>
          </w:p>
        </w:tc>
      </w:tr>
      <w:tr>
        <w:trPr>
          <w:trHeight w:val="3196"/>
        </w:trPr>
        <w:tc>
          <w:tcPr>
            <w:tcBorders>
              <w:left w:val="single" w:color="000000" w:sz="10" w:space="0"/>
            </w:tcBorders>
            <w:tcW w:w="845"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13</w:t>
            </w:r>
            <w:r/>
          </w:p>
        </w:tc>
        <w:tc>
          <w:tcPr>
            <w:tcW w:w="1188" w:type="dxa"/>
            <w:vAlign w:val="top"/>
            <w:textDirection w:val="lrTb"/>
            <w:noWrap w:val="false"/>
          </w:tcPr>
          <w:p>
            <w:pPr>
              <w:pStyle w:val="1045"/>
              <w:spacing w:line="255" w:lineRule="auto"/>
            </w:pPr>
            <w:r/>
            <w:r/>
          </w:p>
          <w:p>
            <w:pPr>
              <w:pStyle w:val="1045"/>
              <w:spacing w:line="255" w:lineRule="auto"/>
            </w:pPr>
            <w:r/>
            <w:r/>
          </w:p>
          <w:p>
            <w:pPr>
              <w:pStyle w:val="1045"/>
              <w:spacing w:line="255" w:lineRule="auto"/>
            </w:pPr>
            <w:r/>
            <w:r/>
          </w:p>
          <w:p>
            <w:pPr>
              <w:pStyle w:val="1045"/>
              <w:spacing w:line="255" w:lineRule="auto"/>
            </w:pPr>
            <w:r/>
            <w:r/>
          </w:p>
          <w:p>
            <w:pPr>
              <w:pStyle w:val="1045"/>
              <w:spacing w:line="256"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01040100200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14" w:type="dxa"/>
            <w:vAlign w:val="top"/>
            <w:textDirection w:val="lrTb"/>
            <w:noWrap w:val="false"/>
          </w:tcPr>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pStyle w:val="1045"/>
              <w:spacing w:line="284" w:lineRule="auto"/>
            </w:pPr>
            <w:r/>
            <w:r/>
          </w:p>
          <w:p>
            <w:pPr>
              <w:ind w:left="306"/>
              <w:spacing w:before="65" w:line="221" w:lineRule="auto"/>
              <w:rPr>
                <w:rFonts w:ascii="宋体" w:hAnsi="宋体" w:eastAsia="宋体" w:cs="宋体"/>
                <w:sz w:val="20"/>
                <w:szCs w:val="20"/>
              </w:rPr>
            </w:pPr>
            <w:r>
              <w:rPr>
                <w:rFonts w:ascii="宋体" w:hAnsi="宋体" w:eastAsia="宋体" w:cs="宋体"/>
                <w:spacing w:val="-2"/>
                <w:sz w:val="20"/>
                <w:szCs w:val="20"/>
              </w:rPr>
              <w:t xml:space="preserve">实心砖墙</w:t>
            </w:r>
            <w:r/>
          </w:p>
        </w:tc>
        <w:tc>
          <w:tcPr>
            <w:tcW w:w="1504" w:type="dxa"/>
            <w:vAlign w:val="top"/>
            <w:textDirection w:val="lrTb"/>
            <w:noWrap w:val="false"/>
          </w:tcPr>
          <w:p>
            <w:pPr>
              <w:pStyle w:val="1045"/>
              <w:spacing w:line="278" w:lineRule="auto"/>
            </w:pPr>
            <w:r/>
            <w:r/>
          </w:p>
          <w:p>
            <w:pPr>
              <w:ind w:left="51" w:right="58"/>
              <w:spacing w:before="66" w:line="265" w:lineRule="auto"/>
              <w:rPr>
                <w:rFonts w:ascii="宋体" w:hAnsi="宋体" w:eastAsia="宋体" w:cs="宋体"/>
                <w:sz w:val="20"/>
                <w:szCs w:val="20"/>
              </w:rPr>
            </w:pPr>
            <w:r>
              <w:rPr>
                <w:rFonts w:ascii="宋体" w:hAnsi="宋体" w:eastAsia="宋体" w:cs="宋体"/>
                <w:spacing w:val="-2"/>
                <w:sz w:val="20"/>
                <w:szCs w:val="20"/>
              </w:rPr>
              <w:t xml:space="preserve">1.砖品种、规格</w:t>
            </w:r>
            <w:r>
              <w:rPr>
                <w:rFonts w:ascii="宋体" w:hAnsi="宋体" w:eastAsia="宋体" w:cs="宋体"/>
                <w:sz w:val="20"/>
                <w:szCs w:val="20"/>
              </w:rPr>
              <w:t xml:space="preserve"> </w:t>
            </w:r>
            <w:r>
              <w:rPr>
                <w:rFonts w:ascii="宋体" w:hAnsi="宋体" w:eastAsia="宋体" w:cs="宋体"/>
                <w:spacing w:val="-9"/>
                <w:sz w:val="20"/>
                <w:szCs w:val="20"/>
              </w:rPr>
              <w:t xml:space="preserve">、强度等级：</w:t>
            </w:r>
            <w:r/>
          </w:p>
          <w:p>
            <w:pPr>
              <w:ind w:left="30"/>
              <w:spacing w:line="221" w:lineRule="auto"/>
              <w:rPr>
                <w:rFonts w:ascii="宋体" w:hAnsi="宋体" w:eastAsia="宋体" w:cs="宋体"/>
                <w:sz w:val="20"/>
                <w:szCs w:val="20"/>
              </w:rPr>
            </w:pPr>
            <w:r>
              <w:rPr>
                <w:rFonts w:ascii="宋体" w:hAnsi="宋体" w:eastAsia="宋体" w:cs="宋体"/>
                <w:sz w:val="20"/>
                <w:szCs w:val="20"/>
              </w:rPr>
              <w:t xml:space="preserve">MU20混凝土砌块</w:t>
            </w:r>
            <w:r/>
          </w:p>
          <w:p>
            <w:pPr>
              <w:ind w:left="39" w:right="58"/>
              <w:spacing w:before="46" w:line="265" w:lineRule="auto"/>
              <w:rPr>
                <w:rFonts w:ascii="宋体" w:hAnsi="宋体" w:eastAsia="宋体" w:cs="宋体"/>
                <w:sz w:val="20"/>
                <w:szCs w:val="20"/>
              </w:rPr>
            </w:pPr>
            <w:r>
              <w:rPr>
                <w:rFonts w:ascii="宋体" w:hAnsi="宋体" w:eastAsia="宋体" w:cs="宋体"/>
                <w:spacing w:val="-1"/>
                <w:sz w:val="20"/>
                <w:szCs w:val="20"/>
              </w:rPr>
              <w:t xml:space="preserve">2.墙体类型：直</w:t>
            </w:r>
            <w:r>
              <w:rPr>
                <w:rFonts w:ascii="宋体" w:hAnsi="宋体" w:eastAsia="宋体" w:cs="宋体"/>
                <w:sz w:val="20"/>
                <w:szCs w:val="20"/>
              </w:rPr>
              <w:t xml:space="preserve">行</w:t>
            </w:r>
            <w:r/>
          </w:p>
          <w:p>
            <w:pPr>
              <w:ind w:left="39" w:right="305" w:firstLine="1"/>
              <w:spacing w:before="1" w:line="264" w:lineRule="auto"/>
              <w:rPr>
                <w:rFonts w:ascii="宋体" w:hAnsi="宋体" w:eastAsia="宋体" w:cs="宋体"/>
                <w:sz w:val="20"/>
                <w:szCs w:val="20"/>
              </w:rPr>
            </w:pPr>
            <w:r>
              <w:rPr>
                <w:rFonts w:ascii="宋体" w:hAnsi="宋体" w:eastAsia="宋体" w:cs="宋体"/>
                <w:spacing w:val="-8"/>
                <w:sz w:val="20"/>
                <w:szCs w:val="20"/>
              </w:rPr>
              <w:t xml:space="preserve">3.墙体厚度：</w:t>
            </w:r>
            <w:r>
              <w:rPr>
                <w:rFonts w:ascii="宋体" w:hAnsi="宋体" w:eastAsia="宋体" w:cs="宋体"/>
                <w:spacing w:val="2"/>
                <w:sz w:val="20"/>
                <w:szCs w:val="20"/>
              </w:rPr>
              <w:t xml:space="preserve"> </w:t>
            </w:r>
            <w:r>
              <w:rPr>
                <w:rFonts w:ascii="宋体" w:hAnsi="宋体" w:eastAsia="宋体" w:cs="宋体"/>
                <w:spacing w:val="-2"/>
                <w:sz w:val="20"/>
                <w:szCs w:val="20"/>
              </w:rPr>
              <w:t xml:space="preserve">240mm</w:t>
            </w:r>
            <w:r/>
          </w:p>
          <w:p>
            <w:pPr>
              <w:ind w:left="54" w:right="58" w:hanging="18"/>
              <w:spacing w:before="1" w:line="266" w:lineRule="auto"/>
              <w:rPr>
                <w:rFonts w:ascii="宋体" w:hAnsi="宋体" w:eastAsia="宋体" w:cs="宋体"/>
                <w:sz w:val="20"/>
                <w:szCs w:val="20"/>
              </w:rPr>
            </w:pPr>
            <w:r>
              <w:rPr>
                <w:rFonts w:ascii="宋体" w:hAnsi="宋体" w:eastAsia="宋体" w:cs="宋体"/>
                <w:spacing w:val="-1"/>
                <w:sz w:val="20"/>
                <w:szCs w:val="20"/>
              </w:rPr>
              <w:t xml:space="preserve">4.砂浆强度等级</w:t>
            </w:r>
            <w:r>
              <w:rPr>
                <w:rFonts w:ascii="宋体" w:hAnsi="宋体" w:eastAsia="宋体" w:cs="宋体"/>
                <w:spacing w:val="6"/>
                <w:sz w:val="20"/>
                <w:szCs w:val="20"/>
              </w:rPr>
              <w:t xml:space="preserve"> </w:t>
            </w:r>
            <w:r>
              <w:rPr>
                <w:rFonts w:ascii="宋体" w:hAnsi="宋体" w:eastAsia="宋体" w:cs="宋体"/>
                <w:spacing w:val="-3"/>
                <w:sz w:val="20"/>
                <w:szCs w:val="20"/>
              </w:rPr>
              <w:t xml:space="preserve">：M7.5水泥砂浆</w:t>
            </w:r>
            <w:r/>
          </w:p>
        </w:tc>
        <w:tc>
          <w:tcPr>
            <w:tcW w:w="899"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ind w:left="347"/>
              <w:spacing w:before="65" w:line="241" w:lineRule="auto"/>
              <w:rPr>
                <w:rFonts w:ascii="宋体" w:hAnsi="宋体" w:eastAsia="宋体" w:cs="宋体"/>
                <w:sz w:val="20"/>
                <w:szCs w:val="20"/>
              </w:rPr>
            </w:pPr>
            <w:r>
              <w:rPr>
                <w:rFonts w:ascii="宋体" w:hAnsi="宋体" w:eastAsia="宋体" w:cs="宋体"/>
                <w:spacing w:val="-1"/>
                <w:sz w:val="20"/>
                <w:szCs w:val="20"/>
              </w:rPr>
              <w:t xml:space="preserve">m3</w:t>
            </w:r>
            <w:r/>
          </w:p>
        </w:tc>
        <w:tc>
          <w:tcPr>
            <w:tcW w:w="854"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ind w:right="26"/>
              <w:jc w:val="right"/>
              <w:spacing w:before="65"/>
              <w:rPr>
                <w:rFonts w:ascii="宋体" w:hAnsi="宋体" w:eastAsia="宋体" w:cs="宋体"/>
                <w:sz w:val="20"/>
                <w:szCs w:val="20"/>
              </w:rPr>
            </w:pPr>
            <w:r>
              <w:rPr>
                <w:rFonts w:ascii="宋体" w:hAnsi="宋体" w:eastAsia="宋体" w:cs="宋体"/>
                <w:spacing w:val="-3"/>
                <w:sz w:val="20"/>
                <w:szCs w:val="20"/>
              </w:rPr>
              <w:t xml:space="preserve">3.6</w:t>
            </w:r>
            <w:r/>
          </w:p>
        </w:tc>
        <w:tc>
          <w:tcPr>
            <w:tcW w:w="1091"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31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pStyle w:val="1045"/>
              <w:spacing w:line="284"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970" w:type="dxa"/>
            <w:vAlign w:val="top"/>
            <w:textDirection w:val="lrTb"/>
            <w:noWrap w:val="false"/>
          </w:tcPr>
          <w:p>
            <w:pPr>
              <w:pStyle w:val="1045"/>
            </w:pPr>
            <w:r/>
            <w:r/>
          </w:p>
        </w:tc>
      </w:tr>
    </w:tbl>
    <w:p>
      <w:pPr>
        <w:pStyle w:val="1015"/>
        <w:spacing w:line="14" w:lineRule="auto"/>
        <w:rPr>
          <w:sz w:val="2"/>
        </w:rPr>
      </w:pPr>
      <w:r>
        <w:rPr>
          <w:sz w:val="2"/>
        </w:rPr>
      </w:r>
      <w:r/>
    </w:p>
    <w:p>
      <w:pPr>
        <w:spacing w:line="14" w:lineRule="auto"/>
        <w:rPr>
          <w:sz w:val="2"/>
          <w:szCs w:val="2"/>
        </w:rPr>
        <w:sectPr>
          <w:footnotePr/>
          <w:endnotePr/>
          <w:type w:val="continuous"/>
          <w:pgSz w:w="11906" w:h="16838" w:orient="portrait"/>
          <w:pgMar w:top="1020" w:right="390" w:bottom="969" w:left="836" w:header="0" w:footer="775" w:gutter="0"/>
          <w:cols w:num="1" w:sep="0" w:space="1701" w:equalWidth="0">
            <w:col w:w="10679" w:space="0"/>
          </w:cols>
          <w:docGrid w:linePitch="360"/>
        </w:sectPr>
      </w:pPr>
      <w:r>
        <w:rPr>
          <w:sz w:val="2"/>
          <w:szCs w:val="2"/>
        </w:rPr>
      </w:r>
      <w:r/>
    </w:p>
    <w:p>
      <w:pPr>
        <w:ind w:left="2972"/>
        <w:spacing w:before="61" w:line="222" w:lineRule="auto"/>
        <w:rPr>
          <w:rFonts w:ascii="宋体" w:hAnsi="宋体" w:eastAsia="宋体" w:cs="宋体"/>
          <w:sz w:val="30"/>
          <w:szCs w:val="30"/>
        </w:rPr>
      </w:pPr>
      <w:r>
        <w:rPr>
          <w:rFonts w:ascii="宋体" w:hAnsi="宋体" w:eastAsia="宋体" w:cs="宋体"/>
          <w:b/>
          <w:bCs/>
          <w:spacing w:val="1"/>
          <w:sz w:val="30"/>
          <w:szCs w:val="30"/>
        </w:rPr>
        <w:t xml:space="preserve">全费用工程量清单与计价表</w:t>
      </w:r>
      <w:r>
        <w:rPr>
          <w:rFonts w:hint="eastAsia" w:ascii="宋体" w:hAnsi="宋体" w:eastAsia="宋体" w:cs="宋体"/>
          <w:b/>
          <w:bCs/>
          <w:spacing w:val="1"/>
          <w:sz w:val="30"/>
          <w:szCs w:val="30"/>
          <w:lang w:eastAsia="zh-CN"/>
        </w:rPr>
        <w:t xml:space="preserve">（</w:t>
      </w:r>
      <w:r>
        <w:rPr>
          <w:rFonts w:ascii="宋体" w:hAnsi="宋体" w:eastAsia="宋体" w:cs="宋体"/>
          <w:b/>
          <w:bCs/>
          <w:spacing w:val="1"/>
          <w:sz w:val="30"/>
          <w:szCs w:val="30"/>
        </w:rPr>
        <w:t xml:space="preserve">清单</w:t>
      </w:r>
      <w:r>
        <w:rPr>
          <w:rFonts w:hint="eastAsia" w:ascii="宋体" w:hAnsi="宋体" w:eastAsia="宋体" w:cs="宋体"/>
          <w:b/>
          <w:bCs/>
          <w:spacing w:val="1"/>
          <w:sz w:val="30"/>
          <w:szCs w:val="30"/>
          <w:lang w:eastAsia="zh-CN"/>
        </w:rPr>
        <w:t xml:space="preserve">）</w:t>
      </w:r>
      <w:r/>
    </w:p>
    <w:p>
      <w:pPr>
        <w:pStyle w:val="1015"/>
        <w:spacing w:line="326" w:lineRule="auto"/>
      </w:pPr>
      <w:r/>
      <w:r/>
    </w:p>
    <w:p>
      <w:pPr>
        <w:ind w:left="47"/>
        <w:spacing w:before="55" w:line="224" w:lineRule="auto"/>
        <w:rPr>
          <w:rFonts w:ascii="黑体" w:hAnsi="黑体" w:eastAsia="黑体" w:cs="黑体"/>
          <w:sz w:val="17"/>
          <w:szCs w:val="17"/>
        </w:rPr>
      </w:pPr>
      <w:r>
        <w:rPr>
          <w:rFonts w:ascii="黑体" w:hAnsi="黑体" w:eastAsia="黑体" w:cs="黑体"/>
          <w:b/>
          <w:bCs/>
          <w:spacing w:val="-1"/>
          <w:sz w:val="17"/>
          <w:szCs w:val="17"/>
        </w:rPr>
        <w:t xml:space="preserve">工程名称：公益性公墓改造工程</w:t>
      </w:r>
      <w:r/>
    </w:p>
    <w:p>
      <w:pPr>
        <w:spacing w:line="36" w:lineRule="auto"/>
        <w:rPr>
          <w:rFonts w:ascii="Arial"/>
          <w:sz w:val="2"/>
        </w:rPr>
      </w:pPr>
      <w:r>
        <w:rPr>
          <w:rFonts w:ascii="Arial"/>
          <w:sz w:val="2"/>
        </w:rPr>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jc w:val="right"/>
        <w:spacing w:before="55" w:line="224" w:lineRule="auto"/>
        <w:rPr>
          <w:rFonts w:ascii="黑体" w:hAnsi="黑体" w:eastAsia="黑体" w:cs="黑体"/>
          <w:sz w:val="17"/>
          <w:szCs w:val="17"/>
        </w:rPr>
      </w:pPr>
      <w:r>
        <w:rPr>
          <w:rFonts w:ascii="黑体" w:hAnsi="黑体" w:eastAsia="黑体" w:cs="黑体"/>
          <w:b/>
          <w:bCs/>
          <w:spacing w:val="-3"/>
          <w:sz w:val="17"/>
          <w:szCs w:val="17"/>
        </w:rPr>
        <w:t xml:space="preserve">第4页</w:t>
      </w:r>
      <w:r/>
    </w:p>
    <w:p>
      <w:pPr>
        <w:pStyle w:val="1015"/>
        <w:spacing w:line="14" w:lineRule="auto"/>
        <w:rPr>
          <w:sz w:val="2"/>
        </w:rPr>
      </w:pPr>
      <w:r>
        <w:rPr>
          <w:sz w:val="2"/>
          <w:szCs w:val="2"/>
        </w:rPr>
        <w:br w:type="column"/>
      </w:r>
      <w:r/>
    </w:p>
    <w:p>
      <w:pPr>
        <w:pStyle w:val="1015"/>
        <w:spacing w:line="248" w:lineRule="auto"/>
      </w:pPr>
      <w:r/>
      <w:r/>
    </w:p>
    <w:p>
      <w:pPr>
        <w:pStyle w:val="1015"/>
        <w:spacing w:line="248" w:lineRule="auto"/>
      </w:pPr>
      <w:r/>
      <w:r/>
    </w:p>
    <w:p>
      <w:pPr>
        <w:pStyle w:val="1015"/>
        <w:spacing w:line="248" w:lineRule="auto"/>
      </w:pPr>
      <w:r/>
      <w:r/>
    </w:p>
    <w:p>
      <w:pPr>
        <w:ind w:left="94"/>
        <w:spacing w:before="55" w:line="225" w:lineRule="auto"/>
        <w:rPr>
          <w:rFonts w:ascii="黑体" w:hAnsi="黑体" w:eastAsia="黑体" w:cs="黑体"/>
          <w:sz w:val="17"/>
          <w:szCs w:val="17"/>
        </w:rPr>
      </w:pPr>
      <w:r>
        <w:rPr>
          <w:rFonts w:ascii="黑体" w:hAnsi="黑体" w:eastAsia="黑体" w:cs="黑体"/>
          <w:b/>
          <w:bCs/>
          <w:spacing w:val="-3"/>
          <w:sz w:val="17"/>
          <w:szCs w:val="17"/>
        </w:rPr>
        <w:t xml:space="preserve">共5页</w:t>
      </w:r>
      <w:r/>
    </w:p>
    <w:p>
      <w:pPr>
        <w:spacing w:line="225" w:lineRule="auto"/>
        <w:rPr>
          <w:rFonts w:ascii="黑体" w:hAnsi="黑体" w:eastAsia="黑体" w:cs="黑体"/>
          <w:sz w:val="17"/>
          <w:szCs w:val="17"/>
        </w:rPr>
        <w:sectPr>
          <w:footnotePr/>
          <w:endnotePr/>
          <w:type w:val="nextPage"/>
          <w:pgSz w:w="11906" w:h="16838" w:orient="portrait"/>
          <w:pgMar w:top="1020" w:right="390" w:bottom="969" w:left="836" w:header="0" w:footer="775" w:gutter="0"/>
          <w:cols w:num="3" w:sep="0" w:space="1701" w:equalWidth="0">
            <w:col w:w="9139" w:space="100"/>
            <w:col w:w="720" w:space="0"/>
            <w:col w:w="720" w:space="0"/>
          </w:cols>
          <w:docGrid w:linePitch="360"/>
        </w:sectPr>
      </w:pPr>
      <w:r>
        <w:rPr>
          <w:rFonts w:ascii="黑体" w:hAnsi="黑体" w:eastAsia="黑体" w:cs="黑体"/>
          <w:sz w:val="17"/>
          <w:szCs w:val="17"/>
        </w:rPr>
      </w:r>
      <w:r/>
    </w:p>
    <w:p>
      <w:pPr>
        <w:spacing w:line="201" w:lineRule="exact"/>
      </w:pPr>
      <w:r/>
      <w:r/>
    </w:p>
    <w:tbl>
      <w:tblPr>
        <w:tblStyle w:val="1044"/>
        <w:tblW w:w="1010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5"/>
        <w:gridCol w:w="1310"/>
        <w:gridCol w:w="1420"/>
        <w:gridCol w:w="1750"/>
        <w:gridCol w:w="890"/>
        <w:gridCol w:w="870"/>
        <w:gridCol w:w="900"/>
        <w:gridCol w:w="1260"/>
        <w:gridCol w:w="1090"/>
      </w:tblGrid>
      <w:tr>
        <w:trPr>
          <w:trHeight w:val="442"/>
        </w:trPr>
        <w:tc>
          <w:tcPr>
            <w:tcBorders>
              <w:top w:val="single" w:color="000000" w:sz="10" w:space="0"/>
              <w:left w:val="single" w:color="000000" w:sz="10" w:space="0"/>
              <w:bottom w:val="none" w:color="000000" w:sz="4" w:space="0"/>
            </w:tcBorders>
            <w:tcW w:w="615" w:type="dxa"/>
            <w:vAlign w:val="top"/>
            <w:vMerge w:val="restart"/>
            <w:textDirection w:val="lrTb"/>
            <w:noWrap w:val="false"/>
          </w:tcPr>
          <w:p>
            <w:pPr>
              <w:pStyle w:val="1045"/>
              <w:spacing w:line="396" w:lineRule="auto"/>
            </w:pPr>
            <w:r/>
            <w:r/>
          </w:p>
          <w:p>
            <w:pPr>
              <w:ind w:left="211"/>
              <w:spacing w:before="65" w:line="222" w:lineRule="auto"/>
              <w:rPr>
                <w:rFonts w:ascii="宋体" w:hAnsi="宋体" w:eastAsia="宋体" w:cs="宋体"/>
                <w:sz w:val="20"/>
                <w:szCs w:val="20"/>
              </w:rPr>
            </w:pPr>
            <w:r>
              <w:rPr>
                <w:rFonts w:ascii="宋体" w:hAnsi="宋体" w:eastAsia="宋体" w:cs="宋体"/>
                <w:b/>
                <w:bCs/>
                <w:spacing w:val="-4"/>
                <w:sz w:val="20"/>
                <w:szCs w:val="20"/>
              </w:rPr>
              <w:t xml:space="preserve">序号</w:t>
            </w:r>
            <w:r/>
          </w:p>
        </w:tc>
        <w:tc>
          <w:tcPr>
            <w:tcBorders>
              <w:top w:val="single" w:color="000000" w:sz="10" w:space="0"/>
              <w:bottom w:val="none" w:color="000000" w:sz="4" w:space="0"/>
            </w:tcBorders>
            <w:tcW w:w="1310" w:type="dxa"/>
            <w:vAlign w:val="top"/>
            <w:vMerge w:val="restart"/>
            <w:textDirection w:val="lrTb"/>
            <w:noWrap w:val="false"/>
          </w:tcPr>
          <w:p>
            <w:pPr>
              <w:pStyle w:val="1045"/>
              <w:spacing w:line="396" w:lineRule="auto"/>
            </w:pPr>
            <w:r/>
            <w:r/>
          </w:p>
          <w:p>
            <w:pPr>
              <w:ind w:left="189"/>
              <w:spacing w:before="65" w:line="220" w:lineRule="auto"/>
              <w:rPr>
                <w:rFonts w:ascii="宋体" w:hAnsi="宋体" w:eastAsia="宋体" w:cs="宋体"/>
                <w:sz w:val="20"/>
                <w:szCs w:val="20"/>
              </w:rPr>
            </w:pPr>
            <w:r>
              <w:rPr>
                <w:rFonts w:ascii="宋体" w:hAnsi="宋体" w:eastAsia="宋体" w:cs="宋体"/>
                <w:b/>
                <w:bCs/>
                <w:spacing w:val="-4"/>
                <w:sz w:val="20"/>
                <w:szCs w:val="20"/>
              </w:rPr>
              <w:t xml:space="preserve">项目编码</w:t>
            </w:r>
            <w:r/>
          </w:p>
        </w:tc>
        <w:tc>
          <w:tcPr>
            <w:tcBorders>
              <w:top w:val="single" w:color="000000" w:sz="10" w:space="0"/>
              <w:bottom w:val="none" w:color="000000" w:sz="4" w:space="0"/>
            </w:tcBorders>
            <w:tcW w:w="1420" w:type="dxa"/>
            <w:vAlign w:val="top"/>
            <w:vMerge w:val="restart"/>
            <w:textDirection w:val="lrTb"/>
            <w:noWrap w:val="false"/>
          </w:tcPr>
          <w:p>
            <w:pPr>
              <w:pStyle w:val="1045"/>
              <w:spacing w:line="396" w:lineRule="auto"/>
            </w:pPr>
            <w:r/>
            <w:r/>
          </w:p>
          <w:p>
            <w:pPr>
              <w:ind w:left="304"/>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项目名称</w:t>
            </w:r>
            <w:r/>
          </w:p>
        </w:tc>
        <w:tc>
          <w:tcPr>
            <w:tcBorders>
              <w:top w:val="single" w:color="000000" w:sz="10" w:space="0"/>
              <w:bottom w:val="none" w:color="000000" w:sz="4" w:space="0"/>
            </w:tcBorders>
            <w:tcW w:w="1750" w:type="dxa"/>
            <w:vAlign w:val="top"/>
            <w:vMerge w:val="restart"/>
            <w:textDirection w:val="lrTb"/>
            <w:noWrap w:val="false"/>
          </w:tcPr>
          <w:p>
            <w:pPr>
              <w:pStyle w:val="1045"/>
              <w:spacing w:line="396" w:lineRule="auto"/>
            </w:pPr>
            <w:r/>
            <w:r/>
          </w:p>
          <w:p>
            <w:pPr>
              <w:ind w:left="152"/>
              <w:spacing w:before="65" w:line="220" w:lineRule="auto"/>
              <w:rPr>
                <w:rFonts w:ascii="宋体" w:hAnsi="宋体" w:eastAsia="宋体" w:cs="宋体"/>
                <w:sz w:val="20"/>
                <w:szCs w:val="20"/>
              </w:rPr>
            </w:pPr>
            <w:r>
              <w:rPr>
                <w:rFonts w:ascii="宋体" w:hAnsi="宋体" w:eastAsia="宋体" w:cs="宋体"/>
                <w:b/>
                <w:bCs/>
                <w:spacing w:val="-3"/>
                <w:sz w:val="20"/>
                <w:szCs w:val="20"/>
              </w:rPr>
              <w:t xml:space="preserve">项目特征描述</w:t>
            </w:r>
            <w:r/>
          </w:p>
        </w:tc>
        <w:tc>
          <w:tcPr>
            <w:tcBorders>
              <w:top w:val="single" w:color="000000" w:sz="10" w:space="0"/>
              <w:bottom w:val="none" w:color="000000" w:sz="4" w:space="0"/>
            </w:tcBorders>
            <w:tcW w:w="890" w:type="dxa"/>
            <w:vAlign w:val="top"/>
            <w:vMerge w:val="restart"/>
            <w:textDirection w:val="lrTb"/>
            <w:noWrap w:val="false"/>
          </w:tcPr>
          <w:p>
            <w:pPr>
              <w:pStyle w:val="1045"/>
              <w:spacing w:line="253" w:lineRule="auto"/>
            </w:pPr>
            <w:r/>
            <w:r/>
          </w:p>
          <w:p>
            <w:pPr>
              <w:ind w:left="253" w:right="242" w:hanging="1"/>
              <w:spacing w:before="65" w:line="267" w:lineRule="auto"/>
              <w:rPr>
                <w:rFonts w:ascii="宋体" w:hAnsi="宋体" w:eastAsia="宋体" w:cs="宋体"/>
                <w:sz w:val="20"/>
                <w:szCs w:val="20"/>
              </w:rPr>
            </w:pPr>
            <w:r>
              <w:rPr>
                <w:rFonts w:ascii="宋体" w:hAnsi="宋体" w:eastAsia="宋体" w:cs="宋体"/>
                <w:b/>
                <w:bCs/>
                <w:spacing w:val="-6"/>
                <w:sz w:val="20"/>
                <w:szCs w:val="20"/>
              </w:rPr>
              <w:t xml:space="preserve">计量单位</w:t>
            </w:r>
            <w:r/>
          </w:p>
        </w:tc>
        <w:tc>
          <w:tcPr>
            <w:tcBorders>
              <w:top w:val="single" w:color="000000" w:sz="10" w:space="0"/>
              <w:bottom w:val="none" w:color="000000" w:sz="4" w:space="0"/>
            </w:tcBorders>
            <w:tcW w:w="870" w:type="dxa"/>
            <w:vAlign w:val="top"/>
            <w:vMerge w:val="restart"/>
            <w:textDirection w:val="lrTb"/>
            <w:noWrap w:val="false"/>
          </w:tcPr>
          <w:p>
            <w:pPr>
              <w:pStyle w:val="1045"/>
              <w:spacing w:line="396" w:lineRule="auto"/>
            </w:pPr>
            <w:r/>
            <w:r/>
          </w:p>
          <w:p>
            <w:pPr>
              <w:ind w:left="133"/>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工程量</w:t>
            </w:r>
            <w:r/>
          </w:p>
        </w:tc>
        <w:tc>
          <w:tcPr>
            <w:gridSpan w:val="3"/>
            <w:tcBorders>
              <w:top w:val="single" w:color="000000" w:sz="10" w:space="0"/>
              <w:right w:val="single" w:color="000000" w:sz="10" w:space="0"/>
            </w:tcBorders>
            <w:tcW w:w="3250" w:type="dxa"/>
            <w:vAlign w:val="top"/>
            <w:textDirection w:val="lrTb"/>
            <w:noWrap w:val="false"/>
          </w:tcPr>
          <w:p>
            <w:pPr>
              <w:ind w:left="1194"/>
              <w:spacing w:before="106" w:line="220" w:lineRule="auto"/>
              <w:rPr>
                <w:rFonts w:ascii="宋体" w:hAnsi="宋体" w:eastAsia="宋体" w:cs="宋体"/>
                <w:sz w:val="20"/>
                <w:szCs w:val="20"/>
              </w:rPr>
            </w:pPr>
            <w:r>
              <w:rPr>
                <w:rFonts w:ascii="宋体" w:hAnsi="宋体" w:eastAsia="宋体" w:cs="宋体"/>
                <w:b/>
                <w:bCs/>
                <w:spacing w:val="-3"/>
                <w:sz w:val="20"/>
                <w:szCs w:val="20"/>
              </w:rPr>
              <w:t xml:space="preserve">全费用金额</w:t>
            </w:r>
            <w:r>
              <w:rPr>
                <w:rFonts w:hint="eastAsia" w:ascii="宋体" w:hAnsi="宋体" w:eastAsia="宋体" w:cs="宋体"/>
                <w:b/>
                <w:bCs/>
                <w:spacing w:val="-3"/>
                <w:sz w:val="20"/>
                <w:szCs w:val="20"/>
                <w:lang w:eastAsia="zh-CN"/>
              </w:rPr>
              <w:t xml:space="preserve">（</w:t>
            </w:r>
            <w:r>
              <w:rPr>
                <w:rFonts w:ascii="宋体" w:hAnsi="宋体" w:eastAsia="宋体" w:cs="宋体"/>
                <w:b/>
                <w:bCs/>
                <w:spacing w:val="-3"/>
                <w:sz w:val="20"/>
                <w:szCs w:val="20"/>
              </w:rPr>
              <w:t xml:space="preserve">元</w:t>
            </w:r>
            <w:r>
              <w:rPr>
                <w:rFonts w:hint="eastAsia" w:ascii="宋体" w:hAnsi="宋体" w:eastAsia="宋体" w:cs="宋体"/>
                <w:b/>
                <w:bCs/>
                <w:spacing w:val="-3"/>
                <w:sz w:val="20"/>
                <w:szCs w:val="20"/>
                <w:lang w:eastAsia="zh-CN"/>
              </w:rPr>
              <w:t xml:space="preserve">）</w:t>
            </w:r>
            <w:r/>
          </w:p>
        </w:tc>
      </w:tr>
      <w:tr>
        <w:trPr>
          <w:trHeight w:val="704"/>
        </w:trPr>
        <w:tc>
          <w:tcPr>
            <w:tcBorders>
              <w:top w:val="none" w:color="000000" w:sz="4" w:space="0"/>
              <w:left w:val="single" w:color="000000" w:sz="10" w:space="0"/>
            </w:tcBorders>
            <w:tcW w:w="615" w:type="dxa"/>
            <w:vAlign w:val="top"/>
            <w:vMerge w:val="continue"/>
            <w:textDirection w:val="lrTb"/>
            <w:noWrap w:val="false"/>
          </w:tcPr>
          <w:p>
            <w:pPr>
              <w:pStyle w:val="1045"/>
            </w:pPr>
            <w:r/>
            <w:r/>
          </w:p>
        </w:tc>
        <w:tc>
          <w:tcPr>
            <w:tcBorders>
              <w:top w:val="none" w:color="000000" w:sz="4" w:space="0"/>
            </w:tcBorders>
            <w:tcW w:w="1310" w:type="dxa"/>
            <w:vAlign w:val="top"/>
            <w:vMerge w:val="continue"/>
            <w:textDirection w:val="lrTb"/>
            <w:noWrap w:val="false"/>
          </w:tcPr>
          <w:p>
            <w:pPr>
              <w:pStyle w:val="1045"/>
            </w:pPr>
            <w:r/>
            <w:r/>
          </w:p>
        </w:tc>
        <w:tc>
          <w:tcPr>
            <w:tcBorders>
              <w:top w:val="none" w:color="000000" w:sz="4" w:space="0"/>
            </w:tcBorders>
            <w:tcW w:w="1420" w:type="dxa"/>
            <w:vAlign w:val="top"/>
            <w:vMerge w:val="continue"/>
            <w:textDirection w:val="lrTb"/>
            <w:noWrap w:val="false"/>
          </w:tcPr>
          <w:p>
            <w:pPr>
              <w:pStyle w:val="1045"/>
            </w:pPr>
            <w:r/>
            <w:r/>
          </w:p>
        </w:tc>
        <w:tc>
          <w:tcPr>
            <w:tcBorders>
              <w:top w:val="none" w:color="000000" w:sz="4" w:space="0"/>
            </w:tcBorders>
            <w:tcW w:w="1750" w:type="dxa"/>
            <w:vAlign w:val="top"/>
            <w:vMerge w:val="continue"/>
            <w:textDirection w:val="lrTb"/>
            <w:noWrap w:val="false"/>
          </w:tcPr>
          <w:p>
            <w:pPr>
              <w:pStyle w:val="1045"/>
            </w:pPr>
            <w:r/>
            <w:r/>
          </w:p>
        </w:tc>
        <w:tc>
          <w:tcPr>
            <w:tcBorders>
              <w:top w:val="none" w:color="000000" w:sz="4" w:space="0"/>
            </w:tcBorders>
            <w:tcW w:w="890" w:type="dxa"/>
            <w:vAlign w:val="top"/>
            <w:vMerge w:val="continue"/>
            <w:textDirection w:val="lrTb"/>
            <w:noWrap w:val="false"/>
          </w:tcPr>
          <w:p>
            <w:pPr>
              <w:pStyle w:val="1045"/>
            </w:pPr>
            <w:r/>
            <w:r/>
          </w:p>
        </w:tc>
        <w:tc>
          <w:tcPr>
            <w:tcBorders>
              <w:top w:val="none" w:color="000000" w:sz="4" w:space="0"/>
            </w:tcBorders>
            <w:tcW w:w="870" w:type="dxa"/>
            <w:vAlign w:val="top"/>
            <w:vMerge w:val="continue"/>
            <w:textDirection w:val="lrTb"/>
            <w:noWrap w:val="false"/>
          </w:tcPr>
          <w:p>
            <w:pPr>
              <w:pStyle w:val="1045"/>
            </w:pPr>
            <w:r/>
            <w:r/>
          </w:p>
        </w:tc>
        <w:tc>
          <w:tcPr>
            <w:tcW w:w="900" w:type="dxa"/>
            <w:vAlign w:val="top"/>
            <w:textDirection w:val="lrTb"/>
            <w:noWrap w:val="false"/>
          </w:tcPr>
          <w:p>
            <w:pPr>
              <w:ind w:left="222"/>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综合单价</w:t>
            </w:r>
            <w:r/>
          </w:p>
        </w:tc>
        <w:tc>
          <w:tcPr>
            <w:tcW w:w="1260" w:type="dxa"/>
            <w:vAlign w:val="top"/>
            <w:textDirection w:val="lrTb"/>
            <w:noWrap w:val="false"/>
          </w:tcPr>
          <w:p>
            <w:pPr>
              <w:ind w:left="333"/>
              <w:spacing w:before="238" w:line="219" w:lineRule="auto"/>
              <w:rPr>
                <w:rFonts w:ascii="宋体" w:hAnsi="宋体" w:eastAsia="宋体" w:cs="宋体"/>
                <w:sz w:val="20"/>
                <w:szCs w:val="20"/>
              </w:rPr>
            </w:pPr>
            <w:r>
              <w:rPr>
                <w:rFonts w:ascii="宋体" w:hAnsi="宋体" w:eastAsia="宋体" w:cs="宋体"/>
                <w:b/>
                <w:bCs/>
                <w:spacing w:val="-4"/>
                <w:sz w:val="20"/>
                <w:szCs w:val="20"/>
              </w:rPr>
              <w:t xml:space="preserve">综合合价</w:t>
            </w:r>
            <w:r/>
          </w:p>
        </w:tc>
        <w:tc>
          <w:tcPr>
            <w:tcBorders>
              <w:right w:val="single" w:color="000000" w:sz="10" w:space="0"/>
            </w:tcBorders>
            <w:tcW w:w="1090" w:type="dxa"/>
            <w:vAlign w:val="top"/>
            <w:textDirection w:val="lrTb"/>
            <w:noWrap w:val="false"/>
          </w:tcPr>
          <w:p>
            <w:pPr>
              <w:ind w:left="271"/>
              <w:spacing w:before="238" w:line="219" w:lineRule="auto"/>
              <w:rPr>
                <w:rFonts w:ascii="宋体" w:hAnsi="宋体" w:eastAsia="宋体" w:cs="宋体"/>
                <w:sz w:val="20"/>
                <w:szCs w:val="20"/>
              </w:rPr>
            </w:pPr>
            <w:r>
              <w:rPr>
                <w:rFonts w:ascii="宋体" w:hAnsi="宋体" w:eastAsia="宋体" w:cs="宋体"/>
                <w:b/>
                <w:bCs/>
                <w:spacing w:val="-5"/>
                <w:sz w:val="20"/>
                <w:szCs w:val="20"/>
              </w:rPr>
              <w:t xml:space="preserve">暂估价</w:t>
            </w:r>
            <w:r/>
          </w:p>
        </w:tc>
      </w:tr>
      <w:tr>
        <w:trPr>
          <w:trHeight w:val="1763"/>
        </w:trPr>
        <w:tc>
          <w:tcPr>
            <w:tcBorders>
              <w:left w:val="single" w:color="000000" w:sz="10" w:space="0"/>
            </w:tcBorders>
            <w:tcW w:w="615" w:type="dxa"/>
            <w:vAlign w:val="top"/>
            <w:textDirection w:val="lrTb"/>
            <w:noWrap w:val="false"/>
          </w:tcPr>
          <w:p>
            <w:pPr>
              <w:pStyle w:val="1045"/>
              <w:spacing w:line="349" w:lineRule="auto"/>
            </w:pPr>
            <w:r/>
            <w:r/>
          </w:p>
          <w:p>
            <w:pPr>
              <w:pStyle w:val="1045"/>
              <w:spacing w:line="350" w:lineRule="auto"/>
            </w:pPr>
            <w:r/>
            <w:r/>
          </w:p>
          <w:p>
            <w:pPr>
              <w:ind w:left="327"/>
              <w:spacing w:before="65" w:line="242" w:lineRule="auto"/>
              <w:rPr>
                <w:rFonts w:ascii="宋体" w:hAnsi="宋体" w:eastAsia="宋体" w:cs="宋体"/>
                <w:sz w:val="20"/>
                <w:szCs w:val="20"/>
              </w:rPr>
            </w:pPr>
            <w:r>
              <w:rPr>
                <w:rFonts w:ascii="宋体" w:hAnsi="宋体" w:eastAsia="宋体" w:cs="宋体"/>
                <w:spacing w:val="-6"/>
                <w:sz w:val="20"/>
                <w:szCs w:val="20"/>
              </w:rPr>
              <w:t xml:space="preserve">14</w:t>
            </w:r>
            <w:r/>
          </w:p>
        </w:tc>
        <w:tc>
          <w:tcPr>
            <w:tcW w:w="1310" w:type="dxa"/>
            <w:vAlign w:val="top"/>
            <w:textDirection w:val="lrTb"/>
            <w:noWrap w:val="false"/>
          </w:tcPr>
          <w:p>
            <w:pPr>
              <w:pStyle w:val="1045"/>
              <w:spacing w:line="278" w:lineRule="auto"/>
            </w:pPr>
            <w:r/>
            <w:r/>
          </w:p>
          <w:p>
            <w:pPr>
              <w:pStyle w:val="1045"/>
              <w:spacing w:line="278"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01120100100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20" w:type="dxa"/>
            <w:vAlign w:val="top"/>
            <w:textDirection w:val="lrTb"/>
            <w:noWrap w:val="false"/>
          </w:tcPr>
          <w:p>
            <w:pPr>
              <w:pStyle w:val="1045"/>
              <w:spacing w:line="277" w:lineRule="auto"/>
            </w:pPr>
            <w:r/>
            <w:r/>
          </w:p>
          <w:p>
            <w:pPr>
              <w:pStyle w:val="1045"/>
              <w:spacing w:line="278" w:lineRule="auto"/>
            </w:pPr>
            <w:r/>
            <w:r/>
          </w:p>
          <w:p>
            <w:pPr>
              <w:ind w:left="502" w:right="105" w:hanging="402"/>
              <w:spacing w:before="65" w:line="267" w:lineRule="auto"/>
              <w:rPr>
                <w:rFonts w:ascii="宋体" w:hAnsi="宋体" w:eastAsia="宋体" w:cs="宋体"/>
                <w:sz w:val="20"/>
                <w:szCs w:val="20"/>
              </w:rPr>
            </w:pPr>
            <w:r>
              <w:rPr>
                <w:rFonts w:ascii="宋体" w:hAnsi="宋体" w:eastAsia="宋体" w:cs="宋体"/>
                <w:spacing w:val="-1"/>
                <w:sz w:val="20"/>
                <w:szCs w:val="20"/>
              </w:rPr>
              <w:t xml:space="preserve">墙、柱面一般</w:t>
            </w:r>
            <w:r>
              <w:rPr>
                <w:rFonts w:ascii="宋体" w:hAnsi="宋体" w:eastAsia="宋体" w:cs="宋体"/>
                <w:spacing w:val="-2"/>
                <w:sz w:val="20"/>
                <w:szCs w:val="20"/>
              </w:rPr>
              <w:t xml:space="preserve">抹灰</w:t>
            </w:r>
            <w:r/>
          </w:p>
        </w:tc>
        <w:tc>
          <w:tcPr>
            <w:tcW w:w="1750" w:type="dxa"/>
            <w:vAlign w:val="top"/>
            <w:textDirection w:val="lrTb"/>
            <w:noWrap w:val="false"/>
          </w:tcPr>
          <w:p>
            <w:pPr>
              <w:ind w:left="36" w:right="58" w:firstLine="14"/>
              <w:spacing w:before="51" w:line="265" w:lineRule="auto"/>
              <w:rPr>
                <w:rFonts w:ascii="宋体" w:hAnsi="宋体" w:eastAsia="宋体" w:cs="宋体"/>
                <w:sz w:val="20"/>
                <w:szCs w:val="20"/>
              </w:rPr>
            </w:pPr>
            <w:r>
              <w:rPr>
                <w:rFonts w:ascii="宋体" w:hAnsi="宋体" w:eastAsia="宋体" w:cs="宋体"/>
                <w:spacing w:val="-2"/>
                <w:sz w:val="20"/>
                <w:szCs w:val="20"/>
              </w:rPr>
              <w:t xml:space="preserve">1.基层类型、部</w:t>
            </w:r>
            <w:r>
              <w:rPr>
                <w:rFonts w:ascii="宋体" w:hAnsi="宋体" w:eastAsia="宋体" w:cs="宋体"/>
                <w:spacing w:val="-1"/>
                <w:sz w:val="20"/>
                <w:szCs w:val="20"/>
              </w:rPr>
              <w:t xml:space="preserve">位：砖墙</w:t>
            </w:r>
            <w:r/>
          </w:p>
          <w:p>
            <w:pPr>
              <w:ind w:left="36" w:right="58" w:firstLine="2"/>
              <w:spacing w:line="260" w:lineRule="auto"/>
              <w:rPr>
                <w:rFonts w:ascii="宋体" w:hAnsi="宋体" w:eastAsia="宋体" w:cs="宋体"/>
                <w:sz w:val="20"/>
                <w:szCs w:val="20"/>
              </w:rPr>
            </w:pPr>
            <w:r>
              <w:rPr>
                <w:rFonts w:ascii="宋体" w:hAnsi="宋体" w:eastAsia="宋体" w:cs="宋体"/>
                <w:spacing w:val="-1"/>
                <w:sz w:val="20"/>
                <w:szCs w:val="20"/>
              </w:rPr>
              <w:t xml:space="preserve">2.各层厚度、材料种类及强度等级：1</w:t>
            </w:r>
            <w:r>
              <w:rPr>
                <w:rFonts w:hint="eastAsia" w:ascii="宋体" w:hAnsi="宋体" w:eastAsia="宋体" w:cs="宋体"/>
                <w:spacing w:val="-1"/>
                <w:sz w:val="20"/>
                <w:szCs w:val="20"/>
                <w:lang w:eastAsia="zh-CN"/>
              </w:rPr>
              <w:t xml:space="preserve">:</w:t>
            </w:r>
            <w:r>
              <w:rPr>
                <w:rFonts w:ascii="宋体" w:hAnsi="宋体" w:eastAsia="宋体" w:cs="宋体"/>
                <w:spacing w:val="-1"/>
                <w:sz w:val="20"/>
                <w:szCs w:val="20"/>
              </w:rPr>
              <w:t xml:space="preserve">3水泥砂</w:t>
            </w:r>
            <w:r>
              <w:rPr>
                <w:rFonts w:ascii="宋体" w:hAnsi="宋体" w:eastAsia="宋体" w:cs="宋体"/>
                <w:sz w:val="20"/>
                <w:szCs w:val="20"/>
              </w:rPr>
              <w:t xml:space="preserve">浆</w:t>
            </w:r>
            <w:r/>
          </w:p>
        </w:tc>
        <w:tc>
          <w:tcPr>
            <w:tcW w:w="890" w:type="dxa"/>
            <w:vAlign w:val="top"/>
            <w:textDirection w:val="lrTb"/>
            <w:noWrap w:val="false"/>
          </w:tcPr>
          <w:p>
            <w:pPr>
              <w:pStyle w:val="1045"/>
              <w:spacing w:line="349" w:lineRule="auto"/>
            </w:pPr>
            <w:r/>
            <w:r/>
          </w:p>
          <w:p>
            <w:pPr>
              <w:pStyle w:val="1045"/>
              <w:spacing w:line="350"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70" w:type="dxa"/>
            <w:vAlign w:val="top"/>
            <w:textDirection w:val="lrTb"/>
            <w:noWrap w:val="false"/>
          </w:tcPr>
          <w:p>
            <w:pPr>
              <w:pStyle w:val="1045"/>
              <w:spacing w:line="349" w:lineRule="auto"/>
            </w:pPr>
            <w:r/>
            <w:r/>
          </w:p>
          <w:p>
            <w:pPr>
              <w:pStyle w:val="1045"/>
              <w:spacing w:line="350" w:lineRule="auto"/>
            </w:pPr>
            <w:r/>
            <w:r/>
          </w:p>
          <w:p>
            <w:pPr>
              <w:ind w:right="24"/>
              <w:jc w:val="right"/>
              <w:spacing w:before="65" w:line="241" w:lineRule="auto"/>
              <w:rPr>
                <w:rFonts w:ascii="宋体" w:hAnsi="宋体" w:eastAsia="宋体" w:cs="宋体"/>
                <w:sz w:val="20"/>
                <w:szCs w:val="20"/>
              </w:rPr>
            </w:pPr>
            <w:r>
              <w:rPr>
                <w:rFonts w:ascii="宋体" w:hAnsi="宋体" w:eastAsia="宋体" w:cs="宋体"/>
                <w:spacing w:val="-3"/>
                <w:sz w:val="20"/>
                <w:szCs w:val="20"/>
              </w:rPr>
              <w:t xml:space="preserve">30</w:t>
            </w:r>
            <w:r/>
          </w:p>
        </w:tc>
        <w:tc>
          <w:tcPr>
            <w:tcW w:w="900" w:type="dxa"/>
            <w:vAlign w:val="top"/>
            <w:textDirection w:val="lrTb"/>
            <w:noWrap w:val="false"/>
          </w:tcPr>
          <w:p>
            <w:pPr>
              <w:pStyle w:val="1045"/>
              <w:spacing w:line="349" w:lineRule="auto"/>
            </w:pPr>
            <w:r/>
            <w:r/>
          </w:p>
          <w:p>
            <w:pPr>
              <w:pStyle w:val="1045"/>
              <w:spacing w:line="350"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260" w:type="dxa"/>
            <w:vAlign w:val="top"/>
            <w:textDirection w:val="lrTb"/>
            <w:noWrap w:val="false"/>
          </w:tcPr>
          <w:p>
            <w:pPr>
              <w:pStyle w:val="1045"/>
              <w:spacing w:line="349" w:lineRule="auto"/>
            </w:pPr>
            <w:r/>
            <w:r/>
          </w:p>
          <w:p>
            <w:pPr>
              <w:pStyle w:val="1045"/>
              <w:spacing w:line="350" w:lineRule="auto"/>
            </w:pPr>
            <w:r/>
            <w:r/>
          </w:p>
          <w:p>
            <w:pPr>
              <w:ind w:right="19"/>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90" w:type="dxa"/>
            <w:vAlign w:val="top"/>
            <w:textDirection w:val="lrTb"/>
            <w:noWrap w:val="false"/>
          </w:tcPr>
          <w:p>
            <w:pPr>
              <w:pStyle w:val="1045"/>
            </w:pPr>
            <w:r/>
            <w:r/>
          </w:p>
        </w:tc>
      </w:tr>
      <w:tr>
        <w:trPr>
          <w:trHeight w:val="443"/>
        </w:trPr>
        <w:tc>
          <w:tcPr>
            <w:tcBorders>
              <w:left w:val="single" w:color="000000" w:sz="10" w:space="0"/>
            </w:tcBorders>
            <w:tcW w:w="615" w:type="dxa"/>
            <w:vAlign w:val="top"/>
            <w:textDirection w:val="lrTb"/>
            <w:noWrap w:val="false"/>
          </w:tcPr>
          <w:p>
            <w:pPr>
              <w:pStyle w:val="1045"/>
            </w:pPr>
            <w:r/>
            <w:r/>
          </w:p>
        </w:tc>
        <w:tc>
          <w:tcPr>
            <w:tcW w:w="1310" w:type="dxa"/>
            <w:vAlign w:val="top"/>
            <w:textDirection w:val="lrTb"/>
            <w:noWrap w:val="false"/>
          </w:tcPr>
          <w:p>
            <w:pPr>
              <w:pStyle w:val="1045"/>
            </w:pPr>
            <w:r/>
            <w:r/>
          </w:p>
        </w:tc>
        <w:tc>
          <w:tcPr>
            <w:gridSpan w:val="2"/>
            <w:tcW w:w="3170" w:type="dxa"/>
            <w:vAlign w:val="top"/>
            <w:textDirection w:val="lrTb"/>
            <w:noWrap w:val="false"/>
          </w:tcPr>
          <w:p>
            <w:pPr>
              <w:ind w:left="806"/>
              <w:spacing w:before="110" w:line="220" w:lineRule="auto"/>
              <w:rPr>
                <w:rFonts w:ascii="宋体" w:hAnsi="宋体" w:eastAsia="宋体" w:cs="宋体"/>
                <w:sz w:val="20"/>
                <w:szCs w:val="20"/>
              </w:rPr>
            </w:pPr>
            <w:r>
              <w:rPr>
                <w:rFonts w:ascii="宋体" w:hAnsi="宋体" w:eastAsia="宋体" w:cs="宋体"/>
                <w:spacing w:val="-2"/>
                <w:sz w:val="20"/>
                <w:szCs w:val="20"/>
              </w:rPr>
              <w:t xml:space="preserve">0105</w:t>
            </w:r>
            <w:r>
              <w:rPr>
                <w:rFonts w:ascii="宋体" w:hAnsi="宋体" w:eastAsia="宋体" w:cs="宋体"/>
                <w:spacing w:val="13"/>
                <w:sz w:val="20"/>
                <w:szCs w:val="20"/>
              </w:rPr>
              <w:t xml:space="preserve"> </w:t>
            </w:r>
            <w:r>
              <w:rPr>
                <w:rFonts w:ascii="宋体" w:hAnsi="宋体" w:eastAsia="宋体" w:cs="宋体"/>
                <w:spacing w:val="-2"/>
                <w:sz w:val="20"/>
                <w:szCs w:val="20"/>
              </w:rPr>
              <w:t xml:space="preserve">室外地坪</w:t>
            </w:r>
            <w:r/>
          </w:p>
        </w:tc>
        <w:tc>
          <w:tcPr>
            <w:tcW w:w="890" w:type="dxa"/>
            <w:vAlign w:val="top"/>
            <w:textDirection w:val="lrTb"/>
            <w:noWrap w:val="false"/>
          </w:tcPr>
          <w:p>
            <w:pPr>
              <w:pStyle w:val="1045"/>
            </w:pPr>
            <w:r/>
            <w:r/>
          </w:p>
        </w:tc>
        <w:tc>
          <w:tcPr>
            <w:tcW w:w="870" w:type="dxa"/>
            <w:vAlign w:val="top"/>
            <w:textDirection w:val="lrTb"/>
            <w:noWrap w:val="false"/>
          </w:tcPr>
          <w:p>
            <w:pPr>
              <w:ind w:right="7"/>
              <w:jc w:val="right"/>
              <w:spacing w:before="109" w:line="242" w:lineRule="auto"/>
              <w:rPr>
                <w:rFonts w:ascii="宋体" w:hAnsi="宋体" w:eastAsia="宋体" w:cs="宋体"/>
                <w:sz w:val="20"/>
                <w:szCs w:val="20"/>
              </w:rPr>
            </w:pPr>
            <w:r>
              <w:rPr>
                <w:rFonts w:ascii="宋体" w:hAnsi="宋体" w:eastAsia="宋体" w:cs="宋体"/>
                <w:sz w:val="20"/>
                <w:szCs w:val="20"/>
              </w:rPr>
              <w:t xml:space="preserve">1</w:t>
            </w:r>
            <w:r/>
          </w:p>
        </w:tc>
        <w:tc>
          <w:tcPr>
            <w:tcW w:w="900" w:type="dxa"/>
            <w:vAlign w:val="top"/>
            <w:textDirection w:val="lrTb"/>
            <w:noWrap w:val="false"/>
          </w:tcPr>
          <w:p>
            <w:pPr>
              <w:pStyle w:val="1045"/>
            </w:pPr>
            <w:r/>
            <w:r/>
          </w:p>
        </w:tc>
        <w:tc>
          <w:tcPr>
            <w:tcW w:w="1260" w:type="dxa"/>
            <w:vAlign w:val="top"/>
            <w:textDirection w:val="lrTb"/>
            <w:noWrap w:val="false"/>
          </w:tcPr>
          <w:p>
            <w:pPr>
              <w:ind w:right="21"/>
              <w:jc w:val="right"/>
              <w:spacing w:before="109"/>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90" w:type="dxa"/>
            <w:vAlign w:val="top"/>
            <w:textDirection w:val="lrTb"/>
            <w:noWrap w:val="false"/>
          </w:tcPr>
          <w:p>
            <w:pPr>
              <w:pStyle w:val="1045"/>
            </w:pPr>
            <w:r/>
            <w:r/>
          </w:p>
        </w:tc>
      </w:tr>
      <w:tr>
        <w:trPr>
          <w:trHeight w:val="5784"/>
        </w:trPr>
        <w:tc>
          <w:tcPr>
            <w:tcBorders>
              <w:left w:val="single" w:color="000000" w:sz="10" w:space="0"/>
            </w:tcBorders>
            <w:tcW w:w="615"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15</w:t>
            </w:r>
            <w:r/>
          </w:p>
        </w:tc>
        <w:tc>
          <w:tcPr>
            <w:tcW w:w="1310" w:type="dxa"/>
            <w:vAlign w:val="top"/>
            <w:textDirection w:val="lrTb"/>
            <w:noWrap w:val="false"/>
          </w:tcPr>
          <w:p>
            <w:pPr>
              <w:pStyle w:val="1045"/>
              <w:spacing w:line="255" w:lineRule="auto"/>
            </w:pPr>
            <w:r/>
            <w:r/>
          </w:p>
          <w:p>
            <w:pPr>
              <w:pStyle w:val="1045"/>
              <w:spacing w:line="255" w:lineRule="auto"/>
            </w:pPr>
            <w:r/>
            <w:r/>
          </w:p>
          <w:p>
            <w:pPr>
              <w:pStyle w:val="1045"/>
              <w:spacing w:line="256" w:lineRule="auto"/>
            </w:pPr>
            <w:r/>
            <w:r/>
          </w:p>
          <w:p>
            <w:pPr>
              <w:pStyle w:val="1045"/>
              <w:spacing w:line="256" w:lineRule="auto"/>
            </w:pPr>
            <w:r/>
            <w:r/>
          </w:p>
          <w:p>
            <w:pPr>
              <w:pStyle w:val="1045"/>
              <w:spacing w:line="256" w:lineRule="auto"/>
            </w:pPr>
            <w:r/>
            <w:r/>
          </w:p>
          <w:p>
            <w:pPr>
              <w:pStyle w:val="1045"/>
              <w:spacing w:line="256" w:lineRule="auto"/>
            </w:pPr>
            <w:r/>
            <w:r/>
          </w:p>
          <w:p>
            <w:pPr>
              <w:pStyle w:val="1045"/>
              <w:spacing w:line="256" w:lineRule="auto"/>
            </w:pPr>
            <w:r/>
            <w:r/>
          </w:p>
          <w:p>
            <w:pPr>
              <w:pStyle w:val="1045"/>
              <w:spacing w:line="256" w:lineRule="auto"/>
            </w:pPr>
            <w:r/>
            <w:r/>
          </w:p>
          <w:p>
            <w:pPr>
              <w:pStyle w:val="1045"/>
              <w:spacing w:line="256" w:lineRule="auto"/>
            </w:pPr>
            <w:r/>
            <w:r/>
          </w:p>
          <w:p>
            <w:pPr>
              <w:pStyle w:val="1045"/>
              <w:spacing w:line="256"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01050203000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20"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left="502"/>
              <w:spacing w:before="65" w:line="220" w:lineRule="auto"/>
              <w:rPr>
                <w:rFonts w:ascii="宋体" w:hAnsi="宋体" w:eastAsia="宋体" w:cs="宋体"/>
                <w:sz w:val="20"/>
                <w:szCs w:val="20"/>
              </w:rPr>
            </w:pPr>
            <w:r>
              <w:rPr>
                <w:rFonts w:ascii="宋体" w:hAnsi="宋体" w:eastAsia="宋体" w:cs="宋体"/>
                <w:spacing w:val="-2"/>
                <w:sz w:val="20"/>
                <w:szCs w:val="20"/>
              </w:rPr>
              <w:t xml:space="preserve">地坪</w:t>
            </w:r>
            <w:r/>
          </w:p>
        </w:tc>
        <w:tc>
          <w:tcPr>
            <w:tcW w:w="1750" w:type="dxa"/>
            <w:vAlign w:val="top"/>
            <w:textDirection w:val="lrTb"/>
            <w:noWrap w:val="false"/>
          </w:tcPr>
          <w:p>
            <w:pPr>
              <w:pStyle w:val="1045"/>
              <w:spacing w:line="279" w:lineRule="auto"/>
            </w:pPr>
            <w:r/>
            <w:r/>
          </w:p>
          <w:p>
            <w:pPr>
              <w:ind w:left="37" w:right="58" w:firstLine="14"/>
              <w:spacing w:before="65" w:line="265" w:lineRule="auto"/>
              <w:rPr>
                <w:rFonts w:ascii="宋体" w:hAnsi="宋体" w:eastAsia="宋体" w:cs="宋体"/>
                <w:sz w:val="20"/>
                <w:szCs w:val="20"/>
              </w:rPr>
            </w:pPr>
            <w:r>
              <w:rPr>
                <w:rFonts w:ascii="宋体" w:hAnsi="宋体" w:eastAsia="宋体" w:cs="宋体"/>
                <w:spacing w:val="-2"/>
                <w:sz w:val="20"/>
                <w:szCs w:val="20"/>
              </w:rPr>
              <w:t xml:space="preserve">1.垫层材料种类</w:t>
            </w:r>
            <w:r>
              <w:rPr>
                <w:rFonts w:ascii="宋体" w:hAnsi="宋体" w:eastAsia="宋体" w:cs="宋体"/>
                <w:sz w:val="20"/>
                <w:szCs w:val="20"/>
              </w:rPr>
              <w:t xml:space="preserve"> </w:t>
            </w:r>
            <w:r>
              <w:rPr>
                <w:rFonts w:ascii="宋体" w:hAnsi="宋体" w:eastAsia="宋体" w:cs="宋体"/>
                <w:spacing w:val="-2"/>
                <w:sz w:val="20"/>
                <w:szCs w:val="20"/>
              </w:rPr>
              <w:t xml:space="preserve">、厚度：5cm碎石垫层</w:t>
            </w:r>
            <w:r/>
          </w:p>
          <w:p>
            <w:pPr>
              <w:ind w:left="51" w:right="305" w:hanging="12"/>
              <w:spacing w:before="1" w:line="264" w:lineRule="auto"/>
              <w:rPr>
                <w:rFonts w:ascii="宋体" w:hAnsi="宋体" w:eastAsia="宋体" w:cs="宋体"/>
                <w:sz w:val="20"/>
                <w:szCs w:val="20"/>
              </w:rPr>
            </w:pPr>
            <w:r>
              <w:rPr>
                <w:rFonts w:ascii="宋体" w:hAnsi="宋体" w:eastAsia="宋体" w:cs="宋体"/>
                <w:spacing w:val="-8"/>
                <w:sz w:val="20"/>
                <w:szCs w:val="20"/>
              </w:rPr>
              <w:t xml:space="preserve">2.面层厚度：</w:t>
            </w:r>
            <w:r>
              <w:rPr>
                <w:rFonts w:ascii="宋体" w:hAnsi="宋体" w:eastAsia="宋体" w:cs="宋体"/>
                <w:spacing w:val="3"/>
                <w:sz w:val="20"/>
                <w:szCs w:val="20"/>
              </w:rPr>
              <w:t xml:space="preserve"> </w:t>
            </w:r>
            <w:r>
              <w:rPr>
                <w:rFonts w:ascii="宋体" w:hAnsi="宋体" w:eastAsia="宋体" w:cs="宋体"/>
                <w:spacing w:val="-4"/>
                <w:sz w:val="20"/>
                <w:szCs w:val="20"/>
              </w:rPr>
              <w:t xml:space="preserve">10cm</w:t>
            </w:r>
            <w:r/>
          </w:p>
          <w:p>
            <w:pPr>
              <w:ind w:left="38" w:right="104" w:firstLine="2"/>
              <w:spacing w:before="1" w:line="264" w:lineRule="auto"/>
              <w:rPr>
                <w:rFonts w:ascii="宋体" w:hAnsi="宋体" w:eastAsia="宋体" w:cs="宋体"/>
                <w:sz w:val="20"/>
                <w:szCs w:val="20"/>
              </w:rPr>
            </w:pPr>
            <w:r>
              <w:rPr>
                <w:rFonts w:ascii="宋体" w:hAnsi="宋体" w:eastAsia="宋体" w:cs="宋体"/>
                <w:spacing w:val="-7"/>
                <w:sz w:val="20"/>
                <w:szCs w:val="20"/>
              </w:rPr>
              <w:t xml:space="preserve">3.混凝土种类：</w:t>
            </w:r>
            <w:r>
              <w:rPr>
                <w:rFonts w:ascii="宋体" w:hAnsi="宋体" w:eastAsia="宋体" w:cs="宋体"/>
                <w:spacing w:val="-1"/>
                <w:sz w:val="20"/>
                <w:szCs w:val="20"/>
              </w:rPr>
              <w:t xml:space="preserve">预拌商品砼</w:t>
            </w:r>
            <w:r/>
          </w:p>
          <w:p>
            <w:pPr>
              <w:ind w:left="40" w:right="58" w:hanging="4"/>
              <w:spacing w:before="1" w:line="264" w:lineRule="auto"/>
              <w:rPr>
                <w:rFonts w:ascii="宋体" w:hAnsi="宋体" w:eastAsia="宋体" w:cs="宋体"/>
                <w:sz w:val="20"/>
                <w:szCs w:val="20"/>
              </w:rPr>
            </w:pPr>
            <w:r>
              <w:rPr>
                <w:rFonts w:ascii="宋体" w:hAnsi="宋体" w:eastAsia="宋体" w:cs="宋体"/>
                <w:spacing w:val="-1"/>
                <w:sz w:val="20"/>
                <w:szCs w:val="20"/>
              </w:rPr>
              <w:t xml:space="preserve">4.混凝土强度等</w:t>
            </w:r>
            <w:r>
              <w:rPr>
                <w:rFonts w:ascii="宋体" w:hAnsi="宋体" w:eastAsia="宋体" w:cs="宋体"/>
                <w:spacing w:val="-2"/>
                <w:sz w:val="20"/>
                <w:szCs w:val="20"/>
              </w:rPr>
              <w:t xml:space="preserve">级：C30</w:t>
            </w:r>
            <w:r/>
          </w:p>
          <w:p>
            <w:pPr>
              <w:ind w:left="53" w:right="58" w:hanging="13"/>
              <w:spacing w:before="1" w:line="264" w:lineRule="auto"/>
              <w:rPr>
                <w:rFonts w:ascii="宋体" w:hAnsi="宋体" w:eastAsia="宋体" w:cs="宋体"/>
                <w:sz w:val="20"/>
                <w:szCs w:val="20"/>
              </w:rPr>
            </w:pPr>
            <w:r>
              <w:rPr>
                <w:rFonts w:ascii="宋体" w:hAnsi="宋体" w:eastAsia="宋体" w:cs="宋体"/>
                <w:spacing w:val="-1"/>
                <w:sz w:val="20"/>
                <w:szCs w:val="20"/>
              </w:rPr>
              <w:t xml:space="preserve">5.嵌缝材料种类</w:t>
            </w:r>
            <w:r>
              <w:rPr>
                <w:rFonts w:ascii="宋体" w:hAnsi="宋体" w:eastAsia="宋体" w:cs="宋体"/>
                <w:spacing w:val="1"/>
                <w:sz w:val="20"/>
                <w:szCs w:val="20"/>
              </w:rPr>
              <w:t xml:space="preserve"> </w:t>
            </w:r>
            <w:r>
              <w:rPr>
                <w:rFonts w:ascii="宋体" w:hAnsi="宋体" w:eastAsia="宋体" w:cs="宋体"/>
                <w:spacing w:val="-5"/>
                <w:sz w:val="20"/>
                <w:szCs w:val="20"/>
              </w:rPr>
              <w:t xml:space="preserve">：石油沥青</w:t>
            </w:r>
            <w:r/>
          </w:p>
          <w:p>
            <w:pPr>
              <w:ind w:left="37" w:right="58"/>
              <w:spacing w:before="2" w:line="265" w:lineRule="auto"/>
              <w:rPr>
                <w:rFonts w:ascii="宋体" w:hAnsi="宋体" w:eastAsia="宋体" w:cs="宋体"/>
                <w:sz w:val="20"/>
                <w:szCs w:val="20"/>
              </w:rPr>
            </w:pPr>
            <w:r>
              <w:rPr>
                <w:rFonts w:ascii="宋体" w:hAnsi="宋体" w:eastAsia="宋体" w:cs="宋体"/>
                <w:spacing w:val="-1"/>
                <w:sz w:val="20"/>
                <w:szCs w:val="20"/>
              </w:rPr>
              <w:t xml:space="preserve">6.报价含原土平整压实、路面养护、模板、收光</w:t>
            </w:r>
            <w:r>
              <w:rPr>
                <w:rFonts w:ascii="宋体" w:hAnsi="宋体" w:eastAsia="宋体" w:cs="宋体"/>
                <w:spacing w:val="4"/>
                <w:sz w:val="20"/>
                <w:szCs w:val="20"/>
              </w:rPr>
              <w:t xml:space="preserve"> </w:t>
            </w:r>
            <w:r>
              <w:rPr>
                <w:rFonts w:ascii="宋体" w:hAnsi="宋体" w:eastAsia="宋体" w:cs="宋体"/>
                <w:spacing w:val="-2"/>
                <w:sz w:val="20"/>
                <w:szCs w:val="20"/>
              </w:rPr>
              <w:t xml:space="preserve">、锯缝、路面拉</w:t>
            </w:r>
            <w:r>
              <w:rPr>
                <w:rFonts w:ascii="宋体" w:hAnsi="宋体" w:eastAsia="宋体" w:cs="宋体"/>
                <w:spacing w:val="-1"/>
                <w:sz w:val="20"/>
                <w:szCs w:val="20"/>
              </w:rPr>
              <w:t xml:space="preserve">毛、破损路面修复，场地清理等</w:t>
            </w:r>
            <w:r>
              <w:rPr>
                <w:rFonts w:ascii="宋体" w:hAnsi="宋体" w:eastAsia="宋体" w:cs="宋体"/>
                <w:spacing w:val="-2"/>
                <w:sz w:val="20"/>
                <w:szCs w:val="20"/>
              </w:rPr>
              <w:t xml:space="preserve">工序</w:t>
            </w:r>
            <w:r/>
          </w:p>
        </w:tc>
        <w:tc>
          <w:tcPr>
            <w:tcW w:w="890"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70"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right="27"/>
              <w:jc w:val="right"/>
              <w:spacing w:before="65" w:line="241" w:lineRule="auto"/>
              <w:rPr>
                <w:rFonts w:ascii="宋体" w:hAnsi="宋体" w:eastAsia="宋体" w:cs="宋体"/>
                <w:sz w:val="20"/>
                <w:szCs w:val="20"/>
              </w:rPr>
            </w:pPr>
            <w:r>
              <w:rPr>
                <w:rFonts w:ascii="宋体" w:hAnsi="宋体" w:eastAsia="宋体" w:cs="宋体"/>
                <w:spacing w:val="-2"/>
                <w:sz w:val="20"/>
                <w:szCs w:val="20"/>
              </w:rPr>
              <w:t xml:space="preserve">3600</w:t>
            </w:r>
            <w:r/>
          </w:p>
        </w:tc>
        <w:tc>
          <w:tcPr>
            <w:tcW w:w="900"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1260" w:type="dxa"/>
            <w:vAlign w:val="top"/>
            <w:textDirection w:val="lrTb"/>
            <w:noWrap w:val="false"/>
          </w:tcPr>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5"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pStyle w:val="1045"/>
              <w:spacing w:line="246"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90" w:type="dxa"/>
            <w:vAlign w:val="top"/>
            <w:textDirection w:val="lrTb"/>
            <w:noWrap w:val="false"/>
          </w:tcPr>
          <w:p>
            <w:pPr>
              <w:pStyle w:val="1045"/>
            </w:pPr>
            <w:r/>
            <w:r/>
          </w:p>
        </w:tc>
      </w:tr>
      <w:tr>
        <w:trPr>
          <w:trHeight w:val="443"/>
        </w:trPr>
        <w:tc>
          <w:tcPr>
            <w:tcBorders>
              <w:left w:val="single" w:color="000000" w:sz="10" w:space="0"/>
            </w:tcBorders>
            <w:tcW w:w="615" w:type="dxa"/>
            <w:vAlign w:val="top"/>
            <w:textDirection w:val="lrTb"/>
            <w:noWrap w:val="false"/>
          </w:tcPr>
          <w:p>
            <w:pPr>
              <w:pStyle w:val="1045"/>
            </w:pPr>
            <w:r/>
            <w:r/>
          </w:p>
        </w:tc>
        <w:tc>
          <w:tcPr>
            <w:tcW w:w="1310" w:type="dxa"/>
            <w:vAlign w:val="top"/>
            <w:textDirection w:val="lrTb"/>
            <w:noWrap w:val="false"/>
          </w:tcPr>
          <w:p>
            <w:pPr>
              <w:pStyle w:val="1045"/>
            </w:pPr>
            <w:r/>
            <w:r/>
          </w:p>
        </w:tc>
        <w:tc>
          <w:tcPr>
            <w:gridSpan w:val="2"/>
            <w:tcW w:w="3170" w:type="dxa"/>
            <w:vAlign w:val="top"/>
            <w:textDirection w:val="lrTb"/>
            <w:noWrap w:val="false"/>
          </w:tcPr>
          <w:p>
            <w:pPr>
              <w:ind w:left="806"/>
              <w:spacing w:before="115" w:line="221" w:lineRule="auto"/>
              <w:rPr>
                <w:rFonts w:ascii="宋体" w:hAnsi="宋体" w:eastAsia="宋体" w:cs="宋体"/>
                <w:sz w:val="20"/>
                <w:szCs w:val="20"/>
              </w:rPr>
            </w:pPr>
            <w:r>
              <w:rPr>
                <w:rFonts w:ascii="宋体" w:hAnsi="宋体" w:eastAsia="宋体" w:cs="宋体"/>
                <w:spacing w:val="-1"/>
                <w:sz w:val="20"/>
                <w:szCs w:val="20"/>
              </w:rPr>
              <w:t xml:space="preserve">0501 绿化工程</w:t>
            </w:r>
            <w:r/>
          </w:p>
        </w:tc>
        <w:tc>
          <w:tcPr>
            <w:tcW w:w="890" w:type="dxa"/>
            <w:vAlign w:val="top"/>
            <w:textDirection w:val="lrTb"/>
            <w:noWrap w:val="false"/>
          </w:tcPr>
          <w:p>
            <w:pPr>
              <w:pStyle w:val="1045"/>
            </w:pPr>
            <w:r/>
            <w:r/>
          </w:p>
        </w:tc>
        <w:tc>
          <w:tcPr>
            <w:tcW w:w="870" w:type="dxa"/>
            <w:vAlign w:val="top"/>
            <w:textDirection w:val="lrTb"/>
            <w:noWrap w:val="false"/>
          </w:tcPr>
          <w:p>
            <w:pPr>
              <w:ind w:right="7"/>
              <w:jc w:val="right"/>
              <w:spacing w:before="115" w:line="242" w:lineRule="auto"/>
              <w:rPr>
                <w:rFonts w:ascii="宋体" w:hAnsi="宋体" w:eastAsia="宋体" w:cs="宋体"/>
                <w:sz w:val="20"/>
                <w:szCs w:val="20"/>
              </w:rPr>
            </w:pPr>
            <w:r>
              <w:rPr>
                <w:rFonts w:ascii="宋体" w:hAnsi="宋体" w:eastAsia="宋体" w:cs="宋体"/>
                <w:sz w:val="20"/>
                <w:szCs w:val="20"/>
              </w:rPr>
              <w:t xml:space="preserve">1</w:t>
            </w:r>
            <w:r/>
          </w:p>
        </w:tc>
        <w:tc>
          <w:tcPr>
            <w:tcW w:w="900" w:type="dxa"/>
            <w:vAlign w:val="top"/>
            <w:textDirection w:val="lrTb"/>
            <w:noWrap w:val="false"/>
          </w:tcPr>
          <w:p>
            <w:pPr>
              <w:pStyle w:val="1045"/>
            </w:pPr>
            <w:r/>
            <w:r/>
          </w:p>
        </w:tc>
        <w:tc>
          <w:tcPr>
            <w:tcW w:w="1260" w:type="dxa"/>
            <w:vAlign w:val="top"/>
            <w:textDirection w:val="lrTb"/>
            <w:noWrap w:val="false"/>
          </w:tcPr>
          <w:p>
            <w:pPr>
              <w:ind w:right="22"/>
              <w:jc w:val="right"/>
              <w:spacing w:before="11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90" w:type="dxa"/>
            <w:vAlign w:val="top"/>
            <w:textDirection w:val="lrTb"/>
            <w:noWrap w:val="false"/>
          </w:tcPr>
          <w:p>
            <w:pPr>
              <w:pStyle w:val="1045"/>
            </w:pPr>
            <w:r/>
            <w:r/>
          </w:p>
        </w:tc>
      </w:tr>
      <w:tr>
        <w:trPr>
          <w:trHeight w:val="2624"/>
        </w:trPr>
        <w:tc>
          <w:tcPr>
            <w:tcBorders>
              <w:left w:val="single" w:color="000000" w:sz="10" w:space="0"/>
            </w:tcBorders>
            <w:tcW w:w="615"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16</w:t>
            </w:r>
            <w:r/>
          </w:p>
        </w:tc>
        <w:tc>
          <w:tcPr>
            <w:tcW w:w="1310" w:type="dxa"/>
            <w:vAlign w:val="top"/>
            <w:textDirection w:val="lrTb"/>
            <w:noWrap w:val="false"/>
          </w:tcPr>
          <w:p>
            <w:pPr>
              <w:pStyle w:val="1045"/>
              <w:spacing w:line="248" w:lineRule="auto"/>
            </w:pPr>
            <w:r/>
            <w:r/>
          </w:p>
          <w:p>
            <w:pPr>
              <w:pStyle w:val="1045"/>
              <w:spacing w:line="248" w:lineRule="auto"/>
            </w:pPr>
            <w:r/>
            <w:r/>
          </w:p>
          <w:p>
            <w:pPr>
              <w:pStyle w:val="1045"/>
              <w:spacing w:line="248" w:lineRule="auto"/>
            </w:pPr>
            <w:r/>
            <w:r/>
          </w:p>
          <w:p>
            <w:pPr>
              <w:pStyle w:val="1045"/>
              <w:spacing w:line="248"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05010100500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42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left="101"/>
              <w:spacing w:before="65" w:line="222" w:lineRule="auto"/>
              <w:rPr>
                <w:rFonts w:ascii="宋体" w:hAnsi="宋体" w:eastAsia="宋体" w:cs="宋体"/>
                <w:sz w:val="20"/>
                <w:szCs w:val="20"/>
              </w:rPr>
            </w:pPr>
            <w:r>
              <w:rPr>
                <w:rFonts w:ascii="宋体" w:hAnsi="宋体" w:eastAsia="宋体" w:cs="宋体"/>
                <w:spacing w:val="-1"/>
                <w:sz w:val="20"/>
                <w:szCs w:val="20"/>
              </w:rPr>
              <w:t xml:space="preserve">整理绿化用地</w:t>
            </w:r>
            <w:r/>
          </w:p>
        </w:tc>
        <w:tc>
          <w:tcPr>
            <w:tcW w:w="1750" w:type="dxa"/>
            <w:vAlign w:val="top"/>
            <w:textDirection w:val="lrTb"/>
            <w:noWrap w:val="false"/>
          </w:tcPr>
          <w:p>
            <w:pPr>
              <w:ind w:left="36" w:right="58" w:firstLine="15"/>
              <w:spacing w:before="201" w:line="265" w:lineRule="auto"/>
              <w:rPr>
                <w:rFonts w:ascii="宋体" w:hAnsi="宋体" w:eastAsia="宋体" w:cs="宋体"/>
                <w:sz w:val="20"/>
                <w:szCs w:val="20"/>
              </w:rPr>
            </w:pPr>
            <w:r>
              <w:rPr>
                <w:rFonts w:ascii="宋体" w:hAnsi="宋体" w:eastAsia="宋体" w:cs="宋体"/>
                <w:spacing w:val="-2"/>
                <w:sz w:val="20"/>
                <w:szCs w:val="20"/>
              </w:rPr>
              <w:t xml:space="preserve">1.整理绿化用地</w:t>
            </w:r>
            <w:r>
              <w:rPr>
                <w:rFonts w:ascii="宋体" w:hAnsi="宋体" w:eastAsia="宋体" w:cs="宋体"/>
                <w:spacing w:val="-1"/>
                <w:sz w:val="20"/>
                <w:szCs w:val="20"/>
              </w:rPr>
              <w:t xml:space="preserve">达到栽种树木的标准</w:t>
            </w:r>
            <w:r>
              <w:rPr>
                <w:rFonts w:hint="eastAsia" w:ascii="宋体" w:hAnsi="宋体" w:eastAsia="宋体" w:cs="宋体"/>
                <w:spacing w:val="-1"/>
                <w:sz w:val="20"/>
                <w:szCs w:val="20"/>
                <w:lang w:eastAsia="zh-CN"/>
              </w:rPr>
              <w:t xml:space="preserve">，</w:t>
            </w:r>
            <w:r>
              <w:rPr>
                <w:rFonts w:ascii="宋体" w:hAnsi="宋体" w:eastAsia="宋体" w:cs="宋体"/>
                <w:spacing w:val="-1"/>
                <w:sz w:val="20"/>
                <w:szCs w:val="20"/>
              </w:rPr>
              <w:t xml:space="preserve">含局部混凝土地面破除与</w:t>
            </w:r>
            <w:r>
              <w:rPr>
                <w:rFonts w:ascii="宋体" w:hAnsi="宋体" w:eastAsia="宋体" w:cs="宋体"/>
                <w:spacing w:val="-2"/>
                <w:sz w:val="20"/>
                <w:szCs w:val="20"/>
              </w:rPr>
              <w:t xml:space="preserve">修复</w:t>
            </w:r>
            <w:r/>
          </w:p>
          <w:p>
            <w:pPr>
              <w:ind w:left="36" w:right="58" w:firstLine="3"/>
              <w:spacing w:line="266" w:lineRule="auto"/>
              <w:rPr>
                <w:rFonts w:ascii="宋体" w:hAnsi="宋体" w:eastAsia="宋体" w:cs="宋体"/>
                <w:sz w:val="20"/>
                <w:szCs w:val="20"/>
              </w:rPr>
            </w:pPr>
            <w:r>
              <w:rPr>
                <w:rFonts w:ascii="宋体" w:hAnsi="宋体" w:eastAsia="宋体" w:cs="宋体"/>
                <w:spacing w:val="-1"/>
                <w:sz w:val="20"/>
                <w:szCs w:val="20"/>
              </w:rPr>
              <w:t xml:space="preserve">2.施工单位结合施工方案，自主</w:t>
            </w:r>
            <w:r>
              <w:rPr>
                <w:rFonts w:ascii="宋体" w:hAnsi="宋体" w:eastAsia="宋体" w:cs="宋体"/>
                <w:spacing w:val="-4"/>
                <w:sz w:val="20"/>
                <w:szCs w:val="20"/>
              </w:rPr>
              <w:t xml:space="preserve">确认相关费用。</w:t>
            </w:r>
            <w:r/>
          </w:p>
        </w:tc>
        <w:tc>
          <w:tcPr>
            <w:tcW w:w="89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left="347"/>
              <w:spacing w:before="65" w:line="242" w:lineRule="auto"/>
              <w:rPr>
                <w:rFonts w:ascii="宋体" w:hAnsi="宋体" w:eastAsia="宋体" w:cs="宋体"/>
                <w:sz w:val="20"/>
                <w:szCs w:val="20"/>
              </w:rPr>
            </w:pPr>
            <w:r>
              <w:rPr>
                <w:rFonts w:ascii="宋体" w:hAnsi="宋体" w:eastAsia="宋体" w:cs="宋体"/>
                <w:spacing w:val="-1"/>
                <w:sz w:val="20"/>
                <w:szCs w:val="20"/>
              </w:rPr>
              <w:t xml:space="preserve">m2</w:t>
            </w:r>
            <w:r/>
          </w:p>
        </w:tc>
        <w:tc>
          <w:tcPr>
            <w:tcW w:w="87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right="27"/>
              <w:jc w:val="right"/>
              <w:spacing w:before="65" w:line="241" w:lineRule="auto"/>
              <w:rPr>
                <w:rFonts w:ascii="宋体" w:hAnsi="宋体" w:eastAsia="宋体" w:cs="宋体"/>
                <w:sz w:val="20"/>
                <w:szCs w:val="20"/>
              </w:rPr>
            </w:pPr>
            <w:r>
              <w:rPr>
                <w:rFonts w:ascii="宋体" w:hAnsi="宋体" w:eastAsia="宋体" w:cs="宋体"/>
                <w:spacing w:val="-2"/>
                <w:sz w:val="20"/>
                <w:szCs w:val="20"/>
              </w:rPr>
              <w:t xml:space="preserve">2600</w:t>
            </w:r>
            <w:r/>
          </w:p>
        </w:tc>
        <w:tc>
          <w:tcPr>
            <w:tcW w:w="90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right="24"/>
              <w:jc w:val="right"/>
              <w:spacing w:before="65"/>
              <w:rPr>
                <w:rFonts w:ascii="宋体" w:hAnsi="宋体" w:eastAsia="宋体" w:cs="宋体"/>
                <w:sz w:val="20"/>
                <w:szCs w:val="20"/>
              </w:rPr>
            </w:pPr>
            <w:r>
              <w:rPr>
                <w:rFonts w:ascii="宋体" w:hAnsi="宋体" w:eastAsia="宋体" w:cs="宋体"/>
                <w:sz w:val="20"/>
                <w:szCs w:val="20"/>
              </w:rPr>
            </w:r>
            <w:r/>
          </w:p>
        </w:tc>
        <w:tc>
          <w:tcPr>
            <w:tcW w:w="1260" w:type="dxa"/>
            <w:vAlign w:val="top"/>
            <w:textDirection w:val="lrTb"/>
            <w:noWrap w:val="false"/>
          </w:tcPr>
          <w:p>
            <w:pPr>
              <w:pStyle w:val="1045"/>
              <w:spacing w:line="283" w:lineRule="auto"/>
            </w:pPr>
            <w:r/>
            <w:r/>
          </w:p>
          <w:p>
            <w:pPr>
              <w:pStyle w:val="1045"/>
              <w:spacing w:line="283" w:lineRule="auto"/>
            </w:pPr>
            <w:r/>
            <w:r/>
          </w:p>
          <w:p>
            <w:pPr>
              <w:pStyle w:val="1045"/>
              <w:spacing w:line="284" w:lineRule="auto"/>
            </w:pPr>
            <w:r/>
            <w:r/>
          </w:p>
          <w:p>
            <w:pPr>
              <w:pStyle w:val="1045"/>
              <w:spacing w:line="284"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90" w:type="dxa"/>
            <w:vAlign w:val="top"/>
            <w:textDirection w:val="lrTb"/>
            <w:noWrap w:val="false"/>
          </w:tcPr>
          <w:p>
            <w:pPr>
              <w:pStyle w:val="1045"/>
            </w:pPr>
            <w:r/>
            <w:r/>
          </w:p>
        </w:tc>
      </w:tr>
    </w:tbl>
    <w:p>
      <w:pPr>
        <w:pStyle w:val="1015"/>
        <w:spacing w:line="14" w:lineRule="auto"/>
        <w:rPr>
          <w:sz w:val="2"/>
        </w:rPr>
      </w:pPr>
      <w:r>
        <w:rPr>
          <w:sz w:val="2"/>
        </w:rPr>
      </w:r>
      <w:r/>
    </w:p>
    <w:p>
      <w:pPr>
        <w:spacing w:line="14" w:lineRule="auto"/>
        <w:rPr>
          <w:sz w:val="2"/>
          <w:szCs w:val="2"/>
        </w:rPr>
        <w:sectPr>
          <w:footnotePr/>
          <w:endnotePr/>
          <w:type w:val="continuous"/>
          <w:pgSz w:w="11906" w:h="16838" w:orient="portrait"/>
          <w:pgMar w:top="1020" w:right="390" w:bottom="969" w:left="836" w:header="0" w:footer="775" w:gutter="0"/>
          <w:cols w:num="1" w:sep="0" w:space="1701" w:equalWidth="0">
            <w:col w:w="10679" w:space="0"/>
          </w:cols>
          <w:docGrid w:linePitch="360"/>
        </w:sectPr>
      </w:pPr>
      <w:r>
        <w:rPr>
          <w:sz w:val="2"/>
          <w:szCs w:val="2"/>
        </w:rPr>
      </w:r>
      <w:r/>
    </w:p>
    <w:p>
      <w:pPr>
        <w:ind w:left="2972"/>
        <w:spacing w:before="61" w:line="222" w:lineRule="auto"/>
        <w:rPr>
          <w:rFonts w:ascii="宋体" w:hAnsi="宋体" w:eastAsia="宋体" w:cs="宋体"/>
          <w:sz w:val="30"/>
          <w:szCs w:val="30"/>
        </w:rPr>
      </w:pPr>
      <w:r>
        <w:rPr>
          <w:rFonts w:ascii="宋体" w:hAnsi="宋体" w:eastAsia="宋体" w:cs="宋体"/>
          <w:b/>
          <w:bCs/>
          <w:spacing w:val="1"/>
          <w:sz w:val="30"/>
          <w:szCs w:val="30"/>
        </w:rPr>
        <w:t xml:space="preserve">全费用工程量清单与计价表</w:t>
      </w:r>
      <w:r>
        <w:rPr>
          <w:rFonts w:hint="eastAsia" w:ascii="宋体" w:hAnsi="宋体" w:eastAsia="宋体" w:cs="宋体"/>
          <w:b/>
          <w:bCs/>
          <w:spacing w:val="1"/>
          <w:sz w:val="30"/>
          <w:szCs w:val="30"/>
          <w:lang w:eastAsia="zh-CN"/>
        </w:rPr>
        <w:t xml:space="preserve">（</w:t>
      </w:r>
      <w:r>
        <w:rPr>
          <w:rFonts w:ascii="宋体" w:hAnsi="宋体" w:eastAsia="宋体" w:cs="宋体"/>
          <w:b/>
          <w:bCs/>
          <w:spacing w:val="1"/>
          <w:sz w:val="30"/>
          <w:szCs w:val="30"/>
        </w:rPr>
        <w:t xml:space="preserve">清单</w:t>
      </w:r>
      <w:r>
        <w:rPr>
          <w:rFonts w:hint="eastAsia" w:ascii="宋体" w:hAnsi="宋体" w:eastAsia="宋体" w:cs="宋体"/>
          <w:b/>
          <w:bCs/>
          <w:spacing w:val="1"/>
          <w:sz w:val="30"/>
          <w:szCs w:val="30"/>
          <w:lang w:eastAsia="zh-CN"/>
        </w:rPr>
        <w:t xml:space="preserve">）</w:t>
      </w:r>
      <w:r/>
    </w:p>
    <w:p>
      <w:pPr>
        <w:pStyle w:val="1015"/>
        <w:spacing w:line="326" w:lineRule="auto"/>
      </w:pPr>
      <w:r/>
      <w:r/>
    </w:p>
    <w:p>
      <w:pPr>
        <w:ind w:left="47"/>
        <w:spacing w:before="55" w:line="224" w:lineRule="auto"/>
        <w:rPr>
          <w:rFonts w:ascii="黑体" w:hAnsi="黑体" w:eastAsia="黑体" w:cs="黑体"/>
          <w:sz w:val="17"/>
          <w:szCs w:val="17"/>
        </w:rPr>
      </w:pPr>
      <w:r>
        <w:rPr>
          <w:rFonts w:ascii="黑体" w:hAnsi="黑体" w:eastAsia="黑体" w:cs="黑体"/>
          <w:b/>
          <w:bCs/>
          <w:spacing w:val="-1"/>
          <w:sz w:val="17"/>
          <w:szCs w:val="17"/>
        </w:rPr>
        <w:t xml:space="preserve">工程名称：公益性公墓改造工程</w:t>
      </w:r>
      <w:r/>
    </w:p>
    <w:p>
      <w:pPr>
        <w:spacing w:line="36" w:lineRule="auto"/>
        <w:rPr>
          <w:rFonts w:ascii="Arial"/>
          <w:sz w:val="2"/>
        </w:rPr>
      </w:pPr>
      <w:r>
        <w:rPr>
          <w:rFonts w:ascii="Arial"/>
          <w:sz w:val="2"/>
        </w:rPr>
      </w:r>
      <w:r/>
    </w:p>
    <w:tbl>
      <w:tblPr>
        <w:tblStyle w:val="1044"/>
        <w:tblpPr w:horzAnchor="page" w:tblpX="913" w:vertAnchor="text" w:tblpY="368" w:leftFromText="180" w:topFromText="0" w:rightFromText="180" w:bottomFromText="0"/>
        <w:tblW w:w="95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8"/>
        <w:gridCol w:w="1210"/>
        <w:gridCol w:w="1303"/>
        <w:gridCol w:w="1857"/>
        <w:gridCol w:w="900"/>
        <w:gridCol w:w="736"/>
        <w:gridCol w:w="877"/>
        <w:gridCol w:w="960"/>
        <w:gridCol w:w="1050"/>
      </w:tblGrid>
      <w:tr>
        <w:trPr>
          <w:trHeight w:val="441"/>
        </w:trPr>
        <w:tc>
          <w:tcPr>
            <w:tcBorders>
              <w:top w:val="single" w:color="000000" w:sz="10" w:space="0"/>
              <w:left w:val="single" w:color="000000" w:sz="10" w:space="0"/>
              <w:bottom w:val="none" w:color="000000" w:sz="4" w:space="0"/>
            </w:tcBorders>
            <w:tcW w:w="698" w:type="dxa"/>
            <w:vAlign w:val="top"/>
            <w:vMerge w:val="restart"/>
            <w:textDirection w:val="lrTb"/>
            <w:noWrap w:val="false"/>
          </w:tcPr>
          <w:p>
            <w:pPr>
              <w:pStyle w:val="1045"/>
              <w:spacing w:line="396" w:lineRule="auto"/>
            </w:pPr>
            <w:r/>
            <w:r/>
          </w:p>
          <w:p>
            <w:pPr>
              <w:ind w:left="211"/>
              <w:spacing w:before="65" w:line="222" w:lineRule="auto"/>
              <w:rPr>
                <w:rFonts w:ascii="宋体" w:hAnsi="宋体" w:eastAsia="宋体" w:cs="宋体"/>
                <w:sz w:val="20"/>
                <w:szCs w:val="20"/>
              </w:rPr>
            </w:pPr>
            <w:r>
              <w:rPr>
                <w:rFonts w:ascii="宋体" w:hAnsi="宋体" w:eastAsia="宋体" w:cs="宋体"/>
                <w:b/>
                <w:bCs/>
                <w:spacing w:val="-4"/>
                <w:sz w:val="20"/>
                <w:szCs w:val="20"/>
              </w:rPr>
              <w:t xml:space="preserve">序号</w:t>
            </w:r>
            <w:r/>
          </w:p>
        </w:tc>
        <w:tc>
          <w:tcPr>
            <w:tcBorders>
              <w:top w:val="single" w:color="000000" w:sz="10" w:space="0"/>
              <w:bottom w:val="none" w:color="000000" w:sz="4" w:space="0"/>
            </w:tcBorders>
            <w:tcW w:w="1210" w:type="dxa"/>
            <w:vAlign w:val="top"/>
            <w:vMerge w:val="restart"/>
            <w:textDirection w:val="lrTb"/>
            <w:noWrap w:val="false"/>
          </w:tcPr>
          <w:p>
            <w:pPr>
              <w:pStyle w:val="1045"/>
              <w:spacing w:line="396" w:lineRule="auto"/>
            </w:pPr>
            <w:r/>
            <w:r/>
          </w:p>
          <w:p>
            <w:pPr>
              <w:ind w:left="189"/>
              <w:spacing w:before="65" w:line="220" w:lineRule="auto"/>
              <w:rPr>
                <w:rFonts w:ascii="宋体" w:hAnsi="宋体" w:eastAsia="宋体" w:cs="宋体"/>
                <w:sz w:val="20"/>
                <w:szCs w:val="20"/>
              </w:rPr>
            </w:pPr>
            <w:r>
              <w:rPr>
                <w:rFonts w:ascii="宋体" w:hAnsi="宋体" w:eastAsia="宋体" w:cs="宋体"/>
                <w:b/>
                <w:bCs/>
                <w:spacing w:val="-4"/>
                <w:sz w:val="20"/>
                <w:szCs w:val="20"/>
              </w:rPr>
              <w:t xml:space="preserve">项目编码</w:t>
            </w:r>
            <w:r/>
          </w:p>
        </w:tc>
        <w:tc>
          <w:tcPr>
            <w:tcBorders>
              <w:top w:val="single" w:color="000000" w:sz="10" w:space="0"/>
              <w:bottom w:val="none" w:color="000000" w:sz="4" w:space="0"/>
            </w:tcBorders>
            <w:tcW w:w="1303" w:type="dxa"/>
            <w:vAlign w:val="top"/>
            <w:vMerge w:val="restart"/>
            <w:textDirection w:val="lrTb"/>
            <w:noWrap w:val="false"/>
          </w:tcPr>
          <w:p>
            <w:pPr>
              <w:pStyle w:val="1045"/>
              <w:spacing w:line="396" w:lineRule="auto"/>
            </w:pPr>
            <w:r/>
            <w:r/>
          </w:p>
          <w:p>
            <w:pPr>
              <w:ind w:left="304"/>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项目名称</w:t>
            </w:r>
            <w:r/>
          </w:p>
        </w:tc>
        <w:tc>
          <w:tcPr>
            <w:tcBorders>
              <w:top w:val="single" w:color="000000" w:sz="10" w:space="0"/>
              <w:bottom w:val="none" w:color="000000" w:sz="4" w:space="0"/>
            </w:tcBorders>
            <w:tcW w:w="1857" w:type="dxa"/>
            <w:vAlign w:val="top"/>
            <w:vMerge w:val="restart"/>
            <w:textDirection w:val="lrTb"/>
            <w:noWrap w:val="false"/>
          </w:tcPr>
          <w:p>
            <w:pPr>
              <w:pStyle w:val="1045"/>
              <w:spacing w:line="396" w:lineRule="auto"/>
            </w:pPr>
            <w:r/>
            <w:r/>
          </w:p>
          <w:p>
            <w:pPr>
              <w:ind w:left="152"/>
              <w:spacing w:before="65" w:line="220" w:lineRule="auto"/>
              <w:rPr>
                <w:rFonts w:ascii="宋体" w:hAnsi="宋体" w:eastAsia="宋体" w:cs="宋体"/>
                <w:sz w:val="20"/>
                <w:szCs w:val="20"/>
              </w:rPr>
            </w:pPr>
            <w:r>
              <w:rPr>
                <w:rFonts w:ascii="宋体" w:hAnsi="宋体" w:eastAsia="宋体" w:cs="宋体"/>
                <w:b/>
                <w:bCs/>
                <w:spacing w:val="-3"/>
                <w:sz w:val="20"/>
                <w:szCs w:val="20"/>
              </w:rPr>
              <w:t xml:space="preserve">项目特征描述</w:t>
            </w:r>
            <w:r/>
          </w:p>
        </w:tc>
        <w:tc>
          <w:tcPr>
            <w:tcBorders>
              <w:top w:val="single" w:color="000000" w:sz="10" w:space="0"/>
              <w:bottom w:val="none" w:color="000000" w:sz="4" w:space="0"/>
            </w:tcBorders>
            <w:tcW w:w="900" w:type="dxa"/>
            <w:vAlign w:val="top"/>
            <w:vMerge w:val="restart"/>
            <w:textDirection w:val="lrTb"/>
            <w:noWrap w:val="false"/>
          </w:tcPr>
          <w:p>
            <w:pPr>
              <w:pStyle w:val="1045"/>
              <w:spacing w:line="253" w:lineRule="auto"/>
            </w:pPr>
            <w:r/>
            <w:r/>
          </w:p>
          <w:p>
            <w:pPr>
              <w:ind w:left="253" w:right="242" w:hanging="1"/>
              <w:spacing w:before="65" w:line="267" w:lineRule="auto"/>
              <w:rPr>
                <w:rFonts w:ascii="宋体" w:hAnsi="宋体" w:eastAsia="宋体" w:cs="宋体"/>
                <w:sz w:val="20"/>
                <w:szCs w:val="20"/>
              </w:rPr>
            </w:pPr>
            <w:r>
              <w:rPr>
                <w:rFonts w:ascii="宋体" w:hAnsi="宋体" w:eastAsia="宋体" w:cs="宋体"/>
                <w:b/>
                <w:bCs/>
                <w:spacing w:val="-6"/>
                <w:sz w:val="20"/>
                <w:szCs w:val="20"/>
              </w:rPr>
              <w:t xml:space="preserve">计量单位</w:t>
            </w:r>
            <w:r/>
          </w:p>
        </w:tc>
        <w:tc>
          <w:tcPr>
            <w:tcBorders>
              <w:top w:val="single" w:color="000000" w:sz="10" w:space="0"/>
              <w:bottom w:val="none" w:color="000000" w:sz="4" w:space="0"/>
            </w:tcBorders>
            <w:tcW w:w="736" w:type="dxa"/>
            <w:vAlign w:val="top"/>
            <w:vMerge w:val="restart"/>
            <w:textDirection w:val="lrTb"/>
            <w:noWrap w:val="false"/>
          </w:tcPr>
          <w:p>
            <w:pPr>
              <w:pStyle w:val="1045"/>
              <w:spacing w:line="396" w:lineRule="auto"/>
            </w:pPr>
            <w:r/>
            <w:r/>
          </w:p>
          <w:p>
            <w:pPr>
              <w:ind w:left="133"/>
              <w:spacing w:before="65" w:line="221" w:lineRule="auto"/>
              <w:rPr>
                <w:rFonts w:ascii="宋体" w:hAnsi="宋体" w:eastAsia="宋体" w:cs="宋体"/>
                <w:sz w:val="20"/>
                <w:szCs w:val="20"/>
              </w:rPr>
            </w:pPr>
            <w:r>
              <w:rPr>
                <w:rFonts w:ascii="宋体" w:hAnsi="宋体" w:eastAsia="宋体" w:cs="宋体"/>
                <w:b/>
                <w:bCs/>
                <w:spacing w:val="-4"/>
                <w:sz w:val="20"/>
                <w:szCs w:val="20"/>
              </w:rPr>
              <w:t xml:space="preserve">工程量</w:t>
            </w:r>
            <w:r/>
          </w:p>
        </w:tc>
        <w:tc>
          <w:tcPr>
            <w:gridSpan w:val="3"/>
            <w:tcBorders>
              <w:top w:val="single" w:color="000000" w:sz="10" w:space="0"/>
              <w:right w:val="single" w:color="000000" w:sz="10" w:space="0"/>
            </w:tcBorders>
            <w:tcW w:w="2887" w:type="dxa"/>
            <w:vAlign w:val="top"/>
            <w:textDirection w:val="lrTb"/>
            <w:noWrap w:val="false"/>
          </w:tcPr>
          <w:p>
            <w:pPr>
              <w:ind w:left="1194"/>
              <w:spacing w:before="106" w:line="220" w:lineRule="auto"/>
              <w:rPr>
                <w:rFonts w:ascii="宋体" w:hAnsi="宋体" w:eastAsia="宋体" w:cs="宋体"/>
                <w:sz w:val="20"/>
                <w:szCs w:val="20"/>
              </w:rPr>
            </w:pPr>
            <w:r>
              <w:rPr>
                <w:rFonts w:ascii="宋体" w:hAnsi="宋体" w:eastAsia="宋体" w:cs="宋体"/>
                <w:b/>
                <w:bCs/>
                <w:spacing w:val="-3"/>
                <w:sz w:val="20"/>
                <w:szCs w:val="20"/>
              </w:rPr>
              <w:t xml:space="preserve">全费用金额</w:t>
            </w:r>
            <w:r>
              <w:rPr>
                <w:rFonts w:hint="eastAsia" w:ascii="宋体" w:hAnsi="宋体" w:eastAsia="宋体" w:cs="宋体"/>
                <w:b/>
                <w:bCs/>
                <w:spacing w:val="-3"/>
                <w:sz w:val="20"/>
                <w:szCs w:val="20"/>
                <w:lang w:eastAsia="zh-CN"/>
              </w:rPr>
              <w:t xml:space="preserve">（</w:t>
            </w:r>
            <w:r>
              <w:rPr>
                <w:rFonts w:ascii="宋体" w:hAnsi="宋体" w:eastAsia="宋体" w:cs="宋体"/>
                <w:b/>
                <w:bCs/>
                <w:spacing w:val="-3"/>
                <w:sz w:val="20"/>
                <w:szCs w:val="20"/>
              </w:rPr>
              <w:t xml:space="preserve">元</w:t>
            </w:r>
            <w:r>
              <w:rPr>
                <w:rFonts w:hint="eastAsia" w:ascii="宋体" w:hAnsi="宋体" w:eastAsia="宋体" w:cs="宋体"/>
                <w:b/>
                <w:bCs/>
                <w:spacing w:val="-3"/>
                <w:sz w:val="20"/>
                <w:szCs w:val="20"/>
                <w:lang w:eastAsia="zh-CN"/>
              </w:rPr>
              <w:t xml:space="preserve">）</w:t>
            </w:r>
            <w:r/>
          </w:p>
        </w:tc>
      </w:tr>
      <w:tr>
        <w:trPr>
          <w:trHeight w:val="703"/>
        </w:trPr>
        <w:tc>
          <w:tcPr>
            <w:tcBorders>
              <w:top w:val="none" w:color="000000" w:sz="4" w:space="0"/>
              <w:left w:val="single" w:color="000000" w:sz="10" w:space="0"/>
            </w:tcBorders>
            <w:tcW w:w="698" w:type="dxa"/>
            <w:vAlign w:val="top"/>
            <w:vMerge w:val="continue"/>
            <w:textDirection w:val="lrTb"/>
            <w:noWrap w:val="false"/>
          </w:tcPr>
          <w:p>
            <w:pPr>
              <w:pStyle w:val="1045"/>
            </w:pPr>
            <w:r/>
            <w:r/>
          </w:p>
        </w:tc>
        <w:tc>
          <w:tcPr>
            <w:tcBorders>
              <w:top w:val="none" w:color="000000" w:sz="4" w:space="0"/>
            </w:tcBorders>
            <w:tcW w:w="1210" w:type="dxa"/>
            <w:vAlign w:val="top"/>
            <w:vMerge w:val="continue"/>
            <w:textDirection w:val="lrTb"/>
            <w:noWrap w:val="false"/>
          </w:tcPr>
          <w:p>
            <w:pPr>
              <w:pStyle w:val="1045"/>
            </w:pPr>
            <w:r/>
            <w:r/>
          </w:p>
        </w:tc>
        <w:tc>
          <w:tcPr>
            <w:tcBorders>
              <w:top w:val="none" w:color="000000" w:sz="4" w:space="0"/>
            </w:tcBorders>
            <w:tcW w:w="1303" w:type="dxa"/>
            <w:vAlign w:val="top"/>
            <w:vMerge w:val="continue"/>
            <w:textDirection w:val="lrTb"/>
            <w:noWrap w:val="false"/>
          </w:tcPr>
          <w:p>
            <w:pPr>
              <w:pStyle w:val="1045"/>
            </w:pPr>
            <w:r/>
            <w:r/>
          </w:p>
        </w:tc>
        <w:tc>
          <w:tcPr>
            <w:tcBorders>
              <w:top w:val="none" w:color="000000" w:sz="4" w:space="0"/>
            </w:tcBorders>
            <w:tcW w:w="1857" w:type="dxa"/>
            <w:vAlign w:val="top"/>
            <w:vMerge w:val="continue"/>
            <w:textDirection w:val="lrTb"/>
            <w:noWrap w:val="false"/>
          </w:tcPr>
          <w:p>
            <w:pPr>
              <w:pStyle w:val="1045"/>
            </w:pPr>
            <w:r/>
            <w:r/>
          </w:p>
        </w:tc>
        <w:tc>
          <w:tcPr>
            <w:tcBorders>
              <w:top w:val="none" w:color="000000" w:sz="4" w:space="0"/>
            </w:tcBorders>
            <w:tcW w:w="900" w:type="dxa"/>
            <w:vAlign w:val="top"/>
            <w:vMerge w:val="continue"/>
            <w:textDirection w:val="lrTb"/>
            <w:noWrap w:val="false"/>
          </w:tcPr>
          <w:p>
            <w:pPr>
              <w:pStyle w:val="1045"/>
            </w:pPr>
            <w:r/>
            <w:r/>
          </w:p>
        </w:tc>
        <w:tc>
          <w:tcPr>
            <w:tcBorders>
              <w:top w:val="none" w:color="000000" w:sz="4" w:space="0"/>
            </w:tcBorders>
            <w:tcW w:w="736" w:type="dxa"/>
            <w:vAlign w:val="top"/>
            <w:vMerge w:val="continue"/>
            <w:textDirection w:val="lrTb"/>
            <w:noWrap w:val="false"/>
          </w:tcPr>
          <w:p>
            <w:pPr>
              <w:pStyle w:val="1045"/>
            </w:pPr>
            <w:r/>
            <w:r/>
          </w:p>
        </w:tc>
        <w:tc>
          <w:tcPr>
            <w:tcW w:w="877" w:type="dxa"/>
            <w:vAlign w:val="top"/>
            <w:textDirection w:val="lrTb"/>
            <w:noWrap w:val="false"/>
          </w:tcPr>
          <w:p>
            <w:pPr>
              <w:spacing w:before="239" w:line="219" w:lineRule="auto"/>
              <w:rPr>
                <w:rFonts w:ascii="宋体" w:hAnsi="宋体" w:eastAsia="宋体" w:cs="宋体"/>
                <w:sz w:val="20"/>
                <w:szCs w:val="20"/>
              </w:rPr>
            </w:pPr>
            <w:r>
              <w:rPr>
                <w:rFonts w:ascii="宋体" w:hAnsi="宋体" w:eastAsia="宋体" w:cs="宋体"/>
                <w:b/>
                <w:bCs/>
                <w:spacing w:val="-4"/>
                <w:sz w:val="20"/>
                <w:szCs w:val="20"/>
              </w:rPr>
              <w:t xml:space="preserve">综合单价</w:t>
            </w:r>
            <w:r/>
          </w:p>
        </w:tc>
        <w:tc>
          <w:tcPr>
            <w:tcW w:w="960" w:type="dxa"/>
            <w:vAlign w:val="top"/>
            <w:textDirection w:val="lrTb"/>
            <w:noWrap w:val="false"/>
          </w:tcPr>
          <w:p>
            <w:pPr>
              <w:spacing w:before="239" w:line="219" w:lineRule="auto"/>
              <w:rPr>
                <w:rFonts w:ascii="宋体" w:hAnsi="宋体" w:eastAsia="宋体" w:cs="宋体"/>
                <w:sz w:val="20"/>
                <w:szCs w:val="20"/>
              </w:rPr>
            </w:pPr>
            <w:r>
              <w:rPr>
                <w:rFonts w:ascii="宋体" w:hAnsi="宋体" w:eastAsia="宋体" w:cs="宋体"/>
                <w:b/>
                <w:bCs/>
                <w:spacing w:val="-4"/>
                <w:sz w:val="20"/>
                <w:szCs w:val="20"/>
              </w:rPr>
              <w:t xml:space="preserve">综合合价</w:t>
            </w:r>
            <w:r/>
          </w:p>
        </w:tc>
        <w:tc>
          <w:tcPr>
            <w:tcBorders>
              <w:right w:val="single" w:color="000000" w:sz="10" w:space="0"/>
            </w:tcBorders>
            <w:tcW w:w="1050" w:type="dxa"/>
            <w:vAlign w:val="top"/>
            <w:textDirection w:val="lrTb"/>
            <w:noWrap w:val="false"/>
          </w:tcPr>
          <w:p>
            <w:pPr>
              <w:ind w:left="271"/>
              <w:spacing w:before="239" w:line="219" w:lineRule="auto"/>
              <w:rPr>
                <w:rFonts w:ascii="宋体" w:hAnsi="宋体" w:eastAsia="宋体" w:cs="宋体"/>
                <w:sz w:val="20"/>
                <w:szCs w:val="20"/>
              </w:rPr>
            </w:pPr>
            <w:r>
              <w:rPr>
                <w:rFonts w:ascii="宋体" w:hAnsi="宋体" w:eastAsia="宋体" w:cs="宋体"/>
                <w:b/>
                <w:bCs/>
                <w:spacing w:val="-5"/>
                <w:sz w:val="20"/>
                <w:szCs w:val="20"/>
              </w:rPr>
              <w:t xml:space="preserve">暂估价</w:t>
            </w:r>
            <w:r/>
          </w:p>
        </w:tc>
      </w:tr>
      <w:tr>
        <w:trPr>
          <w:trHeight w:val="2621"/>
        </w:trPr>
        <w:tc>
          <w:tcPr>
            <w:tcBorders>
              <w:left w:val="single" w:color="000000" w:sz="10" w:space="0"/>
            </w:tcBorders>
            <w:tcW w:w="698"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17</w:t>
            </w:r>
            <w:r/>
          </w:p>
        </w:tc>
        <w:tc>
          <w:tcPr>
            <w:tcW w:w="1210" w:type="dxa"/>
            <w:vAlign w:val="top"/>
            <w:textDirection w:val="lrTb"/>
            <w:noWrap w:val="false"/>
          </w:tcPr>
          <w:p>
            <w:pPr>
              <w:pStyle w:val="1045"/>
              <w:spacing w:line="246" w:lineRule="auto"/>
            </w:pPr>
            <w:r/>
            <w:r/>
          </w:p>
          <w:p>
            <w:pPr>
              <w:pStyle w:val="1045"/>
              <w:spacing w:line="246" w:lineRule="auto"/>
            </w:pPr>
            <w:r/>
            <w:r/>
          </w:p>
          <w:p>
            <w:pPr>
              <w:pStyle w:val="1045"/>
              <w:spacing w:line="247" w:lineRule="auto"/>
            </w:pPr>
            <w:r/>
            <w:r/>
          </w:p>
          <w:p>
            <w:pPr>
              <w:pStyle w:val="1045"/>
              <w:spacing w:line="247" w:lineRule="auto"/>
            </w:pPr>
            <w:r/>
            <w:r/>
          </w:p>
          <w:p>
            <w:pPr>
              <w:ind w:left="36"/>
              <w:spacing w:before="65" w:line="241" w:lineRule="auto"/>
              <w:rPr>
                <w:rFonts w:ascii="宋体" w:hAnsi="宋体" w:eastAsia="宋体" w:cs="宋体"/>
                <w:sz w:val="20"/>
                <w:szCs w:val="20"/>
              </w:rPr>
            </w:pPr>
            <w:r>
              <w:rPr>
                <w:rFonts w:ascii="宋体" w:hAnsi="宋体" w:eastAsia="宋体" w:cs="宋体"/>
                <w:spacing w:val="-1"/>
                <w:sz w:val="20"/>
                <w:szCs w:val="20"/>
              </w:rPr>
              <w:t xml:space="preserve">05010300100</w:t>
            </w:r>
            <w:r/>
          </w:p>
          <w:p>
            <w:pPr>
              <w:ind w:left="552"/>
              <w:spacing w:before="25" w:line="242" w:lineRule="auto"/>
              <w:rPr>
                <w:rFonts w:ascii="宋体" w:hAnsi="宋体" w:eastAsia="宋体" w:cs="宋体"/>
                <w:sz w:val="20"/>
                <w:szCs w:val="20"/>
              </w:rPr>
            </w:pPr>
            <w:r>
              <w:rPr>
                <w:rFonts w:ascii="宋体" w:hAnsi="宋体" w:eastAsia="宋体" w:cs="宋体"/>
                <w:sz w:val="20"/>
                <w:szCs w:val="20"/>
              </w:rPr>
              <w:t xml:space="preserve">1</w:t>
            </w:r>
            <w:r/>
          </w:p>
        </w:tc>
        <w:tc>
          <w:tcPr>
            <w:tcW w:w="1303"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left="302"/>
              <w:spacing w:before="65" w:line="220" w:lineRule="auto"/>
              <w:rPr>
                <w:rFonts w:ascii="宋体" w:hAnsi="宋体" w:eastAsia="宋体" w:cs="宋体"/>
                <w:sz w:val="20"/>
                <w:szCs w:val="20"/>
              </w:rPr>
            </w:pPr>
            <w:r>
              <w:rPr>
                <w:rFonts w:ascii="宋体" w:hAnsi="宋体" w:eastAsia="宋体" w:cs="宋体"/>
                <w:spacing w:val="-1"/>
                <w:sz w:val="20"/>
                <w:szCs w:val="20"/>
              </w:rPr>
              <w:t xml:space="preserve">栽植乔木</w:t>
            </w:r>
            <w:r/>
          </w:p>
        </w:tc>
        <w:tc>
          <w:tcPr>
            <w:tcW w:w="1857" w:type="dxa"/>
            <w:vAlign w:val="top"/>
            <w:textDirection w:val="lrTb"/>
            <w:noWrap w:val="false"/>
          </w:tcPr>
          <w:p>
            <w:pPr>
              <w:ind w:left="51"/>
              <w:spacing w:before="55" w:line="220" w:lineRule="auto"/>
              <w:rPr>
                <w:rFonts w:ascii="宋体" w:hAnsi="宋体" w:eastAsia="宋体" w:cs="宋体"/>
                <w:sz w:val="20"/>
                <w:szCs w:val="20"/>
              </w:rPr>
            </w:pPr>
            <w:r>
              <w:rPr>
                <w:rFonts w:ascii="宋体" w:hAnsi="宋体" w:eastAsia="宋体" w:cs="宋体"/>
                <w:spacing w:val="-2"/>
                <w:sz w:val="20"/>
                <w:szCs w:val="20"/>
              </w:rPr>
              <w:t xml:space="preserve">1.种类： 塔柏</w:t>
            </w:r>
            <w:r/>
          </w:p>
          <w:p>
            <w:pPr>
              <w:ind w:left="40" w:right="259" w:hanging="1"/>
              <w:spacing w:before="46" w:line="265" w:lineRule="auto"/>
              <w:rPr>
                <w:rFonts w:ascii="宋体" w:hAnsi="宋体" w:eastAsia="宋体" w:cs="宋体"/>
                <w:sz w:val="20"/>
                <w:szCs w:val="20"/>
              </w:rPr>
            </w:pPr>
            <w:r>
              <w:rPr>
                <w:rFonts w:ascii="宋体" w:hAnsi="宋体" w:eastAsia="宋体" w:cs="宋体"/>
                <w:spacing w:val="-1"/>
                <w:sz w:val="20"/>
                <w:szCs w:val="20"/>
              </w:rPr>
              <w:t xml:space="preserve">2.胸径：胸径</w:t>
            </w:r>
            <w:r>
              <w:rPr>
                <w:rFonts w:ascii="宋体" w:hAnsi="宋体" w:eastAsia="宋体" w:cs="宋体"/>
                <w:spacing w:val="-3"/>
                <w:sz w:val="20"/>
                <w:szCs w:val="20"/>
              </w:rPr>
              <w:t xml:space="preserve">5cm</w:t>
            </w:r>
            <w:r/>
          </w:p>
          <w:p>
            <w:pPr>
              <w:ind w:left="50" w:right="58" w:hanging="10"/>
              <w:spacing w:before="1" w:line="264" w:lineRule="auto"/>
              <w:rPr>
                <w:rFonts w:ascii="宋体" w:hAnsi="宋体" w:eastAsia="宋体" w:cs="宋体"/>
                <w:sz w:val="20"/>
                <w:szCs w:val="20"/>
              </w:rPr>
            </w:pPr>
            <w:r>
              <w:rPr>
                <w:rFonts w:ascii="宋体" w:hAnsi="宋体" w:eastAsia="宋体" w:cs="宋体"/>
                <w:spacing w:val="-1"/>
                <w:sz w:val="20"/>
                <w:szCs w:val="20"/>
              </w:rPr>
              <w:t xml:space="preserve">3.株高：不低于</w:t>
            </w:r>
            <w:r>
              <w:rPr>
                <w:rFonts w:ascii="宋体" w:hAnsi="宋体" w:eastAsia="宋体" w:cs="宋体"/>
                <w:spacing w:val="-2"/>
                <w:sz w:val="20"/>
                <w:szCs w:val="20"/>
              </w:rPr>
              <w:t xml:space="preserve">1800</w:t>
            </w:r>
            <w:r>
              <w:rPr>
                <w:rFonts w:hint="eastAsia" w:ascii="宋体" w:hAnsi="宋体" w:eastAsia="宋体" w:cs="宋体"/>
                <w:spacing w:val="-2"/>
                <w:sz w:val="20"/>
                <w:szCs w:val="20"/>
                <w:lang w:eastAsia="zh-CN"/>
              </w:rPr>
              <w:t xml:space="preserve">—</w:t>
            </w:r>
            <w:r>
              <w:rPr>
                <w:rFonts w:ascii="宋体" w:hAnsi="宋体" w:eastAsia="宋体" w:cs="宋体"/>
                <w:spacing w:val="-2"/>
                <w:sz w:val="20"/>
                <w:szCs w:val="20"/>
              </w:rPr>
              <w:t xml:space="preserve">2000mm</w:t>
            </w:r>
            <w:r/>
          </w:p>
          <w:p>
            <w:pPr>
              <w:ind w:left="37" w:right="58" w:hanging="1"/>
              <w:spacing w:before="1" w:line="264" w:lineRule="auto"/>
              <w:rPr>
                <w:rFonts w:ascii="宋体" w:hAnsi="宋体" w:eastAsia="宋体" w:cs="宋体"/>
                <w:sz w:val="20"/>
                <w:szCs w:val="20"/>
              </w:rPr>
            </w:pPr>
            <w:r>
              <w:rPr>
                <w:rFonts w:ascii="宋体" w:hAnsi="宋体" w:eastAsia="宋体" w:cs="宋体"/>
                <w:spacing w:val="-1"/>
                <w:sz w:val="20"/>
                <w:szCs w:val="20"/>
              </w:rPr>
              <w:t xml:space="preserve">4.冠径：不低于800mm</w:t>
            </w:r>
            <w:r/>
          </w:p>
          <w:p>
            <w:pPr>
              <w:ind w:left="37" w:right="58" w:firstLine="3"/>
              <w:spacing w:before="1" w:line="253" w:lineRule="auto"/>
              <w:rPr>
                <w:rFonts w:ascii="宋体" w:hAnsi="宋体" w:eastAsia="宋体" w:cs="宋体"/>
                <w:sz w:val="20"/>
                <w:szCs w:val="20"/>
              </w:rPr>
            </w:pPr>
            <w:r>
              <w:rPr>
                <w:rFonts w:ascii="宋体" w:hAnsi="宋体" w:eastAsia="宋体" w:cs="宋体"/>
                <w:spacing w:val="-1"/>
                <w:sz w:val="20"/>
                <w:szCs w:val="20"/>
              </w:rPr>
              <w:t xml:space="preserve">5.含二级养护二</w:t>
            </w:r>
            <w:r>
              <w:rPr>
                <w:rFonts w:ascii="宋体" w:hAnsi="宋体" w:eastAsia="宋体" w:cs="宋体"/>
                <w:sz w:val="20"/>
                <w:szCs w:val="20"/>
              </w:rPr>
              <w:t xml:space="preserve">年</w:t>
            </w:r>
            <w:r/>
          </w:p>
        </w:tc>
        <w:tc>
          <w:tcPr>
            <w:tcW w:w="900"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left="352"/>
              <w:spacing w:before="65" w:line="220" w:lineRule="auto"/>
              <w:rPr>
                <w:rFonts w:ascii="宋体" w:hAnsi="宋体" w:eastAsia="宋体" w:cs="宋体"/>
                <w:sz w:val="20"/>
                <w:szCs w:val="20"/>
              </w:rPr>
            </w:pPr>
            <w:r>
              <w:rPr>
                <w:rFonts w:ascii="宋体" w:hAnsi="宋体" w:eastAsia="宋体" w:cs="宋体"/>
                <w:sz w:val="20"/>
                <w:szCs w:val="20"/>
              </w:rPr>
              <w:t xml:space="preserve">株</w:t>
            </w:r>
            <w:r/>
          </w:p>
        </w:tc>
        <w:tc>
          <w:tcPr>
            <w:tcW w:w="736"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right="24"/>
              <w:jc w:val="right"/>
              <w:spacing w:before="65" w:line="241" w:lineRule="auto"/>
              <w:rPr>
                <w:rFonts w:ascii="宋体" w:hAnsi="宋体" w:eastAsia="宋体" w:cs="宋体"/>
                <w:sz w:val="20"/>
                <w:szCs w:val="20"/>
              </w:rPr>
            </w:pPr>
            <w:r>
              <w:rPr>
                <w:rFonts w:ascii="宋体" w:hAnsi="宋体" w:eastAsia="宋体" w:cs="宋体"/>
                <w:spacing w:val="-4"/>
                <w:sz w:val="20"/>
                <w:szCs w:val="20"/>
              </w:rPr>
              <w:t xml:space="preserve">1800</w:t>
            </w:r>
            <w:r/>
          </w:p>
        </w:tc>
        <w:tc>
          <w:tcPr>
            <w:tcW w:w="877"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right="23"/>
              <w:jc w:val="right"/>
              <w:spacing w:before="65"/>
              <w:rPr>
                <w:rFonts w:ascii="宋体" w:hAnsi="宋体" w:eastAsia="宋体" w:cs="宋体"/>
                <w:sz w:val="20"/>
                <w:szCs w:val="20"/>
              </w:rPr>
            </w:pPr>
            <w:r>
              <w:rPr>
                <w:rFonts w:ascii="宋体" w:hAnsi="宋体" w:eastAsia="宋体" w:cs="宋体"/>
                <w:sz w:val="20"/>
                <w:szCs w:val="20"/>
              </w:rPr>
            </w:r>
            <w:r/>
          </w:p>
        </w:tc>
        <w:tc>
          <w:tcPr>
            <w:tcW w:w="960" w:type="dxa"/>
            <w:vAlign w:val="top"/>
            <w:textDirection w:val="lrTb"/>
            <w:noWrap w:val="false"/>
          </w:tcPr>
          <w:p>
            <w:pPr>
              <w:pStyle w:val="1045"/>
              <w:spacing w:line="282" w:lineRule="auto"/>
            </w:pPr>
            <w:r/>
            <w:r/>
          </w:p>
          <w:p>
            <w:pPr>
              <w:pStyle w:val="1045"/>
              <w:spacing w:line="282" w:lineRule="auto"/>
            </w:pPr>
            <w:r/>
            <w:r/>
          </w:p>
          <w:p>
            <w:pPr>
              <w:pStyle w:val="1045"/>
              <w:spacing w:line="282" w:lineRule="auto"/>
            </w:pPr>
            <w:r/>
            <w:r/>
          </w:p>
          <w:p>
            <w:pPr>
              <w:pStyle w:val="1045"/>
              <w:spacing w:line="283" w:lineRule="auto"/>
            </w:pPr>
            <w:r/>
            <w:r/>
          </w:p>
          <w:p>
            <w:pPr>
              <w:ind w:right="22"/>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50" w:type="dxa"/>
            <w:vAlign w:val="top"/>
            <w:textDirection w:val="lrTb"/>
            <w:noWrap w:val="false"/>
          </w:tcPr>
          <w:p>
            <w:pPr>
              <w:pStyle w:val="1045"/>
            </w:pPr>
            <w:r/>
            <w:r/>
          </w:p>
        </w:tc>
      </w:tr>
      <w:tr>
        <w:trPr>
          <w:trHeight w:val="443"/>
        </w:trPr>
        <w:tc>
          <w:tcPr>
            <w:tcBorders>
              <w:left w:val="single" w:color="000000" w:sz="10" w:space="0"/>
            </w:tcBorders>
            <w:tcW w:w="698" w:type="dxa"/>
            <w:vAlign w:val="top"/>
            <w:textDirection w:val="lrTb"/>
            <w:noWrap w:val="false"/>
          </w:tcPr>
          <w:p>
            <w:pPr>
              <w:pStyle w:val="1045"/>
            </w:pPr>
            <w:r/>
            <w:r/>
          </w:p>
        </w:tc>
        <w:tc>
          <w:tcPr>
            <w:tcW w:w="1210" w:type="dxa"/>
            <w:vAlign w:val="top"/>
            <w:textDirection w:val="lrTb"/>
            <w:noWrap w:val="false"/>
          </w:tcPr>
          <w:p>
            <w:pPr>
              <w:pStyle w:val="1045"/>
            </w:pPr>
            <w:r/>
            <w:r/>
          </w:p>
        </w:tc>
        <w:tc>
          <w:tcPr>
            <w:tcBorders>
              <w:right w:val="none" w:color="000000" w:sz="4" w:space="0"/>
            </w:tcBorders>
            <w:tcW w:w="1303" w:type="dxa"/>
            <w:vAlign w:val="top"/>
            <w:textDirection w:val="lrTb"/>
            <w:noWrap w:val="false"/>
          </w:tcPr>
          <w:p>
            <w:pPr>
              <w:ind w:left="906"/>
              <w:spacing w:before="114" w:line="241" w:lineRule="auto"/>
              <w:rPr>
                <w:rFonts w:ascii="宋体" w:hAnsi="宋体" w:eastAsia="宋体" w:cs="宋体"/>
                <w:sz w:val="20"/>
                <w:szCs w:val="20"/>
              </w:rPr>
            </w:pPr>
            <w:r>
              <w:rPr>
                <w:rFonts w:ascii="宋体" w:hAnsi="宋体" w:eastAsia="宋体" w:cs="宋体"/>
                <w:spacing w:val="-2"/>
                <w:sz w:val="20"/>
                <w:szCs w:val="20"/>
              </w:rPr>
              <w:t xml:space="preserve">0106</w:t>
            </w:r>
            <w:r/>
          </w:p>
        </w:tc>
        <w:tc>
          <w:tcPr>
            <w:tcBorders>
              <w:left w:val="none" w:color="000000" w:sz="4" w:space="0"/>
            </w:tcBorders>
            <w:tcW w:w="1857" w:type="dxa"/>
            <w:vAlign w:val="top"/>
            <w:textDirection w:val="lrTb"/>
            <w:noWrap w:val="false"/>
          </w:tcPr>
          <w:p>
            <w:pPr>
              <w:spacing w:before="115" w:line="220" w:lineRule="auto"/>
              <w:rPr>
                <w:rFonts w:ascii="宋体" w:hAnsi="宋体" w:eastAsia="宋体" w:cs="宋体"/>
                <w:sz w:val="20"/>
                <w:szCs w:val="20"/>
              </w:rPr>
            </w:pPr>
            <w:r>
              <w:rPr>
                <w:rFonts w:ascii="宋体" w:hAnsi="宋体" w:eastAsia="宋体" w:cs="宋体"/>
                <w:spacing w:val="-2"/>
                <w:sz w:val="20"/>
                <w:szCs w:val="20"/>
              </w:rPr>
              <w:t xml:space="preserve">大门头</w:t>
            </w:r>
            <w:r/>
          </w:p>
        </w:tc>
        <w:tc>
          <w:tcPr>
            <w:tcW w:w="900" w:type="dxa"/>
            <w:vAlign w:val="top"/>
            <w:textDirection w:val="lrTb"/>
            <w:noWrap w:val="false"/>
          </w:tcPr>
          <w:p>
            <w:pPr>
              <w:pStyle w:val="1045"/>
            </w:pPr>
            <w:r/>
            <w:r/>
          </w:p>
        </w:tc>
        <w:tc>
          <w:tcPr>
            <w:tcW w:w="736" w:type="dxa"/>
            <w:vAlign w:val="top"/>
            <w:textDirection w:val="lrTb"/>
            <w:noWrap w:val="false"/>
          </w:tcPr>
          <w:p>
            <w:pPr>
              <w:ind w:right="7"/>
              <w:jc w:val="right"/>
              <w:spacing w:before="115" w:line="242" w:lineRule="auto"/>
              <w:rPr>
                <w:rFonts w:ascii="宋体" w:hAnsi="宋体" w:eastAsia="宋体" w:cs="宋体"/>
                <w:sz w:val="20"/>
                <w:szCs w:val="20"/>
              </w:rPr>
            </w:pPr>
            <w:r>
              <w:rPr>
                <w:rFonts w:ascii="宋体" w:hAnsi="宋体" w:eastAsia="宋体" w:cs="宋体"/>
                <w:sz w:val="20"/>
                <w:szCs w:val="20"/>
              </w:rPr>
              <w:t xml:space="preserve">1</w:t>
            </w:r>
            <w:r/>
          </w:p>
        </w:tc>
        <w:tc>
          <w:tcPr>
            <w:tcW w:w="877" w:type="dxa"/>
            <w:vAlign w:val="top"/>
            <w:textDirection w:val="lrTb"/>
            <w:noWrap w:val="false"/>
          </w:tcPr>
          <w:p>
            <w:pPr>
              <w:pStyle w:val="1045"/>
            </w:pPr>
            <w:r/>
            <w:r/>
          </w:p>
        </w:tc>
        <w:tc>
          <w:tcPr>
            <w:tcW w:w="960" w:type="dxa"/>
            <w:vAlign w:val="top"/>
            <w:textDirection w:val="lrTb"/>
            <w:noWrap w:val="false"/>
          </w:tcPr>
          <w:p>
            <w:pPr>
              <w:ind w:right="21"/>
              <w:jc w:val="right"/>
              <w:spacing w:before="11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50" w:type="dxa"/>
            <w:vAlign w:val="top"/>
            <w:textDirection w:val="lrTb"/>
            <w:noWrap w:val="false"/>
          </w:tcPr>
          <w:p>
            <w:pPr>
              <w:pStyle w:val="1045"/>
            </w:pPr>
            <w:r/>
            <w:r/>
          </w:p>
        </w:tc>
      </w:tr>
      <w:tr>
        <w:trPr>
          <w:trHeight w:val="4630"/>
        </w:trPr>
        <w:tc>
          <w:tcPr>
            <w:tcBorders>
              <w:left w:val="single" w:color="000000" w:sz="10" w:space="0"/>
            </w:tcBorders>
            <w:tcW w:w="698" w:type="dxa"/>
            <w:vAlign w:val="top"/>
            <w:textDirection w:val="lrTb"/>
            <w:noWrap w:val="false"/>
          </w:tcPr>
          <w:p>
            <w:pPr>
              <w:pStyle w:val="1045"/>
              <w:spacing w:line="266" w:lineRule="auto"/>
            </w:pPr>
            <w:r/>
            <w:r/>
          </w:p>
          <w:p>
            <w:pPr>
              <w:pStyle w:val="1045"/>
              <w:spacing w:line="266"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ind w:left="327"/>
              <w:spacing w:before="65" w:line="241" w:lineRule="auto"/>
              <w:rPr>
                <w:rFonts w:ascii="宋体" w:hAnsi="宋体" w:eastAsia="宋体" w:cs="宋体"/>
                <w:sz w:val="20"/>
                <w:szCs w:val="20"/>
              </w:rPr>
            </w:pPr>
            <w:r>
              <w:rPr>
                <w:rFonts w:ascii="宋体" w:hAnsi="宋体" w:eastAsia="宋体" w:cs="宋体"/>
                <w:spacing w:val="-6"/>
                <w:sz w:val="20"/>
                <w:szCs w:val="20"/>
              </w:rPr>
              <w:t xml:space="preserve">18</w:t>
            </w:r>
            <w:r/>
          </w:p>
        </w:tc>
        <w:tc>
          <w:tcPr>
            <w:tcW w:w="1210" w:type="dxa"/>
            <w:vAlign w:val="top"/>
            <w:textDirection w:val="lrTb"/>
            <w:noWrap w:val="false"/>
          </w:tcPr>
          <w:p>
            <w:pPr>
              <w:pStyle w:val="1045"/>
            </w:pPr>
            <w:r/>
            <w:r/>
          </w:p>
          <w:p>
            <w:pPr>
              <w:pStyle w:val="1045"/>
            </w:pPr>
            <w:r/>
            <w:r/>
          </w:p>
          <w:p>
            <w:pPr>
              <w:pStyle w:val="1045"/>
            </w:pPr>
            <w:r/>
            <w:r/>
          </w:p>
          <w:p>
            <w:pPr>
              <w:pStyle w:val="1045"/>
              <w:spacing w:line="241" w:lineRule="auto"/>
            </w:pPr>
            <w:r/>
            <w:r/>
          </w:p>
          <w:p>
            <w:pPr>
              <w:pStyle w:val="1045"/>
              <w:spacing w:line="241" w:lineRule="auto"/>
            </w:pPr>
            <w:r/>
            <w:r/>
          </w:p>
          <w:p>
            <w:pPr>
              <w:pStyle w:val="1045"/>
              <w:spacing w:line="241" w:lineRule="auto"/>
            </w:pPr>
            <w:r/>
            <w:r/>
          </w:p>
          <w:p>
            <w:pPr>
              <w:pStyle w:val="1045"/>
              <w:spacing w:line="241" w:lineRule="auto"/>
            </w:pPr>
            <w:r/>
            <w:r/>
          </w:p>
          <w:p>
            <w:pPr>
              <w:pStyle w:val="1045"/>
              <w:spacing w:line="241" w:lineRule="auto"/>
            </w:pPr>
            <w:r/>
            <w:r/>
          </w:p>
          <w:p>
            <w:pPr>
              <w:pStyle w:val="1045"/>
              <w:spacing w:line="241" w:lineRule="auto"/>
            </w:pPr>
            <w:r/>
            <w:r/>
          </w:p>
          <w:p>
            <w:pPr>
              <w:ind w:left="287"/>
              <w:spacing w:before="65" w:line="184" w:lineRule="auto"/>
              <w:rPr>
                <w:rFonts w:ascii="宋体" w:hAnsi="宋体" w:eastAsia="宋体" w:cs="宋体"/>
                <w:sz w:val="20"/>
                <w:szCs w:val="20"/>
              </w:rPr>
            </w:pPr>
            <w:r>
              <w:rPr>
                <w:rFonts w:ascii="宋体" w:hAnsi="宋体" w:eastAsia="宋体" w:cs="宋体"/>
                <w:spacing w:val="-1"/>
                <w:sz w:val="20"/>
                <w:szCs w:val="20"/>
              </w:rPr>
              <w:t xml:space="preserve">01B001</w:t>
            </w:r>
            <w:r/>
          </w:p>
        </w:tc>
        <w:tc>
          <w:tcPr>
            <w:tcW w:w="1303" w:type="dxa"/>
            <w:vAlign w:val="top"/>
            <w:textDirection w:val="lrTb"/>
            <w:noWrap w:val="false"/>
          </w:tcPr>
          <w:p>
            <w:pPr>
              <w:pStyle w:val="1045"/>
              <w:spacing w:line="248" w:lineRule="auto"/>
            </w:pPr>
            <w:r/>
            <w:r/>
          </w:p>
          <w:p>
            <w:pPr>
              <w:pStyle w:val="1045"/>
              <w:spacing w:line="249" w:lineRule="auto"/>
            </w:pPr>
            <w:r/>
            <w:r/>
          </w:p>
          <w:p>
            <w:pPr>
              <w:pStyle w:val="1045"/>
              <w:spacing w:line="249" w:lineRule="auto"/>
            </w:pPr>
            <w:r/>
            <w:r/>
          </w:p>
          <w:p>
            <w:pPr>
              <w:pStyle w:val="1045"/>
              <w:spacing w:line="249" w:lineRule="auto"/>
            </w:pPr>
            <w:r/>
            <w:r/>
          </w:p>
          <w:p>
            <w:pPr>
              <w:pStyle w:val="1045"/>
              <w:spacing w:line="249" w:lineRule="auto"/>
            </w:pPr>
            <w:r/>
            <w:r/>
          </w:p>
          <w:p>
            <w:pPr>
              <w:pStyle w:val="1045"/>
              <w:spacing w:line="249" w:lineRule="auto"/>
            </w:pPr>
            <w:r/>
            <w:r/>
          </w:p>
          <w:p>
            <w:pPr>
              <w:pStyle w:val="1045"/>
              <w:spacing w:line="249" w:lineRule="auto"/>
            </w:pPr>
            <w:r/>
            <w:r/>
          </w:p>
          <w:p>
            <w:pPr>
              <w:pStyle w:val="1045"/>
              <w:spacing w:line="249" w:lineRule="auto"/>
            </w:pPr>
            <w:r/>
            <w:r/>
          </w:p>
          <w:p>
            <w:pPr>
              <w:ind w:left="304" w:right="105" w:hanging="205"/>
              <w:spacing w:before="65" w:line="267" w:lineRule="auto"/>
              <w:rPr>
                <w:rFonts w:ascii="宋体" w:hAnsi="宋体" w:eastAsia="宋体" w:cs="宋体"/>
                <w:sz w:val="20"/>
                <w:szCs w:val="20"/>
              </w:rPr>
            </w:pPr>
            <w:r>
              <w:rPr>
                <w:rFonts w:ascii="宋体" w:hAnsi="宋体" w:eastAsia="宋体" w:cs="宋体"/>
                <w:spacing w:val="-1"/>
                <w:sz w:val="20"/>
                <w:szCs w:val="20"/>
              </w:rPr>
              <w:t xml:space="preserve">钢骨架铝板门</w:t>
            </w:r>
            <w:r>
              <w:rPr>
                <w:rFonts w:ascii="宋体" w:hAnsi="宋体" w:eastAsia="宋体" w:cs="宋体"/>
                <w:spacing w:val="-2"/>
                <w:sz w:val="20"/>
                <w:szCs w:val="20"/>
              </w:rPr>
              <w:t xml:space="preserve">头及大门</w:t>
            </w:r>
            <w:r/>
          </w:p>
        </w:tc>
        <w:tc>
          <w:tcPr>
            <w:tcW w:w="1857" w:type="dxa"/>
            <w:vAlign w:val="top"/>
            <w:textDirection w:val="lrTb"/>
            <w:noWrap w:val="false"/>
          </w:tcPr>
          <w:p>
            <w:pPr>
              <w:pStyle w:val="1045"/>
              <w:spacing w:line="281" w:lineRule="auto"/>
            </w:pPr>
            <w:r/>
            <w:r/>
          </w:p>
          <w:p>
            <w:pPr>
              <w:ind w:left="36" w:right="58" w:firstLine="14"/>
              <w:spacing w:before="65" w:line="265" w:lineRule="auto"/>
              <w:rPr>
                <w:rFonts w:ascii="宋体" w:hAnsi="宋体" w:eastAsia="宋体" w:cs="宋体"/>
                <w:sz w:val="20"/>
                <w:szCs w:val="20"/>
              </w:rPr>
            </w:pPr>
            <w:r>
              <w:rPr>
                <w:rFonts w:ascii="宋体" w:hAnsi="宋体" w:eastAsia="宋体" w:cs="宋体"/>
                <w:spacing w:val="-2"/>
                <w:sz w:val="20"/>
                <w:szCs w:val="20"/>
              </w:rPr>
              <w:t xml:space="preserve">1.根据现有场地</w:t>
            </w:r>
            <w:r>
              <w:rPr>
                <w:rFonts w:ascii="宋体" w:hAnsi="宋体" w:eastAsia="宋体" w:cs="宋体"/>
                <w:spacing w:val="-1"/>
                <w:sz w:val="20"/>
                <w:szCs w:val="20"/>
              </w:rPr>
              <w:t xml:space="preserve">情况投标人自行踏勘现场，并按招标文件要求提供门头深化设计</w:t>
            </w:r>
            <w:r>
              <w:rPr>
                <w:rFonts w:ascii="宋体" w:hAnsi="宋体" w:eastAsia="宋体" w:cs="宋体"/>
                <w:spacing w:val="-2"/>
                <w:sz w:val="20"/>
                <w:szCs w:val="20"/>
              </w:rPr>
              <w:t xml:space="preserve">效果图</w:t>
            </w:r>
            <w:r/>
          </w:p>
          <w:p>
            <w:pPr>
              <w:ind w:left="35" w:right="58" w:firstLine="4"/>
              <w:spacing w:before="2" w:line="264" w:lineRule="auto"/>
              <w:rPr>
                <w:rFonts w:ascii="宋体" w:hAnsi="宋体" w:eastAsia="宋体" w:cs="宋体"/>
                <w:sz w:val="20"/>
                <w:szCs w:val="20"/>
              </w:rPr>
            </w:pPr>
            <w:r>
              <w:rPr>
                <w:rFonts w:ascii="宋体" w:hAnsi="宋体" w:eastAsia="宋体" w:cs="宋体"/>
                <w:spacing w:val="-1"/>
                <w:sz w:val="20"/>
                <w:szCs w:val="20"/>
              </w:rPr>
              <w:t xml:space="preserve">2.按效果图自主</w:t>
            </w:r>
            <w:r>
              <w:rPr>
                <w:rFonts w:ascii="宋体" w:hAnsi="宋体" w:eastAsia="宋体" w:cs="宋体"/>
                <w:sz w:val="20"/>
                <w:szCs w:val="20"/>
              </w:rPr>
              <w:t xml:space="preserve">报价，结算时报价不调整，必要时提供深化设计</w:t>
            </w:r>
            <w:r>
              <w:rPr>
                <w:rFonts w:ascii="宋体" w:hAnsi="宋体" w:eastAsia="宋体" w:cs="宋体"/>
                <w:spacing w:val="-2"/>
                <w:sz w:val="20"/>
                <w:szCs w:val="20"/>
              </w:rPr>
              <w:t xml:space="preserve">图纸</w:t>
            </w:r>
            <w:r/>
          </w:p>
          <w:p>
            <w:pPr>
              <w:ind w:left="66" w:right="58" w:hanging="26"/>
              <w:spacing w:before="2" w:line="265" w:lineRule="auto"/>
              <w:rPr>
                <w:rFonts w:ascii="宋体" w:hAnsi="宋体" w:eastAsia="宋体" w:cs="宋体"/>
                <w:sz w:val="20"/>
                <w:szCs w:val="20"/>
              </w:rPr>
            </w:pPr>
            <w:r>
              <w:rPr>
                <w:rFonts w:ascii="宋体" w:hAnsi="宋体" w:eastAsia="宋体" w:cs="宋体"/>
                <w:spacing w:val="-1"/>
                <w:sz w:val="20"/>
                <w:szCs w:val="20"/>
              </w:rPr>
              <w:t xml:space="preserve">3.报价含主出入</w:t>
            </w:r>
            <w:r>
              <w:rPr>
                <w:rFonts w:ascii="宋体" w:hAnsi="宋体" w:eastAsia="宋体" w:cs="宋体"/>
                <w:spacing w:val="-5"/>
                <w:sz w:val="20"/>
                <w:szCs w:val="20"/>
              </w:rPr>
              <w:t xml:space="preserve">口一座，含进出</w:t>
            </w:r>
            <w:r>
              <w:rPr>
                <w:rFonts w:ascii="宋体" w:hAnsi="宋体" w:eastAsia="宋体" w:cs="宋体"/>
                <w:spacing w:val="-7"/>
                <w:sz w:val="20"/>
                <w:szCs w:val="20"/>
              </w:rPr>
              <w:t xml:space="preserve">口大门等</w:t>
            </w:r>
            <w:r/>
          </w:p>
        </w:tc>
        <w:tc>
          <w:tcPr>
            <w:tcW w:w="900" w:type="dxa"/>
            <w:vAlign w:val="top"/>
            <w:textDirection w:val="lrTb"/>
            <w:noWrap w:val="false"/>
          </w:tcPr>
          <w:p>
            <w:pPr>
              <w:pStyle w:val="1045"/>
              <w:spacing w:line="266"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ind w:left="355"/>
              <w:spacing w:before="65" w:line="221" w:lineRule="auto"/>
              <w:rPr>
                <w:rFonts w:ascii="宋体" w:hAnsi="宋体" w:eastAsia="宋体" w:cs="宋体"/>
                <w:sz w:val="20"/>
                <w:szCs w:val="20"/>
              </w:rPr>
            </w:pPr>
            <w:r>
              <w:rPr>
                <w:rFonts w:ascii="宋体" w:hAnsi="宋体" w:eastAsia="宋体" w:cs="宋体"/>
                <w:sz w:val="20"/>
                <w:szCs w:val="20"/>
              </w:rPr>
              <w:t xml:space="preserve">项</w:t>
            </w:r>
            <w:r/>
          </w:p>
        </w:tc>
        <w:tc>
          <w:tcPr>
            <w:tcW w:w="736" w:type="dxa"/>
            <w:vAlign w:val="top"/>
            <w:textDirection w:val="lrTb"/>
            <w:noWrap w:val="false"/>
          </w:tcPr>
          <w:p>
            <w:pPr>
              <w:pStyle w:val="1045"/>
              <w:spacing w:line="266" w:lineRule="auto"/>
            </w:pPr>
            <w:r/>
            <w:r/>
          </w:p>
          <w:p>
            <w:pPr>
              <w:pStyle w:val="1045"/>
              <w:spacing w:line="266"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ind w:right="7"/>
              <w:jc w:val="right"/>
              <w:spacing w:before="65" w:line="242" w:lineRule="auto"/>
              <w:rPr>
                <w:rFonts w:ascii="宋体" w:hAnsi="宋体" w:eastAsia="宋体" w:cs="宋体"/>
                <w:sz w:val="20"/>
                <w:szCs w:val="20"/>
              </w:rPr>
            </w:pPr>
            <w:r>
              <w:rPr>
                <w:rFonts w:ascii="宋体" w:hAnsi="宋体" w:eastAsia="宋体" w:cs="宋体"/>
                <w:sz w:val="20"/>
                <w:szCs w:val="20"/>
              </w:rPr>
              <w:t xml:space="preserve">1</w:t>
            </w:r>
            <w:r/>
          </w:p>
        </w:tc>
        <w:tc>
          <w:tcPr>
            <w:tcW w:w="877" w:type="dxa"/>
            <w:vAlign w:val="top"/>
            <w:textDirection w:val="lrTb"/>
            <w:noWrap w:val="false"/>
          </w:tcPr>
          <w:p>
            <w:pPr>
              <w:pStyle w:val="1045"/>
              <w:spacing w:line="266" w:lineRule="auto"/>
            </w:pPr>
            <w:r/>
            <w:r/>
          </w:p>
          <w:p>
            <w:pPr>
              <w:pStyle w:val="1045"/>
              <w:spacing w:line="266"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ind w:right="25"/>
              <w:jc w:val="right"/>
              <w:spacing w:before="65"/>
              <w:rPr>
                <w:rFonts w:ascii="宋体" w:hAnsi="宋体" w:eastAsia="宋体" w:cs="宋体"/>
                <w:sz w:val="20"/>
                <w:szCs w:val="20"/>
              </w:rPr>
            </w:pPr>
            <w:r>
              <w:rPr>
                <w:rFonts w:ascii="宋体" w:hAnsi="宋体" w:eastAsia="宋体" w:cs="宋体"/>
                <w:sz w:val="20"/>
                <w:szCs w:val="20"/>
              </w:rPr>
            </w:r>
            <w:r/>
          </w:p>
        </w:tc>
        <w:tc>
          <w:tcPr>
            <w:tcW w:w="960" w:type="dxa"/>
            <w:vAlign w:val="top"/>
            <w:textDirection w:val="lrTb"/>
            <w:noWrap w:val="false"/>
          </w:tcPr>
          <w:p>
            <w:pPr>
              <w:pStyle w:val="1045"/>
              <w:spacing w:line="266" w:lineRule="auto"/>
            </w:pPr>
            <w:r/>
            <w:r/>
          </w:p>
          <w:p>
            <w:pPr>
              <w:pStyle w:val="1045"/>
              <w:spacing w:line="266"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pStyle w:val="1045"/>
              <w:spacing w:line="267" w:lineRule="auto"/>
            </w:pPr>
            <w:r/>
            <w:r/>
          </w:p>
          <w:p>
            <w:pPr>
              <w:ind w:right="21"/>
              <w:jc w:val="right"/>
              <w:spacing w:before="65"/>
              <w:rPr>
                <w:rFonts w:ascii="宋体" w:hAnsi="宋体" w:eastAsia="宋体" w:cs="宋体"/>
                <w:sz w:val="20"/>
                <w:szCs w:val="20"/>
              </w:rPr>
            </w:pPr>
            <w:r>
              <w:rPr>
                <w:rFonts w:ascii="宋体" w:hAnsi="宋体" w:eastAsia="宋体" w:cs="宋体"/>
                <w:sz w:val="20"/>
                <w:szCs w:val="20"/>
              </w:rPr>
            </w:r>
            <w:r/>
          </w:p>
        </w:tc>
        <w:tc>
          <w:tcPr>
            <w:tcBorders>
              <w:right w:val="single" w:color="000000" w:sz="10" w:space="0"/>
            </w:tcBorders>
            <w:tcW w:w="1050" w:type="dxa"/>
            <w:vAlign w:val="top"/>
            <w:textDirection w:val="lrTb"/>
            <w:noWrap w:val="false"/>
          </w:tcPr>
          <w:p>
            <w:pPr>
              <w:pStyle w:val="1045"/>
            </w:pPr>
            <w:r/>
            <w:r/>
          </w:p>
        </w:tc>
      </w:tr>
      <w:tr>
        <w:trPr>
          <w:trHeight w:val="443"/>
        </w:trPr>
        <w:tc>
          <w:tcPr>
            <w:tcBorders>
              <w:left w:val="single" w:color="000000" w:sz="10" w:space="0"/>
            </w:tcBorders>
            <w:tcW w:w="698" w:type="dxa"/>
            <w:vAlign w:val="top"/>
            <w:textDirection w:val="lrTb"/>
            <w:noWrap w:val="false"/>
          </w:tcPr>
          <w:p>
            <w:pPr>
              <w:pStyle w:val="1045"/>
            </w:pPr>
            <w:r/>
            <w:r/>
          </w:p>
        </w:tc>
        <w:tc>
          <w:tcPr>
            <w:tcW w:w="1210" w:type="dxa"/>
            <w:vAlign w:val="top"/>
            <w:textDirection w:val="lrTb"/>
            <w:noWrap w:val="false"/>
          </w:tcPr>
          <w:p>
            <w:pPr>
              <w:pStyle w:val="1045"/>
            </w:pPr>
            <w:r/>
            <w:r/>
          </w:p>
        </w:tc>
        <w:tc>
          <w:tcPr>
            <w:tcW w:w="1303" w:type="dxa"/>
            <w:vAlign w:val="top"/>
            <w:textDirection w:val="lrTb"/>
            <w:noWrap w:val="false"/>
          </w:tcPr>
          <w:p>
            <w:pPr>
              <w:pStyle w:val="1045"/>
            </w:pPr>
            <w:r/>
            <w:r/>
          </w:p>
        </w:tc>
        <w:tc>
          <w:tcPr>
            <w:tcW w:w="1857" w:type="dxa"/>
            <w:vAlign w:val="top"/>
            <w:textDirection w:val="lrTb"/>
            <w:noWrap w:val="false"/>
          </w:tcPr>
          <w:p>
            <w:pPr>
              <w:pStyle w:val="1045"/>
            </w:pPr>
            <w:r/>
            <w:r/>
          </w:p>
        </w:tc>
        <w:tc>
          <w:tcPr>
            <w:tcW w:w="900" w:type="dxa"/>
            <w:vAlign w:val="top"/>
            <w:textDirection w:val="lrTb"/>
            <w:noWrap w:val="false"/>
          </w:tcPr>
          <w:p>
            <w:pPr>
              <w:pStyle w:val="1045"/>
            </w:pPr>
            <w:r/>
            <w:r/>
          </w:p>
        </w:tc>
        <w:tc>
          <w:tcPr>
            <w:tcW w:w="736" w:type="dxa"/>
            <w:vAlign w:val="top"/>
            <w:textDirection w:val="lrTb"/>
            <w:noWrap w:val="false"/>
          </w:tcPr>
          <w:p>
            <w:pPr>
              <w:pStyle w:val="1045"/>
            </w:pPr>
            <w:r/>
            <w:r/>
          </w:p>
        </w:tc>
        <w:tc>
          <w:tcPr>
            <w:tcW w:w="877" w:type="dxa"/>
            <w:vAlign w:val="top"/>
            <w:textDirection w:val="lrTb"/>
            <w:noWrap w:val="false"/>
          </w:tcPr>
          <w:p>
            <w:pPr>
              <w:pStyle w:val="1045"/>
            </w:pPr>
            <w:r/>
            <w:r/>
          </w:p>
        </w:tc>
        <w:tc>
          <w:tcPr>
            <w:tcW w:w="960" w:type="dxa"/>
            <w:vAlign w:val="top"/>
            <w:textDirection w:val="lrTb"/>
            <w:noWrap w:val="false"/>
          </w:tcPr>
          <w:p>
            <w:pPr>
              <w:pStyle w:val="1045"/>
            </w:pPr>
            <w:r/>
            <w:r/>
          </w:p>
        </w:tc>
        <w:tc>
          <w:tcPr>
            <w:tcBorders>
              <w:right w:val="single" w:color="000000" w:sz="10" w:space="0"/>
            </w:tcBorders>
            <w:tcW w:w="1050" w:type="dxa"/>
            <w:vAlign w:val="top"/>
            <w:textDirection w:val="lrTb"/>
            <w:noWrap w:val="false"/>
          </w:tcPr>
          <w:p>
            <w:pPr>
              <w:pStyle w:val="1045"/>
            </w:pPr>
            <w:r/>
            <w:r/>
          </w:p>
        </w:tc>
      </w:tr>
      <w:tr>
        <w:trPr>
          <w:trHeight w:val="456"/>
        </w:trPr>
        <w:tc>
          <w:tcPr>
            <w:gridSpan w:val="7"/>
            <w:tcBorders>
              <w:left w:val="single" w:color="000000" w:sz="10" w:space="0"/>
              <w:bottom w:val="single" w:color="000000" w:sz="10" w:space="0"/>
            </w:tcBorders>
            <w:tcW w:w="7581" w:type="dxa"/>
            <w:vAlign w:val="top"/>
            <w:textDirection w:val="lrTb"/>
            <w:noWrap w:val="false"/>
          </w:tcPr>
          <w:p>
            <w:pPr>
              <w:ind w:left="3765"/>
              <w:spacing w:before="131" w:line="222" w:lineRule="auto"/>
              <w:rPr>
                <w:rFonts w:ascii="宋体" w:hAnsi="宋体" w:eastAsia="宋体" w:cs="宋体"/>
                <w:sz w:val="20"/>
                <w:szCs w:val="20"/>
              </w:rPr>
            </w:pPr>
            <w:r>
              <w:rPr>
                <w:rFonts w:ascii="宋体" w:hAnsi="宋体" w:eastAsia="宋体" w:cs="宋体"/>
                <w:spacing w:val="-2"/>
                <w:sz w:val="20"/>
                <w:szCs w:val="20"/>
              </w:rPr>
              <w:t xml:space="preserve">合计</w:t>
            </w:r>
            <w:r/>
          </w:p>
        </w:tc>
        <w:tc>
          <w:tcPr>
            <w:tcBorders>
              <w:bottom w:val="single" w:color="000000" w:sz="10" w:space="0"/>
            </w:tcBorders>
            <w:tcW w:w="960" w:type="dxa"/>
            <w:vAlign w:val="top"/>
            <w:textDirection w:val="lrTb"/>
            <w:noWrap w:val="false"/>
          </w:tcPr>
          <w:p>
            <w:pPr>
              <w:ind w:right="20"/>
              <w:jc w:val="right"/>
              <w:spacing w:before="131"/>
              <w:rPr>
                <w:rFonts w:ascii="宋体" w:hAnsi="宋体" w:eastAsia="宋体" w:cs="宋体"/>
                <w:sz w:val="20"/>
                <w:szCs w:val="20"/>
              </w:rPr>
            </w:pPr>
            <w:r>
              <w:rPr>
                <w:rFonts w:ascii="宋体" w:hAnsi="宋体" w:eastAsia="宋体" w:cs="宋体"/>
                <w:sz w:val="20"/>
                <w:szCs w:val="20"/>
              </w:rPr>
            </w:r>
            <w:r/>
          </w:p>
        </w:tc>
        <w:tc>
          <w:tcPr>
            <w:tcBorders>
              <w:bottom w:val="single" w:color="000000" w:sz="10" w:space="0"/>
              <w:right w:val="single" w:color="000000" w:sz="10" w:space="0"/>
            </w:tcBorders>
            <w:tcW w:w="1050" w:type="dxa"/>
            <w:vAlign w:val="top"/>
            <w:textDirection w:val="lrTb"/>
            <w:noWrap w:val="false"/>
          </w:tcPr>
          <w:p>
            <w:pPr>
              <w:pStyle w:val="1045"/>
            </w:pPr>
            <w:r/>
            <w:r/>
          </w:p>
        </w:tc>
      </w:tr>
    </w:tbl>
    <w:p>
      <w:pPr>
        <w:ind w:firstLine="708"/>
        <w:spacing w:line="440" w:lineRule="exact"/>
        <w:rPr>
          <w:rFonts w:ascii="宋体" w:hAnsi="宋体" w:cs="宋体"/>
          <w:sz w:val="24"/>
        </w:rPr>
      </w:pPr>
      <w:r>
        <w:rPr>
          <w:rFonts w:hint="eastAsia" w:ascii="宋体" w:hAnsi="宋体" w:cs="宋体"/>
          <w:spacing w:val="-2"/>
          <w:sz w:val="24"/>
        </w:rPr>
        <w:t xml:space="preserve">注：本项目投标报价应包括投标人为完成招标文件所确定的招标范围内的全部服务工作内容所发生的一切费用，包含但不限于投标人为完成上述内容所必须支付的交通费、人工费、材料费、仪器设备或机械使用费、模板、脚手架、管理费、招标代理费、利润、税金、政策性文件规定的各项所需的全部费用、不可预见费及其它一切相关费用。除中标价外，采购单位不再支付其他任何费用。</w:t>
      </w:r>
      <w:r/>
    </w:p>
    <w:p>
      <w:pPr>
        <w:spacing w:line="380" w:lineRule="exact"/>
        <w:tabs>
          <w:tab w:val="left" w:pos="1680" w:leader="none"/>
          <w:tab w:val="left" w:pos="3120" w:leader="none"/>
          <w:tab w:val="left" w:pos="3360" w:leader="none"/>
          <w:tab w:val="left" w:pos="4680" w:leader="none"/>
        </w:tabs>
        <w:rPr>
          <w:rFonts w:ascii="宋体" w:hAnsi="宋体" w:cs="宋体"/>
          <w:sz w:val="24"/>
        </w:rPr>
      </w:pPr>
      <w:r>
        <w:rPr>
          <w:rFonts w:hint="eastAsia" w:ascii="宋体" w:hAnsi="宋体" w:cs="宋体"/>
          <w:sz w:val="24"/>
        </w:rPr>
        <w:t xml:space="preserve">投标单位：（盖章）</w:t>
      </w:r>
      <w:r/>
    </w:p>
    <w:p>
      <w:pPr>
        <w:spacing w:line="380" w:lineRule="exact"/>
        <w:tabs>
          <w:tab w:val="left" w:pos="1680" w:leader="none"/>
          <w:tab w:val="left" w:pos="3120" w:leader="none"/>
          <w:tab w:val="left" w:pos="3360" w:leader="none"/>
          <w:tab w:val="left" w:pos="3969" w:leader="none"/>
        </w:tabs>
        <w:rPr>
          <w:rFonts w:ascii="宋体" w:hAnsi="宋体" w:cs="宋体"/>
          <w:sz w:val="24"/>
        </w:rPr>
      </w:pPr>
      <w:r>
        <w:rPr>
          <w:rFonts w:hint="eastAsia" w:ascii="宋体" w:hAnsi="宋体" w:cs="宋体"/>
          <w:sz w:val="24"/>
        </w:rPr>
        <w:t xml:space="preserve">法定代表人/单位负责人（或委托代理人）：（签字或盖章）</w:t>
      </w:r>
      <w:r/>
    </w:p>
    <w:p>
      <w:pPr>
        <w:pStyle w:val="1027"/>
        <w:ind w:left="0" w:firstLine="0"/>
        <w:tabs>
          <w:tab w:val="left" w:pos="180" w:leader="none"/>
        </w:tabs>
        <w:rPr>
          <w:rFonts w:ascii="宋体" w:hAnsi="宋体" w:eastAsia="宋体" w:cs="宋体"/>
        </w:rPr>
      </w:pPr>
      <w:r>
        <w:rPr>
          <w:rFonts w:ascii="宋体" w:hAnsi="宋体" w:eastAsia="宋体" w:cs="宋体"/>
        </w:rPr>
      </w:r>
      <w:r/>
    </w:p>
    <w:p>
      <w:pPr>
        <w:ind w:firstLine="480"/>
        <w:jc w:val="both"/>
        <w:spacing w:line="380" w:lineRule="exact"/>
        <w:rPr>
          <w:rStyle w:val="1055"/>
          <w:rFonts w:cs="宋体"/>
          <w:bCs/>
          <w:sz w:val="28"/>
          <w:szCs w:val="28"/>
        </w:rPr>
      </w:pPr>
      <w:r>
        <w:rPr>
          <w:rFonts w:hint="eastAsia" w:ascii="宋体" w:hAnsi="宋体" w:cs="宋体"/>
          <w:sz w:val="24"/>
        </w:rPr>
        <w:t xml:space="preserve">______年月日</w:t>
      </w:r>
      <w:r/>
    </w:p>
    <w:p>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bCs/>
          <w:color w:val="auto"/>
          <w:sz w:val="32"/>
          <w:szCs w:val="32"/>
          <w:highlight w:val="none"/>
        </w:rPr>
      </w:pP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rPr>
        <w:t xml:space="preserve">、供应商须提交的资格证明文件</w:t>
      </w:r>
      <w:r>
        <w:rPr>
          <w:rFonts w:hint="eastAsia" w:ascii="宋体" w:hAnsi="宋体" w:eastAsia="宋体" w:cs="宋体"/>
          <w:b/>
          <w:color w:val="auto"/>
          <w:sz w:val="30"/>
          <w:szCs w:val="30"/>
          <w:highlight w:val="none"/>
          <w:lang w:val="en-US" w:eastAsia="zh-CN"/>
        </w:rPr>
        <w:t xml:space="preserve">和</w:t>
      </w:r>
      <w:r>
        <w:rPr>
          <w:rFonts w:hint="eastAsia" w:ascii="宋体" w:hAnsi="宋体" w:eastAsia="宋体" w:cs="宋体"/>
          <w:b/>
          <w:bCs/>
          <w:color w:val="auto"/>
          <w:sz w:val="32"/>
          <w:szCs w:val="32"/>
          <w:highlight w:val="none"/>
        </w:rPr>
        <w:t xml:space="preserve">综合评分时</w:t>
      </w:r>
      <w:r>
        <w:rPr>
          <w:rFonts w:hint="eastAsia" w:ascii="宋体" w:hAnsi="宋体" w:eastAsia="宋体" w:cs="宋体"/>
          <w:b/>
          <w:bCs/>
          <w:color w:val="auto"/>
          <w:sz w:val="32"/>
          <w:szCs w:val="32"/>
          <w:highlight w:val="none"/>
          <w:lang w:val="en-US" w:eastAsia="zh-CN"/>
        </w:rPr>
        <w:t xml:space="preserve">需要</w:t>
      </w:r>
      <w:r>
        <w:rPr>
          <w:rFonts w:hint="eastAsia" w:ascii="宋体" w:hAnsi="宋体" w:eastAsia="宋体" w:cs="宋体"/>
          <w:b/>
          <w:bCs/>
          <w:color w:val="auto"/>
          <w:sz w:val="32"/>
          <w:szCs w:val="32"/>
          <w:highlight w:val="none"/>
        </w:rPr>
        <w:t xml:space="preserve">提供的</w:t>
      </w:r>
      <w:r>
        <w:rPr>
          <w:rFonts w:hint="eastAsia" w:ascii="宋体" w:hAnsi="宋体" w:eastAsia="宋体" w:cs="宋体"/>
          <w:b/>
          <w:bCs/>
          <w:color w:val="auto"/>
          <w:sz w:val="32"/>
          <w:szCs w:val="32"/>
          <w:highlight w:val="none"/>
          <w:lang w:val="en-US" w:eastAsia="zh-CN"/>
        </w:rPr>
        <w:t xml:space="preserve">相关</w:t>
      </w:r>
      <w:r>
        <w:rPr>
          <w:rFonts w:hint="eastAsia" w:ascii="宋体" w:hAnsi="宋体" w:eastAsia="宋体" w:cs="宋体"/>
          <w:b/>
          <w:bCs/>
          <w:color w:val="auto"/>
          <w:sz w:val="32"/>
          <w:szCs w:val="32"/>
          <w:highlight w:val="none"/>
        </w:rPr>
        <w:t xml:space="preserve">证明文件</w:t>
      </w:r>
      <w:r/>
    </w:p>
    <w:p>
      <w:pPr>
        <w:jc w:val="center"/>
        <w:pageBreakBefore w:val="0"/>
        <w:spacing w:line="380" w:lineRule="exact"/>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321"/>
        <w:jc w:val="both"/>
        <w:pageBreakBefore w:val="0"/>
        <w:spacing w:line="380" w:lineRule="exact"/>
        <w:widowControl/>
        <w:rPr>
          <w:rFonts w:hint="eastAsia" w:ascii="宋体" w:hAnsi="宋体" w:eastAsia="宋体" w:cs="宋体"/>
          <w:b/>
          <w:bCs/>
          <w:color w:val="auto"/>
          <w:sz w:val="32"/>
          <w:highlight w:val="none"/>
        </w:rPr>
      </w:pPr>
      <w:r>
        <w:rPr>
          <w:rFonts w:hint="eastAsia" w:ascii="宋体" w:hAnsi="宋体" w:cs="宋体"/>
          <w:b/>
          <w:bCs/>
          <w:color w:val="auto"/>
          <w:sz w:val="32"/>
          <w:highlight w:val="none"/>
          <w:lang w:val="en-US" w:eastAsia="zh-CN"/>
        </w:rPr>
        <w:t xml:space="preserve">五</w:t>
      </w:r>
      <w:r>
        <w:rPr>
          <w:rFonts w:hint="eastAsia" w:ascii="宋体" w:hAnsi="宋体" w:eastAsia="宋体" w:cs="宋体"/>
          <w:b/>
          <w:bCs/>
          <w:color w:val="auto"/>
          <w:sz w:val="32"/>
          <w:highlight w:val="none"/>
          <w:lang w:val="en-US" w:eastAsia="zh-CN"/>
        </w:rPr>
        <w:t xml:space="preserve">、供应商</w:t>
      </w:r>
      <w:r>
        <w:rPr>
          <w:rFonts w:hint="eastAsia" w:ascii="宋体" w:hAnsi="宋体" w:eastAsia="宋体" w:cs="宋体"/>
          <w:b/>
          <w:bCs/>
          <w:color w:val="auto"/>
          <w:sz w:val="32"/>
          <w:highlight w:val="none"/>
        </w:rPr>
        <w:t xml:space="preserve">认为有必要提供并说明</w:t>
      </w:r>
      <w:r>
        <w:rPr>
          <w:rFonts w:hint="eastAsia" w:ascii="宋体" w:hAnsi="宋体" w:eastAsia="宋体" w:cs="宋体"/>
          <w:b/>
          <w:bCs/>
          <w:color w:val="auto"/>
          <w:sz w:val="32"/>
          <w:highlight w:val="none"/>
          <w:lang w:eastAsia="zh-CN"/>
        </w:rPr>
        <w:t xml:space="preserve">的其他</w:t>
      </w:r>
      <w:r>
        <w:rPr>
          <w:rFonts w:hint="eastAsia" w:ascii="宋体" w:hAnsi="宋体" w:eastAsia="宋体" w:cs="宋体"/>
          <w:b/>
          <w:bCs/>
          <w:color w:val="auto"/>
          <w:sz w:val="32"/>
          <w:highlight w:val="none"/>
        </w:rPr>
        <w:t xml:space="preserve">资料</w:t>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r/>
    </w:p>
    <w:p>
      <w:pPr>
        <w:ind w:firstLine="3534"/>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法定代表人资格证明</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单位名称:</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地址:</w:t>
      </w:r>
      <w:r/>
    </w:p>
    <w:p>
      <w:pPr>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姓名:     性别:      年龄:      职务:</w:t>
      </w:r>
      <w:r>
        <w:rPr>
          <w:rFonts w:hint="eastAsia" w:ascii="宋体" w:hAnsi="宋体" w:eastAsia="宋体" w:cs="宋体"/>
          <w:color w:val="auto"/>
          <w:sz w:val="28"/>
          <w:szCs w:val="28"/>
          <w:highlight w:val="none"/>
          <w:lang w:val="en-US" w:eastAsia="zh-CN"/>
        </w:rPr>
        <w:t xml:space="preserve">     电话：</w:t>
      </w:r>
      <w:r/>
    </w:p>
    <w:p>
      <w:pPr>
        <w:ind w:left="1" w:firstLine="56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left="1" w:firstLine="560"/>
        <w:pageBreakBefore w:val="0"/>
        <w:spacing w:line="48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 xml:space="preserve">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 xml:space="preserve">供应商</w:t>
      </w:r>
      <w:r>
        <w:rPr>
          <w:rFonts w:hint="eastAsia" w:ascii="宋体" w:hAnsi="宋体" w:eastAsia="宋体" w:cs="宋体"/>
          <w:color w:val="auto"/>
          <w:sz w:val="28"/>
          <w:szCs w:val="28"/>
          <w:highlight w:val="none"/>
          <w:u w:val="single"/>
          <w:lang w:val="zh-CN"/>
        </w:rPr>
        <w:t xml:space="preserve">名称）</w:t>
      </w:r>
      <w:r>
        <w:rPr>
          <w:rFonts w:hint="eastAsia" w:ascii="宋体" w:hAnsi="宋体" w:eastAsia="宋体" w:cs="宋体"/>
          <w:color w:val="auto"/>
          <w:sz w:val="28"/>
          <w:szCs w:val="28"/>
          <w:highlight w:val="none"/>
          <w:lang w:val="zh-CN"/>
        </w:rPr>
        <w:t xml:space="preserve">的法定代表人。</w:t>
      </w:r>
      <w:r>
        <w:rPr>
          <w:rFonts w:hint="eastAsia" w:ascii="宋体" w:hAnsi="宋体" w:eastAsia="宋体" w:cs="宋体"/>
          <w:color w:val="auto"/>
          <w:sz w:val="28"/>
          <w:highlight w:val="none"/>
        </w:rPr>
        <w:t xml:space="preserve">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项目，签署上述项目的</w:t>
      </w:r>
      <w:r>
        <w:rPr>
          <w:rFonts w:hint="eastAsia" w:ascii="宋体" w:hAnsi="宋体" w:eastAsia="宋体" w:cs="宋体"/>
          <w:color w:val="auto"/>
          <w:sz w:val="28"/>
          <w:highlight w:val="none"/>
          <w:lang w:val="en-US" w:eastAsia="zh-CN"/>
        </w:rPr>
        <w:t xml:space="preserve">响应</w:t>
      </w:r>
      <w:r>
        <w:rPr>
          <w:rFonts w:hint="eastAsia" w:ascii="宋体" w:hAnsi="宋体" w:eastAsia="宋体" w:cs="宋体"/>
          <w:color w:val="auto"/>
          <w:sz w:val="28"/>
          <w:highlight w:val="none"/>
        </w:rPr>
        <w:t xml:space="preserve">文件、进行</w:t>
      </w:r>
      <w:r>
        <w:rPr>
          <w:rFonts w:hint="eastAsia" w:ascii="宋体" w:hAnsi="宋体" w:eastAsia="宋体" w:cs="宋体"/>
          <w:color w:val="auto"/>
          <w:sz w:val="28"/>
          <w:highlight w:val="none"/>
          <w:lang w:val="en-US" w:eastAsia="zh-CN"/>
        </w:rPr>
        <w:t xml:space="preserve">投标</w:t>
      </w:r>
      <w:r>
        <w:rPr>
          <w:rFonts w:hint="eastAsia" w:ascii="宋体" w:hAnsi="宋体" w:eastAsia="宋体" w:cs="宋体"/>
          <w:color w:val="auto"/>
          <w:sz w:val="28"/>
          <w:highlight w:val="none"/>
        </w:rPr>
        <w:t xml:space="preserve">、签署合同和处理与之有关的一切事务。</w:t>
      </w:r>
      <w:r/>
    </w:p>
    <w:p>
      <w:pPr>
        <w:ind w:firstLine="28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28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特此证明。</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pStyle w:val="1046"/>
        <w:ind w:left="4760" w:right="560" w:hanging="1820"/>
        <w:pageBreakBefore w:val="0"/>
        <w:spacing w:before="0" w:after="0"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ind w:firstLine="56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 xml:space="preserve">注</w:t>
      </w:r>
      <w:r>
        <w:rPr>
          <w:rFonts w:hint="eastAsia" w:ascii="宋体" w:hAnsi="宋体" w:eastAsia="宋体" w:cs="宋体"/>
          <w:b/>
          <w:bCs w:val="0"/>
          <w:color w:val="auto"/>
          <w:sz w:val="28"/>
          <w:highlight w:val="none"/>
          <w:lang w:eastAsia="zh-CN"/>
        </w:rPr>
        <w:t xml:space="preserve">：</w:t>
      </w:r>
      <w:r>
        <w:rPr>
          <w:rFonts w:hint="eastAsia" w:ascii="宋体" w:hAnsi="宋体" w:eastAsia="宋体" w:cs="宋体"/>
          <w:b/>
          <w:bCs w:val="0"/>
          <w:color w:val="auto"/>
          <w:sz w:val="28"/>
          <w:highlight w:val="none"/>
          <w:lang w:val="en-US" w:eastAsia="zh-CN"/>
        </w:rPr>
        <w:t xml:space="preserve">供应商</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参加投标的，必须附</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身份证扫描件加盖</w:t>
      </w:r>
      <w:r>
        <w:rPr>
          <w:rFonts w:hint="eastAsia" w:ascii="宋体" w:hAnsi="宋体" w:eastAsia="宋体" w:cs="宋体"/>
          <w:b/>
          <w:bCs w:val="0"/>
          <w:color w:val="auto"/>
          <w:sz w:val="28"/>
          <w:szCs w:val="28"/>
          <w:highlight w:val="none"/>
          <w:lang w:val="en-US" w:eastAsia="zh-CN"/>
        </w:rPr>
        <w:t xml:space="preserve">供应商</w:t>
      </w:r>
      <w:r>
        <w:rPr>
          <w:rFonts w:hint="eastAsia" w:ascii="宋体" w:hAnsi="宋体" w:eastAsia="宋体" w:cs="宋体"/>
          <w:b/>
          <w:bCs w:val="0"/>
          <w:color w:val="auto"/>
          <w:sz w:val="28"/>
          <w:szCs w:val="28"/>
          <w:highlight w:val="none"/>
        </w:rPr>
        <w:t xml:space="preserve">电子签章。法定代表人授权其他人参加投标的，仅需填写“授权委托书”。</w:t>
      </w:r>
      <w:r/>
    </w:p>
    <w:p>
      <w:pPr>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r/>
    </w:p>
    <w:p>
      <w:pPr>
        <w:pStyle w:val="1008"/>
        <w:ind w:left="0" w:firstLine="0"/>
        <w:pageBreakBefore w:val="0"/>
        <w:spacing w:line="480" w:lineRule="exact"/>
        <w:shd w:val="clear" w:color="auto" w:fill="ffffff"/>
        <w:widowControl w:val="off"/>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 xml:space="preserve">示范格式二</w:t>
      </w:r>
      <w:r/>
    </w:p>
    <w:p>
      <w:pPr>
        <w:ind w:firstLine="3534"/>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ind w:firstLine="482"/>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 xml:space="preserve">：</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 xml:space="preserve">本授权书宣告:</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）采购项目的政府采购活动，受托人有权在该</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活动中，以我单位的名义签署</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函和投标文件，与采购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委托期限:至上述事宜处理完毕止。</w:t>
      </w:r>
      <w:r/>
    </w:p>
    <w:p>
      <w:pPr>
        <w:ind w:firstLine="600"/>
        <w:pageBreakBefore w:val="0"/>
        <w:spacing w:line="48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ind w:firstLine="56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委托受托人参加投标的，必须附受托人身份证扫描件加盖</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电子签章。法定代表人直接参加投标的，仅需填写“法定代表人资格证明”。</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562"/>
        <w:pageBreakBefore w:val="0"/>
        <w:spacing w:line="38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1019"/>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1019"/>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pStyle w:val="1008"/>
        <w:ind w:left="0" w:firstLine="0"/>
        <w:pageBreakBefore w:val="0"/>
        <w:spacing w:line="38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示范格式三</w:t>
      </w:r>
      <w:r/>
    </w:p>
    <w:p>
      <w:pPr>
        <w:jc w:val="center"/>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承 诺 书</w:t>
      </w:r>
      <w:r/>
    </w:p>
    <w:p>
      <w:pPr>
        <w:ind w:firstLine="643"/>
        <w:jc w:val="center"/>
        <w:pageBreakBefore w:val="0"/>
        <w:spacing w:line="380" w:lineRule="exac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符合《</w:t>
      </w:r>
      <w:r>
        <w:rPr>
          <w:rFonts w:hint="eastAsia" w:ascii="宋体" w:hAnsi="宋体" w:eastAsia="宋体" w:cs="宋体"/>
          <w:b/>
          <w:bCs/>
          <w:color w:val="auto"/>
          <w:sz w:val="32"/>
          <w:highlight w:val="none"/>
          <w:lang w:eastAsia="zh-CN"/>
        </w:rPr>
        <w:t xml:space="preserve">中华人民共和国政府采购法</w:t>
      </w:r>
      <w:r>
        <w:rPr>
          <w:rFonts w:hint="eastAsia" w:ascii="宋体" w:hAnsi="宋体" w:eastAsia="宋体" w:cs="宋体"/>
          <w:b/>
          <w:bCs/>
          <w:color w:val="auto"/>
          <w:sz w:val="32"/>
          <w:highlight w:val="none"/>
        </w:rPr>
        <w:t xml:space="preserve">》第二十二条规定</w:t>
      </w:r>
      <w:r>
        <w:rPr>
          <w:rFonts w:hint="eastAsia" w:ascii="宋体" w:hAnsi="宋体" w:eastAsia="宋体" w:cs="宋体"/>
          <w:b/>
          <w:bCs/>
          <w:color w:val="auto"/>
          <w:sz w:val="32"/>
          <w:highlight w:val="none"/>
          <w:lang w:val="en-US" w:eastAsia="zh-CN"/>
        </w:rPr>
        <w:t xml:space="preserve"> </w:t>
      </w:r>
      <w:r/>
    </w:p>
    <w:p>
      <w:pPr>
        <w:pStyle w:val="1047"/>
        <w:pageBreakBefore w:val="0"/>
        <w:spacing w:line="38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120"/>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 xml:space="preserve">：</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我公司参加贵中心组织实施的（项目编号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我单位满足法律、行政法规规定的其他条件。</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right="42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 xml:space="preserve">（电子签章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或签章</w:t>
      </w:r>
      <w:r>
        <w:rPr>
          <w:rFonts w:hint="eastAsia" w:ascii="宋体" w:hAnsi="宋体" w:eastAsia="宋体" w:cs="宋体"/>
          <w:color w:val="auto"/>
          <w:sz w:val="24"/>
          <w:highlight w:val="none"/>
        </w:rPr>
        <w:t xml:space="preserve">）        </w:t>
      </w:r>
      <w:r/>
    </w:p>
    <w:p>
      <w:pPr>
        <w:pStyle w:val="1019"/>
        <w:jc w:val="center"/>
        <w:keepLines w:val="0"/>
        <w:keepNext w:val="0"/>
        <w:pageBreakBefore w:val="0"/>
        <w:spacing w:line="48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日</w:t>
      </w:r>
      <w:r/>
    </w:p>
    <w:p>
      <w:pPr>
        <w:pStyle w:val="1033"/>
        <w:keepLines w:val="0"/>
        <w:keepNext w:val="0"/>
        <w:pageBreakBefore w:val="0"/>
        <w:spacing w:line="480" w:lineRule="exact"/>
        <w:rPr>
          <w:rFonts w:hint="eastAsia" w:ascii="宋体" w:hAnsi="宋体" w:eastAsia="宋体" w:cs="宋体"/>
          <w:color w:val="auto"/>
          <w:sz w:val="20"/>
          <w:szCs w:val="20"/>
          <w:highlight w:val="none"/>
          <w:lang w:val="en-US"/>
        </w:rPr>
        <w:sectPr>
          <w:footnotePr/>
          <w:endnotePr/>
          <w:type w:val="nextPage"/>
          <w:pgSz w:w="11906" w:h="16838" w:orient="portrait"/>
          <w:pgMar w:top="1440" w:right="1361" w:bottom="1440" w:left="1247" w:header="851" w:footer="992" w:gutter="0"/>
          <w:cols w:num="1" w:sep="0" w:space="720" w:equalWidth="1"/>
          <w:docGrid w:linePitch="360"/>
        </w:sectPr>
      </w:pPr>
      <w:r>
        <w:rPr>
          <w:rFonts w:hint="eastAsia" w:ascii="宋体" w:hAnsi="宋体" w:eastAsia="宋体" w:cs="宋体"/>
          <w:color w:val="auto"/>
          <w:sz w:val="20"/>
          <w:szCs w:val="20"/>
          <w:highlight w:val="none"/>
          <w:lang w:val="en-US"/>
        </w:rPr>
      </w:r>
      <w:r/>
    </w:p>
    <w:p>
      <w:pPr>
        <w:pStyle w:val="1008"/>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bookmarkStart w:id="571" w:name="_Toc12956505"/>
      <w:r/>
      <w:bookmarkStart w:id="572" w:name="_Toc49352288"/>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四</w:t>
      </w:r>
      <w:bookmarkEnd w:id="571"/>
      <w:r/>
      <w:bookmarkEnd w:id="572"/>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企业声明函（</w:t>
      </w:r>
      <w:r>
        <w:rPr>
          <w:rFonts w:hint="eastAsia" w:ascii="宋体" w:hAnsi="宋体" w:eastAsia="宋体" w:cs="宋体"/>
          <w:b/>
          <w:bCs/>
          <w:color w:val="auto"/>
          <w:sz w:val="32"/>
          <w:szCs w:val="32"/>
          <w:highlight w:val="none"/>
          <w:lang w:val="en-US" w:eastAsia="zh-CN"/>
        </w:rPr>
        <w:t xml:space="preserve">工程、服务</w:t>
      </w:r>
      <w:r>
        <w:rPr>
          <w:rFonts w:hint="eastAsia" w:ascii="宋体" w:hAnsi="宋体" w:eastAsia="宋体" w:cs="宋体"/>
          <w:b/>
          <w:bCs/>
          <w:color w:val="auto"/>
          <w:sz w:val="32"/>
          <w:szCs w:val="32"/>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bidi="ar"/>
        </w:rPr>
        <w:t xml:space="preserve">（项目名称）</w:t>
      </w:r>
      <w:r>
        <w:rPr>
          <w:rFonts w:hint="eastAsia" w:ascii="宋体" w:hAnsi="宋体" w:eastAsia="宋体" w:cs="宋体"/>
          <w:sz w:val="28"/>
          <w:szCs w:val="28"/>
          <w:highlight w:val="none"/>
        </w:rPr>
        <w:t xml:space="preserve">采购活动，工程的施工单位全部为符合政策要求的中小企业（或者：服务全部由符合政策要求的中小企业承接）。相关企业的具体情况如下：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sz w:val="28"/>
          <w:szCs w:val="28"/>
          <w:highlight w:val="none"/>
        </w:rPr>
        <w:t xml:space="preserve">从业人员、营业收入、资产总额填报上一年度数据，无上一年度数据的新成立企业可不填报。</w:t>
      </w:r>
      <w:r>
        <w:rPr>
          <w:rFonts w:hint="eastAsia" w:ascii="宋体" w:hAnsi="宋体" w:eastAsia="宋体" w:cs="宋体"/>
          <w:color w:val="auto"/>
          <w:highlight w:val="none"/>
        </w:rPr>
        <w:br w:type="page" w:clear="all"/>
      </w:r>
      <w:r/>
    </w:p>
    <w:p>
      <w:pPr>
        <w:pStyle w:val="1008"/>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五</w:t>
      </w:r>
      <w:r/>
    </w:p>
    <w:p>
      <w:pPr>
        <w:jc w:val="center"/>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04"/>
        <w:pageBreakBefore w:val="0"/>
        <w:spacing w:line="3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1012"/>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p>
    <w:p>
      <w:pPr>
        <w:pStyle w:val="1012"/>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12"/>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1012"/>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12"/>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本公司对上述声明的真实性负责。如有虚假，将依法承担相应责任。</w:t>
      </w:r>
      <w:r/>
    </w:p>
    <w:p>
      <w:pPr>
        <w:pStyle w:val="1012"/>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注:非</w:t>
      </w:r>
      <w:r>
        <w:rPr>
          <w:rFonts w:hint="eastAsia" w:ascii="宋体" w:hAnsi="宋体" w:eastAsia="宋体" w:cs="宋体"/>
          <w:color w:val="auto"/>
          <w:sz w:val="28"/>
          <w:highlight w:val="none"/>
        </w:rPr>
        <w:t xml:space="preserve">残疾人福利性单位不</w:t>
      </w:r>
      <w:r>
        <w:rPr>
          <w:rFonts w:hint="eastAsia" w:ascii="宋体" w:hAnsi="宋体" w:eastAsia="宋体" w:cs="宋体"/>
          <w:color w:val="auto"/>
          <w:sz w:val="28"/>
          <w:szCs w:val="28"/>
          <w:highlight w:val="none"/>
        </w:rPr>
        <w:t xml:space="preserve">需提供此函。</w:t>
      </w:r>
      <w:r/>
    </w:p>
    <w:p>
      <w:pPr>
        <w:pStyle w:val="1049"/>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Adobe 仿宋 Std R">
    <w:panose1 w:val="020B0503020202020204"/>
  </w:font>
  <w:font w:name="Courier New">
    <w:panose1 w:val="02070309020205020404"/>
  </w:font>
  <w:font w:name="方正仿宋简体">
    <w:panose1 w:val="020B0503020202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3"/>
  </w:num>
  <w:num w:numId="4">
    <w:abstractNumId w:val="13"/>
  </w:num>
  <w:num w:numId="5">
    <w:abstractNumId w:val="4"/>
  </w:num>
  <w:num w:numId="6">
    <w:abstractNumId w:val="7"/>
  </w:num>
  <w:num w:numId="7">
    <w:abstractNumId w:val="5"/>
  </w:num>
  <w:num w:numId="8">
    <w:abstractNumId w:val="1"/>
  </w:num>
  <w:num w:numId="9">
    <w:abstractNumId w:val="12"/>
  </w:num>
  <w:num w:numId="10">
    <w:abstractNumId w:val="2"/>
  </w:num>
  <w:num w:numId="11">
    <w:abstractNumId w:val="10"/>
  </w:num>
  <w:num w:numId="12">
    <w:abstractNumId w:val="11"/>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1 Char"/>
    <w:basedOn w:val="1010"/>
    <w:link w:val="1006"/>
    <w:uiPriority w:val="9"/>
    <w:rPr>
      <w:rFonts w:ascii="Arial" w:hAnsi="Arial" w:eastAsia="Arial" w:cs="Arial"/>
      <w:sz w:val="40"/>
      <w:szCs w:val="40"/>
    </w:rPr>
  </w:style>
  <w:style w:type="character" w:styleId="838">
    <w:name w:val="Heading 2 Char"/>
    <w:basedOn w:val="1010"/>
    <w:link w:val="1007"/>
    <w:uiPriority w:val="9"/>
    <w:rPr>
      <w:rFonts w:ascii="Arial" w:hAnsi="Arial" w:eastAsia="Arial" w:cs="Arial"/>
      <w:sz w:val="34"/>
    </w:rPr>
  </w:style>
  <w:style w:type="character" w:styleId="839">
    <w:name w:val="Heading 3 Char"/>
    <w:basedOn w:val="1010"/>
    <w:link w:val="1008"/>
    <w:uiPriority w:val="9"/>
    <w:rPr>
      <w:rFonts w:ascii="Arial" w:hAnsi="Arial" w:eastAsia="Arial" w:cs="Arial"/>
      <w:sz w:val="30"/>
      <w:szCs w:val="30"/>
    </w:rPr>
  </w:style>
  <w:style w:type="character" w:styleId="840">
    <w:name w:val="Heading 4 Char"/>
    <w:basedOn w:val="1010"/>
    <w:link w:val="1009"/>
    <w:uiPriority w:val="9"/>
    <w:rPr>
      <w:rFonts w:ascii="Arial" w:hAnsi="Arial" w:eastAsia="Arial" w:cs="Arial"/>
      <w:b/>
      <w:bCs/>
      <w:sz w:val="26"/>
      <w:szCs w:val="26"/>
    </w:rPr>
  </w:style>
  <w:style w:type="paragraph" w:styleId="841">
    <w:name w:val="Heading 5"/>
    <w:basedOn w:val="1005"/>
    <w:next w:val="1005"/>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basedOn w:val="1010"/>
    <w:link w:val="841"/>
    <w:uiPriority w:val="9"/>
    <w:rPr>
      <w:rFonts w:ascii="Arial" w:hAnsi="Arial" w:eastAsia="Arial" w:cs="Arial"/>
      <w:b/>
      <w:bCs/>
      <w:sz w:val="24"/>
      <w:szCs w:val="24"/>
    </w:rPr>
  </w:style>
  <w:style w:type="paragraph" w:styleId="843">
    <w:name w:val="Heading 6"/>
    <w:basedOn w:val="1005"/>
    <w:next w:val="1005"/>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basedOn w:val="1010"/>
    <w:link w:val="843"/>
    <w:uiPriority w:val="9"/>
    <w:rPr>
      <w:rFonts w:ascii="Arial" w:hAnsi="Arial" w:eastAsia="Arial" w:cs="Arial"/>
      <w:b/>
      <w:bCs/>
      <w:sz w:val="22"/>
      <w:szCs w:val="22"/>
    </w:rPr>
  </w:style>
  <w:style w:type="paragraph" w:styleId="845">
    <w:name w:val="Heading 7"/>
    <w:basedOn w:val="1005"/>
    <w:next w:val="1005"/>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basedOn w:val="1010"/>
    <w:link w:val="845"/>
    <w:uiPriority w:val="9"/>
    <w:rPr>
      <w:rFonts w:ascii="Arial" w:hAnsi="Arial" w:eastAsia="Arial" w:cs="Arial"/>
      <w:b/>
      <w:bCs/>
      <w:i/>
      <w:iCs/>
      <w:sz w:val="22"/>
      <w:szCs w:val="22"/>
    </w:rPr>
  </w:style>
  <w:style w:type="paragraph" w:styleId="847">
    <w:name w:val="Heading 8"/>
    <w:basedOn w:val="1005"/>
    <w:next w:val="1005"/>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basedOn w:val="1010"/>
    <w:link w:val="847"/>
    <w:uiPriority w:val="9"/>
    <w:rPr>
      <w:rFonts w:ascii="Arial" w:hAnsi="Arial" w:eastAsia="Arial" w:cs="Arial"/>
      <w:i/>
      <w:iCs/>
      <w:sz w:val="22"/>
      <w:szCs w:val="22"/>
    </w:rPr>
  </w:style>
  <w:style w:type="paragraph" w:styleId="849">
    <w:name w:val="Heading 9"/>
    <w:basedOn w:val="1005"/>
    <w:next w:val="1005"/>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basedOn w:val="1010"/>
    <w:link w:val="84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1005"/>
    <w:next w:val="1005"/>
    <w:link w:val="853"/>
    <w:uiPriority w:val="10"/>
    <w:qFormat/>
    <w:pPr>
      <w:contextualSpacing/>
      <w:spacing w:before="300" w:after="200"/>
    </w:pPr>
    <w:rPr>
      <w:sz w:val="48"/>
      <w:szCs w:val="48"/>
    </w:rPr>
  </w:style>
  <w:style w:type="character" w:styleId="853">
    <w:name w:val="Title Char"/>
    <w:basedOn w:val="1010"/>
    <w:link w:val="852"/>
    <w:uiPriority w:val="10"/>
    <w:rPr>
      <w:sz w:val="48"/>
      <w:szCs w:val="48"/>
    </w:rPr>
  </w:style>
  <w:style w:type="paragraph" w:styleId="854">
    <w:name w:val="Subtitle"/>
    <w:basedOn w:val="1005"/>
    <w:next w:val="1005"/>
    <w:link w:val="855"/>
    <w:uiPriority w:val="11"/>
    <w:qFormat/>
    <w:pPr>
      <w:spacing w:before="200" w:after="200"/>
    </w:pPr>
    <w:rPr>
      <w:sz w:val="24"/>
      <w:szCs w:val="24"/>
    </w:rPr>
  </w:style>
  <w:style w:type="character" w:styleId="855">
    <w:name w:val="Subtitle Char"/>
    <w:basedOn w:val="1010"/>
    <w:link w:val="854"/>
    <w:uiPriority w:val="11"/>
    <w:rPr>
      <w:sz w:val="24"/>
      <w:szCs w:val="24"/>
    </w:rPr>
  </w:style>
  <w:style w:type="paragraph" w:styleId="856">
    <w:name w:val="Quote"/>
    <w:basedOn w:val="1005"/>
    <w:next w:val="1005"/>
    <w:link w:val="857"/>
    <w:uiPriority w:val="29"/>
    <w:qFormat/>
    <w:pPr>
      <w:ind w:left="720" w:right="720"/>
    </w:pPr>
    <w:rPr>
      <w:i/>
    </w:rPr>
  </w:style>
  <w:style w:type="character" w:styleId="857">
    <w:name w:val="Quote Char"/>
    <w:link w:val="856"/>
    <w:uiPriority w:val="29"/>
    <w:rPr>
      <w:i/>
    </w:rPr>
  </w:style>
  <w:style w:type="paragraph" w:styleId="858">
    <w:name w:val="Intense Quote"/>
    <w:basedOn w:val="1005"/>
    <w:next w:val="1005"/>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05"/>
    <w:link w:val="861"/>
    <w:uiPriority w:val="99"/>
    <w:unhideWhenUsed/>
    <w:pPr>
      <w:spacing w:after="0" w:line="240" w:lineRule="auto"/>
      <w:tabs>
        <w:tab w:val="center" w:pos="7143" w:leader="none"/>
        <w:tab w:val="right" w:pos="14287" w:leader="none"/>
      </w:tabs>
    </w:pPr>
  </w:style>
  <w:style w:type="character" w:styleId="861">
    <w:name w:val="Header Char"/>
    <w:basedOn w:val="1010"/>
    <w:link w:val="860"/>
    <w:uiPriority w:val="99"/>
  </w:style>
  <w:style w:type="character" w:styleId="862">
    <w:name w:val="Footer Char"/>
    <w:basedOn w:val="1010"/>
    <w:link w:val="1021"/>
    <w:uiPriority w:val="99"/>
  </w:style>
  <w:style w:type="paragraph" w:styleId="863">
    <w:name w:val="Caption"/>
    <w:basedOn w:val="1005"/>
    <w:next w:val="1005"/>
    <w:uiPriority w:val="35"/>
    <w:semiHidden/>
    <w:unhideWhenUsed/>
    <w:qFormat/>
    <w:pPr>
      <w:spacing w:line="276" w:lineRule="auto"/>
    </w:pPr>
    <w:rPr>
      <w:b/>
      <w:bCs/>
      <w:color w:val="4f81bd" w:themeColor="accent1"/>
      <w:sz w:val="18"/>
      <w:szCs w:val="18"/>
    </w:rPr>
  </w:style>
  <w:style w:type="character" w:styleId="864">
    <w:name w:val="Caption Char"/>
    <w:basedOn w:val="863"/>
    <w:link w:val="1021"/>
    <w:uiPriority w:val="99"/>
  </w:style>
  <w:style w:type="table" w:styleId="865">
    <w:name w:val="Table Grid"/>
    <w:basedOn w:val="10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2">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3">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4">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5">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6">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7">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7">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8">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9">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0">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1">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2">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4">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5">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6">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7">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8">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9">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8">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9">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0">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1">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2">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3">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5">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6">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7">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8">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9">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0">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2">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3">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4">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5">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6">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7">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9">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0">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1">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2">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3">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4">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22"/>
    <w:uiPriority w:val="99"/>
    <w:rPr>
      <w:sz w:val="18"/>
    </w:rPr>
  </w:style>
  <w:style w:type="character" w:styleId="992">
    <w:name w:val="footnote reference"/>
    <w:basedOn w:val="1010"/>
    <w:uiPriority w:val="99"/>
    <w:unhideWhenUsed/>
    <w:rPr>
      <w:vertAlign w:val="superscript"/>
    </w:rPr>
  </w:style>
  <w:style w:type="paragraph" w:styleId="993">
    <w:name w:val="endnote text"/>
    <w:basedOn w:val="1005"/>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10"/>
    <w:uiPriority w:val="99"/>
    <w:semiHidden/>
    <w:unhideWhenUsed/>
    <w:rPr>
      <w:vertAlign w:val="superscript"/>
    </w:rPr>
  </w:style>
  <w:style w:type="paragraph" w:styleId="996">
    <w:name w:val="toc 1"/>
    <w:basedOn w:val="1005"/>
    <w:next w:val="1005"/>
    <w:uiPriority w:val="39"/>
    <w:unhideWhenUsed/>
    <w:pPr>
      <w:ind w:left="0" w:right="0" w:firstLine="0"/>
      <w:spacing w:after="57"/>
    </w:pPr>
  </w:style>
  <w:style w:type="paragraph" w:styleId="997">
    <w:name w:val="toc 3"/>
    <w:basedOn w:val="1005"/>
    <w:next w:val="1005"/>
    <w:uiPriority w:val="39"/>
    <w:unhideWhenUsed/>
    <w:pPr>
      <w:ind w:left="567" w:right="0" w:firstLine="0"/>
      <w:spacing w:after="57"/>
    </w:pPr>
  </w:style>
  <w:style w:type="paragraph" w:styleId="998">
    <w:name w:val="toc 4"/>
    <w:basedOn w:val="1005"/>
    <w:next w:val="1005"/>
    <w:uiPriority w:val="39"/>
    <w:unhideWhenUsed/>
    <w:pPr>
      <w:ind w:left="850" w:right="0" w:firstLine="0"/>
      <w:spacing w:after="57"/>
    </w:pPr>
  </w:style>
  <w:style w:type="paragraph" w:styleId="999">
    <w:name w:val="toc 5"/>
    <w:basedOn w:val="1005"/>
    <w:next w:val="1005"/>
    <w:uiPriority w:val="39"/>
    <w:unhideWhenUsed/>
    <w:pPr>
      <w:ind w:left="1134"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link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name w:val="Heading 1"/>
    <w:basedOn w:val="1005"/>
    <w:next w:val="1005"/>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07">
    <w:name w:val="Heading 2"/>
    <w:basedOn w:val="1005"/>
    <w:next w:val="100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008">
    <w:name w:val="Heading 3"/>
    <w:basedOn w:val="1005"/>
    <w:next w:val="1005"/>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1009">
    <w:name w:val="Heading 4"/>
    <w:basedOn w:val="1005"/>
    <w:next w:val="1005"/>
    <w:uiPriority w:val="0"/>
    <w:qFormat/>
    <w:pPr>
      <w:keepLines/>
      <w:keepNext/>
      <w:spacing w:before="280" w:after="290" w:line="372" w:lineRule="auto"/>
      <w:outlineLvl w:val="3"/>
    </w:pPr>
    <w:rPr>
      <w:rFonts w:ascii="Arial" w:hAnsi="Arial" w:eastAsia="黑体"/>
      <w:b/>
      <w:bCs/>
      <w:sz w:val="28"/>
      <w:szCs w:val="28"/>
    </w:rPr>
  </w:style>
  <w:style w:type="character" w:styleId="1010" w:default="1">
    <w:name w:val="Default Paragraph Font"/>
    <w:uiPriority w:val="0"/>
    <w:semiHidden/>
    <w:qFormat/>
  </w:style>
  <w:style w:type="table" w:styleId="1011" w:default="1">
    <w:name w:val="Normal Table"/>
    <w:uiPriority w:val="0"/>
    <w:semiHidden/>
    <w:qFormat/>
    <w:tblPr>
      <w:tblCellMar>
        <w:left w:w="108" w:type="dxa"/>
        <w:top w:w="0" w:type="dxa"/>
        <w:right w:w="108" w:type="dxa"/>
        <w:bottom w:w="0" w:type="dxa"/>
      </w:tblCellMar>
    </w:tblPr>
  </w:style>
  <w:style w:type="paragraph" w:styleId="1012">
    <w:name w:val="Normal Indent"/>
    <w:basedOn w:val="1005"/>
    <w:uiPriority w:val="0"/>
    <w:qFormat/>
    <w:pPr>
      <w:ind w:firstLine="200"/>
    </w:pPr>
    <w:rPr>
      <w:sz w:val="20"/>
    </w:rPr>
  </w:style>
  <w:style w:type="paragraph" w:styleId="1013">
    <w:name w:val="index 5"/>
    <w:basedOn w:val="1005"/>
    <w:next w:val="1005"/>
    <w:uiPriority w:val="99"/>
    <w:unhideWhenUsed/>
    <w:qFormat/>
    <w:pPr>
      <w:ind w:left="1050" w:hanging="210"/>
      <w:jc w:val="left"/>
    </w:pPr>
    <w:rPr>
      <w:sz w:val="18"/>
      <w:szCs w:val="18"/>
      <w:lang w:eastAsia="zh-TW"/>
    </w:rPr>
  </w:style>
  <w:style w:type="paragraph" w:styleId="1014">
    <w:name w:val="toa heading"/>
    <w:basedOn w:val="1005"/>
    <w:next w:val="1005"/>
    <w:uiPriority w:val="0"/>
    <w:qFormat/>
    <w:pPr>
      <w:spacing w:before="120" w:beforeAutospacing="0"/>
    </w:pPr>
    <w:rPr>
      <w:rFonts w:ascii="Arial" w:hAnsi="Arial"/>
      <w:sz w:val="24"/>
    </w:rPr>
  </w:style>
  <w:style w:type="paragraph" w:styleId="1015">
    <w:name w:val="Body Text"/>
    <w:basedOn w:val="1005"/>
    <w:uiPriority w:val="0"/>
    <w:qFormat/>
    <w:pPr>
      <w:jc w:val="center"/>
    </w:pPr>
    <w:rPr>
      <w:rFonts w:eastAsia="仿宋_GB2312"/>
      <w:sz w:val="28"/>
    </w:rPr>
  </w:style>
  <w:style w:type="paragraph" w:styleId="1016">
    <w:name w:val="Body Text Indent"/>
    <w:basedOn w:val="1005"/>
    <w:next w:val="1017"/>
    <w:uiPriority w:val="0"/>
    <w:qFormat/>
    <w:pPr>
      <w:ind w:firstLine="645"/>
    </w:pPr>
    <w:rPr>
      <w:rFonts w:ascii="楷体_GB2312" w:eastAsia="楷体_GB2312"/>
      <w:sz w:val="32"/>
    </w:rPr>
  </w:style>
  <w:style w:type="paragraph" w:styleId="1017">
    <w:name w:val="envelope return"/>
    <w:basedOn w:val="1005"/>
    <w:uiPriority w:val="0"/>
    <w:qFormat/>
    <w:rPr>
      <w:rFonts w:ascii="Arial" w:hAnsi="Arial"/>
    </w:rPr>
  </w:style>
  <w:style w:type="paragraph" w:styleId="1018">
    <w:name w:val="Block Text"/>
    <w:basedOn w:val="1005"/>
    <w:uiPriority w:val="0"/>
    <w:qFormat/>
    <w:pPr>
      <w:ind w:left="420" w:right="33"/>
      <w:jc w:val="left"/>
    </w:pPr>
    <w:rPr>
      <w:rFonts w:ascii="Calibri" w:hAnsi="Calibri" w:eastAsia="宋体" w:cs="Times New Roman"/>
      <w:sz w:val="24"/>
      <w:szCs w:val="20"/>
    </w:rPr>
  </w:style>
  <w:style w:type="paragraph" w:styleId="1019">
    <w:name w:val="Plain Text"/>
    <w:basedOn w:val="1005"/>
    <w:next w:val="1005"/>
    <w:uiPriority w:val="0"/>
    <w:qFormat/>
    <w:rPr>
      <w:rFonts w:ascii="宋体"/>
      <w:szCs w:val="20"/>
    </w:rPr>
  </w:style>
  <w:style w:type="paragraph" w:styleId="1020">
    <w:name w:val="Body Text Indent 2"/>
    <w:basedOn w:val="1005"/>
    <w:uiPriority w:val="0"/>
    <w:qFormat/>
    <w:pPr>
      <w:ind w:right="-1" w:firstLine="540"/>
      <w:tabs>
        <w:tab w:val="left" w:pos="9741" w:leader="none"/>
      </w:tabs>
    </w:pPr>
    <w:rPr>
      <w:rFonts w:eastAsia="仿宋_GB2312"/>
      <w:sz w:val="28"/>
    </w:rPr>
  </w:style>
  <w:style w:type="paragraph" w:styleId="1021">
    <w:name w:val="Footer"/>
    <w:basedOn w:val="1005"/>
    <w:next w:val="1005"/>
    <w:uiPriority w:val="0"/>
    <w:qFormat/>
    <w:pPr>
      <w:jc w:val="left"/>
      <w:tabs>
        <w:tab w:val="center" w:pos="4153" w:leader="none"/>
        <w:tab w:val="right" w:pos="8306" w:leader="none"/>
      </w:tabs>
    </w:pPr>
    <w:rPr>
      <w:rFonts w:ascii="Verdana" w:hAnsi="Verdana"/>
      <w:sz w:val="18"/>
      <w:szCs w:val="18"/>
    </w:rPr>
  </w:style>
  <w:style w:type="paragraph" w:styleId="1022">
    <w:name w:val="footnote text"/>
    <w:basedOn w:val="1005"/>
    <w:next w:val="1013"/>
    <w:uiPriority w:val="0"/>
    <w:qFormat/>
    <w:pPr>
      <w:jc w:val="left"/>
      <w:spacing w:line="312" w:lineRule="atLeast"/>
    </w:pPr>
    <w:rPr>
      <w:sz w:val="18"/>
      <w:szCs w:val="20"/>
    </w:rPr>
  </w:style>
  <w:style w:type="paragraph" w:styleId="1023">
    <w:name w:val="toc 6"/>
    <w:basedOn w:val="1005"/>
    <w:next w:val="1005"/>
    <w:uiPriority w:val="39"/>
    <w:qFormat/>
    <w:pPr>
      <w:ind w:left="1050"/>
      <w:jc w:val="left"/>
    </w:pPr>
    <w:rPr>
      <w:sz w:val="18"/>
      <w:szCs w:val="18"/>
    </w:rPr>
  </w:style>
  <w:style w:type="paragraph" w:styleId="1024">
    <w:name w:val="toc 2"/>
    <w:basedOn w:val="1005"/>
    <w:next w:val="1005"/>
    <w:uiPriority w:val="0"/>
    <w:semiHidden/>
    <w:qFormat/>
    <w:pPr>
      <w:ind w:left="420"/>
    </w:pPr>
    <w:rPr>
      <w:szCs w:val="20"/>
    </w:rPr>
  </w:style>
  <w:style w:type="paragraph" w:styleId="1025">
    <w:name w:val="Normal (Web)"/>
    <w:basedOn w:val="1005"/>
    <w:uiPriority w:val="0"/>
    <w:qFormat/>
    <w:pPr>
      <w:ind w:left="0" w:right="0"/>
      <w:jc w:val="left"/>
      <w:spacing w:before="0" w:beforeAutospacing="1" w:after="0" w:afterAutospacing="1"/>
    </w:pPr>
    <w:rPr>
      <w:sz w:val="24"/>
      <w:lang w:val="en-US" w:eastAsia="zh-CN" w:bidi="ar"/>
    </w:rPr>
  </w:style>
  <w:style w:type="paragraph" w:styleId="1026">
    <w:name w:val="Body Text First Indent"/>
    <w:basedOn w:val="1015"/>
    <w:uiPriority w:val="0"/>
    <w:qFormat/>
    <w:pPr>
      <w:ind w:firstLine="420"/>
      <w:spacing w:after="120" w:line="240" w:lineRule="auto"/>
      <w:tabs>
        <w:tab w:val="left" w:pos="2020" w:leader="none"/>
        <w:tab w:val="center" w:pos="4535" w:leader="none"/>
      </w:tabs>
      <w:outlineLvl w:val="9"/>
    </w:pPr>
    <w:rPr>
      <w:rFonts w:ascii="Times New Roman" w:hAnsi="Times New Roman" w:eastAsia="宋体"/>
      <w:color w:val="auto"/>
      <w:sz w:val="21"/>
    </w:rPr>
  </w:style>
  <w:style w:type="paragraph" w:styleId="1027">
    <w:name w:val="Body Text First Indent 2"/>
    <w:basedOn w:val="1016"/>
    <w:next w:val="1028"/>
    <w:uiPriority w:val="0"/>
    <w:qFormat/>
    <w:pPr>
      <w:ind w:left="420" w:firstLine="420"/>
      <w:widowControl/>
    </w:pPr>
    <w:rPr>
      <w:rFonts w:ascii="仿宋_GB2312" w:eastAsia="仿宋_GB2312"/>
      <w:color w:val="ff6600"/>
      <w:sz w:val="21"/>
    </w:rPr>
  </w:style>
  <w:style w:type="paragraph" w:styleId="1028" w:customStyle="1">
    <w:name w:val="Default"/>
    <w:uiPriority w:val="99"/>
    <w:qFormat/>
    <w:pPr>
      <w:widowControl w:val="off"/>
    </w:pPr>
    <w:rPr>
      <w:rFonts w:ascii="宋体" w:hAnsi="Times New Roman" w:eastAsia="宋体" w:cs="宋体"/>
      <w:color w:val="000000"/>
      <w:sz w:val="24"/>
      <w:szCs w:val="24"/>
      <w:lang w:val="en-US" w:eastAsia="zh-CN" w:bidi="ar-SA"/>
    </w:rPr>
  </w:style>
  <w:style w:type="character" w:styleId="1029">
    <w:name w:val="Hyperlink"/>
    <w:basedOn w:val="1010"/>
    <w:uiPriority w:val="99"/>
    <w:qFormat/>
    <w:rPr>
      <w:color w:val="333333"/>
      <w:u w:val="none"/>
    </w:rPr>
  </w:style>
  <w:style w:type="paragraph" w:styleId="1030" w:customStyle="1">
    <w:name w:val="正文文本缩进1"/>
    <w:basedOn w:val="1005"/>
    <w:uiPriority w:val="0"/>
    <w:qFormat/>
    <w:pPr>
      <w:ind w:left="420"/>
      <w:spacing w:after="120"/>
    </w:pPr>
  </w:style>
  <w:style w:type="paragraph" w:styleId="1031" w:customStyle="1">
    <w:name w:val="正文文本1"/>
    <w:basedOn w:val="1005"/>
    <w:next w:val="1032"/>
    <w:uiPriority w:val="0"/>
    <w:qFormat/>
    <w:pPr>
      <w:jc w:val="center"/>
    </w:pPr>
    <w:rPr>
      <w:rFonts w:eastAsia="仿宋_GB2312"/>
      <w:sz w:val="28"/>
    </w:rPr>
  </w:style>
  <w:style w:type="paragraph" w:styleId="1032" w:customStyle="1">
    <w:name w:val="目录 21"/>
    <w:next w:val="1005"/>
    <w:uiPriority w:val="0"/>
    <w:qFormat/>
    <w:pPr>
      <w:jc w:val="both"/>
    </w:pPr>
    <w:rPr>
      <w:rFonts w:hint="default" w:ascii="宋体" w:hAnsi="宋体" w:eastAsia="宋体" w:cs="宋体"/>
      <w:sz w:val="21"/>
      <w:lang w:eastAsia="zh-CN"/>
    </w:rPr>
  </w:style>
  <w:style w:type="paragraph" w:styleId="1033"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1034" w:customStyle="1">
    <w:name w:val="正文首行缩进 211"/>
    <w:basedOn w:val="1035"/>
    <w:uiPriority w:val="99"/>
    <w:qFormat/>
    <w:pPr>
      <w:ind w:firstLine="420"/>
    </w:pPr>
    <w:rPr>
      <w:sz w:val="24"/>
    </w:rPr>
  </w:style>
  <w:style w:type="paragraph" w:styleId="1035" w:customStyle="1">
    <w:name w:val="正文文本缩进11"/>
    <w:basedOn w:val="1036"/>
    <w:uiPriority w:val="99"/>
    <w:qFormat/>
    <w:pPr>
      <w:ind w:firstLine="538"/>
    </w:pPr>
    <w:rPr>
      <w:sz w:val="28"/>
    </w:rPr>
  </w:style>
  <w:style w:type="paragraph" w:styleId="1036" w:customStyle="1">
    <w:name w:val="正文112"/>
    <w:next w:val="103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正文首行缩进1"/>
    <w:basedOn w:val="1031"/>
    <w:next w:val="1034"/>
    <w:uiPriority w:val="0"/>
    <w:qFormat/>
    <w:pPr>
      <w:ind w:firstLine="420"/>
      <w:spacing w:after="120"/>
      <w:tabs>
        <w:tab w:val="left" w:pos="2020" w:leader="none"/>
        <w:tab w:val="center" w:pos="4535" w:leader="none"/>
      </w:tabs>
    </w:pPr>
    <w:rPr>
      <w:sz w:val="21"/>
    </w:rPr>
  </w:style>
  <w:style w:type="character" w:styleId="1038" w:customStyle="1">
    <w:name w:val="超链接1"/>
    <w:link w:val="1005"/>
    <w:uiPriority w:val="0"/>
    <w:qFormat/>
    <w:rPr>
      <w:rFonts w:hint="default" w:ascii="Times New Roman" w:hAnsi="Times New Roman" w:eastAsia="宋体" w:cs="Times New Roman"/>
      <w:sz w:val="21"/>
      <w:szCs w:val="24"/>
      <w:lang w:val="en-US" w:eastAsia="zh-CN" w:bidi="ar-SA"/>
    </w:rPr>
  </w:style>
  <w:style w:type="paragraph" w:styleId="1039" w:customStyle="1">
    <w:name w:val="正文首行缩进 21"/>
    <w:basedOn w:val="1030"/>
    <w:uiPriority w:val="0"/>
    <w:qFormat/>
    <w:pPr>
      <w:ind w:firstLine="420"/>
    </w:pPr>
  </w:style>
  <w:style w:type="paragraph" w:styleId="1040"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1041" w:customStyle="1">
    <w:name w:val="样式 样式 左侧:  2 字符 + 左侧:  0.85 厘米 首行缩进:  2 字符1"/>
    <w:basedOn w:val="1005"/>
    <w:uiPriority w:val="0"/>
    <w:qFormat/>
    <w:pPr>
      <w:ind w:left="482" w:firstLine="200"/>
    </w:pPr>
    <w:rPr>
      <w:rFonts w:ascii="Times New Roman" w:hAnsi="Times New Roman" w:cs="宋体"/>
      <w:szCs w:val="20"/>
    </w:rPr>
  </w:style>
  <w:style w:type="paragraph" w:styleId="1042" w:customStyle="1">
    <w:name w:val="首行缩进"/>
    <w:basedOn w:val="1005"/>
    <w:uiPriority w:val="0"/>
    <w:qFormat/>
    <w:pPr>
      <w:ind w:firstLine="420"/>
      <w:spacing w:line="360" w:lineRule="auto"/>
    </w:pPr>
    <w:rPr>
      <w:sz w:val="20"/>
    </w:rPr>
  </w:style>
  <w:style w:type="paragraph" w:styleId="1043" w:customStyle="1">
    <w:name w:val="正文缩进1"/>
    <w:basedOn w:val="1005"/>
    <w:next w:val="1005"/>
    <w:uiPriority w:val="0"/>
    <w:qFormat/>
    <w:pPr>
      <w:ind w:firstLine="420"/>
    </w:pPr>
  </w:style>
  <w:style w:type="table" w:styleId="1044" w:customStyle="1">
    <w:name w:val="Table Normal"/>
    <w:uiPriority w:val="0"/>
    <w:unhideWhenUsed/>
    <w:qFormat/>
    <w:tblPr>
      <w:tblCellMar>
        <w:left w:w="0" w:type="dxa"/>
        <w:top w:w="0" w:type="dxa"/>
        <w:right w:w="0" w:type="dxa"/>
        <w:bottom w:w="0" w:type="dxa"/>
      </w:tblCellMar>
    </w:tblPr>
  </w:style>
  <w:style w:type="paragraph" w:styleId="1045" w:customStyle="1">
    <w:name w:val="Table Text"/>
    <w:basedOn w:val="1005"/>
    <w:uiPriority w:val="0"/>
    <w:semiHidden/>
    <w:qFormat/>
    <w:rPr>
      <w:rFonts w:ascii="宋体" w:hAnsi="宋体" w:eastAsia="宋体" w:cs="宋体"/>
      <w:sz w:val="24"/>
      <w:szCs w:val="24"/>
      <w:lang w:val="en-US" w:eastAsia="en-US" w:bidi="ar-SA"/>
    </w:rPr>
  </w:style>
  <w:style w:type="paragraph" w:styleId="1046" w:customStyle="1">
    <w:name w:val="普通正文"/>
    <w:basedOn w:val="1005"/>
    <w:uiPriority w:val="0"/>
    <w:qFormat/>
    <w:pPr>
      <w:ind w:firstLine="480"/>
      <w:jc w:val="left"/>
      <w:spacing w:before="120" w:after="120" w:line="360" w:lineRule="auto"/>
    </w:pPr>
    <w:rPr>
      <w:rFonts w:ascii="Arial" w:hAnsi="Arial"/>
      <w:sz w:val="24"/>
    </w:rPr>
  </w:style>
  <w:style w:type="paragraph" w:styleId="1047" w:customStyle="1">
    <w:name w:val="段"/>
    <w:basedOn w:val="1048"/>
    <w:next w:val="1005"/>
    <w:uiPriority w:val="0"/>
    <w:qFormat/>
    <w:pPr>
      <w:ind w:firstLine="200"/>
      <w:jc w:val="both"/>
    </w:pPr>
    <w:rPr>
      <w:rFonts w:hint="default" w:ascii="宋体" w:hAnsi="Times New Roman" w:eastAsia="宋体" w:cs="Times New Roman"/>
      <w:sz w:val="21"/>
      <w:szCs w:val="22"/>
    </w:rPr>
  </w:style>
  <w:style w:type="paragraph" w:styleId="1048" w:customStyle="1">
    <w:name w:val="正文13"/>
    <w:next w:val="103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1"/>
    <w:basedOn w:val="1050"/>
    <w:next w:val="1005"/>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050" w:customStyle="1">
    <w:name w:val="样式1"/>
    <w:basedOn w:val="1005"/>
    <w:uiPriority w:val="0"/>
    <w:qFormat/>
    <w:pPr>
      <w:ind w:left="432" w:firstLine="288"/>
      <w:tabs>
        <w:tab w:val="left" w:pos="1110" w:leader="none"/>
      </w:tabs>
    </w:pPr>
    <w:rPr>
      <w:rFonts w:ascii="宋体" w:hAnsi="宋体"/>
      <w:szCs w:val="21"/>
    </w:rPr>
  </w:style>
  <w:style w:type="paragraph" w:styleId="1051">
    <w:name w:val="List Paragraph"/>
    <w:basedOn w:val="1005"/>
    <w:uiPriority w:val="34"/>
    <w:qFormat/>
    <w:pPr>
      <w:ind w:firstLine="420"/>
    </w:pPr>
    <w:rPr>
      <w:szCs w:val="24"/>
    </w:rPr>
  </w:style>
  <w:style w:type="paragraph" w:styleId="1052" w:customStyle="1">
    <w:name w:val="正文_0"/>
    <w:uiPriority w:val="99"/>
    <w:qFormat/>
    <w:pPr>
      <w:jc w:val="both"/>
      <w:widowControl w:val="off"/>
    </w:pPr>
    <w:rPr>
      <w:rFonts w:ascii="Calibri" w:hAnsi="Calibri" w:eastAsia="宋体" w:cs="Times New Roman"/>
      <w:lang w:val="en-US" w:eastAsia="zh-CN" w:bidi="ar-SA"/>
    </w:rPr>
  </w:style>
  <w:style w:type="paragraph" w:styleId="1053" w:customStyle="1">
    <w:name w:val="Normal_20"/>
    <w:next w:val="1054"/>
    <w:uiPriority w:val="0"/>
    <w:qFormat/>
    <w:rPr>
      <w:rFonts w:hint="default" w:ascii="黑体" w:hAnsi="黑体" w:eastAsia="黑体" w:cs="黑体"/>
      <w:b/>
      <w:sz w:val="32"/>
      <w:szCs w:val="24"/>
      <w:lang w:val="en-US" w:eastAsia="zh-CN" w:bidi="ar-SA"/>
    </w:rPr>
  </w:style>
  <w:style w:type="paragraph" w:styleId="1054" w:customStyle="1">
    <w:name w:val="段_0"/>
    <w:next w:val="1053"/>
    <w:uiPriority w:val="0"/>
    <w:qFormat/>
    <w:pPr>
      <w:ind w:firstLine="420"/>
      <w:jc w:val="both"/>
    </w:pPr>
    <w:rPr>
      <w:rFonts w:hint="default" w:ascii="宋体" w:hAnsi="Times New Roman" w:eastAsia="宋体" w:cs="Times New Roman"/>
      <w:sz w:val="21"/>
      <w:szCs w:val="22"/>
      <w:lang w:val="en-US" w:eastAsia="zh-CN" w:bidi="ar-SA"/>
    </w:rPr>
  </w:style>
  <w:style w:type="character" w:styleId="1055" w:customStyle="1">
    <w:name w:val="NormalCharacter"/>
    <w:uiPriority w:val="0"/>
    <w:qFormat/>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夏妍</cp:lastModifiedBy>
  <cp:revision>3</cp:revision>
  <dcterms:created xsi:type="dcterms:W3CDTF">2025-04-08T01:14:00Z</dcterms:created>
  <dcterms:modified xsi:type="dcterms:W3CDTF">2026-10-20T06:53:14Z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03855962E7044602AFB2467FF944EFE2_13</vt:lpwstr>
  </property>
  <property fmtid="{D5CDD505-2E9C-101B-9397-08002B2CF9AE}" pid="4" name="KSOTemplateDocerSaveRecord">
    <vt:lpwstr>eyJoZGlkIjoiNGJiMWZkYTQ5ZWI0Y2YxNWRkOTg5MDIxNGQxYTRlMmYiLCJ1c2VySWQiOiIxMzMxNDg0NzA2In0=</vt:lpwstr>
  </property>
</Properties>
</file>