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1040" w:lineRule="exact"/>
        <w:rPr>
          <w:rFonts w:ascii="宋体" w:hAnsi="宋体" w:cs="宋体"/>
          <w:b/>
          <w:sz w:val="52"/>
          <w:szCs w:val="52"/>
        </w:rPr>
      </w:pPr>
    </w:p>
    <w:p>
      <w:pPr>
        <w:spacing w:line="1040" w:lineRule="exact"/>
        <w:jc w:val="center"/>
        <w:rPr>
          <w:rFonts w:ascii="宋体" w:hAnsi="宋体" w:cs="宋体"/>
          <w:b/>
          <w:sz w:val="72"/>
          <w:szCs w:val="72"/>
        </w:rPr>
      </w:pPr>
      <w:r>
        <w:rPr>
          <w:rFonts w:hint="eastAsia" w:ascii="宋体" w:hAnsi="宋体" w:cs="宋体"/>
          <w:b/>
          <w:sz w:val="72"/>
          <w:szCs w:val="72"/>
        </w:rPr>
        <w:t>“全流程不见面交易”</w:t>
      </w:r>
    </w:p>
    <w:p>
      <w:pPr>
        <w:spacing w:line="1040" w:lineRule="exact"/>
        <w:jc w:val="center"/>
        <w:rPr>
          <w:rFonts w:ascii="宋体" w:hAnsi="宋体" w:cs="宋体"/>
          <w:b/>
          <w:sz w:val="72"/>
          <w:szCs w:val="72"/>
        </w:rPr>
      </w:pPr>
      <w:r>
        <w:rPr>
          <w:rFonts w:hint="eastAsia" w:ascii="宋体" w:hAnsi="宋体" w:cs="宋体"/>
          <w:b/>
          <w:sz w:val="72"/>
          <w:szCs w:val="72"/>
        </w:rPr>
        <w:t>竞争性磋商文件</w:t>
      </w:r>
    </w:p>
    <w:p>
      <w:pPr>
        <w:rPr>
          <w:rFonts w:ascii="宋体" w:hAnsi="宋体" w:cs="宋体"/>
          <w:kern w:val="0"/>
          <w:sz w:val="20"/>
        </w:rPr>
      </w:pPr>
    </w:p>
    <w:p>
      <w:pPr>
        <w:pStyle w:val="33"/>
        <w:ind w:firstLine="400"/>
        <w:rPr>
          <w:rFonts w:ascii="宋体" w:hAnsi="宋体" w:cs="宋体"/>
          <w:kern w:val="0"/>
          <w:sz w:val="20"/>
        </w:rPr>
      </w:pPr>
    </w:p>
    <w:p>
      <w:pPr>
        <w:rPr>
          <w:rFonts w:ascii="宋体" w:hAnsi="宋体" w:cs="宋体"/>
          <w:kern w:val="0"/>
          <w:sz w:val="20"/>
        </w:rPr>
      </w:pPr>
    </w:p>
    <w:p>
      <w:pPr>
        <w:pStyle w:val="33"/>
        <w:ind w:firstLine="400"/>
        <w:rPr>
          <w:rFonts w:ascii="宋体" w:hAnsi="宋体" w:cs="宋体"/>
          <w:kern w:val="0"/>
          <w:sz w:val="20"/>
        </w:rPr>
      </w:pPr>
    </w:p>
    <w:p>
      <w:pPr>
        <w:rPr>
          <w:rFonts w:ascii="宋体" w:hAnsi="宋体" w:cs="宋体"/>
          <w:kern w:val="0"/>
          <w:sz w:val="20"/>
        </w:rPr>
      </w:pPr>
    </w:p>
    <w:p>
      <w:pPr>
        <w:pStyle w:val="33"/>
        <w:ind w:firstLine="400"/>
        <w:rPr>
          <w:rFonts w:ascii="宋体" w:hAnsi="宋体" w:cs="宋体"/>
          <w:kern w:val="0"/>
          <w:sz w:val="20"/>
        </w:rPr>
      </w:pPr>
    </w:p>
    <w:p/>
    <w:p>
      <w:pPr>
        <w:rPr>
          <w:rFonts w:ascii="宋体" w:hAnsi="宋体" w:cs="宋体"/>
          <w:color w:val="000000"/>
          <w:sz w:val="30"/>
          <w:szCs w:val="30"/>
        </w:rPr>
      </w:pPr>
    </w:p>
    <w:p>
      <w:pPr>
        <w:jc w:val="center"/>
        <w:rPr>
          <w:rFonts w:hint="eastAsia" w:ascii="宋体" w:hAnsi="宋体" w:eastAsia="宋体" w:cs="宋体"/>
          <w:b/>
          <w:color w:val="000000"/>
          <w:sz w:val="32"/>
          <w:szCs w:val="30"/>
          <w:highlight w:val="yellow"/>
          <w:lang w:eastAsia="zh-CN"/>
        </w:rPr>
      </w:pPr>
      <w:r>
        <w:rPr>
          <w:rFonts w:hint="eastAsia" w:ascii="宋体" w:hAnsi="宋体" w:cs="宋体"/>
          <w:b/>
          <w:color w:val="000000"/>
          <w:sz w:val="32"/>
          <w:szCs w:val="30"/>
          <w:highlight w:val="none"/>
        </w:rPr>
        <w:t>项目编号</w:t>
      </w:r>
      <w:r>
        <w:rPr>
          <w:rFonts w:hint="eastAsia" w:ascii="宋体" w:hAnsi="宋体" w:cs="宋体"/>
          <w:b/>
          <w:color w:val="000000"/>
          <w:sz w:val="32"/>
          <w:szCs w:val="30"/>
        </w:rPr>
        <w:t>：</w:t>
      </w:r>
      <w:r>
        <w:rPr>
          <w:rFonts w:hint="eastAsia" w:ascii="宋体" w:hAnsi="宋体" w:cs="宋体"/>
          <w:b/>
          <w:color w:val="000000"/>
          <w:sz w:val="32"/>
          <w:szCs w:val="30"/>
          <w:lang w:eastAsia="zh-CN"/>
        </w:rPr>
        <w:t>HAZC-2023080244-XY</w:t>
      </w:r>
    </w:p>
    <w:p>
      <w:pPr>
        <w:pStyle w:val="34"/>
        <w:rPr>
          <w:rFonts w:ascii="宋体" w:hAnsi="宋体" w:eastAsia="宋体" w:cs="宋体"/>
          <w:color w:val="000000"/>
          <w:sz w:val="20"/>
          <w:szCs w:val="20"/>
          <w:lang w:val="en-US"/>
        </w:rPr>
      </w:pPr>
    </w:p>
    <w:p>
      <w:pPr>
        <w:pStyle w:val="34"/>
        <w:rPr>
          <w:rFonts w:ascii="宋体" w:hAnsi="宋体" w:eastAsia="宋体" w:cs="宋体"/>
          <w:color w:val="000000"/>
          <w:sz w:val="20"/>
          <w:szCs w:val="20"/>
          <w:lang w:val="en-US"/>
        </w:rPr>
      </w:pPr>
    </w:p>
    <w:p>
      <w:pPr>
        <w:pStyle w:val="34"/>
        <w:rPr>
          <w:rFonts w:ascii="宋体" w:hAnsi="宋体" w:eastAsia="宋体" w:cs="宋体"/>
          <w:color w:val="000000"/>
          <w:sz w:val="20"/>
          <w:szCs w:val="20"/>
          <w:lang w:val="en-US"/>
        </w:rPr>
      </w:pPr>
    </w:p>
    <w:p>
      <w:pPr>
        <w:pStyle w:val="34"/>
        <w:rPr>
          <w:rFonts w:ascii="宋体" w:hAnsi="宋体" w:eastAsia="宋体" w:cs="宋体"/>
          <w:color w:val="000000"/>
          <w:sz w:val="20"/>
          <w:szCs w:val="20"/>
          <w:lang w:val="en-US"/>
        </w:rPr>
      </w:pPr>
    </w:p>
    <w:p>
      <w:pPr>
        <w:pStyle w:val="34"/>
        <w:rPr>
          <w:rFonts w:ascii="宋体" w:hAnsi="宋体" w:eastAsia="宋体" w:cs="宋体"/>
          <w:color w:val="000000"/>
          <w:sz w:val="20"/>
          <w:szCs w:val="20"/>
          <w:lang w:val="en-US"/>
        </w:rPr>
      </w:pPr>
    </w:p>
    <w:p>
      <w:pPr>
        <w:pStyle w:val="34"/>
        <w:rPr>
          <w:rFonts w:ascii="宋体" w:hAnsi="宋体" w:eastAsia="宋体" w:cs="宋体"/>
          <w:color w:val="000000"/>
          <w:sz w:val="20"/>
          <w:szCs w:val="20"/>
          <w:lang w:val="en-US"/>
        </w:rPr>
      </w:pPr>
    </w:p>
    <w:p>
      <w:pPr>
        <w:pStyle w:val="34"/>
        <w:rPr>
          <w:rFonts w:ascii="宋体" w:hAnsi="宋体" w:eastAsia="宋体" w:cs="宋体"/>
          <w:color w:val="000000"/>
          <w:sz w:val="20"/>
          <w:szCs w:val="20"/>
          <w:lang w:val="en-US"/>
        </w:rPr>
      </w:pPr>
    </w:p>
    <w:p>
      <w:pPr>
        <w:pStyle w:val="34"/>
        <w:rPr>
          <w:rFonts w:ascii="宋体" w:hAnsi="宋体" w:eastAsia="宋体" w:cs="宋体"/>
          <w:color w:val="000000"/>
          <w:sz w:val="20"/>
          <w:szCs w:val="20"/>
          <w:lang w:val="en-US"/>
        </w:rPr>
      </w:pPr>
    </w:p>
    <w:p>
      <w:pPr>
        <w:spacing w:line="360" w:lineRule="auto"/>
        <w:ind w:firstLine="1269" w:firstLineChars="395"/>
        <w:rPr>
          <w:rFonts w:ascii="宋体" w:hAnsi="宋体" w:cs="宋体"/>
          <w:b/>
          <w:bCs/>
          <w:color w:val="000000"/>
          <w:sz w:val="32"/>
        </w:rPr>
      </w:pPr>
    </w:p>
    <w:p>
      <w:pPr>
        <w:spacing w:line="360" w:lineRule="auto"/>
        <w:ind w:firstLine="900" w:firstLineChars="300"/>
        <w:jc w:val="left"/>
        <w:rPr>
          <w:rFonts w:hint="eastAsia" w:ascii="宋体" w:hAnsi="宋体" w:eastAsia="宋体" w:cs="宋体"/>
          <w:color w:val="000000"/>
          <w:sz w:val="30"/>
          <w:szCs w:val="30"/>
          <w:lang w:eastAsia="zh-CN"/>
        </w:rPr>
      </w:pPr>
      <w:r>
        <w:rPr>
          <w:rFonts w:hint="eastAsia" w:ascii="宋体" w:hAnsi="宋体" w:cs="宋体"/>
          <w:color w:val="000000"/>
          <w:sz w:val="30"/>
          <w:szCs w:val="30"/>
        </w:rPr>
        <w:t>项目名称：</w:t>
      </w:r>
      <w:r>
        <w:rPr>
          <w:rFonts w:hint="eastAsia" w:ascii="宋体" w:hAnsi="宋体" w:cs="宋体"/>
          <w:color w:val="000000"/>
          <w:sz w:val="30"/>
          <w:szCs w:val="30"/>
          <w:lang w:eastAsia="zh-CN"/>
        </w:rPr>
        <w:t>江苏省盱眙中学人工智能创新实验室采购项目</w:t>
      </w:r>
    </w:p>
    <w:p>
      <w:pPr>
        <w:spacing w:line="360" w:lineRule="auto"/>
        <w:ind w:firstLine="900" w:firstLineChars="300"/>
        <w:rPr>
          <w:rFonts w:hint="eastAsia" w:ascii="宋体" w:hAnsi="宋体" w:cs="宋体"/>
          <w:color w:val="000000"/>
          <w:sz w:val="30"/>
          <w:szCs w:val="30"/>
          <w:lang w:eastAsia="zh-CN"/>
        </w:rPr>
      </w:pPr>
      <w:r>
        <w:rPr>
          <w:rFonts w:hint="eastAsia" w:ascii="宋体" w:hAnsi="宋体" w:cs="宋体"/>
          <w:color w:val="000000"/>
          <w:sz w:val="30"/>
          <w:szCs w:val="30"/>
        </w:rPr>
        <w:t>采 购 人：</w:t>
      </w:r>
      <w:r>
        <w:rPr>
          <w:rFonts w:hint="eastAsia" w:ascii="宋体" w:hAnsi="宋体" w:cs="宋体"/>
          <w:color w:val="000000"/>
          <w:sz w:val="30"/>
          <w:szCs w:val="30"/>
          <w:lang w:eastAsia="zh-CN"/>
        </w:rPr>
        <w:t>江苏省盱眙中学</w:t>
      </w:r>
    </w:p>
    <w:p>
      <w:pPr>
        <w:spacing w:line="360" w:lineRule="auto"/>
        <w:ind w:firstLine="900" w:firstLineChars="300"/>
        <w:rPr>
          <w:rFonts w:ascii="宋体" w:hAnsi="宋体" w:cs="宋体"/>
          <w:color w:val="000000"/>
          <w:sz w:val="30"/>
          <w:szCs w:val="30"/>
        </w:rPr>
      </w:pPr>
      <w:r>
        <w:rPr>
          <w:rFonts w:hint="eastAsia" w:ascii="宋体" w:hAnsi="宋体" w:cs="宋体"/>
          <w:color w:val="000000"/>
          <w:sz w:val="30"/>
          <w:szCs w:val="30"/>
        </w:rPr>
        <w:t>采购代理机构：江苏骏通建设项目管理咨询有限公司</w:t>
      </w:r>
    </w:p>
    <w:p>
      <w:pPr>
        <w:spacing w:line="360" w:lineRule="auto"/>
        <w:rPr>
          <w:rFonts w:ascii="宋体" w:hAnsi="宋体" w:cs="宋体"/>
          <w:b/>
          <w:bCs/>
          <w:color w:val="000000"/>
          <w:sz w:val="32"/>
        </w:rPr>
      </w:pPr>
    </w:p>
    <w:p>
      <w:pPr>
        <w:spacing w:line="360" w:lineRule="auto"/>
        <w:rPr>
          <w:rFonts w:ascii="宋体" w:hAnsi="宋体" w:cs="宋体"/>
          <w:b/>
          <w:bCs/>
          <w:color w:val="000000"/>
          <w:sz w:val="32"/>
        </w:rPr>
      </w:pPr>
    </w:p>
    <w:p>
      <w:pPr>
        <w:spacing w:line="360" w:lineRule="auto"/>
        <w:jc w:val="center"/>
        <w:rPr>
          <w:rFonts w:ascii="宋体" w:hAnsi="宋体" w:cs="宋体"/>
          <w:color w:val="000000"/>
          <w:sz w:val="30"/>
          <w:szCs w:val="30"/>
        </w:rPr>
      </w:pPr>
      <w:r>
        <w:rPr>
          <w:rFonts w:hint="eastAsia" w:ascii="宋体" w:hAnsi="宋体" w:cs="宋体"/>
          <w:color w:val="000000"/>
          <w:sz w:val="30"/>
          <w:szCs w:val="30"/>
        </w:rPr>
        <w:t>2023年</w:t>
      </w:r>
      <w:r>
        <w:rPr>
          <w:rFonts w:hint="eastAsia" w:ascii="宋体" w:hAnsi="宋体" w:cs="宋体"/>
          <w:color w:val="000000"/>
          <w:sz w:val="30"/>
          <w:szCs w:val="30"/>
          <w:lang w:val="en-US" w:eastAsia="zh-CN"/>
        </w:rPr>
        <w:t>9</w:t>
      </w:r>
      <w:r>
        <w:rPr>
          <w:rFonts w:hint="eastAsia" w:ascii="宋体" w:hAnsi="宋体" w:cs="宋体"/>
          <w:color w:val="000000"/>
          <w:sz w:val="30"/>
          <w:szCs w:val="30"/>
        </w:rPr>
        <w:t>月</w:t>
      </w:r>
    </w:p>
    <w:p>
      <w:pPr>
        <w:pStyle w:val="33"/>
        <w:ind w:firstLine="480"/>
        <w:jc w:val="center"/>
        <w:rPr>
          <w:rFonts w:ascii="宋体" w:hAnsi="宋体" w:cs="宋体"/>
          <w:color w:val="000000"/>
          <w:sz w:val="32"/>
          <w:highlight w:val="yellow"/>
        </w:rPr>
      </w:pPr>
      <w:r>
        <w:br w:type="page"/>
      </w:r>
      <w:r>
        <w:rPr>
          <w:rFonts w:hint="eastAsia" w:ascii="宋体" w:hAnsi="宋体" w:cs="宋体"/>
          <w:b/>
          <w:color w:val="000000"/>
          <w:sz w:val="44"/>
        </w:rPr>
        <w:t>前附表</w:t>
      </w:r>
    </w:p>
    <w:tbl>
      <w:tblPr>
        <w:tblStyle w:val="17"/>
        <w:tblW w:w="9736" w:type="dxa"/>
        <w:jc w:val="center"/>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Layout w:type="fixed"/>
        <w:tblCellMar>
          <w:top w:w="0" w:type="dxa"/>
          <w:left w:w="108" w:type="dxa"/>
          <w:bottom w:w="0" w:type="dxa"/>
          <w:right w:w="108" w:type="dxa"/>
        </w:tblCellMar>
      </w:tblPr>
      <w:tblGrid>
        <w:gridCol w:w="751"/>
        <w:gridCol w:w="1849"/>
        <w:gridCol w:w="7136"/>
      </w:tblGrid>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459" w:hRule="atLeast"/>
          <w:jc w:val="center"/>
        </w:trPr>
        <w:tc>
          <w:tcPr>
            <w:tcW w:w="751"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312" w:lineRule="auto"/>
              <w:jc w:val="center"/>
              <w:rPr>
                <w:rFonts w:ascii="宋体" w:hAnsi="宋体" w:cs="宋体"/>
                <w:b/>
                <w:color w:val="000000"/>
                <w:sz w:val="24"/>
                <w:lang w:val="zh-CN"/>
              </w:rPr>
            </w:pPr>
            <w:r>
              <w:rPr>
                <w:rFonts w:hint="eastAsia" w:ascii="宋体" w:hAnsi="宋体" w:cs="宋体"/>
                <w:b/>
                <w:color w:val="000000"/>
                <w:sz w:val="24"/>
                <w:lang w:val="zh-CN"/>
              </w:rPr>
              <w:t>项号</w:t>
            </w:r>
          </w:p>
        </w:tc>
        <w:tc>
          <w:tcPr>
            <w:tcW w:w="1849"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312" w:lineRule="auto"/>
              <w:jc w:val="center"/>
              <w:rPr>
                <w:rFonts w:ascii="宋体" w:hAnsi="宋体" w:cs="宋体"/>
                <w:b/>
                <w:color w:val="000000"/>
                <w:sz w:val="24"/>
                <w:lang w:val="zh-CN"/>
              </w:rPr>
            </w:pPr>
            <w:r>
              <w:rPr>
                <w:rFonts w:hint="eastAsia" w:ascii="宋体" w:hAnsi="宋体" w:cs="宋体"/>
                <w:b/>
                <w:color w:val="000000"/>
                <w:sz w:val="24"/>
                <w:lang w:val="zh-CN"/>
              </w:rPr>
              <w:t>名称</w:t>
            </w:r>
          </w:p>
        </w:tc>
        <w:tc>
          <w:tcPr>
            <w:tcW w:w="7136"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312" w:lineRule="auto"/>
              <w:jc w:val="center"/>
              <w:rPr>
                <w:rFonts w:ascii="宋体" w:hAnsi="宋体" w:cs="宋体"/>
                <w:b/>
                <w:color w:val="000000"/>
                <w:sz w:val="24"/>
              </w:rPr>
            </w:pPr>
            <w:r>
              <w:rPr>
                <w:rFonts w:hint="eastAsia" w:ascii="宋体" w:hAnsi="宋体" w:cs="宋体"/>
                <w:b/>
                <w:color w:val="000000"/>
                <w:sz w:val="24"/>
                <w:lang w:val="zh-CN"/>
              </w:rPr>
              <w:t>内      容</w:t>
            </w:r>
          </w:p>
        </w:tc>
      </w:tr>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520" w:hRule="atLeast"/>
          <w:jc w:val="center"/>
        </w:trPr>
        <w:tc>
          <w:tcPr>
            <w:tcW w:w="751"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312" w:lineRule="auto"/>
              <w:jc w:val="center"/>
              <w:rPr>
                <w:rFonts w:ascii="宋体" w:hAnsi="宋体" w:cs="宋体"/>
                <w:color w:val="000000"/>
                <w:sz w:val="24"/>
              </w:rPr>
            </w:pPr>
            <w:r>
              <w:rPr>
                <w:rFonts w:hint="eastAsia" w:ascii="宋体" w:hAnsi="宋体" w:cs="宋体"/>
                <w:color w:val="000000"/>
                <w:sz w:val="24"/>
              </w:rPr>
              <w:t>1</w:t>
            </w:r>
          </w:p>
        </w:tc>
        <w:tc>
          <w:tcPr>
            <w:tcW w:w="1849"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312" w:lineRule="auto"/>
              <w:jc w:val="center"/>
              <w:rPr>
                <w:rFonts w:ascii="宋体" w:hAnsi="宋体" w:cs="宋体"/>
                <w:color w:val="000000"/>
                <w:sz w:val="24"/>
              </w:rPr>
            </w:pPr>
            <w:r>
              <w:rPr>
                <w:rFonts w:hint="eastAsia" w:ascii="宋体" w:hAnsi="宋体" w:cs="宋体"/>
                <w:color w:val="000000"/>
                <w:sz w:val="24"/>
              </w:rPr>
              <w:t>采购人</w:t>
            </w:r>
          </w:p>
        </w:tc>
        <w:tc>
          <w:tcPr>
            <w:tcW w:w="7136"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312" w:lineRule="auto"/>
              <w:jc w:val="left"/>
              <w:rPr>
                <w:rFonts w:hint="eastAsia" w:ascii="宋体" w:hAnsi="宋体" w:eastAsia="宋体" w:cs="宋体"/>
                <w:color w:val="000000"/>
                <w:sz w:val="24"/>
                <w:lang w:eastAsia="zh-CN"/>
              </w:rPr>
            </w:pPr>
            <w:r>
              <w:rPr>
                <w:rFonts w:hint="eastAsia" w:ascii="宋体" w:hAnsi="宋体" w:cs="宋体"/>
                <w:color w:val="000000"/>
                <w:sz w:val="24"/>
                <w:lang w:eastAsia="zh-CN"/>
              </w:rPr>
              <w:t>江苏省盱眙中学</w:t>
            </w:r>
          </w:p>
        </w:tc>
      </w:tr>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552" w:hRule="atLeast"/>
          <w:jc w:val="center"/>
        </w:trPr>
        <w:tc>
          <w:tcPr>
            <w:tcW w:w="751"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312" w:lineRule="auto"/>
              <w:jc w:val="center"/>
              <w:rPr>
                <w:rFonts w:ascii="宋体" w:hAnsi="宋体" w:cs="宋体"/>
                <w:color w:val="000000"/>
                <w:sz w:val="24"/>
              </w:rPr>
            </w:pPr>
            <w:r>
              <w:rPr>
                <w:rFonts w:hint="eastAsia" w:ascii="宋体" w:hAnsi="宋体" w:cs="宋体"/>
                <w:color w:val="000000"/>
                <w:sz w:val="24"/>
              </w:rPr>
              <w:t>2</w:t>
            </w:r>
          </w:p>
        </w:tc>
        <w:tc>
          <w:tcPr>
            <w:tcW w:w="1849"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312" w:lineRule="auto"/>
              <w:jc w:val="center"/>
              <w:rPr>
                <w:rFonts w:ascii="宋体" w:hAnsi="宋体" w:cs="宋体"/>
                <w:color w:val="000000"/>
                <w:sz w:val="24"/>
              </w:rPr>
            </w:pPr>
            <w:r>
              <w:rPr>
                <w:rFonts w:hint="eastAsia" w:ascii="宋体" w:hAnsi="宋体" w:cs="宋体"/>
                <w:color w:val="000000"/>
                <w:sz w:val="24"/>
              </w:rPr>
              <w:t>采购代理机构</w:t>
            </w:r>
          </w:p>
        </w:tc>
        <w:tc>
          <w:tcPr>
            <w:tcW w:w="7136"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312" w:lineRule="auto"/>
              <w:jc w:val="left"/>
              <w:rPr>
                <w:rFonts w:ascii="宋体" w:hAnsi="宋体" w:cs="宋体"/>
                <w:color w:val="000000"/>
                <w:sz w:val="24"/>
              </w:rPr>
            </w:pPr>
            <w:r>
              <w:rPr>
                <w:rFonts w:hint="eastAsia" w:ascii="宋体" w:hAnsi="宋体" w:cs="宋体"/>
                <w:color w:val="000000"/>
                <w:sz w:val="24"/>
              </w:rPr>
              <w:t>江苏骏通建设项目管理咨询有限公司</w:t>
            </w:r>
          </w:p>
        </w:tc>
      </w:tr>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520" w:hRule="atLeast"/>
          <w:jc w:val="center"/>
        </w:trPr>
        <w:tc>
          <w:tcPr>
            <w:tcW w:w="751"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312" w:lineRule="auto"/>
              <w:jc w:val="center"/>
              <w:rPr>
                <w:rFonts w:ascii="宋体" w:hAnsi="宋体" w:cs="宋体"/>
                <w:color w:val="000000"/>
                <w:sz w:val="24"/>
              </w:rPr>
            </w:pPr>
            <w:r>
              <w:rPr>
                <w:rFonts w:hint="eastAsia" w:ascii="宋体" w:hAnsi="宋体" w:cs="宋体"/>
                <w:color w:val="000000"/>
                <w:sz w:val="24"/>
              </w:rPr>
              <w:t>3</w:t>
            </w:r>
          </w:p>
        </w:tc>
        <w:tc>
          <w:tcPr>
            <w:tcW w:w="1849"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312" w:lineRule="auto"/>
              <w:jc w:val="center"/>
              <w:rPr>
                <w:rFonts w:ascii="宋体" w:hAnsi="宋体" w:cs="宋体"/>
                <w:color w:val="000000"/>
                <w:sz w:val="24"/>
                <w:highlight w:val="yellow"/>
              </w:rPr>
            </w:pPr>
            <w:r>
              <w:rPr>
                <w:rFonts w:hint="eastAsia" w:ascii="宋体" w:hAnsi="宋体" w:cs="宋体"/>
                <w:color w:val="000000"/>
                <w:sz w:val="24"/>
                <w:highlight w:val="none"/>
              </w:rPr>
              <w:t>项目编号</w:t>
            </w:r>
          </w:p>
        </w:tc>
        <w:tc>
          <w:tcPr>
            <w:tcW w:w="7136"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312" w:lineRule="auto"/>
              <w:jc w:val="left"/>
              <w:rPr>
                <w:rFonts w:ascii="宋体" w:hAnsi="宋体" w:cs="宋体"/>
                <w:color w:val="000000"/>
                <w:sz w:val="24"/>
              </w:rPr>
            </w:pPr>
            <w:r>
              <w:rPr>
                <w:rFonts w:hint="eastAsia" w:ascii="宋体" w:hAnsi="宋体" w:cs="宋体"/>
                <w:color w:val="000000"/>
                <w:sz w:val="24"/>
                <w:lang w:eastAsia="zh-CN"/>
              </w:rPr>
              <w:t>HAZC-2023080244-XY</w:t>
            </w:r>
            <w:r>
              <w:rPr>
                <w:rFonts w:hint="eastAsia" w:ascii="宋体" w:hAnsi="宋体" w:cs="宋体"/>
                <w:color w:val="000000"/>
                <w:sz w:val="24"/>
              </w:rPr>
              <w:t xml:space="preserve"> </w:t>
            </w:r>
          </w:p>
        </w:tc>
      </w:tr>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538" w:hRule="atLeast"/>
          <w:jc w:val="center"/>
        </w:trPr>
        <w:tc>
          <w:tcPr>
            <w:tcW w:w="751"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312" w:lineRule="auto"/>
              <w:jc w:val="center"/>
              <w:rPr>
                <w:rFonts w:ascii="宋体" w:hAnsi="宋体" w:cs="宋体"/>
                <w:color w:val="000000"/>
                <w:sz w:val="24"/>
              </w:rPr>
            </w:pPr>
            <w:r>
              <w:rPr>
                <w:rFonts w:hint="eastAsia" w:ascii="宋体" w:hAnsi="宋体" w:cs="宋体"/>
                <w:color w:val="000000"/>
                <w:sz w:val="24"/>
              </w:rPr>
              <w:t>4</w:t>
            </w:r>
          </w:p>
        </w:tc>
        <w:tc>
          <w:tcPr>
            <w:tcW w:w="1849"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312" w:lineRule="auto"/>
              <w:jc w:val="center"/>
              <w:rPr>
                <w:rFonts w:ascii="宋体" w:hAnsi="宋体" w:cs="宋体"/>
                <w:color w:val="000000"/>
                <w:sz w:val="24"/>
              </w:rPr>
            </w:pPr>
            <w:r>
              <w:rPr>
                <w:rFonts w:hint="eastAsia" w:ascii="宋体" w:hAnsi="宋体" w:cs="宋体"/>
                <w:color w:val="000000"/>
                <w:sz w:val="24"/>
              </w:rPr>
              <w:t>招标内容</w:t>
            </w:r>
          </w:p>
        </w:tc>
        <w:tc>
          <w:tcPr>
            <w:tcW w:w="7136"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312" w:lineRule="auto"/>
              <w:jc w:val="left"/>
              <w:rPr>
                <w:rFonts w:hint="eastAsia" w:ascii="宋体" w:hAnsi="宋体" w:eastAsia="宋体" w:cs="宋体"/>
                <w:color w:val="000000"/>
                <w:sz w:val="24"/>
                <w:lang w:eastAsia="zh-CN"/>
              </w:rPr>
            </w:pPr>
            <w:r>
              <w:rPr>
                <w:rFonts w:hint="eastAsia" w:ascii="宋体" w:hAnsi="宋体" w:cs="宋体"/>
                <w:color w:val="000000"/>
                <w:sz w:val="24"/>
                <w:lang w:eastAsia="zh-CN"/>
              </w:rPr>
              <w:t>江苏省盱眙中学人工智能创新实验室采购项目</w:t>
            </w:r>
          </w:p>
        </w:tc>
      </w:tr>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549" w:hRule="atLeast"/>
          <w:jc w:val="center"/>
        </w:trPr>
        <w:tc>
          <w:tcPr>
            <w:tcW w:w="751"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312" w:lineRule="auto"/>
              <w:jc w:val="center"/>
              <w:rPr>
                <w:rFonts w:ascii="宋体" w:hAnsi="宋体" w:cs="宋体"/>
                <w:color w:val="000000"/>
                <w:sz w:val="24"/>
              </w:rPr>
            </w:pPr>
            <w:r>
              <w:rPr>
                <w:rFonts w:hint="eastAsia" w:ascii="宋体" w:hAnsi="宋体" w:cs="宋体"/>
                <w:color w:val="000000"/>
                <w:sz w:val="24"/>
              </w:rPr>
              <w:t>5</w:t>
            </w:r>
          </w:p>
        </w:tc>
        <w:tc>
          <w:tcPr>
            <w:tcW w:w="1849"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312" w:lineRule="auto"/>
              <w:jc w:val="center"/>
              <w:rPr>
                <w:rFonts w:ascii="宋体" w:hAnsi="宋体" w:cs="宋体"/>
                <w:color w:val="000000"/>
                <w:sz w:val="24"/>
              </w:rPr>
            </w:pPr>
            <w:r>
              <w:rPr>
                <w:rFonts w:hint="eastAsia" w:ascii="宋体" w:hAnsi="宋体" w:cs="宋体"/>
                <w:color w:val="000000"/>
                <w:sz w:val="24"/>
              </w:rPr>
              <w:t>采购预算价</w:t>
            </w:r>
          </w:p>
        </w:tc>
        <w:tc>
          <w:tcPr>
            <w:tcW w:w="7136"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312" w:lineRule="auto"/>
              <w:jc w:val="left"/>
              <w:rPr>
                <w:rFonts w:ascii="宋体" w:hAnsi="宋体" w:cs="宋体"/>
                <w:b/>
                <w:color w:val="000000"/>
                <w:sz w:val="24"/>
                <w:highlight w:val="yellow"/>
              </w:rPr>
            </w:pPr>
            <w:r>
              <w:rPr>
                <w:rFonts w:hint="eastAsia" w:ascii="宋体" w:hAnsi="宋体" w:cs="宋体"/>
                <w:color w:val="000000"/>
                <w:sz w:val="24"/>
                <w:lang w:val="en-US" w:eastAsia="zh-CN"/>
              </w:rPr>
              <w:t>51万元</w:t>
            </w:r>
          </w:p>
        </w:tc>
      </w:tr>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602" w:hRule="atLeast"/>
          <w:jc w:val="center"/>
        </w:trPr>
        <w:tc>
          <w:tcPr>
            <w:tcW w:w="751"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312" w:lineRule="auto"/>
              <w:jc w:val="center"/>
              <w:rPr>
                <w:rFonts w:ascii="宋体" w:hAnsi="宋体" w:cs="宋体"/>
                <w:color w:val="000000"/>
                <w:sz w:val="24"/>
              </w:rPr>
            </w:pPr>
            <w:r>
              <w:rPr>
                <w:rFonts w:hint="eastAsia" w:ascii="宋体" w:hAnsi="宋体" w:cs="宋体"/>
                <w:color w:val="000000"/>
                <w:sz w:val="24"/>
              </w:rPr>
              <w:t>6</w:t>
            </w:r>
          </w:p>
        </w:tc>
        <w:tc>
          <w:tcPr>
            <w:tcW w:w="1849"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312" w:lineRule="auto"/>
              <w:jc w:val="center"/>
              <w:rPr>
                <w:rFonts w:ascii="宋体" w:hAnsi="宋体" w:cs="宋体"/>
                <w:color w:val="000000"/>
                <w:sz w:val="24"/>
              </w:rPr>
            </w:pPr>
            <w:r>
              <w:rPr>
                <w:rFonts w:hint="eastAsia" w:ascii="宋体" w:hAnsi="宋体" w:cs="宋体"/>
                <w:color w:val="000000"/>
                <w:sz w:val="24"/>
              </w:rPr>
              <w:t>投标有效期</w:t>
            </w:r>
          </w:p>
        </w:tc>
        <w:tc>
          <w:tcPr>
            <w:tcW w:w="7136"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312" w:lineRule="auto"/>
              <w:jc w:val="left"/>
              <w:rPr>
                <w:rFonts w:ascii="宋体" w:hAnsi="宋体" w:cs="宋体"/>
                <w:color w:val="FF0000"/>
                <w:sz w:val="24"/>
              </w:rPr>
            </w:pPr>
            <w:r>
              <w:rPr>
                <w:rFonts w:hint="eastAsia" w:ascii="宋体" w:hAnsi="宋体" w:cs="宋体"/>
                <w:color w:val="000000"/>
                <w:sz w:val="24"/>
              </w:rPr>
              <w:t>九十日历天</w:t>
            </w:r>
          </w:p>
        </w:tc>
      </w:tr>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505" w:hRule="atLeast"/>
          <w:jc w:val="center"/>
        </w:trPr>
        <w:tc>
          <w:tcPr>
            <w:tcW w:w="751"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312" w:lineRule="auto"/>
              <w:jc w:val="center"/>
              <w:rPr>
                <w:rFonts w:ascii="宋体" w:hAnsi="宋体" w:cs="宋体"/>
                <w:color w:val="000000"/>
                <w:sz w:val="24"/>
              </w:rPr>
            </w:pPr>
            <w:r>
              <w:rPr>
                <w:rFonts w:hint="eastAsia" w:ascii="宋体" w:hAnsi="宋体" w:cs="宋体"/>
                <w:color w:val="000000"/>
                <w:sz w:val="24"/>
              </w:rPr>
              <w:t>7</w:t>
            </w:r>
          </w:p>
        </w:tc>
        <w:tc>
          <w:tcPr>
            <w:tcW w:w="1849"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312" w:lineRule="auto"/>
              <w:jc w:val="center"/>
              <w:rPr>
                <w:rFonts w:ascii="宋体" w:hAnsi="宋体" w:cs="宋体"/>
                <w:color w:val="000000"/>
                <w:sz w:val="24"/>
              </w:rPr>
            </w:pPr>
            <w:r>
              <w:rPr>
                <w:rFonts w:hint="eastAsia" w:ascii="宋体" w:hAnsi="宋体" w:cs="宋体"/>
                <w:color w:val="000000"/>
                <w:sz w:val="24"/>
              </w:rPr>
              <w:t>履约保证金</w:t>
            </w:r>
          </w:p>
        </w:tc>
        <w:tc>
          <w:tcPr>
            <w:tcW w:w="7136"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312" w:lineRule="auto"/>
              <w:jc w:val="left"/>
              <w:rPr>
                <w:rFonts w:ascii="宋体" w:hAnsi="宋体" w:cs="宋体"/>
                <w:color w:val="000000"/>
                <w:sz w:val="24"/>
              </w:rPr>
            </w:pPr>
            <w:r>
              <w:rPr>
                <w:rFonts w:hint="eastAsia" w:ascii="宋体" w:hAnsi="宋体" w:cs="宋体"/>
                <w:color w:val="000000"/>
                <w:sz w:val="24"/>
                <w:lang w:val="zh-CN"/>
              </w:rPr>
              <w:t>成交价的</w:t>
            </w:r>
            <w:r>
              <w:rPr>
                <w:rFonts w:hint="eastAsia" w:ascii="宋体" w:hAnsi="宋体" w:cs="宋体"/>
                <w:color w:val="000000"/>
                <w:sz w:val="24"/>
              </w:rPr>
              <w:t>1</w:t>
            </w:r>
            <w:r>
              <w:rPr>
                <w:rFonts w:hint="eastAsia" w:ascii="宋体" w:hAnsi="宋体" w:cs="宋体"/>
                <w:color w:val="000000"/>
                <w:sz w:val="24"/>
                <w:lang w:val="zh-CN"/>
              </w:rPr>
              <w:t>%</w:t>
            </w:r>
          </w:p>
        </w:tc>
      </w:tr>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496" w:hRule="atLeast"/>
          <w:jc w:val="center"/>
        </w:trPr>
        <w:tc>
          <w:tcPr>
            <w:tcW w:w="751"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312" w:lineRule="auto"/>
              <w:jc w:val="center"/>
              <w:rPr>
                <w:rFonts w:ascii="宋体" w:hAnsi="宋体" w:cs="宋体"/>
                <w:color w:val="000000"/>
                <w:sz w:val="24"/>
              </w:rPr>
            </w:pPr>
            <w:r>
              <w:rPr>
                <w:rFonts w:hint="eastAsia" w:ascii="宋体" w:hAnsi="宋体" w:cs="宋体"/>
                <w:color w:val="000000"/>
                <w:sz w:val="24"/>
              </w:rPr>
              <w:t>8</w:t>
            </w:r>
          </w:p>
        </w:tc>
        <w:tc>
          <w:tcPr>
            <w:tcW w:w="1849"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312" w:lineRule="auto"/>
              <w:jc w:val="center"/>
              <w:rPr>
                <w:rFonts w:ascii="宋体" w:hAnsi="宋体" w:cs="宋体"/>
                <w:color w:val="000000"/>
                <w:sz w:val="24"/>
              </w:rPr>
            </w:pPr>
            <w:r>
              <w:rPr>
                <w:rFonts w:hint="eastAsia" w:ascii="宋体" w:hAnsi="宋体" w:cs="宋体"/>
                <w:sz w:val="24"/>
                <w:highlight w:val="none"/>
              </w:rPr>
              <w:t>付款方式</w:t>
            </w:r>
          </w:p>
        </w:tc>
        <w:tc>
          <w:tcPr>
            <w:tcW w:w="7136"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312" w:lineRule="auto"/>
              <w:jc w:val="left"/>
              <w:rPr>
                <w:rFonts w:hint="eastAsia" w:ascii="宋体" w:hAnsi="宋体" w:eastAsia="宋体" w:cs="宋体"/>
                <w:color w:val="auto"/>
                <w:sz w:val="24"/>
                <w:lang w:val="en-US" w:eastAsia="zh-CN"/>
              </w:rPr>
            </w:pPr>
            <w:r>
              <w:rPr>
                <w:rFonts w:hint="eastAsia" w:ascii="宋体" w:hAnsi="宋体" w:cs="宋体"/>
                <w:color w:val="auto"/>
                <w:sz w:val="24"/>
                <w:lang w:val="zh-CN"/>
              </w:rPr>
              <w:t>合同签订生效后预付合同价的40%，设备验收运行合格后一次付清。</w:t>
            </w:r>
          </w:p>
        </w:tc>
      </w:tr>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417" w:hRule="atLeast"/>
          <w:jc w:val="center"/>
        </w:trPr>
        <w:tc>
          <w:tcPr>
            <w:tcW w:w="751"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312" w:lineRule="auto"/>
              <w:jc w:val="center"/>
              <w:rPr>
                <w:rFonts w:ascii="宋体" w:hAnsi="宋体" w:cs="宋体"/>
                <w:color w:val="000000"/>
                <w:sz w:val="24"/>
              </w:rPr>
            </w:pPr>
            <w:r>
              <w:rPr>
                <w:rFonts w:hint="eastAsia" w:ascii="宋体" w:hAnsi="宋体" w:cs="宋体"/>
                <w:color w:val="000000"/>
                <w:sz w:val="24"/>
              </w:rPr>
              <w:t>9</w:t>
            </w:r>
          </w:p>
        </w:tc>
        <w:tc>
          <w:tcPr>
            <w:tcW w:w="1849"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312" w:lineRule="auto"/>
              <w:jc w:val="center"/>
              <w:rPr>
                <w:rFonts w:ascii="宋体" w:hAnsi="宋体" w:cs="宋体"/>
                <w:color w:val="000000"/>
                <w:sz w:val="24"/>
              </w:rPr>
            </w:pPr>
            <w:r>
              <w:rPr>
                <w:rFonts w:hint="eastAsia" w:ascii="宋体" w:hAnsi="宋体" w:cs="宋体"/>
                <w:color w:val="000000"/>
                <w:sz w:val="24"/>
              </w:rPr>
              <w:t>磋商文件获取</w:t>
            </w:r>
          </w:p>
        </w:tc>
        <w:tc>
          <w:tcPr>
            <w:tcW w:w="7136" w:type="dxa"/>
            <w:tcBorders>
              <w:top w:val="single" w:color="auto" w:sz="6" w:space="0"/>
              <w:left w:val="single" w:color="auto" w:sz="6" w:space="0"/>
              <w:bottom w:val="single" w:color="auto" w:sz="6" w:space="0"/>
              <w:right w:val="single" w:color="auto" w:sz="6" w:space="0"/>
            </w:tcBorders>
            <w:noWrap/>
            <w:vAlign w:val="center"/>
          </w:tcPr>
          <w:p>
            <w:pPr>
              <w:wordWrap w:val="0"/>
              <w:autoSpaceDE w:val="0"/>
              <w:autoSpaceDN w:val="0"/>
              <w:adjustRightInd w:val="0"/>
              <w:spacing w:line="312" w:lineRule="auto"/>
              <w:jc w:val="left"/>
              <w:rPr>
                <w:rFonts w:ascii="宋体" w:hAnsi="宋体" w:cs="宋体"/>
                <w:color w:val="000000"/>
                <w:sz w:val="24"/>
              </w:rPr>
            </w:pPr>
            <w:r>
              <w:rPr>
                <w:rFonts w:hint="eastAsia" w:ascii="宋体" w:hAnsi="宋体" w:cs="宋体"/>
                <w:color w:val="000000"/>
                <w:sz w:val="24"/>
              </w:rPr>
              <w:t>投标供应商应从淮安市公共资源交易网登录会员系统（222.184.89.82:8000/tpbidder/login.aspx），办理淮安市政府采购供应商诚信库、CA证书以及电子签章后，在网上填写投标信息并下载磋商文件。</w:t>
            </w:r>
          </w:p>
          <w:p>
            <w:pPr>
              <w:wordWrap w:val="0"/>
              <w:autoSpaceDE w:val="0"/>
              <w:autoSpaceDN w:val="0"/>
              <w:adjustRightInd w:val="0"/>
              <w:spacing w:line="312" w:lineRule="auto"/>
              <w:jc w:val="left"/>
              <w:rPr>
                <w:rFonts w:ascii="宋体" w:hAnsi="宋体" w:cs="宋体"/>
                <w:color w:val="000000"/>
                <w:sz w:val="24"/>
              </w:rPr>
            </w:pPr>
            <w:r>
              <w:rPr>
                <w:rFonts w:hint="eastAsia" w:ascii="宋体" w:hAnsi="宋体" w:cs="宋体"/>
                <w:color w:val="000000"/>
                <w:sz w:val="24"/>
              </w:rPr>
              <w:t>注：磋商供应商须持续关注本项目在淮安市公共资源交易网盱眙板块及电子化系统中发布的信息（含更正、修改等信息），否则产生的后果由磋商供应商自行承担。</w:t>
            </w:r>
          </w:p>
        </w:tc>
      </w:tr>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727" w:hRule="atLeast"/>
          <w:jc w:val="center"/>
        </w:trPr>
        <w:tc>
          <w:tcPr>
            <w:tcW w:w="751"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312" w:lineRule="auto"/>
              <w:jc w:val="center"/>
              <w:rPr>
                <w:rFonts w:ascii="宋体" w:hAnsi="宋体" w:cs="宋体"/>
                <w:color w:val="000000"/>
                <w:sz w:val="24"/>
              </w:rPr>
            </w:pPr>
            <w:r>
              <w:rPr>
                <w:rFonts w:hint="eastAsia" w:ascii="宋体" w:hAnsi="宋体" w:cs="宋体"/>
                <w:color w:val="000000"/>
                <w:sz w:val="24"/>
              </w:rPr>
              <w:t>10</w:t>
            </w:r>
          </w:p>
        </w:tc>
        <w:tc>
          <w:tcPr>
            <w:tcW w:w="1849"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312" w:lineRule="auto"/>
              <w:jc w:val="center"/>
              <w:rPr>
                <w:rFonts w:ascii="宋体" w:hAnsi="宋体" w:cs="宋体"/>
                <w:color w:val="000000"/>
                <w:sz w:val="24"/>
              </w:rPr>
            </w:pPr>
            <w:r>
              <w:rPr>
                <w:rFonts w:hint="eastAsia" w:ascii="宋体" w:hAnsi="宋体" w:cs="宋体"/>
                <w:color w:val="000000"/>
                <w:sz w:val="24"/>
              </w:rPr>
              <w:t>响应文件份数</w:t>
            </w:r>
          </w:p>
        </w:tc>
        <w:tc>
          <w:tcPr>
            <w:tcW w:w="7136"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312" w:lineRule="auto"/>
              <w:jc w:val="left"/>
              <w:rPr>
                <w:rFonts w:ascii="宋体" w:hAnsi="宋体" w:cs="宋体"/>
                <w:b/>
                <w:color w:val="000000"/>
                <w:sz w:val="24"/>
              </w:rPr>
            </w:pPr>
            <w:r>
              <w:rPr>
                <w:rFonts w:hint="eastAsia" w:ascii="宋体" w:hAnsi="宋体" w:cs="宋体"/>
                <w:sz w:val="24"/>
              </w:rPr>
              <w:t>上传电子响应文件一份到指定网站， 成交供应商在领取成交通知书前下载上传的磋商文件打印3套装订成册。</w:t>
            </w:r>
          </w:p>
        </w:tc>
      </w:tr>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579" w:hRule="atLeast"/>
          <w:jc w:val="center"/>
        </w:trPr>
        <w:tc>
          <w:tcPr>
            <w:tcW w:w="751"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312" w:lineRule="auto"/>
              <w:jc w:val="center"/>
              <w:rPr>
                <w:rFonts w:ascii="宋体" w:hAnsi="宋体" w:cs="宋体"/>
                <w:color w:val="000000"/>
                <w:sz w:val="24"/>
              </w:rPr>
            </w:pPr>
            <w:r>
              <w:rPr>
                <w:rFonts w:hint="eastAsia" w:ascii="宋体" w:hAnsi="宋体" w:cs="宋体"/>
                <w:color w:val="000000"/>
                <w:sz w:val="24"/>
              </w:rPr>
              <w:t>11</w:t>
            </w:r>
          </w:p>
        </w:tc>
        <w:tc>
          <w:tcPr>
            <w:tcW w:w="1849"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312" w:lineRule="auto"/>
              <w:jc w:val="center"/>
              <w:rPr>
                <w:rFonts w:ascii="宋体" w:hAnsi="宋体" w:cs="宋体"/>
                <w:color w:val="000000"/>
                <w:sz w:val="24"/>
                <w:highlight w:val="none"/>
              </w:rPr>
            </w:pPr>
            <w:r>
              <w:rPr>
                <w:rFonts w:hint="eastAsia" w:ascii="宋体" w:hAnsi="宋体" w:cs="宋体"/>
                <w:b/>
                <w:color w:val="000000"/>
                <w:sz w:val="24"/>
                <w:highlight w:val="none"/>
              </w:rPr>
              <w:t>开标时间</w:t>
            </w:r>
          </w:p>
        </w:tc>
        <w:tc>
          <w:tcPr>
            <w:tcW w:w="7136"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312" w:lineRule="auto"/>
              <w:jc w:val="left"/>
              <w:rPr>
                <w:rFonts w:ascii="宋体" w:hAnsi="宋体" w:cs="宋体"/>
                <w:b/>
                <w:color w:val="000000"/>
                <w:sz w:val="24"/>
                <w:highlight w:val="none"/>
              </w:rPr>
            </w:pPr>
            <w:r>
              <w:rPr>
                <w:rFonts w:hint="eastAsia" w:ascii="宋体" w:hAnsi="宋体" w:cs="宋体"/>
                <w:b/>
                <w:color w:val="000000"/>
                <w:sz w:val="24"/>
                <w:highlight w:val="none"/>
                <w:lang w:eastAsia="zh-CN"/>
              </w:rPr>
              <w:t>2023年9月</w:t>
            </w:r>
            <w:r>
              <w:rPr>
                <w:rFonts w:hint="eastAsia" w:ascii="宋体" w:hAnsi="宋体" w:cs="宋体"/>
                <w:b/>
                <w:color w:val="000000"/>
                <w:sz w:val="24"/>
                <w:highlight w:val="none"/>
                <w:lang w:val="en-US" w:eastAsia="zh-CN"/>
              </w:rPr>
              <w:t>21</w:t>
            </w:r>
            <w:r>
              <w:rPr>
                <w:rFonts w:hint="eastAsia" w:ascii="宋体" w:hAnsi="宋体" w:cs="宋体"/>
                <w:b/>
                <w:color w:val="000000"/>
                <w:sz w:val="24"/>
                <w:highlight w:val="none"/>
                <w:lang w:eastAsia="zh-CN"/>
              </w:rPr>
              <w:t>日</w:t>
            </w:r>
            <w:r>
              <w:rPr>
                <w:rFonts w:hint="eastAsia" w:ascii="宋体" w:hAnsi="宋体" w:cs="宋体"/>
                <w:b/>
                <w:color w:val="000000"/>
                <w:sz w:val="24"/>
                <w:highlight w:val="none"/>
              </w:rPr>
              <w:t>9时00分（北京时间）</w:t>
            </w:r>
          </w:p>
        </w:tc>
      </w:tr>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407" w:hRule="atLeast"/>
          <w:jc w:val="center"/>
        </w:trPr>
        <w:tc>
          <w:tcPr>
            <w:tcW w:w="751"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312" w:lineRule="auto"/>
              <w:jc w:val="center"/>
              <w:rPr>
                <w:rFonts w:ascii="宋体" w:hAnsi="宋体" w:cs="宋体"/>
                <w:color w:val="000000"/>
                <w:sz w:val="24"/>
              </w:rPr>
            </w:pPr>
            <w:r>
              <w:rPr>
                <w:rFonts w:hint="eastAsia" w:ascii="宋体" w:hAnsi="宋体" w:cs="宋体"/>
                <w:color w:val="000000"/>
                <w:sz w:val="24"/>
              </w:rPr>
              <w:t>12</w:t>
            </w:r>
          </w:p>
        </w:tc>
        <w:tc>
          <w:tcPr>
            <w:tcW w:w="1849"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312" w:lineRule="auto"/>
              <w:jc w:val="center"/>
              <w:rPr>
                <w:rFonts w:ascii="宋体" w:hAnsi="宋体" w:cs="宋体"/>
                <w:color w:val="000000"/>
                <w:sz w:val="24"/>
              </w:rPr>
            </w:pPr>
            <w:r>
              <w:rPr>
                <w:rFonts w:hint="eastAsia" w:ascii="宋体" w:hAnsi="宋体" w:cs="宋体"/>
                <w:color w:val="000000"/>
                <w:sz w:val="24"/>
              </w:rPr>
              <w:t>代理服务费</w:t>
            </w:r>
          </w:p>
        </w:tc>
        <w:tc>
          <w:tcPr>
            <w:tcW w:w="7136"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312" w:lineRule="auto"/>
              <w:jc w:val="left"/>
              <w:rPr>
                <w:rFonts w:ascii="宋体" w:hAnsi="宋体" w:cs="宋体"/>
                <w:b/>
                <w:color w:val="000000"/>
                <w:sz w:val="24"/>
              </w:rPr>
            </w:pPr>
            <w:r>
              <w:rPr>
                <w:rFonts w:hint="eastAsia" w:ascii="宋体" w:hAnsi="宋体" w:cs="宋体"/>
                <w:sz w:val="24"/>
              </w:rPr>
              <w:t>本次采购项目参照苏招协【2022】002号文件优惠收取</w:t>
            </w:r>
            <w:r>
              <w:rPr>
                <w:rFonts w:hint="eastAsia" w:ascii="宋体" w:hAnsi="宋体" w:cs="宋体"/>
                <w:color w:val="333333"/>
                <w:sz w:val="24"/>
                <w:szCs w:val="24"/>
                <w:shd w:val="clear" w:color="auto" w:fill="FFFFFF"/>
              </w:rPr>
              <w:t>，</w:t>
            </w:r>
            <w:r>
              <w:rPr>
                <w:rFonts w:hint="eastAsia" w:ascii="宋体" w:hAnsi="宋体" w:cs="宋体"/>
                <w:sz w:val="24"/>
              </w:rPr>
              <w:t>由中标单位领取中标通知书时缴纳</w:t>
            </w:r>
          </w:p>
        </w:tc>
      </w:tr>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584" w:hRule="atLeast"/>
          <w:jc w:val="center"/>
        </w:trPr>
        <w:tc>
          <w:tcPr>
            <w:tcW w:w="751"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312" w:lineRule="auto"/>
              <w:jc w:val="center"/>
              <w:rPr>
                <w:rFonts w:hint="eastAsia" w:ascii="宋体" w:hAnsi="宋体" w:eastAsia="宋体" w:cs="宋体"/>
                <w:color w:val="000000"/>
                <w:sz w:val="24"/>
                <w:lang w:eastAsia="zh-CN"/>
              </w:rPr>
            </w:pPr>
            <w:r>
              <w:rPr>
                <w:rFonts w:hint="eastAsia" w:ascii="宋体" w:hAnsi="宋体" w:cs="宋体"/>
                <w:color w:val="000000"/>
                <w:sz w:val="24"/>
              </w:rPr>
              <w:t>1</w:t>
            </w:r>
            <w:r>
              <w:rPr>
                <w:rFonts w:hint="eastAsia" w:ascii="宋体" w:hAnsi="宋体" w:cs="宋体"/>
                <w:color w:val="000000"/>
                <w:sz w:val="24"/>
                <w:lang w:val="en-US" w:eastAsia="zh-CN"/>
              </w:rPr>
              <w:t>3</w:t>
            </w:r>
          </w:p>
        </w:tc>
        <w:tc>
          <w:tcPr>
            <w:tcW w:w="1849"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312" w:lineRule="auto"/>
              <w:jc w:val="center"/>
              <w:rPr>
                <w:rFonts w:ascii="宋体" w:hAnsi="宋体" w:cs="宋体"/>
                <w:color w:val="000000"/>
                <w:sz w:val="24"/>
              </w:rPr>
            </w:pPr>
            <w:r>
              <w:rPr>
                <w:rFonts w:hint="eastAsia" w:ascii="宋体" w:hAnsi="宋体" w:cs="宋体"/>
                <w:color w:val="000000"/>
                <w:sz w:val="24"/>
              </w:rPr>
              <w:t>资质要求</w:t>
            </w:r>
          </w:p>
        </w:tc>
        <w:tc>
          <w:tcPr>
            <w:tcW w:w="7136"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312" w:lineRule="auto"/>
              <w:jc w:val="left"/>
              <w:rPr>
                <w:rFonts w:ascii="宋体" w:hAnsi="宋体" w:cs="宋体"/>
                <w:color w:val="000000"/>
                <w:sz w:val="24"/>
              </w:rPr>
            </w:pPr>
            <w:r>
              <w:rPr>
                <w:rFonts w:hint="eastAsia" w:ascii="宋体" w:hAnsi="宋体" w:cs="宋体"/>
                <w:color w:val="000000"/>
                <w:sz w:val="24"/>
              </w:rPr>
              <w:t>详见采购公告要求</w:t>
            </w:r>
          </w:p>
        </w:tc>
      </w:tr>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90" w:hRule="atLeast"/>
          <w:jc w:val="center"/>
        </w:trPr>
        <w:tc>
          <w:tcPr>
            <w:tcW w:w="751"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312" w:lineRule="auto"/>
              <w:jc w:val="center"/>
              <w:rPr>
                <w:rFonts w:hint="eastAsia" w:ascii="宋体" w:hAnsi="宋体" w:eastAsia="宋体" w:cs="宋体"/>
                <w:color w:val="000000"/>
                <w:sz w:val="24"/>
                <w:lang w:eastAsia="zh-CN"/>
              </w:rPr>
            </w:pPr>
            <w:r>
              <w:rPr>
                <w:rFonts w:hint="eastAsia" w:ascii="宋体" w:hAnsi="宋体" w:cs="宋体"/>
                <w:color w:val="000000"/>
                <w:sz w:val="24"/>
              </w:rPr>
              <w:t>1</w:t>
            </w:r>
            <w:r>
              <w:rPr>
                <w:rFonts w:hint="eastAsia" w:ascii="宋体" w:hAnsi="宋体" w:cs="宋体"/>
                <w:color w:val="000000"/>
                <w:sz w:val="24"/>
                <w:lang w:val="en-US" w:eastAsia="zh-CN"/>
              </w:rPr>
              <w:t>4</w:t>
            </w:r>
          </w:p>
        </w:tc>
        <w:tc>
          <w:tcPr>
            <w:tcW w:w="1849"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312" w:lineRule="auto"/>
              <w:jc w:val="center"/>
              <w:rPr>
                <w:rFonts w:ascii="宋体" w:hAnsi="宋体" w:cs="宋体"/>
                <w:color w:val="000000"/>
                <w:sz w:val="24"/>
              </w:rPr>
            </w:pPr>
            <w:r>
              <w:rPr>
                <w:rFonts w:hint="eastAsia" w:ascii="宋体" w:hAnsi="宋体" w:cs="宋体"/>
                <w:color w:val="000000"/>
                <w:sz w:val="24"/>
              </w:rPr>
              <w:t>评标方法</w:t>
            </w:r>
          </w:p>
        </w:tc>
        <w:tc>
          <w:tcPr>
            <w:tcW w:w="7136"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312" w:lineRule="auto"/>
              <w:jc w:val="left"/>
              <w:rPr>
                <w:rFonts w:ascii="宋体" w:hAnsi="宋体" w:cs="宋体"/>
                <w:color w:val="000000"/>
                <w:sz w:val="24"/>
              </w:rPr>
            </w:pPr>
            <w:r>
              <w:rPr>
                <w:rFonts w:hint="eastAsia" w:ascii="宋体" w:hAnsi="宋体" w:cs="宋体"/>
                <w:color w:val="000000"/>
                <w:sz w:val="24"/>
              </w:rPr>
              <w:t>综合评分法</w:t>
            </w:r>
          </w:p>
        </w:tc>
      </w:tr>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685" w:hRule="atLeast"/>
          <w:jc w:val="center"/>
        </w:trPr>
        <w:tc>
          <w:tcPr>
            <w:tcW w:w="751"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312" w:lineRule="auto"/>
              <w:jc w:val="center"/>
              <w:rPr>
                <w:rFonts w:hint="eastAsia" w:ascii="宋体" w:hAnsi="宋体" w:eastAsia="宋体" w:cs="宋体"/>
                <w:sz w:val="24"/>
                <w:lang w:eastAsia="zh-CN"/>
              </w:rPr>
            </w:pPr>
            <w:r>
              <w:rPr>
                <w:rFonts w:hint="eastAsia" w:ascii="宋体" w:hAnsi="宋体" w:cs="宋体"/>
                <w:sz w:val="24"/>
              </w:rPr>
              <w:t>1</w:t>
            </w:r>
            <w:r>
              <w:rPr>
                <w:rFonts w:hint="eastAsia" w:ascii="宋体" w:hAnsi="宋体" w:cs="宋体"/>
                <w:sz w:val="24"/>
                <w:lang w:val="en-US" w:eastAsia="zh-CN"/>
              </w:rPr>
              <w:t>5</w:t>
            </w:r>
          </w:p>
        </w:tc>
        <w:tc>
          <w:tcPr>
            <w:tcW w:w="1849"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312" w:lineRule="auto"/>
              <w:jc w:val="center"/>
              <w:rPr>
                <w:rFonts w:ascii="宋体" w:hAnsi="宋体" w:cs="宋体"/>
                <w:color w:val="000000"/>
                <w:sz w:val="24"/>
              </w:rPr>
            </w:pPr>
            <w:r>
              <w:rPr>
                <w:rFonts w:hint="eastAsia" w:ascii="宋体" w:hAnsi="宋体" w:cs="宋体"/>
                <w:color w:val="000000"/>
                <w:sz w:val="24"/>
              </w:rPr>
              <w:t>不见面开标</w:t>
            </w:r>
          </w:p>
        </w:tc>
        <w:tc>
          <w:tcPr>
            <w:tcW w:w="7136"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312" w:lineRule="auto"/>
              <w:jc w:val="left"/>
              <w:rPr>
                <w:rFonts w:ascii="宋体" w:hAnsi="宋体" w:cs="宋体"/>
                <w:b/>
                <w:bCs/>
                <w:color w:val="000000"/>
                <w:szCs w:val="21"/>
              </w:rPr>
            </w:pPr>
            <w:r>
              <w:rPr>
                <w:rFonts w:hint="eastAsia" w:ascii="宋体" w:hAnsi="宋体" w:cs="宋体"/>
                <w:b/>
                <w:bCs/>
                <w:color w:val="000000"/>
                <w:szCs w:val="21"/>
              </w:rPr>
              <w:t>本项目采用“全流程不见面交易采购”注意事项：</w:t>
            </w:r>
          </w:p>
          <w:p>
            <w:pPr>
              <w:autoSpaceDE w:val="0"/>
              <w:autoSpaceDN w:val="0"/>
              <w:adjustRightInd w:val="0"/>
              <w:spacing w:line="312" w:lineRule="auto"/>
              <w:ind w:firstLine="420" w:firstLineChars="200"/>
              <w:jc w:val="left"/>
              <w:rPr>
                <w:rFonts w:ascii="宋体" w:hAnsi="宋体" w:cs="宋体"/>
                <w:color w:val="000000"/>
                <w:szCs w:val="21"/>
              </w:rPr>
            </w:pPr>
            <w:r>
              <w:rPr>
                <w:rFonts w:hint="eastAsia" w:ascii="宋体" w:hAnsi="宋体" w:cs="宋体"/>
                <w:color w:val="000000"/>
                <w:szCs w:val="21"/>
              </w:rPr>
              <w:t>本项目采用“全流程不见面交易”模式，通过不见面交易系统及相应的配套硬件设备（摄像头、话筒、麦克风等）完成远程解密、公布报价、澄清等交互环节。相关要求和说明如下:</w:t>
            </w:r>
          </w:p>
          <w:p>
            <w:pPr>
              <w:autoSpaceDE w:val="0"/>
              <w:autoSpaceDN w:val="0"/>
              <w:adjustRightInd w:val="0"/>
              <w:spacing w:line="312" w:lineRule="auto"/>
              <w:ind w:firstLine="420" w:firstLineChars="200"/>
              <w:jc w:val="left"/>
              <w:rPr>
                <w:rFonts w:ascii="宋体" w:hAnsi="宋体" w:cs="宋体"/>
                <w:color w:val="FF0000"/>
                <w:szCs w:val="21"/>
              </w:rPr>
            </w:pPr>
            <w:r>
              <w:rPr>
                <w:rFonts w:hint="eastAsia" w:ascii="宋体" w:hAnsi="宋体" w:cs="宋体"/>
                <w:color w:val="FF0000"/>
                <w:szCs w:val="21"/>
              </w:rPr>
              <w:t>特别提醒：开标前未进行签到的响应供应商，将无法对其响应文件进行解密，系统内其已递交的响应文件将被退回，请各磋商供应商及时进行签到。</w:t>
            </w:r>
          </w:p>
          <w:p>
            <w:pPr>
              <w:autoSpaceDE w:val="0"/>
              <w:autoSpaceDN w:val="0"/>
              <w:adjustRightInd w:val="0"/>
              <w:spacing w:line="312" w:lineRule="auto"/>
              <w:jc w:val="left"/>
              <w:rPr>
                <w:rFonts w:ascii="宋体" w:hAnsi="宋体" w:cs="宋体"/>
                <w:color w:val="000000"/>
                <w:szCs w:val="21"/>
              </w:rPr>
            </w:pPr>
            <w:r>
              <w:rPr>
                <w:rFonts w:hint="eastAsia" w:ascii="宋体" w:hAnsi="宋体" w:cs="宋体"/>
                <w:color w:val="000000"/>
                <w:szCs w:val="21"/>
              </w:rPr>
              <w:t>1、由于淮安市政府采购“全流程不见面交易系统”自身原因导致项目不能正常进行的，项目作废标处理。</w:t>
            </w:r>
          </w:p>
          <w:p>
            <w:pPr>
              <w:autoSpaceDE w:val="0"/>
              <w:autoSpaceDN w:val="0"/>
              <w:adjustRightInd w:val="0"/>
              <w:spacing w:line="312" w:lineRule="auto"/>
              <w:jc w:val="left"/>
              <w:rPr>
                <w:rFonts w:ascii="宋体" w:hAnsi="宋体" w:cs="宋体"/>
                <w:color w:val="000000"/>
                <w:szCs w:val="21"/>
              </w:rPr>
            </w:pPr>
            <w:r>
              <w:rPr>
                <w:rFonts w:hint="eastAsia" w:ascii="宋体" w:hAnsi="宋体" w:cs="宋体"/>
                <w:color w:val="000000"/>
                <w:szCs w:val="21"/>
              </w:rPr>
              <w:t>2、本项目中的时间均以国家授时中心发布的时间为准。</w:t>
            </w:r>
          </w:p>
          <w:p>
            <w:pPr>
              <w:autoSpaceDE w:val="0"/>
              <w:autoSpaceDN w:val="0"/>
              <w:adjustRightInd w:val="0"/>
              <w:spacing w:line="312" w:lineRule="auto"/>
              <w:jc w:val="left"/>
              <w:rPr>
                <w:rFonts w:ascii="宋体" w:hAnsi="宋体" w:cs="宋体"/>
                <w:color w:val="000000"/>
                <w:szCs w:val="21"/>
              </w:rPr>
            </w:pPr>
            <w:r>
              <w:rPr>
                <w:rFonts w:hint="eastAsia" w:ascii="宋体" w:hAnsi="宋体" w:cs="宋体"/>
                <w:color w:val="000000"/>
                <w:szCs w:val="21"/>
              </w:rPr>
              <w:t>3、本项目的下载文件、上传响应文件均通过互联网操作，请磋商供应商充分考虑网络拥堵及平台操作所需时间等因素。因磋商供应商自身原因导致操作失败的，其责任自负。</w:t>
            </w:r>
          </w:p>
          <w:p>
            <w:pPr>
              <w:autoSpaceDE w:val="0"/>
              <w:autoSpaceDN w:val="0"/>
              <w:adjustRightInd w:val="0"/>
              <w:spacing w:line="312" w:lineRule="auto"/>
              <w:jc w:val="left"/>
              <w:rPr>
                <w:rFonts w:ascii="宋体" w:hAnsi="宋体" w:cs="宋体"/>
                <w:color w:val="000000"/>
                <w:szCs w:val="21"/>
              </w:rPr>
            </w:pPr>
            <w:r>
              <w:rPr>
                <w:rFonts w:hint="eastAsia" w:ascii="宋体" w:hAnsi="宋体" w:cs="宋体"/>
                <w:color w:val="000000"/>
                <w:szCs w:val="21"/>
              </w:rPr>
              <w:t>4、本项目响应文件的编制使用“新点响应文件制作软件（淮安公共资源版）”。磋商供应商响应文件的编制和上传，应按照磋商文件的规定进行。如未按磋商文件要求编制、上传电子响应文件，将可能作无效响应文件，其后果由磋商供应商自负。磋商供应商如对正确使用“响应文件制作软件”有疑问的，请与软件公司技术人员联系。</w:t>
            </w:r>
          </w:p>
          <w:p>
            <w:pPr>
              <w:autoSpaceDE w:val="0"/>
              <w:autoSpaceDN w:val="0"/>
              <w:adjustRightInd w:val="0"/>
              <w:spacing w:line="312" w:lineRule="auto"/>
              <w:jc w:val="left"/>
              <w:rPr>
                <w:rFonts w:ascii="宋体" w:hAnsi="宋体" w:cs="宋体"/>
                <w:color w:val="000000"/>
                <w:szCs w:val="21"/>
              </w:rPr>
            </w:pPr>
            <w:r>
              <w:rPr>
                <w:rFonts w:hint="eastAsia" w:ascii="宋体" w:hAnsi="宋体" w:cs="宋体"/>
                <w:color w:val="000000"/>
                <w:szCs w:val="21"/>
              </w:rPr>
              <w:t>5、“全流程不见面交易”活动当日，磋商供应商不必抵达现场，仅需在任意地点通过登录淮安市政府采购“全流程不见面交易系统” 开标大厅观看项目的活动组织。为保障磋商供应商权益以及避免围标串标的情况，磋商供应商必须先扫码登录，然后再插CA锁登录系统。扫码登录时，手机定位必须开启，具体操作详见操作手册（可在淮安市公共资源交易网、淮安市政府采购网下载）。</w:t>
            </w:r>
          </w:p>
          <w:p>
            <w:pPr>
              <w:autoSpaceDE w:val="0"/>
              <w:autoSpaceDN w:val="0"/>
              <w:adjustRightInd w:val="0"/>
              <w:spacing w:line="312" w:lineRule="auto"/>
              <w:jc w:val="left"/>
              <w:rPr>
                <w:rFonts w:ascii="宋体" w:hAnsi="宋体" w:cs="宋体"/>
                <w:color w:val="000000"/>
                <w:szCs w:val="21"/>
              </w:rPr>
            </w:pPr>
            <w:r>
              <w:rPr>
                <w:rFonts w:hint="eastAsia" w:ascii="宋体" w:hAnsi="宋体" w:cs="宋体"/>
                <w:color w:val="000000"/>
                <w:szCs w:val="21"/>
              </w:rPr>
              <w:t xml:space="preserve"> 6、电子响应文件上传截止时间前，采购代理机构提前进入淮安市政府采购“全流程不见面交易系统” 开标大厅，播放测试音频，各磋商供应商的授权委托人或法人代表提前进入淮安市政府采购“全流程不见面交易系统” 开标大厅根据操作手册（进入相应项目的虚拟开标大厅）收听观看实时音视频交互效果并及时在讨论组中反馈，未规定时间内进入虚拟开标大厅并完成扫码登录操作的或未能在虚拟开标大厅内全程参与交互的，视为放弃交互和放弃对活动全过程提疑的权利，磋商供应商将无法看到解密指令、废标及澄清、公布报价、评审结果等实时情况，并承担由此导致的一切后果。</w:t>
            </w:r>
          </w:p>
          <w:p>
            <w:pPr>
              <w:autoSpaceDE w:val="0"/>
              <w:autoSpaceDN w:val="0"/>
              <w:adjustRightInd w:val="0"/>
              <w:spacing w:line="312" w:lineRule="auto"/>
              <w:jc w:val="left"/>
              <w:rPr>
                <w:rFonts w:ascii="宋体" w:hAnsi="宋体" w:cs="宋体"/>
                <w:color w:val="000000"/>
                <w:szCs w:val="21"/>
              </w:rPr>
            </w:pPr>
            <w:r>
              <w:rPr>
                <w:rFonts w:hint="eastAsia" w:ascii="宋体" w:hAnsi="宋体" w:cs="宋体"/>
                <w:color w:val="000000"/>
                <w:szCs w:val="21"/>
              </w:rPr>
              <w:t>7、电子响应文件上传截止时间后，采购代理机构将在系统内公布磋商供应商名单，然后通过大厅操作区发出响应文件解密的指令，磋商供应商在各自地点按规定时间自行实施远程解密，磋商供应商解密限定在主持人发布解密指令后10分钟内完成。因磋商供应商网络与电源不稳定、未按操作手册要求配置软硬件、解密锁发生故障或用错、故意不在要求时限内完成解密等自身原因，导致响应文件在规定时间内未能解密、解密失败或解密超时，作无效投标处理。因“淮安市政府采购项目全流程不见面交易系统开标大厅”发生故障，导致无法按时完成响应文件解密，可根据实际情况相应延迟解密时间（友情提示:若磋商供应商已领取副锁（含多把副锁），必须使用生成响应文件的锁来解密响应文件）。本项目在限定的解密时间内，只要有任一家磋商供应商解密成功，即视为淮安市政府采购“全流程不见面交易系统”运行无故障。</w:t>
            </w:r>
          </w:p>
          <w:p>
            <w:pPr>
              <w:autoSpaceDE w:val="0"/>
              <w:autoSpaceDN w:val="0"/>
              <w:adjustRightInd w:val="0"/>
              <w:spacing w:line="312" w:lineRule="auto"/>
              <w:jc w:val="left"/>
              <w:rPr>
                <w:rFonts w:ascii="宋体" w:hAnsi="宋体" w:cs="宋体"/>
                <w:color w:val="000000"/>
                <w:szCs w:val="21"/>
              </w:rPr>
            </w:pPr>
            <w:r>
              <w:rPr>
                <w:rFonts w:hint="eastAsia" w:ascii="宋体" w:hAnsi="宋体" w:cs="宋体"/>
                <w:color w:val="000000"/>
                <w:szCs w:val="21"/>
              </w:rPr>
              <w:t>8、活动全过程中，各磋商供应商参与澄清、说明、补正、远程交互的授权委托人或法人代表应始终为同一个人，中途不得更换，在澄清、说明、补正、异议提出等特殊情况下需要交互时，磋商供应商一端参与交互的人员将均被视为是磋商供应商的授权委托人或法人代表，磋商供应商不得以不承认交互人员的资格或身份等为借口抵赖推脱，磋商供应商自行承担随意更换人员所导致的一切后果。</w:t>
            </w:r>
          </w:p>
          <w:p>
            <w:pPr>
              <w:autoSpaceDE w:val="0"/>
              <w:autoSpaceDN w:val="0"/>
              <w:adjustRightInd w:val="0"/>
              <w:spacing w:line="312" w:lineRule="auto"/>
              <w:jc w:val="left"/>
              <w:rPr>
                <w:rFonts w:ascii="宋体" w:hAnsi="宋体" w:cs="宋体"/>
                <w:color w:val="000000"/>
                <w:szCs w:val="21"/>
              </w:rPr>
            </w:pPr>
            <w:r>
              <w:rPr>
                <w:rFonts w:hint="eastAsia" w:ascii="宋体" w:hAnsi="宋体" w:cs="宋体"/>
                <w:color w:val="000000"/>
                <w:szCs w:val="21"/>
              </w:rPr>
              <w:t xml:space="preserve"> 9、为顺利实现本项目不见面交易活动组织的远程交互，建议磋商供应商配置相关软硬件设施，具体包括:</w:t>
            </w:r>
          </w:p>
          <w:p>
            <w:pPr>
              <w:autoSpaceDE w:val="0"/>
              <w:autoSpaceDN w:val="0"/>
              <w:adjustRightInd w:val="0"/>
              <w:spacing w:line="312" w:lineRule="auto"/>
              <w:jc w:val="left"/>
              <w:rPr>
                <w:rFonts w:ascii="宋体" w:hAnsi="宋体" w:cs="宋体"/>
                <w:color w:val="000000"/>
                <w:szCs w:val="21"/>
              </w:rPr>
            </w:pPr>
            <w:r>
              <w:rPr>
                <w:rFonts w:hint="eastAsia" w:ascii="宋体" w:hAnsi="宋体" w:cs="宋体"/>
                <w:color w:val="000000"/>
                <w:szCs w:val="21"/>
              </w:rPr>
              <w:t>（1）软件设施:IE浏览器（版本必须为11及11以上），同时必须安装江苏省互联互通的驱动。不得使用360、搜狗等其他浏览器，否则责任自负。</w:t>
            </w:r>
          </w:p>
          <w:p>
            <w:pPr>
              <w:autoSpaceDE w:val="0"/>
              <w:autoSpaceDN w:val="0"/>
              <w:adjustRightInd w:val="0"/>
              <w:spacing w:line="312" w:lineRule="auto"/>
              <w:jc w:val="left"/>
              <w:rPr>
                <w:rFonts w:ascii="宋体" w:hAnsi="宋体" w:cs="宋体"/>
                <w:color w:val="000000"/>
                <w:szCs w:val="21"/>
              </w:rPr>
            </w:pPr>
            <w:r>
              <w:rPr>
                <w:rFonts w:hint="eastAsia" w:ascii="宋体" w:hAnsi="宋体" w:cs="宋体"/>
                <w:color w:val="000000"/>
                <w:szCs w:val="21"/>
              </w:rPr>
              <w:t>（2）硬件设施:高配置电脑（内存4G以上，建议屏幕分辨率用1024*768像素或以上，不要使用上网本）、高速稳定的网络（推荐使用电信网络，独立带宽在10Mbps以上）、电源（不间断电源）、CA锁、音视频设备（话筒、耳麦、高清摄像头（支持分辨率720P及以上）、音响）、扫描仪、打印机、传真机、高清视频监控等。</w:t>
            </w:r>
          </w:p>
          <w:p>
            <w:pPr>
              <w:autoSpaceDE w:val="0"/>
              <w:autoSpaceDN w:val="0"/>
              <w:adjustRightInd w:val="0"/>
              <w:spacing w:line="312" w:lineRule="auto"/>
              <w:jc w:val="left"/>
              <w:rPr>
                <w:rFonts w:ascii="宋体" w:hAnsi="宋体" w:cs="宋体"/>
                <w:color w:val="000000"/>
                <w:szCs w:val="21"/>
              </w:rPr>
            </w:pPr>
            <w:r>
              <w:rPr>
                <w:rFonts w:hint="eastAsia" w:ascii="宋体" w:hAnsi="宋体" w:cs="宋体"/>
                <w:color w:val="000000"/>
                <w:szCs w:val="21"/>
              </w:rPr>
              <w:t>（3）为保证交互效果，要求磋商供应商按上述要求配置相关软硬件并选择封闭安静的地点参与远程交互。因磋商供应商自身软硬件配备不齐全或发生故障等问题而导致在交互过程中出现不稳定或中断等情况的，由磋商供应商自身承担一切后果。</w:t>
            </w:r>
          </w:p>
          <w:p>
            <w:pPr>
              <w:autoSpaceDE w:val="0"/>
              <w:autoSpaceDN w:val="0"/>
              <w:adjustRightInd w:val="0"/>
              <w:spacing w:line="312" w:lineRule="auto"/>
              <w:jc w:val="left"/>
              <w:rPr>
                <w:rFonts w:ascii="宋体" w:hAnsi="宋体" w:cs="宋体"/>
                <w:color w:val="000000"/>
                <w:szCs w:val="21"/>
              </w:rPr>
            </w:pPr>
            <w:r>
              <w:rPr>
                <w:rFonts w:hint="eastAsia" w:ascii="宋体" w:hAnsi="宋体" w:cs="宋体"/>
                <w:color w:val="000000"/>
                <w:szCs w:val="21"/>
              </w:rPr>
              <w:t>10、磋商供应商在制作上传电子响应文件、观看活动组织、响应文件解密等技术方面遇到问题时，请与软件公司技术人员咨询，联系电话:手机:18962289236</w:t>
            </w:r>
          </w:p>
          <w:p>
            <w:pPr>
              <w:autoSpaceDE w:val="0"/>
              <w:autoSpaceDN w:val="0"/>
              <w:adjustRightInd w:val="0"/>
              <w:spacing w:line="312" w:lineRule="auto"/>
              <w:jc w:val="left"/>
              <w:rPr>
                <w:rFonts w:ascii="宋体" w:hAnsi="宋体" w:cs="宋体"/>
                <w:color w:val="000000"/>
                <w:sz w:val="24"/>
                <w:szCs w:val="24"/>
              </w:rPr>
            </w:pPr>
            <w:r>
              <w:rPr>
                <w:rFonts w:hint="eastAsia" w:ascii="宋体" w:hAnsi="宋体" w:cs="宋体"/>
                <w:color w:val="000000"/>
                <w:szCs w:val="21"/>
              </w:rPr>
              <w:t>11、本项目采用竞争性磋商，开标结束请合格供应商耐心等待二次或二次以上报价（报价时间不得超过15分钟），若无法联系上供应商或供应商因为网络等原因未能二次报价的一切后果由供应商负责。</w:t>
            </w:r>
          </w:p>
        </w:tc>
      </w:tr>
    </w:tbl>
    <w:p>
      <w:pPr>
        <w:pStyle w:val="2"/>
        <w:spacing w:before="240" w:after="240" w:line="0" w:lineRule="atLeast"/>
        <w:ind w:firstLine="0" w:firstLineChars="0"/>
        <w:jc w:val="center"/>
        <w:rPr>
          <w:rFonts w:ascii="宋体" w:hAnsi="宋体" w:eastAsia="宋体" w:cs="宋体"/>
          <w:bCs/>
          <w:kern w:val="2"/>
          <w:sz w:val="28"/>
          <w:lang w:val="zh-CN"/>
        </w:rPr>
      </w:pPr>
      <w:bookmarkStart w:id="0" w:name="_Toc81911809"/>
    </w:p>
    <w:p>
      <w:pPr>
        <w:rPr>
          <w:rFonts w:ascii="宋体" w:hAnsi="宋体" w:eastAsia="宋体" w:cs="宋体"/>
          <w:bCs/>
          <w:kern w:val="2"/>
          <w:sz w:val="28"/>
          <w:lang w:val="zh-CN"/>
        </w:rPr>
      </w:pPr>
    </w:p>
    <w:p>
      <w:pPr>
        <w:pStyle w:val="5"/>
        <w:rPr>
          <w:rFonts w:ascii="宋体" w:hAnsi="宋体" w:eastAsia="宋体" w:cs="宋体"/>
          <w:bCs/>
          <w:kern w:val="2"/>
          <w:sz w:val="28"/>
          <w:lang w:val="zh-CN"/>
        </w:rPr>
      </w:pPr>
    </w:p>
    <w:p>
      <w:pPr>
        <w:rPr>
          <w:rFonts w:ascii="宋体" w:hAnsi="宋体" w:eastAsia="宋体" w:cs="宋体"/>
          <w:bCs/>
          <w:kern w:val="2"/>
          <w:sz w:val="28"/>
          <w:lang w:val="zh-CN"/>
        </w:rPr>
      </w:pPr>
    </w:p>
    <w:p>
      <w:pPr>
        <w:pStyle w:val="5"/>
        <w:rPr>
          <w:rFonts w:ascii="宋体" w:hAnsi="宋体" w:eastAsia="宋体" w:cs="宋体"/>
          <w:bCs/>
          <w:kern w:val="2"/>
          <w:sz w:val="28"/>
          <w:lang w:val="zh-CN"/>
        </w:rPr>
      </w:pPr>
    </w:p>
    <w:p>
      <w:pPr>
        <w:rPr>
          <w:rFonts w:ascii="宋体" w:hAnsi="宋体" w:eastAsia="宋体" w:cs="宋体"/>
          <w:bCs/>
          <w:kern w:val="2"/>
          <w:sz w:val="28"/>
          <w:lang w:val="zh-CN"/>
        </w:rPr>
      </w:pPr>
    </w:p>
    <w:p>
      <w:pPr>
        <w:pStyle w:val="5"/>
        <w:rPr>
          <w:lang w:val="zh-CN"/>
        </w:rPr>
      </w:pPr>
    </w:p>
    <w:p>
      <w:pPr>
        <w:pStyle w:val="2"/>
        <w:spacing w:before="240" w:after="240" w:line="0" w:lineRule="atLeast"/>
        <w:ind w:firstLine="0" w:firstLineChars="0"/>
        <w:rPr>
          <w:rFonts w:ascii="宋体" w:hAnsi="宋体" w:eastAsia="宋体" w:cs="宋体"/>
          <w:bCs/>
          <w:kern w:val="2"/>
          <w:sz w:val="28"/>
          <w:lang w:val="zh-CN"/>
        </w:rPr>
      </w:pPr>
    </w:p>
    <w:p>
      <w:pPr>
        <w:rPr>
          <w:lang w:val="zh-CN"/>
        </w:rPr>
      </w:pPr>
    </w:p>
    <w:p>
      <w:pPr>
        <w:pStyle w:val="15"/>
        <w:rPr>
          <w:lang w:val="zh-CN"/>
        </w:rPr>
      </w:pPr>
    </w:p>
    <w:p>
      <w:pPr>
        <w:pStyle w:val="16"/>
        <w:rPr>
          <w:lang w:val="zh-CN"/>
        </w:rPr>
      </w:pPr>
    </w:p>
    <w:p>
      <w:pPr>
        <w:pStyle w:val="16"/>
        <w:rPr>
          <w:lang w:val="zh-CN"/>
        </w:rPr>
      </w:pPr>
    </w:p>
    <w:p>
      <w:pPr>
        <w:pStyle w:val="16"/>
        <w:rPr>
          <w:lang w:val="zh-CN"/>
        </w:rPr>
      </w:pPr>
    </w:p>
    <w:p>
      <w:pPr>
        <w:pStyle w:val="16"/>
        <w:rPr>
          <w:lang w:val="zh-CN"/>
        </w:rPr>
      </w:pPr>
    </w:p>
    <w:p>
      <w:pPr>
        <w:pStyle w:val="16"/>
        <w:rPr>
          <w:lang w:val="zh-CN"/>
        </w:rPr>
      </w:pPr>
    </w:p>
    <w:p>
      <w:pPr>
        <w:pStyle w:val="2"/>
        <w:spacing w:before="240" w:after="240" w:line="0" w:lineRule="atLeast"/>
        <w:ind w:firstLine="0" w:firstLineChars="0"/>
        <w:jc w:val="center"/>
        <w:rPr>
          <w:rFonts w:ascii="宋体" w:hAnsi="宋体" w:eastAsia="宋体" w:cs="宋体"/>
          <w:bCs/>
          <w:kern w:val="2"/>
          <w:sz w:val="28"/>
        </w:rPr>
      </w:pPr>
      <w:r>
        <w:rPr>
          <w:rFonts w:hint="eastAsia" w:ascii="宋体" w:hAnsi="宋体" w:eastAsia="宋体" w:cs="宋体"/>
          <w:bCs/>
          <w:kern w:val="2"/>
          <w:sz w:val="28"/>
          <w:lang w:val="zh-CN"/>
        </w:rPr>
        <w:t>第一章</w:t>
      </w:r>
      <w:bookmarkEnd w:id="0"/>
      <w:r>
        <w:rPr>
          <w:rFonts w:hint="eastAsia" w:ascii="宋体" w:hAnsi="宋体" w:eastAsia="宋体" w:cs="宋体"/>
          <w:bCs/>
          <w:kern w:val="2"/>
          <w:sz w:val="28"/>
          <w:lang w:val="zh-CN"/>
        </w:rPr>
        <w:t xml:space="preserve"> 磋商</w:t>
      </w:r>
      <w:r>
        <w:rPr>
          <w:rFonts w:hint="eastAsia" w:ascii="宋体" w:hAnsi="宋体" w:eastAsia="宋体" w:cs="宋体"/>
          <w:bCs/>
          <w:kern w:val="2"/>
          <w:sz w:val="28"/>
        </w:rPr>
        <w:t>邀请</w:t>
      </w:r>
      <w:bookmarkStart w:id="1" w:name="_Toc76140711"/>
      <w:bookmarkStart w:id="2" w:name="_Toc76139097"/>
    </w:p>
    <w:p>
      <w:pPr>
        <w:pStyle w:val="2"/>
        <w:spacing w:before="240" w:after="240" w:line="0" w:lineRule="atLeast"/>
        <w:ind w:firstLine="0" w:firstLineChars="0"/>
        <w:jc w:val="center"/>
        <w:rPr>
          <w:rFonts w:ascii="宋体" w:hAnsi="宋体" w:eastAsia="宋体" w:cs="宋体"/>
          <w:bCs/>
          <w:kern w:val="2"/>
          <w:sz w:val="28"/>
          <w:lang w:val="zh-CN"/>
        </w:rPr>
      </w:pPr>
      <w:r>
        <w:rPr>
          <w:rFonts w:hint="eastAsia" w:ascii="宋体" w:hAnsi="宋体" w:eastAsia="宋体" w:cs="宋体"/>
          <w:bCs/>
          <w:kern w:val="2"/>
          <w:sz w:val="28"/>
          <w:lang w:val="zh-CN"/>
        </w:rPr>
        <w:t>江苏省盱眙中学人工智能创新实验室采购项目</w:t>
      </w:r>
      <w:r>
        <w:rPr>
          <w:rFonts w:hint="eastAsia" w:ascii="宋体" w:hAnsi="宋体" w:eastAsia="宋体" w:cs="宋体"/>
          <w:bCs/>
          <w:kern w:val="2"/>
          <w:sz w:val="28"/>
        </w:rPr>
        <w:t>竞争性磋商公告</w:t>
      </w:r>
    </w:p>
    <w:p>
      <w:pPr>
        <w:spacing w:line="0" w:lineRule="atLeast"/>
        <w:ind w:firstLine="480" w:firstLineChars="200"/>
        <w:rPr>
          <w:rFonts w:ascii="宋体" w:hAnsi="宋体" w:cs="宋体"/>
          <w:sz w:val="24"/>
          <w:szCs w:val="24"/>
          <w:lang w:val="zh-CN"/>
        </w:rPr>
      </w:pPr>
      <w:r>
        <w:rPr>
          <w:rFonts w:hint="eastAsia" w:ascii="宋体" w:hAnsi="宋体" w:cs="宋体"/>
          <w:sz w:val="24"/>
          <w:szCs w:val="24"/>
          <w:lang w:val="zh-CN"/>
        </w:rPr>
        <w:t>受江苏省盱眙中学的委托，江苏骏通建设项目管理咨询有限公司就该江苏省盱眙中学人工智能创新实验室采购项目进行“全流程不见面交易”采购，现邀请符合条件的供应商参加</w:t>
      </w:r>
      <w:r>
        <w:rPr>
          <w:rFonts w:hint="eastAsia" w:ascii="宋体" w:hAnsi="宋体" w:cs="宋体"/>
          <w:sz w:val="24"/>
          <w:szCs w:val="24"/>
        </w:rPr>
        <w:t>竞争性磋商</w:t>
      </w:r>
      <w:r>
        <w:rPr>
          <w:rFonts w:hint="eastAsia" w:ascii="宋体" w:hAnsi="宋体" w:cs="宋体"/>
          <w:sz w:val="24"/>
          <w:szCs w:val="24"/>
          <w:lang w:val="zh-CN"/>
        </w:rPr>
        <w:t>。</w:t>
      </w:r>
    </w:p>
    <w:p>
      <w:pPr>
        <w:rPr>
          <w:rFonts w:ascii="宋体" w:hAnsi="宋体" w:cs="宋体"/>
        </w:rPr>
      </w:pP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18" w:type="dxa"/>
            <w:noWrap/>
          </w:tcPr>
          <w:p>
            <w:pPr>
              <w:pStyle w:val="34"/>
              <w:snapToGrid w:val="0"/>
              <w:spacing w:line="400" w:lineRule="exact"/>
              <w:jc w:val="both"/>
              <w:rPr>
                <w:rFonts w:ascii="宋体" w:hAnsi="宋体" w:eastAsia="宋体" w:cs="宋体"/>
                <w:kern w:val="2"/>
                <w:szCs w:val="24"/>
                <w:highlight w:val="none"/>
                <w:lang w:val="en-US"/>
              </w:rPr>
            </w:pPr>
            <w:r>
              <w:rPr>
                <w:rFonts w:hint="eastAsia" w:ascii="宋体" w:hAnsi="宋体" w:eastAsia="宋体" w:cs="宋体"/>
                <w:kern w:val="2"/>
                <w:szCs w:val="24"/>
                <w:highlight w:val="none"/>
                <w:lang w:val="en-US"/>
              </w:rPr>
              <w:t>项目概况：</w:t>
            </w:r>
          </w:p>
          <w:p>
            <w:pPr>
              <w:pStyle w:val="34"/>
              <w:snapToGrid w:val="0"/>
              <w:spacing w:line="400" w:lineRule="exact"/>
              <w:ind w:firstLine="480" w:firstLineChars="200"/>
              <w:jc w:val="both"/>
              <w:rPr>
                <w:rFonts w:ascii="宋体" w:hAnsi="宋体" w:eastAsia="宋体" w:cs="宋体"/>
                <w:kern w:val="2"/>
                <w:szCs w:val="24"/>
                <w:highlight w:val="none"/>
                <w:lang w:val="en-US"/>
              </w:rPr>
            </w:pPr>
            <w:r>
              <w:rPr>
                <w:rFonts w:hint="eastAsia" w:ascii="宋体" w:hAnsi="宋体" w:eastAsia="宋体" w:cs="宋体"/>
                <w:kern w:val="2"/>
                <w:szCs w:val="24"/>
                <w:highlight w:val="none"/>
                <w:u w:val="single"/>
                <w:lang w:val="en-US" w:eastAsia="zh-CN"/>
              </w:rPr>
              <w:t>江苏省盱眙中学人工智能创新实验室采购项目</w:t>
            </w:r>
            <w:r>
              <w:rPr>
                <w:rFonts w:hint="eastAsia" w:ascii="宋体" w:hAnsi="宋体" w:eastAsia="宋体" w:cs="宋体"/>
                <w:kern w:val="2"/>
                <w:szCs w:val="24"/>
                <w:highlight w:val="none"/>
                <w:u w:val="single"/>
                <w:lang w:val="en-US"/>
              </w:rPr>
              <w:t xml:space="preserve"> </w:t>
            </w:r>
            <w:r>
              <w:rPr>
                <w:rFonts w:hint="eastAsia" w:ascii="宋体" w:hAnsi="宋体" w:eastAsia="宋体" w:cs="宋体"/>
                <w:kern w:val="2"/>
                <w:szCs w:val="24"/>
                <w:highlight w:val="none"/>
                <w:lang w:val="en-US"/>
              </w:rPr>
              <w:t xml:space="preserve"> 的潜在投标人应在淮安市公共资源交易网登录会员系统，</w:t>
            </w:r>
            <w:r>
              <w:rPr>
                <w:rFonts w:hint="eastAsia" w:ascii="宋体" w:hAnsi="宋体" w:eastAsia="宋体" w:cs="宋体"/>
                <w:kern w:val="2"/>
                <w:szCs w:val="24"/>
                <w:highlight w:val="none"/>
              </w:rPr>
              <w:t>http://222.184.31.247/</w:t>
            </w:r>
            <w:r>
              <w:rPr>
                <w:rFonts w:hint="eastAsia" w:ascii="宋体" w:hAnsi="宋体" w:eastAsia="宋体" w:cs="宋体"/>
                <w:kern w:val="2"/>
                <w:szCs w:val="24"/>
                <w:highlight w:val="none"/>
                <w:lang w:val="en-US"/>
              </w:rPr>
              <w:t>办理淮安市政府采购供应商诚信库、CA证书以及电子签章后，在网上填写投标信息并获取招标文件，并于</w:t>
            </w:r>
            <w:r>
              <w:rPr>
                <w:rFonts w:hint="eastAsia" w:ascii="宋体" w:hAnsi="宋体" w:eastAsia="宋体" w:cs="宋体"/>
                <w:kern w:val="2"/>
                <w:szCs w:val="24"/>
                <w:highlight w:val="none"/>
                <w:lang w:val="en-US" w:eastAsia="zh-CN"/>
              </w:rPr>
              <w:t>2023年9月21日上午9点00分</w:t>
            </w:r>
            <w:r>
              <w:rPr>
                <w:rFonts w:hint="eastAsia" w:ascii="宋体" w:hAnsi="宋体" w:eastAsia="宋体" w:cs="宋体"/>
                <w:kern w:val="2"/>
                <w:szCs w:val="24"/>
                <w:highlight w:val="none"/>
                <w:lang w:val="en-US"/>
              </w:rPr>
              <w:t>前递交投标文件。</w:t>
            </w:r>
          </w:p>
        </w:tc>
      </w:tr>
      <w:bookmarkEnd w:id="1"/>
      <w:bookmarkEnd w:id="2"/>
    </w:tbl>
    <w:p>
      <w:pPr>
        <w:pStyle w:val="3"/>
        <w:spacing w:before="0" w:after="0" w:line="390" w:lineRule="exact"/>
        <w:ind w:firstLine="361" w:firstLineChars="150"/>
        <w:rPr>
          <w:rFonts w:cs="宋体"/>
          <w:sz w:val="24"/>
          <w:lang w:val="zh-CN"/>
        </w:rPr>
      </w:pPr>
      <w:bookmarkStart w:id="3" w:name="_Toc76139099"/>
      <w:bookmarkStart w:id="4" w:name="_Toc76140712"/>
      <w:r>
        <w:rPr>
          <w:rFonts w:hint="eastAsia" w:cs="宋体"/>
          <w:sz w:val="24"/>
          <w:lang w:val="zh-CN"/>
        </w:rPr>
        <w:t>一、项目基本情况</w:t>
      </w:r>
      <w:bookmarkEnd w:id="3"/>
      <w:bookmarkEnd w:id="4"/>
    </w:p>
    <w:p>
      <w:pPr>
        <w:spacing w:line="390" w:lineRule="exact"/>
        <w:ind w:firstLine="360" w:firstLineChars="150"/>
        <w:rPr>
          <w:rFonts w:ascii="宋体" w:hAnsi="宋体" w:cs="宋体"/>
          <w:sz w:val="24"/>
          <w:szCs w:val="24"/>
          <w:lang w:val="zh-CN"/>
        </w:rPr>
      </w:pPr>
      <w:bookmarkStart w:id="5" w:name="_Toc76139100"/>
      <w:r>
        <w:rPr>
          <w:rFonts w:hint="eastAsia" w:ascii="宋体" w:hAnsi="宋体" w:cs="宋体"/>
          <w:sz w:val="24"/>
          <w:szCs w:val="24"/>
          <w:lang w:val="zh-CN"/>
        </w:rPr>
        <w:t>项目编号：</w:t>
      </w:r>
      <w:bookmarkEnd w:id="5"/>
      <w:bookmarkStart w:id="6" w:name="_Toc76139101"/>
      <w:r>
        <w:rPr>
          <w:rFonts w:hint="eastAsia" w:ascii="宋体" w:hAnsi="宋体" w:cs="宋体"/>
          <w:sz w:val="24"/>
          <w:szCs w:val="24"/>
          <w:highlight w:val="none"/>
          <w:lang w:val="zh-CN"/>
        </w:rPr>
        <w:t xml:space="preserve">HAZC-2023080244-XY </w:t>
      </w:r>
    </w:p>
    <w:p>
      <w:pPr>
        <w:spacing w:line="390" w:lineRule="exact"/>
        <w:ind w:firstLine="360" w:firstLineChars="150"/>
        <w:rPr>
          <w:rFonts w:ascii="宋体" w:hAnsi="宋体" w:cs="宋体"/>
          <w:sz w:val="24"/>
          <w:szCs w:val="24"/>
          <w:lang w:val="zh-CN"/>
        </w:rPr>
      </w:pPr>
      <w:r>
        <w:rPr>
          <w:rFonts w:hint="eastAsia" w:ascii="宋体" w:hAnsi="宋体" w:cs="宋体"/>
          <w:sz w:val="24"/>
          <w:szCs w:val="24"/>
          <w:lang w:val="zh-CN"/>
        </w:rPr>
        <w:t>项目名称：</w:t>
      </w:r>
      <w:bookmarkEnd w:id="6"/>
      <w:r>
        <w:rPr>
          <w:rFonts w:hint="eastAsia" w:ascii="宋体" w:hAnsi="宋体" w:cs="宋体"/>
          <w:sz w:val="24"/>
          <w:szCs w:val="24"/>
          <w:lang w:val="zh-CN"/>
        </w:rPr>
        <w:t>江苏省盱眙中学人工智能创新实验室采购项目</w:t>
      </w:r>
    </w:p>
    <w:p>
      <w:pPr>
        <w:spacing w:line="390" w:lineRule="exact"/>
        <w:ind w:firstLine="360" w:firstLineChars="150"/>
        <w:rPr>
          <w:rFonts w:ascii="宋体" w:hAnsi="宋体" w:cs="宋体"/>
          <w:sz w:val="24"/>
          <w:szCs w:val="24"/>
          <w:lang w:val="zh-CN"/>
        </w:rPr>
      </w:pPr>
      <w:bookmarkStart w:id="7" w:name="_Toc76139102"/>
      <w:r>
        <w:rPr>
          <w:rFonts w:hint="eastAsia" w:ascii="宋体" w:hAnsi="宋体" w:cs="宋体"/>
          <w:sz w:val="24"/>
          <w:szCs w:val="24"/>
          <w:lang w:val="zh-CN"/>
        </w:rPr>
        <w:t>预算金额：</w:t>
      </w:r>
      <w:bookmarkEnd w:id="7"/>
      <w:r>
        <w:rPr>
          <w:rFonts w:hint="eastAsia" w:ascii="宋体" w:hAnsi="宋体" w:cs="宋体"/>
          <w:sz w:val="24"/>
          <w:szCs w:val="24"/>
          <w:lang w:eastAsia="zh-CN"/>
        </w:rPr>
        <w:t>51万元</w:t>
      </w:r>
    </w:p>
    <w:p>
      <w:pPr>
        <w:spacing w:line="390" w:lineRule="exact"/>
        <w:ind w:firstLine="360" w:firstLineChars="150"/>
        <w:rPr>
          <w:rFonts w:ascii="宋体" w:hAnsi="宋体" w:cs="宋体"/>
          <w:sz w:val="24"/>
          <w:szCs w:val="24"/>
          <w:lang w:val="zh-CN"/>
        </w:rPr>
      </w:pPr>
      <w:r>
        <w:rPr>
          <w:rFonts w:hint="eastAsia" w:ascii="宋体" w:hAnsi="宋体" w:cs="宋体"/>
          <w:sz w:val="24"/>
          <w:szCs w:val="24"/>
          <w:lang w:val="zh-CN"/>
        </w:rPr>
        <w:t>最高限价：</w:t>
      </w:r>
      <w:r>
        <w:rPr>
          <w:rFonts w:hint="eastAsia" w:ascii="宋体" w:hAnsi="宋体" w:cs="宋体"/>
          <w:sz w:val="24"/>
          <w:szCs w:val="24"/>
          <w:lang w:eastAsia="zh-CN"/>
        </w:rPr>
        <w:t>51万元</w:t>
      </w:r>
    </w:p>
    <w:p>
      <w:pPr>
        <w:spacing w:line="390" w:lineRule="exact"/>
        <w:ind w:firstLine="360" w:firstLineChars="150"/>
        <w:rPr>
          <w:rFonts w:hAnsi="宋体" w:cs="宋体"/>
          <w:sz w:val="24"/>
          <w:szCs w:val="24"/>
        </w:rPr>
      </w:pPr>
      <w:bookmarkStart w:id="8" w:name="_Toc76139103"/>
      <w:r>
        <w:rPr>
          <w:rFonts w:hint="eastAsia" w:ascii="宋体" w:hAnsi="宋体" w:cs="宋体"/>
          <w:sz w:val="24"/>
          <w:szCs w:val="24"/>
          <w:lang w:val="zh-CN"/>
        </w:rPr>
        <w:t>采购需求：</w:t>
      </w:r>
      <w:bookmarkEnd w:id="8"/>
      <w:r>
        <w:rPr>
          <w:rFonts w:hint="eastAsia" w:ascii="宋体" w:hAnsi="宋体" w:cs="宋体"/>
          <w:sz w:val="24"/>
          <w:szCs w:val="24"/>
          <w:lang w:val="zh-CN"/>
        </w:rPr>
        <w:t>江苏省盱眙中学人工智能创新实验室采购项目，</w:t>
      </w:r>
      <w:bookmarkStart w:id="9" w:name="_Toc76139104"/>
      <w:r>
        <w:rPr>
          <w:rFonts w:hint="eastAsia" w:hAnsi="宋体" w:cs="宋体"/>
          <w:sz w:val="24"/>
          <w:szCs w:val="24"/>
        </w:rPr>
        <w:t>详见采购需求。</w:t>
      </w:r>
    </w:p>
    <w:p>
      <w:pPr>
        <w:spacing w:line="390" w:lineRule="exact"/>
        <w:ind w:firstLine="360" w:firstLineChars="150"/>
        <w:rPr>
          <w:rFonts w:ascii="宋体" w:hAnsi="宋体" w:cs="宋体"/>
          <w:color w:val="auto"/>
          <w:sz w:val="24"/>
          <w:szCs w:val="24"/>
          <w:highlight w:val="yellow"/>
          <w:lang w:val="zh-CN"/>
        </w:rPr>
      </w:pPr>
      <w:r>
        <w:rPr>
          <w:rFonts w:hint="eastAsia" w:ascii="宋体" w:hAnsi="宋体" w:cs="宋体"/>
          <w:sz w:val="24"/>
          <w:szCs w:val="24"/>
          <w:highlight w:val="none"/>
          <w:lang w:val="zh-CN"/>
        </w:rPr>
        <w:t>履约期限</w:t>
      </w:r>
      <w:bookmarkEnd w:id="9"/>
      <w:r>
        <w:rPr>
          <w:rFonts w:hint="eastAsia" w:ascii="宋体" w:hAnsi="宋体" w:cs="宋体"/>
          <w:sz w:val="24"/>
          <w:szCs w:val="24"/>
          <w:lang w:val="zh-CN"/>
        </w:rPr>
        <w:t>：</w:t>
      </w:r>
      <w:r>
        <w:rPr>
          <w:rFonts w:hint="eastAsia" w:ascii="宋体" w:hAnsi="宋体" w:cs="宋体"/>
          <w:color w:val="auto"/>
          <w:sz w:val="24"/>
          <w:szCs w:val="24"/>
          <w:highlight w:val="none"/>
          <w:lang w:val="en-US" w:eastAsia="zh-CN"/>
        </w:rPr>
        <w:t>合同签订后，</w:t>
      </w:r>
      <w:r>
        <w:rPr>
          <w:rFonts w:hint="eastAsia" w:ascii="宋体" w:hAnsi="宋体" w:cs="宋体"/>
          <w:color w:val="auto"/>
          <w:sz w:val="24"/>
          <w:szCs w:val="24"/>
          <w:highlight w:val="none"/>
          <w:lang w:val="zh-CN" w:eastAsia="zh-CN"/>
        </w:rPr>
        <w:t>30</w:t>
      </w:r>
      <w:r>
        <w:rPr>
          <w:rFonts w:hint="eastAsia" w:ascii="宋体" w:hAnsi="宋体" w:cs="宋体"/>
          <w:color w:val="auto"/>
          <w:sz w:val="24"/>
          <w:szCs w:val="24"/>
          <w:highlight w:val="none"/>
          <w:lang w:val="zh-CN"/>
        </w:rPr>
        <w:t>日</w:t>
      </w:r>
      <w:r>
        <w:rPr>
          <w:rFonts w:hint="eastAsia" w:ascii="宋体" w:hAnsi="宋体" w:cs="宋体"/>
          <w:color w:val="auto"/>
          <w:sz w:val="24"/>
          <w:szCs w:val="24"/>
          <w:highlight w:val="none"/>
          <w:lang w:val="zh-CN" w:eastAsia="zh-CN"/>
        </w:rPr>
        <w:t>内</w:t>
      </w:r>
      <w:r>
        <w:rPr>
          <w:rFonts w:hint="eastAsia" w:ascii="宋体" w:hAnsi="宋体" w:cs="宋体"/>
          <w:color w:val="auto"/>
          <w:sz w:val="24"/>
          <w:szCs w:val="24"/>
          <w:highlight w:val="none"/>
          <w:lang w:val="zh-CN"/>
        </w:rPr>
        <w:t>供货安装调试到位交付使用。</w:t>
      </w:r>
    </w:p>
    <w:p>
      <w:pPr>
        <w:spacing w:line="390" w:lineRule="exact"/>
        <w:ind w:firstLine="360" w:firstLineChars="150"/>
        <w:rPr>
          <w:rFonts w:ascii="宋体" w:hAnsi="宋体" w:cs="宋体"/>
          <w:sz w:val="24"/>
          <w:szCs w:val="24"/>
          <w:lang w:val="zh-CN"/>
        </w:rPr>
      </w:pPr>
      <w:bookmarkStart w:id="10" w:name="_Toc76139105"/>
      <w:r>
        <w:rPr>
          <w:rFonts w:hint="eastAsia" w:ascii="宋体" w:hAnsi="宋体" w:cs="宋体"/>
          <w:sz w:val="24"/>
          <w:szCs w:val="24"/>
          <w:lang w:val="zh-CN"/>
        </w:rPr>
        <w:t>本项目不接受联合体投标。</w:t>
      </w:r>
      <w:bookmarkEnd w:id="10"/>
    </w:p>
    <w:p>
      <w:pPr>
        <w:pStyle w:val="3"/>
        <w:spacing w:before="0" w:after="0" w:line="390" w:lineRule="exact"/>
        <w:ind w:firstLine="361" w:firstLineChars="150"/>
        <w:rPr>
          <w:rFonts w:cs="宋体"/>
          <w:sz w:val="24"/>
          <w:lang w:val="zh-CN"/>
        </w:rPr>
      </w:pPr>
      <w:bookmarkStart w:id="11" w:name="_Toc35393799"/>
      <w:bookmarkStart w:id="12" w:name="_Toc28359013"/>
      <w:bookmarkStart w:id="13" w:name="_Toc35393630"/>
      <w:bookmarkStart w:id="14" w:name="_Toc76139106"/>
      <w:bookmarkStart w:id="15" w:name="_Toc76140713"/>
      <w:r>
        <w:rPr>
          <w:rFonts w:hint="eastAsia" w:cs="宋体"/>
          <w:sz w:val="24"/>
          <w:lang w:val="zh-CN"/>
        </w:rPr>
        <w:t>二、申请人的资格要求：</w:t>
      </w:r>
      <w:bookmarkEnd w:id="11"/>
      <w:bookmarkEnd w:id="12"/>
      <w:bookmarkStart w:id="16" w:name="_Hlk38804520"/>
    </w:p>
    <w:bookmarkEnd w:id="13"/>
    <w:p>
      <w:pPr>
        <w:spacing w:line="390" w:lineRule="exact"/>
        <w:ind w:firstLine="360" w:firstLineChars="150"/>
        <w:rPr>
          <w:rFonts w:ascii="宋体" w:hAnsi="宋体" w:cs="宋体"/>
          <w:sz w:val="24"/>
          <w:szCs w:val="24"/>
          <w:lang w:val="zh-CN"/>
        </w:rPr>
      </w:pPr>
      <w:bookmarkStart w:id="17" w:name="_Toc35393800"/>
      <w:bookmarkStart w:id="18" w:name="_Toc35393631"/>
      <w:bookmarkStart w:id="19" w:name="_Toc28359091"/>
      <w:r>
        <w:rPr>
          <w:rFonts w:hint="eastAsia" w:ascii="宋体" w:hAnsi="宋体" w:cs="宋体"/>
          <w:sz w:val="24"/>
          <w:szCs w:val="24"/>
        </w:rPr>
        <w:t>1</w:t>
      </w:r>
      <w:bookmarkStart w:id="20" w:name="_Toc28359014"/>
      <w:r>
        <w:rPr>
          <w:rFonts w:hint="eastAsia" w:ascii="宋体" w:hAnsi="宋体" w:cs="宋体"/>
          <w:sz w:val="24"/>
          <w:szCs w:val="24"/>
        </w:rPr>
        <w:t>、满足《中华人民共和国政府采购法》第二十二条规定；</w:t>
      </w:r>
    </w:p>
    <w:p>
      <w:pPr>
        <w:spacing w:line="390" w:lineRule="exact"/>
        <w:ind w:firstLine="360" w:firstLineChars="150"/>
        <w:rPr>
          <w:rFonts w:ascii="宋体" w:hAnsi="宋体" w:cs="宋体"/>
          <w:sz w:val="24"/>
          <w:szCs w:val="24"/>
          <w:lang w:val="zh-CN"/>
        </w:rPr>
      </w:pPr>
      <w:r>
        <w:rPr>
          <w:rFonts w:hint="eastAsia" w:ascii="宋体" w:hAnsi="宋体" w:cs="宋体"/>
          <w:sz w:val="24"/>
          <w:szCs w:val="24"/>
        </w:rPr>
        <w:t>2、落实政府采购政策需满足的资格要求:本项目按照以下第</w:t>
      </w:r>
      <w:r>
        <w:rPr>
          <w:rFonts w:hint="eastAsia" w:ascii="宋体" w:hAnsi="宋体" w:cs="宋体"/>
          <w:sz w:val="24"/>
          <w:szCs w:val="24"/>
          <w:u w:val="single"/>
        </w:rPr>
        <w:t>1</w:t>
      </w:r>
      <w:r>
        <w:rPr>
          <w:rFonts w:hint="eastAsia" w:ascii="宋体" w:hAnsi="宋体" w:cs="宋体"/>
          <w:sz w:val="24"/>
          <w:szCs w:val="24"/>
        </w:rPr>
        <w:t>种方式落实政府采购促进中小企业发展的要求：</w:t>
      </w:r>
    </w:p>
    <w:p>
      <w:pPr>
        <w:spacing w:line="390" w:lineRule="exact"/>
        <w:ind w:firstLine="360" w:firstLineChars="150"/>
        <w:rPr>
          <w:rFonts w:ascii="宋体" w:hAnsi="宋体" w:cs="宋体"/>
          <w:sz w:val="24"/>
          <w:szCs w:val="24"/>
          <w:lang w:val="zh-CN"/>
        </w:rPr>
      </w:pPr>
      <w:r>
        <w:rPr>
          <w:rFonts w:hint="eastAsia" w:ascii="宋体" w:hAnsi="宋体" w:cs="宋体"/>
          <w:sz w:val="24"/>
          <w:szCs w:val="24"/>
        </w:rPr>
        <w:t>（1）本项目为专门面向中小企业采购的项目。</w:t>
      </w:r>
    </w:p>
    <w:p>
      <w:pPr>
        <w:spacing w:line="390" w:lineRule="exact"/>
        <w:ind w:firstLine="360" w:firstLineChars="150"/>
        <w:rPr>
          <w:rFonts w:ascii="宋体" w:hAnsi="宋体" w:cs="宋体"/>
          <w:sz w:val="24"/>
          <w:szCs w:val="24"/>
          <w:lang w:val="zh-CN"/>
        </w:rPr>
      </w:pPr>
      <w:r>
        <w:rPr>
          <w:rFonts w:hint="eastAsia" w:ascii="宋体" w:hAnsi="宋体" w:cs="宋体"/>
          <w:sz w:val="24"/>
          <w:szCs w:val="24"/>
        </w:rPr>
        <w:t>（2）本项目通过以下第（）种方式预留部分采购份额采购中小企业服务：</w:t>
      </w:r>
    </w:p>
    <w:p>
      <w:pPr>
        <w:spacing w:line="390" w:lineRule="exact"/>
        <w:ind w:firstLine="360" w:firstLineChars="150"/>
        <w:rPr>
          <w:rFonts w:ascii="宋体" w:hAnsi="宋体" w:cs="宋体"/>
          <w:sz w:val="24"/>
          <w:szCs w:val="24"/>
          <w:lang w:val="zh-CN"/>
        </w:rPr>
      </w:pPr>
      <w:r>
        <w:rPr>
          <w:rFonts w:hint="eastAsia" w:ascii="宋体" w:hAnsi="宋体" w:cs="宋体"/>
          <w:sz w:val="24"/>
          <w:szCs w:val="24"/>
        </w:rPr>
        <w:t>①本项目要求供应商以联合体形式参加，中小企业合同金额应当达到的比例为</w:t>
      </w:r>
      <w:r>
        <w:rPr>
          <w:rFonts w:hint="eastAsia" w:ascii="宋体" w:hAnsi="宋体" w:cs="宋体"/>
          <w:sz w:val="24"/>
          <w:szCs w:val="24"/>
          <w:u w:val="single"/>
        </w:rPr>
        <w:t xml:space="preserve">    %</w:t>
      </w:r>
      <w:r>
        <w:rPr>
          <w:rFonts w:hint="eastAsia" w:ascii="宋体" w:hAnsi="宋体" w:cs="宋体"/>
          <w:sz w:val="24"/>
          <w:szCs w:val="24"/>
        </w:rPr>
        <w:t>，其中小微企业所占比例应为</w:t>
      </w:r>
      <w:r>
        <w:rPr>
          <w:rFonts w:hint="eastAsia" w:ascii="宋体" w:hAnsi="宋体" w:cs="宋体"/>
          <w:sz w:val="24"/>
          <w:szCs w:val="24"/>
          <w:u w:val="single"/>
        </w:rPr>
        <w:t xml:space="preserve">    %</w:t>
      </w:r>
      <w:r>
        <w:rPr>
          <w:rFonts w:hint="eastAsia" w:ascii="宋体" w:hAnsi="宋体" w:cs="宋体"/>
          <w:sz w:val="24"/>
          <w:szCs w:val="24"/>
        </w:rPr>
        <w:t>（两项比例均应符合《政府采购促进中小企业发展管理办法》第八条规定）。</w:t>
      </w:r>
    </w:p>
    <w:p>
      <w:pPr>
        <w:spacing w:line="390" w:lineRule="exact"/>
        <w:ind w:firstLine="360" w:firstLineChars="150"/>
        <w:rPr>
          <w:rFonts w:ascii="宋体" w:hAnsi="宋体" w:cs="宋体"/>
          <w:sz w:val="24"/>
          <w:szCs w:val="24"/>
          <w:lang w:val="zh-CN"/>
        </w:rPr>
      </w:pPr>
      <w:r>
        <w:rPr>
          <w:rFonts w:hint="eastAsia" w:ascii="宋体" w:hAnsi="宋体" w:cs="宋体"/>
          <w:sz w:val="24"/>
          <w:szCs w:val="24"/>
        </w:rPr>
        <w:t>②本项目要求供应商进行合同分包，中小企业合同金额应当达到的比例为</w:t>
      </w:r>
      <w:r>
        <w:rPr>
          <w:rFonts w:hint="eastAsia" w:ascii="宋体" w:hAnsi="宋体" w:cs="宋体"/>
          <w:sz w:val="24"/>
          <w:szCs w:val="24"/>
          <w:u w:val="single"/>
        </w:rPr>
        <w:t xml:space="preserve">    %</w:t>
      </w:r>
      <w:r>
        <w:rPr>
          <w:rFonts w:hint="eastAsia" w:ascii="宋体" w:hAnsi="宋体" w:cs="宋体"/>
          <w:sz w:val="24"/>
          <w:szCs w:val="24"/>
        </w:rPr>
        <w:t>，其中小微企业所占比例应为</w:t>
      </w:r>
      <w:r>
        <w:rPr>
          <w:rFonts w:hint="eastAsia" w:ascii="宋体" w:hAnsi="宋体" w:cs="宋体"/>
          <w:sz w:val="24"/>
          <w:szCs w:val="24"/>
          <w:u w:val="single"/>
        </w:rPr>
        <w:t xml:space="preserve">    %</w:t>
      </w:r>
      <w:r>
        <w:rPr>
          <w:rFonts w:hint="eastAsia" w:ascii="宋体" w:hAnsi="宋体" w:cs="宋体"/>
          <w:sz w:val="24"/>
          <w:szCs w:val="24"/>
        </w:rPr>
        <w:t>（两项比例均应符合《政府采购促进中小企业发展管理办法》第八条规定）。</w:t>
      </w:r>
    </w:p>
    <w:p>
      <w:pPr>
        <w:spacing w:line="390" w:lineRule="exact"/>
        <w:ind w:firstLine="360" w:firstLineChars="150"/>
        <w:rPr>
          <w:rFonts w:ascii="宋体" w:hAnsi="宋体" w:cs="宋体"/>
          <w:sz w:val="24"/>
          <w:szCs w:val="24"/>
          <w:lang w:val="zh-CN"/>
        </w:rPr>
      </w:pPr>
      <w:r>
        <w:rPr>
          <w:rFonts w:hint="eastAsia" w:ascii="宋体" w:hAnsi="宋体" w:cs="宋体"/>
          <w:sz w:val="24"/>
          <w:szCs w:val="24"/>
        </w:rPr>
        <w:t>（3）本项目为非预留份额的采购项目，对小微企业报价给予扣除，用扣除后的价格参加评审。</w:t>
      </w:r>
    </w:p>
    <w:p>
      <w:pPr>
        <w:spacing w:line="390" w:lineRule="exact"/>
        <w:ind w:firstLine="360" w:firstLineChars="150"/>
        <w:rPr>
          <w:rFonts w:ascii="宋体" w:hAnsi="宋体" w:cs="宋体"/>
          <w:sz w:val="24"/>
          <w:szCs w:val="24"/>
          <w:lang w:val="zh-CN"/>
        </w:rPr>
      </w:pPr>
      <w:r>
        <w:rPr>
          <w:rFonts w:hint="eastAsia" w:ascii="宋体" w:hAnsi="宋体" w:cs="宋体"/>
          <w:sz w:val="24"/>
          <w:szCs w:val="24"/>
        </w:rPr>
        <w:t>3</w:t>
      </w:r>
      <w:r>
        <w:rPr>
          <w:rFonts w:hint="eastAsia" w:ascii="宋体" w:hAnsi="宋体" w:cs="宋体"/>
          <w:sz w:val="24"/>
          <w:szCs w:val="24"/>
          <w:lang w:val="zh-CN"/>
        </w:rPr>
        <w:t>、本项目的特定资格要求：</w:t>
      </w:r>
    </w:p>
    <w:p>
      <w:pPr>
        <w:pStyle w:val="15"/>
        <w:rPr>
          <w:lang w:val="zh-CN"/>
        </w:rPr>
      </w:pPr>
    </w:p>
    <w:tbl>
      <w:tblPr>
        <w:tblStyle w:val="17"/>
        <w:tblW w:w="5161"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1031"/>
        <w:gridCol w:w="778"/>
        <w:gridCol w:w="5814"/>
        <w:gridCol w:w="2901"/>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33" w:hRule="atLeast"/>
          <w:jc w:val="center"/>
        </w:trPr>
        <w:tc>
          <w:tcPr>
            <w:tcW w:w="1031" w:type="dxa"/>
            <w:tcBorders>
              <w:top w:val="single" w:color="auto" w:sz="8" w:space="0"/>
              <w:left w:val="single" w:color="auto" w:sz="8" w:space="0"/>
              <w:bottom w:val="single" w:color="auto" w:sz="4" w:space="0"/>
              <w:right w:val="single" w:color="auto" w:sz="8" w:space="0"/>
            </w:tcBorders>
            <w:noWrap/>
            <w:tcMar>
              <w:left w:w="108" w:type="dxa"/>
              <w:right w:w="108" w:type="dxa"/>
            </w:tcMar>
            <w:vAlign w:val="center"/>
          </w:tcPr>
          <w:p>
            <w:pPr>
              <w:spacing w:line="340" w:lineRule="exact"/>
              <w:rPr>
                <w:rFonts w:ascii="宋体" w:hAnsi="宋体" w:cs="宋体"/>
                <w:sz w:val="24"/>
                <w:szCs w:val="24"/>
                <w:lang w:val="zh-CN"/>
              </w:rPr>
            </w:pPr>
            <w:r>
              <w:rPr>
                <w:rFonts w:hint="eastAsia" w:ascii="宋体" w:hAnsi="宋体" w:cs="宋体"/>
                <w:sz w:val="24"/>
                <w:szCs w:val="24"/>
                <w:lang w:val="zh-CN"/>
              </w:rPr>
              <w:t>序号</w:t>
            </w:r>
          </w:p>
        </w:tc>
        <w:tc>
          <w:tcPr>
            <w:tcW w:w="6592" w:type="dxa"/>
            <w:gridSpan w:val="2"/>
            <w:tcBorders>
              <w:top w:val="single" w:color="auto" w:sz="8" w:space="0"/>
              <w:left w:val="nil"/>
              <w:bottom w:val="single" w:color="auto" w:sz="4" w:space="0"/>
              <w:right w:val="single" w:color="auto" w:sz="8" w:space="0"/>
            </w:tcBorders>
            <w:noWrap/>
            <w:tcMar>
              <w:left w:w="108" w:type="dxa"/>
              <w:right w:w="108" w:type="dxa"/>
            </w:tcMar>
            <w:vAlign w:val="center"/>
          </w:tcPr>
          <w:p>
            <w:pPr>
              <w:spacing w:line="340" w:lineRule="exact"/>
              <w:ind w:firstLine="360" w:firstLineChars="150"/>
              <w:rPr>
                <w:rFonts w:ascii="宋体" w:hAnsi="宋体" w:cs="宋体"/>
                <w:sz w:val="24"/>
                <w:szCs w:val="24"/>
                <w:lang w:val="zh-CN"/>
              </w:rPr>
            </w:pPr>
            <w:r>
              <w:rPr>
                <w:rFonts w:hint="eastAsia" w:ascii="宋体" w:hAnsi="宋体" w:cs="宋体"/>
                <w:sz w:val="24"/>
                <w:szCs w:val="24"/>
                <w:lang w:val="zh-CN"/>
              </w:rPr>
              <w:t>资质内容</w:t>
            </w:r>
          </w:p>
        </w:tc>
        <w:tc>
          <w:tcPr>
            <w:tcW w:w="2901" w:type="dxa"/>
            <w:tcBorders>
              <w:top w:val="single" w:color="auto" w:sz="8" w:space="0"/>
              <w:left w:val="nil"/>
              <w:bottom w:val="single" w:color="auto" w:sz="4" w:space="0"/>
              <w:right w:val="single" w:color="auto" w:sz="8" w:space="0"/>
            </w:tcBorders>
            <w:noWrap/>
            <w:tcMar>
              <w:left w:w="108" w:type="dxa"/>
              <w:right w:w="108" w:type="dxa"/>
            </w:tcMar>
            <w:vAlign w:val="center"/>
          </w:tcPr>
          <w:p>
            <w:pPr>
              <w:spacing w:line="340" w:lineRule="exact"/>
              <w:ind w:firstLine="360" w:firstLineChars="150"/>
              <w:rPr>
                <w:rFonts w:ascii="宋体" w:hAnsi="宋体" w:cs="宋体"/>
                <w:sz w:val="24"/>
                <w:szCs w:val="24"/>
                <w:lang w:val="zh-CN"/>
              </w:rPr>
            </w:pPr>
            <w:r>
              <w:rPr>
                <w:rFonts w:hint="eastAsia" w:ascii="宋体" w:hAnsi="宋体" w:cs="宋体"/>
                <w:sz w:val="24"/>
                <w:szCs w:val="24"/>
                <w:lang w:val="zh-CN"/>
              </w:rPr>
              <w:t>提交形式</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78" w:hRule="atLeast"/>
          <w:jc w:val="center"/>
        </w:trPr>
        <w:tc>
          <w:tcPr>
            <w:tcW w:w="1031" w:type="dxa"/>
            <w:vMerge w:val="restart"/>
            <w:tcBorders>
              <w:top w:val="single" w:color="auto" w:sz="4" w:space="0"/>
              <w:left w:val="single" w:color="auto" w:sz="4" w:space="0"/>
              <w:bottom w:val="single" w:color="auto" w:sz="4" w:space="0"/>
              <w:right w:val="single" w:color="auto" w:sz="4" w:space="0"/>
            </w:tcBorders>
            <w:noWrap/>
            <w:tcMar>
              <w:left w:w="108" w:type="dxa"/>
              <w:right w:w="108" w:type="dxa"/>
            </w:tcMar>
            <w:vAlign w:val="center"/>
          </w:tcPr>
          <w:p>
            <w:pPr>
              <w:spacing w:line="340" w:lineRule="exact"/>
              <w:ind w:firstLine="360" w:firstLineChars="150"/>
              <w:rPr>
                <w:rFonts w:ascii="宋体" w:hAnsi="宋体" w:cs="宋体"/>
                <w:sz w:val="24"/>
                <w:szCs w:val="24"/>
                <w:lang w:val="zh-CN"/>
              </w:rPr>
            </w:pPr>
            <w:r>
              <w:rPr>
                <w:rFonts w:hint="eastAsia" w:ascii="宋体" w:hAnsi="宋体" w:cs="宋体"/>
                <w:sz w:val="24"/>
                <w:szCs w:val="24"/>
              </w:rPr>
              <w:t>1（</w:t>
            </w:r>
            <w:r>
              <w:rPr>
                <w:rFonts w:hint="eastAsia" w:ascii="宋体" w:hAnsi="宋体" w:cs="宋体"/>
                <w:sz w:val="24"/>
                <w:szCs w:val="24"/>
                <w:lang w:val="zh-CN"/>
              </w:rPr>
              <w:t>供应商可任选其中</w:t>
            </w:r>
            <w:r>
              <w:rPr>
                <w:rFonts w:hint="eastAsia" w:ascii="宋体" w:hAnsi="宋体" w:cs="宋体"/>
                <w:sz w:val="24"/>
                <w:szCs w:val="24"/>
              </w:rPr>
              <w:t>1</w:t>
            </w:r>
            <w:r>
              <w:rPr>
                <w:rFonts w:hint="eastAsia" w:ascii="宋体" w:hAnsi="宋体" w:cs="宋体"/>
                <w:sz w:val="24"/>
                <w:szCs w:val="24"/>
                <w:lang w:val="zh-CN"/>
              </w:rPr>
              <w:t>项提供材料，</w:t>
            </w:r>
            <w:r>
              <w:rPr>
                <w:rFonts w:hint="eastAsia" w:ascii="宋体" w:hAnsi="宋体" w:cs="宋体"/>
                <w:sz w:val="24"/>
                <w:szCs w:val="24"/>
              </w:rPr>
              <w:t>2</w:t>
            </w:r>
            <w:r>
              <w:rPr>
                <w:rFonts w:hint="eastAsia" w:ascii="宋体" w:hAnsi="宋体" w:cs="宋体"/>
                <w:sz w:val="24"/>
                <w:szCs w:val="24"/>
                <w:lang w:val="zh-CN"/>
              </w:rPr>
              <w:t>选</w:t>
            </w:r>
            <w:r>
              <w:rPr>
                <w:rFonts w:hint="eastAsia" w:ascii="宋体" w:hAnsi="宋体" w:cs="宋体"/>
                <w:sz w:val="24"/>
                <w:szCs w:val="24"/>
              </w:rPr>
              <w:t>1</w:t>
            </w:r>
            <w:r>
              <w:rPr>
                <w:rFonts w:hint="eastAsia" w:ascii="宋体" w:hAnsi="宋体" w:cs="宋体"/>
                <w:sz w:val="24"/>
                <w:szCs w:val="24"/>
                <w:lang w:val="zh-CN"/>
              </w:rPr>
              <w:t>）</w:t>
            </w:r>
          </w:p>
        </w:tc>
        <w:tc>
          <w:tcPr>
            <w:tcW w:w="778" w:type="dxa"/>
            <w:vMerge w:val="restart"/>
            <w:tcBorders>
              <w:top w:val="single" w:color="auto" w:sz="4" w:space="0"/>
              <w:left w:val="single" w:color="auto" w:sz="4" w:space="0"/>
              <w:bottom w:val="single" w:color="auto" w:sz="4" w:space="0"/>
              <w:right w:val="single" w:color="auto" w:sz="4" w:space="0"/>
            </w:tcBorders>
            <w:noWrap/>
            <w:tcMar>
              <w:left w:w="108" w:type="dxa"/>
              <w:right w:w="108" w:type="dxa"/>
            </w:tcMar>
            <w:vAlign w:val="center"/>
          </w:tcPr>
          <w:p>
            <w:pPr>
              <w:spacing w:line="340" w:lineRule="exact"/>
              <w:rPr>
                <w:rFonts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1</w:t>
            </w:r>
            <w:r>
              <w:rPr>
                <w:rFonts w:hint="eastAsia" w:ascii="宋体" w:hAnsi="宋体" w:cs="宋体"/>
                <w:sz w:val="24"/>
                <w:szCs w:val="24"/>
                <w:lang w:val="zh-CN"/>
              </w:rPr>
              <w:t>）</w:t>
            </w:r>
          </w:p>
        </w:tc>
        <w:tc>
          <w:tcPr>
            <w:tcW w:w="5814" w:type="dxa"/>
            <w:tcBorders>
              <w:top w:val="single" w:color="auto" w:sz="4" w:space="0"/>
              <w:left w:val="single" w:color="auto" w:sz="4" w:space="0"/>
              <w:bottom w:val="single" w:color="auto" w:sz="4" w:space="0"/>
              <w:right w:val="single" w:color="auto" w:sz="4" w:space="0"/>
            </w:tcBorders>
            <w:noWrap/>
            <w:tcMar>
              <w:left w:w="108" w:type="dxa"/>
              <w:right w:w="108" w:type="dxa"/>
            </w:tcMar>
            <w:vAlign w:val="center"/>
          </w:tcPr>
          <w:p>
            <w:pPr>
              <w:spacing w:line="340" w:lineRule="exact"/>
              <w:rPr>
                <w:rFonts w:ascii="宋体" w:hAnsi="宋体" w:cs="宋体"/>
                <w:sz w:val="24"/>
                <w:szCs w:val="24"/>
                <w:lang w:val="zh-CN"/>
              </w:rPr>
            </w:pPr>
            <w:r>
              <w:rPr>
                <w:rFonts w:hint="eastAsia" w:ascii="宋体" w:hAnsi="宋体" w:cs="宋体"/>
                <w:sz w:val="24"/>
                <w:szCs w:val="24"/>
                <w:lang w:val="zh-CN"/>
              </w:rPr>
              <w:t>法定代表人资格证明（格式按照示范格式一要求）</w:t>
            </w:r>
          </w:p>
        </w:tc>
        <w:tc>
          <w:tcPr>
            <w:tcW w:w="2901" w:type="dxa"/>
            <w:tcBorders>
              <w:top w:val="single" w:color="auto" w:sz="4" w:space="0"/>
              <w:left w:val="single" w:color="auto" w:sz="4" w:space="0"/>
              <w:bottom w:val="single" w:color="auto" w:sz="4" w:space="0"/>
              <w:right w:val="single" w:color="auto" w:sz="4" w:space="0"/>
            </w:tcBorders>
            <w:noWrap/>
            <w:tcMar>
              <w:left w:w="108" w:type="dxa"/>
              <w:right w:w="108" w:type="dxa"/>
            </w:tcMar>
            <w:vAlign w:val="center"/>
          </w:tcPr>
          <w:p>
            <w:pPr>
              <w:spacing w:line="340" w:lineRule="exact"/>
              <w:rPr>
                <w:rFonts w:ascii="宋体" w:hAnsi="宋体" w:cs="宋体"/>
                <w:sz w:val="24"/>
                <w:szCs w:val="24"/>
                <w:lang w:val="zh-CN"/>
              </w:rPr>
            </w:pPr>
            <w:r>
              <w:rPr>
                <w:rFonts w:hint="eastAsia" w:ascii="宋体" w:hAnsi="宋体" w:cs="宋体"/>
                <w:kern w:val="0"/>
                <w:sz w:val="24"/>
              </w:rPr>
              <w:t>扫描件上传至电子标书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40" w:hRule="atLeast"/>
          <w:jc w:val="center"/>
        </w:trPr>
        <w:tc>
          <w:tcPr>
            <w:tcW w:w="1031" w:type="dxa"/>
            <w:vMerge w:val="continue"/>
            <w:tcBorders>
              <w:top w:val="single" w:color="auto" w:sz="4" w:space="0"/>
              <w:left w:val="single" w:color="auto" w:sz="4" w:space="0"/>
              <w:bottom w:val="single" w:color="auto" w:sz="4" w:space="0"/>
              <w:right w:val="single" w:color="auto" w:sz="4" w:space="0"/>
            </w:tcBorders>
            <w:noWrap/>
            <w:tcMar>
              <w:left w:w="108" w:type="dxa"/>
              <w:right w:w="108" w:type="dxa"/>
            </w:tcMar>
            <w:vAlign w:val="center"/>
          </w:tcPr>
          <w:p>
            <w:pPr>
              <w:spacing w:line="340" w:lineRule="exact"/>
              <w:ind w:firstLine="360" w:firstLineChars="150"/>
              <w:rPr>
                <w:rFonts w:ascii="宋体" w:hAnsi="宋体" w:cs="宋体"/>
                <w:sz w:val="24"/>
                <w:szCs w:val="24"/>
                <w:lang w:val="zh-CN"/>
              </w:rPr>
            </w:pPr>
          </w:p>
        </w:tc>
        <w:tc>
          <w:tcPr>
            <w:tcW w:w="778" w:type="dxa"/>
            <w:vMerge w:val="continue"/>
            <w:tcBorders>
              <w:top w:val="single" w:color="auto" w:sz="4" w:space="0"/>
              <w:left w:val="single" w:color="auto" w:sz="4" w:space="0"/>
              <w:bottom w:val="single" w:color="auto" w:sz="4" w:space="0"/>
              <w:right w:val="single" w:color="auto" w:sz="4" w:space="0"/>
            </w:tcBorders>
            <w:noWrap/>
            <w:tcMar>
              <w:left w:w="108" w:type="dxa"/>
              <w:right w:w="108" w:type="dxa"/>
            </w:tcMar>
            <w:vAlign w:val="center"/>
          </w:tcPr>
          <w:p>
            <w:pPr>
              <w:spacing w:line="340" w:lineRule="exact"/>
              <w:ind w:firstLine="360" w:firstLineChars="150"/>
              <w:rPr>
                <w:rFonts w:ascii="宋体" w:hAnsi="宋体" w:cs="宋体"/>
                <w:sz w:val="24"/>
                <w:szCs w:val="24"/>
                <w:lang w:val="zh-CN"/>
              </w:rPr>
            </w:pPr>
          </w:p>
        </w:tc>
        <w:tc>
          <w:tcPr>
            <w:tcW w:w="5814" w:type="dxa"/>
            <w:tcBorders>
              <w:top w:val="single" w:color="auto" w:sz="4" w:space="0"/>
              <w:left w:val="single" w:color="auto" w:sz="4" w:space="0"/>
              <w:bottom w:val="single" w:color="auto" w:sz="4" w:space="0"/>
              <w:right w:val="single" w:color="auto" w:sz="4" w:space="0"/>
            </w:tcBorders>
            <w:noWrap/>
            <w:tcMar>
              <w:left w:w="108" w:type="dxa"/>
              <w:right w:w="108" w:type="dxa"/>
            </w:tcMar>
            <w:vAlign w:val="center"/>
          </w:tcPr>
          <w:p>
            <w:pPr>
              <w:spacing w:line="340" w:lineRule="exact"/>
              <w:rPr>
                <w:rFonts w:ascii="宋体" w:hAnsi="宋体" w:cs="宋体"/>
                <w:sz w:val="24"/>
                <w:szCs w:val="24"/>
                <w:lang w:val="zh-CN"/>
              </w:rPr>
            </w:pPr>
            <w:r>
              <w:rPr>
                <w:rFonts w:hint="eastAsia" w:ascii="宋体" w:hAnsi="宋体" w:cs="宋体"/>
                <w:sz w:val="24"/>
                <w:szCs w:val="24"/>
                <w:lang w:val="zh-CN"/>
              </w:rPr>
              <w:t>法定代表人身份证</w:t>
            </w:r>
          </w:p>
        </w:tc>
        <w:tc>
          <w:tcPr>
            <w:tcW w:w="2901" w:type="dxa"/>
            <w:tcBorders>
              <w:top w:val="single" w:color="auto" w:sz="4" w:space="0"/>
              <w:left w:val="single" w:color="auto" w:sz="4" w:space="0"/>
              <w:bottom w:val="single" w:color="auto" w:sz="4" w:space="0"/>
              <w:right w:val="single" w:color="auto" w:sz="4" w:space="0"/>
            </w:tcBorders>
            <w:noWrap/>
            <w:tcMar>
              <w:left w:w="108" w:type="dxa"/>
              <w:right w:w="108" w:type="dxa"/>
            </w:tcMar>
            <w:vAlign w:val="center"/>
          </w:tcPr>
          <w:p>
            <w:pPr>
              <w:spacing w:line="340" w:lineRule="exact"/>
              <w:rPr>
                <w:rFonts w:ascii="宋体" w:hAnsi="宋体" w:cs="宋体"/>
                <w:sz w:val="24"/>
                <w:szCs w:val="24"/>
                <w:lang w:val="zh-CN"/>
              </w:rPr>
            </w:pPr>
            <w:r>
              <w:rPr>
                <w:rFonts w:hint="eastAsia" w:ascii="宋体" w:hAnsi="宋体" w:cs="宋体"/>
                <w:kern w:val="0"/>
                <w:sz w:val="24"/>
              </w:rPr>
              <w:t>扫描件上传至电子标书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003" w:hRule="atLeast"/>
          <w:jc w:val="center"/>
        </w:trPr>
        <w:tc>
          <w:tcPr>
            <w:tcW w:w="1031" w:type="dxa"/>
            <w:vMerge w:val="continue"/>
            <w:tcBorders>
              <w:top w:val="single" w:color="auto" w:sz="4" w:space="0"/>
              <w:left w:val="single" w:color="auto" w:sz="4" w:space="0"/>
              <w:bottom w:val="single" w:color="auto" w:sz="8" w:space="0"/>
              <w:right w:val="single" w:color="auto" w:sz="8" w:space="0"/>
            </w:tcBorders>
            <w:noWrap/>
            <w:tcMar>
              <w:left w:w="108" w:type="dxa"/>
              <w:right w:w="108" w:type="dxa"/>
            </w:tcMar>
            <w:vAlign w:val="center"/>
          </w:tcPr>
          <w:p>
            <w:pPr>
              <w:spacing w:line="340" w:lineRule="exact"/>
              <w:ind w:firstLine="360" w:firstLineChars="150"/>
              <w:rPr>
                <w:rFonts w:ascii="宋体" w:hAnsi="宋体" w:cs="宋体"/>
                <w:sz w:val="24"/>
                <w:szCs w:val="24"/>
                <w:lang w:val="zh-CN"/>
              </w:rPr>
            </w:pPr>
          </w:p>
        </w:tc>
        <w:tc>
          <w:tcPr>
            <w:tcW w:w="778" w:type="dxa"/>
            <w:vMerge w:val="restart"/>
            <w:tcBorders>
              <w:top w:val="single" w:color="auto" w:sz="4" w:space="0"/>
              <w:left w:val="nil"/>
              <w:bottom w:val="single" w:color="auto" w:sz="8" w:space="0"/>
              <w:right w:val="single" w:color="auto" w:sz="8" w:space="0"/>
            </w:tcBorders>
            <w:noWrap/>
            <w:tcMar>
              <w:left w:w="108" w:type="dxa"/>
              <w:right w:w="108" w:type="dxa"/>
            </w:tcMar>
            <w:vAlign w:val="center"/>
          </w:tcPr>
          <w:p>
            <w:pPr>
              <w:spacing w:line="340" w:lineRule="exact"/>
              <w:rPr>
                <w:rFonts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2</w:t>
            </w:r>
            <w:r>
              <w:rPr>
                <w:rFonts w:hint="eastAsia" w:ascii="宋体" w:hAnsi="宋体" w:cs="宋体"/>
                <w:sz w:val="24"/>
                <w:szCs w:val="24"/>
                <w:lang w:val="zh-CN"/>
              </w:rPr>
              <w:t>）</w:t>
            </w:r>
          </w:p>
        </w:tc>
        <w:tc>
          <w:tcPr>
            <w:tcW w:w="5814" w:type="dxa"/>
            <w:tcBorders>
              <w:top w:val="single" w:color="auto" w:sz="4" w:space="0"/>
              <w:left w:val="nil"/>
              <w:bottom w:val="single" w:color="auto" w:sz="8" w:space="0"/>
              <w:right w:val="single" w:color="auto" w:sz="8" w:space="0"/>
            </w:tcBorders>
            <w:noWrap/>
            <w:tcMar>
              <w:left w:w="108" w:type="dxa"/>
              <w:right w:w="108" w:type="dxa"/>
            </w:tcMar>
            <w:vAlign w:val="center"/>
          </w:tcPr>
          <w:p>
            <w:pPr>
              <w:spacing w:line="340" w:lineRule="exact"/>
              <w:rPr>
                <w:rFonts w:ascii="宋体" w:hAnsi="宋体" w:cs="宋体"/>
                <w:sz w:val="24"/>
                <w:szCs w:val="24"/>
                <w:lang w:val="zh-CN"/>
              </w:rPr>
            </w:pPr>
            <w:r>
              <w:rPr>
                <w:rFonts w:hint="eastAsia" w:ascii="宋体" w:hAnsi="宋体" w:cs="宋体"/>
                <w:sz w:val="24"/>
                <w:szCs w:val="24"/>
                <w:lang w:val="zh-CN"/>
              </w:rPr>
              <w:t>授权委托书（格式按照示范格式二要求）</w:t>
            </w:r>
          </w:p>
        </w:tc>
        <w:tc>
          <w:tcPr>
            <w:tcW w:w="2901" w:type="dxa"/>
            <w:tcBorders>
              <w:top w:val="single" w:color="auto" w:sz="4" w:space="0"/>
              <w:left w:val="nil"/>
              <w:bottom w:val="single" w:color="auto" w:sz="8" w:space="0"/>
              <w:right w:val="single" w:color="auto" w:sz="8" w:space="0"/>
            </w:tcBorders>
            <w:noWrap/>
            <w:tcMar>
              <w:left w:w="108" w:type="dxa"/>
              <w:right w:w="108" w:type="dxa"/>
            </w:tcMar>
            <w:vAlign w:val="center"/>
          </w:tcPr>
          <w:p>
            <w:pPr>
              <w:spacing w:line="340" w:lineRule="exact"/>
              <w:rPr>
                <w:rFonts w:ascii="宋体" w:hAnsi="宋体" w:cs="宋体"/>
                <w:sz w:val="24"/>
                <w:szCs w:val="24"/>
                <w:lang w:val="zh-CN"/>
              </w:rPr>
            </w:pPr>
            <w:r>
              <w:rPr>
                <w:rFonts w:hint="eastAsia" w:ascii="宋体" w:hAnsi="宋体" w:cs="宋体"/>
                <w:kern w:val="0"/>
                <w:sz w:val="24"/>
              </w:rPr>
              <w:t>扫描件上传至电子标书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78" w:hRule="atLeast"/>
          <w:jc w:val="center"/>
        </w:trPr>
        <w:tc>
          <w:tcPr>
            <w:tcW w:w="1031" w:type="dxa"/>
            <w:vMerge w:val="continue"/>
            <w:tcBorders>
              <w:top w:val="nil"/>
              <w:left w:val="single" w:color="auto" w:sz="4" w:space="0"/>
              <w:bottom w:val="single" w:color="auto" w:sz="8" w:space="0"/>
              <w:right w:val="single" w:color="auto" w:sz="8" w:space="0"/>
            </w:tcBorders>
            <w:noWrap/>
            <w:tcMar>
              <w:left w:w="108" w:type="dxa"/>
              <w:right w:w="108" w:type="dxa"/>
            </w:tcMar>
            <w:vAlign w:val="center"/>
          </w:tcPr>
          <w:p>
            <w:pPr>
              <w:spacing w:line="340" w:lineRule="exact"/>
              <w:ind w:firstLine="360" w:firstLineChars="150"/>
              <w:rPr>
                <w:rFonts w:ascii="宋体" w:hAnsi="宋体" w:cs="宋体"/>
                <w:sz w:val="24"/>
                <w:szCs w:val="24"/>
                <w:lang w:val="zh-CN"/>
              </w:rPr>
            </w:pPr>
          </w:p>
        </w:tc>
        <w:tc>
          <w:tcPr>
            <w:tcW w:w="778" w:type="dxa"/>
            <w:vMerge w:val="continue"/>
            <w:tcBorders>
              <w:top w:val="nil"/>
              <w:left w:val="nil"/>
              <w:bottom w:val="single" w:color="auto" w:sz="8" w:space="0"/>
              <w:right w:val="single" w:color="auto" w:sz="8" w:space="0"/>
            </w:tcBorders>
            <w:noWrap/>
            <w:tcMar>
              <w:left w:w="108" w:type="dxa"/>
              <w:right w:w="108" w:type="dxa"/>
            </w:tcMar>
            <w:vAlign w:val="center"/>
          </w:tcPr>
          <w:p>
            <w:pPr>
              <w:spacing w:line="340" w:lineRule="exact"/>
              <w:ind w:firstLine="360" w:firstLineChars="150"/>
              <w:rPr>
                <w:rFonts w:ascii="宋体" w:hAnsi="宋体" w:cs="宋体"/>
                <w:sz w:val="24"/>
                <w:szCs w:val="24"/>
                <w:lang w:val="zh-CN"/>
              </w:rPr>
            </w:pPr>
          </w:p>
        </w:tc>
        <w:tc>
          <w:tcPr>
            <w:tcW w:w="5814" w:type="dxa"/>
            <w:tcBorders>
              <w:top w:val="nil"/>
              <w:left w:val="nil"/>
              <w:bottom w:val="single" w:color="auto" w:sz="8" w:space="0"/>
              <w:right w:val="single" w:color="auto" w:sz="8" w:space="0"/>
            </w:tcBorders>
            <w:noWrap/>
            <w:tcMar>
              <w:left w:w="108" w:type="dxa"/>
              <w:right w:w="108" w:type="dxa"/>
            </w:tcMar>
            <w:vAlign w:val="center"/>
          </w:tcPr>
          <w:p>
            <w:pPr>
              <w:spacing w:line="340" w:lineRule="exact"/>
              <w:rPr>
                <w:rFonts w:ascii="宋体" w:hAnsi="宋体" w:cs="宋体"/>
                <w:sz w:val="24"/>
                <w:szCs w:val="24"/>
                <w:lang w:val="zh-CN"/>
              </w:rPr>
            </w:pPr>
            <w:r>
              <w:rPr>
                <w:rFonts w:hint="eastAsia" w:ascii="宋体" w:hAnsi="宋体" w:cs="宋体"/>
                <w:sz w:val="24"/>
                <w:szCs w:val="24"/>
                <w:lang w:val="zh-CN"/>
              </w:rPr>
              <w:t>受托人身份证</w:t>
            </w:r>
          </w:p>
        </w:tc>
        <w:tc>
          <w:tcPr>
            <w:tcW w:w="2901" w:type="dxa"/>
            <w:tcBorders>
              <w:top w:val="nil"/>
              <w:left w:val="nil"/>
              <w:bottom w:val="single" w:color="auto" w:sz="8" w:space="0"/>
              <w:right w:val="single" w:color="auto" w:sz="8" w:space="0"/>
            </w:tcBorders>
            <w:noWrap/>
            <w:tcMar>
              <w:left w:w="108" w:type="dxa"/>
              <w:right w:w="108" w:type="dxa"/>
            </w:tcMar>
            <w:vAlign w:val="center"/>
          </w:tcPr>
          <w:p>
            <w:pPr>
              <w:spacing w:line="340" w:lineRule="exact"/>
              <w:rPr>
                <w:rFonts w:ascii="宋体" w:hAnsi="宋体" w:cs="宋体"/>
                <w:sz w:val="24"/>
                <w:szCs w:val="24"/>
                <w:lang w:val="zh-CN"/>
              </w:rPr>
            </w:pPr>
            <w:r>
              <w:rPr>
                <w:rFonts w:hint="eastAsia" w:ascii="宋体" w:hAnsi="宋体" w:cs="宋体"/>
                <w:kern w:val="0"/>
                <w:sz w:val="24"/>
              </w:rPr>
              <w:t>扫描件上传至电子标书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82" w:hRule="atLeast"/>
          <w:jc w:val="center"/>
        </w:trPr>
        <w:tc>
          <w:tcPr>
            <w:tcW w:w="1031" w:type="dxa"/>
            <w:tcBorders>
              <w:top w:val="nil"/>
              <w:left w:val="single" w:color="auto" w:sz="8" w:space="0"/>
              <w:bottom w:val="single" w:color="auto" w:sz="8" w:space="0"/>
              <w:right w:val="single" w:color="auto" w:sz="8" w:space="0"/>
            </w:tcBorders>
            <w:noWrap/>
            <w:tcMar>
              <w:left w:w="108" w:type="dxa"/>
              <w:right w:w="108" w:type="dxa"/>
            </w:tcMar>
            <w:vAlign w:val="center"/>
          </w:tcPr>
          <w:p>
            <w:pPr>
              <w:spacing w:line="340" w:lineRule="exact"/>
              <w:ind w:firstLine="360" w:firstLineChars="150"/>
              <w:rPr>
                <w:rFonts w:ascii="宋体" w:hAnsi="宋体" w:cs="宋体"/>
                <w:sz w:val="24"/>
                <w:szCs w:val="24"/>
                <w:lang w:val="zh-CN"/>
              </w:rPr>
            </w:pPr>
            <w:r>
              <w:rPr>
                <w:rFonts w:hint="eastAsia" w:ascii="宋体" w:hAnsi="宋体" w:cs="宋体"/>
                <w:sz w:val="24"/>
                <w:szCs w:val="24"/>
              </w:rPr>
              <w:t>2</w:t>
            </w:r>
          </w:p>
        </w:tc>
        <w:tc>
          <w:tcPr>
            <w:tcW w:w="6592" w:type="dxa"/>
            <w:gridSpan w:val="2"/>
            <w:tcBorders>
              <w:top w:val="nil"/>
              <w:left w:val="nil"/>
              <w:bottom w:val="single" w:color="auto" w:sz="8" w:space="0"/>
              <w:right w:val="single" w:color="auto" w:sz="8" w:space="0"/>
            </w:tcBorders>
            <w:noWrap/>
            <w:tcMar>
              <w:left w:w="108" w:type="dxa"/>
              <w:right w:w="108" w:type="dxa"/>
            </w:tcMar>
            <w:vAlign w:val="center"/>
          </w:tcPr>
          <w:p>
            <w:pPr>
              <w:spacing w:line="340" w:lineRule="exact"/>
              <w:rPr>
                <w:rFonts w:ascii="宋体" w:hAnsi="宋体" w:cs="宋体"/>
                <w:sz w:val="24"/>
                <w:szCs w:val="24"/>
                <w:lang w:val="zh-CN"/>
              </w:rPr>
            </w:pPr>
            <w:r>
              <w:rPr>
                <w:rFonts w:hint="eastAsia" w:ascii="宋体" w:hAnsi="宋体" w:cs="宋体"/>
                <w:sz w:val="24"/>
                <w:szCs w:val="24"/>
                <w:lang w:val="zh-CN"/>
              </w:rPr>
              <w:t>有效的营业执照</w:t>
            </w:r>
          </w:p>
        </w:tc>
        <w:tc>
          <w:tcPr>
            <w:tcW w:w="2901" w:type="dxa"/>
            <w:tcBorders>
              <w:top w:val="nil"/>
              <w:left w:val="nil"/>
              <w:bottom w:val="single" w:color="auto" w:sz="8" w:space="0"/>
              <w:right w:val="single" w:color="auto" w:sz="8" w:space="0"/>
            </w:tcBorders>
            <w:noWrap/>
            <w:tcMar>
              <w:left w:w="108" w:type="dxa"/>
              <w:right w:w="108" w:type="dxa"/>
            </w:tcMar>
            <w:vAlign w:val="center"/>
          </w:tcPr>
          <w:p>
            <w:pPr>
              <w:spacing w:line="340" w:lineRule="exact"/>
              <w:rPr>
                <w:rFonts w:ascii="宋体" w:hAnsi="宋体" w:cs="宋体"/>
                <w:sz w:val="24"/>
                <w:szCs w:val="24"/>
                <w:lang w:val="zh-CN"/>
              </w:rPr>
            </w:pPr>
            <w:r>
              <w:rPr>
                <w:rFonts w:hint="eastAsia" w:ascii="宋体" w:hAnsi="宋体" w:cs="宋体"/>
                <w:kern w:val="0"/>
                <w:sz w:val="24"/>
              </w:rPr>
              <w:t>扫描件上传至电子标书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06" w:hRule="atLeast"/>
          <w:jc w:val="center"/>
        </w:trPr>
        <w:tc>
          <w:tcPr>
            <w:tcW w:w="1031" w:type="dxa"/>
            <w:tcBorders>
              <w:top w:val="single" w:color="auto" w:sz="4" w:space="0"/>
              <w:left w:val="single" w:color="auto" w:sz="8" w:space="0"/>
              <w:bottom w:val="single" w:color="auto" w:sz="4" w:space="0"/>
              <w:right w:val="single" w:color="auto" w:sz="8" w:space="0"/>
            </w:tcBorders>
            <w:noWrap/>
            <w:tcMar>
              <w:left w:w="108" w:type="dxa"/>
              <w:right w:w="108" w:type="dxa"/>
            </w:tcMar>
            <w:vAlign w:val="center"/>
          </w:tcPr>
          <w:p>
            <w:pPr>
              <w:spacing w:line="340" w:lineRule="exact"/>
              <w:ind w:firstLine="360" w:firstLineChars="150"/>
              <w:rPr>
                <w:rFonts w:hint="eastAsia" w:ascii="宋体" w:hAnsi="宋体" w:eastAsia="宋体" w:cs="宋体"/>
                <w:sz w:val="24"/>
                <w:szCs w:val="24"/>
                <w:lang w:val="zh-CN" w:eastAsia="zh-CN"/>
              </w:rPr>
            </w:pPr>
            <w:r>
              <w:rPr>
                <w:rFonts w:hint="eastAsia" w:ascii="宋体" w:hAnsi="宋体" w:cs="宋体"/>
                <w:sz w:val="24"/>
                <w:szCs w:val="24"/>
                <w:lang w:val="en-US" w:eastAsia="zh-CN"/>
              </w:rPr>
              <w:t>3</w:t>
            </w:r>
          </w:p>
        </w:tc>
        <w:tc>
          <w:tcPr>
            <w:tcW w:w="6592" w:type="dxa"/>
            <w:gridSpan w:val="2"/>
            <w:tcBorders>
              <w:top w:val="single" w:color="auto" w:sz="4" w:space="0"/>
              <w:left w:val="nil"/>
              <w:bottom w:val="single" w:color="auto" w:sz="4" w:space="0"/>
              <w:right w:val="single" w:color="auto" w:sz="8" w:space="0"/>
            </w:tcBorders>
            <w:noWrap/>
            <w:tcMar>
              <w:left w:w="108" w:type="dxa"/>
              <w:right w:w="108" w:type="dxa"/>
            </w:tcMar>
            <w:vAlign w:val="center"/>
          </w:tcPr>
          <w:p>
            <w:pPr>
              <w:spacing w:line="340" w:lineRule="exact"/>
              <w:rPr>
                <w:rFonts w:ascii="宋体" w:hAnsi="宋体" w:cs="宋体"/>
                <w:sz w:val="24"/>
                <w:szCs w:val="24"/>
                <w:lang w:val="zh-CN"/>
              </w:rPr>
            </w:pPr>
            <w:r>
              <w:rPr>
                <w:rFonts w:hint="eastAsia" w:ascii="宋体" w:hAnsi="宋体" w:cs="宋体"/>
                <w:sz w:val="24"/>
                <w:szCs w:val="24"/>
                <w:lang w:val="zh-CN"/>
              </w:rPr>
              <w:t>承诺书（格式按照示范格式三要求）</w:t>
            </w:r>
          </w:p>
        </w:tc>
        <w:tc>
          <w:tcPr>
            <w:tcW w:w="2901" w:type="dxa"/>
            <w:tcBorders>
              <w:top w:val="single" w:color="auto" w:sz="4" w:space="0"/>
              <w:left w:val="nil"/>
              <w:bottom w:val="single" w:color="auto" w:sz="4" w:space="0"/>
              <w:right w:val="single" w:color="auto" w:sz="8" w:space="0"/>
            </w:tcBorders>
            <w:noWrap/>
            <w:tcMar>
              <w:left w:w="108" w:type="dxa"/>
              <w:right w:w="108" w:type="dxa"/>
            </w:tcMar>
            <w:vAlign w:val="center"/>
          </w:tcPr>
          <w:p>
            <w:pPr>
              <w:spacing w:line="340" w:lineRule="exact"/>
              <w:rPr>
                <w:rFonts w:ascii="宋体" w:hAnsi="宋体" w:cs="宋体"/>
                <w:sz w:val="24"/>
                <w:szCs w:val="24"/>
                <w:lang w:val="zh-CN"/>
              </w:rPr>
            </w:pPr>
            <w:r>
              <w:rPr>
                <w:rFonts w:hint="eastAsia" w:ascii="宋体" w:hAnsi="宋体" w:cs="宋体"/>
                <w:kern w:val="0"/>
                <w:sz w:val="24"/>
              </w:rPr>
              <w:t>扫描件上传至电子标书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31" w:hRule="atLeast"/>
          <w:jc w:val="center"/>
        </w:trPr>
        <w:tc>
          <w:tcPr>
            <w:tcW w:w="1031" w:type="dxa"/>
            <w:tcBorders>
              <w:top w:val="single" w:color="auto" w:sz="4" w:space="0"/>
              <w:left w:val="single" w:color="auto" w:sz="8" w:space="0"/>
              <w:bottom w:val="single" w:color="auto" w:sz="4" w:space="0"/>
              <w:right w:val="single" w:color="auto" w:sz="8" w:space="0"/>
            </w:tcBorders>
            <w:noWrap/>
            <w:tcMar>
              <w:left w:w="108" w:type="dxa"/>
              <w:right w:w="108" w:type="dxa"/>
            </w:tcMar>
            <w:vAlign w:val="center"/>
          </w:tcPr>
          <w:p>
            <w:pPr>
              <w:spacing w:line="340" w:lineRule="exact"/>
              <w:ind w:firstLine="360" w:firstLineChars="150"/>
              <w:rPr>
                <w:rFonts w:hint="eastAsia" w:ascii="宋体" w:hAnsi="宋体" w:eastAsia="宋体" w:cs="宋体"/>
                <w:sz w:val="24"/>
                <w:szCs w:val="24"/>
                <w:lang w:eastAsia="zh-CN"/>
              </w:rPr>
            </w:pPr>
            <w:r>
              <w:rPr>
                <w:rFonts w:hint="eastAsia" w:ascii="宋体" w:hAnsi="宋体" w:cs="宋体"/>
                <w:sz w:val="24"/>
                <w:szCs w:val="24"/>
                <w:lang w:val="en-US" w:eastAsia="zh-CN"/>
              </w:rPr>
              <w:t>4</w:t>
            </w:r>
          </w:p>
        </w:tc>
        <w:tc>
          <w:tcPr>
            <w:tcW w:w="9493" w:type="dxa"/>
            <w:gridSpan w:val="3"/>
            <w:tcBorders>
              <w:top w:val="single" w:color="auto" w:sz="4" w:space="0"/>
              <w:left w:val="nil"/>
              <w:bottom w:val="single" w:color="auto" w:sz="4" w:space="0"/>
              <w:right w:val="single" w:color="auto" w:sz="8" w:space="0"/>
            </w:tcBorders>
            <w:noWrap/>
            <w:tcMar>
              <w:left w:w="108" w:type="dxa"/>
              <w:right w:w="108" w:type="dxa"/>
            </w:tcMar>
            <w:vAlign w:val="center"/>
          </w:tcPr>
          <w:p>
            <w:pPr>
              <w:spacing w:line="340" w:lineRule="exact"/>
              <w:rPr>
                <w:rFonts w:ascii="宋体" w:hAnsi="宋体" w:cs="宋体"/>
                <w:sz w:val="24"/>
                <w:szCs w:val="24"/>
              </w:rPr>
            </w:pPr>
            <w:r>
              <w:rPr>
                <w:rFonts w:hint="eastAsia" w:ascii="宋体" w:hAnsi="宋体" w:cs="宋体"/>
                <w:sz w:val="24"/>
                <w:szCs w:val="24"/>
              </w:rPr>
              <w:t>供应商未被“信用中国”网（www.creditchina.gov.cn）列入失信被执行人、重大税收违法案件当事人名单、政府采购严重违法失信行为记录名单。</w:t>
            </w:r>
          </w:p>
          <w:p>
            <w:pPr>
              <w:spacing w:line="340" w:lineRule="exact"/>
              <w:rPr>
                <w:rFonts w:ascii="宋体" w:hAnsi="宋体" w:cs="宋体"/>
                <w:sz w:val="24"/>
                <w:szCs w:val="24"/>
                <w:lang w:val="zh-CN"/>
              </w:rPr>
            </w:pPr>
            <w:r>
              <w:rPr>
                <w:rFonts w:hint="eastAsia" w:ascii="宋体" w:hAnsi="宋体" w:cs="宋体"/>
                <w:sz w:val="24"/>
                <w:szCs w:val="24"/>
              </w:rPr>
              <w:t>供应商未被“中国政府采购网”（www.ccgp.gov.cn）列入政府采购严重违法</w:t>
            </w:r>
            <w:r>
              <w:rPr>
                <w:rFonts w:hint="eastAsia" w:ascii="宋体" w:hAnsi="宋体" w:cs="宋体"/>
                <w:sz w:val="24"/>
                <w:szCs w:val="24"/>
                <w:lang w:val="zh-CN"/>
              </w:rPr>
              <w:t>失信行为记录名单。由采购人（采购代理单位）组织评委在资格审查时查询，一旦被查询存在上述失信行为记录名单的，将视为资格审查不通过。</w:t>
            </w:r>
          </w:p>
        </w:tc>
      </w:tr>
    </w:tbl>
    <w:p>
      <w:pPr>
        <w:spacing w:line="380" w:lineRule="exact"/>
        <w:ind w:firstLine="360" w:firstLineChars="150"/>
        <w:rPr>
          <w:rFonts w:ascii="宋体" w:hAnsi="宋体" w:cs="宋体"/>
          <w:sz w:val="24"/>
          <w:szCs w:val="24"/>
        </w:rPr>
      </w:pPr>
      <w:r>
        <w:rPr>
          <w:rFonts w:hint="eastAsia" w:ascii="宋体" w:hAnsi="宋体" w:cs="宋体"/>
          <w:sz w:val="24"/>
          <w:szCs w:val="24"/>
        </w:rPr>
        <w:t>说明：本次采购采用资质后审方式，在整个采购过程中，由采购人或采购代理机构组织评委对供应商的资质进行审查，若发现供应商的资质条件不符合采购文件要求，可随时取消其投标或中标资格。</w:t>
      </w:r>
      <w:bookmarkEnd w:id="16"/>
      <w:bookmarkEnd w:id="17"/>
      <w:bookmarkEnd w:id="18"/>
      <w:bookmarkEnd w:id="20"/>
    </w:p>
    <w:p>
      <w:pPr>
        <w:spacing w:line="380" w:lineRule="exact"/>
        <w:ind w:firstLine="360" w:firstLineChars="150"/>
        <w:rPr>
          <w:rFonts w:ascii="宋体" w:hAnsi="宋体" w:cs="宋体"/>
          <w:sz w:val="24"/>
          <w:szCs w:val="24"/>
          <w:lang w:val="zh-CN"/>
        </w:rPr>
      </w:pPr>
      <w:r>
        <w:rPr>
          <w:rFonts w:hint="eastAsia" w:ascii="宋体" w:hAnsi="宋体" w:cs="宋体"/>
          <w:sz w:val="24"/>
          <w:szCs w:val="24"/>
        </w:rPr>
        <w:t>4、</w:t>
      </w:r>
      <w:r>
        <w:rPr>
          <w:rFonts w:hint="eastAsia" w:ascii="宋体" w:hAnsi="宋体" w:cs="宋体"/>
          <w:sz w:val="24"/>
          <w:szCs w:val="24"/>
          <w:lang w:val="zh-CN"/>
        </w:rPr>
        <w:t>拒绝下述供应商参加本次采购活动：</w:t>
      </w:r>
    </w:p>
    <w:p>
      <w:pPr>
        <w:spacing w:line="380" w:lineRule="exact"/>
        <w:ind w:firstLine="360" w:firstLineChars="150"/>
        <w:rPr>
          <w:rFonts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1</w:t>
      </w:r>
      <w:r>
        <w:rPr>
          <w:rFonts w:hint="eastAsia" w:ascii="宋体" w:hAnsi="宋体" w:cs="宋体"/>
          <w:sz w:val="24"/>
          <w:szCs w:val="24"/>
          <w:lang w:val="zh-CN"/>
        </w:rPr>
        <w:t>）供应商单位负责人为同一人或者存在直接控股、管理关系的不同供应商，不得参加同一合同项下的政府采购活动；</w:t>
      </w:r>
    </w:p>
    <w:p>
      <w:pPr>
        <w:spacing w:line="380" w:lineRule="exact"/>
        <w:ind w:firstLine="360" w:firstLineChars="150"/>
        <w:rPr>
          <w:rFonts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2</w:t>
      </w:r>
      <w:r>
        <w:rPr>
          <w:rFonts w:hint="eastAsia" w:ascii="宋体" w:hAnsi="宋体" w:cs="宋体"/>
          <w:sz w:val="24"/>
          <w:szCs w:val="24"/>
          <w:lang w:val="zh-CN"/>
        </w:rPr>
        <w:t>）凡为采购项目提供整体设计、规范编制或者项目管理、监理、检测等服务的供应商，不得再参加本项目的采购活动；</w:t>
      </w:r>
    </w:p>
    <w:p>
      <w:pPr>
        <w:spacing w:line="380" w:lineRule="exact"/>
        <w:ind w:firstLine="360" w:firstLineChars="150"/>
        <w:rPr>
          <w:rFonts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3</w:t>
      </w:r>
      <w:r>
        <w:rPr>
          <w:rFonts w:hint="eastAsia" w:ascii="宋体" w:hAnsi="宋体" w:cs="宋体"/>
          <w:sz w:val="24"/>
          <w:szCs w:val="24"/>
          <w:lang w:val="zh-CN"/>
        </w:rPr>
        <w:t>）拒绝列入失信被执行人、重大税收违法案件当事人名单、政府采购严重违法失信行为记录名单的供应商参加本项目的采购活动。上述所称重大违法记录，是指供应商因违法经营受到刑事处罚或者责令停产停业、吊销许可证或者执照、较大数额罚款等行政处罚。</w:t>
      </w:r>
    </w:p>
    <w:bookmarkEnd w:id="14"/>
    <w:bookmarkEnd w:id="15"/>
    <w:bookmarkEnd w:id="19"/>
    <w:p>
      <w:pPr>
        <w:pStyle w:val="3"/>
        <w:spacing w:before="0" w:after="0" w:line="380" w:lineRule="exact"/>
        <w:ind w:firstLine="361" w:firstLineChars="150"/>
        <w:rPr>
          <w:rFonts w:cs="宋体"/>
          <w:sz w:val="24"/>
          <w:lang w:val="zh-CN"/>
        </w:rPr>
      </w:pPr>
      <w:bookmarkStart w:id="21" w:name="_Toc76139120"/>
      <w:bookmarkStart w:id="22" w:name="_Toc76140714"/>
      <w:r>
        <w:rPr>
          <w:rFonts w:hint="eastAsia" w:cs="宋体"/>
          <w:sz w:val="24"/>
          <w:lang w:val="zh-CN"/>
        </w:rPr>
        <w:t>三、获取</w:t>
      </w:r>
      <w:r>
        <w:rPr>
          <w:rFonts w:hint="eastAsia" w:cs="宋体"/>
          <w:sz w:val="24"/>
        </w:rPr>
        <w:t>磋商</w:t>
      </w:r>
      <w:r>
        <w:rPr>
          <w:rFonts w:hint="eastAsia" w:cs="宋体"/>
          <w:sz w:val="24"/>
          <w:lang w:val="zh-CN"/>
        </w:rPr>
        <w:t>文件</w:t>
      </w:r>
      <w:bookmarkEnd w:id="21"/>
      <w:bookmarkEnd w:id="22"/>
    </w:p>
    <w:p>
      <w:pPr>
        <w:spacing w:line="400" w:lineRule="exact"/>
        <w:ind w:firstLine="480" w:firstLineChars="200"/>
        <w:rPr>
          <w:rFonts w:ascii="宋体" w:hAnsi="宋体" w:cs="宋体"/>
          <w:color w:val="000000"/>
          <w:sz w:val="24"/>
          <w:highlight w:val="none"/>
        </w:rPr>
      </w:pPr>
      <w:bookmarkStart w:id="23" w:name="_Toc76139127"/>
      <w:bookmarkStart w:id="24" w:name="_Toc76140715"/>
      <w:r>
        <w:rPr>
          <w:rFonts w:hint="eastAsia" w:ascii="宋体" w:hAnsi="宋体" w:cs="宋体"/>
          <w:color w:val="000000"/>
          <w:sz w:val="24"/>
        </w:rPr>
        <w:t>时间</w:t>
      </w:r>
      <w:r>
        <w:rPr>
          <w:rFonts w:hint="eastAsia" w:ascii="宋体" w:hAnsi="宋体" w:cs="宋体"/>
          <w:color w:val="000000"/>
          <w:sz w:val="24"/>
          <w:highlight w:val="none"/>
        </w:rPr>
        <w:t>：</w:t>
      </w:r>
      <w:r>
        <w:rPr>
          <w:rFonts w:hint="eastAsia" w:ascii="宋体" w:hAnsi="宋体" w:cs="宋体"/>
          <w:sz w:val="24"/>
          <w:highlight w:val="none"/>
        </w:rPr>
        <w:t>2023年</w:t>
      </w:r>
      <w:r>
        <w:rPr>
          <w:rFonts w:hint="eastAsia" w:ascii="宋体" w:hAnsi="宋体" w:cs="宋体"/>
          <w:sz w:val="24"/>
          <w:highlight w:val="none"/>
          <w:lang w:val="en-US" w:eastAsia="zh-CN"/>
        </w:rPr>
        <w:t>9</w:t>
      </w:r>
      <w:r>
        <w:rPr>
          <w:rFonts w:hint="eastAsia" w:ascii="宋体" w:hAnsi="宋体" w:cs="宋体"/>
          <w:sz w:val="24"/>
          <w:highlight w:val="none"/>
        </w:rPr>
        <w:t>月</w:t>
      </w:r>
      <w:r>
        <w:rPr>
          <w:rFonts w:hint="eastAsia" w:ascii="宋体" w:hAnsi="宋体" w:cs="宋体"/>
          <w:sz w:val="24"/>
          <w:highlight w:val="none"/>
          <w:lang w:val="en-US" w:eastAsia="zh-CN"/>
        </w:rPr>
        <w:t>8</w:t>
      </w:r>
      <w:r>
        <w:rPr>
          <w:rFonts w:hint="eastAsia" w:ascii="宋体" w:hAnsi="宋体" w:cs="宋体"/>
          <w:sz w:val="24"/>
          <w:highlight w:val="none"/>
        </w:rPr>
        <w:t xml:space="preserve">日至 </w:t>
      </w:r>
      <w:r>
        <w:rPr>
          <w:rFonts w:hint="eastAsia" w:ascii="宋体" w:hAnsi="宋体" w:cs="宋体"/>
          <w:sz w:val="24"/>
          <w:highlight w:val="none"/>
          <w:lang w:eastAsia="zh-CN"/>
        </w:rPr>
        <w:t>2023年9月</w:t>
      </w:r>
      <w:r>
        <w:rPr>
          <w:rFonts w:hint="eastAsia" w:ascii="宋体" w:hAnsi="宋体" w:cs="宋体"/>
          <w:sz w:val="24"/>
          <w:highlight w:val="none"/>
          <w:lang w:val="en-US" w:eastAsia="zh-CN"/>
        </w:rPr>
        <w:t>15</w:t>
      </w:r>
      <w:r>
        <w:rPr>
          <w:rFonts w:hint="eastAsia" w:ascii="宋体" w:hAnsi="宋体" w:cs="宋体"/>
          <w:sz w:val="24"/>
          <w:highlight w:val="none"/>
          <w:lang w:eastAsia="zh-CN"/>
        </w:rPr>
        <w:t>日</w:t>
      </w:r>
      <w:r>
        <w:rPr>
          <w:rFonts w:hint="eastAsia" w:ascii="宋体" w:hAnsi="宋体" w:cs="宋体"/>
          <w:color w:val="000000"/>
          <w:sz w:val="24"/>
          <w:highlight w:val="none"/>
        </w:rPr>
        <w:t>，每天上午8：30至11：30，下午14：00至17：30（北京时间，法定节假日除外）</w:t>
      </w:r>
    </w:p>
    <w:p>
      <w:pPr>
        <w:spacing w:line="40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地点：淮安市公共资源交易网</w:t>
      </w:r>
    </w:p>
    <w:p>
      <w:pPr>
        <w:spacing w:line="40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方式：供应商应从淮安市公共资源交易网登录会员系统（http://ggzy.huaian.gov.cn:50088/TPBidder/memberLogin），办理淮安市政府采购供应商诚信库、CA证书以及电子签章后，在网上填写投标信息并下载招标文件。</w:t>
      </w:r>
    </w:p>
    <w:p>
      <w:pPr>
        <w:spacing w:line="40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售价：0元</w:t>
      </w:r>
    </w:p>
    <w:p>
      <w:pPr>
        <w:pStyle w:val="3"/>
        <w:spacing w:before="0" w:after="0" w:line="380" w:lineRule="exact"/>
        <w:ind w:firstLine="361" w:firstLineChars="150"/>
        <w:rPr>
          <w:rFonts w:cs="宋体"/>
          <w:sz w:val="24"/>
          <w:highlight w:val="none"/>
          <w:lang w:val="zh-CN"/>
        </w:rPr>
      </w:pPr>
      <w:r>
        <w:rPr>
          <w:rFonts w:hint="eastAsia" w:cs="宋体"/>
          <w:sz w:val="24"/>
          <w:highlight w:val="none"/>
          <w:lang w:val="zh-CN"/>
        </w:rPr>
        <w:t>四、</w:t>
      </w:r>
      <w:bookmarkEnd w:id="23"/>
      <w:bookmarkEnd w:id="24"/>
      <w:r>
        <w:rPr>
          <w:rFonts w:hint="eastAsia" w:cs="宋体"/>
          <w:sz w:val="24"/>
          <w:highlight w:val="none"/>
          <w:lang w:val="zh-CN"/>
        </w:rPr>
        <w:t>提交响应文件截止时间、磋商时间和地点</w:t>
      </w:r>
    </w:p>
    <w:p>
      <w:pPr>
        <w:pStyle w:val="34"/>
        <w:snapToGrid w:val="0"/>
        <w:spacing w:line="400" w:lineRule="exact"/>
        <w:ind w:firstLine="480" w:firstLineChars="200"/>
        <w:rPr>
          <w:rFonts w:ascii="宋体" w:hAnsi="宋体" w:eastAsia="宋体" w:cs="宋体"/>
          <w:szCs w:val="24"/>
          <w:highlight w:val="none"/>
          <w:lang w:val="en-US"/>
        </w:rPr>
      </w:pPr>
      <w:bookmarkStart w:id="25" w:name="_Toc76140716"/>
      <w:bookmarkStart w:id="26" w:name="_Toc76139130"/>
      <w:r>
        <w:rPr>
          <w:rFonts w:hint="eastAsia" w:ascii="宋体" w:hAnsi="宋体" w:eastAsia="宋体" w:cs="宋体"/>
          <w:szCs w:val="24"/>
          <w:highlight w:val="none"/>
          <w:lang w:val="en-US"/>
        </w:rPr>
        <w:t>（1）电子响应文件提交截止时间及磋商时间：</w:t>
      </w:r>
      <w:r>
        <w:rPr>
          <w:rFonts w:hint="eastAsia" w:ascii="宋体" w:hAnsi="宋体" w:eastAsia="宋体" w:cs="宋体"/>
          <w:szCs w:val="24"/>
          <w:highlight w:val="none"/>
          <w:lang w:val="en-US" w:eastAsia="zh-CN"/>
        </w:rPr>
        <w:t>2023年9月21日09点00分</w:t>
      </w:r>
      <w:r>
        <w:rPr>
          <w:rFonts w:hint="eastAsia" w:ascii="宋体" w:hAnsi="宋体" w:eastAsia="宋体" w:cs="宋体"/>
          <w:szCs w:val="24"/>
          <w:highlight w:val="none"/>
          <w:lang w:val="en-US"/>
        </w:rPr>
        <w:t>（北京时间）</w:t>
      </w:r>
    </w:p>
    <w:p>
      <w:pPr>
        <w:pStyle w:val="34"/>
        <w:snapToGrid w:val="0"/>
        <w:spacing w:line="400" w:lineRule="exact"/>
        <w:ind w:firstLine="480" w:firstLineChars="200"/>
        <w:rPr>
          <w:rFonts w:ascii="宋体" w:hAnsi="宋体" w:eastAsia="宋体" w:cs="宋体"/>
          <w:szCs w:val="24"/>
          <w:highlight w:val="none"/>
          <w:lang w:val="en-US"/>
        </w:rPr>
      </w:pPr>
      <w:r>
        <w:rPr>
          <w:rFonts w:hint="eastAsia" w:ascii="宋体" w:hAnsi="宋体" w:eastAsia="宋体" w:cs="宋体"/>
          <w:szCs w:val="24"/>
          <w:highlight w:val="none"/>
          <w:lang w:val="en-US"/>
        </w:rPr>
        <w:t xml:space="preserve">（2）磋商地点:淮安市公共资源交易网“不见面交易大厅”。 </w:t>
      </w:r>
    </w:p>
    <w:p>
      <w:pPr>
        <w:pStyle w:val="34"/>
        <w:snapToGrid w:val="0"/>
        <w:spacing w:line="400" w:lineRule="exact"/>
        <w:ind w:firstLine="480" w:firstLineChars="200"/>
        <w:rPr>
          <w:rFonts w:ascii="宋体" w:hAnsi="宋体" w:eastAsia="宋体" w:cs="宋体"/>
          <w:szCs w:val="24"/>
          <w:highlight w:val="none"/>
          <w:lang w:val="en-US"/>
        </w:rPr>
      </w:pPr>
      <w:r>
        <w:rPr>
          <w:rFonts w:hint="eastAsia" w:ascii="宋体" w:hAnsi="宋体" w:eastAsia="宋体" w:cs="宋体"/>
          <w:szCs w:val="24"/>
          <w:highlight w:val="none"/>
          <w:lang w:val="en-US"/>
        </w:rPr>
        <w:t>（3）电子响应文件上传地址：http://222.184.89.82:8000/TPBidder</w:t>
      </w:r>
    </w:p>
    <w:p>
      <w:pPr>
        <w:pStyle w:val="34"/>
        <w:snapToGrid w:val="0"/>
        <w:spacing w:line="400" w:lineRule="exact"/>
        <w:ind w:firstLine="422" w:firstLineChars="175"/>
        <w:rPr>
          <w:rFonts w:ascii="宋体" w:hAnsi="宋体" w:eastAsia="宋体" w:cs="宋体"/>
          <w:b/>
          <w:kern w:val="2"/>
          <w:szCs w:val="24"/>
          <w:lang w:val="en-US"/>
        </w:rPr>
      </w:pPr>
      <w:r>
        <w:rPr>
          <w:rFonts w:hint="eastAsia" w:ascii="宋体" w:hAnsi="宋体" w:eastAsia="宋体" w:cs="宋体"/>
          <w:b/>
          <w:kern w:val="2"/>
          <w:szCs w:val="24"/>
          <w:lang w:val="en-US"/>
        </w:rPr>
        <w:t>五、开启</w:t>
      </w:r>
    </w:p>
    <w:p>
      <w:pPr>
        <w:pStyle w:val="34"/>
        <w:snapToGrid w:val="0"/>
        <w:spacing w:line="400" w:lineRule="exact"/>
        <w:ind w:firstLine="480" w:firstLineChars="200"/>
        <w:rPr>
          <w:rFonts w:ascii="宋体" w:hAnsi="宋体" w:eastAsia="宋体" w:cs="宋体"/>
          <w:szCs w:val="24"/>
          <w:highlight w:val="none"/>
          <w:lang w:val="en-US"/>
        </w:rPr>
      </w:pPr>
      <w:bookmarkStart w:id="34" w:name="_GoBack"/>
      <w:r>
        <w:rPr>
          <w:rFonts w:hint="eastAsia" w:ascii="宋体" w:hAnsi="宋体" w:eastAsia="宋体" w:cs="宋体"/>
          <w:szCs w:val="24"/>
          <w:highlight w:val="none"/>
          <w:lang w:val="en-US"/>
        </w:rPr>
        <w:t>时间：</w:t>
      </w:r>
      <w:r>
        <w:rPr>
          <w:rFonts w:hint="eastAsia" w:ascii="宋体" w:hAnsi="宋体" w:eastAsia="宋体" w:cs="宋体"/>
          <w:szCs w:val="24"/>
          <w:highlight w:val="none"/>
          <w:lang w:val="en-US" w:eastAsia="zh-CN"/>
        </w:rPr>
        <w:t>2023年9月21</w:t>
      </w:r>
      <w:r>
        <w:rPr>
          <w:rFonts w:hint="eastAsia" w:ascii="宋体" w:hAnsi="宋体" w:eastAsia="宋体" w:cs="宋体"/>
          <w:szCs w:val="24"/>
          <w:highlight w:val="none"/>
          <w:lang w:val="en-US" w:eastAsia="zh-CN"/>
        </w:rPr>
        <w:t>日09点00分</w:t>
      </w:r>
    </w:p>
    <w:p>
      <w:pPr>
        <w:pStyle w:val="34"/>
        <w:snapToGrid w:val="0"/>
        <w:spacing w:line="400" w:lineRule="exact"/>
        <w:ind w:firstLine="480" w:firstLineChars="200"/>
        <w:rPr>
          <w:rFonts w:eastAsia="宋体" w:cs="宋体"/>
          <w:lang w:val="en-US"/>
        </w:rPr>
      </w:pPr>
      <w:r>
        <w:rPr>
          <w:rFonts w:hint="eastAsia" w:ascii="宋体" w:hAnsi="宋体" w:eastAsia="宋体" w:cs="宋体"/>
          <w:szCs w:val="24"/>
          <w:highlight w:val="none"/>
          <w:lang w:val="en-US"/>
        </w:rPr>
        <w:t>地点：淮安市公共资源</w:t>
      </w:r>
      <w:bookmarkEnd w:id="34"/>
      <w:r>
        <w:rPr>
          <w:rFonts w:hint="eastAsia" w:ascii="宋体" w:hAnsi="宋体" w:eastAsia="宋体" w:cs="宋体"/>
          <w:szCs w:val="24"/>
          <w:lang w:val="en-US"/>
        </w:rPr>
        <w:t>全程电子化平台</w:t>
      </w:r>
    </w:p>
    <w:p>
      <w:pPr>
        <w:pStyle w:val="3"/>
        <w:spacing w:before="0" w:after="0" w:line="380" w:lineRule="exact"/>
        <w:ind w:firstLine="361" w:firstLineChars="150"/>
        <w:rPr>
          <w:rFonts w:cs="宋体"/>
          <w:sz w:val="24"/>
        </w:rPr>
      </w:pPr>
      <w:r>
        <w:rPr>
          <w:rFonts w:hint="eastAsia" w:cs="宋体"/>
          <w:sz w:val="24"/>
        </w:rPr>
        <w:t>六</w:t>
      </w:r>
      <w:r>
        <w:rPr>
          <w:rFonts w:hint="eastAsia" w:cs="宋体"/>
          <w:sz w:val="24"/>
          <w:lang w:val="zh-CN"/>
        </w:rPr>
        <w:t>、公告期限</w:t>
      </w:r>
      <w:bookmarkEnd w:id="25"/>
      <w:bookmarkEnd w:id="26"/>
    </w:p>
    <w:p>
      <w:pPr>
        <w:spacing w:line="380" w:lineRule="exact"/>
        <w:ind w:firstLine="360" w:firstLineChars="150"/>
        <w:rPr>
          <w:rFonts w:ascii="宋体" w:hAnsi="宋体" w:cs="宋体"/>
          <w:sz w:val="24"/>
          <w:szCs w:val="24"/>
          <w:lang w:val="zh-CN"/>
        </w:rPr>
      </w:pPr>
      <w:bookmarkStart w:id="27" w:name="_Toc76139131"/>
      <w:r>
        <w:rPr>
          <w:rFonts w:hint="eastAsia" w:ascii="宋体" w:hAnsi="宋体" w:cs="宋体"/>
          <w:sz w:val="24"/>
          <w:szCs w:val="24"/>
          <w:lang w:val="zh-CN"/>
        </w:rPr>
        <w:t>自本公告发布之日起5个工作日。</w:t>
      </w:r>
      <w:bookmarkEnd w:id="27"/>
    </w:p>
    <w:p>
      <w:pPr>
        <w:pStyle w:val="3"/>
        <w:spacing w:before="0" w:after="0" w:line="380" w:lineRule="exact"/>
        <w:ind w:firstLine="361" w:firstLineChars="150"/>
        <w:rPr>
          <w:rFonts w:cs="宋体"/>
          <w:sz w:val="24"/>
          <w:lang w:val="zh-CN"/>
        </w:rPr>
      </w:pPr>
      <w:bookmarkStart w:id="28" w:name="_Toc76139132"/>
      <w:bookmarkStart w:id="29" w:name="_Toc76140717"/>
      <w:r>
        <w:rPr>
          <w:rFonts w:hint="eastAsia" w:cs="宋体"/>
          <w:sz w:val="24"/>
        </w:rPr>
        <w:t>七</w:t>
      </w:r>
      <w:r>
        <w:rPr>
          <w:rFonts w:hint="eastAsia" w:cs="宋体"/>
          <w:sz w:val="24"/>
          <w:lang w:val="zh-CN"/>
        </w:rPr>
        <w:t>、其他补充事宜:</w:t>
      </w:r>
      <w:bookmarkEnd w:id="28"/>
      <w:bookmarkEnd w:id="29"/>
    </w:p>
    <w:p>
      <w:pPr>
        <w:spacing w:line="400" w:lineRule="exact"/>
        <w:ind w:firstLine="480" w:firstLineChars="200"/>
        <w:rPr>
          <w:rFonts w:ascii="宋体" w:hAnsi="宋体" w:cs="宋体"/>
          <w:color w:val="000000"/>
          <w:sz w:val="24"/>
        </w:rPr>
      </w:pPr>
      <w:bookmarkStart w:id="30" w:name="_Toc76140718"/>
      <w:bookmarkStart w:id="31" w:name="_Toc76139137"/>
      <w:r>
        <w:rPr>
          <w:rFonts w:hint="eastAsia" w:ascii="宋体" w:hAnsi="宋体" w:cs="宋体"/>
          <w:color w:val="000000"/>
          <w:sz w:val="24"/>
        </w:rPr>
        <w:t>（1）投标保证金：无</w:t>
      </w:r>
    </w:p>
    <w:p>
      <w:pPr>
        <w:spacing w:line="400" w:lineRule="exact"/>
        <w:ind w:firstLine="480" w:firstLineChars="200"/>
        <w:rPr>
          <w:rFonts w:ascii="宋体" w:hAnsi="宋体" w:cs="宋体"/>
          <w:color w:val="000000"/>
          <w:sz w:val="24"/>
        </w:rPr>
      </w:pPr>
      <w:r>
        <w:rPr>
          <w:rFonts w:hint="eastAsia" w:ascii="宋体" w:hAnsi="宋体" w:cs="宋体"/>
          <w:color w:val="000000"/>
          <w:sz w:val="24"/>
        </w:rPr>
        <w:t>（2）履约保证金：成交供应商须在合同签定前向采购人缴纳成交总价1%的履约保证金。</w:t>
      </w:r>
    </w:p>
    <w:p>
      <w:pPr>
        <w:spacing w:line="400" w:lineRule="exact"/>
        <w:ind w:firstLine="480" w:firstLineChars="200"/>
        <w:rPr>
          <w:rFonts w:ascii="宋体" w:hAnsi="宋体" w:cs="宋体"/>
          <w:color w:val="000000"/>
          <w:sz w:val="24"/>
        </w:rPr>
      </w:pPr>
      <w:r>
        <w:rPr>
          <w:rFonts w:hint="eastAsia" w:ascii="宋体" w:hAnsi="宋体" w:cs="宋体"/>
          <w:color w:val="000000"/>
          <w:sz w:val="24"/>
        </w:rPr>
        <w:t>（3）本项目采用“全流程不见面交易网上开评标”。请磋商供应商严格按照磋商文件的规定编制、提交响应文件，否则所造成的一切后果由磋商供应商自负。详见前附表不见面开标中“全流程不见面交易采购”注意事项。</w:t>
      </w:r>
    </w:p>
    <w:p>
      <w:pPr>
        <w:spacing w:line="400" w:lineRule="exact"/>
        <w:ind w:firstLine="480" w:firstLineChars="200"/>
        <w:rPr>
          <w:rFonts w:ascii="宋体" w:hAnsi="宋体" w:cs="宋体"/>
          <w:b/>
          <w:bCs/>
          <w:szCs w:val="24"/>
        </w:rPr>
      </w:pPr>
      <w:r>
        <w:rPr>
          <w:rFonts w:hint="eastAsia" w:ascii="宋体" w:hAnsi="宋体" w:cs="宋体"/>
          <w:color w:val="000000"/>
          <w:sz w:val="24"/>
        </w:rPr>
        <w:t>供应商确认参加本项目投标的，在投标前须办理淮安市政府采购供应商诚信库、CA证书以及电子签章后方可参加投标。具体办理详见淮安市公共资源交易网《政府采购操作指南》http://222.184.31.247/fwdh/005003/20180630/76313197-2b3a-4f28-9493-28ff7908c886.html</w:t>
      </w:r>
    </w:p>
    <w:p>
      <w:pPr>
        <w:pStyle w:val="34"/>
        <w:snapToGrid w:val="0"/>
        <w:spacing w:line="400" w:lineRule="exact"/>
        <w:ind w:firstLine="482" w:firstLineChars="200"/>
        <w:outlineLvl w:val="2"/>
        <w:rPr>
          <w:rFonts w:ascii="宋体" w:hAnsi="宋体" w:eastAsia="宋体" w:cs="宋体"/>
          <w:b/>
          <w:bCs/>
          <w:szCs w:val="24"/>
          <w:lang w:val="en-US"/>
        </w:rPr>
      </w:pPr>
      <w:r>
        <w:rPr>
          <w:rFonts w:hint="eastAsia" w:ascii="宋体" w:hAnsi="宋体" w:eastAsia="宋体" w:cs="宋体"/>
          <w:b/>
          <w:bCs/>
          <w:szCs w:val="24"/>
          <w:lang w:val="en-US"/>
        </w:rPr>
        <w:t>八、凡对本次采购提出询问，请按以下方式联系</w:t>
      </w:r>
    </w:p>
    <w:p>
      <w:pPr>
        <w:pStyle w:val="34"/>
        <w:snapToGrid w:val="0"/>
        <w:spacing w:line="400" w:lineRule="exact"/>
        <w:rPr>
          <w:rFonts w:ascii="宋体" w:hAnsi="宋体" w:eastAsia="宋体" w:cs="宋体"/>
          <w:szCs w:val="24"/>
          <w:lang w:val="en-US"/>
        </w:rPr>
      </w:pPr>
      <w:r>
        <w:rPr>
          <w:rFonts w:hint="eastAsia" w:ascii="宋体" w:hAnsi="宋体" w:eastAsia="宋体" w:cs="宋体"/>
          <w:b/>
          <w:bCs/>
          <w:szCs w:val="24"/>
          <w:lang w:val="en-US"/>
        </w:rPr>
        <w:t xml:space="preserve">    1、采购人信息</w:t>
      </w:r>
    </w:p>
    <w:p>
      <w:pPr>
        <w:pStyle w:val="34"/>
        <w:snapToGrid w:val="0"/>
        <w:spacing w:line="400" w:lineRule="exact"/>
        <w:ind w:firstLine="480"/>
        <w:rPr>
          <w:rFonts w:hint="eastAsia" w:ascii="宋体" w:hAnsi="宋体" w:eastAsia="宋体" w:cs="宋体"/>
          <w:szCs w:val="24"/>
          <w:lang w:val="en-US" w:eastAsia="zh-CN"/>
        </w:rPr>
      </w:pPr>
      <w:r>
        <w:rPr>
          <w:rFonts w:hint="eastAsia" w:ascii="宋体" w:hAnsi="宋体" w:eastAsia="宋体" w:cs="宋体"/>
          <w:szCs w:val="24"/>
          <w:lang w:val="en-US"/>
        </w:rPr>
        <w:t>名    称：</w:t>
      </w:r>
      <w:r>
        <w:rPr>
          <w:rFonts w:hint="eastAsia" w:ascii="宋体" w:hAnsi="宋体" w:eastAsia="宋体" w:cs="宋体"/>
          <w:szCs w:val="24"/>
          <w:lang w:val="en-US" w:eastAsia="zh-CN"/>
        </w:rPr>
        <w:t>江苏省盱眙中学</w:t>
      </w:r>
    </w:p>
    <w:p>
      <w:pPr>
        <w:pStyle w:val="34"/>
        <w:snapToGrid w:val="0"/>
        <w:spacing w:line="400" w:lineRule="exact"/>
        <w:ind w:firstLine="480"/>
        <w:rPr>
          <w:rFonts w:hint="eastAsia" w:ascii="宋体" w:hAnsi="宋体" w:eastAsia="宋体" w:cs="宋体"/>
          <w:szCs w:val="24"/>
          <w:lang w:val="en-US" w:eastAsia="zh-CN"/>
        </w:rPr>
      </w:pPr>
      <w:r>
        <w:rPr>
          <w:rFonts w:hint="eastAsia" w:ascii="宋体" w:hAnsi="宋体" w:eastAsia="宋体" w:cs="宋体"/>
          <w:szCs w:val="24"/>
          <w:lang w:val="en-US"/>
        </w:rPr>
        <w:t>地    址：</w:t>
      </w:r>
      <w:r>
        <w:rPr>
          <w:rFonts w:hint="eastAsia" w:ascii="宋体" w:hAnsi="宋体" w:eastAsia="宋体" w:cs="宋体"/>
          <w:b w:val="0"/>
          <w:sz w:val="24"/>
          <w:szCs w:val="24"/>
          <w:highlight w:val="none"/>
          <w:lang w:eastAsia="zh-CN"/>
        </w:rPr>
        <w:t>江苏省淮安市盱眙县学府路9号</w:t>
      </w:r>
    </w:p>
    <w:p>
      <w:pPr>
        <w:pStyle w:val="34"/>
        <w:snapToGrid w:val="0"/>
        <w:spacing w:line="400" w:lineRule="exact"/>
        <w:ind w:firstLine="480"/>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rPr>
        <w:t>联</w:t>
      </w:r>
      <w:r>
        <w:rPr>
          <w:rFonts w:hint="eastAsia" w:ascii="宋体" w:hAnsi="宋体" w:eastAsia="宋体" w:cs="宋体"/>
          <w:szCs w:val="24"/>
          <w:highlight w:val="none"/>
          <w:lang w:val="en-US" w:eastAsia="zh-CN"/>
        </w:rPr>
        <w:t xml:space="preserve"> </w:t>
      </w:r>
      <w:r>
        <w:rPr>
          <w:rFonts w:hint="eastAsia" w:ascii="宋体" w:hAnsi="宋体" w:eastAsia="宋体" w:cs="宋体"/>
          <w:szCs w:val="24"/>
          <w:highlight w:val="none"/>
          <w:lang w:val="en-US"/>
        </w:rPr>
        <w:t>系</w:t>
      </w:r>
      <w:r>
        <w:rPr>
          <w:rFonts w:hint="eastAsia" w:ascii="宋体" w:hAnsi="宋体" w:eastAsia="宋体" w:cs="宋体"/>
          <w:szCs w:val="24"/>
          <w:highlight w:val="none"/>
          <w:lang w:val="en-US" w:eastAsia="zh-CN"/>
        </w:rPr>
        <w:t xml:space="preserve"> </w:t>
      </w:r>
      <w:r>
        <w:rPr>
          <w:rFonts w:hint="eastAsia" w:ascii="宋体" w:hAnsi="宋体" w:eastAsia="宋体" w:cs="宋体"/>
          <w:szCs w:val="24"/>
          <w:highlight w:val="none"/>
          <w:lang w:val="en-US"/>
        </w:rPr>
        <w:t>人：</w:t>
      </w:r>
      <w:r>
        <w:rPr>
          <w:rFonts w:hint="eastAsia" w:ascii="宋体" w:hAnsi="宋体" w:eastAsia="宋体" w:cs="宋体"/>
          <w:szCs w:val="24"/>
          <w:highlight w:val="none"/>
          <w:lang w:val="en-US" w:eastAsia="zh-CN"/>
        </w:rPr>
        <w:t>张顺勇</w:t>
      </w:r>
    </w:p>
    <w:p>
      <w:pPr>
        <w:pStyle w:val="34"/>
        <w:snapToGrid w:val="0"/>
        <w:spacing w:line="400" w:lineRule="exact"/>
        <w:ind w:firstLine="480"/>
        <w:rPr>
          <w:rFonts w:hint="default" w:ascii="宋体" w:hAnsi="宋体" w:eastAsia="宋体" w:cs="宋体"/>
          <w:szCs w:val="24"/>
          <w:highlight w:val="none"/>
          <w:lang w:val="en-US" w:eastAsia="zh-CN"/>
        </w:rPr>
      </w:pPr>
      <w:r>
        <w:rPr>
          <w:rFonts w:hint="eastAsia" w:ascii="宋体" w:hAnsi="宋体" w:eastAsia="宋体" w:cs="宋体"/>
          <w:szCs w:val="24"/>
          <w:highlight w:val="none"/>
          <w:lang w:val="en-US"/>
        </w:rPr>
        <w:t>电    话：</w:t>
      </w:r>
      <w:r>
        <w:rPr>
          <w:rFonts w:hint="eastAsia" w:ascii="宋体" w:hAnsi="宋体" w:eastAsia="宋体" w:cs="宋体"/>
          <w:szCs w:val="24"/>
          <w:highlight w:val="none"/>
          <w:lang w:val="en-US" w:eastAsia="zh-CN"/>
        </w:rPr>
        <w:t>13651558236</w:t>
      </w:r>
    </w:p>
    <w:p>
      <w:pPr>
        <w:pStyle w:val="34"/>
        <w:snapToGrid w:val="0"/>
        <w:spacing w:line="400" w:lineRule="exact"/>
        <w:ind w:left="420" w:leftChars="200"/>
        <w:rPr>
          <w:rFonts w:ascii="宋体" w:hAnsi="宋体" w:eastAsia="宋体" w:cs="宋体"/>
          <w:szCs w:val="24"/>
          <w:highlight w:val="none"/>
          <w:lang w:val="en-US"/>
        </w:rPr>
      </w:pPr>
      <w:r>
        <w:rPr>
          <w:rFonts w:hint="eastAsia" w:ascii="宋体" w:hAnsi="宋体" w:eastAsia="宋体" w:cs="宋体"/>
          <w:b/>
          <w:bCs/>
          <w:szCs w:val="24"/>
          <w:highlight w:val="none"/>
          <w:lang w:val="en-US"/>
        </w:rPr>
        <w:t>2、采购代理机构信息</w:t>
      </w:r>
    </w:p>
    <w:p>
      <w:pPr>
        <w:pStyle w:val="34"/>
        <w:snapToGrid w:val="0"/>
        <w:spacing w:line="400" w:lineRule="exact"/>
        <w:ind w:firstLine="480"/>
        <w:rPr>
          <w:rFonts w:ascii="宋体" w:hAnsi="宋体" w:eastAsia="宋体" w:cs="宋体"/>
          <w:szCs w:val="24"/>
          <w:highlight w:val="none"/>
          <w:lang w:val="en-US"/>
        </w:rPr>
      </w:pPr>
      <w:r>
        <w:rPr>
          <w:rFonts w:hint="eastAsia" w:ascii="宋体" w:hAnsi="宋体" w:eastAsia="宋体" w:cs="宋体"/>
          <w:szCs w:val="24"/>
          <w:highlight w:val="none"/>
          <w:lang w:val="en-US"/>
        </w:rPr>
        <w:t>名    称：江苏骏通建设项目管理咨询有限公司</w:t>
      </w:r>
    </w:p>
    <w:p>
      <w:pPr>
        <w:pStyle w:val="34"/>
        <w:snapToGrid w:val="0"/>
        <w:spacing w:line="400" w:lineRule="exact"/>
        <w:ind w:firstLine="480"/>
        <w:rPr>
          <w:rFonts w:ascii="宋体" w:hAnsi="宋体" w:eastAsia="宋体" w:cs="宋体"/>
          <w:szCs w:val="24"/>
          <w:highlight w:val="none"/>
          <w:lang w:val="en-US"/>
        </w:rPr>
      </w:pPr>
      <w:r>
        <w:rPr>
          <w:rFonts w:hint="eastAsia" w:ascii="宋体" w:hAnsi="宋体" w:eastAsia="宋体" w:cs="宋体"/>
          <w:szCs w:val="24"/>
          <w:highlight w:val="none"/>
          <w:lang w:val="en-US"/>
        </w:rPr>
        <w:t>地    址：</w:t>
      </w:r>
      <w:r>
        <w:rPr>
          <w:rFonts w:hint="eastAsia" w:ascii="宋体" w:hAnsi="宋体" w:eastAsia="宋体" w:cs="宋体"/>
          <w:szCs w:val="24"/>
          <w:highlight w:val="none"/>
        </w:rPr>
        <w:t>淮安市盱眙县二山路一号四楼</w:t>
      </w:r>
    </w:p>
    <w:p>
      <w:pPr>
        <w:pStyle w:val="7"/>
        <w:tabs>
          <w:tab w:val="left" w:pos="1619"/>
          <w:tab w:val="left" w:pos="5219"/>
          <w:tab w:val="left" w:pos="5939"/>
        </w:tabs>
        <w:spacing w:line="36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联系方式：夏妍</w:t>
      </w:r>
    </w:p>
    <w:p>
      <w:pPr>
        <w:pStyle w:val="34"/>
        <w:snapToGrid w:val="0"/>
        <w:spacing w:line="400" w:lineRule="exact"/>
        <w:ind w:firstLine="480"/>
        <w:rPr>
          <w:rFonts w:ascii="宋体" w:hAnsi="宋体" w:eastAsia="宋体" w:cs="宋体"/>
          <w:szCs w:val="24"/>
          <w:highlight w:val="none"/>
          <w:lang w:val="en-US"/>
        </w:rPr>
      </w:pPr>
      <w:r>
        <w:rPr>
          <w:rFonts w:hint="eastAsia" w:ascii="宋体" w:hAnsi="宋体" w:eastAsia="宋体" w:cs="宋体"/>
          <w:szCs w:val="24"/>
          <w:highlight w:val="none"/>
        </w:rPr>
        <w:t>电话：18932307736</w:t>
      </w:r>
    </w:p>
    <w:p>
      <w:pPr>
        <w:pStyle w:val="34"/>
        <w:snapToGrid w:val="0"/>
        <w:spacing w:line="400" w:lineRule="exact"/>
        <w:ind w:left="420" w:leftChars="200"/>
        <w:rPr>
          <w:rFonts w:ascii="宋体" w:hAnsi="宋体" w:eastAsia="宋体" w:cs="宋体"/>
          <w:szCs w:val="24"/>
          <w:highlight w:val="none"/>
          <w:lang w:val="en-US"/>
        </w:rPr>
      </w:pPr>
      <w:r>
        <w:rPr>
          <w:rFonts w:hint="eastAsia" w:ascii="宋体" w:hAnsi="宋体" w:eastAsia="宋体" w:cs="宋体"/>
          <w:b/>
          <w:bCs/>
          <w:szCs w:val="24"/>
          <w:highlight w:val="none"/>
          <w:lang w:val="en-US"/>
        </w:rPr>
        <w:t>3、项目联系方式</w:t>
      </w:r>
    </w:p>
    <w:p>
      <w:pPr>
        <w:pStyle w:val="34"/>
        <w:snapToGrid w:val="0"/>
        <w:spacing w:line="400" w:lineRule="exact"/>
        <w:ind w:firstLine="480"/>
        <w:rPr>
          <w:rFonts w:hint="eastAsia" w:ascii="宋体" w:hAnsi="宋体" w:eastAsia="宋体" w:cs="宋体"/>
          <w:szCs w:val="24"/>
          <w:lang w:val="en-US" w:eastAsia="zh-CN"/>
        </w:rPr>
      </w:pPr>
      <w:r>
        <w:rPr>
          <w:rFonts w:hint="eastAsia" w:ascii="宋体" w:hAnsi="宋体" w:eastAsia="宋体" w:cs="宋体"/>
          <w:szCs w:val="24"/>
          <w:lang w:val="en-US"/>
        </w:rPr>
        <w:t>项目联系人：</w:t>
      </w:r>
      <w:r>
        <w:rPr>
          <w:rFonts w:hint="eastAsia" w:ascii="宋体" w:hAnsi="宋体" w:eastAsia="宋体" w:cs="宋体"/>
          <w:szCs w:val="24"/>
          <w:lang w:val="en-US" w:eastAsia="zh-CN"/>
        </w:rPr>
        <w:t>张顺勇</w:t>
      </w:r>
    </w:p>
    <w:p>
      <w:pPr>
        <w:pStyle w:val="34"/>
        <w:snapToGrid w:val="0"/>
        <w:spacing w:line="400" w:lineRule="exact"/>
        <w:ind w:firstLine="480" w:firstLineChars="200"/>
      </w:pPr>
      <w:r>
        <w:rPr>
          <w:rFonts w:hint="eastAsia" w:ascii="宋体" w:hAnsi="宋体" w:eastAsia="宋体" w:cs="宋体"/>
          <w:szCs w:val="24"/>
          <w:lang w:val="en-US"/>
        </w:rPr>
        <w:t>电       话</w:t>
      </w:r>
      <w:r>
        <w:rPr>
          <w:rFonts w:hint="eastAsia" w:ascii="宋体" w:hAnsi="宋体" w:eastAsia="宋体" w:cs="宋体"/>
          <w:szCs w:val="24"/>
          <w:highlight w:val="none"/>
          <w:lang w:val="en-US"/>
        </w:rPr>
        <w:t>：</w:t>
      </w:r>
      <w:bookmarkEnd w:id="30"/>
      <w:bookmarkEnd w:id="31"/>
      <w:bookmarkStart w:id="32" w:name="_Toc81911810"/>
      <w:r>
        <w:rPr>
          <w:rFonts w:hint="eastAsia" w:ascii="宋体" w:hAnsi="宋体" w:eastAsia="宋体" w:cs="宋体"/>
          <w:szCs w:val="24"/>
          <w:highlight w:val="none"/>
          <w:lang w:val="en-US" w:eastAsia="zh-CN"/>
        </w:rPr>
        <w:t>13651558236</w:t>
      </w:r>
    </w:p>
    <w:p>
      <w:pPr>
        <w:pStyle w:val="9"/>
      </w:pPr>
    </w:p>
    <w:p>
      <w:pPr>
        <w:pStyle w:val="9"/>
      </w:pPr>
    </w:p>
    <w:p>
      <w:pPr>
        <w:pStyle w:val="9"/>
      </w:pPr>
    </w:p>
    <w:p>
      <w:pPr>
        <w:pStyle w:val="9"/>
      </w:pPr>
    </w:p>
    <w:p>
      <w:pPr>
        <w:pStyle w:val="9"/>
      </w:pPr>
    </w:p>
    <w:p>
      <w:pPr>
        <w:pStyle w:val="9"/>
      </w:pPr>
    </w:p>
    <w:p>
      <w:pPr>
        <w:pStyle w:val="9"/>
      </w:pPr>
    </w:p>
    <w:p>
      <w:pPr>
        <w:pStyle w:val="9"/>
      </w:pPr>
    </w:p>
    <w:p>
      <w:pPr>
        <w:pStyle w:val="9"/>
      </w:pPr>
    </w:p>
    <w:p>
      <w:pPr>
        <w:pStyle w:val="9"/>
      </w:pPr>
    </w:p>
    <w:p>
      <w:pPr>
        <w:pStyle w:val="9"/>
      </w:pPr>
    </w:p>
    <w:p>
      <w:pPr>
        <w:pStyle w:val="9"/>
      </w:pPr>
    </w:p>
    <w:p>
      <w:pPr>
        <w:pStyle w:val="9"/>
      </w:pPr>
    </w:p>
    <w:p>
      <w:pPr>
        <w:pStyle w:val="9"/>
      </w:pPr>
    </w:p>
    <w:p>
      <w:pPr>
        <w:pStyle w:val="9"/>
      </w:pPr>
    </w:p>
    <w:p>
      <w:pPr>
        <w:pStyle w:val="9"/>
      </w:pPr>
    </w:p>
    <w:p>
      <w:pPr>
        <w:spacing w:line="420" w:lineRule="exact"/>
        <w:jc w:val="center"/>
        <w:rPr>
          <w:rFonts w:ascii="宋体" w:hAnsi="宋体" w:cs="宋体"/>
          <w:b/>
          <w:bCs/>
          <w:spacing w:val="-10"/>
          <w:sz w:val="40"/>
          <w:szCs w:val="40"/>
        </w:rPr>
      </w:pPr>
      <w:r>
        <w:rPr>
          <w:rFonts w:hint="eastAsia" w:ascii="宋体" w:hAnsi="宋体" w:cs="宋体"/>
          <w:b/>
          <w:bCs/>
          <w:spacing w:val="-10"/>
          <w:sz w:val="40"/>
          <w:szCs w:val="40"/>
        </w:rPr>
        <w:t>第二部分 供应商须知</w:t>
      </w:r>
      <w:bookmarkEnd w:id="32"/>
    </w:p>
    <w:p>
      <w:pPr>
        <w:spacing w:line="400" w:lineRule="exact"/>
        <w:rPr>
          <w:rFonts w:ascii="宋体" w:hAnsi="宋体" w:cs="宋体"/>
          <w:b/>
          <w:bCs/>
          <w:sz w:val="28"/>
          <w:szCs w:val="32"/>
        </w:rPr>
      </w:pPr>
      <w:r>
        <w:rPr>
          <w:rFonts w:hint="eastAsia" w:ascii="宋体" w:hAnsi="宋体" w:cs="宋体"/>
          <w:b/>
          <w:bCs/>
          <w:sz w:val="28"/>
          <w:szCs w:val="32"/>
        </w:rPr>
        <w:t>一、总则</w:t>
      </w:r>
    </w:p>
    <w:p>
      <w:pPr>
        <w:spacing w:line="400" w:lineRule="exact"/>
        <w:rPr>
          <w:rFonts w:ascii="宋体" w:hAnsi="宋体" w:cs="宋体"/>
          <w:sz w:val="24"/>
          <w:szCs w:val="28"/>
        </w:rPr>
      </w:pPr>
      <w:r>
        <w:rPr>
          <w:rFonts w:hint="eastAsia" w:ascii="宋体" w:hAnsi="宋体" w:cs="宋体"/>
          <w:sz w:val="24"/>
          <w:szCs w:val="28"/>
        </w:rPr>
        <w:t>1.适用范围</w:t>
      </w:r>
    </w:p>
    <w:p>
      <w:pPr>
        <w:spacing w:line="400" w:lineRule="exact"/>
        <w:ind w:firstLine="480" w:firstLineChars="200"/>
        <w:rPr>
          <w:rFonts w:ascii="宋体" w:hAnsi="宋体" w:cs="宋体"/>
          <w:sz w:val="24"/>
          <w:szCs w:val="28"/>
        </w:rPr>
      </w:pPr>
      <w:r>
        <w:rPr>
          <w:rFonts w:hint="eastAsia" w:ascii="宋体" w:hAnsi="宋体" w:cs="宋体"/>
          <w:sz w:val="24"/>
          <w:szCs w:val="28"/>
        </w:rPr>
        <w:t>本竞争性磋商文件仅适用于本次采购邀请中所述项目的采购。</w:t>
      </w:r>
    </w:p>
    <w:p>
      <w:pPr>
        <w:spacing w:line="400" w:lineRule="exact"/>
        <w:rPr>
          <w:rFonts w:ascii="宋体" w:hAnsi="宋体" w:cs="宋体"/>
          <w:bCs/>
          <w:sz w:val="24"/>
        </w:rPr>
      </w:pPr>
      <w:r>
        <w:rPr>
          <w:rFonts w:hint="eastAsia" w:ascii="宋体" w:hAnsi="宋体" w:cs="宋体"/>
          <w:bCs/>
          <w:sz w:val="24"/>
        </w:rPr>
        <w:t>2.合格的供应商</w:t>
      </w:r>
    </w:p>
    <w:p>
      <w:pPr>
        <w:spacing w:line="400" w:lineRule="exact"/>
        <w:ind w:left="-359" w:leftChars="-171" w:firstLine="784" w:firstLineChars="327"/>
        <w:rPr>
          <w:rFonts w:ascii="宋体" w:hAnsi="宋体" w:cs="宋体"/>
          <w:sz w:val="24"/>
          <w:szCs w:val="28"/>
        </w:rPr>
      </w:pPr>
      <w:r>
        <w:rPr>
          <w:rFonts w:hint="eastAsia" w:ascii="宋体" w:hAnsi="宋体" w:cs="宋体"/>
          <w:sz w:val="24"/>
          <w:szCs w:val="21"/>
        </w:rPr>
        <w:t>2.1</w:t>
      </w:r>
      <w:r>
        <w:rPr>
          <w:rFonts w:hint="eastAsia" w:ascii="宋体" w:hAnsi="宋体" w:cs="宋体"/>
          <w:sz w:val="24"/>
          <w:szCs w:val="28"/>
        </w:rPr>
        <w:t xml:space="preserve">满足第一章磋商邀请中供应商资格要求的规定。 </w:t>
      </w:r>
    </w:p>
    <w:p>
      <w:pPr>
        <w:spacing w:line="400" w:lineRule="exact"/>
        <w:ind w:firstLine="488" w:firstLineChars="194"/>
        <w:rPr>
          <w:rFonts w:ascii="宋体" w:hAnsi="宋体" w:cs="宋体"/>
          <w:sz w:val="24"/>
          <w:szCs w:val="28"/>
        </w:rPr>
      </w:pPr>
      <w:r>
        <w:rPr>
          <w:rFonts w:hint="eastAsia" w:ascii="宋体" w:hAnsi="宋体" w:cs="宋体"/>
          <w:spacing w:val="6"/>
          <w:sz w:val="24"/>
          <w:szCs w:val="28"/>
        </w:rPr>
        <w:t>2.2</w:t>
      </w:r>
      <w:r>
        <w:rPr>
          <w:rFonts w:hint="eastAsia" w:ascii="宋体" w:hAnsi="宋体" w:cs="宋体"/>
          <w:sz w:val="24"/>
          <w:szCs w:val="28"/>
        </w:rPr>
        <w:t>满足磋商文件中实质性条款的规定。</w:t>
      </w:r>
    </w:p>
    <w:p>
      <w:pPr>
        <w:spacing w:line="400" w:lineRule="exact"/>
        <w:rPr>
          <w:rFonts w:ascii="宋体" w:hAnsi="宋体" w:cs="宋体"/>
          <w:sz w:val="24"/>
          <w:szCs w:val="28"/>
        </w:rPr>
      </w:pPr>
      <w:r>
        <w:rPr>
          <w:rFonts w:hint="eastAsia" w:ascii="宋体" w:hAnsi="宋体" w:cs="宋体"/>
          <w:sz w:val="24"/>
          <w:szCs w:val="28"/>
        </w:rPr>
        <w:t>3.适用法律</w:t>
      </w:r>
    </w:p>
    <w:p>
      <w:pPr>
        <w:spacing w:line="400" w:lineRule="exact"/>
        <w:ind w:firstLine="480" w:firstLineChars="200"/>
        <w:rPr>
          <w:rFonts w:ascii="宋体" w:hAnsi="宋体" w:cs="宋体"/>
          <w:sz w:val="24"/>
          <w:szCs w:val="28"/>
        </w:rPr>
      </w:pPr>
      <w:r>
        <w:rPr>
          <w:rFonts w:hint="eastAsia" w:ascii="宋体" w:hAnsi="宋体" w:cs="宋体"/>
          <w:sz w:val="24"/>
          <w:szCs w:val="28"/>
        </w:rPr>
        <w:t>3.1 《中华人民共和国政府采购法》、《中华人民共和国政府采购法实施条例》、《政府采购竞争性磋商采购方式管理暂行办法》等有关法律、规章和规定等。</w:t>
      </w:r>
    </w:p>
    <w:p>
      <w:pPr>
        <w:spacing w:line="400" w:lineRule="exact"/>
        <w:rPr>
          <w:rFonts w:ascii="宋体" w:hAnsi="宋体" w:cs="宋体"/>
          <w:sz w:val="24"/>
          <w:szCs w:val="28"/>
        </w:rPr>
      </w:pPr>
      <w:r>
        <w:rPr>
          <w:rFonts w:hint="eastAsia" w:ascii="宋体" w:hAnsi="宋体" w:cs="宋体"/>
          <w:sz w:val="24"/>
          <w:szCs w:val="28"/>
        </w:rPr>
        <w:t>4.磋商费用</w:t>
      </w:r>
    </w:p>
    <w:p>
      <w:pPr>
        <w:spacing w:line="400" w:lineRule="exact"/>
        <w:ind w:firstLine="480" w:firstLineChars="200"/>
        <w:rPr>
          <w:rFonts w:ascii="宋体" w:hAnsi="宋体" w:cs="宋体"/>
          <w:sz w:val="24"/>
          <w:szCs w:val="28"/>
        </w:rPr>
      </w:pPr>
      <w:r>
        <w:rPr>
          <w:rFonts w:hint="eastAsia" w:ascii="宋体" w:hAnsi="宋体" w:cs="宋体"/>
          <w:sz w:val="24"/>
          <w:szCs w:val="28"/>
        </w:rPr>
        <w:t>4.1供应商应自行承担所有与参加磋商有关的费用。不论磋商的结果如何，采购人及采购代理机构在任何情况下均无义务和责任承担这些费用。</w:t>
      </w:r>
    </w:p>
    <w:p>
      <w:pPr>
        <w:pStyle w:val="35"/>
        <w:spacing w:line="400" w:lineRule="exact"/>
        <w:ind w:firstLine="482"/>
        <w:rPr>
          <w:rFonts w:hAnsi="宋体" w:eastAsia="宋体"/>
          <w:b/>
          <w:bCs w:val="0"/>
          <w:color w:val="auto"/>
          <w:sz w:val="24"/>
          <w:szCs w:val="28"/>
        </w:rPr>
      </w:pPr>
      <w:r>
        <w:rPr>
          <w:rFonts w:hint="eastAsia" w:hAnsi="宋体" w:eastAsia="宋体"/>
          <w:b w:val="0"/>
          <w:bCs/>
          <w:color w:val="auto"/>
          <w:sz w:val="24"/>
          <w:szCs w:val="28"/>
        </w:rPr>
        <w:t>4.2</w:t>
      </w:r>
      <w:r>
        <w:rPr>
          <w:rFonts w:hint="eastAsia" w:hAnsi="宋体" w:eastAsia="宋体"/>
          <w:b/>
          <w:bCs w:val="0"/>
          <w:color w:val="auto"/>
          <w:sz w:val="24"/>
          <w:szCs w:val="28"/>
        </w:rPr>
        <w:t>本采购项目控制价</w:t>
      </w:r>
      <w:r>
        <w:rPr>
          <w:rFonts w:hint="eastAsia" w:hAnsi="宋体" w:eastAsia="宋体"/>
          <w:b/>
          <w:bCs w:val="0"/>
          <w:color w:val="auto"/>
          <w:sz w:val="24"/>
          <w:szCs w:val="28"/>
          <w:lang w:eastAsia="zh-CN"/>
        </w:rPr>
        <w:t>51万元</w:t>
      </w:r>
      <w:r>
        <w:rPr>
          <w:rFonts w:hint="eastAsia" w:hAnsi="宋体" w:eastAsia="宋体"/>
          <w:b/>
          <w:bCs w:val="0"/>
          <w:color w:val="auto"/>
          <w:sz w:val="24"/>
          <w:szCs w:val="28"/>
        </w:rPr>
        <w:t>，超过最高限价作废标处理。</w:t>
      </w:r>
    </w:p>
    <w:p>
      <w:pPr>
        <w:spacing w:line="400" w:lineRule="exact"/>
        <w:rPr>
          <w:rFonts w:ascii="宋体" w:hAnsi="宋体" w:cs="宋体"/>
          <w:b/>
          <w:bCs/>
          <w:sz w:val="28"/>
          <w:szCs w:val="32"/>
        </w:rPr>
      </w:pPr>
      <w:r>
        <w:rPr>
          <w:rFonts w:hint="eastAsia" w:ascii="宋体" w:hAnsi="宋体" w:cs="宋体"/>
          <w:b/>
          <w:bCs/>
          <w:sz w:val="28"/>
          <w:szCs w:val="32"/>
        </w:rPr>
        <w:t>二、磋商文件</w:t>
      </w:r>
    </w:p>
    <w:p>
      <w:pPr>
        <w:spacing w:line="400" w:lineRule="exact"/>
        <w:ind w:firstLine="480" w:firstLineChars="200"/>
        <w:rPr>
          <w:rFonts w:ascii="宋体" w:hAnsi="宋体" w:cs="宋体"/>
          <w:sz w:val="24"/>
          <w:szCs w:val="28"/>
        </w:rPr>
      </w:pPr>
      <w:r>
        <w:rPr>
          <w:rFonts w:hint="eastAsia" w:ascii="宋体" w:hAnsi="宋体" w:cs="宋体"/>
          <w:bCs/>
          <w:sz w:val="24"/>
        </w:rPr>
        <w:t>5.磋商文件</w:t>
      </w:r>
      <w:r>
        <w:rPr>
          <w:rFonts w:hint="eastAsia" w:ascii="宋体" w:hAnsi="宋体" w:cs="宋体"/>
          <w:sz w:val="24"/>
          <w:szCs w:val="28"/>
        </w:rPr>
        <w:t>由以下部分组成:</w:t>
      </w:r>
    </w:p>
    <w:p>
      <w:pPr>
        <w:spacing w:line="400" w:lineRule="exact"/>
        <w:ind w:firstLine="480" w:firstLineChars="200"/>
        <w:rPr>
          <w:rFonts w:ascii="宋体" w:hAnsi="宋体" w:cs="宋体"/>
          <w:sz w:val="24"/>
          <w:szCs w:val="28"/>
        </w:rPr>
      </w:pPr>
      <w:r>
        <w:rPr>
          <w:rFonts w:hint="eastAsia" w:ascii="宋体" w:hAnsi="宋体" w:cs="宋体"/>
          <w:sz w:val="24"/>
          <w:szCs w:val="28"/>
        </w:rPr>
        <w:t>5.1磋商邀请</w:t>
      </w:r>
    </w:p>
    <w:p>
      <w:pPr>
        <w:spacing w:line="400" w:lineRule="exact"/>
        <w:ind w:firstLine="480" w:firstLineChars="200"/>
        <w:rPr>
          <w:rFonts w:ascii="宋体" w:hAnsi="宋体" w:cs="宋体"/>
          <w:sz w:val="24"/>
          <w:szCs w:val="28"/>
        </w:rPr>
      </w:pPr>
      <w:r>
        <w:rPr>
          <w:rFonts w:hint="eastAsia" w:ascii="宋体" w:hAnsi="宋体" w:cs="宋体"/>
          <w:sz w:val="24"/>
          <w:szCs w:val="28"/>
        </w:rPr>
        <w:t>5.2供应商须知</w:t>
      </w:r>
    </w:p>
    <w:p>
      <w:pPr>
        <w:spacing w:line="400" w:lineRule="exact"/>
        <w:ind w:firstLine="480" w:firstLineChars="200"/>
        <w:rPr>
          <w:rFonts w:ascii="宋体" w:hAnsi="宋体" w:cs="宋体"/>
          <w:sz w:val="24"/>
          <w:szCs w:val="28"/>
        </w:rPr>
      </w:pPr>
      <w:r>
        <w:rPr>
          <w:rFonts w:hint="eastAsia" w:ascii="宋体" w:hAnsi="宋体" w:cs="宋体"/>
          <w:sz w:val="24"/>
          <w:szCs w:val="28"/>
        </w:rPr>
        <w:t>5.3评分标准</w:t>
      </w:r>
    </w:p>
    <w:p>
      <w:pPr>
        <w:spacing w:line="400" w:lineRule="exact"/>
        <w:ind w:firstLine="480" w:firstLineChars="200"/>
        <w:rPr>
          <w:rFonts w:ascii="宋体" w:hAnsi="宋体" w:cs="宋体"/>
          <w:sz w:val="24"/>
          <w:szCs w:val="28"/>
        </w:rPr>
      </w:pPr>
      <w:r>
        <w:rPr>
          <w:rFonts w:hint="eastAsia" w:ascii="宋体" w:hAnsi="宋体" w:cs="宋体"/>
          <w:sz w:val="24"/>
          <w:szCs w:val="28"/>
        </w:rPr>
        <w:t>5.4合同格式及条款</w:t>
      </w:r>
    </w:p>
    <w:p>
      <w:pPr>
        <w:spacing w:line="400" w:lineRule="exact"/>
        <w:ind w:firstLine="480" w:firstLineChars="200"/>
        <w:rPr>
          <w:rFonts w:ascii="宋体" w:hAnsi="宋体" w:cs="宋体"/>
          <w:sz w:val="24"/>
          <w:szCs w:val="28"/>
        </w:rPr>
      </w:pPr>
      <w:r>
        <w:rPr>
          <w:rFonts w:hint="eastAsia" w:ascii="宋体" w:hAnsi="宋体" w:cs="宋体"/>
          <w:sz w:val="24"/>
          <w:szCs w:val="28"/>
        </w:rPr>
        <w:t>5.5项目采购需求</w:t>
      </w:r>
    </w:p>
    <w:p>
      <w:pPr>
        <w:spacing w:line="400" w:lineRule="exact"/>
        <w:ind w:firstLine="480" w:firstLineChars="200"/>
        <w:rPr>
          <w:rFonts w:ascii="宋体" w:hAnsi="宋体" w:cs="宋体"/>
          <w:sz w:val="24"/>
          <w:szCs w:val="28"/>
        </w:rPr>
      </w:pPr>
      <w:r>
        <w:rPr>
          <w:rFonts w:hint="eastAsia" w:ascii="宋体" w:hAnsi="宋体" w:cs="宋体"/>
          <w:sz w:val="24"/>
          <w:szCs w:val="28"/>
        </w:rPr>
        <w:t>5.6响应文件</w:t>
      </w:r>
    </w:p>
    <w:p>
      <w:pPr>
        <w:spacing w:line="400" w:lineRule="exact"/>
        <w:ind w:firstLine="480" w:firstLineChars="200"/>
        <w:rPr>
          <w:rFonts w:ascii="宋体" w:hAnsi="宋体" w:cs="宋体"/>
          <w:sz w:val="24"/>
          <w:szCs w:val="28"/>
        </w:rPr>
      </w:pPr>
      <w:r>
        <w:rPr>
          <w:rFonts w:hint="eastAsia" w:ascii="宋体" w:hAnsi="宋体" w:cs="宋体"/>
          <w:bCs/>
          <w:sz w:val="24"/>
        </w:rPr>
        <w:t>6.磋商文件的澄清</w:t>
      </w:r>
    </w:p>
    <w:p>
      <w:pPr>
        <w:spacing w:line="400" w:lineRule="exact"/>
        <w:ind w:firstLine="480" w:firstLineChars="200"/>
        <w:rPr>
          <w:rFonts w:ascii="宋体" w:hAnsi="宋体" w:cs="宋体"/>
          <w:bCs/>
          <w:sz w:val="24"/>
        </w:rPr>
      </w:pPr>
      <w:r>
        <w:rPr>
          <w:rFonts w:hint="eastAsia" w:ascii="宋体" w:hAnsi="宋体" w:cs="宋体"/>
          <w:sz w:val="24"/>
        </w:rPr>
        <w:t>6.1任何对磋商文件要求进行澄清的供应商，均应在磋商时间五日前</w:t>
      </w:r>
      <w:r>
        <w:rPr>
          <w:rFonts w:hint="eastAsia" w:ascii="宋体" w:hAnsi="宋体" w:cs="宋体"/>
          <w:sz w:val="24"/>
          <w:szCs w:val="28"/>
        </w:rPr>
        <w:t>通过以电子文件形式并加盖电子签章（指:从淮安市公共资源交易网</w:t>
      </w:r>
      <w:r>
        <w:rPr>
          <w:rFonts w:hint="eastAsia" w:ascii="宋体" w:hAnsi="宋体" w:cs="宋体"/>
          <w:sz w:val="24"/>
        </w:rPr>
        <w:t>首页点击“交易平台”→“政府采购-磋商供应商”登录，从“采购业务-网上提问”模块</w:t>
      </w:r>
      <w:r>
        <w:rPr>
          <w:rFonts w:hint="eastAsia" w:ascii="宋体" w:hAnsi="宋体" w:cs="宋体"/>
          <w:sz w:val="24"/>
          <w:szCs w:val="28"/>
        </w:rPr>
        <w:t>提出澄清）通知采购人或采购代理机构，采购人对投标截止时间前三日收到的任何澄清要求将通过电子交易平台以电子文件形式予以答复。</w:t>
      </w:r>
    </w:p>
    <w:p>
      <w:pPr>
        <w:spacing w:line="400" w:lineRule="exact"/>
        <w:ind w:firstLine="460" w:firstLineChars="192"/>
        <w:rPr>
          <w:rFonts w:ascii="宋体" w:hAnsi="宋体" w:cs="宋体"/>
          <w:sz w:val="24"/>
          <w:szCs w:val="28"/>
          <w:lang w:val="zh-CN"/>
        </w:rPr>
      </w:pPr>
      <w:r>
        <w:rPr>
          <w:rFonts w:hint="eastAsia" w:ascii="宋体" w:hAnsi="宋体" w:cs="宋体"/>
          <w:bCs/>
          <w:sz w:val="24"/>
          <w:szCs w:val="28"/>
        </w:rPr>
        <w:t>7.磋商文件的更正或补充</w:t>
      </w:r>
    </w:p>
    <w:p>
      <w:pPr>
        <w:spacing w:line="400" w:lineRule="exact"/>
        <w:ind w:firstLine="480" w:firstLineChars="200"/>
        <w:rPr>
          <w:rFonts w:ascii="宋体" w:hAnsi="宋体" w:cs="宋体"/>
          <w:sz w:val="24"/>
          <w:szCs w:val="28"/>
        </w:rPr>
      </w:pPr>
      <w:r>
        <w:rPr>
          <w:rFonts w:hint="eastAsia" w:ascii="宋体" w:hAnsi="宋体" w:cs="宋体"/>
          <w:sz w:val="24"/>
          <w:szCs w:val="28"/>
        </w:rPr>
        <w:t>7.1在磋商时间前，采购人可主动或在解答供应商提出的澄清问题时对磋商文件用更正公告的方式进行修正。</w:t>
      </w:r>
    </w:p>
    <w:p>
      <w:pPr>
        <w:spacing w:line="400" w:lineRule="exact"/>
        <w:ind w:firstLine="480" w:firstLineChars="200"/>
        <w:rPr>
          <w:rFonts w:ascii="宋体" w:hAnsi="宋体" w:cs="宋体"/>
          <w:sz w:val="24"/>
          <w:szCs w:val="28"/>
        </w:rPr>
      </w:pPr>
      <w:r>
        <w:rPr>
          <w:rFonts w:hint="eastAsia" w:ascii="宋体" w:hAnsi="宋体" w:cs="宋体"/>
          <w:sz w:val="24"/>
          <w:szCs w:val="28"/>
        </w:rPr>
        <w:t>7.2 对</w:t>
      </w:r>
      <w:r>
        <w:rPr>
          <w:rFonts w:hint="eastAsia" w:ascii="宋体" w:hAnsi="宋体" w:cs="宋体"/>
          <w:sz w:val="24"/>
          <w:szCs w:val="28"/>
          <w:lang w:val="zh-CN"/>
        </w:rPr>
        <w:t>磋商文件的修改将</w:t>
      </w:r>
      <w:r>
        <w:rPr>
          <w:rFonts w:hint="eastAsia" w:ascii="宋体" w:hAnsi="宋体" w:cs="宋体"/>
          <w:sz w:val="24"/>
          <w:szCs w:val="28"/>
        </w:rPr>
        <w:t>在淮安市政府采购网、淮安市公共资源交易网进行公告，同时通过电子交易平台通知所有已获取磋商文件的供应商。更正公告将作为磋商文件的组成部分，对所有参加本次磋商的供应商都具有约束力。</w:t>
      </w:r>
    </w:p>
    <w:p>
      <w:pPr>
        <w:spacing w:line="400" w:lineRule="exact"/>
        <w:ind w:firstLine="480" w:firstLineChars="200"/>
        <w:rPr>
          <w:rFonts w:ascii="宋体" w:hAnsi="宋体" w:cs="宋体"/>
          <w:sz w:val="24"/>
          <w:szCs w:val="28"/>
        </w:rPr>
      </w:pPr>
      <w:r>
        <w:rPr>
          <w:rFonts w:hint="eastAsia" w:ascii="宋体" w:hAnsi="宋体" w:cs="宋体"/>
          <w:sz w:val="24"/>
          <w:szCs w:val="28"/>
        </w:rPr>
        <w:t>7.3为使供应商有足够的时间按磋商文件的更正要求修正响应文件，采购人有权按照相关法定的要求推迟响应文件接收截止时间和磋商时间。</w:t>
      </w:r>
    </w:p>
    <w:p>
      <w:pPr>
        <w:spacing w:line="400" w:lineRule="exact"/>
        <w:rPr>
          <w:rFonts w:ascii="宋体" w:hAnsi="宋体" w:cs="宋体"/>
          <w:b/>
          <w:bCs/>
          <w:sz w:val="28"/>
          <w:szCs w:val="32"/>
        </w:rPr>
      </w:pPr>
      <w:r>
        <w:rPr>
          <w:rFonts w:hint="eastAsia" w:ascii="宋体" w:hAnsi="宋体" w:cs="宋体"/>
          <w:b/>
          <w:bCs/>
          <w:sz w:val="28"/>
          <w:szCs w:val="32"/>
        </w:rPr>
        <w:t>三、响应文件的编制</w:t>
      </w:r>
    </w:p>
    <w:p>
      <w:pPr>
        <w:spacing w:line="400" w:lineRule="exact"/>
        <w:rPr>
          <w:rFonts w:ascii="宋体" w:hAnsi="宋体" w:cs="宋体"/>
          <w:bCs/>
          <w:sz w:val="24"/>
        </w:rPr>
      </w:pPr>
      <w:r>
        <w:rPr>
          <w:rFonts w:hint="eastAsia" w:ascii="宋体" w:hAnsi="宋体" w:cs="宋体"/>
          <w:bCs/>
          <w:sz w:val="24"/>
        </w:rPr>
        <w:t>8.响应文件的编制</w:t>
      </w:r>
    </w:p>
    <w:p>
      <w:pPr>
        <w:spacing w:line="400" w:lineRule="exact"/>
        <w:ind w:firstLine="480" w:firstLineChars="200"/>
        <w:rPr>
          <w:rFonts w:ascii="宋体" w:hAnsi="宋体" w:cs="宋体"/>
          <w:sz w:val="24"/>
          <w:szCs w:val="28"/>
        </w:rPr>
      </w:pPr>
      <w:r>
        <w:rPr>
          <w:rFonts w:hint="eastAsia" w:ascii="宋体" w:hAnsi="宋体" w:cs="宋体"/>
          <w:sz w:val="24"/>
          <w:szCs w:val="28"/>
        </w:rPr>
        <w:t>8.1供应商编写的响应文件应按磋商文件第六章“响应文件”中的要求进行编写。</w:t>
      </w:r>
    </w:p>
    <w:p>
      <w:pPr>
        <w:spacing w:line="400" w:lineRule="exact"/>
        <w:ind w:firstLine="480" w:firstLineChars="200"/>
        <w:rPr>
          <w:rFonts w:ascii="宋体" w:hAnsi="宋体" w:cs="宋体"/>
          <w:sz w:val="24"/>
          <w:szCs w:val="28"/>
        </w:rPr>
      </w:pPr>
      <w:r>
        <w:rPr>
          <w:rFonts w:hint="eastAsia" w:ascii="宋体" w:hAnsi="宋体" w:cs="宋体"/>
          <w:sz w:val="24"/>
          <w:szCs w:val="28"/>
        </w:rPr>
        <w:t>8.2电子响应文件编制必须使用淮安市公共资源交易系统可接受的响应文件制作工具编制，响应文件制作工具可在淮安市公共资源交易网---服务导航---下载中心---《政府采购操作指南》下载。请及时关注版本更新情况！</w:t>
      </w:r>
    </w:p>
    <w:p>
      <w:pPr>
        <w:numPr>
          <w:ilvl w:val="0"/>
          <w:numId w:val="1"/>
        </w:numPr>
        <w:spacing w:line="400" w:lineRule="exact"/>
        <w:rPr>
          <w:rFonts w:ascii="宋体" w:hAnsi="宋体" w:cs="宋体"/>
          <w:bCs/>
          <w:sz w:val="24"/>
        </w:rPr>
      </w:pPr>
      <w:r>
        <w:rPr>
          <w:rFonts w:hint="eastAsia" w:ascii="宋体" w:hAnsi="宋体" w:cs="宋体"/>
          <w:bCs/>
          <w:sz w:val="24"/>
        </w:rPr>
        <w:t>磋商报价</w:t>
      </w:r>
    </w:p>
    <w:p>
      <w:pPr>
        <w:spacing w:line="400" w:lineRule="exact"/>
        <w:ind w:firstLine="480" w:firstLineChars="200"/>
        <w:rPr>
          <w:rFonts w:ascii="宋体" w:hAnsi="宋体" w:cs="宋体"/>
          <w:bCs/>
          <w:sz w:val="24"/>
        </w:rPr>
      </w:pPr>
      <w:r>
        <w:rPr>
          <w:rFonts w:hint="eastAsia" w:ascii="宋体" w:hAnsi="宋体" w:cs="宋体"/>
          <w:bCs/>
          <w:sz w:val="24"/>
        </w:rPr>
        <w:t>9.1本项目采用总承包方式，供应商的报价应包含差旅费、评审费、现场勘察费、税费等与本项目有关的所有费用。</w:t>
      </w:r>
    </w:p>
    <w:p>
      <w:pPr>
        <w:spacing w:line="400" w:lineRule="exact"/>
        <w:ind w:firstLine="480" w:firstLineChars="200"/>
        <w:rPr>
          <w:rFonts w:ascii="宋体" w:hAnsi="宋体" w:cs="宋体"/>
          <w:bCs/>
          <w:sz w:val="24"/>
        </w:rPr>
      </w:pPr>
      <w:r>
        <w:rPr>
          <w:rFonts w:hint="eastAsia" w:ascii="宋体" w:hAnsi="宋体" w:cs="宋体"/>
          <w:bCs/>
          <w:sz w:val="24"/>
        </w:rPr>
        <w:t>9.2 供应商的任何错漏、优惠、竞争性报价不得作为减轻责任、减少服务、增加收费、降低质量的理由。</w:t>
      </w:r>
    </w:p>
    <w:p>
      <w:pPr>
        <w:spacing w:line="400" w:lineRule="exact"/>
        <w:ind w:firstLine="480" w:firstLineChars="200"/>
        <w:rPr>
          <w:rFonts w:ascii="宋体" w:hAnsi="宋体" w:cs="宋体"/>
          <w:bCs/>
          <w:sz w:val="24"/>
        </w:rPr>
      </w:pPr>
      <w:r>
        <w:rPr>
          <w:rFonts w:hint="eastAsia" w:ascii="宋体" w:hAnsi="宋体" w:cs="宋体"/>
          <w:bCs/>
          <w:sz w:val="24"/>
        </w:rPr>
        <w:t>9.3采购人不接受备选的方案或有选择的报价。</w:t>
      </w:r>
    </w:p>
    <w:p>
      <w:pPr>
        <w:spacing w:line="400" w:lineRule="exact"/>
        <w:ind w:firstLine="480" w:firstLineChars="200"/>
        <w:rPr>
          <w:sz w:val="24"/>
          <w:szCs w:val="24"/>
          <w:lang w:val="zh-CN"/>
        </w:rPr>
      </w:pPr>
      <w:r>
        <w:rPr>
          <w:rFonts w:hint="eastAsia" w:ascii="宋体" w:hAnsi="宋体" w:cs="宋体"/>
          <w:bCs/>
          <w:sz w:val="24"/>
        </w:rPr>
        <w:t>9.4磋商报价应以人民币为货币单位。</w:t>
      </w:r>
    </w:p>
    <w:p>
      <w:pPr>
        <w:pStyle w:val="13"/>
        <w:widowControl/>
        <w:rPr>
          <w:rFonts w:ascii="宋体" w:hAnsi="宋体" w:cs="宋体"/>
          <w:bCs/>
          <w:kern w:val="2"/>
        </w:rPr>
      </w:pPr>
      <w:r>
        <w:rPr>
          <w:rFonts w:hint="eastAsia" w:ascii="宋体" w:hAnsi="宋体" w:cs="宋体"/>
          <w:bCs/>
          <w:kern w:val="2"/>
        </w:rPr>
        <w:t>10.技术要求响应偏离</w:t>
      </w:r>
    </w:p>
    <w:p>
      <w:pPr>
        <w:pStyle w:val="13"/>
        <w:widowControl/>
        <w:ind w:firstLine="480" w:firstLineChars="200"/>
        <w:rPr>
          <w:rFonts w:ascii="宋体" w:hAnsi="宋体" w:cs="宋体"/>
          <w:bCs/>
          <w:color w:val="auto"/>
          <w:kern w:val="2"/>
        </w:rPr>
      </w:pPr>
      <w:r>
        <w:rPr>
          <w:rFonts w:hint="eastAsia" w:ascii="宋体" w:hAnsi="宋体" w:cs="宋体"/>
          <w:bCs/>
          <w:kern w:val="2"/>
        </w:rPr>
        <w:t>10.1</w:t>
      </w:r>
      <w:r>
        <w:rPr>
          <w:rFonts w:hint="eastAsia" w:ascii="宋体" w:hAnsi="宋体" w:cs="宋体"/>
          <w:bCs/>
          <w:color w:val="auto"/>
          <w:kern w:val="2"/>
        </w:rPr>
        <w:t>供应商应对磋商文件中的技术要求逐项作出响应或偏离，否则将被拒绝。</w:t>
      </w:r>
    </w:p>
    <w:p>
      <w:pPr>
        <w:pStyle w:val="13"/>
        <w:widowControl/>
        <w:rPr>
          <w:rFonts w:ascii="宋体" w:hAnsi="宋体" w:cs="宋体"/>
          <w:bCs/>
          <w:kern w:val="2"/>
        </w:rPr>
      </w:pPr>
      <w:r>
        <w:rPr>
          <w:rFonts w:hint="eastAsia" w:ascii="宋体" w:hAnsi="宋体" w:cs="宋体"/>
          <w:bCs/>
          <w:kern w:val="2"/>
        </w:rPr>
        <w:t>11.服务承诺</w:t>
      </w:r>
    </w:p>
    <w:p>
      <w:pPr>
        <w:pStyle w:val="13"/>
        <w:widowControl/>
        <w:ind w:firstLine="480" w:firstLineChars="200"/>
        <w:rPr>
          <w:rFonts w:ascii="宋体" w:hAnsi="宋体" w:cs="宋体"/>
          <w:bCs/>
          <w:kern w:val="2"/>
        </w:rPr>
      </w:pPr>
      <w:r>
        <w:rPr>
          <w:rFonts w:hint="eastAsia" w:ascii="宋体" w:hAnsi="宋体" w:cs="宋体"/>
          <w:bCs/>
          <w:kern w:val="2"/>
        </w:rPr>
        <w:t>11.1供应商的服务承诺不能低于磋商文件中对于服务的要求。</w:t>
      </w:r>
    </w:p>
    <w:p>
      <w:pPr>
        <w:pStyle w:val="13"/>
        <w:widowControl/>
        <w:rPr>
          <w:rFonts w:ascii="宋体" w:hAnsi="宋体" w:cs="宋体"/>
          <w:bCs/>
          <w:kern w:val="2"/>
        </w:rPr>
      </w:pPr>
      <w:r>
        <w:rPr>
          <w:rFonts w:hint="eastAsia" w:ascii="宋体" w:hAnsi="宋体" w:cs="宋体"/>
          <w:bCs/>
          <w:kern w:val="2"/>
        </w:rPr>
        <w:t>12.磋商保证金</w:t>
      </w:r>
    </w:p>
    <w:p>
      <w:pPr>
        <w:pStyle w:val="13"/>
        <w:widowControl/>
        <w:rPr>
          <w:rFonts w:ascii="宋体" w:hAnsi="宋体" w:cs="宋体"/>
          <w:bCs/>
          <w:kern w:val="2"/>
        </w:rPr>
      </w:pPr>
      <w:r>
        <w:rPr>
          <w:rFonts w:hint="eastAsia" w:ascii="宋体" w:hAnsi="宋体" w:cs="宋体"/>
          <w:bCs/>
          <w:kern w:val="2"/>
        </w:rPr>
        <w:t>本项目不收取投标保证金。</w:t>
      </w:r>
    </w:p>
    <w:p>
      <w:pPr>
        <w:pStyle w:val="13"/>
        <w:widowControl/>
        <w:rPr>
          <w:rFonts w:ascii="宋体" w:hAnsi="宋体" w:cs="宋体"/>
          <w:bCs/>
          <w:kern w:val="2"/>
        </w:rPr>
      </w:pPr>
      <w:r>
        <w:rPr>
          <w:rFonts w:hint="eastAsia" w:ascii="宋体" w:hAnsi="宋体" w:cs="宋体"/>
          <w:bCs/>
          <w:kern w:val="2"/>
        </w:rPr>
        <w:t>13.磋商有效期</w:t>
      </w:r>
    </w:p>
    <w:p>
      <w:pPr>
        <w:pStyle w:val="13"/>
        <w:widowControl/>
        <w:ind w:firstLine="480" w:firstLineChars="200"/>
        <w:rPr>
          <w:rFonts w:ascii="宋体" w:hAnsi="宋体" w:cs="宋体"/>
          <w:bCs/>
          <w:kern w:val="2"/>
        </w:rPr>
      </w:pPr>
      <w:r>
        <w:rPr>
          <w:rFonts w:hint="eastAsia" w:ascii="宋体" w:hAnsi="宋体" w:cs="宋体"/>
          <w:bCs/>
          <w:kern w:val="2"/>
        </w:rPr>
        <w:t>13.1磋商有效期为从磋商之日起计算的九十天。磋商有效期比规定短的将被视为非响应磋商而予以拒绝。·应重新编制。</w:t>
      </w:r>
    </w:p>
    <w:p>
      <w:pPr>
        <w:pStyle w:val="13"/>
        <w:widowControl/>
        <w:rPr>
          <w:rFonts w:ascii="宋体" w:hAnsi="宋体" w:cs="宋体"/>
          <w:b/>
          <w:kern w:val="2"/>
          <w:sz w:val="28"/>
          <w:szCs w:val="28"/>
        </w:rPr>
      </w:pPr>
      <w:r>
        <w:rPr>
          <w:rFonts w:hint="eastAsia" w:ascii="宋体" w:hAnsi="宋体" w:cs="宋体"/>
          <w:b/>
          <w:kern w:val="2"/>
          <w:sz w:val="28"/>
          <w:szCs w:val="28"/>
        </w:rPr>
        <w:t>四、响应文件上传</w:t>
      </w:r>
    </w:p>
    <w:p>
      <w:pPr>
        <w:pStyle w:val="13"/>
        <w:widowControl/>
        <w:ind w:firstLine="480" w:firstLineChars="200"/>
        <w:rPr>
          <w:rFonts w:ascii="宋体" w:hAnsi="宋体" w:cs="宋体"/>
          <w:bCs/>
          <w:kern w:val="2"/>
        </w:rPr>
      </w:pPr>
      <w:r>
        <w:rPr>
          <w:rFonts w:hint="eastAsia" w:ascii="宋体" w:hAnsi="宋体" w:cs="宋体"/>
          <w:bCs/>
          <w:kern w:val="2"/>
        </w:rPr>
        <w:t>15.响应文件的上传</w:t>
      </w:r>
    </w:p>
    <w:p>
      <w:pPr>
        <w:pStyle w:val="13"/>
        <w:widowControl/>
        <w:ind w:firstLine="480" w:firstLineChars="200"/>
        <w:rPr>
          <w:rFonts w:ascii="宋体" w:hAnsi="宋体" w:cs="宋体"/>
          <w:bCs/>
          <w:kern w:val="2"/>
        </w:rPr>
      </w:pPr>
      <w:r>
        <w:rPr>
          <w:rFonts w:hint="eastAsia" w:ascii="宋体" w:hAnsi="宋体" w:cs="宋体"/>
          <w:bCs/>
          <w:kern w:val="2"/>
        </w:rPr>
        <w:t>15.1供应商在响应文件制作工具中生成加密电子响应文件后即可将响应文件上传至淮安市公共资源全程电子化交易平台。供应商应在磋商邀请规定的响应文件提交截止时间前完成网上电子响应文件的上传。</w:t>
      </w:r>
    </w:p>
    <w:p>
      <w:pPr>
        <w:pStyle w:val="13"/>
        <w:widowControl/>
        <w:ind w:firstLine="480" w:firstLineChars="200"/>
        <w:rPr>
          <w:rFonts w:ascii="宋体" w:hAnsi="宋体" w:cs="宋体"/>
          <w:bCs/>
          <w:kern w:val="2"/>
        </w:rPr>
      </w:pPr>
      <w:r>
        <w:rPr>
          <w:rFonts w:hint="eastAsia" w:ascii="宋体" w:hAnsi="宋体" w:cs="宋体"/>
          <w:bCs/>
          <w:kern w:val="2"/>
        </w:rPr>
        <w:t>15.2供应商上传的电子响应文件内容不清楚或不清晰的（含扫描件），造成无法评审或部分影响评审的，责任由供应商自负。</w:t>
      </w:r>
    </w:p>
    <w:p>
      <w:pPr>
        <w:pStyle w:val="13"/>
        <w:widowControl/>
        <w:ind w:firstLine="480" w:firstLineChars="200"/>
        <w:rPr>
          <w:rFonts w:ascii="宋体" w:hAnsi="宋体" w:cs="宋体"/>
          <w:bCs/>
          <w:kern w:val="2"/>
        </w:rPr>
      </w:pPr>
      <w:r>
        <w:rPr>
          <w:rFonts w:hint="eastAsia" w:ascii="宋体" w:hAnsi="宋体" w:cs="宋体"/>
          <w:bCs/>
          <w:kern w:val="2"/>
        </w:rPr>
        <w:t>15.3供应商上传电子响应文件的时间不得迟于磋商邀请中规定的截止时间。</w:t>
      </w:r>
    </w:p>
    <w:p>
      <w:pPr>
        <w:pStyle w:val="13"/>
        <w:widowControl/>
        <w:ind w:firstLine="480" w:firstLineChars="200"/>
        <w:rPr>
          <w:rFonts w:ascii="宋体" w:hAnsi="宋体" w:cs="宋体"/>
          <w:bCs/>
          <w:kern w:val="2"/>
        </w:rPr>
      </w:pPr>
      <w:r>
        <w:rPr>
          <w:rFonts w:hint="eastAsia" w:ascii="宋体" w:hAnsi="宋体" w:cs="宋体"/>
          <w:bCs/>
          <w:kern w:val="2"/>
        </w:rPr>
        <w:t>15.4采购人可以按第7条规定，通过修改磋商文件有权酌情延长响应文件接收截止时间。在此情况下，供应商的所有权利和义务以及供应商受制约的截止日期均应以延长后新的截止日期为准。</w:t>
      </w:r>
    </w:p>
    <w:p>
      <w:pPr>
        <w:pStyle w:val="13"/>
        <w:widowControl/>
        <w:ind w:firstLine="480" w:firstLineChars="200"/>
        <w:rPr>
          <w:rFonts w:ascii="宋体" w:hAnsi="宋体" w:cs="宋体"/>
          <w:bCs/>
          <w:kern w:val="2"/>
        </w:rPr>
      </w:pPr>
      <w:r>
        <w:rPr>
          <w:rFonts w:hint="eastAsia" w:ascii="宋体" w:hAnsi="宋体" w:cs="宋体"/>
          <w:bCs/>
          <w:kern w:val="2"/>
        </w:rPr>
        <w:t>15.5成交供应商在成交通知书发出之前，必须提供两份与电子响应文件一致的纸质打印响应文件。未成交人邮寄一份纸质响应文件邮寄给采购代理。</w:t>
      </w:r>
    </w:p>
    <w:p>
      <w:pPr>
        <w:pStyle w:val="13"/>
        <w:widowControl/>
        <w:ind w:firstLine="480" w:firstLineChars="200"/>
        <w:rPr>
          <w:rFonts w:ascii="宋体" w:hAnsi="宋体" w:cs="宋体"/>
          <w:bCs/>
          <w:kern w:val="2"/>
        </w:rPr>
      </w:pPr>
      <w:r>
        <w:rPr>
          <w:rFonts w:hint="eastAsia" w:ascii="宋体" w:hAnsi="宋体" w:cs="宋体"/>
          <w:bCs/>
          <w:kern w:val="2"/>
        </w:rPr>
        <w:t>16.响应文件被拒绝接收的情形</w:t>
      </w:r>
    </w:p>
    <w:p>
      <w:pPr>
        <w:pStyle w:val="13"/>
        <w:widowControl/>
        <w:ind w:firstLine="480" w:firstLineChars="200"/>
        <w:rPr>
          <w:rFonts w:ascii="宋体" w:hAnsi="宋体" w:cs="宋体"/>
          <w:bCs/>
          <w:kern w:val="2"/>
        </w:rPr>
      </w:pPr>
      <w:r>
        <w:rPr>
          <w:rFonts w:hint="eastAsia" w:ascii="宋体" w:hAnsi="宋体" w:cs="宋体"/>
          <w:bCs/>
          <w:kern w:val="2"/>
        </w:rPr>
        <w:t>16.1在磋商文件规定的提交响应文件截止时间后上传的电子响应文件。</w:t>
      </w:r>
    </w:p>
    <w:p>
      <w:pPr>
        <w:pStyle w:val="13"/>
        <w:widowControl/>
        <w:ind w:firstLine="480" w:firstLineChars="200"/>
        <w:rPr>
          <w:rFonts w:ascii="宋体" w:hAnsi="宋体" w:cs="宋体"/>
          <w:bCs/>
          <w:kern w:val="2"/>
        </w:rPr>
      </w:pPr>
      <w:r>
        <w:rPr>
          <w:rFonts w:hint="eastAsia" w:ascii="宋体" w:hAnsi="宋体" w:cs="宋体"/>
          <w:bCs/>
          <w:kern w:val="2"/>
        </w:rPr>
        <w:t>17.响应文件的修改和撤回</w:t>
      </w:r>
    </w:p>
    <w:p>
      <w:pPr>
        <w:pStyle w:val="13"/>
        <w:widowControl/>
        <w:ind w:firstLine="480" w:firstLineChars="200"/>
        <w:rPr>
          <w:rFonts w:ascii="宋体" w:hAnsi="宋体" w:cs="宋体"/>
          <w:bCs/>
          <w:kern w:val="2"/>
        </w:rPr>
      </w:pPr>
      <w:r>
        <w:rPr>
          <w:rFonts w:hint="eastAsia" w:ascii="宋体" w:hAnsi="宋体" w:cs="宋体"/>
          <w:bCs/>
          <w:kern w:val="2"/>
        </w:rPr>
        <w:t>17.1供应商在上传电子响应文件后可以对其修改或撤回，但这种修改和撤回，必须在规定的磋商时间之前。</w:t>
      </w:r>
    </w:p>
    <w:p>
      <w:pPr>
        <w:pStyle w:val="13"/>
        <w:widowControl/>
        <w:ind w:firstLine="480" w:firstLineChars="200"/>
        <w:rPr>
          <w:rFonts w:ascii="宋体" w:hAnsi="宋体" w:cs="宋体"/>
          <w:bCs/>
          <w:kern w:val="2"/>
        </w:rPr>
      </w:pPr>
      <w:r>
        <w:rPr>
          <w:rFonts w:hint="eastAsia" w:ascii="宋体" w:hAnsi="宋体" w:cs="宋体"/>
          <w:bCs/>
          <w:kern w:val="2"/>
        </w:rPr>
        <w:t>17.2对于电子响应文件的修改，供应商可在磋商时间前登录电子交易平台撤回电子响应文件，并上传新的电子响应文件。电子响应文件以最终完成上传的为准。</w:t>
      </w:r>
    </w:p>
    <w:p>
      <w:pPr>
        <w:pStyle w:val="13"/>
        <w:widowControl/>
        <w:ind w:firstLine="480" w:firstLineChars="200"/>
        <w:rPr>
          <w:rFonts w:ascii="宋体" w:hAnsi="宋体" w:cs="宋体"/>
          <w:bCs/>
          <w:kern w:val="2"/>
        </w:rPr>
      </w:pPr>
      <w:r>
        <w:rPr>
          <w:rFonts w:hint="eastAsia" w:ascii="宋体" w:hAnsi="宋体" w:cs="宋体"/>
          <w:bCs/>
          <w:kern w:val="2"/>
        </w:rPr>
        <w:t>17.3供应商不得在磋商时间以后修改电子响应文件。</w:t>
      </w:r>
    </w:p>
    <w:p>
      <w:pPr>
        <w:pStyle w:val="13"/>
        <w:widowControl/>
        <w:ind w:firstLine="480" w:firstLineChars="200"/>
        <w:rPr>
          <w:rFonts w:ascii="宋体" w:hAnsi="宋体" w:cs="宋体"/>
          <w:bCs/>
          <w:kern w:val="2"/>
        </w:rPr>
      </w:pPr>
      <w:r>
        <w:rPr>
          <w:rFonts w:hint="eastAsia" w:ascii="宋体" w:hAnsi="宋体" w:cs="宋体"/>
          <w:bCs/>
          <w:kern w:val="2"/>
        </w:rPr>
        <w:t>17.4供应商不得在提交电子响应文件截止时间起至磋商有效期满前撤回电子响应文件。</w:t>
      </w:r>
    </w:p>
    <w:p>
      <w:pPr>
        <w:pStyle w:val="13"/>
        <w:widowControl/>
        <w:ind w:firstLine="480" w:firstLineChars="200"/>
        <w:rPr>
          <w:rFonts w:ascii="宋体" w:hAnsi="宋体" w:cs="宋体"/>
          <w:bCs/>
          <w:kern w:val="2"/>
        </w:rPr>
      </w:pPr>
      <w:r>
        <w:rPr>
          <w:rFonts w:hint="eastAsia" w:ascii="宋体" w:hAnsi="宋体" w:cs="宋体"/>
          <w:bCs/>
          <w:kern w:val="2"/>
        </w:rPr>
        <w:t>五、磋商</w:t>
      </w:r>
    </w:p>
    <w:p>
      <w:pPr>
        <w:pStyle w:val="13"/>
        <w:widowControl/>
        <w:ind w:firstLine="480" w:firstLineChars="200"/>
        <w:rPr>
          <w:rFonts w:ascii="宋体" w:hAnsi="宋体" w:cs="宋体"/>
          <w:bCs/>
          <w:kern w:val="2"/>
        </w:rPr>
      </w:pPr>
      <w:r>
        <w:rPr>
          <w:rFonts w:hint="eastAsia" w:ascii="宋体" w:hAnsi="宋体" w:cs="宋体"/>
          <w:bCs/>
          <w:kern w:val="2"/>
        </w:rPr>
        <w:t>18.磋商组织</w:t>
      </w:r>
    </w:p>
    <w:p>
      <w:pPr>
        <w:pStyle w:val="13"/>
        <w:widowControl/>
        <w:ind w:firstLine="480" w:firstLineChars="200"/>
        <w:rPr>
          <w:rFonts w:ascii="宋体" w:hAnsi="宋体" w:cs="宋体"/>
          <w:bCs/>
          <w:kern w:val="2"/>
        </w:rPr>
      </w:pPr>
      <w:r>
        <w:rPr>
          <w:rFonts w:hint="eastAsia" w:ascii="宋体" w:hAnsi="宋体" w:cs="宋体"/>
          <w:bCs/>
          <w:kern w:val="2"/>
        </w:rPr>
        <w:t>18.1采购人将按照磋商邀请中的要求组织本项目的“不见面交易”活动。供应商仅需在任意地点通过登录淮安市政府采购“全流程不见面交易系统开标大厅”观看项目的活动组织。</w:t>
      </w:r>
    </w:p>
    <w:p>
      <w:pPr>
        <w:pStyle w:val="13"/>
        <w:widowControl/>
        <w:ind w:firstLine="480" w:firstLineChars="200"/>
        <w:rPr>
          <w:rFonts w:ascii="宋体" w:hAnsi="宋体" w:cs="宋体"/>
          <w:bCs/>
          <w:kern w:val="2"/>
        </w:rPr>
      </w:pPr>
      <w:r>
        <w:rPr>
          <w:rFonts w:hint="eastAsia" w:ascii="宋体" w:hAnsi="宋体" w:cs="宋体"/>
          <w:bCs/>
          <w:kern w:val="2"/>
        </w:rPr>
        <w:t>18.2 不见面磋商程序:主持人按下列程序组织磋商。</w:t>
      </w:r>
    </w:p>
    <w:p>
      <w:pPr>
        <w:pStyle w:val="13"/>
        <w:widowControl/>
        <w:ind w:firstLine="480" w:firstLineChars="200"/>
        <w:rPr>
          <w:rFonts w:ascii="宋体" w:hAnsi="宋体" w:cs="宋体"/>
          <w:bCs/>
          <w:kern w:val="2"/>
        </w:rPr>
      </w:pPr>
      <w:r>
        <w:rPr>
          <w:rFonts w:hint="eastAsia" w:ascii="宋体" w:hAnsi="宋体" w:cs="宋体"/>
          <w:bCs/>
          <w:kern w:val="2"/>
        </w:rPr>
        <w:t>18.2.1 公布磋商的会议纪律；</w:t>
      </w:r>
    </w:p>
    <w:p>
      <w:pPr>
        <w:pStyle w:val="13"/>
        <w:widowControl/>
        <w:ind w:firstLine="480" w:firstLineChars="200"/>
        <w:rPr>
          <w:rFonts w:ascii="宋体" w:hAnsi="宋体" w:cs="宋体"/>
          <w:bCs/>
          <w:kern w:val="2"/>
        </w:rPr>
      </w:pPr>
      <w:r>
        <w:rPr>
          <w:rFonts w:hint="eastAsia" w:ascii="宋体" w:hAnsi="宋体" w:cs="宋体"/>
          <w:bCs/>
          <w:kern w:val="2"/>
        </w:rPr>
        <w:t>18.2.2 公布供应商名单；</w:t>
      </w:r>
    </w:p>
    <w:p>
      <w:pPr>
        <w:pStyle w:val="13"/>
        <w:widowControl/>
        <w:ind w:firstLine="480" w:firstLineChars="200"/>
        <w:rPr>
          <w:rFonts w:ascii="宋体" w:hAnsi="宋体" w:cs="宋体"/>
          <w:bCs/>
          <w:kern w:val="2"/>
        </w:rPr>
      </w:pPr>
      <w:r>
        <w:rPr>
          <w:rFonts w:hint="eastAsia" w:ascii="宋体" w:hAnsi="宋体" w:cs="宋体"/>
          <w:bCs/>
          <w:kern w:val="2"/>
        </w:rPr>
        <w:t>18.2.3供应商在线承诺；</w:t>
      </w:r>
    </w:p>
    <w:p>
      <w:pPr>
        <w:pStyle w:val="13"/>
        <w:widowControl/>
        <w:ind w:firstLine="480" w:firstLineChars="200"/>
        <w:rPr>
          <w:rFonts w:ascii="宋体" w:hAnsi="宋体" w:cs="宋体"/>
          <w:bCs/>
          <w:kern w:val="2"/>
        </w:rPr>
      </w:pPr>
      <w:r>
        <w:rPr>
          <w:rFonts w:hint="eastAsia" w:ascii="宋体" w:hAnsi="宋体" w:cs="宋体"/>
          <w:bCs/>
          <w:kern w:val="2"/>
        </w:rPr>
        <w:t>18.2.4供应商、采购人对电子响应文件解密；</w:t>
      </w:r>
    </w:p>
    <w:p>
      <w:pPr>
        <w:pStyle w:val="13"/>
        <w:widowControl/>
        <w:ind w:firstLine="480" w:firstLineChars="200"/>
        <w:rPr>
          <w:rFonts w:ascii="宋体" w:hAnsi="宋体" w:cs="宋体"/>
          <w:bCs/>
          <w:kern w:val="2"/>
        </w:rPr>
      </w:pPr>
      <w:r>
        <w:rPr>
          <w:rFonts w:hint="eastAsia" w:ascii="宋体" w:hAnsi="宋体" w:cs="宋体"/>
          <w:bCs/>
          <w:kern w:val="2"/>
        </w:rPr>
        <w:t>18.2.5导入电子响应文件；</w:t>
      </w:r>
    </w:p>
    <w:p>
      <w:pPr>
        <w:pStyle w:val="13"/>
        <w:widowControl/>
        <w:ind w:firstLine="480" w:firstLineChars="200"/>
        <w:rPr>
          <w:rFonts w:ascii="宋体" w:hAnsi="宋体" w:cs="宋体"/>
          <w:bCs/>
          <w:kern w:val="2"/>
        </w:rPr>
      </w:pPr>
      <w:r>
        <w:rPr>
          <w:rFonts w:hint="eastAsia" w:ascii="宋体" w:hAnsi="宋体" w:cs="宋体"/>
          <w:bCs/>
          <w:kern w:val="2"/>
        </w:rPr>
        <w:t>18.2.6网上公布磋商顺序；</w:t>
      </w:r>
    </w:p>
    <w:p>
      <w:pPr>
        <w:pStyle w:val="13"/>
        <w:widowControl/>
        <w:ind w:firstLine="480" w:firstLineChars="200"/>
        <w:rPr>
          <w:rFonts w:ascii="宋体" w:hAnsi="宋体" w:cs="宋体"/>
          <w:bCs/>
          <w:kern w:val="2"/>
        </w:rPr>
      </w:pPr>
      <w:r>
        <w:rPr>
          <w:rFonts w:hint="eastAsia" w:ascii="宋体" w:hAnsi="宋体" w:cs="宋体"/>
          <w:bCs/>
          <w:kern w:val="2"/>
        </w:rPr>
        <w:t>18.2.7磋商小组与单一供应商磋商；</w:t>
      </w:r>
    </w:p>
    <w:p>
      <w:pPr>
        <w:pStyle w:val="13"/>
        <w:widowControl/>
        <w:ind w:firstLine="480" w:firstLineChars="200"/>
        <w:rPr>
          <w:rFonts w:ascii="宋体" w:hAnsi="宋体" w:cs="宋体"/>
          <w:bCs/>
          <w:kern w:val="2"/>
        </w:rPr>
      </w:pPr>
      <w:r>
        <w:rPr>
          <w:rFonts w:hint="eastAsia" w:ascii="宋体" w:hAnsi="宋体" w:cs="宋体"/>
          <w:bCs/>
          <w:kern w:val="2"/>
        </w:rPr>
        <w:t>18.2.8磋商小组综合评审；</w:t>
      </w:r>
    </w:p>
    <w:p>
      <w:pPr>
        <w:pStyle w:val="13"/>
        <w:widowControl/>
        <w:ind w:firstLine="480" w:firstLineChars="200"/>
        <w:rPr>
          <w:rFonts w:ascii="宋体" w:hAnsi="宋体" w:cs="宋体"/>
          <w:bCs/>
          <w:kern w:val="2"/>
        </w:rPr>
      </w:pPr>
      <w:r>
        <w:rPr>
          <w:rFonts w:hint="eastAsia" w:ascii="宋体" w:hAnsi="宋体" w:cs="宋体"/>
          <w:bCs/>
          <w:kern w:val="2"/>
        </w:rPr>
        <w:t>18.2.9供应商进行两次磋商报价</w:t>
      </w:r>
      <w:r>
        <w:rPr>
          <w:rFonts w:hint="eastAsia" w:ascii="宋体" w:hAnsi="宋体" w:cs="宋体"/>
          <w:bCs/>
          <w:kern w:val="2"/>
          <w:lang w:eastAsia="zh-CN"/>
        </w:rPr>
        <w:t>（</w:t>
      </w:r>
      <w:r>
        <w:rPr>
          <w:rFonts w:hint="eastAsia" w:ascii="宋体" w:hAnsi="宋体" w:cs="宋体"/>
          <w:bCs/>
          <w:kern w:val="2"/>
          <w:lang w:val="en-US" w:eastAsia="zh-CN"/>
        </w:rPr>
        <w:t>最终报价不得高于首次报价</w:t>
      </w:r>
      <w:r>
        <w:rPr>
          <w:rFonts w:hint="eastAsia" w:ascii="宋体" w:hAnsi="宋体" w:cs="宋体"/>
          <w:bCs/>
          <w:kern w:val="2"/>
          <w:lang w:eastAsia="zh-CN"/>
        </w:rPr>
        <w:t>）</w:t>
      </w:r>
      <w:r>
        <w:rPr>
          <w:rFonts w:hint="eastAsia" w:ascii="宋体" w:hAnsi="宋体" w:cs="宋体"/>
          <w:bCs/>
          <w:kern w:val="2"/>
        </w:rPr>
        <w:t>；</w:t>
      </w:r>
    </w:p>
    <w:p>
      <w:pPr>
        <w:pStyle w:val="13"/>
        <w:widowControl/>
        <w:ind w:firstLine="480" w:firstLineChars="200"/>
        <w:rPr>
          <w:rFonts w:ascii="宋体" w:hAnsi="宋体" w:cs="宋体"/>
          <w:bCs/>
          <w:kern w:val="2"/>
        </w:rPr>
      </w:pPr>
      <w:r>
        <w:rPr>
          <w:rFonts w:hint="eastAsia" w:ascii="宋体" w:hAnsi="宋体" w:cs="宋体"/>
          <w:bCs/>
          <w:kern w:val="2"/>
        </w:rPr>
        <w:t>18.2.10网上公布最终报价；</w:t>
      </w:r>
    </w:p>
    <w:p>
      <w:pPr>
        <w:pStyle w:val="13"/>
        <w:widowControl/>
        <w:ind w:firstLine="480" w:firstLineChars="200"/>
        <w:rPr>
          <w:rFonts w:ascii="宋体" w:hAnsi="宋体" w:cs="宋体"/>
          <w:bCs/>
          <w:kern w:val="2"/>
        </w:rPr>
      </w:pPr>
      <w:r>
        <w:rPr>
          <w:rFonts w:hint="eastAsia" w:ascii="宋体" w:hAnsi="宋体" w:cs="宋体"/>
          <w:bCs/>
          <w:kern w:val="2"/>
        </w:rPr>
        <w:t>18.2.11网上公布成交候选供应商名单；</w:t>
      </w:r>
    </w:p>
    <w:p>
      <w:pPr>
        <w:pStyle w:val="13"/>
        <w:widowControl/>
        <w:ind w:firstLine="480" w:firstLineChars="200"/>
        <w:rPr>
          <w:rFonts w:ascii="宋体" w:hAnsi="宋体" w:cs="宋体"/>
          <w:bCs/>
          <w:kern w:val="2"/>
        </w:rPr>
      </w:pPr>
      <w:r>
        <w:rPr>
          <w:rFonts w:hint="eastAsia" w:ascii="宋体" w:hAnsi="宋体" w:cs="宋体"/>
          <w:bCs/>
          <w:kern w:val="2"/>
        </w:rPr>
        <w:t>18.2.12磋商活动结束。</w:t>
      </w:r>
    </w:p>
    <w:p>
      <w:pPr>
        <w:pStyle w:val="13"/>
        <w:widowControl/>
        <w:ind w:firstLine="480" w:firstLineChars="200"/>
        <w:rPr>
          <w:rFonts w:ascii="宋体" w:hAnsi="宋体" w:cs="宋体"/>
          <w:bCs/>
          <w:kern w:val="2"/>
        </w:rPr>
      </w:pPr>
      <w:r>
        <w:rPr>
          <w:rFonts w:hint="eastAsia" w:ascii="宋体" w:hAnsi="宋体" w:cs="宋体"/>
          <w:bCs/>
          <w:kern w:val="2"/>
        </w:rPr>
        <w:t>18.3磋商工作由采购人负责组织，具体磋商事务由依法组建的磋商小组负责。</w:t>
      </w:r>
    </w:p>
    <w:p>
      <w:pPr>
        <w:pStyle w:val="13"/>
        <w:widowControl/>
        <w:ind w:firstLine="480" w:firstLineChars="200"/>
        <w:rPr>
          <w:rFonts w:ascii="宋体" w:hAnsi="宋体" w:cs="宋体"/>
          <w:bCs/>
          <w:kern w:val="2"/>
        </w:rPr>
      </w:pPr>
      <w:r>
        <w:rPr>
          <w:rFonts w:hint="eastAsia" w:ascii="宋体" w:hAnsi="宋体" w:cs="宋体"/>
          <w:bCs/>
          <w:kern w:val="2"/>
        </w:rPr>
        <w:t>18.3.1磋商小组由采购人代表和评审专家共3人以上单数组成。</w:t>
      </w:r>
    </w:p>
    <w:p>
      <w:pPr>
        <w:pStyle w:val="13"/>
        <w:widowControl/>
        <w:ind w:firstLine="480" w:firstLineChars="200"/>
        <w:rPr>
          <w:rFonts w:ascii="宋体" w:hAnsi="宋体" w:cs="宋体"/>
          <w:bCs/>
          <w:kern w:val="2"/>
        </w:rPr>
      </w:pPr>
      <w:r>
        <w:rPr>
          <w:rFonts w:hint="eastAsia" w:ascii="宋体" w:hAnsi="宋体" w:cs="宋体"/>
          <w:bCs/>
          <w:kern w:val="2"/>
        </w:rPr>
        <w:t>18.3.2磋商小组应以公平、公正的态度参加评审工作并推荐成交候选人。磋商小组在评审过程中不受任何干扰，独立、负责地提出评审意见，并对自己的评审意见承担责任。</w:t>
      </w:r>
    </w:p>
    <w:p>
      <w:pPr>
        <w:pStyle w:val="13"/>
        <w:widowControl/>
        <w:ind w:firstLine="480" w:firstLineChars="200"/>
        <w:rPr>
          <w:rFonts w:ascii="宋体" w:hAnsi="宋体" w:cs="宋体"/>
          <w:bCs/>
          <w:kern w:val="2"/>
        </w:rPr>
      </w:pPr>
      <w:r>
        <w:rPr>
          <w:rFonts w:hint="eastAsia" w:ascii="宋体" w:hAnsi="宋体" w:cs="宋体"/>
          <w:bCs/>
          <w:kern w:val="2"/>
        </w:rPr>
        <w:t>18.3.3磋商小组应对供应商的商业、技术秘密予以保密。</w:t>
      </w:r>
    </w:p>
    <w:p>
      <w:pPr>
        <w:pStyle w:val="13"/>
        <w:widowControl/>
        <w:ind w:firstLine="480" w:firstLineChars="200"/>
        <w:rPr>
          <w:rFonts w:ascii="宋体" w:hAnsi="宋体" w:cs="宋体"/>
          <w:bCs/>
          <w:kern w:val="2"/>
        </w:rPr>
      </w:pPr>
      <w:r>
        <w:rPr>
          <w:rFonts w:hint="eastAsia" w:ascii="宋体" w:hAnsi="宋体" w:cs="宋体"/>
          <w:bCs/>
          <w:kern w:val="2"/>
        </w:rPr>
        <w:t>19.磋商程序</w:t>
      </w:r>
    </w:p>
    <w:p>
      <w:pPr>
        <w:pStyle w:val="13"/>
        <w:widowControl/>
        <w:ind w:firstLine="480" w:firstLineChars="200"/>
        <w:rPr>
          <w:rFonts w:ascii="宋体" w:hAnsi="宋体" w:cs="宋体"/>
          <w:bCs/>
          <w:kern w:val="2"/>
        </w:rPr>
      </w:pPr>
      <w:r>
        <w:rPr>
          <w:rFonts w:hint="eastAsia" w:ascii="宋体" w:hAnsi="宋体" w:cs="宋体"/>
          <w:bCs/>
          <w:kern w:val="2"/>
        </w:rPr>
        <w:t>19.1响应文件的资格审查</w:t>
      </w:r>
    </w:p>
    <w:p>
      <w:pPr>
        <w:pStyle w:val="13"/>
        <w:widowControl/>
        <w:ind w:firstLine="480" w:firstLineChars="200"/>
        <w:rPr>
          <w:rFonts w:ascii="宋体" w:hAnsi="宋体" w:cs="宋体"/>
          <w:bCs/>
          <w:kern w:val="2"/>
        </w:rPr>
      </w:pPr>
      <w:r>
        <w:rPr>
          <w:rFonts w:hint="eastAsia" w:ascii="宋体" w:hAnsi="宋体" w:cs="宋体"/>
          <w:bCs/>
          <w:kern w:val="2"/>
        </w:rPr>
        <w:t>19.1.1磋商小组依法对供应商的资格进行审查。</w:t>
      </w:r>
    </w:p>
    <w:p>
      <w:pPr>
        <w:pStyle w:val="13"/>
        <w:widowControl/>
        <w:ind w:firstLine="480" w:firstLineChars="200"/>
        <w:rPr>
          <w:rFonts w:ascii="宋体" w:hAnsi="宋体" w:cs="宋体"/>
          <w:bCs/>
          <w:kern w:val="2"/>
        </w:rPr>
      </w:pPr>
      <w:r>
        <w:rPr>
          <w:rFonts w:hint="eastAsia" w:ascii="宋体" w:hAnsi="宋体" w:cs="宋体"/>
          <w:bCs/>
          <w:kern w:val="2"/>
        </w:rPr>
        <w:t>19.1.1.1资格性审查:依据法律法规和磋商文件的规定，对响应文件中的资格证明文件进行审查，以确定供应商是否具备磋商资格。</w:t>
      </w:r>
    </w:p>
    <w:p>
      <w:pPr>
        <w:pStyle w:val="13"/>
        <w:widowControl/>
        <w:ind w:firstLine="480" w:firstLineChars="200"/>
        <w:rPr>
          <w:rFonts w:ascii="宋体" w:hAnsi="宋体" w:cs="宋体"/>
          <w:bCs/>
          <w:kern w:val="2"/>
        </w:rPr>
      </w:pPr>
      <w:r>
        <w:rPr>
          <w:rFonts w:hint="eastAsia" w:ascii="宋体" w:hAnsi="宋体" w:cs="宋体"/>
          <w:bCs/>
          <w:kern w:val="2"/>
        </w:rPr>
        <w:t>19.1.1.2 在进行资格性审查的同时，将在“信用中国”网站、“中国政府采购网”对供应商是否被列入失信被执行人、重大税收违法案件当事人名单、政府采购严重违法失信行为记录名单的情况进行查询，以确定供应商是否具备磋商资格。查询结果将以网页打印的形式留存并归档。</w:t>
      </w:r>
    </w:p>
    <w:p>
      <w:pPr>
        <w:pStyle w:val="13"/>
        <w:widowControl/>
        <w:ind w:firstLine="480" w:firstLineChars="200"/>
        <w:rPr>
          <w:rFonts w:ascii="宋体" w:hAnsi="宋体" w:cs="宋体"/>
          <w:bCs/>
          <w:kern w:val="2"/>
        </w:rPr>
      </w:pPr>
      <w:r>
        <w:rPr>
          <w:rFonts w:hint="eastAsia" w:ascii="宋体" w:hAnsi="宋体" w:cs="宋体"/>
          <w:bCs/>
          <w:kern w:val="2"/>
        </w:rPr>
        <w:t>19.1.1.3 响应文件有下列情况之一的，在资格性审查时按照无效响应文件处理:</w:t>
      </w:r>
    </w:p>
    <w:p>
      <w:pPr>
        <w:pStyle w:val="13"/>
        <w:widowControl/>
        <w:ind w:firstLine="480" w:firstLineChars="200"/>
        <w:rPr>
          <w:rFonts w:ascii="宋体" w:hAnsi="宋体" w:cs="宋体"/>
          <w:bCs/>
          <w:kern w:val="2"/>
        </w:rPr>
      </w:pPr>
      <w:r>
        <w:rPr>
          <w:rFonts w:hint="eastAsia" w:ascii="宋体" w:hAnsi="宋体" w:cs="宋体"/>
          <w:bCs/>
          <w:kern w:val="2"/>
        </w:rPr>
        <w:t>（1）不具备磋商文件中规定的资格要求的；</w:t>
      </w:r>
    </w:p>
    <w:p>
      <w:pPr>
        <w:pStyle w:val="13"/>
        <w:widowControl/>
        <w:ind w:firstLine="480" w:firstLineChars="200"/>
        <w:rPr>
          <w:rFonts w:ascii="宋体" w:hAnsi="宋体" w:cs="宋体"/>
          <w:bCs/>
          <w:kern w:val="2"/>
        </w:rPr>
      </w:pPr>
      <w:r>
        <w:rPr>
          <w:rFonts w:hint="eastAsia" w:ascii="宋体" w:hAnsi="宋体" w:cs="宋体"/>
          <w:bCs/>
          <w:kern w:val="2"/>
        </w:rPr>
        <w:t>（2）供应商被“信用中国”网站、“中国政府采购网”列入失信被执行人、重大税收违法案件当事人名单、政府采购严重违法失信行为记录名单。</w:t>
      </w:r>
    </w:p>
    <w:p>
      <w:pPr>
        <w:pStyle w:val="13"/>
        <w:widowControl/>
        <w:ind w:firstLine="480" w:firstLineChars="200"/>
        <w:rPr>
          <w:rFonts w:ascii="宋体" w:hAnsi="宋体" w:cs="宋体"/>
          <w:bCs/>
          <w:kern w:val="2"/>
        </w:rPr>
      </w:pPr>
      <w:r>
        <w:rPr>
          <w:rFonts w:hint="eastAsia" w:ascii="宋体" w:hAnsi="宋体" w:cs="宋体"/>
          <w:bCs/>
          <w:kern w:val="2"/>
        </w:rPr>
        <w:t>19.2响应文件的符合性审查</w:t>
      </w:r>
    </w:p>
    <w:p>
      <w:pPr>
        <w:pStyle w:val="13"/>
        <w:widowControl/>
        <w:ind w:firstLine="480" w:firstLineChars="200"/>
        <w:rPr>
          <w:rFonts w:ascii="宋体" w:hAnsi="宋体" w:cs="宋体"/>
          <w:bCs/>
          <w:kern w:val="2"/>
        </w:rPr>
      </w:pPr>
      <w:r>
        <w:rPr>
          <w:rFonts w:hint="eastAsia" w:ascii="宋体" w:hAnsi="宋体" w:cs="宋体"/>
          <w:bCs/>
          <w:kern w:val="2"/>
        </w:rPr>
        <w:t>19.2.1磋商小组对响应文件的有效性、完整性和对磋商文件的响应程度进行审查，以确定是否对磋商文件的实质性要求作出响应。</w:t>
      </w:r>
    </w:p>
    <w:p>
      <w:pPr>
        <w:pStyle w:val="13"/>
        <w:widowControl/>
        <w:ind w:firstLine="480" w:firstLineChars="200"/>
        <w:rPr>
          <w:rFonts w:ascii="宋体" w:hAnsi="宋体" w:cs="宋体"/>
          <w:bCs/>
          <w:kern w:val="2"/>
        </w:rPr>
      </w:pPr>
      <w:r>
        <w:rPr>
          <w:rFonts w:hint="eastAsia" w:ascii="宋体" w:hAnsi="宋体" w:cs="宋体"/>
          <w:bCs/>
          <w:kern w:val="2"/>
        </w:rPr>
        <w:t>19.2.2实质性响应是指响应文件与磋商文件要求的全部条款、条件和要求相符，而没有重大偏离或保留。重大偏离或保留系指影响到磋商文件规定的供货期、供货范围、质量和性能；或者在实质上与磋商文件不一致，或限制了甲方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p>
    <w:p>
      <w:pPr>
        <w:pStyle w:val="13"/>
        <w:widowControl/>
        <w:ind w:firstLine="480" w:firstLineChars="200"/>
        <w:rPr>
          <w:rFonts w:ascii="宋体" w:hAnsi="宋体" w:cs="宋体"/>
          <w:bCs/>
          <w:kern w:val="2"/>
        </w:rPr>
      </w:pPr>
      <w:r>
        <w:rPr>
          <w:rFonts w:hint="eastAsia" w:ascii="宋体" w:hAnsi="宋体" w:cs="宋体"/>
          <w:bCs/>
          <w:kern w:val="2"/>
        </w:rPr>
        <w:t>19.2.3如果响应文件没有实质上响应磋商文件的要求，磋商小组将予以拒绝。</w:t>
      </w:r>
    </w:p>
    <w:p>
      <w:pPr>
        <w:pStyle w:val="13"/>
        <w:widowControl/>
        <w:ind w:firstLine="480" w:firstLineChars="200"/>
        <w:rPr>
          <w:rFonts w:ascii="宋体" w:hAnsi="宋体" w:cs="宋体"/>
          <w:bCs/>
          <w:kern w:val="2"/>
        </w:rPr>
      </w:pPr>
      <w:r>
        <w:rPr>
          <w:rFonts w:hint="eastAsia" w:ascii="宋体" w:hAnsi="宋体" w:cs="宋体"/>
          <w:bCs/>
          <w:kern w:val="2"/>
        </w:rPr>
        <w:t>19.2.4磋商小组将对确定为实质性响应的响应文件进行进一步初审，看其是否有计算上或累加上的算术错误，修正原则如下:</w:t>
      </w:r>
    </w:p>
    <w:p>
      <w:pPr>
        <w:pStyle w:val="13"/>
        <w:widowControl/>
        <w:ind w:firstLine="480" w:firstLineChars="200"/>
        <w:rPr>
          <w:rFonts w:ascii="宋体" w:hAnsi="宋体" w:cs="宋体"/>
          <w:bCs/>
          <w:kern w:val="2"/>
        </w:rPr>
      </w:pPr>
      <w:r>
        <w:rPr>
          <w:rFonts w:hint="eastAsia" w:ascii="宋体" w:hAnsi="宋体" w:cs="宋体"/>
          <w:bCs/>
          <w:kern w:val="2"/>
        </w:rPr>
        <w:t>（1）大写金额和小写金额不一致的，以大写金额为准.</w:t>
      </w:r>
    </w:p>
    <w:p>
      <w:pPr>
        <w:pStyle w:val="13"/>
        <w:widowControl/>
        <w:ind w:firstLine="480" w:firstLineChars="200"/>
        <w:rPr>
          <w:rFonts w:ascii="宋体" w:hAnsi="宋体" w:cs="宋体"/>
          <w:bCs/>
          <w:kern w:val="2"/>
        </w:rPr>
      </w:pPr>
      <w:r>
        <w:rPr>
          <w:rFonts w:hint="eastAsia" w:ascii="宋体" w:hAnsi="宋体" w:cs="宋体"/>
          <w:bCs/>
          <w:kern w:val="2"/>
        </w:rPr>
        <w:t>（2）总价金额与按单价汇总金额不一致的，以单价金额计算结果为准。</w:t>
      </w:r>
    </w:p>
    <w:p>
      <w:pPr>
        <w:pStyle w:val="13"/>
        <w:widowControl/>
        <w:ind w:firstLine="480" w:firstLineChars="200"/>
        <w:rPr>
          <w:rFonts w:ascii="宋体" w:hAnsi="宋体" w:cs="宋体"/>
          <w:bCs/>
          <w:kern w:val="2"/>
        </w:rPr>
      </w:pPr>
      <w:r>
        <w:rPr>
          <w:rFonts w:hint="eastAsia" w:ascii="宋体" w:hAnsi="宋体" w:cs="宋体"/>
          <w:bCs/>
          <w:kern w:val="2"/>
        </w:rPr>
        <w:t>（3）单价金额小数点有明显错位的，以总价为准并修改单价。</w:t>
      </w:r>
    </w:p>
    <w:p>
      <w:pPr>
        <w:pStyle w:val="13"/>
        <w:widowControl/>
        <w:ind w:firstLine="480" w:firstLineChars="200"/>
        <w:rPr>
          <w:rFonts w:ascii="宋体" w:hAnsi="宋体" w:cs="宋体"/>
          <w:bCs/>
          <w:kern w:val="2"/>
        </w:rPr>
      </w:pPr>
      <w:r>
        <w:rPr>
          <w:rFonts w:hint="eastAsia" w:ascii="宋体" w:hAnsi="宋体" w:cs="宋体"/>
          <w:bCs/>
          <w:kern w:val="2"/>
        </w:rPr>
        <w:t>同时出现两种以上错误的，按照前款规定的顺序修正。</w:t>
      </w:r>
    </w:p>
    <w:p>
      <w:pPr>
        <w:pStyle w:val="13"/>
        <w:widowControl/>
        <w:ind w:firstLine="480" w:firstLineChars="200"/>
        <w:rPr>
          <w:rFonts w:ascii="宋体" w:hAnsi="宋体" w:cs="宋体"/>
          <w:bCs/>
          <w:kern w:val="2"/>
        </w:rPr>
      </w:pPr>
      <w:r>
        <w:rPr>
          <w:rFonts w:hint="eastAsia" w:ascii="宋体" w:hAnsi="宋体" w:cs="宋体"/>
          <w:bCs/>
          <w:kern w:val="2"/>
        </w:rPr>
        <w:t>磋商小组将按上述修正错误的方法调整响应文件中的磋商报价，调整后的价格应对供应商具有约束力。如果供应商不同意修正的，其响应文件无效。</w:t>
      </w:r>
    </w:p>
    <w:p>
      <w:pPr>
        <w:pStyle w:val="13"/>
        <w:widowControl/>
        <w:ind w:firstLine="480" w:firstLineChars="200"/>
        <w:rPr>
          <w:rFonts w:ascii="宋体" w:hAnsi="宋体" w:cs="宋体"/>
          <w:bCs/>
          <w:kern w:val="2"/>
        </w:rPr>
      </w:pPr>
      <w:r>
        <w:rPr>
          <w:rFonts w:hint="eastAsia" w:ascii="宋体" w:hAnsi="宋体" w:cs="宋体"/>
          <w:bCs/>
          <w:kern w:val="2"/>
        </w:rPr>
        <w:t>19.3磋商小组通过开标大厅与单一供应商以视频方式分别进行磋商，并给予所有参加磋商的供应商平等的磋商机会。磋商可以是多轮次进行。(本项目共两轮报价，磋商文件中报价为首轮报价，单一磋商后将组织一轮最终报价)</w:t>
      </w:r>
    </w:p>
    <w:p>
      <w:pPr>
        <w:pStyle w:val="13"/>
        <w:widowControl/>
        <w:ind w:firstLine="480" w:firstLineChars="200"/>
        <w:rPr>
          <w:rFonts w:ascii="宋体" w:hAnsi="宋体" w:cs="宋体"/>
          <w:bCs/>
          <w:kern w:val="2"/>
        </w:rPr>
      </w:pPr>
      <w:r>
        <w:rPr>
          <w:rFonts w:hint="eastAsia" w:ascii="宋体" w:hAnsi="宋体" w:cs="宋体"/>
          <w:bCs/>
          <w:kern w:val="2"/>
        </w:rPr>
        <w:t>19.3.1在视频单一磋商时，磋商小组首先会核实授权委托人或法人代表的身份信息，如身份信息不符视同供应商放弃磋商的权利。</w:t>
      </w:r>
    </w:p>
    <w:p>
      <w:pPr>
        <w:pStyle w:val="13"/>
        <w:widowControl/>
        <w:ind w:firstLine="480" w:firstLineChars="200"/>
        <w:rPr>
          <w:rFonts w:ascii="宋体" w:hAnsi="宋体" w:cs="宋体"/>
          <w:bCs/>
          <w:kern w:val="2"/>
        </w:rPr>
      </w:pPr>
      <w:r>
        <w:rPr>
          <w:rFonts w:hint="eastAsia" w:ascii="宋体" w:hAnsi="宋体" w:cs="宋体"/>
          <w:bCs/>
          <w:kern w:val="2"/>
        </w:rPr>
        <w:t>19.3.2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p>
    <w:p>
      <w:pPr>
        <w:pStyle w:val="13"/>
        <w:widowControl/>
        <w:ind w:firstLine="480" w:firstLineChars="200"/>
        <w:rPr>
          <w:rFonts w:ascii="宋体" w:hAnsi="宋体" w:cs="宋体"/>
          <w:bCs/>
          <w:kern w:val="2"/>
        </w:rPr>
      </w:pPr>
      <w:r>
        <w:rPr>
          <w:rFonts w:hint="eastAsia" w:ascii="宋体" w:hAnsi="宋体" w:cs="宋体"/>
          <w:bCs/>
          <w:kern w:val="2"/>
        </w:rPr>
        <w:t>19.4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p>
    <w:p>
      <w:pPr>
        <w:pStyle w:val="13"/>
        <w:widowControl/>
        <w:ind w:firstLine="480" w:firstLineChars="200"/>
        <w:rPr>
          <w:rFonts w:ascii="宋体" w:hAnsi="宋体" w:cs="宋体"/>
          <w:bCs/>
          <w:kern w:val="2"/>
        </w:rPr>
      </w:pPr>
      <w:r>
        <w:rPr>
          <w:rFonts w:hint="eastAsia" w:ascii="宋体" w:hAnsi="宋体" w:cs="宋体"/>
          <w:bCs/>
          <w:kern w:val="2"/>
        </w:rPr>
        <w:t>19.5磋商中，磋商的任何一方不得透露与磋商有关的其他参加供应商的技术资料、价格和其他信息。如果参加供应商试图向采购人和磋商小组人员施加任何影响，都将会导致其磋商被拒绝。</w:t>
      </w:r>
    </w:p>
    <w:p>
      <w:pPr>
        <w:pStyle w:val="13"/>
        <w:widowControl/>
        <w:ind w:firstLine="480" w:firstLineChars="200"/>
        <w:rPr>
          <w:rFonts w:ascii="宋体" w:hAnsi="宋体" w:cs="宋体"/>
          <w:bCs/>
          <w:kern w:val="2"/>
        </w:rPr>
      </w:pPr>
      <w:r>
        <w:rPr>
          <w:rFonts w:hint="eastAsia" w:ascii="宋体" w:hAnsi="宋体" w:cs="宋体"/>
          <w:bCs/>
          <w:kern w:val="2"/>
        </w:rPr>
        <w:t>19.6响应文件的澄清</w:t>
      </w:r>
    </w:p>
    <w:p>
      <w:pPr>
        <w:pStyle w:val="13"/>
        <w:widowControl/>
        <w:ind w:firstLine="480" w:firstLineChars="200"/>
        <w:rPr>
          <w:rFonts w:ascii="宋体" w:hAnsi="宋体" w:cs="宋体"/>
          <w:bCs/>
          <w:kern w:val="2"/>
        </w:rPr>
      </w:pPr>
      <w:r>
        <w:rPr>
          <w:rFonts w:hint="eastAsia" w:ascii="宋体" w:hAnsi="宋体" w:cs="宋体"/>
          <w:bCs/>
          <w:kern w:val="2"/>
        </w:rPr>
        <w:t>19.6.1在磋商期间，为有助于对响应文件的审查、评价和比较，磋商小组有权通过开标大厅进行视频交流并要求供应商对其响应文件中含义不明确、同类问题表述不一致或者有明显文字和计算错误的内容进行澄清（在视频交流时，磋商小组首先会核实授权委托人或法人代表的身份信息，如身份信息不符或者供应商在磋商小组发起澄清邀请后未能及时响应的，则视同供应商放弃澄清、说明或者补正的权利）。供应商的澄清要通过开标大厅向磋商小组进行澄清回复，同时必须将澄清内容形成电子文件加盖电子签章通过开标大厅上传。</w:t>
      </w:r>
    </w:p>
    <w:p>
      <w:pPr>
        <w:pStyle w:val="13"/>
        <w:widowControl/>
        <w:ind w:firstLine="480" w:firstLineChars="200"/>
        <w:rPr>
          <w:rFonts w:ascii="宋体" w:hAnsi="宋体" w:cs="宋体"/>
          <w:bCs/>
          <w:kern w:val="2"/>
        </w:rPr>
      </w:pPr>
      <w:r>
        <w:rPr>
          <w:rFonts w:hint="eastAsia" w:ascii="宋体" w:hAnsi="宋体" w:cs="宋体"/>
          <w:bCs/>
          <w:kern w:val="2"/>
        </w:rPr>
        <w:t>19.6.2接到磋商小组澄清要求的供应商如未按第19.6.1的规定作出澄清的，将视为放弃该澄清权利。</w:t>
      </w:r>
    </w:p>
    <w:p>
      <w:pPr>
        <w:pStyle w:val="13"/>
        <w:widowControl/>
        <w:ind w:firstLine="480" w:firstLineChars="200"/>
        <w:rPr>
          <w:rFonts w:ascii="宋体" w:hAnsi="宋体" w:cs="宋体"/>
          <w:bCs/>
          <w:kern w:val="2"/>
        </w:rPr>
      </w:pPr>
      <w:r>
        <w:rPr>
          <w:rFonts w:hint="eastAsia" w:ascii="宋体" w:hAnsi="宋体" w:cs="宋体"/>
          <w:bCs/>
          <w:kern w:val="2"/>
        </w:rPr>
        <w:t>19.7磋商结束后，磋商小组将要求所有继续参加磋商的供应商凭CA锁登陆淮安市公共资源全程电子化交易平台在规定的时间内进行两次或两次以上的磋商报价（最终报价将作为评审的依据）。</w:t>
      </w:r>
    </w:p>
    <w:p>
      <w:pPr>
        <w:pStyle w:val="13"/>
        <w:widowControl/>
        <w:ind w:firstLine="480" w:firstLineChars="200"/>
        <w:rPr>
          <w:rFonts w:ascii="宋体" w:hAnsi="宋体" w:cs="宋体"/>
          <w:bCs/>
          <w:kern w:val="2"/>
        </w:rPr>
      </w:pPr>
      <w:r>
        <w:rPr>
          <w:rFonts w:hint="eastAsia" w:ascii="宋体" w:hAnsi="宋体" w:cs="宋体"/>
          <w:bCs/>
          <w:kern w:val="2"/>
        </w:rPr>
        <w:t>19.7.1如果供应商未在规定时间内进行报价或因其自身网络问题无法及时提交报价的，系统将默认其报价为电子响应文件提交的初始报价。</w:t>
      </w:r>
    </w:p>
    <w:p>
      <w:pPr>
        <w:pStyle w:val="13"/>
        <w:widowControl/>
        <w:ind w:firstLine="480" w:firstLineChars="200"/>
        <w:rPr>
          <w:rFonts w:ascii="宋体" w:hAnsi="宋体" w:cs="宋体"/>
          <w:bCs/>
          <w:kern w:val="2"/>
        </w:rPr>
      </w:pPr>
      <w:r>
        <w:rPr>
          <w:rFonts w:hint="eastAsia" w:ascii="宋体" w:hAnsi="宋体" w:cs="宋体"/>
          <w:bCs/>
          <w:kern w:val="2"/>
        </w:rPr>
        <w:t>20.出现下列情形之一的，响应文件按照无效处理:</w:t>
      </w:r>
    </w:p>
    <w:p>
      <w:pPr>
        <w:pStyle w:val="13"/>
        <w:widowControl/>
        <w:ind w:firstLine="480" w:firstLineChars="200"/>
        <w:rPr>
          <w:rFonts w:ascii="宋体" w:hAnsi="宋体" w:cs="宋体"/>
          <w:bCs/>
          <w:kern w:val="2"/>
        </w:rPr>
      </w:pPr>
      <w:r>
        <w:rPr>
          <w:rFonts w:hint="eastAsia" w:ascii="宋体" w:hAnsi="宋体" w:cs="宋体"/>
          <w:bCs/>
          <w:kern w:val="2"/>
        </w:rPr>
        <w:t>（1）未按照磋商文件规定要求进行电子签字、电子签章的；</w:t>
      </w:r>
    </w:p>
    <w:p>
      <w:pPr>
        <w:pStyle w:val="13"/>
        <w:widowControl/>
        <w:ind w:firstLine="480" w:firstLineChars="200"/>
        <w:rPr>
          <w:rFonts w:ascii="宋体" w:hAnsi="宋体" w:cs="宋体"/>
          <w:bCs/>
          <w:kern w:val="2"/>
        </w:rPr>
      </w:pPr>
      <w:r>
        <w:rPr>
          <w:rFonts w:hint="eastAsia" w:ascii="宋体" w:hAnsi="宋体" w:cs="宋体"/>
          <w:bCs/>
          <w:kern w:val="2"/>
        </w:rPr>
        <w:t>（2）已上传电子响应文件但因供应商原因未在规定时间前进行系统签到的；</w:t>
      </w:r>
    </w:p>
    <w:p>
      <w:pPr>
        <w:pStyle w:val="13"/>
        <w:widowControl/>
        <w:ind w:firstLine="480" w:firstLineChars="200"/>
        <w:rPr>
          <w:rFonts w:ascii="宋体" w:hAnsi="宋体" w:cs="宋体"/>
          <w:bCs/>
          <w:kern w:val="2"/>
        </w:rPr>
      </w:pPr>
      <w:r>
        <w:rPr>
          <w:rFonts w:hint="eastAsia" w:ascii="宋体" w:hAnsi="宋体" w:cs="宋体"/>
          <w:bCs/>
          <w:kern w:val="2"/>
        </w:rPr>
        <w:t>（3）因供应商网络与电源不稳定、未按操作手册要求配置软硬件、解密锁发生故障或用错、故意不在要求时限内完成解密等自身原因，导致响应文件在规定时间内未能解密、解密失败或解密超时的或未在规定时间内电子签章以确认其未在规定时间内成功解密响应文件的；</w:t>
      </w:r>
    </w:p>
    <w:p>
      <w:pPr>
        <w:pStyle w:val="13"/>
        <w:widowControl/>
        <w:ind w:firstLine="480" w:firstLineChars="200"/>
        <w:rPr>
          <w:rFonts w:ascii="宋体" w:hAnsi="宋体" w:cs="宋体"/>
          <w:bCs/>
          <w:kern w:val="2"/>
        </w:rPr>
      </w:pPr>
      <w:r>
        <w:rPr>
          <w:rFonts w:hint="eastAsia" w:ascii="宋体" w:hAnsi="宋体" w:cs="宋体"/>
          <w:bCs/>
          <w:kern w:val="2"/>
        </w:rPr>
        <w:t>（4）经磋商，供应商仍不承诺满足磋商文件要求的；</w:t>
      </w:r>
    </w:p>
    <w:p>
      <w:pPr>
        <w:pStyle w:val="13"/>
        <w:widowControl/>
        <w:ind w:firstLine="480" w:firstLineChars="200"/>
        <w:rPr>
          <w:rFonts w:ascii="宋体" w:hAnsi="宋体" w:cs="宋体"/>
          <w:bCs/>
          <w:kern w:val="2"/>
        </w:rPr>
      </w:pPr>
      <w:r>
        <w:rPr>
          <w:rFonts w:hint="eastAsia" w:ascii="宋体" w:hAnsi="宋体" w:cs="宋体"/>
          <w:bCs/>
          <w:kern w:val="2"/>
        </w:rPr>
        <w:t>（5）不符合法律、法规和磋商文件中规定的其他实质性要求的；</w:t>
      </w:r>
    </w:p>
    <w:p>
      <w:pPr>
        <w:pStyle w:val="13"/>
        <w:widowControl/>
        <w:ind w:firstLine="480" w:firstLineChars="200"/>
        <w:rPr>
          <w:rFonts w:ascii="宋体" w:hAnsi="宋体" w:cs="宋体"/>
          <w:bCs/>
          <w:kern w:val="2"/>
        </w:rPr>
      </w:pPr>
      <w:r>
        <w:rPr>
          <w:rFonts w:hint="eastAsia" w:ascii="宋体" w:hAnsi="宋体" w:cs="宋体"/>
          <w:bCs/>
          <w:kern w:val="2"/>
        </w:rPr>
        <w:t>（6）经查实提供虚假材料谋取成交的；</w:t>
      </w:r>
    </w:p>
    <w:p>
      <w:pPr>
        <w:pStyle w:val="13"/>
        <w:widowControl/>
        <w:ind w:firstLine="480" w:firstLineChars="200"/>
        <w:rPr>
          <w:rFonts w:ascii="宋体" w:hAnsi="宋体" w:cs="宋体"/>
          <w:bCs/>
          <w:kern w:val="2"/>
        </w:rPr>
      </w:pPr>
      <w:r>
        <w:rPr>
          <w:rFonts w:hint="eastAsia" w:ascii="宋体" w:hAnsi="宋体" w:cs="宋体"/>
          <w:bCs/>
          <w:kern w:val="2"/>
        </w:rPr>
        <w:t>（7）供应商参加磋商时，未提供项目管理方案或经三分之二磋商小组认定方案存在重大偏差的；</w:t>
      </w:r>
    </w:p>
    <w:p>
      <w:pPr>
        <w:pStyle w:val="13"/>
        <w:widowControl/>
        <w:ind w:firstLine="480" w:firstLineChars="200"/>
        <w:rPr>
          <w:rFonts w:ascii="宋体" w:hAnsi="宋体" w:cs="宋体"/>
          <w:bCs/>
          <w:kern w:val="2"/>
        </w:rPr>
      </w:pPr>
      <w:r>
        <w:rPr>
          <w:rFonts w:hint="eastAsia" w:ascii="宋体" w:hAnsi="宋体" w:cs="宋体"/>
          <w:bCs/>
          <w:kern w:val="2"/>
        </w:rPr>
        <w:t>（8）供应商未完全满足磋商文件要求的；</w:t>
      </w:r>
    </w:p>
    <w:p>
      <w:pPr>
        <w:pStyle w:val="13"/>
        <w:widowControl/>
        <w:ind w:firstLine="480" w:firstLineChars="200"/>
        <w:rPr>
          <w:rFonts w:ascii="宋体" w:hAnsi="宋体" w:cs="宋体"/>
          <w:bCs/>
          <w:kern w:val="2"/>
        </w:rPr>
      </w:pPr>
      <w:r>
        <w:rPr>
          <w:rFonts w:hint="eastAsia" w:ascii="宋体" w:hAnsi="宋体" w:cs="宋体"/>
          <w:bCs/>
          <w:kern w:val="2"/>
        </w:rPr>
        <w:t>21.出现下列情形之一的，磋商终止:</w:t>
      </w:r>
    </w:p>
    <w:p>
      <w:pPr>
        <w:pStyle w:val="13"/>
        <w:widowControl/>
        <w:ind w:firstLine="480" w:firstLineChars="200"/>
        <w:rPr>
          <w:rFonts w:ascii="宋体" w:hAnsi="宋体" w:cs="宋体"/>
          <w:bCs/>
          <w:kern w:val="2"/>
        </w:rPr>
      </w:pPr>
      <w:r>
        <w:rPr>
          <w:rFonts w:hint="eastAsia" w:ascii="宋体" w:hAnsi="宋体" w:cs="宋体"/>
          <w:bCs/>
          <w:kern w:val="2"/>
        </w:rPr>
        <w:t>（1）因情况变化，不再符合规定的竞争性磋商采购方式适用情形的；</w:t>
      </w:r>
    </w:p>
    <w:p>
      <w:pPr>
        <w:pStyle w:val="13"/>
        <w:widowControl/>
        <w:ind w:firstLine="480" w:firstLineChars="200"/>
        <w:rPr>
          <w:rFonts w:ascii="宋体" w:hAnsi="宋体" w:cs="宋体"/>
          <w:bCs/>
          <w:kern w:val="2"/>
        </w:rPr>
      </w:pPr>
      <w:r>
        <w:rPr>
          <w:rFonts w:hint="eastAsia" w:ascii="宋体" w:hAnsi="宋体" w:cs="宋体"/>
          <w:bCs/>
          <w:kern w:val="2"/>
        </w:rPr>
        <w:t>（2）出现影响采购公正的违法、违规行为的；</w:t>
      </w:r>
    </w:p>
    <w:p>
      <w:pPr>
        <w:pStyle w:val="13"/>
        <w:widowControl/>
        <w:ind w:firstLine="480" w:firstLineChars="200"/>
        <w:rPr>
          <w:rFonts w:ascii="宋体" w:hAnsi="宋体" w:cs="宋体"/>
          <w:bCs/>
          <w:kern w:val="2"/>
        </w:rPr>
      </w:pPr>
      <w:r>
        <w:rPr>
          <w:rFonts w:hint="eastAsia" w:ascii="宋体" w:hAnsi="宋体" w:cs="宋体"/>
          <w:bCs/>
          <w:kern w:val="2"/>
        </w:rPr>
        <w:t>（3）除《政府采购竞争性磋商采购方式管理暂行办法》财库【2014】214号文件第二十一条第三款规定的情形除外，在采购过程中符合竞争要求的供应商或者报价未超过采购预算的供应商不足3家的。</w:t>
      </w:r>
    </w:p>
    <w:p>
      <w:pPr>
        <w:pStyle w:val="13"/>
        <w:widowControl/>
        <w:ind w:firstLine="480" w:firstLineChars="200"/>
        <w:rPr>
          <w:rFonts w:ascii="宋体" w:hAnsi="宋体" w:cs="宋体"/>
          <w:bCs/>
          <w:kern w:val="2"/>
        </w:rPr>
      </w:pPr>
      <w:r>
        <w:rPr>
          <w:rFonts w:hint="eastAsia" w:ascii="宋体" w:hAnsi="宋体" w:cs="宋体"/>
          <w:bCs/>
          <w:kern w:val="2"/>
        </w:rPr>
        <w:t>磋商终止后，采购人应当将磋商终止的理由通知所有供应商。在特殊情况下，经采购人申请后，可以与两家或一家供应商进行磋商。</w:t>
      </w:r>
    </w:p>
    <w:p>
      <w:pPr>
        <w:pStyle w:val="13"/>
        <w:widowControl/>
        <w:ind w:firstLine="480" w:firstLineChars="200"/>
        <w:rPr>
          <w:rFonts w:ascii="宋体" w:hAnsi="宋体" w:cs="宋体"/>
          <w:bCs/>
          <w:kern w:val="2"/>
        </w:rPr>
      </w:pPr>
      <w:r>
        <w:rPr>
          <w:rFonts w:hint="eastAsia" w:ascii="宋体" w:hAnsi="宋体" w:cs="宋体"/>
          <w:bCs/>
          <w:kern w:val="2"/>
        </w:rPr>
        <w:t>22.推荐成交候选供应商</w:t>
      </w:r>
    </w:p>
    <w:p>
      <w:pPr>
        <w:pStyle w:val="13"/>
        <w:widowControl/>
        <w:ind w:firstLine="480" w:firstLineChars="200"/>
        <w:rPr>
          <w:rFonts w:ascii="宋体" w:hAnsi="宋体" w:cs="宋体"/>
          <w:bCs/>
          <w:kern w:val="2"/>
        </w:rPr>
      </w:pPr>
      <w:r>
        <w:rPr>
          <w:rFonts w:hint="eastAsia" w:ascii="宋体" w:hAnsi="宋体" w:cs="宋体"/>
          <w:bCs/>
          <w:kern w:val="2"/>
        </w:rPr>
        <w:t>22.1磋商小组将对通过资格性审查和符合性审查的响应文件进行评价和比较。</w:t>
      </w:r>
    </w:p>
    <w:p>
      <w:pPr>
        <w:pStyle w:val="13"/>
        <w:widowControl/>
        <w:ind w:firstLine="480" w:firstLineChars="200"/>
        <w:rPr>
          <w:rFonts w:ascii="宋体" w:hAnsi="宋体" w:cs="宋体"/>
          <w:bCs/>
          <w:kern w:val="2"/>
        </w:rPr>
      </w:pPr>
      <w:r>
        <w:rPr>
          <w:rFonts w:hint="eastAsia" w:ascii="宋体" w:hAnsi="宋体" w:cs="宋体"/>
          <w:bCs/>
          <w:kern w:val="2"/>
        </w:rPr>
        <w:t>22.2磋商小组按磋商文件第三章中公布的评标标准对每份合格响应文件进行评审，推荐1名成交候选供应商。</w:t>
      </w:r>
    </w:p>
    <w:p>
      <w:pPr>
        <w:pStyle w:val="13"/>
        <w:widowControl/>
        <w:ind w:firstLine="480" w:firstLineChars="200"/>
        <w:rPr>
          <w:rFonts w:ascii="宋体" w:hAnsi="宋体" w:cs="宋体"/>
          <w:bCs/>
          <w:kern w:val="2"/>
        </w:rPr>
      </w:pPr>
      <w:r>
        <w:rPr>
          <w:rFonts w:hint="eastAsia" w:ascii="宋体" w:hAnsi="宋体" w:cs="宋体"/>
          <w:bCs/>
          <w:kern w:val="2"/>
        </w:rPr>
        <w:t>22.3 磋商小组发现磋商文件存在歧义、重大缺陷导致评审工作无法进行，或者磋商文件内容存在违反国家有关规定的，评审工作停止，采购人修改磋商文件后重新组织采购活动。</w:t>
      </w:r>
    </w:p>
    <w:p>
      <w:pPr>
        <w:pStyle w:val="13"/>
        <w:widowControl/>
        <w:ind w:firstLine="480" w:firstLineChars="200"/>
        <w:rPr>
          <w:rFonts w:ascii="宋体" w:hAnsi="宋体" w:cs="宋体"/>
          <w:bCs/>
          <w:kern w:val="2"/>
        </w:rPr>
      </w:pPr>
      <w:r>
        <w:rPr>
          <w:rFonts w:hint="eastAsia" w:ascii="宋体" w:hAnsi="宋体" w:cs="宋体"/>
          <w:bCs/>
          <w:kern w:val="2"/>
        </w:rPr>
        <w:t>23.磋商过程保密</w:t>
      </w:r>
    </w:p>
    <w:p>
      <w:pPr>
        <w:pStyle w:val="13"/>
        <w:widowControl/>
        <w:ind w:firstLine="480" w:firstLineChars="200"/>
        <w:rPr>
          <w:rFonts w:ascii="宋体" w:hAnsi="宋体" w:cs="宋体"/>
          <w:bCs/>
          <w:kern w:val="2"/>
        </w:rPr>
      </w:pPr>
      <w:r>
        <w:rPr>
          <w:rFonts w:hint="eastAsia" w:ascii="宋体" w:hAnsi="宋体" w:cs="宋体"/>
          <w:bCs/>
          <w:kern w:val="2"/>
        </w:rPr>
        <w:t>23.1在宣布成交结果前，凡属于审查、澄清、磋商、评审响应文件和确定成交等相关信息，均不得泄露给任何供应商或与评审工作无关的人员。</w:t>
      </w:r>
    </w:p>
    <w:p>
      <w:pPr>
        <w:pStyle w:val="13"/>
        <w:widowControl/>
        <w:ind w:firstLine="480" w:firstLineChars="200"/>
        <w:rPr>
          <w:rFonts w:ascii="宋体" w:hAnsi="宋体" w:cs="宋体"/>
          <w:bCs/>
          <w:kern w:val="2"/>
        </w:rPr>
      </w:pPr>
      <w:r>
        <w:rPr>
          <w:rFonts w:hint="eastAsia" w:ascii="宋体" w:hAnsi="宋体" w:cs="宋体"/>
          <w:bCs/>
          <w:kern w:val="2"/>
        </w:rPr>
        <w:t>23.2供应商不得探听上述信息，不得以任何行为影响磋商过程，否则将被取消成交资格。</w:t>
      </w:r>
    </w:p>
    <w:p>
      <w:pPr>
        <w:pStyle w:val="13"/>
        <w:widowControl/>
        <w:ind w:firstLine="480" w:firstLineChars="200"/>
        <w:rPr>
          <w:rFonts w:ascii="宋体" w:hAnsi="宋体" w:cs="宋体"/>
          <w:bCs/>
          <w:kern w:val="2"/>
        </w:rPr>
      </w:pPr>
      <w:r>
        <w:rPr>
          <w:rFonts w:hint="eastAsia" w:ascii="宋体" w:hAnsi="宋体" w:cs="宋体"/>
          <w:bCs/>
          <w:kern w:val="2"/>
        </w:rPr>
        <w:t>23.3 磋商小组名单在磋商前确定，并在磋商结果确定前保密。</w:t>
      </w:r>
    </w:p>
    <w:p>
      <w:pPr>
        <w:pStyle w:val="13"/>
        <w:widowControl/>
        <w:ind w:firstLine="480" w:firstLineChars="200"/>
        <w:rPr>
          <w:rFonts w:ascii="宋体" w:hAnsi="宋体" w:cs="宋体"/>
          <w:bCs/>
          <w:kern w:val="2"/>
        </w:rPr>
      </w:pPr>
      <w:r>
        <w:rPr>
          <w:rFonts w:hint="eastAsia" w:ascii="宋体" w:hAnsi="宋体" w:cs="宋体"/>
          <w:bCs/>
          <w:kern w:val="2"/>
        </w:rPr>
        <w:t>六、确定成交及签订合同</w:t>
      </w:r>
    </w:p>
    <w:p>
      <w:pPr>
        <w:pStyle w:val="13"/>
        <w:widowControl/>
        <w:ind w:firstLine="480" w:firstLineChars="200"/>
        <w:rPr>
          <w:rFonts w:ascii="宋体" w:hAnsi="宋体" w:cs="宋体"/>
          <w:bCs/>
          <w:kern w:val="2"/>
        </w:rPr>
      </w:pPr>
      <w:r>
        <w:rPr>
          <w:rFonts w:hint="eastAsia" w:ascii="宋体" w:hAnsi="宋体" w:cs="宋体"/>
          <w:bCs/>
          <w:kern w:val="2"/>
        </w:rPr>
        <w:t>24.确定成交供应商</w:t>
      </w:r>
    </w:p>
    <w:p>
      <w:pPr>
        <w:pStyle w:val="13"/>
        <w:widowControl/>
        <w:ind w:firstLine="480" w:firstLineChars="200"/>
        <w:rPr>
          <w:rFonts w:ascii="宋体" w:hAnsi="宋体" w:cs="宋体"/>
          <w:bCs/>
          <w:kern w:val="2"/>
        </w:rPr>
      </w:pPr>
      <w:r>
        <w:rPr>
          <w:rFonts w:hint="eastAsia" w:ascii="宋体" w:hAnsi="宋体" w:cs="宋体"/>
          <w:bCs/>
          <w:kern w:val="2"/>
        </w:rPr>
        <w:t>24.1采购人将从磋商小组推荐的符合采购需求的成交候选供应商中按排名先后确定成交供应商。</w:t>
      </w:r>
    </w:p>
    <w:p>
      <w:pPr>
        <w:pStyle w:val="13"/>
        <w:widowControl/>
        <w:ind w:firstLine="480" w:firstLineChars="200"/>
        <w:rPr>
          <w:rFonts w:ascii="宋体" w:hAnsi="宋体" w:cs="宋体"/>
          <w:bCs/>
          <w:kern w:val="2"/>
        </w:rPr>
      </w:pPr>
      <w:r>
        <w:rPr>
          <w:rFonts w:hint="eastAsia" w:ascii="宋体" w:hAnsi="宋体" w:cs="宋体"/>
          <w:bCs/>
          <w:kern w:val="2"/>
        </w:rPr>
        <w:t>24.2采购人将在淮安市政府采购网、淮安市公共资源交易网发布成交结果公告。</w:t>
      </w:r>
    </w:p>
    <w:p>
      <w:pPr>
        <w:pStyle w:val="13"/>
        <w:widowControl/>
        <w:ind w:firstLine="480" w:firstLineChars="200"/>
        <w:rPr>
          <w:rFonts w:ascii="宋体" w:hAnsi="宋体" w:cs="宋体"/>
          <w:bCs/>
          <w:kern w:val="2"/>
        </w:rPr>
      </w:pPr>
      <w:r>
        <w:rPr>
          <w:rFonts w:hint="eastAsia" w:ascii="宋体" w:hAnsi="宋体" w:cs="宋体"/>
          <w:bCs/>
          <w:kern w:val="2"/>
        </w:rPr>
        <w:t>24.3成交候选人在合同签订前，如经查实从参加该成交项目之日起计算所参加的政府采购活动前三年内，在经营活动中有行贿犯罪记录的，采购人将取消其成交候选人资格。</w:t>
      </w:r>
    </w:p>
    <w:p>
      <w:pPr>
        <w:pStyle w:val="13"/>
        <w:widowControl/>
        <w:ind w:firstLine="480" w:firstLineChars="200"/>
        <w:rPr>
          <w:rFonts w:ascii="宋体" w:hAnsi="宋体" w:cs="宋体"/>
          <w:bCs/>
          <w:kern w:val="2"/>
        </w:rPr>
      </w:pPr>
      <w:r>
        <w:rPr>
          <w:rFonts w:hint="eastAsia" w:ascii="宋体" w:hAnsi="宋体" w:cs="宋体"/>
          <w:bCs/>
          <w:kern w:val="2"/>
        </w:rPr>
        <w:t>25.成交通知书</w:t>
      </w:r>
    </w:p>
    <w:p>
      <w:pPr>
        <w:pStyle w:val="13"/>
        <w:widowControl/>
        <w:ind w:firstLine="480" w:firstLineChars="200"/>
        <w:rPr>
          <w:rFonts w:ascii="宋体" w:hAnsi="宋体" w:cs="宋体"/>
          <w:bCs/>
          <w:kern w:val="2"/>
        </w:rPr>
      </w:pPr>
      <w:r>
        <w:rPr>
          <w:rFonts w:hint="eastAsia" w:ascii="宋体" w:hAnsi="宋体" w:cs="宋体"/>
          <w:bCs/>
          <w:kern w:val="2"/>
        </w:rPr>
        <w:t>25.1成交结果公示结束且在无疑义情况下，采购代理机构发放成交通知书。</w:t>
      </w:r>
    </w:p>
    <w:p>
      <w:pPr>
        <w:pStyle w:val="13"/>
        <w:widowControl/>
        <w:ind w:firstLine="480" w:firstLineChars="200"/>
        <w:rPr>
          <w:rFonts w:ascii="宋体" w:hAnsi="宋体" w:cs="宋体"/>
          <w:bCs/>
          <w:kern w:val="2"/>
        </w:rPr>
      </w:pPr>
      <w:r>
        <w:rPr>
          <w:rFonts w:hint="eastAsia" w:ascii="宋体" w:hAnsi="宋体" w:cs="宋体"/>
          <w:bCs/>
          <w:kern w:val="2"/>
        </w:rPr>
        <w:t>25.2成交供应商在接到采购人通知后五个工作日内必须交纳履约保证金。</w:t>
      </w:r>
    </w:p>
    <w:p>
      <w:pPr>
        <w:pStyle w:val="13"/>
        <w:widowControl/>
        <w:ind w:firstLine="480" w:firstLineChars="200"/>
        <w:rPr>
          <w:rFonts w:ascii="宋体" w:hAnsi="宋体" w:cs="宋体"/>
          <w:bCs/>
          <w:kern w:val="2"/>
        </w:rPr>
      </w:pPr>
      <w:r>
        <w:rPr>
          <w:rFonts w:hint="eastAsia" w:ascii="宋体" w:hAnsi="宋体" w:cs="宋体"/>
          <w:bCs/>
          <w:kern w:val="2"/>
        </w:rPr>
        <w:t>25.3 成交通知书将是合同的一个组成部分。</w:t>
      </w:r>
    </w:p>
    <w:p>
      <w:pPr>
        <w:pStyle w:val="13"/>
        <w:widowControl/>
        <w:ind w:firstLine="480" w:firstLineChars="200"/>
        <w:rPr>
          <w:rFonts w:ascii="宋体" w:hAnsi="宋体" w:cs="宋体"/>
          <w:bCs/>
          <w:kern w:val="2"/>
        </w:rPr>
      </w:pPr>
      <w:r>
        <w:rPr>
          <w:rFonts w:hint="eastAsia" w:ascii="宋体" w:hAnsi="宋体" w:cs="宋体"/>
          <w:bCs/>
          <w:kern w:val="2"/>
        </w:rPr>
        <w:t>26.签订合同</w:t>
      </w:r>
    </w:p>
    <w:p>
      <w:pPr>
        <w:pStyle w:val="13"/>
        <w:widowControl/>
        <w:ind w:firstLine="480" w:firstLineChars="200"/>
        <w:rPr>
          <w:rFonts w:ascii="宋体" w:hAnsi="宋体" w:cs="宋体"/>
          <w:bCs/>
          <w:kern w:val="2"/>
        </w:rPr>
      </w:pPr>
      <w:r>
        <w:rPr>
          <w:rFonts w:hint="eastAsia" w:ascii="宋体" w:hAnsi="宋体" w:cs="宋体"/>
          <w:bCs/>
          <w:kern w:val="2"/>
        </w:rPr>
        <w:t>26.1采购人与成交供应商应在成交通知书发出之日起十二日内签订政府采购合同，采购合同经鉴证机构鉴证后方可生效。磋商文件、成交供应商的响应文件及澄清文件等均为签订合同依据。</w:t>
      </w:r>
    </w:p>
    <w:p>
      <w:pPr>
        <w:pStyle w:val="13"/>
        <w:widowControl/>
        <w:ind w:firstLine="480" w:firstLineChars="200"/>
        <w:rPr>
          <w:rFonts w:ascii="宋体" w:hAnsi="宋体" w:cs="宋体"/>
          <w:bCs/>
          <w:kern w:val="2"/>
        </w:rPr>
      </w:pPr>
      <w:r>
        <w:rPr>
          <w:rFonts w:hint="eastAsia" w:ascii="宋体" w:hAnsi="宋体" w:cs="宋体"/>
          <w:bCs/>
          <w:kern w:val="2"/>
        </w:rPr>
        <w:t>26.2成交供应商自成交通知书发出之日起十二日内无正当理由不与采购人签订合同并未经盱眙县公共资源交易中心盱眙分中心鉴证的，将按规定进行处理。</w:t>
      </w:r>
    </w:p>
    <w:p>
      <w:pPr>
        <w:pStyle w:val="13"/>
        <w:widowControl/>
        <w:ind w:firstLine="480" w:firstLineChars="200"/>
        <w:rPr>
          <w:rFonts w:ascii="宋体" w:hAnsi="宋体" w:cs="宋体"/>
          <w:bCs/>
          <w:kern w:val="2"/>
        </w:rPr>
      </w:pPr>
      <w:r>
        <w:rPr>
          <w:rFonts w:hint="eastAsia" w:ascii="宋体" w:hAnsi="宋体" w:cs="宋体"/>
          <w:bCs/>
          <w:kern w:val="2"/>
        </w:rPr>
        <w:t>27.货物和服务的减少</w:t>
      </w:r>
    </w:p>
    <w:p>
      <w:pPr>
        <w:pStyle w:val="13"/>
        <w:widowControl/>
        <w:ind w:firstLine="480" w:firstLineChars="200"/>
        <w:rPr>
          <w:rFonts w:ascii="宋体" w:hAnsi="宋体" w:cs="宋体"/>
          <w:bCs/>
          <w:kern w:val="2"/>
        </w:rPr>
      </w:pPr>
      <w:r>
        <w:rPr>
          <w:rFonts w:hint="eastAsia" w:ascii="宋体" w:hAnsi="宋体" w:cs="宋体"/>
          <w:bCs/>
          <w:kern w:val="2"/>
        </w:rPr>
        <w:t>27.1采购结束后，采购人若由于各种客观原因，必须对采购项目所牵涉的货物和服务进行适当的减少时，在双方协商一致的前提下，可以按照磋商时的价格水平做相应的调减，并据此签订补充合同。</w:t>
      </w:r>
    </w:p>
    <w:p>
      <w:pPr>
        <w:pStyle w:val="13"/>
        <w:widowControl/>
        <w:ind w:firstLine="480" w:firstLineChars="200"/>
        <w:rPr>
          <w:rFonts w:ascii="宋体" w:hAnsi="宋体" w:cs="宋体"/>
          <w:bCs/>
          <w:kern w:val="2"/>
        </w:rPr>
      </w:pPr>
      <w:r>
        <w:rPr>
          <w:rFonts w:hint="eastAsia" w:ascii="宋体" w:hAnsi="宋体" w:cs="宋体"/>
          <w:bCs/>
          <w:kern w:val="2"/>
        </w:rPr>
        <w:t>28.履约保证金</w:t>
      </w:r>
    </w:p>
    <w:p>
      <w:pPr>
        <w:pStyle w:val="13"/>
        <w:widowControl/>
        <w:ind w:firstLine="480" w:firstLineChars="200"/>
        <w:rPr>
          <w:rFonts w:ascii="宋体" w:hAnsi="宋体" w:cs="宋体"/>
          <w:bCs/>
          <w:kern w:val="2"/>
        </w:rPr>
      </w:pPr>
      <w:r>
        <w:rPr>
          <w:rFonts w:hint="eastAsia" w:ascii="宋体" w:hAnsi="宋体" w:cs="宋体"/>
          <w:bCs/>
          <w:kern w:val="2"/>
        </w:rPr>
        <w:t>28.1为保证合同的顺利执行，成交供应商必须在成交通知书发出之前，向采购人提交金额为成交总价1%的履约保证金。</w:t>
      </w:r>
    </w:p>
    <w:p>
      <w:pPr>
        <w:pStyle w:val="13"/>
        <w:widowControl/>
        <w:ind w:firstLine="480" w:firstLineChars="200"/>
        <w:rPr>
          <w:rFonts w:ascii="宋体" w:hAnsi="宋体" w:cs="宋体"/>
        </w:rPr>
      </w:pPr>
      <w:r>
        <w:rPr>
          <w:rFonts w:hint="eastAsia" w:ascii="宋体" w:hAnsi="宋体" w:cs="宋体"/>
          <w:bCs/>
          <w:kern w:val="2"/>
        </w:rPr>
        <w:t>28.2</w:t>
      </w:r>
      <w:r>
        <w:rPr>
          <w:rFonts w:hint="eastAsia" w:ascii="宋体" w:hAnsi="宋体" w:cs="宋体"/>
        </w:rPr>
        <w:t>履约保证金的形式为（银行本票、汇票、支票、电汇</w:t>
      </w:r>
      <w:r>
        <w:rPr>
          <w:rFonts w:hint="eastAsia" w:ascii="宋体" w:hAnsi="宋体" w:cs="宋体"/>
          <w:lang w:eastAsia="zh-CN"/>
        </w:rPr>
        <w:t>、</w:t>
      </w:r>
      <w:r>
        <w:rPr>
          <w:rFonts w:hint="eastAsia" w:ascii="宋体" w:hAnsi="宋体" w:cs="宋体"/>
          <w:lang w:val="en-US" w:eastAsia="zh-CN"/>
        </w:rPr>
        <w:t>数字人民币</w:t>
      </w:r>
      <w:r>
        <w:rPr>
          <w:rFonts w:hint="eastAsia" w:ascii="宋体" w:hAnsi="宋体" w:cs="宋体"/>
        </w:rPr>
        <w:t>），或银行保函、担保公司的保证担保或保险公司的保证保险等多种形式。成交供应商选取银行保函、担保公司的保证担保或保险公司的保证保险等形式的向采购人缴纳，如保函（担保、保险等）的约定期到期但成交供应商履约仍未结束的，成交供应商须进行续保。</w:t>
      </w:r>
    </w:p>
    <w:p>
      <w:pPr>
        <w:pStyle w:val="13"/>
        <w:widowControl/>
        <w:ind w:firstLine="480" w:firstLineChars="200"/>
        <w:rPr>
          <w:rFonts w:ascii="宋体" w:hAnsi="宋体" w:cs="宋体"/>
        </w:rPr>
      </w:pPr>
      <w:r>
        <w:rPr>
          <w:rFonts w:hint="eastAsia" w:ascii="宋体" w:hAnsi="宋体" w:cs="宋体"/>
        </w:rPr>
        <w:t>28.3如成交供应商未能履行合同规定的义务，采购人有权从履约保证金中取得补偿。</w:t>
      </w:r>
    </w:p>
    <w:p>
      <w:pPr>
        <w:spacing w:line="380" w:lineRule="exact"/>
        <w:ind w:firstLine="480" w:firstLineChars="200"/>
        <w:rPr>
          <w:rFonts w:ascii="宋体" w:hAnsi="宋体" w:cs="宋体"/>
          <w:sz w:val="24"/>
        </w:rPr>
      </w:pPr>
      <w:r>
        <w:rPr>
          <w:rFonts w:hint="eastAsia" w:ascii="宋体" w:hAnsi="宋体" w:cs="宋体"/>
          <w:sz w:val="24"/>
        </w:rPr>
        <w:t>28.4履约保证金退还时间：履约保证金在合同约定期间内不予退还或者应完全有效，约定期届满之日起 5个工作日内，甲方应将人民币形式的履约保证金退还乙方，逾期退还的，按中国人民银行同期贷款基利率上浮20%后的利率支付超期资金占用费，但因乙方自身原因导致无法及时退还的除外。</w:t>
      </w:r>
    </w:p>
    <w:p>
      <w:pPr>
        <w:spacing w:line="380" w:lineRule="exact"/>
        <w:ind w:firstLine="480" w:firstLineChars="200"/>
        <w:rPr>
          <w:rFonts w:ascii="宋体" w:hAnsi="宋体" w:cs="宋体"/>
          <w:bCs/>
          <w:sz w:val="24"/>
        </w:rPr>
      </w:pPr>
      <w:r>
        <w:rPr>
          <w:rFonts w:hint="eastAsia" w:ascii="宋体" w:hAnsi="宋体" w:cs="宋体"/>
          <w:sz w:val="24"/>
        </w:rPr>
        <w:t>28.5如果成交供应商没有按照25条或26条的规定去做，采购人可报财政部门取消其成交资格，在此情况下采购人可将标授予下一个成交候选供应商，或重新采购。</w:t>
      </w:r>
    </w:p>
    <w:p>
      <w:pPr>
        <w:pStyle w:val="13"/>
        <w:widowControl/>
        <w:ind w:firstLine="480" w:firstLineChars="200"/>
        <w:rPr>
          <w:rFonts w:ascii="宋体" w:hAnsi="宋体" w:cs="宋体"/>
          <w:bCs/>
          <w:kern w:val="2"/>
        </w:rPr>
      </w:pPr>
      <w:r>
        <w:rPr>
          <w:rFonts w:hint="eastAsia" w:ascii="宋体" w:hAnsi="宋体" w:cs="宋体"/>
          <w:bCs/>
          <w:kern w:val="2"/>
        </w:rPr>
        <w:t>七、质疑处理</w:t>
      </w:r>
    </w:p>
    <w:p>
      <w:pPr>
        <w:pStyle w:val="13"/>
        <w:widowControl/>
        <w:ind w:firstLine="480" w:firstLineChars="200"/>
        <w:rPr>
          <w:rFonts w:ascii="宋体" w:hAnsi="宋体" w:cs="宋体"/>
          <w:bCs/>
          <w:kern w:val="2"/>
        </w:rPr>
      </w:pPr>
      <w:r>
        <w:rPr>
          <w:rFonts w:hint="eastAsia" w:ascii="宋体" w:hAnsi="宋体" w:cs="宋体"/>
          <w:bCs/>
          <w:kern w:val="2"/>
        </w:rPr>
        <w:t>29.质疑处理</w:t>
      </w:r>
    </w:p>
    <w:p>
      <w:pPr>
        <w:pStyle w:val="13"/>
        <w:widowControl/>
        <w:ind w:firstLine="480" w:firstLineChars="200"/>
        <w:rPr>
          <w:rFonts w:ascii="宋体" w:hAnsi="宋体" w:cs="宋体"/>
          <w:bCs/>
          <w:kern w:val="2"/>
        </w:rPr>
      </w:pPr>
      <w:r>
        <w:rPr>
          <w:rFonts w:hint="eastAsia" w:ascii="宋体" w:hAnsi="宋体" w:cs="宋体"/>
          <w:bCs/>
          <w:kern w:val="2"/>
        </w:rPr>
        <w:t>29.1供应商认为采购文件、采购过程和成交结果使自己的权益受到损害的，可以在知道或者应知其权益受到损害之日起七个工作日内，以电子文件形式从网站首页点击“交易平台”→“政府采购-磋商供应商”登录，从“采购业务-质疑”模块提出质疑；同时必须将质疑函的原件邮寄至采购人。未通过交易平台、未邮寄质疑函原件、七个工作日之外以及匿名的质疑均不予受理。</w:t>
      </w:r>
    </w:p>
    <w:p>
      <w:pPr>
        <w:pStyle w:val="13"/>
        <w:widowControl/>
        <w:ind w:firstLine="480" w:firstLineChars="200"/>
        <w:rPr>
          <w:rFonts w:ascii="宋体" w:hAnsi="宋体" w:cs="宋体"/>
          <w:bCs/>
          <w:kern w:val="2"/>
        </w:rPr>
      </w:pPr>
      <w:r>
        <w:rPr>
          <w:rFonts w:hint="eastAsia" w:ascii="宋体" w:hAnsi="宋体" w:cs="宋体"/>
          <w:bCs/>
          <w:kern w:val="2"/>
        </w:rPr>
        <w:t>29.2上述应知其权益受到损害之日是指:</w:t>
      </w:r>
    </w:p>
    <w:p>
      <w:pPr>
        <w:pStyle w:val="13"/>
        <w:widowControl/>
        <w:ind w:firstLine="480" w:firstLineChars="200"/>
        <w:rPr>
          <w:rFonts w:ascii="宋体" w:hAnsi="宋体" w:cs="宋体"/>
          <w:bCs/>
          <w:kern w:val="2"/>
        </w:rPr>
      </w:pPr>
      <w:r>
        <w:rPr>
          <w:rFonts w:hint="eastAsia" w:ascii="宋体" w:hAnsi="宋体" w:cs="宋体"/>
          <w:bCs/>
          <w:kern w:val="2"/>
        </w:rPr>
        <w:t>（1）对磋商文件提出质疑的，为采购文件公告期限届满之日起计算；</w:t>
      </w:r>
    </w:p>
    <w:p>
      <w:pPr>
        <w:pStyle w:val="13"/>
        <w:widowControl/>
        <w:ind w:firstLine="480" w:firstLineChars="200"/>
        <w:rPr>
          <w:rFonts w:ascii="宋体" w:hAnsi="宋体" w:cs="宋体"/>
          <w:bCs/>
          <w:kern w:val="2"/>
        </w:rPr>
      </w:pPr>
      <w:r>
        <w:rPr>
          <w:rFonts w:hint="eastAsia" w:ascii="宋体" w:hAnsi="宋体" w:cs="宋体"/>
          <w:bCs/>
          <w:kern w:val="2"/>
        </w:rPr>
        <w:t>（2）对采购过程提出质疑的，为各采购程序环节结束之日起计算；</w:t>
      </w:r>
    </w:p>
    <w:p>
      <w:pPr>
        <w:pStyle w:val="13"/>
        <w:widowControl/>
        <w:ind w:firstLine="480" w:firstLineChars="200"/>
        <w:rPr>
          <w:rFonts w:ascii="宋体" w:hAnsi="宋体" w:cs="宋体"/>
          <w:bCs/>
          <w:kern w:val="2"/>
        </w:rPr>
      </w:pPr>
      <w:r>
        <w:rPr>
          <w:rFonts w:hint="eastAsia" w:ascii="宋体" w:hAnsi="宋体" w:cs="宋体"/>
          <w:bCs/>
          <w:kern w:val="2"/>
        </w:rPr>
        <w:t>（3）对成交结果提出质疑的，为成交结果公告期限届满之日起计算。</w:t>
      </w:r>
    </w:p>
    <w:p>
      <w:pPr>
        <w:pStyle w:val="13"/>
        <w:widowControl/>
        <w:ind w:firstLine="480" w:firstLineChars="200"/>
        <w:rPr>
          <w:rFonts w:ascii="宋体" w:hAnsi="宋体" w:cs="宋体"/>
          <w:bCs/>
          <w:kern w:val="2"/>
        </w:rPr>
      </w:pPr>
      <w:r>
        <w:rPr>
          <w:rFonts w:hint="eastAsia" w:ascii="宋体" w:hAnsi="宋体" w:cs="宋体"/>
          <w:bCs/>
          <w:kern w:val="2"/>
        </w:rPr>
        <w:t>29.3 质疑供应商是指直接参加本次磋商活动的供应商，未参加磋商活动的供应商或在磋商活动中自身权益未受到损害的供应商所提出的质疑不予受理。</w:t>
      </w:r>
    </w:p>
    <w:p>
      <w:pPr>
        <w:pStyle w:val="13"/>
        <w:widowControl/>
        <w:ind w:firstLine="480" w:firstLineChars="200"/>
        <w:rPr>
          <w:rFonts w:ascii="宋体" w:hAnsi="宋体" w:cs="宋体"/>
          <w:bCs/>
          <w:kern w:val="2"/>
        </w:rPr>
      </w:pPr>
      <w:r>
        <w:rPr>
          <w:rFonts w:hint="eastAsia" w:ascii="宋体" w:hAnsi="宋体" w:cs="宋体"/>
          <w:bCs/>
          <w:kern w:val="2"/>
        </w:rPr>
        <w:t>29.4 质疑供应商在法定质疑期内应当一次性提出针对同一采购环节提出质疑。</w:t>
      </w:r>
    </w:p>
    <w:p>
      <w:pPr>
        <w:pStyle w:val="13"/>
        <w:widowControl/>
        <w:ind w:firstLine="480" w:firstLineChars="200"/>
        <w:rPr>
          <w:rFonts w:ascii="宋体" w:hAnsi="宋体" w:cs="宋体"/>
          <w:bCs/>
          <w:kern w:val="2"/>
        </w:rPr>
      </w:pPr>
      <w:r>
        <w:rPr>
          <w:rFonts w:hint="eastAsia" w:ascii="宋体" w:hAnsi="宋体" w:cs="宋体"/>
          <w:bCs/>
          <w:kern w:val="2"/>
        </w:rPr>
        <w:t>29.5质疑函必须以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有权不予受理。</w:t>
      </w:r>
    </w:p>
    <w:p>
      <w:pPr>
        <w:pStyle w:val="13"/>
        <w:widowControl/>
        <w:ind w:firstLine="480" w:firstLineChars="200"/>
        <w:rPr>
          <w:rFonts w:ascii="宋体" w:hAnsi="宋体" w:cs="宋体"/>
          <w:bCs/>
          <w:kern w:val="2"/>
        </w:rPr>
      </w:pPr>
      <w:r>
        <w:rPr>
          <w:rFonts w:hint="eastAsia" w:ascii="宋体" w:hAnsi="宋体" w:cs="宋体"/>
          <w:bCs/>
          <w:kern w:val="2"/>
        </w:rPr>
        <w:t>29.6质疑函应当包括以下主要内容，并按照“谁主张、谁举证”的原则，附上相关证明材料。否则，</w:t>
      </w:r>
    </w:p>
    <w:p>
      <w:pPr>
        <w:pStyle w:val="13"/>
        <w:widowControl/>
        <w:ind w:firstLine="480" w:firstLineChars="200"/>
        <w:rPr>
          <w:rFonts w:ascii="宋体" w:hAnsi="宋体" w:cs="宋体"/>
          <w:bCs/>
          <w:kern w:val="2"/>
        </w:rPr>
      </w:pPr>
      <w:r>
        <w:rPr>
          <w:rFonts w:hint="eastAsia" w:ascii="宋体" w:hAnsi="宋体" w:cs="宋体"/>
          <w:bCs/>
          <w:kern w:val="2"/>
        </w:rPr>
        <w:t>采购人不予受理。</w:t>
      </w:r>
    </w:p>
    <w:p>
      <w:pPr>
        <w:pStyle w:val="13"/>
        <w:widowControl/>
        <w:ind w:firstLine="480" w:firstLineChars="200"/>
        <w:rPr>
          <w:rFonts w:ascii="宋体" w:hAnsi="宋体" w:cs="宋体"/>
          <w:bCs/>
          <w:kern w:val="2"/>
        </w:rPr>
      </w:pPr>
      <w:r>
        <w:rPr>
          <w:rFonts w:hint="eastAsia" w:ascii="宋体" w:hAnsi="宋体" w:cs="宋体"/>
          <w:bCs/>
          <w:kern w:val="2"/>
        </w:rPr>
        <w:t>（1）质疑磋商供应商的名称、地址、邮编、联系人及联系电话；</w:t>
      </w:r>
    </w:p>
    <w:p>
      <w:pPr>
        <w:pStyle w:val="13"/>
        <w:widowControl/>
        <w:ind w:firstLine="480" w:firstLineChars="200"/>
        <w:rPr>
          <w:rFonts w:ascii="宋体" w:hAnsi="宋体" w:cs="宋体"/>
          <w:bCs/>
          <w:kern w:val="2"/>
        </w:rPr>
      </w:pPr>
      <w:r>
        <w:rPr>
          <w:rFonts w:hint="eastAsia" w:ascii="宋体" w:hAnsi="宋体" w:cs="宋体"/>
          <w:bCs/>
          <w:kern w:val="2"/>
        </w:rPr>
        <w:t>（2）质疑项目的名称、编号；</w:t>
      </w:r>
    </w:p>
    <w:p>
      <w:pPr>
        <w:pStyle w:val="13"/>
        <w:widowControl/>
        <w:ind w:firstLine="480" w:firstLineChars="200"/>
        <w:rPr>
          <w:rFonts w:ascii="宋体" w:hAnsi="宋体" w:cs="宋体"/>
          <w:bCs/>
          <w:kern w:val="2"/>
        </w:rPr>
      </w:pPr>
      <w:r>
        <w:rPr>
          <w:rFonts w:hint="eastAsia" w:ascii="宋体" w:hAnsi="宋体" w:cs="宋体"/>
          <w:bCs/>
          <w:kern w:val="2"/>
        </w:rPr>
        <w:t>（3）具体、明确的质疑事项和与质疑事实相关的请求；</w:t>
      </w:r>
    </w:p>
    <w:p>
      <w:pPr>
        <w:pStyle w:val="13"/>
        <w:widowControl/>
        <w:ind w:firstLine="480" w:firstLineChars="200"/>
        <w:rPr>
          <w:rFonts w:ascii="宋体" w:hAnsi="宋体" w:cs="宋体"/>
          <w:bCs/>
          <w:kern w:val="2"/>
        </w:rPr>
      </w:pPr>
      <w:r>
        <w:rPr>
          <w:rFonts w:hint="eastAsia" w:ascii="宋体" w:hAnsi="宋体" w:cs="宋体"/>
          <w:bCs/>
          <w:kern w:val="2"/>
        </w:rPr>
        <w:t>（4）事实依据；</w:t>
      </w:r>
    </w:p>
    <w:p>
      <w:pPr>
        <w:pStyle w:val="13"/>
        <w:widowControl/>
        <w:ind w:firstLine="480" w:firstLineChars="200"/>
        <w:rPr>
          <w:rFonts w:ascii="宋体" w:hAnsi="宋体" w:cs="宋体"/>
          <w:bCs/>
          <w:kern w:val="2"/>
        </w:rPr>
      </w:pPr>
      <w:r>
        <w:rPr>
          <w:rFonts w:hint="eastAsia" w:ascii="宋体" w:hAnsi="宋体" w:cs="宋体"/>
          <w:bCs/>
          <w:kern w:val="2"/>
        </w:rPr>
        <w:t>（5）必要的法律依据；</w:t>
      </w:r>
    </w:p>
    <w:p>
      <w:pPr>
        <w:pStyle w:val="13"/>
        <w:widowControl/>
        <w:ind w:firstLine="480" w:firstLineChars="200"/>
        <w:rPr>
          <w:rFonts w:ascii="宋体" w:hAnsi="宋体" w:cs="宋体"/>
          <w:bCs/>
          <w:kern w:val="2"/>
        </w:rPr>
      </w:pPr>
      <w:r>
        <w:rPr>
          <w:rFonts w:hint="eastAsia" w:ascii="宋体" w:hAnsi="宋体" w:cs="宋体"/>
          <w:bCs/>
          <w:kern w:val="2"/>
        </w:rPr>
        <w:t>（6）提起质疑的日期；</w:t>
      </w:r>
    </w:p>
    <w:p>
      <w:pPr>
        <w:pStyle w:val="13"/>
        <w:widowControl/>
        <w:ind w:firstLine="480" w:firstLineChars="200"/>
        <w:rPr>
          <w:rFonts w:ascii="宋体" w:hAnsi="宋体" w:cs="宋体"/>
          <w:bCs/>
          <w:kern w:val="2"/>
        </w:rPr>
      </w:pPr>
      <w:r>
        <w:rPr>
          <w:rFonts w:hint="eastAsia" w:ascii="宋体" w:hAnsi="宋体" w:cs="宋体"/>
          <w:bCs/>
          <w:kern w:val="2"/>
        </w:rPr>
        <w:t>（7）质疑函应当署名:应当由法定代表人签字并加盖单位公章。</w:t>
      </w:r>
    </w:p>
    <w:p>
      <w:pPr>
        <w:pStyle w:val="13"/>
        <w:widowControl/>
        <w:ind w:firstLine="480" w:firstLineChars="200"/>
        <w:rPr>
          <w:rFonts w:ascii="宋体" w:hAnsi="宋体" w:cs="宋体"/>
          <w:bCs/>
          <w:kern w:val="2"/>
        </w:rPr>
      </w:pPr>
      <w:r>
        <w:rPr>
          <w:rFonts w:hint="eastAsia" w:ascii="宋体" w:hAnsi="宋体" w:cs="宋体"/>
          <w:bCs/>
          <w:kern w:val="2"/>
        </w:rPr>
        <w:t>29.7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p>
    <w:p>
      <w:pPr>
        <w:pStyle w:val="13"/>
        <w:widowControl/>
        <w:ind w:firstLine="480" w:firstLineChars="200"/>
        <w:rPr>
          <w:rFonts w:ascii="宋体" w:hAnsi="宋体" w:cs="宋体"/>
          <w:bCs/>
          <w:kern w:val="2"/>
        </w:rPr>
      </w:pPr>
      <w:r>
        <w:rPr>
          <w:rFonts w:hint="eastAsia" w:ascii="宋体" w:hAnsi="宋体" w:cs="宋体"/>
          <w:bCs/>
          <w:kern w:val="2"/>
        </w:rPr>
        <w:t>29.8对于内容、格式符合规定的质疑函，采购人将在五个工作日内以书面形式作出答复。</w:t>
      </w:r>
    </w:p>
    <w:p>
      <w:pPr>
        <w:pStyle w:val="13"/>
        <w:widowControl/>
        <w:ind w:firstLine="480" w:firstLineChars="200"/>
        <w:rPr>
          <w:rFonts w:ascii="宋体" w:hAnsi="宋体" w:cs="宋体"/>
          <w:bCs/>
          <w:kern w:val="2"/>
        </w:rPr>
      </w:pPr>
      <w:r>
        <w:rPr>
          <w:rFonts w:hint="eastAsia" w:ascii="宋体" w:hAnsi="宋体" w:cs="宋体"/>
          <w:bCs/>
          <w:kern w:val="2"/>
        </w:rPr>
        <w:t>29.9供应商提出书面质疑必须有理、有据，不得恶意质疑或提交虚假质疑。否则，一经查实，采购人有权依据政府采购的有关规定，对该供应商列入失信行为或不良行为记录名单，进行相应的行政处罚。</w:t>
      </w:r>
    </w:p>
    <w:p>
      <w:pPr>
        <w:pStyle w:val="13"/>
        <w:widowControl/>
        <w:ind w:firstLine="480" w:firstLineChars="200"/>
        <w:rPr>
          <w:rFonts w:ascii="宋体" w:hAnsi="宋体" w:cs="宋体"/>
          <w:bCs/>
          <w:kern w:val="2"/>
        </w:rPr>
      </w:pPr>
      <w:r>
        <w:rPr>
          <w:rFonts w:hint="eastAsia" w:ascii="宋体" w:hAnsi="宋体" w:cs="宋体"/>
          <w:bCs/>
          <w:kern w:val="2"/>
        </w:rPr>
        <w:t>八、政府采购政策功能落实</w:t>
      </w:r>
    </w:p>
    <w:p>
      <w:pPr>
        <w:pStyle w:val="13"/>
        <w:keepNext w:val="0"/>
        <w:keepLines w:val="0"/>
        <w:widowControl/>
        <w:suppressLineNumbers w:val="0"/>
        <w:ind w:left="0" w:firstLine="480" w:firstLineChars="200"/>
        <w:jc w:val="left"/>
        <w:rPr>
          <w:rFonts w:hint="eastAsia" w:ascii="宋体" w:hAnsi="宋体" w:eastAsia="宋体" w:cs="宋体"/>
          <w:bCs/>
          <w:kern w:val="2"/>
          <w:sz w:val="24"/>
          <w:lang w:val="en-US" w:eastAsia="zh-CN" w:bidi="ar-SA"/>
        </w:rPr>
      </w:pPr>
      <w:r>
        <w:rPr>
          <w:rFonts w:hint="eastAsia" w:ascii="宋体" w:hAnsi="宋体" w:eastAsia="宋体" w:cs="宋体"/>
          <w:bCs/>
          <w:kern w:val="2"/>
          <w:sz w:val="24"/>
          <w:lang w:val="en-US" w:eastAsia="zh-CN" w:bidi="ar-SA"/>
        </w:rPr>
        <w:t>30.政策功能落实</w:t>
      </w:r>
    </w:p>
    <w:p>
      <w:pPr>
        <w:pStyle w:val="13"/>
        <w:keepNext w:val="0"/>
        <w:keepLines w:val="0"/>
        <w:widowControl/>
        <w:suppressLineNumbers w:val="0"/>
        <w:ind w:left="0" w:firstLine="480" w:firstLineChars="200"/>
        <w:jc w:val="left"/>
        <w:rPr>
          <w:rFonts w:hint="eastAsia" w:ascii="宋体" w:hAnsi="宋体" w:eastAsia="宋体" w:cs="宋体"/>
          <w:bCs/>
          <w:kern w:val="2"/>
          <w:sz w:val="24"/>
          <w:lang w:val="en-US" w:eastAsia="zh-CN" w:bidi="ar-SA"/>
        </w:rPr>
      </w:pPr>
      <w:r>
        <w:rPr>
          <w:rFonts w:hint="eastAsia" w:ascii="宋体" w:hAnsi="宋体" w:eastAsia="宋体" w:cs="宋体"/>
          <w:bCs/>
          <w:kern w:val="2"/>
          <w:sz w:val="24"/>
          <w:lang w:val="en-US" w:eastAsia="zh-CN" w:bidi="ar-SA"/>
        </w:rPr>
        <w:t>30.1小微型企业价格扣除</w:t>
      </w:r>
    </w:p>
    <w:p>
      <w:pPr>
        <w:pStyle w:val="13"/>
        <w:keepNext w:val="0"/>
        <w:keepLines w:val="0"/>
        <w:widowControl/>
        <w:suppressLineNumbers w:val="0"/>
        <w:ind w:left="0" w:firstLine="480" w:firstLineChars="200"/>
        <w:jc w:val="left"/>
        <w:rPr>
          <w:rFonts w:hint="eastAsia" w:ascii="宋体" w:hAnsi="宋体" w:eastAsia="宋体" w:cs="宋体"/>
          <w:bCs/>
          <w:kern w:val="2"/>
          <w:sz w:val="24"/>
          <w:lang w:val="en-US" w:eastAsia="zh-CN" w:bidi="ar-SA"/>
        </w:rPr>
      </w:pPr>
      <w:r>
        <w:rPr>
          <w:rFonts w:hint="eastAsia" w:ascii="宋体" w:hAnsi="宋体" w:eastAsia="宋体" w:cs="宋体"/>
          <w:bCs/>
          <w:kern w:val="2"/>
          <w:sz w:val="24"/>
          <w:lang w:val="en-US" w:eastAsia="zh-CN" w:bidi="ar-SA"/>
        </w:rPr>
        <w:t>（1）本项目对小型和微型企业产品给予10%的扣除价格，用扣除后的价格参与评审。</w:t>
      </w:r>
    </w:p>
    <w:p>
      <w:pPr>
        <w:pStyle w:val="13"/>
        <w:keepNext w:val="0"/>
        <w:keepLines w:val="0"/>
        <w:widowControl/>
        <w:suppressLineNumbers w:val="0"/>
        <w:ind w:left="0" w:firstLine="480" w:firstLineChars="200"/>
        <w:jc w:val="left"/>
        <w:rPr>
          <w:rFonts w:hint="eastAsia" w:ascii="宋体" w:hAnsi="宋体" w:eastAsia="宋体" w:cs="宋体"/>
          <w:bCs/>
          <w:kern w:val="2"/>
          <w:sz w:val="24"/>
          <w:lang w:val="en-US" w:eastAsia="zh-CN" w:bidi="ar-SA"/>
        </w:rPr>
      </w:pPr>
      <w:r>
        <w:rPr>
          <w:rFonts w:hint="eastAsia" w:ascii="宋体" w:hAnsi="宋体" w:eastAsia="宋体" w:cs="宋体"/>
          <w:bCs/>
          <w:kern w:val="2"/>
          <w:sz w:val="24"/>
          <w:lang w:val="en-US" w:eastAsia="zh-CN" w:bidi="ar-SA"/>
        </w:rPr>
        <w:t>（2）供应商需按照磋商文件的要求提供相应的《企业声明函》，详见磋商文件第六章示范格式。</w:t>
      </w:r>
    </w:p>
    <w:p>
      <w:pPr>
        <w:pStyle w:val="13"/>
        <w:keepNext w:val="0"/>
        <w:keepLines w:val="0"/>
        <w:widowControl/>
        <w:suppressLineNumbers w:val="0"/>
        <w:ind w:left="0" w:firstLine="480" w:firstLineChars="200"/>
        <w:jc w:val="left"/>
        <w:rPr>
          <w:rFonts w:hint="eastAsia" w:ascii="宋体" w:hAnsi="宋体" w:eastAsia="宋体" w:cs="宋体"/>
          <w:bCs/>
          <w:kern w:val="2"/>
          <w:sz w:val="24"/>
          <w:lang w:val="en-US" w:eastAsia="zh-CN" w:bidi="ar-SA"/>
        </w:rPr>
      </w:pPr>
      <w:r>
        <w:rPr>
          <w:rFonts w:hint="eastAsia" w:ascii="宋体" w:hAnsi="宋体" w:eastAsia="宋体" w:cs="宋体"/>
          <w:bCs/>
          <w:kern w:val="2"/>
          <w:sz w:val="24"/>
          <w:lang w:val="en-US" w:eastAsia="zh-CN" w:bidi="ar-SA"/>
        </w:rPr>
        <w:t>（3）企业标准请参照《关于印发中小企业划型标准规定的通知》（工信部联企业[2011]300号）文件规定自行填写。</w:t>
      </w:r>
    </w:p>
    <w:p>
      <w:pPr>
        <w:pStyle w:val="13"/>
        <w:keepNext w:val="0"/>
        <w:keepLines w:val="0"/>
        <w:widowControl/>
        <w:suppressLineNumbers w:val="0"/>
        <w:ind w:left="0" w:firstLine="480" w:firstLineChars="200"/>
        <w:jc w:val="left"/>
        <w:rPr>
          <w:rFonts w:hint="eastAsia" w:ascii="宋体" w:hAnsi="宋体" w:eastAsia="宋体" w:cs="宋体"/>
          <w:bCs/>
          <w:kern w:val="2"/>
          <w:sz w:val="24"/>
          <w:lang w:val="en-US" w:eastAsia="zh-CN" w:bidi="ar-SA"/>
        </w:rPr>
      </w:pPr>
      <w:r>
        <w:rPr>
          <w:rFonts w:hint="eastAsia" w:ascii="宋体" w:hAnsi="宋体" w:eastAsia="宋体" w:cs="宋体"/>
          <w:bCs/>
          <w:kern w:val="2"/>
          <w:sz w:val="24"/>
          <w:lang w:val="en-US" w:eastAsia="zh-CN" w:bidi="ar-SA"/>
        </w:rPr>
        <w:t>30.2残疾人福利单位价格扣除</w:t>
      </w:r>
    </w:p>
    <w:p>
      <w:pPr>
        <w:pStyle w:val="13"/>
        <w:keepNext w:val="0"/>
        <w:keepLines w:val="0"/>
        <w:widowControl/>
        <w:suppressLineNumbers w:val="0"/>
        <w:ind w:left="0" w:firstLine="480" w:firstLineChars="200"/>
        <w:jc w:val="left"/>
        <w:rPr>
          <w:rFonts w:hint="eastAsia" w:ascii="宋体" w:hAnsi="宋体" w:eastAsia="宋体" w:cs="宋体"/>
          <w:bCs/>
          <w:kern w:val="2"/>
          <w:sz w:val="24"/>
          <w:lang w:val="en-US" w:eastAsia="zh-CN" w:bidi="ar-SA"/>
        </w:rPr>
      </w:pPr>
      <w:r>
        <w:rPr>
          <w:rFonts w:hint="eastAsia" w:ascii="宋体" w:hAnsi="宋体" w:eastAsia="宋体" w:cs="宋体"/>
          <w:bCs/>
          <w:kern w:val="2"/>
          <w:sz w:val="24"/>
          <w:lang w:val="en-US" w:eastAsia="zh-CN" w:bidi="ar-SA"/>
        </w:rPr>
        <w:t>（1）本项目对残疾人福利性单位视同小型、微型企业，给予10%的价格扣除，用扣除后的价格参与评审。</w:t>
      </w:r>
    </w:p>
    <w:p>
      <w:pPr>
        <w:pStyle w:val="13"/>
        <w:keepNext w:val="0"/>
        <w:keepLines w:val="0"/>
        <w:widowControl/>
        <w:suppressLineNumbers w:val="0"/>
        <w:ind w:left="0" w:firstLine="480" w:firstLineChars="200"/>
        <w:jc w:val="left"/>
        <w:rPr>
          <w:rFonts w:hint="eastAsia" w:ascii="宋体" w:hAnsi="宋体" w:eastAsia="宋体" w:cs="宋体"/>
          <w:bCs/>
          <w:kern w:val="2"/>
          <w:sz w:val="24"/>
          <w:lang w:val="en-US" w:eastAsia="zh-CN" w:bidi="ar-SA"/>
        </w:rPr>
      </w:pPr>
      <w:r>
        <w:rPr>
          <w:rFonts w:hint="eastAsia" w:ascii="宋体" w:hAnsi="宋体" w:eastAsia="宋体" w:cs="宋体"/>
          <w:bCs/>
          <w:kern w:val="2"/>
          <w:sz w:val="24"/>
          <w:lang w:val="en-US" w:eastAsia="zh-CN" w:bidi="ar-SA"/>
        </w:rPr>
        <w:t>（2）残疾人福利单位需按照磋商文件的要求提供《残疾人福利性单位声明函》，详见磋商文件第六章示范格式。</w:t>
      </w:r>
    </w:p>
    <w:p>
      <w:pPr>
        <w:pStyle w:val="13"/>
        <w:keepNext w:val="0"/>
        <w:keepLines w:val="0"/>
        <w:widowControl/>
        <w:suppressLineNumbers w:val="0"/>
        <w:ind w:left="0" w:firstLine="480" w:firstLineChars="200"/>
        <w:jc w:val="left"/>
        <w:rPr>
          <w:rFonts w:hint="eastAsia" w:ascii="宋体" w:hAnsi="宋体" w:eastAsia="宋体" w:cs="宋体"/>
          <w:bCs/>
          <w:kern w:val="2"/>
          <w:sz w:val="24"/>
          <w:lang w:val="en-US" w:eastAsia="zh-CN" w:bidi="ar-SA"/>
        </w:rPr>
      </w:pPr>
      <w:r>
        <w:rPr>
          <w:rFonts w:hint="eastAsia" w:ascii="宋体" w:hAnsi="宋体" w:eastAsia="宋体" w:cs="宋体"/>
          <w:bCs/>
          <w:kern w:val="2"/>
          <w:sz w:val="24"/>
          <w:lang w:val="en-US" w:eastAsia="zh-CN" w:bidi="ar-SA"/>
        </w:rPr>
        <w:t>（3）残疾人福利单位标准请参照《关于促进残疾人就业政府采购政策的通知》（财库〔2017〕141号）。</w:t>
      </w:r>
    </w:p>
    <w:p>
      <w:pPr>
        <w:pStyle w:val="13"/>
        <w:keepNext w:val="0"/>
        <w:keepLines w:val="0"/>
        <w:widowControl/>
        <w:suppressLineNumbers w:val="0"/>
        <w:ind w:left="0" w:firstLine="480" w:firstLineChars="200"/>
        <w:jc w:val="left"/>
        <w:rPr>
          <w:rFonts w:hint="eastAsia" w:ascii="宋体" w:hAnsi="宋体" w:eastAsia="宋体" w:cs="宋体"/>
          <w:bCs/>
          <w:kern w:val="2"/>
          <w:sz w:val="24"/>
          <w:lang w:val="en-US" w:eastAsia="zh-CN" w:bidi="ar-SA"/>
        </w:rPr>
      </w:pPr>
      <w:r>
        <w:rPr>
          <w:rFonts w:hint="eastAsia" w:ascii="宋体" w:hAnsi="宋体" w:eastAsia="宋体" w:cs="宋体"/>
          <w:bCs/>
          <w:kern w:val="2"/>
          <w:sz w:val="24"/>
          <w:lang w:val="en-US" w:eastAsia="zh-CN" w:bidi="ar-SA"/>
        </w:rPr>
        <w:t>30.3监狱和戒毒企业价格扣除</w:t>
      </w:r>
    </w:p>
    <w:p>
      <w:pPr>
        <w:pStyle w:val="13"/>
        <w:keepNext w:val="0"/>
        <w:keepLines w:val="0"/>
        <w:widowControl/>
        <w:suppressLineNumbers w:val="0"/>
        <w:ind w:left="0" w:firstLine="480" w:firstLineChars="200"/>
        <w:jc w:val="left"/>
        <w:rPr>
          <w:rFonts w:hint="eastAsia" w:ascii="宋体" w:hAnsi="宋体" w:eastAsia="宋体" w:cs="宋体"/>
          <w:bCs/>
          <w:kern w:val="2"/>
          <w:sz w:val="24"/>
          <w:lang w:val="en-US" w:eastAsia="zh-CN" w:bidi="ar-SA"/>
        </w:rPr>
      </w:pPr>
      <w:r>
        <w:rPr>
          <w:rFonts w:hint="eastAsia" w:ascii="宋体" w:hAnsi="宋体" w:eastAsia="宋体" w:cs="宋体"/>
          <w:bCs/>
          <w:kern w:val="2"/>
          <w:sz w:val="24"/>
          <w:lang w:val="en-US" w:eastAsia="zh-CN" w:bidi="ar-SA"/>
        </w:rPr>
        <w:t>（1）本项目对监狱和戒毒企业（简称监狱企业）视同小型、微型企业，给予10%的价格扣除，用扣除后的价格参与评审。</w:t>
      </w:r>
    </w:p>
    <w:p>
      <w:pPr>
        <w:pStyle w:val="13"/>
        <w:keepNext w:val="0"/>
        <w:keepLines w:val="0"/>
        <w:widowControl/>
        <w:suppressLineNumbers w:val="0"/>
        <w:ind w:left="0" w:firstLine="480" w:firstLineChars="200"/>
        <w:jc w:val="left"/>
        <w:rPr>
          <w:rFonts w:hint="eastAsia" w:ascii="宋体" w:hAnsi="宋体" w:eastAsia="宋体" w:cs="宋体"/>
          <w:bCs/>
          <w:kern w:val="2"/>
          <w:sz w:val="24"/>
          <w:lang w:val="en-US" w:eastAsia="zh-CN" w:bidi="ar-SA"/>
        </w:rPr>
      </w:pPr>
      <w:r>
        <w:rPr>
          <w:rFonts w:hint="eastAsia" w:ascii="宋体" w:hAnsi="宋体" w:eastAsia="宋体" w:cs="宋体"/>
          <w:bCs/>
          <w:kern w:val="2"/>
          <w:sz w:val="24"/>
          <w:lang w:val="en-US" w:eastAsia="zh-CN" w:bidi="ar-SA"/>
        </w:rPr>
        <w:t>（2）监狱企业参加政府采购活动时，需提供由省级以上监狱管理局、戒毒管理局（含新疆生产建设兵团）出具的属于监狱企业的证明文件）（响应文件中上传加盖出具单位公章的电子件）。如不提供上述证明文件，价格将不做相应扣除。</w:t>
      </w:r>
    </w:p>
    <w:p>
      <w:pPr>
        <w:pStyle w:val="13"/>
        <w:keepNext w:val="0"/>
        <w:keepLines w:val="0"/>
        <w:widowControl/>
        <w:suppressLineNumbers w:val="0"/>
        <w:ind w:left="0" w:firstLine="480" w:firstLineChars="200"/>
        <w:jc w:val="left"/>
        <w:rPr>
          <w:rFonts w:hint="eastAsia" w:ascii="宋体" w:hAnsi="宋体" w:eastAsia="宋体" w:cs="宋体"/>
          <w:bCs/>
          <w:kern w:val="2"/>
          <w:sz w:val="24"/>
          <w:lang w:val="en-US" w:eastAsia="zh-CN" w:bidi="ar-SA"/>
        </w:rPr>
      </w:pPr>
      <w:r>
        <w:rPr>
          <w:rFonts w:hint="eastAsia" w:ascii="宋体" w:hAnsi="宋体" w:eastAsia="宋体" w:cs="宋体"/>
          <w:bCs/>
          <w:kern w:val="2"/>
          <w:sz w:val="24"/>
          <w:lang w:val="en-US" w:eastAsia="zh-CN" w:bidi="ar-SA"/>
        </w:rPr>
        <w:t>（3）监狱企业标准请参照《关于政府采购支持监狱企业发展有关问题的通知》（财库[2014]68号）。</w:t>
      </w:r>
    </w:p>
    <w:p>
      <w:pPr>
        <w:pStyle w:val="13"/>
        <w:keepNext w:val="0"/>
        <w:keepLines w:val="0"/>
        <w:widowControl/>
        <w:suppressLineNumbers w:val="0"/>
        <w:ind w:left="0" w:firstLine="480" w:firstLineChars="200"/>
        <w:jc w:val="left"/>
        <w:rPr>
          <w:rFonts w:hint="eastAsia" w:ascii="宋体" w:hAnsi="宋体" w:eastAsia="宋体" w:cs="宋体"/>
          <w:bCs/>
          <w:kern w:val="2"/>
          <w:sz w:val="24"/>
          <w:lang w:val="en-US" w:eastAsia="zh-CN" w:bidi="ar-SA"/>
        </w:rPr>
      </w:pPr>
      <w:r>
        <w:rPr>
          <w:rFonts w:hint="eastAsia" w:ascii="宋体" w:hAnsi="宋体" w:eastAsia="宋体" w:cs="宋体"/>
          <w:bCs/>
          <w:kern w:val="2"/>
          <w:sz w:val="24"/>
          <w:lang w:val="en-US" w:eastAsia="zh-CN" w:bidi="ar-SA"/>
        </w:rPr>
        <w:t>30.4对于同时属于小型、微型企业、残疾人福利单位、监狱企业的，不重复享受政策。</w:t>
      </w:r>
    </w:p>
    <w:p>
      <w:pPr>
        <w:spacing w:line="400" w:lineRule="exact"/>
        <w:ind w:firstLine="480" w:firstLineChars="200"/>
        <w:rPr>
          <w:rFonts w:ascii="宋体" w:hAnsi="宋体" w:cs="宋体"/>
          <w:sz w:val="24"/>
          <w:szCs w:val="28"/>
        </w:rPr>
      </w:pPr>
    </w:p>
    <w:p>
      <w:pPr>
        <w:spacing w:line="390" w:lineRule="exact"/>
        <w:ind w:firstLine="240" w:firstLineChars="100"/>
        <w:rPr>
          <w:sz w:val="24"/>
          <w:szCs w:val="24"/>
        </w:rPr>
      </w:pPr>
    </w:p>
    <w:p>
      <w:pPr>
        <w:spacing w:line="480" w:lineRule="exact"/>
        <w:ind w:firstLine="480" w:firstLineChars="200"/>
        <w:rPr>
          <w:rFonts w:ascii="宋体" w:hAnsi="宋体" w:cs="宋体"/>
          <w:sz w:val="24"/>
          <w:szCs w:val="24"/>
        </w:rPr>
      </w:pPr>
    </w:p>
    <w:p>
      <w:pPr>
        <w:spacing w:line="520" w:lineRule="exact"/>
        <w:ind w:firstLine="2715" w:firstLineChars="845"/>
        <w:rPr>
          <w:rFonts w:ascii="宋体" w:hAnsi="宋体" w:cs="宋体"/>
          <w:b/>
          <w:bCs/>
          <w:sz w:val="32"/>
          <w:szCs w:val="32"/>
        </w:rPr>
      </w:pPr>
    </w:p>
    <w:p>
      <w:pPr>
        <w:pStyle w:val="11"/>
      </w:pPr>
    </w:p>
    <w:p>
      <w:pPr>
        <w:spacing w:line="400" w:lineRule="exact"/>
        <w:ind w:firstLine="539"/>
        <w:jc w:val="center"/>
        <w:rPr>
          <w:rFonts w:ascii="宋体" w:hAnsi="宋体" w:cs="宋体"/>
          <w:b/>
          <w:sz w:val="36"/>
          <w:szCs w:val="36"/>
        </w:rPr>
      </w:pPr>
    </w:p>
    <w:p>
      <w:pPr>
        <w:spacing w:line="400" w:lineRule="exact"/>
        <w:ind w:firstLine="539"/>
        <w:jc w:val="center"/>
        <w:rPr>
          <w:rFonts w:ascii="宋体" w:hAnsi="宋体" w:cs="宋体"/>
          <w:b/>
          <w:sz w:val="36"/>
          <w:szCs w:val="36"/>
        </w:rPr>
      </w:pPr>
    </w:p>
    <w:p>
      <w:pPr>
        <w:spacing w:line="400" w:lineRule="exact"/>
        <w:ind w:firstLine="539"/>
        <w:jc w:val="center"/>
        <w:rPr>
          <w:rFonts w:ascii="宋体" w:hAnsi="宋体" w:cs="宋体"/>
          <w:b/>
          <w:sz w:val="36"/>
          <w:szCs w:val="36"/>
        </w:rPr>
      </w:pPr>
    </w:p>
    <w:p>
      <w:pPr>
        <w:spacing w:line="400" w:lineRule="exact"/>
        <w:ind w:firstLine="539"/>
        <w:jc w:val="center"/>
        <w:rPr>
          <w:rFonts w:ascii="宋体" w:hAnsi="宋体" w:cs="宋体"/>
          <w:b/>
          <w:sz w:val="36"/>
          <w:szCs w:val="36"/>
        </w:rPr>
      </w:pPr>
    </w:p>
    <w:p>
      <w:pPr>
        <w:spacing w:line="400" w:lineRule="exact"/>
        <w:ind w:firstLine="539"/>
        <w:jc w:val="center"/>
        <w:rPr>
          <w:rFonts w:ascii="宋体" w:hAnsi="宋体" w:cs="宋体"/>
          <w:b/>
          <w:sz w:val="36"/>
          <w:szCs w:val="36"/>
        </w:rPr>
      </w:pPr>
    </w:p>
    <w:p>
      <w:pPr>
        <w:spacing w:line="400" w:lineRule="exact"/>
        <w:ind w:firstLine="539"/>
        <w:jc w:val="center"/>
        <w:rPr>
          <w:rFonts w:ascii="宋体" w:hAnsi="宋体" w:cs="宋体"/>
          <w:b/>
          <w:sz w:val="36"/>
          <w:szCs w:val="36"/>
        </w:rPr>
      </w:pPr>
    </w:p>
    <w:p>
      <w:pPr>
        <w:pStyle w:val="15"/>
        <w:rPr>
          <w:rFonts w:ascii="宋体" w:hAnsi="宋体" w:cs="宋体"/>
          <w:b/>
          <w:sz w:val="36"/>
          <w:szCs w:val="36"/>
        </w:rPr>
      </w:pPr>
    </w:p>
    <w:p>
      <w:pPr>
        <w:rPr>
          <w:rFonts w:ascii="宋体" w:hAnsi="宋体" w:cs="宋体"/>
          <w:b/>
          <w:sz w:val="36"/>
          <w:szCs w:val="36"/>
        </w:rPr>
      </w:pPr>
    </w:p>
    <w:p>
      <w:pPr>
        <w:pStyle w:val="15"/>
        <w:rPr>
          <w:rFonts w:ascii="宋体" w:hAnsi="宋体" w:cs="宋体"/>
          <w:b/>
          <w:sz w:val="36"/>
          <w:szCs w:val="36"/>
        </w:rPr>
      </w:pPr>
    </w:p>
    <w:p>
      <w:pPr>
        <w:rPr>
          <w:rFonts w:ascii="宋体" w:hAnsi="宋体" w:cs="宋体"/>
          <w:b/>
          <w:sz w:val="36"/>
          <w:szCs w:val="36"/>
        </w:rPr>
      </w:pPr>
    </w:p>
    <w:p>
      <w:pPr>
        <w:pStyle w:val="15"/>
        <w:rPr>
          <w:rFonts w:ascii="宋体" w:hAnsi="宋体" w:cs="宋体"/>
          <w:b/>
          <w:sz w:val="36"/>
          <w:szCs w:val="36"/>
        </w:rPr>
      </w:pPr>
    </w:p>
    <w:p>
      <w:pPr>
        <w:rPr>
          <w:rFonts w:ascii="宋体" w:hAnsi="宋体" w:cs="宋体"/>
          <w:b/>
          <w:sz w:val="36"/>
          <w:szCs w:val="36"/>
        </w:rPr>
      </w:pPr>
    </w:p>
    <w:p>
      <w:pPr>
        <w:pStyle w:val="15"/>
      </w:pPr>
    </w:p>
    <w:p/>
    <w:p>
      <w:pPr>
        <w:spacing w:line="400" w:lineRule="exact"/>
        <w:ind w:firstLine="539"/>
        <w:jc w:val="center"/>
        <w:rPr>
          <w:rFonts w:ascii="宋体" w:hAnsi="宋体" w:cs="宋体"/>
          <w:b/>
          <w:sz w:val="36"/>
          <w:szCs w:val="36"/>
        </w:rPr>
      </w:pPr>
    </w:p>
    <w:p>
      <w:pPr>
        <w:pStyle w:val="5"/>
        <w:rPr>
          <w:rFonts w:ascii="宋体" w:hAnsi="宋体" w:cs="宋体"/>
          <w:b/>
          <w:sz w:val="36"/>
          <w:szCs w:val="36"/>
        </w:rPr>
      </w:pPr>
    </w:p>
    <w:p>
      <w:pPr>
        <w:rPr>
          <w:rFonts w:ascii="宋体" w:hAnsi="宋体" w:cs="宋体"/>
          <w:b/>
          <w:sz w:val="36"/>
          <w:szCs w:val="36"/>
        </w:rPr>
      </w:pPr>
    </w:p>
    <w:p>
      <w:pPr>
        <w:pStyle w:val="15"/>
        <w:rPr>
          <w:rFonts w:ascii="宋体" w:hAnsi="宋体" w:cs="宋体"/>
          <w:b/>
          <w:sz w:val="36"/>
          <w:szCs w:val="36"/>
        </w:rPr>
      </w:pPr>
    </w:p>
    <w:p/>
    <w:p>
      <w:pPr>
        <w:pStyle w:val="15"/>
      </w:pPr>
    </w:p>
    <w:p>
      <w:pPr>
        <w:spacing w:line="400" w:lineRule="exact"/>
        <w:ind w:firstLine="539"/>
        <w:jc w:val="center"/>
        <w:rPr>
          <w:rFonts w:ascii="宋体" w:hAnsi="宋体" w:cs="宋体"/>
          <w:sz w:val="24"/>
          <w:lang w:val="zh-CN"/>
        </w:rPr>
      </w:pPr>
      <w:r>
        <w:rPr>
          <w:rFonts w:hint="eastAsia" w:ascii="宋体" w:hAnsi="宋体" w:cs="宋体"/>
          <w:b/>
          <w:sz w:val="36"/>
          <w:szCs w:val="36"/>
        </w:rPr>
        <w:t>第三部分  评标标准</w:t>
      </w:r>
    </w:p>
    <w:p>
      <w:pPr>
        <w:spacing w:line="400" w:lineRule="exact"/>
        <w:ind w:firstLine="480" w:firstLineChars="200"/>
        <w:rPr>
          <w:rFonts w:ascii="宋体" w:hAnsi="宋体" w:cs="宋体"/>
          <w:sz w:val="24"/>
        </w:rPr>
      </w:pPr>
    </w:p>
    <w:p>
      <w:pPr>
        <w:spacing w:line="400" w:lineRule="exact"/>
        <w:ind w:firstLine="539"/>
        <w:rPr>
          <w:rFonts w:ascii="宋体" w:hAnsi="宋体" w:cs="宋体"/>
          <w:sz w:val="24"/>
          <w:lang w:val="zh-CN"/>
        </w:rPr>
      </w:pPr>
      <w:r>
        <w:rPr>
          <w:rFonts w:hint="eastAsia" w:ascii="宋体" w:hAnsi="宋体" w:cs="宋体"/>
          <w:sz w:val="24"/>
          <w:lang w:val="zh-CN"/>
        </w:rPr>
        <w:t>一、本项目采用综合评分法进行评审。</w:t>
      </w:r>
      <w:r>
        <w:rPr>
          <w:rFonts w:hint="eastAsia" w:ascii="宋体" w:hAnsi="宋体" w:cs="宋体"/>
          <w:sz w:val="24"/>
        </w:rPr>
        <w:t>磋商小组仅对确定为实质上响应磋商文件要求的响应文件进行评价和比较。综合评分法，是指响应文件满足磋商文件全部要求且按照按评审因素的量化指标评审得分最高的供应商为成交候选供应商的评标方法。最后按得分由高到低的顺序推荐前三名为成交候选人。</w:t>
      </w:r>
    </w:p>
    <w:p>
      <w:pPr>
        <w:numPr>
          <w:ilvl w:val="0"/>
          <w:numId w:val="2"/>
        </w:numPr>
        <w:spacing w:line="400" w:lineRule="exact"/>
        <w:ind w:firstLine="480"/>
        <w:rPr>
          <w:rFonts w:ascii="宋体" w:hAnsi="宋体" w:cs="宋体"/>
          <w:sz w:val="24"/>
        </w:rPr>
      </w:pPr>
      <w:r>
        <w:rPr>
          <w:rFonts w:hint="eastAsia" w:ascii="宋体" w:hAnsi="宋体" w:cs="宋体"/>
          <w:sz w:val="24"/>
        </w:rPr>
        <w:t>磋商小组将依据下列评分细则进行评标（总分值:100分）</w:t>
      </w:r>
    </w:p>
    <w:p>
      <w:pPr>
        <w:pStyle w:val="36"/>
        <w:numPr>
          <w:ilvl w:val="0"/>
          <w:numId w:val="2"/>
        </w:numPr>
        <w:spacing w:line="400" w:lineRule="exact"/>
        <w:ind w:firstLineChars="0"/>
        <w:rPr>
          <w:rFonts w:ascii="宋体" w:hAnsi="宋体" w:cs="楷体"/>
          <w:sz w:val="24"/>
        </w:rPr>
      </w:pPr>
      <w:r>
        <w:rPr>
          <w:rFonts w:hint="eastAsia" w:ascii="宋体" w:hAnsi="宋体" w:cs="楷体"/>
          <w:sz w:val="24"/>
        </w:rPr>
        <w:t>评标时，评标委员会各成员独立对每个有效投标人的标书进行评价、打分，各个投标人的最终得分为所有评委所评定分值的平均值（保留2位小数）。评标委会按评审后最终综合得分由高到低顺序排列名次，并推荐出中标人。得分相同的，按投标报价由低到高顺序排列，得分且投标报价相同的，按技术指标优劣顺序排列。</w:t>
      </w:r>
    </w:p>
    <w:tbl>
      <w:tblPr>
        <w:tblStyle w:val="17"/>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Layout w:type="fixed"/>
        <w:tblCellMar>
          <w:top w:w="0" w:type="dxa"/>
          <w:left w:w="0" w:type="dxa"/>
          <w:bottom w:w="0" w:type="dxa"/>
          <w:right w:w="0" w:type="dxa"/>
        </w:tblCellMar>
      </w:tblPr>
      <w:tblGrid>
        <w:gridCol w:w="663"/>
        <w:gridCol w:w="1288"/>
        <w:gridCol w:w="1154"/>
        <w:gridCol w:w="6255"/>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0" w:type="dxa"/>
            <w:left w:w="0" w:type="dxa"/>
            <w:bottom w:w="0" w:type="dxa"/>
            <w:right w:w="0" w:type="dxa"/>
          </w:tblCellMar>
        </w:tblPrEx>
        <w:trPr>
          <w:trHeight w:val="158" w:hRule="atLeast"/>
          <w:jc w:val="center"/>
        </w:trPr>
        <w:tc>
          <w:tcPr>
            <w:tcW w:w="663" w:type="dxa"/>
            <w:shd w:val="clear" w:color="auto" w:fill="FFFFFF"/>
            <w:noWrap w:val="0"/>
            <w:tcMar>
              <w:top w:w="0" w:type="dxa"/>
              <w:left w:w="108" w:type="dxa"/>
              <w:bottom w:w="0" w:type="dxa"/>
              <w:right w:w="108" w:type="dxa"/>
            </w:tcMar>
            <w:vAlign w:val="center"/>
          </w:tcPr>
          <w:p>
            <w:pPr>
              <w:adjustRightInd w:val="0"/>
              <w:snapToGrid w:val="0"/>
              <w:spacing w:before="100" w:beforeAutospacing="1" w:after="100" w:afterAutospacing="1"/>
              <w:jc w:val="center"/>
              <w:rPr>
                <w:rFonts w:hint="eastAsia" w:ascii="宋体" w:hAnsi="宋体" w:cs="宋体"/>
                <w:b/>
                <w:sz w:val="24"/>
                <w:highlight w:val="none"/>
              </w:rPr>
            </w:pPr>
            <w:r>
              <w:rPr>
                <w:rFonts w:hint="eastAsia" w:ascii="宋体" w:hAnsi="宋体" w:cs="宋体"/>
                <w:b/>
                <w:sz w:val="24"/>
                <w:highlight w:val="none"/>
              </w:rPr>
              <w:t>序号</w:t>
            </w:r>
          </w:p>
        </w:tc>
        <w:tc>
          <w:tcPr>
            <w:tcW w:w="2442" w:type="dxa"/>
            <w:gridSpan w:val="2"/>
            <w:shd w:val="clear" w:color="auto" w:fill="FFFFFF"/>
            <w:noWrap w:val="0"/>
            <w:tcMar>
              <w:top w:w="0" w:type="dxa"/>
              <w:left w:w="108" w:type="dxa"/>
              <w:bottom w:w="0" w:type="dxa"/>
              <w:right w:w="108" w:type="dxa"/>
            </w:tcMar>
            <w:vAlign w:val="center"/>
          </w:tcPr>
          <w:p>
            <w:pPr>
              <w:adjustRightInd w:val="0"/>
              <w:snapToGrid w:val="0"/>
              <w:spacing w:before="100" w:beforeAutospacing="1" w:after="100" w:afterAutospacing="1"/>
              <w:jc w:val="center"/>
              <w:rPr>
                <w:rFonts w:hint="eastAsia" w:ascii="宋体" w:hAnsi="宋体" w:cs="宋体"/>
                <w:b/>
                <w:sz w:val="24"/>
                <w:highlight w:val="none"/>
              </w:rPr>
            </w:pPr>
            <w:r>
              <w:rPr>
                <w:rFonts w:hint="eastAsia" w:ascii="宋体" w:hAnsi="宋体" w:cs="宋体"/>
                <w:b/>
                <w:sz w:val="24"/>
                <w:highlight w:val="none"/>
              </w:rPr>
              <w:t>评分因素分值</w:t>
            </w:r>
          </w:p>
        </w:tc>
        <w:tc>
          <w:tcPr>
            <w:tcW w:w="6255" w:type="dxa"/>
            <w:shd w:val="clear" w:color="auto" w:fill="FFFFFF"/>
            <w:noWrap w:val="0"/>
            <w:tcMar>
              <w:top w:w="0" w:type="dxa"/>
              <w:left w:w="108" w:type="dxa"/>
              <w:bottom w:w="0" w:type="dxa"/>
              <w:right w:w="108" w:type="dxa"/>
            </w:tcMar>
            <w:vAlign w:val="center"/>
          </w:tcPr>
          <w:p>
            <w:pPr>
              <w:adjustRightInd w:val="0"/>
              <w:snapToGrid w:val="0"/>
              <w:spacing w:before="100" w:beforeAutospacing="1" w:after="100" w:afterAutospacing="1"/>
              <w:jc w:val="center"/>
              <w:rPr>
                <w:rFonts w:hint="eastAsia" w:ascii="宋体" w:hAnsi="宋体" w:cs="宋体"/>
                <w:b/>
                <w:sz w:val="24"/>
                <w:highlight w:val="none"/>
              </w:rPr>
            </w:pPr>
            <w:r>
              <w:rPr>
                <w:rFonts w:hint="eastAsia" w:ascii="宋体" w:hAnsi="宋体" w:cs="宋体"/>
                <w:b/>
                <w:sz w:val="24"/>
                <w:highlight w:val="none"/>
              </w:rPr>
              <w:t>评审标准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0" w:type="dxa"/>
            <w:left w:w="0" w:type="dxa"/>
            <w:bottom w:w="0" w:type="dxa"/>
            <w:right w:w="0" w:type="dxa"/>
          </w:tblCellMar>
        </w:tblPrEx>
        <w:trPr>
          <w:trHeight w:val="1204" w:hRule="atLeast"/>
          <w:jc w:val="center"/>
        </w:trPr>
        <w:tc>
          <w:tcPr>
            <w:tcW w:w="663" w:type="dxa"/>
            <w:shd w:val="clear" w:color="auto" w:fill="FFFFFF"/>
            <w:noWrap w:val="0"/>
            <w:tcMar>
              <w:top w:w="0" w:type="dxa"/>
              <w:left w:w="108" w:type="dxa"/>
              <w:bottom w:w="0" w:type="dxa"/>
              <w:right w:w="108" w:type="dxa"/>
            </w:tcMar>
            <w:vAlign w:val="center"/>
          </w:tcPr>
          <w:p>
            <w:pPr>
              <w:adjustRightInd w:val="0"/>
              <w:snapToGrid w:val="0"/>
              <w:spacing w:before="100" w:beforeAutospacing="1" w:after="100" w:afterAutospacing="1"/>
              <w:jc w:val="center"/>
              <w:rPr>
                <w:rFonts w:hint="eastAsia" w:ascii="宋体" w:hAnsi="宋体" w:eastAsia="宋体" w:cs="宋体"/>
                <w:b/>
                <w:sz w:val="24"/>
                <w:lang w:eastAsia="zh-CN"/>
              </w:rPr>
            </w:pPr>
            <w:r>
              <w:rPr>
                <w:rFonts w:hint="eastAsia" w:ascii="宋体" w:hAnsi="宋体" w:cs="宋体"/>
                <w:b/>
                <w:sz w:val="24"/>
                <w:lang w:val="en-US" w:eastAsia="zh-CN"/>
              </w:rPr>
              <w:t>1</w:t>
            </w:r>
          </w:p>
        </w:tc>
        <w:tc>
          <w:tcPr>
            <w:tcW w:w="1288" w:type="dxa"/>
            <w:tcBorders>
              <w:right w:val="single" w:color="auto" w:sz="4" w:space="0"/>
            </w:tcBorders>
            <w:shd w:val="clear" w:color="auto" w:fill="FFFFFF"/>
            <w:noWrap w:val="0"/>
            <w:tcMar>
              <w:top w:w="0" w:type="dxa"/>
              <w:left w:w="108" w:type="dxa"/>
              <w:bottom w:w="0" w:type="dxa"/>
              <w:right w:w="108" w:type="dxa"/>
            </w:tcMar>
            <w:vAlign w:val="center"/>
          </w:tcPr>
          <w:p>
            <w:pPr>
              <w:adjustRightInd w:val="0"/>
              <w:snapToGrid w:val="0"/>
              <w:spacing w:before="100" w:beforeAutospacing="1" w:after="100" w:afterAutospacing="1"/>
              <w:jc w:val="center"/>
              <w:rPr>
                <w:rFonts w:hint="eastAsia" w:ascii="宋体" w:hAnsi="宋体" w:cs="宋体"/>
                <w:b/>
                <w:sz w:val="24"/>
              </w:rPr>
            </w:pPr>
            <w:r>
              <w:rPr>
                <w:rFonts w:hint="eastAsia" w:ascii="宋体" w:hAnsi="宋体" w:cs="宋体"/>
                <w:b/>
                <w:sz w:val="24"/>
              </w:rPr>
              <w:t>价格部分</w:t>
            </w:r>
          </w:p>
        </w:tc>
        <w:tc>
          <w:tcPr>
            <w:tcW w:w="1154" w:type="dxa"/>
            <w:tcBorders>
              <w:left w:val="single" w:color="auto" w:sz="4" w:space="0"/>
            </w:tcBorders>
            <w:shd w:val="clear" w:color="auto" w:fill="FFFFFF"/>
            <w:noWrap w:val="0"/>
            <w:vAlign w:val="center"/>
          </w:tcPr>
          <w:p>
            <w:pPr>
              <w:adjustRightInd w:val="0"/>
              <w:snapToGrid w:val="0"/>
              <w:spacing w:before="100" w:beforeAutospacing="1" w:after="100" w:afterAutospacing="1"/>
              <w:jc w:val="center"/>
              <w:rPr>
                <w:rFonts w:hint="eastAsia" w:ascii="宋体" w:hAnsi="宋体" w:cs="宋体"/>
                <w:b/>
                <w:sz w:val="24"/>
              </w:rPr>
            </w:pPr>
            <w:r>
              <w:rPr>
                <w:rFonts w:hint="eastAsia" w:ascii="宋体" w:hAnsi="宋体" w:cs="宋体"/>
                <w:b/>
                <w:sz w:val="21"/>
                <w:szCs w:val="16"/>
              </w:rPr>
              <w:t>30分</w:t>
            </w:r>
          </w:p>
        </w:tc>
        <w:tc>
          <w:tcPr>
            <w:tcW w:w="6255" w:type="dxa"/>
            <w:shd w:val="clear" w:color="auto" w:fill="FFFFFF"/>
            <w:noWrap w:val="0"/>
            <w:tcMar>
              <w:top w:w="0" w:type="dxa"/>
              <w:left w:w="108" w:type="dxa"/>
              <w:bottom w:w="0" w:type="dxa"/>
              <w:right w:w="108" w:type="dxa"/>
            </w:tcMar>
            <w:vAlign w:val="center"/>
          </w:tcPr>
          <w:p>
            <w:pPr>
              <w:adjustRightInd w:val="0"/>
              <w:snapToGrid w:val="0"/>
              <w:rPr>
                <w:rFonts w:hint="eastAsia" w:ascii="宋体" w:hAnsi="宋体" w:eastAsia="宋体" w:cs="宋体"/>
                <w:color w:val="auto"/>
                <w:sz w:val="18"/>
                <w:szCs w:val="18"/>
              </w:rPr>
            </w:pPr>
            <w:r>
              <w:rPr>
                <w:rFonts w:hint="eastAsia" w:ascii="宋体" w:hAnsi="宋体" w:eastAsia="宋体" w:cs="宋体"/>
                <w:color w:val="auto"/>
                <w:sz w:val="18"/>
                <w:szCs w:val="18"/>
              </w:rPr>
              <w:t>满足招标文件要求且投标价格最低为评标基准价，其价格分为满分。其他投标人价格分按照下列公式计算（小数点保留两位）：</w:t>
            </w:r>
          </w:p>
          <w:p>
            <w:pPr>
              <w:adjustRightInd w:val="0"/>
              <w:snapToGrid w:val="0"/>
              <w:rPr>
                <w:rFonts w:hint="eastAsia" w:ascii="宋体" w:hAnsi="宋体" w:eastAsia="宋体" w:cs="宋体"/>
                <w:color w:val="auto"/>
                <w:sz w:val="18"/>
                <w:szCs w:val="18"/>
              </w:rPr>
            </w:pPr>
            <w:r>
              <w:rPr>
                <w:rFonts w:hint="eastAsia" w:ascii="宋体" w:hAnsi="宋体" w:eastAsia="宋体" w:cs="宋体"/>
                <w:color w:val="auto"/>
                <w:sz w:val="18"/>
                <w:szCs w:val="18"/>
              </w:rPr>
              <w:t>投标报价得分 =（评标基准价/投标报价）×30分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0" w:type="dxa"/>
            <w:left w:w="0" w:type="dxa"/>
            <w:bottom w:w="0" w:type="dxa"/>
            <w:right w:w="0" w:type="dxa"/>
          </w:tblCellMar>
        </w:tblPrEx>
        <w:trPr>
          <w:trHeight w:val="1960" w:hRule="atLeast"/>
          <w:jc w:val="center"/>
        </w:trPr>
        <w:tc>
          <w:tcPr>
            <w:tcW w:w="663" w:type="dxa"/>
            <w:vMerge w:val="restart"/>
            <w:shd w:val="clear" w:color="auto" w:fill="FFFFFF"/>
            <w:noWrap w:val="0"/>
            <w:tcMar>
              <w:top w:w="0" w:type="dxa"/>
              <w:left w:w="108" w:type="dxa"/>
              <w:bottom w:w="0" w:type="dxa"/>
              <w:right w:w="108" w:type="dxa"/>
            </w:tcMar>
            <w:vAlign w:val="center"/>
          </w:tcPr>
          <w:p>
            <w:pPr>
              <w:adjustRightInd w:val="0"/>
              <w:snapToGrid w:val="0"/>
              <w:jc w:val="center"/>
              <w:rPr>
                <w:rFonts w:hint="eastAsia" w:ascii="宋体" w:hAnsi="宋体" w:eastAsia="宋体" w:cs="宋体"/>
                <w:sz w:val="24"/>
                <w:lang w:val="en-US" w:eastAsia="zh-CN"/>
              </w:rPr>
            </w:pPr>
            <w:r>
              <w:rPr>
                <w:rFonts w:hint="eastAsia" w:ascii="宋体" w:hAnsi="宋体" w:cs="宋体"/>
                <w:b/>
                <w:bCs/>
                <w:sz w:val="24"/>
                <w:lang w:val="en-US" w:eastAsia="zh-CN"/>
              </w:rPr>
              <w:t>2</w:t>
            </w:r>
          </w:p>
        </w:tc>
        <w:tc>
          <w:tcPr>
            <w:tcW w:w="1288" w:type="dxa"/>
            <w:vMerge w:val="restart"/>
            <w:tcBorders>
              <w:right w:val="single" w:color="auto" w:sz="4" w:space="0"/>
            </w:tcBorders>
            <w:shd w:val="clear" w:color="auto" w:fill="FFFFFF"/>
            <w:noWrap w:val="0"/>
            <w:tcMar>
              <w:top w:w="0" w:type="dxa"/>
              <w:left w:w="108" w:type="dxa"/>
              <w:bottom w:w="0" w:type="dxa"/>
              <w:right w:w="108" w:type="dxa"/>
            </w:tcMar>
            <w:vAlign w:val="center"/>
          </w:tcPr>
          <w:p>
            <w:pPr>
              <w:adjustRightInd w:val="0"/>
              <w:snapToGrid w:val="0"/>
              <w:ind w:left="241" w:hanging="241" w:hangingChars="100"/>
              <w:rPr>
                <w:rFonts w:hint="default" w:ascii="宋体" w:hAnsi="宋体" w:eastAsia="宋体" w:cs="宋体"/>
                <w:sz w:val="24"/>
                <w:lang w:val="en-US" w:eastAsia="zh-CN"/>
              </w:rPr>
            </w:pPr>
            <w:r>
              <w:rPr>
                <w:rFonts w:hint="eastAsia" w:ascii="宋体" w:hAnsi="宋体" w:cs="宋体"/>
                <w:b/>
                <w:bCs/>
                <w:sz w:val="24"/>
                <w:lang w:val="en-US" w:eastAsia="zh-CN"/>
              </w:rPr>
              <w:t>商务部分22分</w:t>
            </w:r>
          </w:p>
        </w:tc>
        <w:tc>
          <w:tcPr>
            <w:tcW w:w="1154" w:type="dxa"/>
            <w:tcBorders>
              <w:left w:val="single" w:color="auto" w:sz="4" w:space="0"/>
            </w:tcBorders>
            <w:shd w:val="clear" w:color="auto" w:fill="FFFFFF"/>
            <w:noWrap w:val="0"/>
            <w:vAlign w:val="center"/>
          </w:tcPr>
          <w:p>
            <w:pPr>
              <w:adjustRightInd w:val="0"/>
              <w:snapToGrid w:val="0"/>
              <w:spacing w:before="100" w:beforeAutospacing="1" w:after="100" w:afterAutospacing="1"/>
              <w:jc w:val="center"/>
              <w:rPr>
                <w:rFonts w:hint="eastAsia" w:ascii="宋体" w:hAnsi="宋体" w:cs="宋体"/>
                <w:b/>
                <w:bCs/>
                <w:color w:val="auto"/>
                <w:sz w:val="18"/>
                <w:szCs w:val="18"/>
                <w:highlight w:val="none"/>
                <w:lang w:val="en-US" w:eastAsia="zh-CN"/>
              </w:rPr>
            </w:pPr>
          </w:p>
          <w:p>
            <w:pPr>
              <w:adjustRightInd w:val="0"/>
              <w:snapToGrid w:val="0"/>
              <w:spacing w:before="100" w:beforeAutospacing="1" w:after="100" w:afterAutospacing="1"/>
              <w:jc w:val="center"/>
              <w:rPr>
                <w:rFonts w:hint="eastAsia" w:ascii="宋体" w:hAnsi="宋体" w:cs="宋体"/>
                <w:b/>
                <w:bCs/>
                <w:color w:val="auto"/>
                <w:sz w:val="18"/>
                <w:szCs w:val="18"/>
                <w:highlight w:val="none"/>
                <w:lang w:val="en-US" w:eastAsia="zh-CN"/>
              </w:rPr>
            </w:pPr>
            <w:r>
              <w:rPr>
                <w:rFonts w:hint="eastAsia" w:ascii="宋体" w:hAnsi="宋体" w:cs="宋体"/>
                <w:b/>
                <w:bCs/>
                <w:color w:val="auto"/>
                <w:sz w:val="18"/>
                <w:szCs w:val="18"/>
                <w:highlight w:val="none"/>
                <w:lang w:val="en-US" w:eastAsia="zh-CN"/>
              </w:rPr>
              <w:t>业 绩</w:t>
            </w:r>
          </w:p>
          <w:p>
            <w:pPr>
              <w:adjustRightInd w:val="0"/>
              <w:snapToGrid w:val="0"/>
              <w:spacing w:before="100" w:beforeAutospacing="1" w:after="100" w:afterAutospacing="1"/>
              <w:jc w:val="center"/>
              <w:rPr>
                <w:rFonts w:hint="default" w:ascii="宋体" w:hAnsi="宋体" w:cs="宋体"/>
                <w:b/>
                <w:bCs/>
                <w:color w:val="auto"/>
                <w:sz w:val="18"/>
                <w:szCs w:val="18"/>
                <w:highlight w:val="none"/>
                <w:lang w:val="en-US" w:eastAsia="zh-CN"/>
              </w:rPr>
            </w:pPr>
            <w:r>
              <w:rPr>
                <w:rFonts w:hint="eastAsia" w:ascii="宋体" w:hAnsi="宋体" w:cs="宋体"/>
                <w:b/>
                <w:bCs/>
                <w:color w:val="auto"/>
                <w:sz w:val="18"/>
                <w:szCs w:val="18"/>
                <w:highlight w:val="none"/>
                <w:lang w:val="en-US" w:eastAsia="zh-CN"/>
              </w:rPr>
              <w:t>10分</w:t>
            </w:r>
          </w:p>
          <w:p>
            <w:pPr>
              <w:pStyle w:val="15"/>
              <w:rPr>
                <w:rFonts w:hint="eastAsia"/>
                <w:b/>
                <w:bCs/>
                <w:sz w:val="20"/>
                <w:szCs w:val="18"/>
                <w:lang w:val="en-US" w:eastAsia="zh-CN"/>
              </w:rPr>
            </w:pPr>
          </w:p>
        </w:tc>
        <w:tc>
          <w:tcPr>
            <w:tcW w:w="6255" w:type="dxa"/>
            <w:shd w:val="clear" w:color="auto" w:fill="FFFFFF"/>
            <w:noWrap w:val="0"/>
            <w:tcMar>
              <w:top w:w="0" w:type="dxa"/>
              <w:left w:w="108" w:type="dxa"/>
              <w:bottom w:w="0" w:type="dxa"/>
              <w:right w:w="108" w:type="dxa"/>
            </w:tcMar>
            <w:vAlign w:val="center"/>
          </w:tcPr>
          <w:p>
            <w:pPr>
              <w:numPr>
                <w:ilvl w:val="0"/>
                <w:numId w:val="0"/>
              </w:numPr>
              <w:adjustRightInd w:val="0"/>
              <w:snapToGrid w:val="0"/>
              <w:spacing w:before="100" w:beforeAutospacing="1" w:after="100" w:afterAutospacing="1" w:line="360" w:lineRule="auto"/>
              <w:jc w:val="left"/>
              <w:rPr>
                <w:rFonts w:hint="eastAsia" w:eastAsia="宋体"/>
                <w:sz w:val="20"/>
                <w:szCs w:val="18"/>
                <w:lang w:val="en-US" w:eastAsia="zh-CN"/>
              </w:rPr>
            </w:pPr>
            <w:r>
              <w:rPr>
                <w:rFonts w:hint="eastAsia" w:ascii="宋体" w:hAnsi="宋体" w:cs="宋体"/>
                <w:color w:val="auto"/>
                <w:sz w:val="18"/>
                <w:szCs w:val="18"/>
                <w:highlight w:val="none"/>
                <w:lang w:val="en-US" w:eastAsia="zh-CN"/>
              </w:rPr>
              <w:t>投标单位有近3年（以合同签订时间为准）类似项目业绩的，每提供一个得2分，最高得10分。（提供合同、</w:t>
            </w:r>
            <w:r>
              <w:rPr>
                <w:rFonts w:hint="eastAsia" w:ascii="宋体" w:hAnsi="宋体" w:cs="宋体"/>
                <w:b w:val="0"/>
                <w:bCs w:val="0"/>
                <w:color w:val="auto"/>
                <w:kern w:val="0"/>
                <w:sz w:val="20"/>
                <w:szCs w:val="20"/>
              </w:rPr>
              <w:t>中标通知书</w:t>
            </w:r>
            <w:r>
              <w:rPr>
                <w:rFonts w:hint="eastAsia" w:ascii="宋体" w:hAnsi="宋体" w:cs="宋体"/>
                <w:b w:val="0"/>
                <w:bCs w:val="0"/>
                <w:color w:val="auto"/>
                <w:kern w:val="0"/>
                <w:sz w:val="20"/>
                <w:szCs w:val="20"/>
                <w:lang w:eastAsia="zh-CN"/>
              </w:rPr>
              <w:t>，</w:t>
            </w:r>
            <w:r>
              <w:rPr>
                <w:rFonts w:hint="eastAsia" w:ascii="宋体" w:hAnsi="宋体" w:cs="宋体"/>
                <w:color w:val="auto"/>
                <w:sz w:val="18"/>
                <w:szCs w:val="18"/>
                <w:highlight w:val="none"/>
                <w:lang w:val="en-US" w:eastAsia="zh-CN"/>
              </w:rPr>
              <w:t>复印件加盖供应商公章，不提供不得分。）                                                     注：上述类似项目业绩是指投标人所提供的业绩与本项目内容相关的项目，合同必须体现甲乙双方单位名称及项目内容，否则不得分。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0" w:type="dxa"/>
            <w:left w:w="0" w:type="dxa"/>
            <w:bottom w:w="0" w:type="dxa"/>
            <w:right w:w="0" w:type="dxa"/>
          </w:tblCellMar>
        </w:tblPrEx>
        <w:trPr>
          <w:trHeight w:val="1015" w:hRule="atLeast"/>
          <w:jc w:val="center"/>
        </w:trPr>
        <w:tc>
          <w:tcPr>
            <w:tcW w:w="663" w:type="dxa"/>
            <w:vMerge w:val="continue"/>
            <w:shd w:val="clear" w:color="auto" w:fill="FFFFFF"/>
            <w:noWrap w:val="0"/>
            <w:tcMar>
              <w:top w:w="0" w:type="dxa"/>
              <w:left w:w="108" w:type="dxa"/>
              <w:bottom w:w="0" w:type="dxa"/>
              <w:right w:w="108" w:type="dxa"/>
            </w:tcMar>
            <w:vAlign w:val="center"/>
          </w:tcPr>
          <w:p>
            <w:pPr>
              <w:adjustRightInd w:val="0"/>
              <w:snapToGrid w:val="0"/>
              <w:spacing w:before="100" w:beforeAutospacing="1" w:after="100" w:afterAutospacing="1"/>
              <w:jc w:val="center"/>
              <w:rPr>
                <w:rFonts w:hint="eastAsia" w:ascii="宋体" w:hAnsi="宋体" w:cs="宋体"/>
                <w:b/>
                <w:sz w:val="24"/>
              </w:rPr>
            </w:pPr>
          </w:p>
        </w:tc>
        <w:tc>
          <w:tcPr>
            <w:tcW w:w="1288" w:type="dxa"/>
            <w:vMerge w:val="continue"/>
            <w:tcBorders>
              <w:right w:val="single" w:color="auto" w:sz="4" w:space="0"/>
            </w:tcBorders>
            <w:shd w:val="clear" w:color="auto" w:fill="FFFFFF"/>
            <w:noWrap w:val="0"/>
            <w:tcMar>
              <w:top w:w="0" w:type="dxa"/>
              <w:left w:w="108" w:type="dxa"/>
              <w:bottom w:w="0" w:type="dxa"/>
              <w:right w:w="108" w:type="dxa"/>
            </w:tcMar>
            <w:vAlign w:val="center"/>
          </w:tcPr>
          <w:p>
            <w:pPr>
              <w:adjustRightInd w:val="0"/>
              <w:snapToGrid w:val="0"/>
              <w:spacing w:before="100" w:beforeAutospacing="1" w:after="100" w:afterAutospacing="1"/>
              <w:jc w:val="center"/>
              <w:rPr>
                <w:rFonts w:hint="eastAsia" w:ascii="宋体" w:hAnsi="宋体" w:cs="宋体"/>
                <w:b/>
                <w:sz w:val="24"/>
              </w:rPr>
            </w:pPr>
          </w:p>
        </w:tc>
        <w:tc>
          <w:tcPr>
            <w:tcW w:w="1154" w:type="dxa"/>
            <w:tcBorders>
              <w:top w:val="single" w:color="auto" w:sz="4" w:space="0"/>
              <w:left w:val="single" w:color="auto" w:sz="4" w:space="0"/>
              <w:bottom w:val="single" w:color="auto" w:sz="4" w:space="0"/>
            </w:tcBorders>
            <w:shd w:val="clear" w:color="auto" w:fill="FFFFFF"/>
            <w:noWrap w:val="0"/>
            <w:vAlign w:val="center"/>
          </w:tcPr>
          <w:p>
            <w:pPr>
              <w:pStyle w:val="15"/>
              <w:ind w:left="0" w:leftChars="0" w:firstLine="181" w:firstLineChars="100"/>
              <w:jc w:val="left"/>
              <w:rPr>
                <w:rFonts w:hint="eastAsia" w:ascii="宋体" w:hAnsi="宋体" w:eastAsia="宋体" w:cs="宋体"/>
                <w:b/>
                <w:bCs/>
                <w:color w:val="auto"/>
                <w:kern w:val="2"/>
                <w:sz w:val="18"/>
                <w:szCs w:val="18"/>
                <w:highlight w:val="none"/>
                <w:lang w:val="en-US" w:eastAsia="zh-CN" w:bidi="ar-SA"/>
              </w:rPr>
            </w:pPr>
            <w:r>
              <w:rPr>
                <w:rFonts w:hint="eastAsia" w:ascii="宋体" w:hAnsi="宋体" w:eastAsia="宋体" w:cs="宋体"/>
                <w:b/>
                <w:bCs/>
                <w:color w:val="auto"/>
                <w:kern w:val="2"/>
                <w:sz w:val="18"/>
                <w:szCs w:val="18"/>
                <w:highlight w:val="none"/>
                <w:lang w:val="en-US" w:eastAsia="zh-CN" w:bidi="ar-SA"/>
              </w:rPr>
              <w:t>人员资质</w:t>
            </w:r>
          </w:p>
          <w:p>
            <w:pPr>
              <w:ind w:firstLine="361" w:firstLineChars="200"/>
              <w:rPr>
                <w:rFonts w:hint="default"/>
                <w:sz w:val="20"/>
                <w:szCs w:val="18"/>
                <w:lang w:val="en-US" w:eastAsia="zh-CN"/>
              </w:rPr>
            </w:pPr>
            <w:r>
              <w:rPr>
                <w:rFonts w:hint="eastAsia" w:ascii="宋体" w:hAnsi="宋体" w:cs="宋体"/>
                <w:b/>
                <w:bCs/>
                <w:color w:val="auto"/>
                <w:kern w:val="2"/>
                <w:sz w:val="18"/>
                <w:szCs w:val="18"/>
                <w:highlight w:val="none"/>
                <w:lang w:val="en-US" w:eastAsia="zh-CN" w:bidi="ar-SA"/>
              </w:rPr>
              <w:t>10</w:t>
            </w:r>
            <w:r>
              <w:rPr>
                <w:rFonts w:hint="eastAsia" w:ascii="宋体" w:hAnsi="宋体" w:eastAsia="宋体" w:cs="宋体"/>
                <w:b/>
                <w:bCs/>
                <w:color w:val="auto"/>
                <w:kern w:val="2"/>
                <w:sz w:val="18"/>
                <w:szCs w:val="18"/>
                <w:highlight w:val="none"/>
                <w:lang w:val="en-US" w:eastAsia="zh-CN" w:bidi="ar-SA"/>
              </w:rPr>
              <w:t>分</w:t>
            </w:r>
          </w:p>
        </w:tc>
        <w:tc>
          <w:tcPr>
            <w:tcW w:w="6255" w:type="dxa"/>
            <w:shd w:val="clear" w:color="auto" w:fill="FFFFFF"/>
            <w:noWrap w:val="0"/>
            <w:tcMar>
              <w:top w:w="0" w:type="dxa"/>
              <w:left w:w="108" w:type="dxa"/>
              <w:bottom w:w="0" w:type="dxa"/>
              <w:right w:w="108" w:type="dxa"/>
            </w:tcMar>
            <w:vAlign w:val="center"/>
          </w:tcPr>
          <w:p>
            <w:pPr>
              <w:numPr>
                <w:ilvl w:val="0"/>
                <w:numId w:val="3"/>
              </w:numPr>
              <w:adjustRightInd w:val="0"/>
              <w:snapToGrid w:val="0"/>
              <w:spacing w:line="360" w:lineRule="auto"/>
              <w:jc w:val="left"/>
              <w:rPr>
                <w:rFonts w:hint="eastAsia" w:ascii="Times New Roman" w:hAnsi="Times New Roman" w:eastAsia="宋体" w:cs="Times New Roman"/>
                <w:kern w:val="2"/>
                <w:sz w:val="18"/>
                <w:szCs w:val="16"/>
                <w:lang w:val="en-US" w:eastAsia="zh-CN" w:bidi="ar-SA"/>
              </w:rPr>
            </w:pPr>
            <w:r>
              <w:rPr>
                <w:rFonts w:hint="eastAsia" w:ascii="Times New Roman" w:hAnsi="Times New Roman" w:eastAsia="宋体" w:cs="Times New Roman"/>
                <w:kern w:val="2"/>
                <w:sz w:val="18"/>
                <w:szCs w:val="16"/>
                <w:lang w:val="en-US" w:eastAsia="zh-CN" w:bidi="ar-SA"/>
              </w:rPr>
              <w:t>合作赛事培训师应具备科技赛事带队参赛经验，并提供以往合作学校聘书及该校获奖证书；</w:t>
            </w:r>
          </w:p>
          <w:p>
            <w:pPr>
              <w:numPr>
                <w:ilvl w:val="0"/>
                <w:numId w:val="3"/>
              </w:numPr>
              <w:adjustRightInd w:val="0"/>
              <w:snapToGrid w:val="0"/>
              <w:spacing w:line="360" w:lineRule="auto"/>
              <w:jc w:val="left"/>
              <w:rPr>
                <w:rFonts w:hint="default" w:ascii="Times New Roman" w:hAnsi="Times New Roman" w:eastAsia="宋体" w:cs="Times New Roman"/>
                <w:kern w:val="2"/>
                <w:sz w:val="18"/>
                <w:szCs w:val="16"/>
                <w:lang w:val="en-US" w:eastAsia="zh-CN" w:bidi="ar-SA"/>
              </w:rPr>
            </w:pPr>
            <w:r>
              <w:rPr>
                <w:rFonts w:hint="eastAsia" w:cs="Times New Roman"/>
                <w:kern w:val="2"/>
                <w:sz w:val="18"/>
                <w:szCs w:val="16"/>
                <w:lang w:val="en-US" w:eastAsia="zh-CN" w:bidi="ar-SA"/>
              </w:rPr>
              <w:t>赛事</w:t>
            </w:r>
            <w:r>
              <w:rPr>
                <w:rFonts w:hint="eastAsia" w:ascii="Times New Roman" w:hAnsi="Times New Roman" w:eastAsia="宋体" w:cs="Times New Roman"/>
                <w:kern w:val="2"/>
                <w:sz w:val="18"/>
                <w:szCs w:val="16"/>
                <w:lang w:val="en-US" w:eastAsia="zh-CN" w:bidi="ar-SA"/>
              </w:rPr>
              <w:t>培训师应获得至少1个机器人挑战赛初级指导教师证书，并提供以往相关证书。</w:t>
            </w:r>
          </w:p>
          <w:p>
            <w:pPr>
              <w:numPr>
                <w:ilvl w:val="0"/>
                <w:numId w:val="0"/>
              </w:numPr>
              <w:adjustRightInd w:val="0"/>
              <w:snapToGrid w:val="0"/>
              <w:spacing w:line="360" w:lineRule="auto"/>
              <w:jc w:val="left"/>
              <w:rPr>
                <w:rFonts w:hint="default" w:ascii="Times New Roman" w:hAnsi="Times New Roman" w:eastAsia="宋体" w:cs="Times New Roman"/>
                <w:kern w:val="2"/>
                <w:sz w:val="18"/>
                <w:szCs w:val="16"/>
                <w:lang w:val="en-US" w:eastAsia="zh-CN" w:bidi="ar-SA"/>
              </w:rPr>
            </w:pPr>
            <w:r>
              <w:rPr>
                <w:rFonts w:hint="eastAsia" w:ascii="Times New Roman" w:hAnsi="Times New Roman" w:eastAsia="宋体" w:cs="Times New Roman"/>
                <w:kern w:val="2"/>
                <w:sz w:val="18"/>
                <w:szCs w:val="16"/>
                <w:lang w:val="en-US" w:eastAsia="zh-CN" w:bidi="ar-SA"/>
              </w:rPr>
              <w:t>每提供一项得5分，共计10分，提供证书复印件或者扫描件即可，不提供或提供证明不符合要求的不得分。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0" w:type="dxa"/>
            <w:left w:w="0" w:type="dxa"/>
            <w:bottom w:w="0" w:type="dxa"/>
            <w:right w:w="0" w:type="dxa"/>
          </w:tblCellMar>
        </w:tblPrEx>
        <w:trPr>
          <w:trHeight w:val="360" w:hRule="atLeast"/>
          <w:jc w:val="center"/>
        </w:trPr>
        <w:tc>
          <w:tcPr>
            <w:tcW w:w="663" w:type="dxa"/>
            <w:vMerge w:val="continue"/>
            <w:shd w:val="clear" w:color="auto" w:fill="FFFFFF"/>
            <w:noWrap w:val="0"/>
            <w:tcMar>
              <w:top w:w="0" w:type="dxa"/>
              <w:left w:w="108" w:type="dxa"/>
              <w:bottom w:w="0" w:type="dxa"/>
              <w:right w:w="108" w:type="dxa"/>
            </w:tcMar>
            <w:vAlign w:val="center"/>
          </w:tcPr>
          <w:p>
            <w:pPr>
              <w:adjustRightInd w:val="0"/>
              <w:snapToGrid w:val="0"/>
              <w:spacing w:before="100" w:beforeAutospacing="1" w:after="100" w:afterAutospacing="1"/>
              <w:jc w:val="center"/>
              <w:rPr>
                <w:rFonts w:hint="eastAsia" w:ascii="宋体" w:hAnsi="宋体" w:cs="宋体"/>
                <w:b/>
                <w:sz w:val="24"/>
                <w:lang w:val="en-US" w:eastAsia="zh-CN"/>
              </w:rPr>
            </w:pPr>
          </w:p>
        </w:tc>
        <w:tc>
          <w:tcPr>
            <w:tcW w:w="1288" w:type="dxa"/>
            <w:vMerge w:val="continue"/>
            <w:tcBorders>
              <w:bottom w:val="single" w:color="auto" w:sz="4" w:space="0"/>
              <w:right w:val="single" w:color="auto" w:sz="4" w:space="0"/>
            </w:tcBorders>
            <w:shd w:val="clear" w:color="auto" w:fill="FFFFFF"/>
            <w:noWrap w:val="0"/>
            <w:tcMar>
              <w:top w:w="0" w:type="dxa"/>
              <w:left w:w="108" w:type="dxa"/>
              <w:bottom w:w="0" w:type="dxa"/>
              <w:right w:w="108" w:type="dxa"/>
            </w:tcMar>
            <w:vAlign w:val="center"/>
          </w:tcPr>
          <w:p>
            <w:pPr>
              <w:adjustRightInd w:val="0"/>
              <w:snapToGrid w:val="0"/>
              <w:spacing w:before="100" w:beforeAutospacing="1" w:after="100" w:afterAutospacing="1"/>
              <w:jc w:val="center"/>
              <w:rPr>
                <w:rFonts w:hint="eastAsia" w:ascii="宋体" w:hAnsi="宋体" w:cs="宋体"/>
                <w:b/>
                <w:sz w:val="24"/>
              </w:rPr>
            </w:pPr>
          </w:p>
        </w:tc>
        <w:tc>
          <w:tcPr>
            <w:tcW w:w="1154" w:type="dxa"/>
            <w:tcBorders>
              <w:top w:val="single" w:color="auto" w:sz="4" w:space="0"/>
              <w:left w:val="single" w:color="auto" w:sz="4" w:space="0"/>
              <w:bottom w:val="single" w:color="auto" w:sz="4" w:space="0"/>
            </w:tcBorders>
            <w:shd w:val="clear" w:color="auto" w:fill="FFFFFF"/>
            <w:noWrap w:val="0"/>
            <w:vAlign w:val="top"/>
          </w:tcPr>
          <w:p>
            <w:pPr>
              <w:pStyle w:val="15"/>
              <w:ind w:left="0" w:leftChars="0" w:firstLine="0" w:firstLineChars="0"/>
              <w:jc w:val="both"/>
              <w:rPr>
                <w:rFonts w:hint="eastAsia" w:ascii="宋体" w:hAnsi="宋体" w:eastAsia="宋体" w:cs="宋体"/>
                <w:b/>
                <w:bCs/>
                <w:color w:val="auto"/>
                <w:kern w:val="2"/>
                <w:sz w:val="18"/>
                <w:szCs w:val="18"/>
                <w:highlight w:val="yellow"/>
                <w:lang w:val="en-US" w:eastAsia="zh-CN" w:bidi="ar-SA"/>
                <w14:textFill>
                  <w14:gradFill>
                    <w14:gsLst>
                      <w14:gs w14:pos="0">
                        <w14:srgbClr w14:val="E30000"/>
                      </w14:gs>
                      <w14:gs w14:pos="100000">
                        <w14:srgbClr w14:val="760303"/>
                      </w14:gs>
                    </w14:gsLst>
                    <w14:lin w14:scaled="0"/>
                  </w14:gradFill>
                </w14:textFill>
              </w:rPr>
            </w:pPr>
          </w:p>
          <w:p>
            <w:pPr>
              <w:pStyle w:val="15"/>
              <w:ind w:left="0" w:leftChars="0" w:firstLine="361" w:firstLineChars="200"/>
              <w:jc w:val="both"/>
              <w:rPr>
                <w:rFonts w:hint="eastAsia" w:ascii="宋体" w:hAnsi="宋体" w:eastAsia="宋体" w:cs="宋体"/>
                <w:b/>
                <w:bCs/>
                <w:color w:val="auto"/>
                <w:kern w:val="2"/>
                <w:sz w:val="18"/>
                <w:szCs w:val="18"/>
                <w:highlight w:val="none"/>
                <w:lang w:val="en-US" w:eastAsia="zh-CN" w:bidi="ar-SA"/>
                <w14:textFill>
                  <w14:gradFill>
                    <w14:gsLst>
                      <w14:gs w14:pos="0">
                        <w14:srgbClr w14:val="E30000"/>
                      </w14:gs>
                      <w14:gs w14:pos="100000">
                        <w14:srgbClr w14:val="760303"/>
                      </w14:gs>
                    </w14:gsLst>
                    <w14:lin w14:scaled="0"/>
                  </w14:gradFill>
                </w14:textFill>
              </w:rPr>
            </w:pPr>
            <w:r>
              <w:rPr>
                <w:rFonts w:hint="eastAsia" w:ascii="宋体" w:hAnsi="宋体" w:eastAsia="宋体" w:cs="宋体"/>
                <w:b/>
                <w:bCs/>
                <w:color w:val="auto"/>
                <w:kern w:val="2"/>
                <w:sz w:val="18"/>
                <w:szCs w:val="18"/>
                <w:highlight w:val="none"/>
                <w:lang w:val="en-US" w:eastAsia="zh-CN" w:bidi="ar-SA"/>
              </w:rPr>
              <w:t>服务承诺</w:t>
            </w:r>
          </w:p>
          <w:p>
            <w:pPr>
              <w:pStyle w:val="15"/>
              <w:ind w:left="560" w:leftChars="95" w:hanging="361" w:hangingChars="200"/>
              <w:jc w:val="center"/>
              <w:rPr>
                <w:rFonts w:hint="eastAsia" w:ascii="仿宋_GB2312" w:hAnsi="Times New Roman" w:eastAsia="仿宋_GB2312" w:cs="Times New Roman"/>
                <w:b/>
                <w:bCs/>
                <w:color w:val="FF6600"/>
                <w:kern w:val="2"/>
                <w:sz w:val="20"/>
                <w:szCs w:val="18"/>
                <w:lang w:val="en-US" w:eastAsia="zh-CN" w:bidi="ar-SA"/>
              </w:rPr>
            </w:pPr>
            <w:r>
              <w:rPr>
                <w:rFonts w:hint="eastAsia" w:ascii="宋体" w:hAnsi="宋体" w:eastAsia="宋体" w:cs="宋体"/>
                <w:b/>
                <w:bCs/>
                <w:color w:val="auto"/>
                <w:kern w:val="2"/>
                <w:sz w:val="18"/>
                <w:szCs w:val="18"/>
                <w:highlight w:val="none"/>
                <w:lang w:val="en-US" w:eastAsia="zh-CN" w:bidi="ar-SA"/>
              </w:rPr>
              <w:t>2分</w:t>
            </w:r>
          </w:p>
        </w:tc>
        <w:tc>
          <w:tcPr>
            <w:tcW w:w="6255" w:type="dxa"/>
            <w:shd w:val="clear" w:color="auto" w:fill="FFFFFF"/>
            <w:noWrap w:val="0"/>
            <w:tcMar>
              <w:top w:w="0" w:type="dxa"/>
              <w:left w:w="108" w:type="dxa"/>
              <w:bottom w:w="0" w:type="dxa"/>
              <w:right w:w="108" w:type="dxa"/>
            </w:tcMar>
            <w:vAlign w:val="center"/>
          </w:tcPr>
          <w:p>
            <w:pPr>
              <w:adjustRightInd w:val="0"/>
              <w:snapToGrid w:val="0"/>
              <w:spacing w:line="360" w:lineRule="auto"/>
              <w:jc w:val="left"/>
              <w:rPr>
                <w:rFonts w:hint="default" w:ascii="宋体" w:hAnsi="宋体" w:eastAsia="宋体" w:cs="宋体"/>
                <w:kern w:val="2"/>
                <w:sz w:val="20"/>
                <w:szCs w:val="20"/>
                <w:lang w:val="en-US" w:eastAsia="zh-CN" w:bidi="ar-SA"/>
              </w:rPr>
            </w:pPr>
            <w:r>
              <w:rPr>
                <w:rFonts w:hint="default" w:ascii="宋体" w:hAnsi="宋体" w:eastAsia="宋体" w:cs="宋体"/>
                <w:sz w:val="18"/>
                <w:szCs w:val="18"/>
                <w:lang w:val="en-US" w:eastAsia="zh-CN"/>
              </w:rPr>
              <w:t>对</w:t>
            </w:r>
            <w:r>
              <w:rPr>
                <w:rFonts w:hint="default" w:ascii="Times New Roman" w:hAnsi="Times New Roman" w:eastAsia="宋体" w:cs="Times New Roman"/>
                <w:kern w:val="2"/>
                <w:sz w:val="18"/>
                <w:szCs w:val="16"/>
                <w:lang w:val="en-US" w:eastAsia="zh-CN" w:bidi="ar-SA"/>
              </w:rPr>
              <w:t>投标</w:t>
            </w:r>
            <w:r>
              <w:rPr>
                <w:rFonts w:hint="default" w:ascii="宋体" w:hAnsi="宋体" w:eastAsia="宋体" w:cs="宋体"/>
                <w:color w:val="auto"/>
                <w:sz w:val="18"/>
                <w:szCs w:val="18"/>
                <w:highlight w:val="none"/>
                <w:lang w:val="en-US" w:eastAsia="zh-CN"/>
              </w:rPr>
              <w:t>人所提供质保期限及终身维修服务的综合评价。投标人必须满足提供1年质保期及终身维修的基本要求</w:t>
            </w:r>
            <w:r>
              <w:rPr>
                <w:rFonts w:hint="eastAsia" w:ascii="宋体" w:hAnsi="宋体" w:eastAsia="宋体" w:cs="宋体"/>
                <w:color w:val="auto"/>
                <w:sz w:val="18"/>
                <w:szCs w:val="18"/>
                <w:highlight w:val="none"/>
                <w:lang w:val="en-US" w:eastAsia="zh-CN"/>
              </w:rPr>
              <w:t>；</w:t>
            </w:r>
            <w:r>
              <w:rPr>
                <w:rFonts w:hint="default" w:ascii="宋体" w:hAnsi="宋体" w:eastAsia="宋体" w:cs="宋体"/>
                <w:color w:val="auto"/>
                <w:sz w:val="18"/>
                <w:szCs w:val="18"/>
                <w:highlight w:val="none"/>
                <w:lang w:val="en-US" w:eastAsia="zh-CN"/>
              </w:rPr>
              <w:t>在此基础上，质保期每延长6个月加1分，最高2分，无质保延长则不得分。</w:t>
            </w:r>
            <w:r>
              <w:rPr>
                <w:rFonts w:hint="eastAsia" w:ascii="宋体" w:hAnsi="宋体" w:cs="宋体"/>
                <w:color w:val="auto"/>
                <w:sz w:val="18"/>
                <w:szCs w:val="18"/>
                <w:highlight w:val="none"/>
                <w:lang w:val="en-US" w:eastAsia="zh-CN"/>
              </w:rPr>
              <w:t>(格式自拟，加盖供应商公章。）</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038" w:hRule="atLeast"/>
          <w:jc w:val="center"/>
        </w:trPr>
        <w:tc>
          <w:tcPr>
            <w:tcW w:w="663" w:type="dxa"/>
            <w:shd w:val="clear" w:color="auto" w:fill="FFFFFF"/>
            <w:noWrap w:val="0"/>
            <w:tcMar>
              <w:top w:w="0" w:type="dxa"/>
              <w:left w:w="108" w:type="dxa"/>
              <w:bottom w:w="0" w:type="dxa"/>
              <w:right w:w="108" w:type="dxa"/>
            </w:tcMar>
            <w:vAlign w:val="center"/>
          </w:tcPr>
          <w:p>
            <w:pPr>
              <w:adjustRightInd w:val="0"/>
              <w:snapToGrid w:val="0"/>
              <w:spacing w:before="100" w:beforeAutospacing="1" w:after="100" w:afterAutospacing="1"/>
              <w:jc w:val="center"/>
              <w:rPr>
                <w:rFonts w:hint="eastAsia" w:ascii="宋体" w:hAnsi="宋体" w:eastAsia="宋体" w:cs="宋体"/>
                <w:b/>
                <w:sz w:val="24"/>
                <w:lang w:eastAsia="zh-CN"/>
              </w:rPr>
            </w:pPr>
            <w:r>
              <w:rPr>
                <w:rFonts w:hint="eastAsia" w:ascii="宋体" w:hAnsi="宋体" w:cs="宋体"/>
                <w:b/>
                <w:sz w:val="24"/>
                <w:lang w:val="en-US" w:eastAsia="zh-CN"/>
              </w:rPr>
              <w:t>3</w:t>
            </w:r>
          </w:p>
        </w:tc>
        <w:tc>
          <w:tcPr>
            <w:tcW w:w="1288" w:type="dxa"/>
            <w:tcBorders>
              <w:top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adjustRightInd w:val="0"/>
              <w:snapToGrid w:val="0"/>
              <w:spacing w:before="100" w:beforeAutospacing="1" w:after="100" w:afterAutospacing="1"/>
              <w:jc w:val="center"/>
              <w:rPr>
                <w:rFonts w:hint="default" w:ascii="宋体" w:hAnsi="宋体" w:cs="宋体"/>
                <w:b/>
                <w:sz w:val="24"/>
                <w:lang w:val="en-US"/>
              </w:rPr>
            </w:pPr>
            <w:r>
              <w:rPr>
                <w:rFonts w:hint="eastAsia" w:ascii="宋体" w:hAnsi="宋体" w:cs="宋体"/>
                <w:b/>
                <w:sz w:val="22"/>
                <w:szCs w:val="18"/>
                <w:lang w:val="en-US" w:eastAsia="zh-CN"/>
              </w:rPr>
              <w:t>技术参数30分</w:t>
            </w:r>
          </w:p>
        </w:tc>
        <w:tc>
          <w:tcPr>
            <w:tcW w:w="1154" w:type="dxa"/>
            <w:tcBorders>
              <w:top w:val="single" w:color="auto" w:sz="4" w:space="0"/>
              <w:left w:val="single" w:color="auto" w:sz="4" w:space="0"/>
              <w:bottom w:val="single" w:color="auto" w:sz="4" w:space="0"/>
            </w:tcBorders>
            <w:shd w:val="clear" w:color="auto" w:fill="FFFFFF"/>
            <w:noWrap w:val="0"/>
            <w:vAlign w:val="center"/>
          </w:tcPr>
          <w:p>
            <w:pPr>
              <w:adjustRightInd w:val="0"/>
              <w:snapToGrid w:val="0"/>
              <w:spacing w:before="100" w:beforeAutospacing="1" w:after="100" w:afterAutospacing="1"/>
              <w:jc w:val="center"/>
              <w:rPr>
                <w:rFonts w:hint="default" w:ascii="宋体" w:hAnsi="宋体" w:cs="宋体"/>
                <w:b/>
                <w:bCs/>
                <w:sz w:val="18"/>
                <w:szCs w:val="13"/>
                <w:lang w:val="en-US" w:eastAsia="zh-CN"/>
              </w:rPr>
            </w:pPr>
            <w:r>
              <w:rPr>
                <w:rFonts w:hint="eastAsia" w:ascii="宋体" w:hAnsi="宋体" w:cs="宋体"/>
                <w:b/>
                <w:bCs/>
                <w:sz w:val="18"/>
                <w:szCs w:val="13"/>
                <w:lang w:val="en-US" w:eastAsia="zh-CN"/>
              </w:rPr>
              <w:t>技术水平评审   30分</w:t>
            </w:r>
          </w:p>
        </w:tc>
        <w:tc>
          <w:tcPr>
            <w:tcW w:w="6255" w:type="dxa"/>
            <w:shd w:val="clear" w:color="auto" w:fill="FFFFFF"/>
            <w:noWrap w:val="0"/>
            <w:tcMar>
              <w:top w:w="0" w:type="dxa"/>
              <w:left w:w="108" w:type="dxa"/>
              <w:bottom w:w="0" w:type="dxa"/>
              <w:right w:w="108" w:type="dxa"/>
            </w:tcMar>
            <w:vAlign w:val="center"/>
          </w:tcPr>
          <w:p>
            <w:pPr>
              <w:adjustRightInd w:val="0"/>
              <w:snapToGrid w:val="0"/>
              <w:spacing w:line="360" w:lineRule="auto"/>
              <w:rPr>
                <w:rFonts w:hint="eastAsia" w:ascii="宋体" w:hAnsi="宋体" w:eastAsia="宋体" w:cs="宋体"/>
                <w:sz w:val="18"/>
                <w:szCs w:val="18"/>
              </w:rPr>
            </w:pPr>
            <w:r>
              <w:rPr>
                <w:rFonts w:hint="eastAsia" w:ascii="宋体" w:hAnsi="宋体" w:eastAsia="宋体" w:cs="宋体"/>
                <w:sz w:val="18"/>
                <w:szCs w:val="18"/>
                <w:highlight w:val="none"/>
              </w:rPr>
              <w:t>技术、性能、配置</w:t>
            </w:r>
            <w:r>
              <w:rPr>
                <w:rFonts w:hint="eastAsia" w:ascii="宋体" w:hAnsi="宋体" w:cs="宋体"/>
                <w:sz w:val="18"/>
                <w:szCs w:val="18"/>
                <w:highlight w:val="none"/>
                <w:lang w:val="en-US" w:eastAsia="zh-CN"/>
              </w:rPr>
              <w:t>全部</w:t>
            </w:r>
            <w:r>
              <w:rPr>
                <w:rFonts w:hint="eastAsia" w:ascii="宋体" w:hAnsi="宋体" w:eastAsia="宋体" w:cs="宋体"/>
                <w:sz w:val="18"/>
                <w:szCs w:val="18"/>
                <w:highlight w:val="none"/>
              </w:rPr>
              <w:t>满足</w:t>
            </w:r>
            <w:r>
              <w:rPr>
                <w:rFonts w:hint="eastAsia" w:ascii="宋体" w:hAnsi="宋体" w:eastAsia="宋体" w:cs="宋体"/>
                <w:sz w:val="18"/>
                <w:szCs w:val="18"/>
                <w:highlight w:val="none"/>
                <w:lang w:val="en-US" w:eastAsia="zh-CN"/>
              </w:rPr>
              <w:t>技术参数的得</w:t>
            </w:r>
            <w:r>
              <w:rPr>
                <w:rFonts w:hint="eastAsia" w:ascii="宋体" w:hAnsi="宋体" w:cs="宋体"/>
                <w:sz w:val="18"/>
                <w:szCs w:val="18"/>
                <w:highlight w:val="none"/>
                <w:lang w:val="en-US" w:eastAsia="zh-CN"/>
              </w:rPr>
              <w:t>30</w:t>
            </w:r>
            <w:r>
              <w:rPr>
                <w:rFonts w:hint="eastAsia" w:ascii="宋体" w:hAnsi="宋体" w:eastAsia="宋体" w:cs="宋体"/>
                <w:sz w:val="18"/>
                <w:szCs w:val="18"/>
                <w:highlight w:val="none"/>
                <w:lang w:val="en-US" w:eastAsia="zh-CN"/>
              </w:rPr>
              <w:t>分</w:t>
            </w:r>
            <w:r>
              <w:rPr>
                <w:rFonts w:hint="eastAsia" w:ascii="宋体" w:hAnsi="宋体" w:cs="宋体"/>
                <w:sz w:val="18"/>
                <w:szCs w:val="18"/>
                <w:highlight w:val="none"/>
                <w:lang w:val="en-US" w:eastAsia="zh-CN"/>
              </w:rPr>
              <w:t>，打▲参数为重要参数。</w:t>
            </w:r>
            <w:r>
              <w:rPr>
                <w:rFonts w:hint="eastAsia" w:ascii="宋体" w:hAnsi="宋体" w:eastAsia="宋体" w:cs="宋体"/>
                <w:sz w:val="18"/>
                <w:szCs w:val="18"/>
                <w:highlight w:val="none"/>
              </w:rPr>
              <w:t>正偏离不加分，有一项指标负偏离扣</w:t>
            </w:r>
            <w:r>
              <w:rPr>
                <w:rFonts w:hint="eastAsia" w:ascii="宋体" w:hAnsi="宋体" w:eastAsia="宋体" w:cs="宋体"/>
                <w:sz w:val="18"/>
                <w:szCs w:val="18"/>
                <w:highlight w:val="none"/>
                <w:lang w:val="en-US" w:eastAsia="zh-CN"/>
              </w:rPr>
              <w:t>3</w:t>
            </w:r>
            <w:r>
              <w:rPr>
                <w:rFonts w:hint="eastAsia" w:ascii="宋体" w:hAnsi="宋体" w:eastAsia="宋体" w:cs="宋体"/>
                <w:sz w:val="18"/>
                <w:szCs w:val="18"/>
                <w:highlight w:val="none"/>
              </w:rPr>
              <w:t>分，扣完为止。（</w:t>
            </w:r>
            <w:r>
              <w:rPr>
                <w:rFonts w:hint="eastAsia" w:ascii="宋体" w:hAnsi="宋体" w:cs="宋体"/>
                <w:sz w:val="18"/>
                <w:szCs w:val="18"/>
                <w:highlight w:val="none"/>
                <w:lang w:val="en-US" w:eastAsia="zh-CN"/>
              </w:rPr>
              <w:t>重要</w:t>
            </w:r>
            <w:r>
              <w:rPr>
                <w:rFonts w:hint="eastAsia" w:ascii="宋体" w:hAnsi="宋体" w:eastAsia="宋体" w:cs="宋体"/>
                <w:sz w:val="18"/>
                <w:szCs w:val="18"/>
                <w:highlight w:val="none"/>
              </w:rPr>
              <w:t>技术参数要求提供证明材料为准，其他参数以技术参数响应表加盖投标单位公章）</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0" w:type="dxa"/>
            <w:left w:w="0" w:type="dxa"/>
            <w:bottom w:w="0" w:type="dxa"/>
            <w:right w:w="0" w:type="dxa"/>
          </w:tblCellMar>
        </w:tblPrEx>
        <w:trPr>
          <w:trHeight w:val="1038" w:hRule="atLeast"/>
          <w:jc w:val="center"/>
        </w:trPr>
        <w:tc>
          <w:tcPr>
            <w:tcW w:w="663" w:type="dxa"/>
            <w:vMerge w:val="restart"/>
            <w:shd w:val="clear" w:color="auto" w:fill="FFFFFF"/>
            <w:noWrap w:val="0"/>
            <w:tcMar>
              <w:top w:w="0" w:type="dxa"/>
              <w:left w:w="108" w:type="dxa"/>
              <w:bottom w:w="0" w:type="dxa"/>
              <w:right w:w="108" w:type="dxa"/>
            </w:tcMar>
            <w:vAlign w:val="center"/>
          </w:tcPr>
          <w:p>
            <w:pPr>
              <w:adjustRightInd w:val="0"/>
              <w:snapToGrid w:val="0"/>
              <w:spacing w:before="100" w:beforeAutospacing="1" w:after="100" w:afterAutospacing="1"/>
              <w:jc w:val="center"/>
              <w:rPr>
                <w:rFonts w:hint="default" w:ascii="宋体" w:hAnsi="宋体" w:cs="宋体"/>
                <w:b/>
                <w:sz w:val="24"/>
                <w:lang w:val="en-US" w:eastAsia="zh-CN"/>
              </w:rPr>
            </w:pPr>
            <w:r>
              <w:rPr>
                <w:rFonts w:hint="eastAsia" w:ascii="宋体" w:hAnsi="宋体" w:cs="宋体"/>
                <w:b/>
                <w:sz w:val="24"/>
                <w:lang w:val="en-US" w:eastAsia="zh-CN"/>
              </w:rPr>
              <w:t>4</w:t>
            </w:r>
          </w:p>
        </w:tc>
        <w:tc>
          <w:tcPr>
            <w:tcW w:w="1288" w:type="dxa"/>
            <w:vMerge w:val="restart"/>
            <w:tcBorders>
              <w:top w:val="single" w:color="auto" w:sz="4" w:space="0"/>
              <w:right w:val="single" w:color="auto" w:sz="4" w:space="0"/>
            </w:tcBorders>
            <w:shd w:val="clear" w:color="auto" w:fill="FFFFFF"/>
            <w:noWrap w:val="0"/>
            <w:tcMar>
              <w:top w:w="0" w:type="dxa"/>
              <w:left w:w="108" w:type="dxa"/>
              <w:bottom w:w="0" w:type="dxa"/>
              <w:right w:w="108" w:type="dxa"/>
            </w:tcMar>
            <w:vAlign w:val="center"/>
          </w:tcPr>
          <w:p>
            <w:pPr>
              <w:adjustRightInd w:val="0"/>
              <w:snapToGrid w:val="0"/>
              <w:spacing w:before="100" w:beforeAutospacing="1" w:after="100" w:afterAutospacing="1"/>
              <w:jc w:val="center"/>
              <w:rPr>
                <w:rFonts w:hint="eastAsia" w:ascii="宋体" w:hAnsi="宋体" w:cs="宋体"/>
                <w:b/>
                <w:sz w:val="24"/>
                <w:lang w:val="en-US" w:eastAsia="zh-CN"/>
              </w:rPr>
            </w:pPr>
          </w:p>
          <w:p>
            <w:pPr>
              <w:adjustRightInd w:val="0"/>
              <w:snapToGrid w:val="0"/>
              <w:spacing w:before="100" w:beforeAutospacing="1" w:after="100" w:afterAutospacing="1"/>
              <w:jc w:val="center"/>
              <w:rPr>
                <w:rFonts w:hint="eastAsia" w:ascii="宋体" w:hAnsi="宋体" w:cs="宋体"/>
                <w:b/>
                <w:sz w:val="24"/>
                <w:lang w:val="en-US" w:eastAsia="zh-CN"/>
              </w:rPr>
            </w:pPr>
          </w:p>
          <w:p>
            <w:pPr>
              <w:adjustRightInd w:val="0"/>
              <w:snapToGrid w:val="0"/>
              <w:spacing w:before="100" w:beforeAutospacing="1" w:after="100" w:afterAutospacing="1"/>
              <w:jc w:val="center"/>
              <w:rPr>
                <w:rFonts w:hint="eastAsia" w:ascii="宋体" w:hAnsi="宋体" w:cs="宋体"/>
                <w:b/>
                <w:sz w:val="24"/>
                <w:lang w:val="en-US" w:eastAsia="zh-CN"/>
              </w:rPr>
            </w:pPr>
          </w:p>
          <w:p>
            <w:pPr>
              <w:adjustRightInd w:val="0"/>
              <w:snapToGrid w:val="0"/>
              <w:spacing w:before="100" w:beforeAutospacing="1" w:after="100" w:afterAutospacing="1"/>
              <w:jc w:val="center"/>
              <w:rPr>
                <w:rFonts w:hint="eastAsia" w:ascii="宋体" w:hAnsi="宋体" w:cs="宋体"/>
                <w:b/>
                <w:sz w:val="24"/>
                <w:lang w:val="en-US" w:eastAsia="zh-CN"/>
              </w:rPr>
            </w:pPr>
          </w:p>
          <w:p>
            <w:pPr>
              <w:adjustRightInd w:val="0"/>
              <w:snapToGrid w:val="0"/>
              <w:spacing w:before="100" w:beforeAutospacing="1" w:after="100" w:afterAutospacing="1"/>
              <w:jc w:val="center"/>
              <w:rPr>
                <w:rFonts w:hint="eastAsia" w:ascii="宋体" w:hAnsi="宋体" w:cs="宋体"/>
                <w:b/>
                <w:sz w:val="24"/>
                <w:lang w:val="en-US" w:eastAsia="zh-CN"/>
              </w:rPr>
            </w:pPr>
          </w:p>
          <w:p>
            <w:pPr>
              <w:adjustRightInd w:val="0"/>
              <w:snapToGrid w:val="0"/>
              <w:spacing w:before="100" w:beforeAutospacing="1" w:after="100" w:afterAutospacing="1"/>
              <w:jc w:val="center"/>
              <w:rPr>
                <w:rFonts w:hint="default" w:ascii="宋体" w:hAnsi="宋体" w:cs="宋体"/>
                <w:b/>
                <w:sz w:val="24"/>
                <w:lang w:val="en-US" w:eastAsia="zh-CN"/>
              </w:rPr>
            </w:pPr>
            <w:r>
              <w:rPr>
                <w:rFonts w:hint="eastAsia" w:ascii="宋体" w:hAnsi="宋体" w:cs="宋体"/>
                <w:b/>
                <w:sz w:val="24"/>
                <w:lang w:val="en-US" w:eastAsia="zh-CN"/>
              </w:rPr>
              <w:t>方案部分18分</w:t>
            </w:r>
          </w:p>
        </w:tc>
        <w:tc>
          <w:tcPr>
            <w:tcW w:w="1154" w:type="dxa"/>
            <w:tcBorders>
              <w:top w:val="single" w:color="auto" w:sz="4" w:space="0"/>
              <w:left w:val="single" w:color="auto" w:sz="4" w:space="0"/>
              <w:bottom w:val="single" w:color="auto" w:sz="4" w:space="0"/>
            </w:tcBorders>
            <w:shd w:val="clear" w:color="auto" w:fill="FFFFFF"/>
            <w:noWrap w:val="0"/>
            <w:vAlign w:val="center"/>
          </w:tcPr>
          <w:p>
            <w:pPr>
              <w:adjustRightInd w:val="0"/>
              <w:snapToGrid w:val="0"/>
              <w:spacing w:before="100" w:beforeAutospacing="1" w:after="100" w:afterAutospacing="1"/>
              <w:jc w:val="center"/>
              <w:rPr>
                <w:rFonts w:hint="default" w:ascii="宋体" w:hAnsi="宋体" w:cs="宋体"/>
                <w:b/>
                <w:bCs/>
                <w:sz w:val="18"/>
                <w:szCs w:val="13"/>
                <w:lang w:val="en-US" w:eastAsia="zh-CN"/>
              </w:rPr>
            </w:pPr>
            <w:r>
              <w:rPr>
                <w:rFonts w:hint="eastAsia" w:ascii="宋体" w:hAnsi="宋体" w:cs="宋体"/>
                <w:b/>
                <w:bCs/>
                <w:sz w:val="18"/>
                <w:szCs w:val="13"/>
                <w:lang w:val="en-US" w:eastAsia="zh-CN"/>
              </w:rPr>
              <w:t>可行性培训方案 8分</w:t>
            </w:r>
          </w:p>
        </w:tc>
        <w:tc>
          <w:tcPr>
            <w:tcW w:w="6255" w:type="dxa"/>
            <w:shd w:val="clear" w:color="auto" w:fill="FFFFFF"/>
            <w:noWrap w:val="0"/>
            <w:tcMar>
              <w:top w:w="0" w:type="dxa"/>
              <w:left w:w="108" w:type="dxa"/>
              <w:bottom w:w="0" w:type="dxa"/>
              <w:right w:w="108" w:type="dxa"/>
            </w:tcMar>
            <w:vAlign w:val="center"/>
          </w:tcPr>
          <w:p>
            <w:pPr>
              <w:adjustRightInd w:val="0"/>
              <w:snapToGrid w:val="0"/>
              <w:spacing w:line="360" w:lineRule="auto"/>
              <w:jc w:val="left"/>
              <w:rPr>
                <w:rFonts w:hint="default" w:ascii="宋体" w:hAnsi="宋体" w:eastAsia="宋体" w:cs="宋体"/>
                <w:sz w:val="18"/>
                <w:szCs w:val="18"/>
                <w:lang w:val="en-US" w:eastAsia="zh-CN"/>
              </w:rPr>
            </w:pPr>
            <w:r>
              <w:rPr>
                <w:rFonts w:hint="eastAsia" w:ascii="宋体" w:hAnsi="宋体" w:cs="宋体"/>
                <w:b w:val="0"/>
                <w:bCs w:val="0"/>
                <w:color w:val="auto"/>
                <w:kern w:val="0"/>
                <w:sz w:val="16"/>
                <w:szCs w:val="16"/>
              </w:rPr>
              <w:t>投</w:t>
            </w:r>
            <w:r>
              <w:rPr>
                <w:rFonts w:hint="eastAsia" w:ascii="宋体" w:hAnsi="宋体" w:eastAsia="宋体" w:cs="宋体"/>
                <w:sz w:val="18"/>
                <w:szCs w:val="18"/>
                <w:lang w:val="en-US" w:eastAsia="zh-CN"/>
              </w:rPr>
              <w:t>标单位需要提供针对科技产品教学和竞赛的可行性培训定制方案，需要明确培训的人员、培训内容、培训频次和时间等详细计划。需提供针对教学板块的课程大纲、课程设计和规划等。需提供针对竞赛板块的原型机搭建、设备安装、软件调试、特殊结构制作、人员培训、赛事时间线等。并且满足安装、调试、验收的基本需求。提供人工智能校本教材及课程定制说明和课程大纲等内容。</w:t>
            </w:r>
          </w:p>
          <w:p>
            <w:pPr>
              <w:adjustRightInd w:val="0"/>
              <w:snapToGrid w:val="0"/>
              <w:spacing w:line="360" w:lineRule="auto"/>
              <w:jc w:val="lef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1、可行性培训方案具体、详细、完整、可行，有利于项目实施。得</w:t>
            </w:r>
            <w:r>
              <w:rPr>
                <w:rFonts w:hint="eastAsia" w:ascii="宋体" w:hAnsi="宋体" w:cs="宋体"/>
                <w:sz w:val="18"/>
                <w:szCs w:val="18"/>
                <w:lang w:val="en-US" w:eastAsia="zh-CN"/>
              </w:rPr>
              <w:t>5</w:t>
            </w:r>
            <w:r>
              <w:rPr>
                <w:rFonts w:hint="eastAsia" w:ascii="宋体" w:hAnsi="宋体" w:eastAsia="宋体" w:cs="宋体"/>
                <w:sz w:val="18"/>
                <w:szCs w:val="18"/>
                <w:lang w:val="en-US" w:eastAsia="zh-CN"/>
              </w:rPr>
              <w:t>-8分。</w:t>
            </w:r>
          </w:p>
          <w:p>
            <w:pPr>
              <w:adjustRightInd w:val="0"/>
              <w:snapToGrid w:val="0"/>
              <w:spacing w:line="360" w:lineRule="auto"/>
              <w:jc w:val="lef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2、可行性培训方案具体可行，有利于项目实施。得3-</w:t>
            </w:r>
            <w:r>
              <w:rPr>
                <w:rFonts w:hint="eastAsia" w:ascii="宋体" w:hAnsi="宋体" w:cs="宋体"/>
                <w:sz w:val="18"/>
                <w:szCs w:val="18"/>
                <w:lang w:val="en-US" w:eastAsia="zh-CN"/>
              </w:rPr>
              <w:t>5</w:t>
            </w:r>
            <w:r>
              <w:rPr>
                <w:rFonts w:hint="eastAsia" w:ascii="宋体" w:hAnsi="宋体" w:eastAsia="宋体" w:cs="宋体"/>
                <w:sz w:val="18"/>
                <w:szCs w:val="18"/>
                <w:lang w:val="en-US" w:eastAsia="zh-CN"/>
              </w:rPr>
              <w:t>分。</w:t>
            </w:r>
          </w:p>
          <w:p>
            <w:pPr>
              <w:adjustRightInd w:val="0"/>
              <w:snapToGrid w:val="0"/>
              <w:spacing w:line="360" w:lineRule="auto"/>
              <w:jc w:val="lef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3、可行性培训方案基本可行。得1-3分。</w:t>
            </w:r>
          </w:p>
          <w:p>
            <w:pPr>
              <w:adjustRightInd w:val="0"/>
              <w:snapToGrid w:val="0"/>
              <w:spacing w:line="360" w:lineRule="auto"/>
              <w:jc w:val="left"/>
              <w:rPr>
                <w:rFonts w:hint="eastAsia" w:ascii="宋体" w:hAnsi="宋体" w:eastAsia="宋体" w:cs="宋体"/>
                <w:sz w:val="18"/>
                <w:szCs w:val="18"/>
                <w:highlight w:val="yellow"/>
              </w:rPr>
            </w:pPr>
            <w:r>
              <w:rPr>
                <w:rFonts w:hint="eastAsia" w:ascii="宋体" w:hAnsi="宋体" w:cs="宋体"/>
                <w:sz w:val="18"/>
                <w:szCs w:val="18"/>
                <w:lang w:val="en-US" w:eastAsia="zh-CN"/>
              </w:rPr>
              <w:t>4、</w:t>
            </w:r>
            <w:r>
              <w:rPr>
                <w:rFonts w:hint="eastAsia" w:ascii="宋体" w:hAnsi="宋体" w:eastAsia="宋体" w:cs="宋体"/>
                <w:sz w:val="18"/>
                <w:szCs w:val="18"/>
                <w:lang w:val="en-US" w:eastAsia="zh-CN"/>
              </w:rPr>
              <w:t>未提供不得分。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0" w:type="dxa"/>
            <w:left w:w="0" w:type="dxa"/>
            <w:bottom w:w="0" w:type="dxa"/>
            <w:right w:w="0" w:type="dxa"/>
          </w:tblCellMar>
        </w:tblPrEx>
        <w:trPr>
          <w:trHeight w:val="4600" w:hRule="atLeast"/>
          <w:jc w:val="center"/>
        </w:trPr>
        <w:tc>
          <w:tcPr>
            <w:tcW w:w="663" w:type="dxa"/>
            <w:vMerge w:val="continue"/>
            <w:shd w:val="clear" w:color="auto" w:fill="FFFFFF"/>
            <w:noWrap w:val="0"/>
            <w:tcMar>
              <w:top w:w="0" w:type="dxa"/>
              <w:left w:w="108" w:type="dxa"/>
              <w:bottom w:w="0" w:type="dxa"/>
              <w:right w:w="108" w:type="dxa"/>
            </w:tcMar>
            <w:vAlign w:val="center"/>
          </w:tcPr>
          <w:p>
            <w:pPr>
              <w:adjustRightInd w:val="0"/>
              <w:snapToGrid w:val="0"/>
              <w:spacing w:before="100" w:beforeAutospacing="1" w:after="100" w:afterAutospacing="1"/>
              <w:jc w:val="center"/>
              <w:rPr>
                <w:rFonts w:hint="eastAsia" w:ascii="宋体" w:hAnsi="宋体" w:cs="宋体"/>
                <w:b/>
                <w:sz w:val="24"/>
                <w:lang w:val="en-US" w:eastAsia="zh-CN"/>
              </w:rPr>
            </w:pPr>
          </w:p>
        </w:tc>
        <w:tc>
          <w:tcPr>
            <w:tcW w:w="1288" w:type="dxa"/>
            <w:vMerge w:val="continue"/>
            <w:tcBorders>
              <w:right w:val="single" w:color="auto" w:sz="4" w:space="0"/>
            </w:tcBorders>
            <w:shd w:val="clear" w:color="auto" w:fill="FFFFFF"/>
            <w:noWrap w:val="0"/>
            <w:tcMar>
              <w:top w:w="0" w:type="dxa"/>
              <w:left w:w="108" w:type="dxa"/>
              <w:bottom w:w="0" w:type="dxa"/>
              <w:right w:w="108" w:type="dxa"/>
            </w:tcMar>
            <w:vAlign w:val="center"/>
          </w:tcPr>
          <w:p>
            <w:pPr>
              <w:adjustRightInd w:val="0"/>
              <w:snapToGrid w:val="0"/>
              <w:spacing w:before="100" w:beforeAutospacing="1" w:after="100" w:afterAutospacing="1"/>
              <w:jc w:val="center"/>
              <w:rPr>
                <w:rFonts w:hint="eastAsia" w:ascii="宋体" w:hAnsi="宋体" w:cs="宋体"/>
                <w:b/>
                <w:sz w:val="24"/>
                <w:lang w:val="en-US" w:eastAsia="zh-CN"/>
              </w:rPr>
            </w:pPr>
          </w:p>
        </w:tc>
        <w:tc>
          <w:tcPr>
            <w:tcW w:w="1154" w:type="dxa"/>
            <w:tcBorders>
              <w:top w:val="single" w:color="auto" w:sz="4" w:space="0"/>
              <w:left w:val="single" w:color="auto" w:sz="4" w:space="0"/>
              <w:bottom w:val="single" w:color="auto" w:sz="4" w:space="0"/>
            </w:tcBorders>
            <w:shd w:val="clear" w:color="auto" w:fill="FFFFFF"/>
            <w:noWrap w:val="0"/>
            <w:vAlign w:val="center"/>
          </w:tcPr>
          <w:p>
            <w:pPr>
              <w:adjustRightInd w:val="0"/>
              <w:snapToGrid w:val="0"/>
              <w:spacing w:before="100" w:beforeAutospacing="1" w:after="100" w:afterAutospacing="1"/>
              <w:jc w:val="center"/>
              <w:rPr>
                <w:rFonts w:hint="eastAsia" w:ascii="宋体" w:hAnsi="宋体" w:cs="宋体"/>
                <w:b/>
                <w:bCs/>
                <w:sz w:val="18"/>
                <w:szCs w:val="13"/>
                <w:lang w:val="en-US" w:eastAsia="zh-CN"/>
              </w:rPr>
            </w:pPr>
            <w:r>
              <w:rPr>
                <w:rFonts w:hint="eastAsia" w:ascii="宋体" w:hAnsi="宋体" w:cs="宋体"/>
                <w:b/>
                <w:bCs/>
                <w:sz w:val="18"/>
                <w:szCs w:val="13"/>
                <w:lang w:val="en-US" w:eastAsia="zh-CN"/>
              </w:rPr>
              <w:t>实施方案</w:t>
            </w:r>
          </w:p>
          <w:p>
            <w:pPr>
              <w:adjustRightInd w:val="0"/>
              <w:snapToGrid w:val="0"/>
              <w:spacing w:before="100" w:beforeAutospacing="1" w:after="100" w:afterAutospacing="1"/>
              <w:jc w:val="center"/>
              <w:rPr>
                <w:rFonts w:hint="default" w:ascii="宋体" w:hAnsi="宋体" w:cs="宋体"/>
                <w:b/>
                <w:bCs/>
                <w:sz w:val="18"/>
                <w:szCs w:val="13"/>
                <w:lang w:val="en-US" w:eastAsia="zh-CN"/>
              </w:rPr>
            </w:pPr>
            <w:r>
              <w:rPr>
                <w:rFonts w:hint="eastAsia" w:ascii="宋体" w:hAnsi="宋体" w:cs="宋体"/>
                <w:b/>
                <w:bCs/>
                <w:sz w:val="18"/>
                <w:szCs w:val="13"/>
                <w:lang w:val="en-US" w:eastAsia="zh-CN"/>
              </w:rPr>
              <w:t>5分</w:t>
            </w:r>
          </w:p>
          <w:p>
            <w:pPr>
              <w:pStyle w:val="7"/>
              <w:rPr>
                <w:rFonts w:hint="eastAsia"/>
                <w:lang w:val="en-US" w:eastAsia="zh-CN"/>
              </w:rPr>
            </w:pPr>
          </w:p>
        </w:tc>
        <w:tc>
          <w:tcPr>
            <w:tcW w:w="6255" w:type="dxa"/>
            <w:shd w:val="clear" w:color="auto" w:fill="FFFFFF"/>
            <w:noWrap w:val="0"/>
            <w:tcMar>
              <w:top w:w="0" w:type="dxa"/>
              <w:left w:w="108" w:type="dxa"/>
              <w:bottom w:w="0" w:type="dxa"/>
              <w:right w:w="108" w:type="dxa"/>
            </w:tcMar>
            <w:vAlign w:val="center"/>
          </w:tcPr>
          <w:p>
            <w:pPr>
              <w:adjustRightInd w:val="0"/>
              <w:snapToGrid w:val="0"/>
              <w:spacing w:line="360" w:lineRule="auto"/>
              <w:jc w:val="lef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投标单位根据采购需求编写项目技术方案，包括但不限于①技术需求的分析 ②实施方案及难点分析③项目效果图和平面图示例④施工组织计划⑤到货安装调试进度安排⑥人力配备情况⑦硬件设施质量及软件建设目标的保证方案及措施⑧项目实施进度安排及保障措施⑨软件运行保障方案以及相关承诺⑩应急安全措施等内容。 </w:t>
            </w:r>
          </w:p>
          <w:p>
            <w:pPr>
              <w:adjustRightInd w:val="0"/>
              <w:snapToGrid w:val="0"/>
              <w:spacing w:line="360" w:lineRule="auto"/>
              <w:jc w:val="lef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1、针对以上内容，方案详细具体、操作性强，有具体实施技术方案、准确分析项目目标及难点、有详细说明及具体的措施和流程，符合实际情况，完全满足采购人需求的得 3-5 分； </w:t>
            </w:r>
          </w:p>
          <w:p>
            <w:pPr>
              <w:adjustRightInd w:val="0"/>
              <w:snapToGrid w:val="0"/>
              <w:spacing w:line="360" w:lineRule="auto"/>
              <w:jc w:val="lef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2、方案满足采购要求及内容，有具体实施技术方案，有详细说明及具体的措施和流程，符合项目实际情况、能满足采购人需求的 2-3分； </w:t>
            </w:r>
          </w:p>
          <w:p>
            <w:pPr>
              <w:adjustRightInd w:val="0"/>
              <w:snapToGrid w:val="0"/>
              <w:spacing w:line="360" w:lineRule="auto"/>
              <w:jc w:val="lef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3、方案基本详细具体、内容基本可行，有实施技术方案，有详细说明但措施和流程较为牵强，不太符合项目实际情况的得1-2分； </w:t>
            </w:r>
          </w:p>
          <w:p>
            <w:pPr>
              <w:adjustRightInd w:val="0"/>
              <w:snapToGrid w:val="0"/>
              <w:spacing w:line="360" w:lineRule="auto"/>
              <w:jc w:val="left"/>
              <w:rPr>
                <w:rFonts w:hint="eastAsia" w:ascii="宋体" w:hAnsi="宋体" w:eastAsia="宋体" w:cs="宋体"/>
                <w:sz w:val="18"/>
                <w:szCs w:val="18"/>
                <w:lang w:val="en-US" w:eastAsia="zh-CN"/>
              </w:rPr>
            </w:pPr>
            <w:r>
              <w:rPr>
                <w:rFonts w:hint="eastAsia" w:ascii="宋体" w:hAnsi="宋体" w:cs="宋体"/>
                <w:sz w:val="18"/>
                <w:szCs w:val="18"/>
                <w:lang w:val="en-US" w:eastAsia="zh-CN"/>
              </w:rPr>
              <w:t>4、</w:t>
            </w:r>
            <w:r>
              <w:rPr>
                <w:rFonts w:hint="eastAsia" w:ascii="宋体" w:hAnsi="宋体" w:eastAsia="宋体" w:cs="宋体"/>
                <w:sz w:val="18"/>
                <w:szCs w:val="18"/>
                <w:lang w:val="en-US" w:eastAsia="zh-CN"/>
              </w:rPr>
              <w:t>未提供不得分。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0" w:type="dxa"/>
            <w:left w:w="0" w:type="dxa"/>
            <w:bottom w:w="0" w:type="dxa"/>
            <w:right w:w="0" w:type="dxa"/>
          </w:tblCellMar>
        </w:tblPrEx>
        <w:trPr>
          <w:trHeight w:val="4632" w:hRule="atLeast"/>
          <w:jc w:val="center"/>
        </w:trPr>
        <w:tc>
          <w:tcPr>
            <w:tcW w:w="663" w:type="dxa"/>
            <w:vMerge w:val="continue"/>
            <w:shd w:val="clear" w:color="auto" w:fill="FFFFFF"/>
            <w:noWrap w:val="0"/>
            <w:tcMar>
              <w:top w:w="0" w:type="dxa"/>
              <w:left w:w="108" w:type="dxa"/>
              <w:bottom w:w="0" w:type="dxa"/>
              <w:right w:w="108" w:type="dxa"/>
            </w:tcMar>
            <w:vAlign w:val="center"/>
          </w:tcPr>
          <w:p>
            <w:pPr>
              <w:adjustRightInd w:val="0"/>
              <w:snapToGrid w:val="0"/>
              <w:spacing w:before="100" w:beforeAutospacing="1" w:after="100" w:afterAutospacing="1"/>
              <w:jc w:val="center"/>
              <w:rPr>
                <w:rFonts w:hint="eastAsia" w:ascii="宋体" w:hAnsi="宋体" w:cs="宋体"/>
                <w:b/>
                <w:sz w:val="24"/>
                <w:lang w:val="en-US" w:eastAsia="zh-CN"/>
              </w:rPr>
            </w:pPr>
          </w:p>
        </w:tc>
        <w:tc>
          <w:tcPr>
            <w:tcW w:w="1288" w:type="dxa"/>
            <w:vMerge w:val="continue"/>
            <w:tcBorders>
              <w:bottom w:val="single" w:color="auto" w:sz="4" w:space="0"/>
              <w:right w:val="single" w:color="auto" w:sz="4" w:space="0"/>
            </w:tcBorders>
            <w:shd w:val="clear" w:color="auto" w:fill="FFFFFF"/>
            <w:noWrap w:val="0"/>
            <w:tcMar>
              <w:top w:w="0" w:type="dxa"/>
              <w:left w:w="108" w:type="dxa"/>
              <w:bottom w:w="0" w:type="dxa"/>
              <w:right w:w="108" w:type="dxa"/>
            </w:tcMar>
            <w:vAlign w:val="center"/>
          </w:tcPr>
          <w:p>
            <w:pPr>
              <w:adjustRightInd w:val="0"/>
              <w:snapToGrid w:val="0"/>
              <w:spacing w:before="100" w:beforeAutospacing="1" w:after="100" w:afterAutospacing="1"/>
              <w:jc w:val="center"/>
              <w:rPr>
                <w:rFonts w:hint="eastAsia" w:ascii="宋体" w:hAnsi="宋体" w:cs="宋体"/>
                <w:b/>
                <w:sz w:val="24"/>
                <w:lang w:val="en-US" w:eastAsia="zh-CN"/>
              </w:rPr>
            </w:pPr>
          </w:p>
        </w:tc>
        <w:tc>
          <w:tcPr>
            <w:tcW w:w="1154" w:type="dxa"/>
            <w:tcBorders>
              <w:top w:val="single" w:color="auto" w:sz="4" w:space="0"/>
              <w:left w:val="single" w:color="auto" w:sz="4" w:space="0"/>
              <w:bottom w:val="single" w:color="auto" w:sz="4" w:space="0"/>
            </w:tcBorders>
            <w:shd w:val="clear" w:color="auto" w:fill="FFFFFF"/>
            <w:noWrap w:val="0"/>
            <w:vAlign w:val="center"/>
          </w:tcPr>
          <w:p>
            <w:pPr>
              <w:adjustRightInd w:val="0"/>
              <w:snapToGrid w:val="0"/>
              <w:spacing w:before="100" w:beforeAutospacing="1" w:after="100" w:afterAutospacing="1"/>
              <w:jc w:val="center"/>
              <w:rPr>
                <w:rFonts w:hint="eastAsia" w:ascii="宋体" w:hAnsi="宋体" w:cs="宋体"/>
                <w:b/>
                <w:bCs/>
                <w:sz w:val="18"/>
                <w:szCs w:val="13"/>
                <w:lang w:val="en-US" w:eastAsia="zh-CN"/>
              </w:rPr>
            </w:pPr>
            <w:r>
              <w:rPr>
                <w:rFonts w:hint="eastAsia" w:ascii="宋体" w:hAnsi="宋体" w:cs="宋体"/>
                <w:b/>
                <w:bCs/>
                <w:sz w:val="18"/>
                <w:szCs w:val="13"/>
                <w:lang w:val="en-US" w:eastAsia="zh-CN"/>
              </w:rPr>
              <w:t>售后服务方案</w:t>
            </w:r>
          </w:p>
          <w:p>
            <w:pPr>
              <w:adjustRightInd w:val="0"/>
              <w:snapToGrid w:val="0"/>
              <w:spacing w:before="100" w:beforeAutospacing="1" w:after="100" w:afterAutospacing="1"/>
              <w:jc w:val="center"/>
              <w:rPr>
                <w:rFonts w:hint="default" w:ascii="宋体" w:hAnsi="宋体" w:cs="宋体"/>
                <w:b/>
                <w:bCs/>
                <w:sz w:val="18"/>
                <w:szCs w:val="13"/>
                <w:lang w:val="en-US" w:eastAsia="zh-CN"/>
              </w:rPr>
            </w:pPr>
            <w:r>
              <w:rPr>
                <w:rFonts w:hint="eastAsia" w:ascii="宋体" w:hAnsi="宋体" w:cs="宋体"/>
                <w:b/>
                <w:bCs/>
                <w:sz w:val="18"/>
                <w:szCs w:val="13"/>
                <w:lang w:val="en-US" w:eastAsia="zh-CN"/>
              </w:rPr>
              <w:t>5分</w:t>
            </w:r>
          </w:p>
        </w:tc>
        <w:tc>
          <w:tcPr>
            <w:tcW w:w="6255" w:type="dxa"/>
            <w:shd w:val="clear" w:color="auto" w:fill="FFFFFF"/>
            <w:noWrap w:val="0"/>
            <w:tcMar>
              <w:top w:w="0" w:type="dxa"/>
              <w:left w:w="108" w:type="dxa"/>
              <w:bottom w:w="0" w:type="dxa"/>
              <w:right w:w="108" w:type="dxa"/>
            </w:tcMar>
            <w:vAlign w:val="center"/>
          </w:tcPr>
          <w:p>
            <w:pPr>
              <w:adjustRightInd w:val="0"/>
              <w:snapToGrid w:val="0"/>
              <w:spacing w:line="360" w:lineRule="auto"/>
              <w:jc w:val="lef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投标人依据项目需求，提供的售后服务方案（包括但不限于对采购人此次采购设备的维修时限、现场服务到位时间、完整的服务体系流程、售后服务保障措施等内容）： </w:t>
            </w:r>
          </w:p>
          <w:p>
            <w:pPr>
              <w:adjustRightInd w:val="0"/>
              <w:snapToGrid w:val="0"/>
              <w:spacing w:line="360" w:lineRule="auto"/>
              <w:jc w:val="lef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1、售后服务内容全面具体；维修时限短且完成迅速有效，现场服务到位快捷， 售后服务响应迅速；服务体系流程详尽、层次分明；售后服务保障措施完善， 售后服务奖惩严格、执行保障全面到位，得 3-5 分； </w:t>
            </w:r>
          </w:p>
          <w:p>
            <w:pPr>
              <w:adjustRightInd w:val="0"/>
              <w:snapToGrid w:val="0"/>
              <w:spacing w:line="360" w:lineRule="auto"/>
              <w:jc w:val="lef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2、售后服务内容比较具体；维修时限短；现场服务到位比较及时；服务体系比 较完善；售后服务保障措施较为科学且对有可能发生的售后服务不到位的情 况有奖惩方案，得 2-3分； </w:t>
            </w:r>
          </w:p>
          <w:p>
            <w:pPr>
              <w:adjustRightInd w:val="0"/>
              <w:snapToGrid w:val="0"/>
              <w:spacing w:line="360" w:lineRule="auto"/>
              <w:jc w:val="lef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3、有相对比较简单的设备的维修时限表述和现场服务到位时间表述；服务体系不具体；有售后服务保障措施和售后服务奖惩方案，但内容相对概括，不够贴合实际，得 1-2分； </w:t>
            </w:r>
          </w:p>
          <w:p>
            <w:pPr>
              <w:adjustRightInd w:val="0"/>
              <w:snapToGrid w:val="0"/>
              <w:spacing w:line="360" w:lineRule="auto"/>
              <w:jc w:val="left"/>
              <w:rPr>
                <w:rFonts w:hint="eastAsia" w:ascii="宋体" w:hAnsi="宋体" w:eastAsia="宋体" w:cs="宋体"/>
                <w:sz w:val="18"/>
                <w:szCs w:val="18"/>
                <w:lang w:val="en-US" w:eastAsia="zh-CN"/>
              </w:rPr>
            </w:pPr>
            <w:r>
              <w:rPr>
                <w:rFonts w:hint="eastAsia" w:ascii="宋体" w:hAnsi="宋体" w:cs="宋体"/>
                <w:sz w:val="18"/>
                <w:szCs w:val="18"/>
                <w:lang w:val="en-US" w:eastAsia="zh-CN"/>
              </w:rPr>
              <w:t>4、</w:t>
            </w:r>
            <w:r>
              <w:rPr>
                <w:rFonts w:hint="eastAsia" w:ascii="宋体" w:hAnsi="宋体" w:eastAsia="宋体" w:cs="宋体"/>
                <w:sz w:val="18"/>
                <w:szCs w:val="18"/>
                <w:lang w:val="en-US" w:eastAsia="zh-CN"/>
              </w:rPr>
              <w:t>未提供不得分。</w:t>
            </w:r>
          </w:p>
        </w:tc>
      </w:tr>
    </w:tbl>
    <w:p>
      <w:pPr>
        <w:autoSpaceDE w:val="0"/>
        <w:autoSpaceDN w:val="0"/>
        <w:adjustRightInd w:val="0"/>
        <w:spacing w:line="440" w:lineRule="exact"/>
        <w:ind w:firstLine="480" w:firstLineChars="200"/>
        <w:rPr>
          <w:rFonts w:ascii="宋体" w:hAnsi="宋体" w:cs="宋体"/>
          <w:color w:val="000000"/>
          <w:sz w:val="28"/>
          <w:szCs w:val="28"/>
        </w:rPr>
      </w:pPr>
      <w:r>
        <w:rPr>
          <w:rFonts w:hint="eastAsia" w:ascii="宋体" w:hAnsi="宋体" w:cs="宋体"/>
          <w:color w:val="000000"/>
          <w:sz w:val="24"/>
        </w:rPr>
        <w:t>磋商结束后，成交结果将在淮安市政府采购网上进行公告。磋商供应商对采购过程和成交结果有质疑的必须在相关法律法规规定的时间内提出。</w:t>
      </w:r>
    </w:p>
    <w:p>
      <w:pPr>
        <w:spacing w:line="440" w:lineRule="exact"/>
        <w:ind w:firstLine="472" w:firstLineChars="196"/>
        <w:rPr>
          <w:rFonts w:ascii="宋体" w:hAnsi="宋体" w:cs="宋体"/>
          <w:b/>
          <w:color w:val="000000"/>
          <w:sz w:val="24"/>
        </w:rPr>
      </w:pPr>
      <w:r>
        <w:rPr>
          <w:rFonts w:hint="eastAsia" w:ascii="宋体" w:hAnsi="宋体" w:cs="宋体"/>
          <w:b/>
          <w:color w:val="000000"/>
          <w:sz w:val="24"/>
        </w:rPr>
        <w:t>成交候选人在公示期间，如经查实从参加该成交项目之日起计算所参加的政府采购活动前三年内，在经营活动中有行贿犯罪记录的，采购人将取消其成交候选人资格。</w:t>
      </w:r>
    </w:p>
    <w:p>
      <w:pPr>
        <w:pStyle w:val="36"/>
        <w:spacing w:line="400" w:lineRule="exact"/>
        <w:ind w:firstLine="0" w:firstLineChars="0"/>
        <w:rPr>
          <w:rFonts w:ascii="宋体" w:hAnsi="宋体" w:cs="楷体"/>
          <w:sz w:val="24"/>
        </w:rPr>
      </w:pPr>
    </w:p>
    <w:p>
      <w:pPr>
        <w:rPr>
          <w:rFonts w:hint="eastAsia"/>
          <w:lang w:val="zh-CN"/>
        </w:rPr>
      </w:pPr>
    </w:p>
    <w:p>
      <w:pPr>
        <w:pStyle w:val="2"/>
        <w:spacing w:before="240" w:after="240"/>
        <w:ind w:firstLine="0" w:firstLineChars="0"/>
        <w:jc w:val="center"/>
        <w:rPr>
          <w:rFonts w:hint="eastAsia" w:ascii="宋体" w:hAnsi="宋体" w:eastAsia="宋体" w:cs="宋体"/>
          <w:sz w:val="40"/>
          <w:szCs w:val="40"/>
          <w:lang w:val="zh-CN"/>
        </w:rPr>
      </w:pPr>
    </w:p>
    <w:p>
      <w:pPr>
        <w:pStyle w:val="2"/>
        <w:spacing w:before="240" w:after="240"/>
        <w:ind w:firstLine="0" w:firstLineChars="0"/>
        <w:jc w:val="center"/>
        <w:rPr>
          <w:rFonts w:ascii="宋体" w:hAnsi="宋体" w:eastAsia="宋体" w:cs="宋体"/>
          <w:sz w:val="40"/>
          <w:szCs w:val="40"/>
        </w:rPr>
      </w:pPr>
      <w:r>
        <w:rPr>
          <w:rFonts w:hint="eastAsia" w:ascii="宋体" w:hAnsi="宋体" w:eastAsia="宋体" w:cs="宋体"/>
          <w:sz w:val="40"/>
          <w:szCs w:val="40"/>
          <w:lang w:val="zh-CN"/>
        </w:rPr>
        <w:t>第</w:t>
      </w:r>
      <w:r>
        <w:rPr>
          <w:rFonts w:hint="eastAsia" w:ascii="宋体" w:hAnsi="宋体" w:eastAsia="宋体" w:cs="宋体"/>
          <w:sz w:val="40"/>
          <w:szCs w:val="40"/>
        </w:rPr>
        <w:t>四部分</w:t>
      </w:r>
      <w:r>
        <w:rPr>
          <w:rFonts w:hint="eastAsia" w:ascii="宋体" w:hAnsi="宋体" w:eastAsia="宋体" w:cs="宋体"/>
          <w:sz w:val="40"/>
          <w:szCs w:val="40"/>
          <w:lang w:val="zh-CN"/>
        </w:rPr>
        <w:t>合同条款及格式</w:t>
      </w:r>
    </w:p>
    <w:p>
      <w:pPr>
        <w:spacing w:line="380" w:lineRule="exact"/>
        <w:ind w:firstLine="472" w:firstLineChars="197"/>
        <w:rPr>
          <w:rFonts w:hint="eastAsia" w:hAnsi="宋体" w:cs="宋体"/>
          <w:sz w:val="24"/>
          <w:szCs w:val="24"/>
        </w:rPr>
      </w:pPr>
      <w:r>
        <w:rPr>
          <w:rFonts w:hint="eastAsia" w:ascii="宋体" w:hAnsi="宋体" w:cs="宋体"/>
          <w:bCs/>
          <w:sz w:val="24"/>
        </w:rPr>
        <w:t>注:以下为采购人提出成交后签订本项目合同的条款，供应商必须实质性响应，成交供应商不得提出实质性的修改，关于专用条款将由采购人与成交供应商结合本项目具体情况协商后签订。</w:t>
      </w:r>
    </w:p>
    <w:p>
      <w:pPr>
        <w:tabs>
          <w:tab w:val="left" w:pos="180"/>
        </w:tabs>
        <w:spacing w:line="400" w:lineRule="exact"/>
        <w:jc w:val="center"/>
        <w:rPr>
          <w:rFonts w:ascii="宋体" w:hAnsi="宋体"/>
          <w:sz w:val="24"/>
          <w:szCs w:val="24"/>
        </w:rPr>
      </w:pPr>
      <w:r>
        <w:rPr>
          <w:rFonts w:hint="eastAsia" w:ascii="宋体" w:hAnsi="宋体" w:cs="宋体"/>
          <w:b/>
          <w:sz w:val="24"/>
        </w:rPr>
        <w:t>合同条款前附表</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79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080" w:type="dxa"/>
            <w:noWrap w:val="0"/>
            <w:vAlign w:val="center"/>
          </w:tcPr>
          <w:p>
            <w:pPr>
              <w:rPr>
                <w:rFonts w:ascii="宋体" w:hAnsi="宋体" w:cs="宋体"/>
                <w:b/>
                <w:sz w:val="24"/>
              </w:rPr>
            </w:pPr>
            <w:r>
              <w:rPr>
                <w:rFonts w:hint="eastAsia" w:ascii="宋体" w:hAnsi="宋体" w:cs="宋体"/>
                <w:b/>
                <w:sz w:val="24"/>
              </w:rPr>
              <w:t>序 号</w:t>
            </w:r>
          </w:p>
        </w:tc>
        <w:tc>
          <w:tcPr>
            <w:tcW w:w="7964" w:type="dxa"/>
            <w:noWrap w:val="0"/>
            <w:vAlign w:val="center"/>
          </w:tcPr>
          <w:p>
            <w:pPr>
              <w:ind w:firstLine="482" w:firstLineChars="200"/>
              <w:jc w:val="center"/>
              <w:rPr>
                <w:rFonts w:ascii="宋体" w:hAnsi="宋体" w:cs="宋体"/>
                <w:b/>
                <w:sz w:val="24"/>
              </w:rPr>
            </w:pPr>
            <w:r>
              <w:rPr>
                <w:rFonts w:hint="eastAsia" w:ascii="宋体" w:hAnsi="宋体" w:cs="宋体"/>
                <w:b/>
                <w:sz w:val="24"/>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noWrap w:val="0"/>
            <w:vAlign w:val="center"/>
          </w:tcPr>
          <w:p>
            <w:pPr>
              <w:jc w:val="center"/>
              <w:rPr>
                <w:rFonts w:hint="eastAsia" w:hAnsi="宋体" w:cs="宋体"/>
                <w:sz w:val="24"/>
              </w:rPr>
            </w:pPr>
            <w:r>
              <w:rPr>
                <w:rFonts w:hint="eastAsia" w:hAnsi="宋体" w:cs="宋体"/>
                <w:sz w:val="24"/>
              </w:rPr>
              <w:t>1</w:t>
            </w:r>
          </w:p>
        </w:tc>
        <w:tc>
          <w:tcPr>
            <w:tcW w:w="7964" w:type="dxa"/>
            <w:noWrap w:val="0"/>
            <w:vAlign w:val="top"/>
          </w:tcPr>
          <w:p>
            <w:pPr>
              <w:rPr>
                <w:rFonts w:hint="eastAsia" w:ascii="宋体" w:hAnsi="宋体" w:eastAsia="宋体" w:cs="宋体"/>
                <w:sz w:val="24"/>
                <w:lang w:eastAsia="zh-CN"/>
              </w:rPr>
            </w:pPr>
            <w:r>
              <w:rPr>
                <w:rFonts w:hint="eastAsia" w:hAnsi="宋体" w:cs="宋体"/>
                <w:color w:val="auto"/>
                <w:sz w:val="24"/>
                <w:highlight w:val="none"/>
              </w:rPr>
              <w:t>付款均应按下列条件进行付款方式：</w:t>
            </w:r>
            <w:r>
              <w:rPr>
                <w:rFonts w:hint="eastAsia" w:hAnsi="宋体" w:cs="宋体"/>
                <w:color w:val="auto"/>
                <w:sz w:val="24"/>
                <w:highlight w:val="none"/>
                <w:lang w:eastAsia="zh-CN"/>
              </w:rPr>
              <w:t>合同签订生效后预付合同价的40%，设备验收运行合格后一次付清。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noWrap w:val="0"/>
            <w:vAlign w:val="center"/>
          </w:tcPr>
          <w:p>
            <w:pPr>
              <w:jc w:val="center"/>
              <w:rPr>
                <w:rFonts w:hint="eastAsia" w:hAnsi="宋体" w:cs="宋体"/>
                <w:sz w:val="24"/>
              </w:rPr>
            </w:pPr>
            <w:r>
              <w:rPr>
                <w:rFonts w:hint="eastAsia" w:hAnsi="宋体" w:cs="宋体"/>
                <w:sz w:val="24"/>
              </w:rPr>
              <w:t>2</w:t>
            </w:r>
          </w:p>
        </w:tc>
        <w:tc>
          <w:tcPr>
            <w:tcW w:w="7964" w:type="dxa"/>
            <w:noWrap w:val="0"/>
            <w:vAlign w:val="top"/>
          </w:tcPr>
          <w:p>
            <w:pPr>
              <w:rPr>
                <w:rFonts w:hint="eastAsia" w:hAnsi="宋体" w:eastAsia="宋体" w:cs="宋体"/>
                <w:sz w:val="24"/>
                <w:lang w:eastAsia="zh-CN"/>
              </w:rPr>
            </w:pPr>
            <w:r>
              <w:rPr>
                <w:rFonts w:hint="eastAsia" w:hAnsi="宋体" w:cs="宋体"/>
                <w:sz w:val="24"/>
              </w:rPr>
              <w:t>供货时间:</w:t>
            </w:r>
            <w:r>
              <w:rPr>
                <w:rFonts w:hint="eastAsia" w:hAnsi="宋体" w:cs="宋体"/>
                <w:sz w:val="24"/>
                <w:lang w:val="en-US" w:eastAsia="zh-CN"/>
              </w:rPr>
              <w:t>合同签订后，</w:t>
            </w:r>
            <w:r>
              <w:rPr>
                <w:rFonts w:hint="eastAsia" w:ascii="宋体" w:hAnsi="宋体" w:cs="宋体"/>
                <w:bCs/>
                <w:sz w:val="24"/>
                <w:lang w:eastAsia="zh-CN"/>
              </w:rPr>
              <w:t>30日内供货安装调试到位交付使用。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noWrap w:val="0"/>
            <w:vAlign w:val="center"/>
          </w:tcPr>
          <w:p>
            <w:pPr>
              <w:jc w:val="center"/>
              <w:rPr>
                <w:rFonts w:hint="eastAsia" w:hAnsi="宋体" w:cs="宋体"/>
                <w:sz w:val="24"/>
              </w:rPr>
            </w:pPr>
            <w:r>
              <w:rPr>
                <w:rFonts w:hint="eastAsia" w:hAnsi="宋体" w:cs="宋体"/>
                <w:sz w:val="24"/>
              </w:rPr>
              <w:t>3</w:t>
            </w:r>
          </w:p>
        </w:tc>
        <w:tc>
          <w:tcPr>
            <w:tcW w:w="7964" w:type="dxa"/>
            <w:noWrap w:val="0"/>
            <w:vAlign w:val="top"/>
          </w:tcPr>
          <w:p>
            <w:pPr>
              <w:rPr>
                <w:rFonts w:hint="eastAsia" w:hAnsi="宋体" w:cs="宋体"/>
                <w:sz w:val="24"/>
              </w:rPr>
            </w:pPr>
            <w:r>
              <w:rPr>
                <w:rFonts w:hint="eastAsia" w:hAnsi="宋体" w:cs="宋体"/>
                <w:sz w:val="24"/>
              </w:rPr>
              <w:t>服务地点:由采购人指定。</w:t>
            </w:r>
          </w:p>
        </w:tc>
      </w:tr>
    </w:tbl>
    <w:p>
      <w:pPr>
        <w:pStyle w:val="10"/>
        <w:spacing w:line="380" w:lineRule="exact"/>
        <w:rPr>
          <w:rFonts w:hint="eastAsia" w:hAnsi="宋体" w:cs="宋体"/>
          <w:sz w:val="24"/>
          <w:szCs w:val="24"/>
        </w:rPr>
      </w:pPr>
    </w:p>
    <w:p>
      <w:pPr>
        <w:pStyle w:val="10"/>
        <w:spacing w:line="380" w:lineRule="exact"/>
        <w:ind w:firstLine="3614" w:firstLineChars="1500"/>
        <w:rPr>
          <w:rFonts w:hint="eastAsia" w:hAnsi="宋体" w:cs="宋体"/>
          <w:b/>
          <w:bCs/>
          <w:sz w:val="24"/>
          <w:szCs w:val="24"/>
        </w:rPr>
      </w:pPr>
      <w:r>
        <w:rPr>
          <w:rFonts w:hint="eastAsia" w:hAnsi="宋体" w:cs="宋体"/>
          <w:b/>
          <w:bCs/>
          <w:sz w:val="24"/>
          <w:szCs w:val="24"/>
        </w:rPr>
        <w:t>一、合同格式</w:t>
      </w:r>
    </w:p>
    <w:p>
      <w:pPr>
        <w:autoSpaceDE w:val="0"/>
        <w:autoSpaceDN w:val="0"/>
        <w:adjustRightInd w:val="0"/>
        <w:spacing w:line="380" w:lineRule="exact"/>
        <w:jc w:val="left"/>
        <w:rPr>
          <w:rFonts w:hint="eastAsia" w:ascii="宋体" w:hAnsi="宋体" w:cs="宋体"/>
          <w:color w:val="000000"/>
          <w:kern w:val="0"/>
          <w:sz w:val="24"/>
        </w:rPr>
      </w:pPr>
      <w:r>
        <w:rPr>
          <w:rFonts w:hint="eastAsia" w:ascii="宋体" w:hAnsi="宋体" w:cs="宋体"/>
          <w:color w:val="000000"/>
          <w:kern w:val="0"/>
          <w:sz w:val="24"/>
        </w:rPr>
        <w:t xml:space="preserve">甲方（采购方）: </w:t>
      </w:r>
    </w:p>
    <w:p>
      <w:pPr>
        <w:pStyle w:val="10"/>
        <w:spacing w:line="380" w:lineRule="exact"/>
        <w:rPr>
          <w:rFonts w:hint="eastAsia" w:hAnsi="宋体" w:cs="宋体"/>
          <w:sz w:val="24"/>
          <w:szCs w:val="24"/>
        </w:rPr>
      </w:pPr>
      <w:r>
        <w:rPr>
          <w:rFonts w:hint="eastAsia" w:hAnsi="宋体" w:cs="宋体"/>
          <w:color w:val="000000"/>
          <w:kern w:val="0"/>
          <w:sz w:val="24"/>
          <w:szCs w:val="24"/>
        </w:rPr>
        <w:t>乙方（供货方）:</w:t>
      </w:r>
    </w:p>
    <w:p>
      <w:pPr>
        <w:pStyle w:val="10"/>
        <w:spacing w:line="380" w:lineRule="exact"/>
        <w:ind w:firstLine="544" w:firstLineChars="227"/>
        <w:rPr>
          <w:rFonts w:hint="eastAsia" w:hAnsi="宋体" w:cs="宋体"/>
          <w:sz w:val="24"/>
          <w:szCs w:val="24"/>
        </w:rPr>
      </w:pPr>
      <w:r>
        <w:rPr>
          <w:rFonts w:hint="eastAsia" w:hAnsi="宋体" w:cs="宋体"/>
          <w:sz w:val="24"/>
          <w:szCs w:val="24"/>
        </w:rPr>
        <w:t>甲、乙双方根据项目编号</w:t>
      </w:r>
      <w:r>
        <w:rPr>
          <w:rFonts w:hint="eastAsia" w:hAnsi="宋体" w:cs="宋体"/>
          <w:sz w:val="24"/>
          <w:szCs w:val="24"/>
          <w:highlight w:val="none"/>
          <w:lang w:eastAsia="zh-CN"/>
        </w:rPr>
        <w:t>HAZC-2023080244-XY</w:t>
      </w:r>
      <w:r>
        <w:rPr>
          <w:rFonts w:hint="eastAsia" w:hAnsi="宋体" w:cs="宋体"/>
          <w:sz w:val="24"/>
          <w:szCs w:val="24"/>
        </w:rPr>
        <w:t xml:space="preserve">的 </w:t>
      </w:r>
      <w:r>
        <w:rPr>
          <w:rFonts w:hint="eastAsia" w:hAnsi="宋体" w:cs="宋体"/>
          <w:sz w:val="24"/>
          <w:szCs w:val="24"/>
          <w:u w:val="single"/>
        </w:rPr>
        <w:t xml:space="preserve">       </w:t>
      </w:r>
      <w:r>
        <w:rPr>
          <w:rFonts w:hint="eastAsia" w:hAnsi="宋体" w:cs="宋体"/>
          <w:sz w:val="24"/>
          <w:szCs w:val="24"/>
        </w:rPr>
        <w:t>采购项目竞争性</w:t>
      </w:r>
      <w:r>
        <w:rPr>
          <w:rFonts w:hint="eastAsia" w:hAnsi="宋体" w:cs="宋体"/>
          <w:sz w:val="24"/>
          <w:szCs w:val="24"/>
          <w:lang w:eastAsia="zh-CN"/>
        </w:rPr>
        <w:t>磋商</w:t>
      </w:r>
      <w:r>
        <w:rPr>
          <w:rFonts w:hint="eastAsia" w:hAnsi="宋体" w:cs="宋体"/>
          <w:sz w:val="24"/>
          <w:szCs w:val="24"/>
        </w:rPr>
        <w:t>采购结果及</w:t>
      </w:r>
      <w:r>
        <w:rPr>
          <w:rFonts w:hint="eastAsia" w:hAnsi="宋体" w:cs="宋体"/>
          <w:sz w:val="24"/>
          <w:szCs w:val="24"/>
          <w:lang w:eastAsia="zh-CN"/>
        </w:rPr>
        <w:t>磋商</w:t>
      </w:r>
      <w:r>
        <w:rPr>
          <w:rFonts w:hint="eastAsia" w:hAnsi="宋体" w:cs="宋体"/>
          <w:sz w:val="24"/>
          <w:szCs w:val="24"/>
        </w:rPr>
        <w:t>文件的要求,经协商一致,达成如下购销合同:</w:t>
      </w:r>
    </w:p>
    <w:p>
      <w:pPr>
        <w:pStyle w:val="10"/>
        <w:spacing w:line="380" w:lineRule="exact"/>
        <w:ind w:left="-359" w:leftChars="-171" w:firstLine="825" w:firstLineChars="344"/>
        <w:rPr>
          <w:rFonts w:hint="eastAsia" w:hAnsi="宋体" w:cs="宋体"/>
          <w:sz w:val="24"/>
          <w:szCs w:val="24"/>
        </w:rPr>
      </w:pPr>
    </w:p>
    <w:p>
      <w:pPr>
        <w:pStyle w:val="10"/>
        <w:spacing w:line="380" w:lineRule="exact"/>
        <w:ind w:left="-359" w:leftChars="-171" w:firstLine="825" w:firstLineChars="344"/>
        <w:rPr>
          <w:rFonts w:hint="eastAsia" w:hAnsi="宋体" w:cs="宋体"/>
          <w:sz w:val="24"/>
          <w:szCs w:val="24"/>
        </w:rPr>
      </w:pPr>
      <w:r>
        <w:rPr>
          <w:rFonts w:hint="eastAsia" w:hAnsi="宋体" w:cs="宋体"/>
          <w:sz w:val="24"/>
          <w:szCs w:val="24"/>
        </w:rPr>
        <w:t>一、货物及数量</w:t>
      </w:r>
    </w:p>
    <w:p>
      <w:pPr>
        <w:pStyle w:val="10"/>
        <w:spacing w:line="380" w:lineRule="exact"/>
        <w:ind w:firstLine="480" w:firstLineChars="200"/>
        <w:rPr>
          <w:rFonts w:hint="eastAsia" w:hAnsi="宋体" w:cs="宋体"/>
          <w:sz w:val="24"/>
          <w:szCs w:val="24"/>
        </w:rPr>
      </w:pPr>
    </w:p>
    <w:p>
      <w:pPr>
        <w:pStyle w:val="10"/>
        <w:spacing w:line="380" w:lineRule="exact"/>
        <w:ind w:firstLine="480" w:firstLineChars="200"/>
        <w:rPr>
          <w:rFonts w:hint="eastAsia" w:hAnsi="宋体" w:cs="宋体"/>
          <w:sz w:val="24"/>
          <w:szCs w:val="24"/>
        </w:rPr>
      </w:pPr>
      <w:r>
        <w:rPr>
          <w:rFonts w:hint="eastAsia" w:hAnsi="宋体" w:cs="宋体"/>
          <w:sz w:val="24"/>
          <w:szCs w:val="24"/>
        </w:rPr>
        <w:t>本合同所提供的货物及数量详见“项目采购需求”。</w:t>
      </w:r>
    </w:p>
    <w:p>
      <w:pPr>
        <w:pStyle w:val="10"/>
        <w:spacing w:line="380" w:lineRule="exact"/>
        <w:ind w:left="-359" w:leftChars="-171" w:firstLine="825" w:firstLineChars="344"/>
        <w:rPr>
          <w:rFonts w:hint="eastAsia" w:hAnsi="宋体" w:cs="宋体"/>
          <w:sz w:val="24"/>
          <w:szCs w:val="24"/>
        </w:rPr>
      </w:pPr>
    </w:p>
    <w:p>
      <w:pPr>
        <w:pStyle w:val="10"/>
        <w:spacing w:line="380" w:lineRule="exact"/>
        <w:ind w:left="-359" w:leftChars="-171" w:firstLine="825" w:firstLineChars="344"/>
        <w:rPr>
          <w:rFonts w:hint="eastAsia" w:hAnsi="宋体" w:cs="宋体"/>
          <w:sz w:val="24"/>
          <w:szCs w:val="24"/>
        </w:rPr>
      </w:pPr>
      <w:r>
        <w:rPr>
          <w:rFonts w:hint="eastAsia" w:hAnsi="宋体" w:cs="宋体"/>
          <w:sz w:val="24"/>
          <w:szCs w:val="24"/>
        </w:rPr>
        <w:t>二、合同金额</w:t>
      </w:r>
    </w:p>
    <w:p>
      <w:pPr>
        <w:pStyle w:val="10"/>
        <w:spacing w:line="380" w:lineRule="exact"/>
        <w:ind w:firstLine="424" w:firstLineChars="177"/>
        <w:rPr>
          <w:rFonts w:hint="eastAsia" w:hAnsi="宋体" w:cs="宋体"/>
          <w:sz w:val="24"/>
          <w:szCs w:val="24"/>
        </w:rPr>
      </w:pPr>
    </w:p>
    <w:p>
      <w:pPr>
        <w:pStyle w:val="10"/>
        <w:spacing w:line="380" w:lineRule="exact"/>
        <w:ind w:firstLine="424" w:firstLineChars="177"/>
        <w:rPr>
          <w:rFonts w:hint="eastAsia" w:hAnsi="宋体" w:cs="宋体"/>
          <w:sz w:val="24"/>
          <w:szCs w:val="24"/>
        </w:rPr>
      </w:pPr>
      <w:r>
        <w:rPr>
          <w:rFonts w:hint="eastAsia" w:hAnsi="宋体" w:cs="宋体"/>
          <w:sz w:val="24"/>
          <w:szCs w:val="24"/>
        </w:rPr>
        <w:t>本合同的总金额(大写)为___________元人民币，分项价格详见乙方提交的</w:t>
      </w:r>
      <w:r>
        <w:rPr>
          <w:rFonts w:hint="eastAsia" w:hAnsi="宋体" w:cs="宋体"/>
          <w:sz w:val="24"/>
          <w:szCs w:val="24"/>
          <w:lang w:eastAsia="zh-CN"/>
        </w:rPr>
        <w:t>磋商</w:t>
      </w:r>
      <w:r>
        <w:rPr>
          <w:rFonts w:hint="eastAsia" w:hAnsi="宋体" w:cs="宋体"/>
          <w:sz w:val="24"/>
          <w:szCs w:val="24"/>
        </w:rPr>
        <w:t>报价表。</w:t>
      </w:r>
    </w:p>
    <w:p>
      <w:pPr>
        <w:pStyle w:val="10"/>
        <w:spacing w:line="380" w:lineRule="exact"/>
        <w:ind w:left="-359" w:leftChars="-171" w:firstLine="825" w:firstLineChars="344"/>
        <w:rPr>
          <w:rFonts w:hint="eastAsia" w:hAnsi="宋体" w:cs="宋体"/>
          <w:bCs/>
          <w:sz w:val="24"/>
          <w:szCs w:val="24"/>
        </w:rPr>
      </w:pPr>
    </w:p>
    <w:p>
      <w:pPr>
        <w:pStyle w:val="10"/>
        <w:spacing w:line="380" w:lineRule="exact"/>
        <w:ind w:left="-359" w:leftChars="-171" w:firstLine="825" w:firstLineChars="344"/>
        <w:rPr>
          <w:rFonts w:hint="eastAsia" w:hAnsi="宋体" w:cs="宋体"/>
          <w:bCs/>
          <w:sz w:val="24"/>
          <w:szCs w:val="24"/>
        </w:rPr>
      </w:pPr>
      <w:r>
        <w:rPr>
          <w:rFonts w:hint="eastAsia" w:hAnsi="宋体" w:cs="宋体"/>
          <w:bCs/>
          <w:sz w:val="24"/>
          <w:szCs w:val="24"/>
        </w:rPr>
        <w:t>三、</w:t>
      </w:r>
      <w:r>
        <w:rPr>
          <w:rFonts w:hint="eastAsia" w:hAnsi="宋体" w:cs="宋体"/>
          <w:sz w:val="24"/>
          <w:szCs w:val="24"/>
        </w:rPr>
        <w:t>供货时间和地点</w:t>
      </w:r>
    </w:p>
    <w:p>
      <w:pPr>
        <w:pStyle w:val="10"/>
        <w:spacing w:line="380" w:lineRule="exact"/>
        <w:ind w:firstLine="480" w:firstLineChars="200"/>
        <w:rPr>
          <w:rFonts w:hint="eastAsia" w:hAnsi="宋体" w:cs="宋体"/>
          <w:sz w:val="24"/>
          <w:szCs w:val="24"/>
        </w:rPr>
      </w:pPr>
    </w:p>
    <w:p>
      <w:pPr>
        <w:pStyle w:val="10"/>
        <w:spacing w:line="380" w:lineRule="exact"/>
        <w:ind w:firstLine="480" w:firstLineChars="200"/>
        <w:rPr>
          <w:rFonts w:hint="eastAsia" w:hAnsi="宋体" w:cs="宋体"/>
          <w:sz w:val="24"/>
          <w:szCs w:val="24"/>
        </w:rPr>
      </w:pPr>
      <w:r>
        <w:rPr>
          <w:rFonts w:hint="eastAsia" w:hAnsi="宋体" w:cs="宋体"/>
          <w:sz w:val="24"/>
          <w:szCs w:val="24"/>
        </w:rPr>
        <w:t>本合同供货时间和地点在</w:t>
      </w:r>
      <w:r>
        <w:rPr>
          <w:rFonts w:hint="eastAsia" w:hAnsi="宋体" w:cs="宋体"/>
          <w:sz w:val="24"/>
          <w:szCs w:val="24"/>
          <w:lang w:eastAsia="zh-CN"/>
        </w:rPr>
        <w:t>磋商</w:t>
      </w:r>
      <w:r>
        <w:rPr>
          <w:rFonts w:hint="eastAsia" w:hAnsi="宋体" w:cs="宋体"/>
          <w:sz w:val="24"/>
          <w:szCs w:val="24"/>
        </w:rPr>
        <w:t>文件中有明确规定。</w:t>
      </w:r>
    </w:p>
    <w:p>
      <w:pPr>
        <w:pStyle w:val="10"/>
        <w:spacing w:line="380" w:lineRule="exact"/>
        <w:ind w:firstLine="480" w:firstLineChars="200"/>
        <w:rPr>
          <w:rFonts w:hint="eastAsia" w:hAnsi="宋体" w:cs="宋体"/>
          <w:sz w:val="24"/>
          <w:szCs w:val="24"/>
        </w:rPr>
      </w:pPr>
    </w:p>
    <w:p>
      <w:pPr>
        <w:pStyle w:val="10"/>
        <w:numPr>
          <w:ilvl w:val="0"/>
          <w:numId w:val="4"/>
        </w:numPr>
        <w:spacing w:line="380" w:lineRule="exact"/>
        <w:ind w:left="-115" w:leftChars="-55" w:firstLine="585" w:firstLineChars="244"/>
        <w:rPr>
          <w:rFonts w:hint="default" w:hAnsi="宋体" w:cs="宋体"/>
          <w:sz w:val="24"/>
          <w:szCs w:val="24"/>
          <w:u w:val="single"/>
          <w:lang w:val="en-US" w:eastAsia="zh-CN"/>
        </w:rPr>
      </w:pPr>
      <w:r>
        <w:rPr>
          <w:rFonts w:hint="eastAsia" w:hAnsi="宋体" w:cs="宋体"/>
          <w:sz w:val="24"/>
          <w:szCs w:val="24"/>
        </w:rPr>
        <w:t>付款</w:t>
      </w:r>
      <w:r>
        <w:rPr>
          <w:rFonts w:hint="eastAsia" w:hAnsi="宋体" w:cs="宋体"/>
          <w:sz w:val="24"/>
          <w:szCs w:val="24"/>
          <w:lang w:eastAsia="zh-CN"/>
        </w:rPr>
        <w:t>：</w:t>
      </w:r>
      <w:r>
        <w:rPr>
          <w:rFonts w:hint="eastAsia" w:hAnsi="宋体" w:cs="宋体"/>
          <w:sz w:val="24"/>
          <w:szCs w:val="24"/>
          <w:u w:val="single"/>
          <w:lang w:val="en-US" w:eastAsia="zh-CN"/>
        </w:rPr>
        <w:t xml:space="preserve">                                    </w:t>
      </w:r>
    </w:p>
    <w:p>
      <w:pPr>
        <w:pStyle w:val="10"/>
        <w:spacing w:line="380" w:lineRule="exact"/>
        <w:ind w:firstLine="240" w:firstLineChars="100"/>
        <w:rPr>
          <w:rFonts w:hint="eastAsia" w:hAnsi="宋体" w:cs="宋体"/>
          <w:color w:val="000000"/>
          <w:sz w:val="24"/>
          <w:szCs w:val="24"/>
        </w:rPr>
      </w:pPr>
      <w:r>
        <w:rPr>
          <w:rFonts w:hint="eastAsia" w:hAnsi="宋体" w:cs="宋体"/>
          <w:color w:val="000000"/>
          <w:sz w:val="24"/>
          <w:szCs w:val="24"/>
        </w:rPr>
        <w:t>　</w:t>
      </w:r>
    </w:p>
    <w:p>
      <w:pPr>
        <w:pStyle w:val="10"/>
        <w:spacing w:line="380" w:lineRule="exact"/>
        <w:ind w:firstLine="240" w:firstLineChars="100"/>
        <w:rPr>
          <w:rFonts w:hint="default" w:hAnsi="宋体" w:eastAsia="宋体" w:cs="宋体"/>
          <w:sz w:val="24"/>
          <w:szCs w:val="24"/>
          <w:u w:val="single"/>
          <w:lang w:val="en-US" w:eastAsia="zh-CN"/>
        </w:rPr>
      </w:pPr>
      <w:r>
        <w:rPr>
          <w:rFonts w:hint="eastAsia" w:hAnsi="宋体" w:cs="宋体"/>
          <w:sz w:val="24"/>
          <w:szCs w:val="24"/>
        </w:rPr>
        <w:t>五、验收</w:t>
      </w:r>
      <w:r>
        <w:rPr>
          <w:rFonts w:hint="eastAsia" w:hAnsi="宋体" w:cs="宋体"/>
          <w:sz w:val="24"/>
          <w:szCs w:val="24"/>
          <w:lang w:eastAsia="zh-CN"/>
        </w:rPr>
        <w:t>：</w:t>
      </w:r>
      <w:r>
        <w:rPr>
          <w:rFonts w:hint="eastAsia" w:hAnsi="宋体" w:cs="宋体"/>
          <w:sz w:val="24"/>
          <w:szCs w:val="24"/>
          <w:u w:val="single"/>
          <w:lang w:val="en-US" w:eastAsia="zh-CN"/>
        </w:rPr>
        <w:t xml:space="preserve">                           </w:t>
      </w:r>
    </w:p>
    <w:p>
      <w:pPr>
        <w:pStyle w:val="10"/>
        <w:spacing w:line="380" w:lineRule="exact"/>
        <w:ind w:firstLine="720" w:firstLineChars="300"/>
        <w:rPr>
          <w:rFonts w:hint="default" w:hAnsi="宋体" w:eastAsia="宋体" w:cs="宋体"/>
          <w:sz w:val="24"/>
          <w:szCs w:val="24"/>
          <w:highlight w:val="none"/>
          <w:lang w:val="en-US" w:eastAsia="zh-CN"/>
        </w:rPr>
      </w:pPr>
      <w:r>
        <w:rPr>
          <w:rFonts w:hint="eastAsia" w:hAnsi="宋体" w:cs="宋体"/>
          <w:sz w:val="24"/>
          <w:szCs w:val="24"/>
          <w:highlight w:val="none"/>
        </w:rPr>
        <w:t>质保期：</w:t>
      </w:r>
      <w:r>
        <w:rPr>
          <w:rFonts w:hint="eastAsia" w:hAnsi="宋体" w:cs="宋体"/>
          <w:sz w:val="24"/>
          <w:szCs w:val="24"/>
          <w:highlight w:val="none"/>
          <w:lang w:val="en-US" w:eastAsia="zh-CN"/>
        </w:rPr>
        <w:t xml:space="preserve"> </w:t>
      </w:r>
      <w:r>
        <w:rPr>
          <w:rFonts w:hint="eastAsia" w:hAnsi="宋体" w:cs="宋体"/>
          <w:sz w:val="24"/>
          <w:szCs w:val="24"/>
          <w:highlight w:val="none"/>
          <w:u w:val="single"/>
          <w:lang w:val="en-US" w:eastAsia="zh-CN"/>
        </w:rPr>
        <w:t xml:space="preserve">     </w:t>
      </w:r>
    </w:p>
    <w:p>
      <w:pPr>
        <w:pStyle w:val="10"/>
        <w:spacing w:line="380" w:lineRule="exact"/>
        <w:ind w:firstLine="480" w:firstLineChars="200"/>
        <w:rPr>
          <w:rFonts w:hint="eastAsia" w:hAnsi="宋体" w:cs="宋体"/>
          <w:sz w:val="24"/>
          <w:szCs w:val="24"/>
        </w:rPr>
      </w:pPr>
    </w:p>
    <w:p>
      <w:pPr>
        <w:pStyle w:val="10"/>
        <w:spacing w:line="380" w:lineRule="exact"/>
        <w:ind w:firstLine="480" w:firstLineChars="200"/>
        <w:rPr>
          <w:rFonts w:hint="eastAsia" w:hAnsi="宋体" w:cs="宋体"/>
          <w:sz w:val="24"/>
          <w:szCs w:val="24"/>
        </w:rPr>
      </w:pPr>
      <w:r>
        <w:rPr>
          <w:rFonts w:hint="eastAsia" w:hAnsi="宋体" w:cs="宋体"/>
          <w:sz w:val="24"/>
          <w:szCs w:val="24"/>
        </w:rPr>
        <w:t>六、</w:t>
      </w:r>
      <w:r>
        <w:rPr>
          <w:rFonts w:hint="eastAsia" w:hAnsi="宋体" w:cs="宋体"/>
          <w:b/>
          <w:bCs/>
          <w:sz w:val="24"/>
          <w:szCs w:val="24"/>
        </w:rPr>
        <w:t>履约保证金</w:t>
      </w:r>
    </w:p>
    <w:p>
      <w:pPr>
        <w:pStyle w:val="13"/>
        <w:widowControl/>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6.1为保证合同的顺利执行，成交供应商必须在成交通知书发出之前，向采购人提交金额为成交总价1%的履约保证金。</w:t>
      </w:r>
    </w:p>
    <w:p>
      <w:pPr>
        <w:pStyle w:val="13"/>
        <w:widowControl/>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6.2履约保证金的形式为（银行本票、汇票、支票、电汇</w:t>
      </w:r>
      <w:r>
        <w:rPr>
          <w:rFonts w:hint="eastAsia" w:ascii="宋体" w:hAnsi="宋体" w:cs="宋体"/>
          <w:kern w:val="2"/>
          <w:sz w:val="24"/>
          <w:szCs w:val="24"/>
          <w:lang w:val="en-US" w:eastAsia="zh-CN" w:bidi="ar-SA"/>
        </w:rPr>
        <w:t>、数字人民币</w:t>
      </w:r>
      <w:r>
        <w:rPr>
          <w:rFonts w:hint="eastAsia" w:ascii="宋体" w:hAnsi="宋体" w:eastAsia="宋体" w:cs="宋体"/>
          <w:kern w:val="2"/>
          <w:sz w:val="24"/>
          <w:szCs w:val="24"/>
          <w:lang w:val="en-US" w:eastAsia="zh-CN" w:bidi="ar-SA"/>
        </w:rPr>
        <w:t>），或银行保函、担保公司的保证担保或保险公司的保证保险等多种形式。成交供应商选取银行保函、担保公司的保证担保或保险公司的保证保险等形式的向采购人缴纳，如保函（担保、保险等）的约定期到期但成交供应商履约仍未结束的，成交供应商须进行续保。</w:t>
      </w:r>
    </w:p>
    <w:p>
      <w:pPr>
        <w:pStyle w:val="13"/>
        <w:widowControl/>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6.3如成交供应商未能履行合同规定的义务，采购人有权从履约保证金中取得补偿。</w:t>
      </w:r>
    </w:p>
    <w:p>
      <w:pPr>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6.4履约保证金退还时间：履约保证金在合同约定期间内不予退还或者应完全有效，约定期届满之日起 5个工作日内，甲方应将人民币形式的履约保证金退还乙方，逾期退还的，按中国人民银行同期贷款基利率上浮20%后的利率支付超期资金占用费，但因乙方自身原因导致无法及时退还的除外。</w:t>
      </w:r>
    </w:p>
    <w:p>
      <w:pPr>
        <w:pStyle w:val="10"/>
        <w:spacing w:line="380" w:lineRule="exact"/>
        <w:ind w:firstLine="482" w:firstLineChars="201"/>
        <w:rPr>
          <w:rFonts w:hint="eastAsia" w:hAnsi="宋体" w:cs="宋体"/>
          <w:sz w:val="24"/>
          <w:szCs w:val="24"/>
        </w:rPr>
      </w:pPr>
    </w:p>
    <w:p>
      <w:pPr>
        <w:pStyle w:val="10"/>
        <w:spacing w:line="380" w:lineRule="exact"/>
        <w:ind w:firstLine="482" w:firstLineChars="201"/>
        <w:rPr>
          <w:rFonts w:hint="eastAsia" w:hAnsi="宋体" w:cs="宋体"/>
          <w:sz w:val="24"/>
          <w:szCs w:val="24"/>
        </w:rPr>
      </w:pPr>
      <w:r>
        <w:rPr>
          <w:rFonts w:hint="eastAsia" w:hAnsi="宋体" w:cs="宋体"/>
          <w:sz w:val="24"/>
          <w:szCs w:val="24"/>
        </w:rPr>
        <w:t>七、</w:t>
      </w:r>
      <w:r>
        <w:rPr>
          <w:rFonts w:hint="eastAsia" w:hAnsi="宋体" w:cs="宋体"/>
          <w:b/>
          <w:bCs/>
          <w:sz w:val="24"/>
          <w:szCs w:val="24"/>
        </w:rPr>
        <w:t>合同纠纷处理</w:t>
      </w:r>
    </w:p>
    <w:p>
      <w:pPr>
        <w:spacing w:line="380" w:lineRule="exact"/>
        <w:ind w:firstLine="480" w:firstLineChars="200"/>
        <w:rPr>
          <w:rFonts w:hint="eastAsia" w:ascii="宋体" w:hAnsi="宋体" w:cs="宋体"/>
          <w:sz w:val="24"/>
        </w:rPr>
      </w:pPr>
    </w:p>
    <w:p>
      <w:pPr>
        <w:spacing w:line="380" w:lineRule="exact"/>
        <w:ind w:firstLine="480" w:firstLineChars="200"/>
        <w:rPr>
          <w:rFonts w:hint="eastAsia" w:ascii="宋体" w:hAnsi="宋体" w:cs="宋体"/>
          <w:sz w:val="24"/>
        </w:rPr>
      </w:pPr>
      <w:r>
        <w:rPr>
          <w:rFonts w:hint="eastAsia" w:ascii="宋体" w:hAnsi="宋体" w:cs="宋体"/>
          <w:sz w:val="24"/>
        </w:rPr>
        <w:t>本合同执行过程中发生纠纷，由甲乙双方协商解决，若协商不成，作如下</w:t>
      </w:r>
      <w:r>
        <w:rPr>
          <w:rFonts w:hint="eastAsia" w:ascii="宋体" w:hAnsi="宋体" w:cs="宋体"/>
          <w:sz w:val="24"/>
          <w:u w:val="single"/>
        </w:rPr>
        <w:t xml:space="preserve">   </w:t>
      </w:r>
      <w:r>
        <w:rPr>
          <w:rFonts w:hint="eastAsia" w:ascii="宋体" w:hAnsi="宋体" w:cs="宋体"/>
          <w:sz w:val="24"/>
        </w:rPr>
        <w:t xml:space="preserve">处理: </w:t>
      </w:r>
    </w:p>
    <w:p>
      <w:pPr>
        <w:spacing w:line="380" w:lineRule="exact"/>
        <w:ind w:firstLine="480" w:firstLineChars="200"/>
        <w:rPr>
          <w:rFonts w:hint="eastAsia" w:ascii="宋体" w:hAnsi="宋体" w:cs="宋体"/>
          <w:sz w:val="24"/>
        </w:rPr>
      </w:pPr>
    </w:p>
    <w:p>
      <w:pPr>
        <w:spacing w:line="380" w:lineRule="exact"/>
        <w:ind w:firstLine="480" w:firstLineChars="200"/>
        <w:rPr>
          <w:rFonts w:hint="eastAsia" w:ascii="宋体" w:hAnsi="宋体" w:cs="宋体"/>
          <w:sz w:val="24"/>
        </w:rPr>
      </w:pPr>
      <w:r>
        <w:rPr>
          <w:rFonts w:hint="eastAsia" w:ascii="宋体" w:hAnsi="宋体" w:cs="宋体"/>
          <w:sz w:val="24"/>
        </w:rPr>
        <w:t xml:space="preserve">1、申请仲裁。选定仲裁机构为甲方所在地的仲裁委员会。 </w:t>
      </w:r>
    </w:p>
    <w:p>
      <w:pPr>
        <w:spacing w:line="380" w:lineRule="exact"/>
        <w:ind w:firstLine="480" w:firstLineChars="200"/>
        <w:rPr>
          <w:rFonts w:hint="eastAsia" w:ascii="宋体" w:hAnsi="宋体" w:cs="宋体"/>
          <w:sz w:val="24"/>
        </w:rPr>
      </w:pPr>
      <w:r>
        <w:rPr>
          <w:rFonts w:hint="eastAsia" w:ascii="宋体" w:hAnsi="宋体" w:cs="宋体"/>
          <w:sz w:val="24"/>
        </w:rPr>
        <w:t xml:space="preserve">2、提起诉讼。约定由甲方所在地的法院管辖。 </w:t>
      </w:r>
    </w:p>
    <w:p>
      <w:pPr>
        <w:spacing w:line="380" w:lineRule="exact"/>
        <w:ind w:firstLine="470" w:firstLineChars="196"/>
        <w:rPr>
          <w:rFonts w:hint="eastAsia" w:ascii="宋体" w:hAnsi="宋体" w:cs="宋体"/>
          <w:sz w:val="24"/>
        </w:rPr>
      </w:pPr>
    </w:p>
    <w:p>
      <w:pPr>
        <w:spacing w:line="380" w:lineRule="exact"/>
        <w:ind w:firstLine="470" w:firstLineChars="196"/>
        <w:rPr>
          <w:rFonts w:hint="eastAsia" w:ascii="宋体" w:hAnsi="宋体" w:cs="宋体"/>
          <w:sz w:val="24"/>
        </w:rPr>
      </w:pPr>
      <w:r>
        <w:rPr>
          <w:rFonts w:hint="eastAsia" w:ascii="宋体" w:hAnsi="宋体" w:cs="宋体"/>
          <w:sz w:val="24"/>
        </w:rPr>
        <w:t>八、</w:t>
      </w:r>
      <w:r>
        <w:rPr>
          <w:rFonts w:hint="eastAsia" w:ascii="宋体" w:hAnsi="宋体" w:cs="宋体"/>
          <w:b/>
          <w:bCs/>
          <w:sz w:val="24"/>
        </w:rPr>
        <w:t>合同生效及其它</w:t>
      </w:r>
    </w:p>
    <w:p>
      <w:pPr>
        <w:spacing w:line="380" w:lineRule="exact"/>
        <w:ind w:firstLine="480" w:firstLineChars="200"/>
        <w:rPr>
          <w:rFonts w:hint="eastAsia" w:ascii="宋体" w:hAnsi="宋体" w:cs="宋体"/>
          <w:sz w:val="24"/>
        </w:rPr>
      </w:pPr>
    </w:p>
    <w:p>
      <w:pPr>
        <w:spacing w:line="380" w:lineRule="exact"/>
        <w:ind w:firstLine="480" w:firstLineChars="200"/>
        <w:rPr>
          <w:rFonts w:hint="eastAsia" w:ascii="宋体" w:hAnsi="宋体" w:cs="宋体"/>
          <w:sz w:val="24"/>
        </w:rPr>
      </w:pPr>
      <w:r>
        <w:rPr>
          <w:rFonts w:hint="eastAsia" w:ascii="宋体" w:hAnsi="宋体" w:cs="宋体"/>
          <w:sz w:val="24"/>
        </w:rPr>
        <w:t>本合同经甲方、乙方授权代表签字盖章后</w:t>
      </w:r>
      <w:r>
        <w:rPr>
          <w:rFonts w:hint="eastAsia" w:hAnsi="宋体" w:cs="宋体"/>
          <w:sz w:val="24"/>
        </w:rPr>
        <w:t>2个工作日内在淮安市政府采购网公示后生效。</w:t>
      </w:r>
      <w:r>
        <w:rPr>
          <w:rFonts w:hint="eastAsia" w:ascii="宋体" w:hAnsi="宋体" w:cs="宋体"/>
          <w:sz w:val="24"/>
        </w:rPr>
        <w:t>如有变动，必须经甲方、乙方协商一致，方可更改。本合同一式六份，卖方、买方各执二份，</w:t>
      </w:r>
      <w:r>
        <w:rPr>
          <w:rFonts w:hint="eastAsia" w:hAnsi="宋体" w:cs="宋体"/>
          <w:sz w:val="24"/>
        </w:rPr>
        <w:t>代理机构留存</w:t>
      </w:r>
      <w:r>
        <w:rPr>
          <w:rFonts w:hint="eastAsia" w:hAnsi="宋体" w:cs="宋体"/>
          <w:sz w:val="24"/>
          <w:lang w:val="en-US" w:eastAsia="zh-CN"/>
        </w:rPr>
        <w:t>二</w:t>
      </w:r>
      <w:r>
        <w:rPr>
          <w:rFonts w:hint="eastAsia" w:hAnsi="宋体" w:cs="宋体"/>
          <w:sz w:val="24"/>
        </w:rPr>
        <w:t>份。</w:t>
      </w:r>
    </w:p>
    <w:p>
      <w:pPr>
        <w:spacing w:line="380" w:lineRule="exact"/>
        <w:ind w:firstLine="470" w:firstLineChars="196"/>
        <w:rPr>
          <w:rFonts w:hint="eastAsia" w:ascii="宋体" w:hAnsi="宋体" w:cs="宋体"/>
          <w:sz w:val="24"/>
        </w:rPr>
      </w:pPr>
    </w:p>
    <w:p>
      <w:pPr>
        <w:spacing w:line="380" w:lineRule="exact"/>
        <w:ind w:firstLine="470" w:firstLineChars="196"/>
        <w:rPr>
          <w:rFonts w:hint="eastAsia" w:ascii="宋体" w:hAnsi="宋体" w:cs="宋体"/>
          <w:b/>
          <w:bCs/>
          <w:sz w:val="24"/>
        </w:rPr>
      </w:pPr>
      <w:r>
        <w:rPr>
          <w:rFonts w:hint="eastAsia" w:ascii="宋体" w:hAnsi="宋体" w:cs="宋体"/>
          <w:sz w:val="24"/>
        </w:rPr>
        <w:t>九、</w:t>
      </w:r>
      <w:r>
        <w:rPr>
          <w:rFonts w:hint="eastAsia" w:ascii="宋体" w:hAnsi="宋体" w:cs="宋体"/>
          <w:b/>
          <w:bCs/>
          <w:sz w:val="24"/>
        </w:rPr>
        <w:t>组成本合同的文件包括</w:t>
      </w:r>
    </w:p>
    <w:p>
      <w:pPr>
        <w:spacing w:line="380" w:lineRule="exact"/>
        <w:ind w:firstLine="484" w:firstLineChars="202"/>
        <w:rPr>
          <w:rFonts w:hint="eastAsia" w:ascii="宋体" w:hAnsi="宋体" w:cs="宋体"/>
          <w:sz w:val="24"/>
        </w:rPr>
      </w:pPr>
    </w:p>
    <w:p>
      <w:pPr>
        <w:spacing w:line="380" w:lineRule="exact"/>
        <w:ind w:firstLine="484" w:firstLineChars="202"/>
        <w:rPr>
          <w:rFonts w:hint="eastAsia" w:ascii="宋体" w:hAnsi="宋体" w:cs="宋体"/>
          <w:sz w:val="24"/>
        </w:rPr>
      </w:pPr>
      <w:r>
        <w:rPr>
          <w:rFonts w:hint="eastAsia" w:ascii="宋体" w:hAnsi="宋体" w:cs="宋体"/>
          <w:sz w:val="24"/>
        </w:rPr>
        <w:t>1、合同格式及条款；</w:t>
      </w:r>
    </w:p>
    <w:p>
      <w:pPr>
        <w:spacing w:line="380" w:lineRule="exact"/>
        <w:ind w:firstLine="480" w:firstLineChars="200"/>
        <w:rPr>
          <w:rFonts w:hint="eastAsia" w:ascii="宋体" w:hAnsi="宋体" w:cs="宋体"/>
          <w:sz w:val="24"/>
        </w:rPr>
      </w:pPr>
      <w:r>
        <w:rPr>
          <w:rFonts w:hint="eastAsia" w:ascii="宋体" w:hAnsi="宋体" w:cs="宋体"/>
          <w:sz w:val="24"/>
        </w:rPr>
        <w:t>2、</w:t>
      </w:r>
      <w:r>
        <w:rPr>
          <w:rFonts w:hint="eastAsia" w:ascii="宋体" w:hAnsi="宋体" w:cs="宋体"/>
          <w:sz w:val="24"/>
          <w:lang w:eastAsia="zh-CN"/>
        </w:rPr>
        <w:t>磋商</w:t>
      </w:r>
      <w:r>
        <w:rPr>
          <w:rFonts w:hint="eastAsia" w:ascii="宋体" w:hAnsi="宋体" w:cs="宋体"/>
          <w:sz w:val="24"/>
        </w:rPr>
        <w:t xml:space="preserve">文件和乙方的响应文件； </w:t>
      </w:r>
    </w:p>
    <w:p>
      <w:pPr>
        <w:spacing w:line="380" w:lineRule="exact"/>
        <w:ind w:firstLine="480" w:firstLineChars="200"/>
        <w:rPr>
          <w:rFonts w:hint="eastAsia" w:ascii="宋体" w:hAnsi="宋体" w:cs="宋体"/>
          <w:sz w:val="24"/>
        </w:rPr>
      </w:pPr>
      <w:r>
        <w:rPr>
          <w:rFonts w:hint="eastAsia" w:ascii="宋体" w:hAnsi="宋体" w:cs="宋体"/>
          <w:sz w:val="24"/>
        </w:rPr>
        <w:t xml:space="preserve">3、成交通知书； </w:t>
      </w:r>
    </w:p>
    <w:p>
      <w:pPr>
        <w:spacing w:line="380" w:lineRule="exact"/>
        <w:ind w:firstLine="480" w:firstLineChars="200"/>
        <w:rPr>
          <w:rFonts w:hint="eastAsia" w:ascii="宋体" w:hAnsi="宋体" w:cs="宋体"/>
          <w:sz w:val="24"/>
        </w:rPr>
      </w:pPr>
      <w:r>
        <w:rPr>
          <w:rFonts w:hint="eastAsia" w:ascii="宋体" w:hAnsi="宋体" w:cs="宋体"/>
          <w:sz w:val="24"/>
        </w:rPr>
        <w:t>4、甲乙双方商定的其他必要文件。上述合同文件内容互为补充，如有不明确，由甲方负责解释。</w:t>
      </w:r>
    </w:p>
    <w:p>
      <w:pPr>
        <w:pStyle w:val="10"/>
        <w:spacing w:line="380" w:lineRule="exact"/>
        <w:jc w:val="both"/>
        <w:rPr>
          <w:rFonts w:hint="eastAsia" w:hAnsi="宋体" w:cs="宋体"/>
          <w:sz w:val="24"/>
          <w:szCs w:val="24"/>
        </w:rPr>
      </w:pPr>
    </w:p>
    <w:p>
      <w:pPr>
        <w:pStyle w:val="10"/>
        <w:spacing w:line="380" w:lineRule="exact"/>
        <w:jc w:val="center"/>
        <w:rPr>
          <w:rFonts w:hint="eastAsia" w:hAnsi="宋体" w:cs="宋体"/>
          <w:sz w:val="24"/>
          <w:szCs w:val="24"/>
        </w:rPr>
      </w:pPr>
    </w:p>
    <w:p>
      <w:pPr>
        <w:pStyle w:val="10"/>
        <w:spacing w:line="380" w:lineRule="exact"/>
        <w:jc w:val="center"/>
        <w:rPr>
          <w:rFonts w:hint="eastAsia" w:hAnsi="宋体" w:cs="宋体"/>
          <w:sz w:val="24"/>
          <w:szCs w:val="24"/>
        </w:rPr>
      </w:pPr>
      <w:r>
        <w:rPr>
          <w:rFonts w:hint="eastAsia" w:hAnsi="宋体" w:cs="宋体"/>
          <w:sz w:val="24"/>
          <w:szCs w:val="24"/>
        </w:rPr>
        <w:t>甲    方:                          乙    方:</w:t>
      </w:r>
    </w:p>
    <w:p>
      <w:pPr>
        <w:pStyle w:val="10"/>
        <w:spacing w:line="380" w:lineRule="exact"/>
        <w:jc w:val="center"/>
        <w:rPr>
          <w:rFonts w:hint="eastAsia" w:hAnsi="宋体" w:cs="宋体"/>
          <w:sz w:val="24"/>
          <w:szCs w:val="24"/>
        </w:rPr>
      </w:pPr>
      <w:r>
        <w:rPr>
          <w:rFonts w:hint="eastAsia" w:hAnsi="宋体" w:cs="宋体"/>
          <w:sz w:val="24"/>
          <w:szCs w:val="24"/>
        </w:rPr>
        <w:t>单位盖章:                          单位盖章:</w:t>
      </w:r>
    </w:p>
    <w:p>
      <w:pPr>
        <w:pStyle w:val="10"/>
        <w:spacing w:line="380" w:lineRule="exact"/>
        <w:jc w:val="center"/>
        <w:rPr>
          <w:rFonts w:hint="eastAsia" w:hAnsi="宋体" w:cs="宋体"/>
          <w:sz w:val="24"/>
          <w:szCs w:val="24"/>
        </w:rPr>
      </w:pPr>
      <w:r>
        <w:rPr>
          <w:rFonts w:hint="eastAsia" w:hAnsi="宋体" w:cs="宋体"/>
          <w:sz w:val="24"/>
          <w:szCs w:val="24"/>
        </w:rPr>
        <w:t>代表签字:                          代表签字:</w:t>
      </w:r>
    </w:p>
    <w:p>
      <w:pPr>
        <w:pStyle w:val="10"/>
        <w:spacing w:line="380" w:lineRule="exact"/>
        <w:jc w:val="center"/>
        <w:rPr>
          <w:rFonts w:hint="eastAsia" w:hAnsi="宋体" w:cs="宋体"/>
          <w:sz w:val="24"/>
          <w:szCs w:val="24"/>
        </w:rPr>
      </w:pPr>
      <w:r>
        <w:rPr>
          <w:rFonts w:hint="eastAsia" w:hAnsi="宋体" w:cs="宋体"/>
          <w:sz w:val="24"/>
          <w:szCs w:val="24"/>
        </w:rPr>
        <w:t>签定日期:                          签定日期:</w:t>
      </w:r>
    </w:p>
    <w:p>
      <w:pPr>
        <w:rPr>
          <w:rFonts w:hint="eastAsia"/>
          <w:sz w:val="24"/>
        </w:rPr>
      </w:pPr>
    </w:p>
    <w:p>
      <w:pPr>
        <w:tabs>
          <w:tab w:val="left" w:pos="180"/>
        </w:tabs>
        <w:spacing w:line="400" w:lineRule="exact"/>
        <w:jc w:val="both"/>
        <w:rPr>
          <w:rFonts w:hint="eastAsia" w:ascii="宋体" w:hAnsi="宋体" w:cs="宋体"/>
          <w:bCs/>
          <w:color w:val="000000"/>
          <w:sz w:val="24"/>
        </w:rPr>
      </w:pPr>
    </w:p>
    <w:p>
      <w:pPr>
        <w:tabs>
          <w:tab w:val="left" w:pos="180"/>
        </w:tabs>
        <w:spacing w:line="400" w:lineRule="exact"/>
        <w:ind w:firstLine="482" w:firstLineChars="200"/>
        <w:jc w:val="center"/>
        <w:rPr>
          <w:rFonts w:ascii="宋体" w:hAnsi="宋体" w:cs="宋体"/>
          <w:b/>
          <w:bCs w:val="0"/>
          <w:color w:val="000000"/>
          <w:sz w:val="24"/>
        </w:rPr>
      </w:pPr>
      <w:r>
        <w:rPr>
          <w:rFonts w:hint="eastAsia" w:ascii="宋体" w:hAnsi="宋体" w:cs="宋体"/>
          <w:b/>
          <w:bCs w:val="0"/>
          <w:color w:val="000000"/>
          <w:sz w:val="24"/>
        </w:rPr>
        <w:t>二、合同条款</w:t>
      </w:r>
    </w:p>
    <w:p>
      <w:pPr>
        <w:spacing w:line="440" w:lineRule="exact"/>
        <w:ind w:firstLine="482" w:firstLineChars="200"/>
        <w:rPr>
          <w:rFonts w:ascii="宋体" w:hAnsi="宋体" w:cs="宋体"/>
          <w:b/>
          <w:color w:val="000000"/>
          <w:sz w:val="24"/>
        </w:rPr>
      </w:pPr>
      <w:r>
        <w:rPr>
          <w:rFonts w:hint="eastAsia" w:ascii="宋体" w:hAnsi="宋体" w:cs="宋体"/>
          <w:b/>
          <w:color w:val="000000"/>
          <w:sz w:val="24"/>
        </w:rPr>
        <w:t xml:space="preserve">   1.定义</w:t>
      </w:r>
    </w:p>
    <w:p>
      <w:pPr>
        <w:spacing w:line="440" w:lineRule="exact"/>
        <w:ind w:firstLine="480" w:firstLineChars="200"/>
        <w:rPr>
          <w:rFonts w:ascii="宋体" w:hAnsi="宋体" w:cs="宋体"/>
          <w:sz w:val="24"/>
        </w:rPr>
      </w:pPr>
      <w:r>
        <w:rPr>
          <w:rFonts w:hint="eastAsia" w:ascii="宋体" w:hAnsi="宋体" w:cs="宋体"/>
          <w:sz w:val="24"/>
        </w:rPr>
        <w:t>本合同中的下列术语应解释为：</w:t>
      </w:r>
    </w:p>
    <w:p>
      <w:pPr>
        <w:spacing w:line="440" w:lineRule="exact"/>
        <w:ind w:firstLine="480" w:firstLineChars="200"/>
        <w:rPr>
          <w:rFonts w:ascii="宋体" w:hAnsi="宋体" w:cs="宋体"/>
          <w:sz w:val="24"/>
        </w:rPr>
      </w:pPr>
      <w:r>
        <w:rPr>
          <w:rFonts w:hint="eastAsia" w:ascii="宋体" w:hAnsi="宋体" w:cs="宋体"/>
          <w:sz w:val="24"/>
        </w:rPr>
        <w:t>（1）“合同”系指买方与卖方签署的、合同格式中列明的买方与卖方所达成的协议，包括所有的附件、附录和构成合同的所有文件。</w:t>
      </w:r>
    </w:p>
    <w:p>
      <w:pPr>
        <w:spacing w:line="440" w:lineRule="exact"/>
        <w:ind w:firstLine="480" w:firstLineChars="200"/>
        <w:rPr>
          <w:rFonts w:ascii="宋体" w:hAnsi="宋体" w:cs="宋体"/>
          <w:sz w:val="24"/>
        </w:rPr>
      </w:pPr>
      <w:r>
        <w:rPr>
          <w:rFonts w:hint="eastAsia" w:ascii="宋体" w:hAnsi="宋体" w:cs="宋体"/>
          <w:sz w:val="24"/>
        </w:rPr>
        <w:t>（2）“合同价”系指根据合同规定，卖方在完全履行合同义务后买方应支付给卖方的价格。</w:t>
      </w:r>
    </w:p>
    <w:p>
      <w:pPr>
        <w:spacing w:line="440" w:lineRule="exact"/>
        <w:ind w:firstLine="480" w:firstLineChars="200"/>
        <w:rPr>
          <w:rFonts w:ascii="宋体" w:hAnsi="宋体" w:cs="宋体"/>
          <w:sz w:val="24"/>
        </w:rPr>
      </w:pPr>
      <w:r>
        <w:rPr>
          <w:rFonts w:hint="eastAsia" w:ascii="宋体" w:hAnsi="宋体" w:cs="宋体"/>
          <w:sz w:val="24"/>
        </w:rPr>
        <w:t>（3）“货物”系指卖方按合同要求，须向买方提供的一切设备、机械、仪表、备件、工具、手册和其他技术资料及其他材料。</w:t>
      </w:r>
    </w:p>
    <w:p>
      <w:pPr>
        <w:spacing w:line="440" w:lineRule="exact"/>
        <w:ind w:firstLine="480" w:firstLineChars="200"/>
        <w:rPr>
          <w:rFonts w:ascii="宋体" w:hAnsi="宋体" w:cs="宋体"/>
          <w:sz w:val="24"/>
        </w:rPr>
      </w:pPr>
      <w:r>
        <w:rPr>
          <w:rFonts w:hint="eastAsia" w:ascii="宋体" w:hAnsi="宋体" w:cs="宋体"/>
          <w:sz w:val="24"/>
        </w:rPr>
        <w:t>（4）“服务”系指根据合同规定卖方承担与供货有关的所有辅助服务，如运输、保险以及其它的服务，如安装、调试、提供技术援助、培训及其他类似的义务。</w:t>
      </w:r>
    </w:p>
    <w:p>
      <w:pPr>
        <w:spacing w:line="440" w:lineRule="exact"/>
        <w:ind w:firstLine="480" w:firstLineChars="200"/>
        <w:rPr>
          <w:rFonts w:ascii="宋体" w:hAnsi="宋体" w:cs="宋体"/>
          <w:sz w:val="24"/>
        </w:rPr>
      </w:pPr>
      <w:r>
        <w:rPr>
          <w:rFonts w:hint="eastAsia" w:ascii="宋体" w:hAnsi="宋体" w:cs="宋体"/>
          <w:sz w:val="24"/>
        </w:rPr>
        <w:t>（5）“买方”系指</w:t>
      </w:r>
      <w:r>
        <w:rPr>
          <w:rFonts w:hint="eastAsia" w:ascii="宋体" w:hAnsi="宋体" w:cs="宋体"/>
          <w:sz w:val="24"/>
          <w:lang w:eastAsia="zh-CN"/>
        </w:rPr>
        <w:t>江苏省盱眙中学</w:t>
      </w:r>
      <w:r>
        <w:rPr>
          <w:rFonts w:hint="eastAsia" w:ascii="宋体" w:hAnsi="宋体" w:cs="宋体"/>
          <w:sz w:val="24"/>
        </w:rPr>
        <w:t>。</w:t>
      </w:r>
    </w:p>
    <w:p>
      <w:pPr>
        <w:spacing w:line="440" w:lineRule="exact"/>
        <w:ind w:firstLine="480" w:firstLineChars="200"/>
        <w:rPr>
          <w:rFonts w:ascii="宋体" w:hAnsi="宋体" w:cs="宋体"/>
          <w:sz w:val="24"/>
        </w:rPr>
      </w:pPr>
      <w:r>
        <w:rPr>
          <w:rFonts w:hint="eastAsia" w:ascii="宋体" w:hAnsi="宋体" w:cs="宋体"/>
          <w:sz w:val="24"/>
        </w:rPr>
        <w:t>（6）“卖方”系指提供货物和服务的中标供应商。</w:t>
      </w:r>
    </w:p>
    <w:p>
      <w:pPr>
        <w:spacing w:line="440" w:lineRule="exact"/>
        <w:ind w:firstLine="482" w:firstLineChars="200"/>
        <w:rPr>
          <w:rFonts w:ascii="宋体" w:hAnsi="宋体" w:cs="宋体"/>
          <w:b/>
          <w:sz w:val="24"/>
        </w:rPr>
      </w:pPr>
      <w:r>
        <w:rPr>
          <w:rFonts w:hint="eastAsia" w:ascii="宋体" w:hAnsi="宋体" w:cs="宋体"/>
          <w:b/>
          <w:sz w:val="24"/>
        </w:rPr>
        <w:t>2.技术规格</w:t>
      </w:r>
    </w:p>
    <w:p>
      <w:pPr>
        <w:spacing w:line="440" w:lineRule="exact"/>
        <w:ind w:firstLine="480" w:firstLineChars="200"/>
        <w:rPr>
          <w:rFonts w:ascii="宋体" w:hAnsi="宋体" w:cs="宋体"/>
          <w:sz w:val="24"/>
        </w:rPr>
      </w:pPr>
      <w:r>
        <w:rPr>
          <w:rFonts w:hint="eastAsia" w:ascii="宋体" w:hAnsi="宋体" w:cs="宋体"/>
          <w:sz w:val="24"/>
        </w:rPr>
        <w:t>2.1卖方所提供货物的技术规格应与招标文件规定的技术规格以及所附的技术规格响应偏离表相一致。</w:t>
      </w:r>
    </w:p>
    <w:p>
      <w:pPr>
        <w:spacing w:line="440" w:lineRule="exact"/>
        <w:ind w:firstLine="482" w:firstLineChars="200"/>
        <w:rPr>
          <w:rFonts w:ascii="宋体" w:hAnsi="宋体" w:cs="宋体"/>
          <w:b/>
          <w:sz w:val="24"/>
        </w:rPr>
      </w:pPr>
      <w:r>
        <w:rPr>
          <w:rFonts w:hint="eastAsia" w:ascii="宋体" w:hAnsi="宋体" w:cs="宋体"/>
          <w:b/>
          <w:sz w:val="24"/>
        </w:rPr>
        <w:t>3.专利权</w:t>
      </w:r>
    </w:p>
    <w:p>
      <w:pPr>
        <w:spacing w:line="440" w:lineRule="exact"/>
        <w:ind w:firstLine="480" w:firstLineChars="200"/>
        <w:rPr>
          <w:rFonts w:ascii="宋体" w:hAnsi="宋体" w:cs="宋体"/>
          <w:sz w:val="24"/>
        </w:rPr>
      </w:pPr>
      <w:r>
        <w:rPr>
          <w:rFonts w:hint="eastAsia" w:ascii="宋体" w:hAnsi="宋体" w:cs="宋体"/>
          <w:sz w:val="24"/>
        </w:rPr>
        <w:t>3.1卖方应保证买方在使用该货物或其任何一部分时不受第三方提出侵犯其专利权、商标权和工业设计权的起诉。一旦出现专利侵权，卖方应负全部责任，且买方拒付全部货款。</w:t>
      </w:r>
    </w:p>
    <w:p>
      <w:pPr>
        <w:spacing w:line="440" w:lineRule="exact"/>
        <w:ind w:firstLine="482" w:firstLineChars="200"/>
        <w:rPr>
          <w:rFonts w:ascii="宋体" w:hAnsi="宋体" w:cs="宋体"/>
          <w:b/>
          <w:sz w:val="24"/>
        </w:rPr>
      </w:pPr>
      <w:r>
        <w:rPr>
          <w:rFonts w:hint="eastAsia" w:ascii="宋体" w:hAnsi="宋体" w:cs="宋体"/>
          <w:b/>
          <w:sz w:val="24"/>
        </w:rPr>
        <w:t>4.包装要求</w:t>
      </w:r>
    </w:p>
    <w:p>
      <w:pPr>
        <w:spacing w:line="440" w:lineRule="exact"/>
        <w:ind w:firstLine="480" w:firstLineChars="200"/>
        <w:rPr>
          <w:rFonts w:ascii="宋体" w:hAnsi="宋体" w:cs="宋体"/>
          <w:sz w:val="24"/>
        </w:rPr>
      </w:pPr>
      <w:r>
        <w:rPr>
          <w:rFonts w:hint="eastAsia" w:ascii="宋体" w:hAnsi="宋体" w:cs="宋体"/>
          <w:sz w:val="24"/>
        </w:rPr>
        <w:t>4.1除合同另有规定外，卖方提供的全部货物均按标准保护措施进行包装。该包装应适应于远距离运输、防潮、防震、防锈和防野蛮装卸，以确保货物安全无损运抵指定现场。由于包装不善所引起的货物锈蚀、损坏和损失均由卖方承担。</w:t>
      </w:r>
    </w:p>
    <w:p>
      <w:pPr>
        <w:spacing w:line="440" w:lineRule="exact"/>
        <w:ind w:firstLine="480" w:firstLineChars="200"/>
        <w:rPr>
          <w:rFonts w:ascii="宋体" w:hAnsi="宋体" w:cs="宋体"/>
          <w:sz w:val="24"/>
        </w:rPr>
      </w:pPr>
      <w:r>
        <w:rPr>
          <w:rFonts w:hint="eastAsia" w:ascii="宋体" w:hAnsi="宋体" w:cs="宋体"/>
          <w:sz w:val="24"/>
        </w:rPr>
        <w:t>4.2每件包装箱内应附一份详细装箱单和质量合格标识。</w:t>
      </w:r>
    </w:p>
    <w:p>
      <w:pPr>
        <w:spacing w:line="440" w:lineRule="exact"/>
        <w:ind w:firstLine="482" w:firstLineChars="200"/>
        <w:rPr>
          <w:rFonts w:ascii="宋体" w:hAnsi="宋体" w:cs="宋体"/>
          <w:b/>
          <w:color w:val="000000"/>
          <w:sz w:val="24"/>
        </w:rPr>
      </w:pPr>
      <w:r>
        <w:rPr>
          <w:rFonts w:hint="eastAsia" w:ascii="宋体" w:hAnsi="宋体" w:cs="宋体"/>
          <w:b/>
          <w:color w:val="000000"/>
          <w:sz w:val="24"/>
        </w:rPr>
        <w:t>5.装运条件</w:t>
      </w:r>
    </w:p>
    <w:p>
      <w:pPr>
        <w:spacing w:line="440" w:lineRule="exact"/>
        <w:ind w:firstLine="480" w:firstLineChars="200"/>
        <w:rPr>
          <w:rFonts w:ascii="宋体" w:hAnsi="宋体" w:cs="宋体"/>
          <w:sz w:val="24"/>
        </w:rPr>
      </w:pPr>
      <w:r>
        <w:rPr>
          <w:rFonts w:hint="eastAsia" w:ascii="宋体" w:hAnsi="宋体" w:cs="宋体"/>
          <w:sz w:val="24"/>
        </w:rPr>
        <w:t>5.1根据采购人指定地点，卖方负责安排运输，运输费由卖方承担。</w:t>
      </w:r>
    </w:p>
    <w:p>
      <w:pPr>
        <w:spacing w:line="440" w:lineRule="exact"/>
        <w:ind w:firstLine="482" w:firstLineChars="200"/>
        <w:rPr>
          <w:rFonts w:ascii="宋体" w:hAnsi="宋体" w:cs="宋体"/>
          <w:b/>
          <w:color w:val="000000"/>
          <w:sz w:val="24"/>
        </w:rPr>
      </w:pPr>
      <w:r>
        <w:rPr>
          <w:rFonts w:hint="eastAsia" w:ascii="宋体" w:hAnsi="宋体" w:cs="宋体"/>
          <w:b/>
          <w:color w:val="000000"/>
          <w:sz w:val="24"/>
        </w:rPr>
        <w:t>6.付款</w:t>
      </w:r>
    </w:p>
    <w:p>
      <w:pPr>
        <w:spacing w:line="440" w:lineRule="exact"/>
        <w:ind w:firstLine="480" w:firstLineChars="200"/>
        <w:rPr>
          <w:rFonts w:ascii="宋体" w:hAnsi="宋体" w:cs="宋体"/>
          <w:sz w:val="24"/>
        </w:rPr>
      </w:pPr>
      <w:r>
        <w:rPr>
          <w:rFonts w:hint="eastAsia" w:ascii="宋体" w:hAnsi="宋体" w:cs="宋体"/>
          <w:sz w:val="24"/>
        </w:rPr>
        <w:t>6.1本合同以人民币付款。</w:t>
      </w:r>
    </w:p>
    <w:p>
      <w:pPr>
        <w:spacing w:line="440" w:lineRule="exact"/>
        <w:ind w:firstLine="480" w:firstLineChars="200"/>
        <w:rPr>
          <w:rFonts w:hint="eastAsia" w:ascii="宋体" w:hAnsi="宋体" w:eastAsia="宋体" w:cs="宋体"/>
          <w:sz w:val="24"/>
        </w:rPr>
      </w:pPr>
      <w:r>
        <w:rPr>
          <w:rFonts w:hint="eastAsia" w:ascii="宋体" w:hAnsi="宋体" w:cs="宋体"/>
          <w:sz w:val="24"/>
        </w:rPr>
        <w:t>6.2</w:t>
      </w:r>
      <w:r>
        <w:rPr>
          <w:rFonts w:hint="eastAsia" w:ascii="宋体" w:hAnsi="宋体" w:eastAsia="宋体" w:cs="宋体"/>
          <w:sz w:val="24"/>
        </w:rPr>
        <w:t>卖方应按照与买方签订的合同规定交货。交货后卖方向买方提供下列单据：</w:t>
      </w:r>
    </w:p>
    <w:p>
      <w:pPr>
        <w:spacing w:line="440" w:lineRule="exact"/>
        <w:ind w:firstLine="480" w:firstLineChars="200"/>
        <w:rPr>
          <w:rFonts w:hint="eastAsia" w:ascii="宋体" w:hAnsi="宋体" w:eastAsia="宋体" w:cs="宋体"/>
          <w:sz w:val="24"/>
        </w:rPr>
      </w:pPr>
      <w:r>
        <w:rPr>
          <w:rFonts w:hint="eastAsia" w:ascii="宋体" w:hAnsi="宋体" w:eastAsia="宋体" w:cs="宋体"/>
          <w:sz w:val="24"/>
        </w:rPr>
        <w:t>（1）发票（在税务部门开具的正式税票）；</w:t>
      </w:r>
    </w:p>
    <w:p>
      <w:pPr>
        <w:spacing w:line="440" w:lineRule="exact"/>
        <w:ind w:firstLine="480" w:firstLineChars="200"/>
        <w:rPr>
          <w:rFonts w:hint="eastAsia" w:ascii="宋体" w:hAnsi="宋体" w:eastAsia="宋体" w:cs="宋体"/>
          <w:sz w:val="24"/>
        </w:rPr>
      </w:pPr>
      <w:r>
        <w:rPr>
          <w:rFonts w:hint="eastAsia" w:ascii="宋体" w:hAnsi="宋体" w:eastAsia="宋体" w:cs="宋体"/>
          <w:sz w:val="24"/>
        </w:rPr>
        <w:t>（2）制造厂家出具的质量检验证书等；</w:t>
      </w:r>
    </w:p>
    <w:p>
      <w:pPr>
        <w:spacing w:line="440" w:lineRule="exact"/>
        <w:ind w:firstLine="480" w:firstLineChars="200"/>
        <w:rPr>
          <w:rFonts w:hint="eastAsia" w:ascii="宋体" w:hAnsi="宋体" w:eastAsia="宋体" w:cs="宋体"/>
          <w:sz w:val="24"/>
        </w:rPr>
      </w:pPr>
      <w:r>
        <w:rPr>
          <w:rFonts w:hint="eastAsia" w:ascii="宋体" w:hAnsi="宋体" w:eastAsia="宋体" w:cs="宋体"/>
          <w:sz w:val="24"/>
        </w:rPr>
        <w:t>（3）装箱单；</w:t>
      </w:r>
    </w:p>
    <w:p>
      <w:pPr>
        <w:spacing w:line="440" w:lineRule="exact"/>
        <w:ind w:firstLine="480" w:firstLineChars="200"/>
        <w:rPr>
          <w:rFonts w:hint="eastAsia" w:ascii="宋体" w:hAnsi="宋体" w:eastAsia="宋体" w:cs="宋体"/>
          <w:sz w:val="24"/>
        </w:rPr>
      </w:pPr>
      <w:r>
        <w:rPr>
          <w:rFonts w:hint="eastAsia" w:ascii="宋体" w:hAnsi="宋体" w:eastAsia="宋体" w:cs="宋体"/>
          <w:sz w:val="24"/>
        </w:rPr>
        <w:t>（4）验收合格证书；</w:t>
      </w:r>
    </w:p>
    <w:p>
      <w:pPr>
        <w:spacing w:line="440" w:lineRule="exact"/>
        <w:ind w:firstLine="480" w:firstLineChars="200"/>
        <w:rPr>
          <w:rFonts w:hint="eastAsia" w:ascii="宋体" w:hAnsi="宋体" w:eastAsia="宋体" w:cs="宋体"/>
          <w:sz w:val="24"/>
        </w:rPr>
      </w:pPr>
      <w:r>
        <w:rPr>
          <w:rFonts w:hint="eastAsia" w:ascii="宋体" w:hAnsi="宋体" w:eastAsia="宋体" w:cs="宋体"/>
          <w:sz w:val="24"/>
        </w:rPr>
        <w:t>（5）使用方加盖公章证明货物交付使用合格的验收表。</w:t>
      </w:r>
    </w:p>
    <w:p>
      <w:pPr>
        <w:spacing w:line="440" w:lineRule="exact"/>
        <w:ind w:firstLine="480" w:firstLineChars="200"/>
        <w:rPr>
          <w:rFonts w:ascii="宋体" w:hAnsi="宋体" w:cs="宋体"/>
          <w:sz w:val="24"/>
        </w:rPr>
      </w:pPr>
      <w:r>
        <w:rPr>
          <w:rFonts w:hint="eastAsia" w:ascii="宋体" w:hAnsi="宋体" w:eastAsia="宋体" w:cs="宋体"/>
          <w:sz w:val="24"/>
        </w:rPr>
        <w:t>6.3买方将按“合同主要条款及通用条款”规定的付款计划安排付款。</w:t>
      </w:r>
    </w:p>
    <w:p>
      <w:pPr>
        <w:spacing w:line="440" w:lineRule="exact"/>
        <w:ind w:firstLine="482" w:firstLineChars="200"/>
        <w:rPr>
          <w:rFonts w:ascii="宋体" w:hAnsi="宋体" w:cs="宋体"/>
          <w:b/>
          <w:sz w:val="24"/>
        </w:rPr>
      </w:pPr>
      <w:r>
        <w:rPr>
          <w:rFonts w:hint="eastAsia" w:ascii="宋体" w:hAnsi="宋体" w:cs="宋体"/>
          <w:b/>
          <w:sz w:val="24"/>
        </w:rPr>
        <w:t>7.伴随服务</w:t>
      </w:r>
    </w:p>
    <w:p>
      <w:pPr>
        <w:spacing w:line="440" w:lineRule="exact"/>
        <w:ind w:firstLine="480" w:firstLineChars="200"/>
        <w:rPr>
          <w:rFonts w:ascii="宋体" w:hAnsi="宋体" w:cs="宋体"/>
          <w:sz w:val="24"/>
        </w:rPr>
      </w:pPr>
      <w:r>
        <w:rPr>
          <w:rFonts w:hint="eastAsia" w:ascii="宋体" w:hAnsi="宋体" w:cs="宋体"/>
          <w:sz w:val="24"/>
        </w:rPr>
        <w:t>7.1卖方应按照国家有关规定和合同中所附的服务承诺提供服务。</w:t>
      </w:r>
    </w:p>
    <w:p>
      <w:pPr>
        <w:spacing w:line="440" w:lineRule="exact"/>
        <w:ind w:firstLine="480" w:firstLineChars="200"/>
        <w:rPr>
          <w:rFonts w:ascii="宋体" w:hAnsi="宋体" w:cs="宋体"/>
          <w:sz w:val="24"/>
        </w:rPr>
      </w:pPr>
      <w:r>
        <w:rPr>
          <w:rFonts w:hint="eastAsia" w:ascii="宋体" w:hAnsi="宋体" w:cs="宋体"/>
          <w:sz w:val="24"/>
        </w:rPr>
        <w:t>7.2除第7.1条规定外，卖方还应提供下列服务：</w:t>
      </w:r>
    </w:p>
    <w:p>
      <w:pPr>
        <w:spacing w:line="440" w:lineRule="exact"/>
        <w:ind w:firstLine="480" w:firstLineChars="200"/>
        <w:rPr>
          <w:rFonts w:ascii="宋体" w:hAnsi="宋体" w:cs="宋体"/>
          <w:sz w:val="24"/>
        </w:rPr>
      </w:pPr>
      <w:r>
        <w:rPr>
          <w:rFonts w:hint="eastAsia" w:ascii="宋体" w:hAnsi="宋体" w:cs="宋体"/>
          <w:sz w:val="24"/>
        </w:rPr>
        <w:t>（1）货物的现场安装和启动监督；</w:t>
      </w:r>
    </w:p>
    <w:p>
      <w:pPr>
        <w:spacing w:line="440" w:lineRule="exact"/>
        <w:ind w:firstLine="480" w:firstLineChars="200"/>
        <w:rPr>
          <w:rFonts w:ascii="宋体" w:hAnsi="宋体" w:cs="宋体"/>
          <w:sz w:val="24"/>
        </w:rPr>
      </w:pPr>
      <w:r>
        <w:rPr>
          <w:rFonts w:hint="eastAsia" w:ascii="宋体" w:hAnsi="宋体" w:cs="宋体"/>
          <w:sz w:val="24"/>
        </w:rPr>
        <w:t>（2）提供货物组装和维修所需的工具；</w:t>
      </w:r>
    </w:p>
    <w:p>
      <w:pPr>
        <w:spacing w:line="440" w:lineRule="exact"/>
        <w:ind w:firstLine="480" w:firstLineChars="200"/>
        <w:rPr>
          <w:rFonts w:ascii="宋体" w:hAnsi="宋体" w:cs="宋体"/>
          <w:sz w:val="24"/>
        </w:rPr>
      </w:pPr>
      <w:r>
        <w:rPr>
          <w:rFonts w:hint="eastAsia" w:ascii="宋体" w:hAnsi="宋体" w:cs="宋体"/>
          <w:sz w:val="24"/>
        </w:rPr>
        <w:t>（3）在合同中卖方承诺的期限内对所提供货物实施运行监督、维修，但前提条件是该服务并不能免除卖方在质量保证期内应承担的义务；</w:t>
      </w:r>
    </w:p>
    <w:p>
      <w:pPr>
        <w:spacing w:line="440" w:lineRule="exact"/>
        <w:ind w:firstLine="480" w:firstLineChars="200"/>
        <w:rPr>
          <w:rFonts w:ascii="宋体" w:hAnsi="宋体" w:cs="宋体"/>
          <w:sz w:val="24"/>
        </w:rPr>
      </w:pPr>
      <w:r>
        <w:rPr>
          <w:rFonts w:hint="eastAsia" w:ascii="宋体" w:hAnsi="宋体" w:cs="宋体"/>
          <w:sz w:val="24"/>
        </w:rPr>
        <w:t>（4）在项目交货现场就货物的安装、启动、运行、维护对买方人员进行培训。</w:t>
      </w:r>
    </w:p>
    <w:p>
      <w:pPr>
        <w:spacing w:line="440" w:lineRule="exact"/>
        <w:ind w:firstLine="480" w:firstLineChars="200"/>
        <w:rPr>
          <w:rFonts w:ascii="宋体" w:hAnsi="宋体" w:cs="宋体"/>
          <w:sz w:val="24"/>
        </w:rPr>
      </w:pPr>
      <w:r>
        <w:rPr>
          <w:rFonts w:hint="eastAsia" w:ascii="宋体" w:hAnsi="宋体" w:cs="宋体"/>
          <w:sz w:val="24"/>
        </w:rPr>
        <w:t>7.3伴随服务的费用应含在合同价中，不单独进行支付。</w:t>
      </w:r>
    </w:p>
    <w:p>
      <w:pPr>
        <w:spacing w:line="440" w:lineRule="exact"/>
        <w:ind w:firstLine="482" w:firstLineChars="200"/>
        <w:rPr>
          <w:rFonts w:ascii="宋体" w:hAnsi="宋体" w:cs="宋体"/>
          <w:b/>
          <w:sz w:val="24"/>
        </w:rPr>
      </w:pPr>
      <w:r>
        <w:rPr>
          <w:rFonts w:hint="eastAsia" w:ascii="宋体" w:hAnsi="宋体" w:cs="宋体"/>
          <w:b/>
          <w:sz w:val="24"/>
        </w:rPr>
        <w:t>8.质量保证</w:t>
      </w:r>
    </w:p>
    <w:p>
      <w:pPr>
        <w:spacing w:line="440" w:lineRule="exact"/>
        <w:ind w:firstLine="480" w:firstLineChars="200"/>
        <w:rPr>
          <w:rFonts w:hint="eastAsia" w:ascii="宋体" w:hAnsi="宋体" w:eastAsia="宋体" w:cs="宋体"/>
          <w:sz w:val="24"/>
        </w:rPr>
      </w:pPr>
      <w:r>
        <w:rPr>
          <w:rFonts w:hint="eastAsia" w:ascii="宋体" w:hAnsi="宋体" w:eastAsia="宋体" w:cs="宋体"/>
          <w:sz w:val="24"/>
        </w:rPr>
        <w:t>8.1卖方所提供货物必须符合文件要求并不低于国家有关标准。</w:t>
      </w:r>
    </w:p>
    <w:p>
      <w:pPr>
        <w:spacing w:line="440" w:lineRule="exact"/>
        <w:ind w:firstLine="480" w:firstLineChars="200"/>
        <w:rPr>
          <w:rFonts w:hint="eastAsia" w:ascii="宋体" w:hAnsi="宋体" w:eastAsia="宋体" w:cs="宋体"/>
          <w:sz w:val="24"/>
        </w:rPr>
      </w:pPr>
      <w:r>
        <w:rPr>
          <w:rFonts w:hint="eastAsia" w:ascii="宋体" w:hAnsi="宋体" w:eastAsia="宋体" w:cs="宋体"/>
          <w:sz w:val="24"/>
        </w:rPr>
        <w:t>8.2卖方应保证货物是全新、未使用过的，是用一流的工艺和最佳材料制造的原装合格正品，并完全符合合同规定的质量、规格和性能的要求。卖方应保证其货物在正确安装、正常使用和保养条件下，在其使用寿命应具有满意的性能。货物最终验收后，在质量保证期内，卖方应对由于设计、工艺或材料缺陷而发生任何不足或故障负责，费用由卖方负担。</w:t>
      </w:r>
    </w:p>
    <w:p>
      <w:pPr>
        <w:spacing w:line="440" w:lineRule="exact"/>
        <w:ind w:firstLine="480" w:firstLineChars="200"/>
        <w:rPr>
          <w:rFonts w:hint="eastAsia" w:ascii="宋体" w:hAnsi="宋体" w:eastAsia="宋体" w:cs="宋体"/>
          <w:sz w:val="24"/>
        </w:rPr>
      </w:pPr>
      <w:r>
        <w:rPr>
          <w:rFonts w:hint="eastAsia" w:ascii="宋体" w:hAnsi="宋体" w:eastAsia="宋体" w:cs="宋体"/>
          <w:sz w:val="24"/>
        </w:rPr>
        <w:t>8.3根据法定检验机构的检验结果或者在质量保证内，如果货物的数量、质量或规格与合同不符，或证明货物是有缺陷的，包括潜在的缺陷或使用不符合要求的材料等，买方以书面形式向卖方提出本保证下的索赔。</w:t>
      </w:r>
    </w:p>
    <w:p>
      <w:pPr>
        <w:spacing w:line="440" w:lineRule="exact"/>
        <w:ind w:firstLine="480" w:firstLineChars="200"/>
        <w:rPr>
          <w:rFonts w:hint="eastAsia" w:ascii="宋体" w:hAnsi="宋体" w:eastAsia="宋体" w:cs="宋体"/>
          <w:sz w:val="24"/>
        </w:rPr>
      </w:pPr>
      <w:r>
        <w:rPr>
          <w:rFonts w:hint="eastAsia" w:ascii="宋体" w:hAnsi="宋体" w:eastAsia="宋体" w:cs="宋体"/>
          <w:sz w:val="24"/>
        </w:rPr>
        <w:t>8.4卖方在收到通知后，应在合同中所附服务承诺约定的时间内免费维修、更换有缺陷的货物或部件。</w:t>
      </w:r>
    </w:p>
    <w:p>
      <w:pPr>
        <w:spacing w:line="440" w:lineRule="exact"/>
        <w:ind w:firstLine="480" w:firstLineChars="200"/>
        <w:rPr>
          <w:rFonts w:hint="eastAsia" w:ascii="宋体" w:hAnsi="宋体" w:eastAsia="宋体" w:cs="宋体"/>
          <w:sz w:val="24"/>
        </w:rPr>
      </w:pPr>
      <w:r>
        <w:rPr>
          <w:rFonts w:hint="eastAsia" w:ascii="宋体" w:hAnsi="宋体" w:eastAsia="宋体" w:cs="宋体"/>
          <w:sz w:val="24"/>
        </w:rPr>
        <w:t>8.5如果卖方在收到通知后，在合同中所附服务承诺约定的时间内没有弥补缺陷，买方可采取必要的补救措施，但风险和费用将由卖方承担。</w:t>
      </w:r>
    </w:p>
    <w:p>
      <w:pPr>
        <w:spacing w:line="440" w:lineRule="exact"/>
        <w:ind w:firstLine="482" w:firstLineChars="200"/>
        <w:rPr>
          <w:rFonts w:ascii="宋体" w:hAnsi="宋体" w:cs="宋体"/>
          <w:b/>
          <w:sz w:val="24"/>
        </w:rPr>
      </w:pPr>
      <w:r>
        <w:rPr>
          <w:rFonts w:hint="eastAsia" w:ascii="宋体" w:hAnsi="宋体" w:cs="宋体"/>
          <w:b/>
          <w:sz w:val="24"/>
        </w:rPr>
        <w:t>9.检验</w:t>
      </w:r>
    </w:p>
    <w:p>
      <w:pPr>
        <w:spacing w:line="440" w:lineRule="exact"/>
        <w:ind w:firstLine="480" w:firstLineChars="200"/>
        <w:rPr>
          <w:rFonts w:hint="eastAsia" w:ascii="宋体" w:hAnsi="宋体" w:eastAsia="宋体" w:cs="宋体"/>
          <w:sz w:val="24"/>
        </w:rPr>
      </w:pPr>
      <w:r>
        <w:rPr>
          <w:rFonts w:hint="eastAsia" w:ascii="宋体" w:hAnsi="宋体" w:eastAsia="宋体" w:cs="宋体"/>
          <w:sz w:val="24"/>
        </w:rPr>
        <w:t>9.1在发货前，卖方应对货物的质量、规格、性能、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w:t>
      </w:r>
    </w:p>
    <w:p>
      <w:pPr>
        <w:spacing w:line="440" w:lineRule="exact"/>
        <w:ind w:firstLine="480" w:firstLineChars="200"/>
        <w:rPr>
          <w:rFonts w:hint="eastAsia" w:ascii="宋体" w:hAnsi="宋体" w:eastAsia="宋体" w:cs="宋体"/>
          <w:sz w:val="24"/>
        </w:rPr>
      </w:pPr>
      <w:r>
        <w:rPr>
          <w:rFonts w:hint="eastAsia" w:ascii="宋体" w:hAnsi="宋体" w:eastAsia="宋体" w:cs="宋体"/>
          <w:sz w:val="24"/>
        </w:rPr>
        <w:t>9.2买方将在卖方交货后七天内组织验收，如果货物的质量和规格与合同规定相符，买方应及时填写验收表，作为支付货款的依据。如果货物的质量的规格与合同规定不符，或在质量保证期内发现货物是有缺陷的，包括潜在缺陷或使用不符合要求的材料，买方应报请法定检验机构进行检查，并有权凭其出具的检验报告向卖方提出索赔。</w:t>
      </w:r>
    </w:p>
    <w:p>
      <w:pPr>
        <w:spacing w:line="440" w:lineRule="exact"/>
        <w:ind w:firstLine="482" w:firstLineChars="200"/>
        <w:rPr>
          <w:rFonts w:ascii="宋体" w:hAnsi="宋体" w:cs="宋体"/>
          <w:b/>
          <w:sz w:val="24"/>
        </w:rPr>
      </w:pPr>
      <w:r>
        <w:rPr>
          <w:rFonts w:hint="eastAsia" w:ascii="宋体" w:hAnsi="宋体" w:cs="宋体"/>
          <w:b/>
          <w:sz w:val="24"/>
        </w:rPr>
        <w:t>10.索赔</w:t>
      </w:r>
    </w:p>
    <w:p>
      <w:pPr>
        <w:spacing w:line="440" w:lineRule="exact"/>
        <w:ind w:firstLine="480" w:firstLineChars="200"/>
        <w:rPr>
          <w:rFonts w:hint="eastAsia" w:ascii="宋体" w:hAnsi="宋体" w:eastAsia="宋体" w:cs="宋体"/>
          <w:sz w:val="24"/>
        </w:rPr>
      </w:pPr>
      <w:r>
        <w:rPr>
          <w:rFonts w:hint="eastAsia" w:ascii="宋体" w:hAnsi="宋体" w:eastAsia="宋体" w:cs="宋体"/>
          <w:sz w:val="24"/>
        </w:rPr>
        <w:t>10.1买方有权根据法定检验机构出具的检验报告，向卖方提出索赔。</w:t>
      </w:r>
    </w:p>
    <w:p>
      <w:pPr>
        <w:spacing w:line="440" w:lineRule="exact"/>
        <w:ind w:firstLine="480" w:firstLineChars="200"/>
        <w:rPr>
          <w:rFonts w:hint="eastAsia" w:ascii="宋体" w:hAnsi="宋体" w:eastAsia="宋体" w:cs="宋体"/>
          <w:sz w:val="24"/>
        </w:rPr>
      </w:pPr>
      <w:r>
        <w:rPr>
          <w:rFonts w:hint="eastAsia" w:ascii="宋体" w:hAnsi="宋体" w:eastAsia="宋体" w:cs="宋体"/>
          <w:sz w:val="24"/>
        </w:rPr>
        <w:t>10.2根据合同规定的检验期和质量保证期内，如果卖方对买方提出的索赔和差异负有责任，卖方应按照买方同意的下列一种或多种方式解决索赔事宜；</w:t>
      </w:r>
    </w:p>
    <w:p>
      <w:pPr>
        <w:spacing w:line="440" w:lineRule="exact"/>
        <w:ind w:firstLine="480" w:firstLineChars="200"/>
        <w:rPr>
          <w:rFonts w:hint="eastAsia" w:ascii="宋体" w:hAnsi="宋体" w:eastAsia="宋体" w:cs="宋体"/>
          <w:sz w:val="24"/>
        </w:rPr>
      </w:pPr>
      <w:r>
        <w:rPr>
          <w:rFonts w:hint="eastAsia" w:ascii="宋体" w:hAnsi="宋体" w:eastAsia="宋体" w:cs="宋体"/>
          <w:sz w:val="24"/>
        </w:rPr>
        <w:t>（1）卖方同意退货，并用合同中规定的货币将货款退还给买方，并承担由此发生的一切损失和费用，包括利息、银行手续费、运费、保险费、检验费、仓储费、装卸费以及为保护退回货物所需的其它必要费用和由此给买方带来的一切相关损失。</w:t>
      </w:r>
    </w:p>
    <w:p>
      <w:pPr>
        <w:spacing w:line="440" w:lineRule="exact"/>
        <w:ind w:firstLine="480" w:firstLineChars="200"/>
        <w:rPr>
          <w:rFonts w:hint="eastAsia" w:ascii="宋体" w:hAnsi="宋体" w:eastAsia="宋体" w:cs="宋体"/>
          <w:sz w:val="24"/>
        </w:rPr>
      </w:pPr>
      <w:r>
        <w:rPr>
          <w:rFonts w:hint="eastAsia" w:ascii="宋体" w:hAnsi="宋体" w:eastAsia="宋体" w:cs="宋体"/>
          <w:sz w:val="24"/>
        </w:rPr>
        <w:t>（2）根据货物的低劣程度、损坏程度以及买方所遭损失的数额，卖方必须降低货物的价格。</w:t>
      </w:r>
    </w:p>
    <w:p>
      <w:pPr>
        <w:spacing w:line="440" w:lineRule="exact"/>
        <w:ind w:firstLine="480" w:firstLineChars="200"/>
        <w:rPr>
          <w:rFonts w:hint="eastAsia" w:ascii="宋体" w:hAnsi="宋体" w:eastAsia="宋体" w:cs="宋体"/>
          <w:sz w:val="24"/>
        </w:rPr>
      </w:pPr>
      <w:r>
        <w:rPr>
          <w:rFonts w:hint="eastAsia" w:ascii="宋体" w:hAnsi="宋体" w:eastAsia="宋体" w:cs="宋体"/>
          <w:sz w:val="24"/>
        </w:rPr>
        <w:t>（3）用符合合同的规定的规格、质量和性能要求的新零件、部件或设备来更换和或修补有缺陷的部分，卖方应承担一切费用和风险并负担买方所蒙受的全部直接损失费用。同时，卖方应按合同规定，对更换和修补件相应延长质量保证期。</w:t>
      </w:r>
    </w:p>
    <w:p>
      <w:pPr>
        <w:spacing w:line="440" w:lineRule="exact"/>
        <w:ind w:firstLine="480" w:firstLineChars="200"/>
        <w:rPr>
          <w:rFonts w:hint="eastAsia" w:ascii="宋体" w:hAnsi="宋体" w:eastAsia="宋体" w:cs="宋体"/>
          <w:sz w:val="24"/>
        </w:rPr>
      </w:pPr>
      <w:r>
        <w:rPr>
          <w:rFonts w:hint="eastAsia" w:ascii="宋体" w:hAnsi="宋体" w:eastAsia="宋体" w:cs="宋体"/>
          <w:sz w:val="24"/>
        </w:rPr>
        <w:t>10.3如果在买方发出索赔通知后10天内，卖方未作答复，上述索赔应视为已被卖方接受，如卖方未能在买方提出索赔通知后10天内或买方同意的更长时间内，按照本合同规定的任何一种方法解决索赔事宜，买方将从卖方开具的履约保证金中扣回索赔金额，或采用法律手段解决索赔事宜。</w:t>
      </w:r>
    </w:p>
    <w:p>
      <w:pPr>
        <w:spacing w:line="440" w:lineRule="exact"/>
        <w:ind w:firstLine="482" w:firstLineChars="200"/>
        <w:rPr>
          <w:rFonts w:ascii="宋体" w:hAnsi="宋体" w:cs="宋体"/>
          <w:b/>
          <w:sz w:val="24"/>
        </w:rPr>
      </w:pPr>
      <w:r>
        <w:rPr>
          <w:rFonts w:hint="eastAsia" w:ascii="宋体" w:hAnsi="宋体" w:cs="宋体"/>
          <w:b/>
          <w:sz w:val="24"/>
        </w:rPr>
        <w:t>11.卖方迟交货、安装</w:t>
      </w:r>
    </w:p>
    <w:p>
      <w:pPr>
        <w:spacing w:line="440" w:lineRule="exact"/>
        <w:ind w:firstLine="480" w:firstLineChars="200"/>
        <w:rPr>
          <w:rFonts w:ascii="宋体" w:hAnsi="宋体" w:cs="宋体"/>
          <w:sz w:val="24"/>
        </w:rPr>
      </w:pPr>
      <w:r>
        <w:rPr>
          <w:rFonts w:hint="eastAsia" w:ascii="宋体" w:hAnsi="宋体" w:cs="宋体"/>
          <w:sz w:val="24"/>
        </w:rPr>
        <w:t>11.1卖方应按照“合同条款前附表”中规定的交货期交货、安装，并交付买方验收使用。如果卖方无正当理由拖延交货、安装，将加收误期赔偿或终止合同。</w:t>
      </w:r>
    </w:p>
    <w:p>
      <w:pPr>
        <w:spacing w:line="440" w:lineRule="exact"/>
        <w:ind w:firstLine="480" w:firstLineChars="200"/>
        <w:rPr>
          <w:rFonts w:ascii="宋体" w:hAnsi="宋体" w:cs="宋体"/>
          <w:sz w:val="24"/>
        </w:rPr>
      </w:pPr>
      <w:r>
        <w:rPr>
          <w:rFonts w:hint="eastAsia" w:ascii="宋体" w:hAnsi="宋体" w:cs="宋体"/>
          <w:sz w:val="24"/>
        </w:rPr>
        <w:t>11.2在履行合同过程中，如果卖方遇到不可抗力而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利。</w:t>
      </w:r>
    </w:p>
    <w:p>
      <w:pPr>
        <w:spacing w:line="440" w:lineRule="exact"/>
        <w:ind w:firstLine="482" w:firstLineChars="200"/>
        <w:rPr>
          <w:rFonts w:ascii="宋体" w:hAnsi="宋体" w:cs="宋体"/>
          <w:b/>
          <w:sz w:val="24"/>
        </w:rPr>
      </w:pPr>
      <w:r>
        <w:rPr>
          <w:rFonts w:hint="eastAsia" w:ascii="宋体" w:hAnsi="宋体" w:cs="宋体"/>
          <w:b/>
          <w:sz w:val="24"/>
        </w:rPr>
        <w:t>12.误期赔偿</w:t>
      </w:r>
    </w:p>
    <w:p>
      <w:pPr>
        <w:spacing w:line="440" w:lineRule="exact"/>
        <w:ind w:firstLine="480" w:firstLineChars="200"/>
        <w:rPr>
          <w:rFonts w:ascii="宋体" w:hAnsi="宋体" w:cs="宋体"/>
          <w:sz w:val="24"/>
        </w:rPr>
      </w:pPr>
      <w:r>
        <w:rPr>
          <w:rFonts w:hint="eastAsia" w:ascii="宋体" w:hAnsi="宋体" w:cs="宋体"/>
          <w:sz w:val="24"/>
        </w:rPr>
        <w:t>12.1除合同条款第13条规定外，如果卖方没有按照合同规定的时间交货和提供服务，买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买方有权终止合同。终止合同三日内卖方自行拆除，具体办法同8.1之规定。</w:t>
      </w:r>
    </w:p>
    <w:p>
      <w:pPr>
        <w:spacing w:line="440" w:lineRule="exact"/>
        <w:ind w:firstLine="482" w:firstLineChars="200"/>
        <w:rPr>
          <w:rFonts w:ascii="宋体" w:hAnsi="宋体" w:cs="宋体"/>
          <w:b/>
          <w:sz w:val="24"/>
        </w:rPr>
      </w:pPr>
      <w:r>
        <w:rPr>
          <w:rFonts w:hint="eastAsia" w:ascii="宋体" w:hAnsi="宋体" w:cs="宋体"/>
          <w:b/>
          <w:sz w:val="24"/>
        </w:rPr>
        <w:t>13.不可抗力</w:t>
      </w:r>
    </w:p>
    <w:p>
      <w:pPr>
        <w:spacing w:line="440" w:lineRule="exact"/>
        <w:ind w:firstLine="480" w:firstLineChars="200"/>
        <w:rPr>
          <w:rFonts w:ascii="宋体" w:hAnsi="宋体" w:cs="宋体"/>
          <w:sz w:val="24"/>
        </w:rPr>
      </w:pPr>
      <w:r>
        <w:rPr>
          <w:rFonts w:hint="eastAsia" w:ascii="宋体" w:hAnsi="宋体" w:cs="宋体"/>
          <w:sz w:val="24"/>
        </w:rPr>
        <w:t>13.1尽管有合同条款第11条、12条和17条的规定，如果卖方因不可抗力而导致合同实施延误或不能履行合同义务的话，不应该承担误期赔偿或终止合同的责任。</w:t>
      </w:r>
    </w:p>
    <w:p>
      <w:pPr>
        <w:spacing w:line="440" w:lineRule="exact"/>
        <w:ind w:firstLine="480" w:firstLineChars="200"/>
        <w:rPr>
          <w:rFonts w:ascii="宋体" w:hAnsi="宋体" w:cs="宋体"/>
          <w:sz w:val="24"/>
        </w:rPr>
      </w:pPr>
      <w:r>
        <w:rPr>
          <w:rFonts w:hint="eastAsia" w:ascii="宋体" w:hAnsi="宋体" w:cs="宋体"/>
          <w:sz w:val="24"/>
        </w:rPr>
        <w:t>13.2本条所述的“不可抗力”系指那些卖方无法控制、不可预见的事件，但不包括卖方的违约或疏忽。这些事件包括：战争、严重火灾、洪水、台风、地震以及其它买方和卖方商定的事件。</w:t>
      </w:r>
    </w:p>
    <w:p>
      <w:pPr>
        <w:spacing w:line="440" w:lineRule="exact"/>
        <w:ind w:firstLine="480" w:firstLineChars="200"/>
        <w:rPr>
          <w:rFonts w:ascii="宋体" w:hAnsi="宋体" w:cs="宋体"/>
          <w:sz w:val="24"/>
        </w:rPr>
      </w:pPr>
      <w:r>
        <w:rPr>
          <w:rFonts w:hint="eastAsia" w:ascii="宋体" w:hAnsi="宋体" w:cs="宋体"/>
          <w:sz w:val="24"/>
        </w:rPr>
        <w:t>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p>
    <w:p>
      <w:pPr>
        <w:spacing w:line="440" w:lineRule="exact"/>
        <w:ind w:firstLine="482" w:firstLineChars="200"/>
        <w:rPr>
          <w:rFonts w:ascii="宋体" w:hAnsi="宋体" w:cs="宋体"/>
          <w:b/>
          <w:sz w:val="24"/>
        </w:rPr>
      </w:pPr>
      <w:r>
        <w:rPr>
          <w:rFonts w:hint="eastAsia" w:ascii="宋体" w:hAnsi="宋体" w:cs="宋体"/>
          <w:b/>
          <w:sz w:val="24"/>
        </w:rPr>
        <w:t>14.税费</w:t>
      </w:r>
    </w:p>
    <w:p>
      <w:pPr>
        <w:spacing w:line="440" w:lineRule="exact"/>
        <w:ind w:firstLine="480" w:firstLineChars="200"/>
        <w:rPr>
          <w:rFonts w:ascii="宋体" w:hAnsi="宋体" w:cs="宋体"/>
          <w:sz w:val="24"/>
        </w:rPr>
      </w:pPr>
      <w:r>
        <w:rPr>
          <w:rFonts w:hint="eastAsia" w:ascii="宋体" w:hAnsi="宋体" w:cs="宋体"/>
          <w:sz w:val="24"/>
        </w:rPr>
        <w:t>14.1中国政府根据现行税法规定对买方征收的、与本合同有关的一切税费，均由买方负担，招标文件另有规定的除外。</w:t>
      </w:r>
    </w:p>
    <w:p>
      <w:pPr>
        <w:spacing w:line="440" w:lineRule="exact"/>
        <w:ind w:firstLine="480" w:firstLineChars="200"/>
        <w:rPr>
          <w:rFonts w:ascii="宋体" w:hAnsi="宋体" w:cs="宋体"/>
          <w:sz w:val="24"/>
        </w:rPr>
      </w:pPr>
      <w:r>
        <w:rPr>
          <w:rFonts w:hint="eastAsia" w:ascii="宋体" w:hAnsi="宋体" w:cs="宋体"/>
          <w:sz w:val="24"/>
        </w:rPr>
        <w:t>14.2中国政府根据现行税法规定对卖方征收的、与本合同有关的一切税费，均由卖方负担。</w:t>
      </w:r>
    </w:p>
    <w:p>
      <w:pPr>
        <w:spacing w:line="440" w:lineRule="exact"/>
        <w:ind w:firstLine="482" w:firstLineChars="200"/>
        <w:rPr>
          <w:rFonts w:ascii="宋体" w:hAnsi="宋体" w:cs="宋体"/>
          <w:b/>
          <w:sz w:val="24"/>
        </w:rPr>
      </w:pPr>
      <w:r>
        <w:rPr>
          <w:rFonts w:hint="eastAsia" w:ascii="宋体" w:hAnsi="宋体" w:cs="宋体"/>
          <w:b/>
          <w:sz w:val="24"/>
        </w:rPr>
        <w:t>15.履约保证金</w:t>
      </w:r>
    </w:p>
    <w:p>
      <w:pPr>
        <w:pStyle w:val="13"/>
        <w:widowControl/>
        <w:ind w:firstLine="480" w:firstLineChars="200"/>
        <w:rPr>
          <w:rFonts w:ascii="宋体" w:hAnsi="宋体" w:cs="宋体"/>
          <w:bCs/>
          <w:kern w:val="2"/>
        </w:rPr>
      </w:pPr>
      <w:r>
        <w:rPr>
          <w:rFonts w:hint="eastAsia" w:ascii="宋体" w:hAnsi="宋体" w:cs="宋体"/>
          <w:bCs/>
          <w:kern w:val="2"/>
          <w:lang w:val="en-US" w:eastAsia="zh-CN"/>
        </w:rPr>
        <w:t>15.</w:t>
      </w:r>
      <w:r>
        <w:rPr>
          <w:rFonts w:hint="eastAsia" w:ascii="宋体" w:hAnsi="宋体" w:cs="宋体"/>
          <w:bCs/>
          <w:kern w:val="2"/>
        </w:rPr>
        <w:t>1为保证合同的顺利执行，成交供应商必须在成交通知书发出之前，向采购人提交金额为成交总价1%的履约保证金。</w:t>
      </w:r>
    </w:p>
    <w:p>
      <w:pPr>
        <w:pStyle w:val="13"/>
        <w:widowControl/>
        <w:ind w:firstLine="480" w:firstLineChars="200"/>
        <w:rPr>
          <w:rFonts w:ascii="宋体" w:hAnsi="宋体" w:cs="宋体"/>
        </w:rPr>
      </w:pPr>
      <w:r>
        <w:rPr>
          <w:rFonts w:hint="eastAsia" w:ascii="宋体" w:hAnsi="宋体" w:cs="宋体"/>
          <w:bCs/>
          <w:kern w:val="2"/>
          <w:lang w:val="en-US" w:eastAsia="zh-CN"/>
        </w:rPr>
        <w:t>15.</w:t>
      </w:r>
      <w:r>
        <w:rPr>
          <w:rFonts w:hint="eastAsia" w:ascii="宋体" w:hAnsi="宋体" w:cs="宋体"/>
          <w:bCs/>
          <w:kern w:val="2"/>
        </w:rPr>
        <w:t>2</w:t>
      </w:r>
      <w:r>
        <w:rPr>
          <w:rFonts w:hint="eastAsia" w:ascii="宋体" w:hAnsi="宋体" w:cs="宋体"/>
        </w:rPr>
        <w:t>履约保证金的形式为（银行本票、汇票、支票、电汇</w:t>
      </w:r>
      <w:r>
        <w:rPr>
          <w:rFonts w:hint="eastAsia" w:ascii="宋体" w:hAnsi="宋体" w:cs="宋体"/>
          <w:lang w:eastAsia="zh-CN"/>
        </w:rPr>
        <w:t>、</w:t>
      </w:r>
      <w:r>
        <w:rPr>
          <w:rFonts w:hint="eastAsia" w:ascii="宋体" w:hAnsi="宋体" w:cs="宋体"/>
          <w:lang w:val="en-US" w:eastAsia="zh-CN"/>
        </w:rPr>
        <w:t>数字人民币</w:t>
      </w:r>
      <w:r>
        <w:rPr>
          <w:rFonts w:hint="eastAsia" w:ascii="宋体" w:hAnsi="宋体" w:cs="宋体"/>
        </w:rPr>
        <w:t>），或银行保函、担保公司的保证担保或保险公司的保证保险等多种形式。成交供应商选取银行保函、担保公司的保证担保或保险公司的保证保险等形式的向采购人缴纳，如保函（担保、保险等）的约定期到期但成交供应商履约仍未结束的，成交供应商须进行续保。</w:t>
      </w:r>
    </w:p>
    <w:p>
      <w:pPr>
        <w:pStyle w:val="13"/>
        <w:widowControl/>
        <w:ind w:firstLine="480" w:firstLineChars="200"/>
        <w:rPr>
          <w:rFonts w:ascii="宋体" w:hAnsi="宋体" w:cs="宋体"/>
        </w:rPr>
      </w:pPr>
      <w:r>
        <w:rPr>
          <w:rFonts w:hint="eastAsia" w:ascii="宋体" w:hAnsi="宋体" w:cs="宋体"/>
          <w:lang w:val="en-US" w:eastAsia="zh-CN"/>
        </w:rPr>
        <w:t>15</w:t>
      </w:r>
      <w:r>
        <w:rPr>
          <w:rFonts w:hint="eastAsia" w:ascii="宋体" w:hAnsi="宋体" w:cs="宋体"/>
        </w:rPr>
        <w:t>.3如成交供应商未能履行合同规定的义务，采购人有权从履约保证金中取得补偿。</w:t>
      </w:r>
    </w:p>
    <w:p>
      <w:pPr>
        <w:spacing w:line="380" w:lineRule="exact"/>
        <w:ind w:firstLine="480" w:firstLineChars="200"/>
        <w:rPr>
          <w:rFonts w:ascii="宋体" w:hAnsi="宋体" w:cs="宋体"/>
          <w:sz w:val="24"/>
        </w:rPr>
      </w:pPr>
      <w:r>
        <w:rPr>
          <w:rFonts w:hint="eastAsia" w:ascii="宋体" w:hAnsi="宋体" w:cs="宋体"/>
          <w:sz w:val="24"/>
          <w:lang w:val="en-US" w:eastAsia="zh-CN"/>
        </w:rPr>
        <w:t>15</w:t>
      </w:r>
      <w:r>
        <w:rPr>
          <w:rFonts w:hint="eastAsia" w:ascii="宋体" w:hAnsi="宋体" w:cs="宋体"/>
          <w:sz w:val="24"/>
        </w:rPr>
        <w:t>.4履约保证金退还时间：履约保证金在合同约定期间内不予退还或者应完全有效，约定期届满之日起 5个工作日内，甲方应将人民币形式的履约保证金退还乙方，逾期退还的，按中国人民银行同期贷款基利率上浮20%后的利率支付超期资金占用费，但因乙方自身原因导致无法及时退还的除外。</w:t>
      </w:r>
    </w:p>
    <w:p>
      <w:pPr>
        <w:spacing w:line="380" w:lineRule="exact"/>
        <w:ind w:firstLine="480" w:firstLineChars="200"/>
        <w:rPr>
          <w:rFonts w:hint="eastAsia" w:ascii="宋体" w:hAnsi="宋体" w:cs="宋体"/>
          <w:sz w:val="24"/>
        </w:rPr>
      </w:pPr>
    </w:p>
    <w:p>
      <w:pPr>
        <w:spacing w:line="440" w:lineRule="exact"/>
        <w:ind w:firstLine="482" w:firstLineChars="200"/>
        <w:rPr>
          <w:rFonts w:ascii="宋体" w:hAnsi="宋体" w:cs="宋体"/>
          <w:b/>
          <w:sz w:val="24"/>
        </w:rPr>
      </w:pPr>
      <w:r>
        <w:rPr>
          <w:rFonts w:hint="eastAsia" w:ascii="宋体" w:hAnsi="宋体" w:cs="宋体"/>
          <w:b/>
          <w:sz w:val="24"/>
        </w:rPr>
        <w:t>16.仲裁</w:t>
      </w:r>
    </w:p>
    <w:p>
      <w:pPr>
        <w:spacing w:line="440" w:lineRule="exact"/>
        <w:ind w:firstLine="480" w:firstLineChars="200"/>
        <w:rPr>
          <w:rFonts w:ascii="宋体" w:hAnsi="宋体" w:cs="宋体"/>
          <w:sz w:val="24"/>
        </w:rPr>
      </w:pPr>
      <w:r>
        <w:rPr>
          <w:rFonts w:hint="eastAsia" w:ascii="宋体" w:hAnsi="宋体" w:cs="宋体"/>
          <w:sz w:val="24"/>
        </w:rPr>
        <w:t>16.1在执行本合同所发生的或与本合同有关一切争端，买方和卖方应通过友好协商的办法进行解决。如从协商开始叁天内仍不能解决，应将争端提交买方所在地行业主管部门寻求可能解决的办法。如果提交买方所在地行业主管部门后叁天内仍得不到解决，则应申请仲裁。</w:t>
      </w:r>
    </w:p>
    <w:p>
      <w:pPr>
        <w:spacing w:line="440" w:lineRule="exact"/>
        <w:ind w:firstLine="480" w:firstLineChars="200"/>
        <w:rPr>
          <w:rFonts w:ascii="宋体" w:hAnsi="宋体" w:cs="宋体"/>
          <w:sz w:val="24"/>
        </w:rPr>
      </w:pPr>
      <w:r>
        <w:rPr>
          <w:rFonts w:hint="eastAsia" w:ascii="宋体" w:hAnsi="宋体" w:cs="宋体"/>
          <w:sz w:val="24"/>
        </w:rPr>
        <w:t>16.2仲裁应根据《中华人民共和国仲裁法》的规定向买方所在地有管辖权的仲裁机构申请仲裁。</w:t>
      </w:r>
    </w:p>
    <w:p>
      <w:pPr>
        <w:spacing w:line="440" w:lineRule="exact"/>
        <w:ind w:firstLine="480" w:firstLineChars="200"/>
        <w:rPr>
          <w:rFonts w:ascii="宋体" w:hAnsi="宋体" w:cs="宋体"/>
          <w:sz w:val="24"/>
        </w:rPr>
      </w:pPr>
      <w:r>
        <w:rPr>
          <w:rFonts w:hint="eastAsia" w:ascii="宋体" w:hAnsi="宋体" w:cs="宋体"/>
          <w:sz w:val="24"/>
        </w:rPr>
        <w:t>16.3仲裁裁决为最终裁决，对买方和卖方均有约束力。</w:t>
      </w:r>
    </w:p>
    <w:p>
      <w:pPr>
        <w:spacing w:line="440" w:lineRule="exact"/>
        <w:ind w:firstLine="482" w:firstLineChars="200"/>
        <w:rPr>
          <w:rFonts w:ascii="宋体" w:hAnsi="宋体" w:cs="宋体"/>
          <w:b/>
          <w:sz w:val="24"/>
        </w:rPr>
      </w:pPr>
      <w:r>
        <w:rPr>
          <w:rFonts w:hint="eastAsia" w:ascii="宋体" w:hAnsi="宋体" w:cs="宋体"/>
          <w:b/>
          <w:sz w:val="24"/>
        </w:rPr>
        <w:t>17.违约终止合同</w:t>
      </w:r>
    </w:p>
    <w:p>
      <w:pPr>
        <w:spacing w:line="440" w:lineRule="exact"/>
        <w:ind w:firstLine="480" w:firstLineChars="200"/>
        <w:rPr>
          <w:rFonts w:ascii="宋体" w:hAnsi="宋体" w:cs="宋体"/>
          <w:sz w:val="24"/>
        </w:rPr>
      </w:pPr>
      <w:r>
        <w:rPr>
          <w:rFonts w:hint="eastAsia" w:ascii="宋体" w:hAnsi="宋体" w:cs="宋体"/>
          <w:sz w:val="24"/>
        </w:rPr>
        <w:t>17.1卖方出现以下情形之一时，买方可向卖方发出终止合同的书面通知书。</w:t>
      </w:r>
    </w:p>
    <w:p>
      <w:pPr>
        <w:spacing w:line="440" w:lineRule="exact"/>
        <w:ind w:firstLine="480" w:firstLineChars="200"/>
        <w:rPr>
          <w:rFonts w:ascii="宋体" w:hAnsi="宋体" w:cs="宋体"/>
          <w:sz w:val="24"/>
        </w:rPr>
      </w:pPr>
      <w:r>
        <w:rPr>
          <w:rFonts w:hint="eastAsia" w:ascii="宋体" w:hAnsi="宋体" w:cs="宋体"/>
          <w:sz w:val="24"/>
        </w:rPr>
        <w:t>（1）如果卖方未能按合同规定的期限或买方同意延长的限期内供货到位；</w:t>
      </w:r>
    </w:p>
    <w:p>
      <w:pPr>
        <w:spacing w:line="440" w:lineRule="exact"/>
        <w:ind w:firstLine="480" w:firstLineChars="200"/>
        <w:rPr>
          <w:rFonts w:ascii="宋体" w:hAnsi="宋体" w:cs="宋体"/>
          <w:sz w:val="24"/>
        </w:rPr>
      </w:pPr>
      <w:r>
        <w:rPr>
          <w:rFonts w:hint="eastAsia" w:ascii="宋体" w:hAnsi="宋体" w:cs="宋体"/>
          <w:sz w:val="24"/>
        </w:rPr>
        <w:t>（2）卖方在收到买方发出的违约通知后叁天内，或经买方书面认可可延长的时间内未能纠正其过失；</w:t>
      </w:r>
    </w:p>
    <w:p>
      <w:pPr>
        <w:spacing w:line="440" w:lineRule="exact"/>
        <w:ind w:firstLine="480" w:firstLineChars="200"/>
        <w:rPr>
          <w:rFonts w:ascii="宋体" w:hAnsi="宋体" w:cs="宋体"/>
          <w:sz w:val="24"/>
        </w:rPr>
      </w:pPr>
      <w:r>
        <w:rPr>
          <w:rFonts w:hint="eastAsia" w:ascii="宋体" w:hAnsi="宋体" w:cs="宋体"/>
          <w:sz w:val="24"/>
        </w:rPr>
        <w:t>（3）如果卖方未能履行合同规定的其他义务。</w:t>
      </w:r>
    </w:p>
    <w:p>
      <w:pPr>
        <w:spacing w:line="440" w:lineRule="exact"/>
        <w:ind w:firstLine="482" w:firstLineChars="200"/>
        <w:rPr>
          <w:rFonts w:ascii="宋体" w:hAnsi="宋体" w:cs="宋体"/>
          <w:b/>
          <w:sz w:val="24"/>
        </w:rPr>
      </w:pPr>
      <w:r>
        <w:rPr>
          <w:rFonts w:hint="eastAsia" w:ascii="宋体" w:hAnsi="宋体" w:cs="宋体"/>
          <w:b/>
          <w:sz w:val="24"/>
        </w:rPr>
        <w:t>18.破产中止合同</w:t>
      </w:r>
    </w:p>
    <w:p>
      <w:pPr>
        <w:spacing w:line="440" w:lineRule="exact"/>
        <w:ind w:firstLine="480" w:firstLineChars="200"/>
        <w:rPr>
          <w:rFonts w:ascii="宋体" w:hAnsi="宋体" w:cs="宋体"/>
          <w:sz w:val="24"/>
        </w:rPr>
      </w:pPr>
      <w:r>
        <w:rPr>
          <w:rFonts w:hint="eastAsia" w:ascii="宋体" w:hAnsi="宋体" w:cs="宋体"/>
          <w:sz w:val="24"/>
        </w:rPr>
        <w:t>18.1如果卖方破产或无清偿能力，买方可在任何时候以书面形式通知卖方中止合同而不给卖方补偿。该中止合同将不损害或影响买方和使用方已经采取或将要采取的任何行动或补救措施的权力</w:t>
      </w:r>
    </w:p>
    <w:p>
      <w:pPr>
        <w:spacing w:line="440" w:lineRule="exact"/>
        <w:ind w:firstLine="482" w:firstLineChars="200"/>
        <w:rPr>
          <w:rFonts w:ascii="宋体" w:hAnsi="宋体" w:cs="宋体"/>
          <w:b/>
          <w:sz w:val="24"/>
        </w:rPr>
      </w:pPr>
      <w:r>
        <w:rPr>
          <w:rFonts w:hint="eastAsia" w:ascii="宋体" w:hAnsi="宋体" w:cs="宋体"/>
          <w:b/>
          <w:sz w:val="24"/>
        </w:rPr>
        <w:t>19.转让</w:t>
      </w:r>
    </w:p>
    <w:p>
      <w:pPr>
        <w:spacing w:line="440" w:lineRule="exact"/>
        <w:ind w:firstLine="480" w:firstLineChars="200"/>
        <w:rPr>
          <w:rFonts w:ascii="宋体" w:hAnsi="宋体" w:cs="宋体"/>
          <w:sz w:val="24"/>
        </w:rPr>
      </w:pPr>
      <w:r>
        <w:rPr>
          <w:rFonts w:hint="eastAsia" w:ascii="宋体" w:hAnsi="宋体" w:cs="宋体"/>
          <w:sz w:val="24"/>
        </w:rPr>
        <w:t>19.1 除买方事先书面同意外，卖方不得部分转让或全部转让其应履行的合同义务。</w:t>
      </w:r>
    </w:p>
    <w:p>
      <w:pPr>
        <w:spacing w:line="440" w:lineRule="exact"/>
        <w:ind w:firstLine="482" w:firstLineChars="200"/>
        <w:rPr>
          <w:rFonts w:ascii="宋体" w:hAnsi="宋体" w:cs="宋体"/>
          <w:b/>
          <w:sz w:val="24"/>
        </w:rPr>
      </w:pPr>
      <w:r>
        <w:rPr>
          <w:rFonts w:hint="eastAsia" w:ascii="宋体" w:hAnsi="宋体" w:cs="宋体"/>
          <w:b/>
          <w:sz w:val="24"/>
        </w:rPr>
        <w:t>20.合同生效及其它</w:t>
      </w:r>
    </w:p>
    <w:p>
      <w:pPr>
        <w:spacing w:line="440" w:lineRule="exact"/>
        <w:ind w:firstLine="480" w:firstLineChars="200"/>
        <w:rPr>
          <w:rFonts w:ascii="宋体" w:hAnsi="宋体" w:cs="宋体"/>
          <w:sz w:val="24"/>
        </w:rPr>
      </w:pPr>
      <w:r>
        <w:rPr>
          <w:rFonts w:hint="eastAsia" w:ascii="宋体" w:hAnsi="宋体" w:cs="宋体"/>
          <w:sz w:val="24"/>
        </w:rPr>
        <w:t>20.1淮安市公共资源交易中心盱眙分中心</w:t>
      </w:r>
      <w:r>
        <w:rPr>
          <w:rFonts w:hint="eastAsia" w:ascii="宋体" w:hAnsi="宋体" w:cs="宋体"/>
          <w:sz w:val="24"/>
          <w:u w:val="single"/>
        </w:rPr>
        <w:t xml:space="preserve">                （项目编号）</w:t>
      </w:r>
      <w:r>
        <w:rPr>
          <w:rFonts w:hint="eastAsia" w:ascii="宋体" w:hAnsi="宋体" w:cs="宋体"/>
          <w:sz w:val="24"/>
        </w:rPr>
        <w:t>号招标文件、乙方提交的</w:t>
      </w:r>
      <w:r>
        <w:rPr>
          <w:rFonts w:hint="eastAsia" w:ascii="宋体" w:hAnsi="宋体" w:cs="宋体"/>
          <w:sz w:val="24"/>
          <w:u w:val="single"/>
        </w:rPr>
        <w:t xml:space="preserve">     （项目编号）</w:t>
      </w:r>
      <w:r>
        <w:rPr>
          <w:rFonts w:hint="eastAsia" w:ascii="宋体" w:hAnsi="宋体" w:cs="宋体"/>
          <w:sz w:val="24"/>
        </w:rPr>
        <w:t>号响应文件、本次招标的成交通知书和招标过程中卖方的投标澄清等内容将作为本次采购合同文件的主要内容。卖方在合同履行过程中若发生服务内容缩减、服务不及时的现象，买方有权对卖方处以适当的经济处罚。</w:t>
      </w:r>
    </w:p>
    <w:p>
      <w:pPr>
        <w:spacing w:line="440" w:lineRule="exact"/>
        <w:ind w:firstLine="480" w:firstLineChars="200"/>
        <w:rPr>
          <w:rFonts w:ascii="宋体" w:hAnsi="宋体" w:cs="宋体"/>
          <w:sz w:val="24"/>
        </w:rPr>
      </w:pPr>
      <w:r>
        <w:rPr>
          <w:rFonts w:hint="eastAsia" w:ascii="宋体" w:hAnsi="宋体" w:cs="宋体"/>
          <w:sz w:val="24"/>
        </w:rPr>
        <w:t>20.2本合同应在买方和卖方双方签字盖章后</w:t>
      </w:r>
      <w:r>
        <w:rPr>
          <w:rFonts w:hint="eastAsia" w:hAnsi="宋体" w:cs="宋体"/>
          <w:sz w:val="24"/>
        </w:rPr>
        <w:t>2个工作日内在淮安市政府采购网公示后生效。</w:t>
      </w:r>
    </w:p>
    <w:p>
      <w:pPr>
        <w:spacing w:line="440" w:lineRule="exact"/>
        <w:ind w:firstLine="480" w:firstLineChars="200"/>
        <w:rPr>
          <w:rFonts w:hint="eastAsia" w:hAnsi="宋体" w:cs="宋体"/>
          <w:sz w:val="24"/>
        </w:rPr>
      </w:pPr>
      <w:r>
        <w:rPr>
          <w:rFonts w:hint="eastAsia" w:ascii="宋体" w:hAnsi="宋体" w:cs="宋体"/>
          <w:sz w:val="24"/>
        </w:rPr>
        <w:t>20.3本合同一式六份，以中文书写，卖方、买方各执二份，</w:t>
      </w:r>
      <w:r>
        <w:rPr>
          <w:rFonts w:hint="eastAsia" w:hAnsi="宋体" w:cs="宋体"/>
          <w:sz w:val="24"/>
        </w:rPr>
        <w:t>代理机构留存</w:t>
      </w:r>
      <w:r>
        <w:rPr>
          <w:rFonts w:hint="eastAsia" w:hAnsi="宋体" w:cs="宋体"/>
          <w:sz w:val="24"/>
          <w:lang w:val="en-US" w:eastAsia="zh-CN"/>
        </w:rPr>
        <w:t>二</w:t>
      </w:r>
      <w:r>
        <w:rPr>
          <w:rFonts w:hint="eastAsia" w:hAnsi="宋体" w:cs="宋体"/>
          <w:sz w:val="24"/>
        </w:rPr>
        <w:t>份。</w:t>
      </w:r>
    </w:p>
    <w:p>
      <w:pPr>
        <w:spacing w:line="440" w:lineRule="exact"/>
        <w:ind w:firstLine="480" w:firstLineChars="200"/>
        <w:rPr>
          <w:rFonts w:hint="eastAsia" w:hAnsi="宋体" w:cs="宋体"/>
          <w:sz w:val="24"/>
        </w:rPr>
      </w:pPr>
      <w:r>
        <w:rPr>
          <w:rFonts w:hint="eastAsia" w:ascii="宋体" w:hAnsi="宋体" w:cs="宋体"/>
          <w:sz w:val="24"/>
        </w:rPr>
        <w:t>20.4合</w:t>
      </w:r>
      <w:r>
        <w:rPr>
          <w:rFonts w:hint="eastAsia" w:hAnsi="宋体" w:cs="宋体"/>
          <w:sz w:val="24"/>
        </w:rPr>
        <w:t>同货物交付使用后所发生的合同纠纷，买方与卖方进行处理。</w:t>
      </w:r>
    </w:p>
    <w:p>
      <w:pPr>
        <w:spacing w:line="440" w:lineRule="exact"/>
        <w:ind w:firstLine="480" w:firstLineChars="200"/>
        <w:rPr>
          <w:rFonts w:ascii="宋体" w:hAnsi="宋体" w:cs="宋体"/>
          <w:sz w:val="24"/>
        </w:rPr>
      </w:pPr>
      <w:r>
        <w:rPr>
          <w:rFonts w:hint="eastAsia" w:ascii="宋体" w:hAnsi="宋体" w:cs="宋体"/>
          <w:sz w:val="24"/>
        </w:rPr>
        <w:t>20.5如需修改或补充合同内容，应经卖方、买方协商，签署书面修改或补充协议。该协议将作为本合同不可分割的一部分。</w:t>
      </w:r>
    </w:p>
    <w:p>
      <w:pPr>
        <w:spacing w:line="440" w:lineRule="exact"/>
        <w:ind w:firstLine="480" w:firstLineChars="200"/>
        <w:rPr>
          <w:rFonts w:ascii="宋体" w:hAnsi="宋体" w:cs="宋体"/>
          <w:sz w:val="24"/>
        </w:rPr>
      </w:pPr>
      <w:r>
        <w:rPr>
          <w:rFonts w:hint="eastAsia" w:ascii="宋体" w:hAnsi="宋体" w:cs="宋体"/>
          <w:sz w:val="24"/>
        </w:rPr>
        <w:t>20.6本合同应按照中华人民共和国的现行法律进行解释。</w:t>
      </w:r>
    </w:p>
    <w:p>
      <w:pPr>
        <w:spacing w:line="440" w:lineRule="exact"/>
        <w:ind w:firstLine="480" w:firstLineChars="200"/>
        <w:rPr>
          <w:rFonts w:hint="eastAsia" w:ascii="宋体" w:hAnsi="宋体" w:cs="宋体"/>
          <w:sz w:val="24"/>
        </w:rPr>
      </w:pPr>
    </w:p>
    <w:p>
      <w:pPr>
        <w:spacing w:line="440" w:lineRule="exact"/>
        <w:ind w:firstLine="480" w:firstLineChars="200"/>
        <w:rPr>
          <w:rFonts w:hint="eastAsia" w:ascii="宋体" w:hAnsi="宋体" w:cs="宋体"/>
          <w:sz w:val="24"/>
        </w:rPr>
      </w:pPr>
    </w:p>
    <w:p>
      <w:pPr>
        <w:pStyle w:val="33"/>
        <w:rPr>
          <w:rFonts w:hint="eastAsia"/>
          <w:sz w:val="24"/>
          <w:szCs w:val="24"/>
        </w:rPr>
      </w:pPr>
    </w:p>
    <w:p>
      <w:pPr>
        <w:pStyle w:val="3"/>
        <w:rPr>
          <w:rFonts w:hint="eastAsia"/>
        </w:rPr>
      </w:pPr>
    </w:p>
    <w:p>
      <w:pPr>
        <w:rPr>
          <w:rFonts w:hint="eastAsia"/>
        </w:rPr>
      </w:pPr>
    </w:p>
    <w:p>
      <w:pPr>
        <w:pStyle w:val="3"/>
        <w:rPr>
          <w:rFonts w:hint="eastAsia"/>
        </w:rPr>
      </w:pPr>
    </w:p>
    <w:p>
      <w:pPr>
        <w:rPr>
          <w:rFonts w:hint="eastAsia"/>
        </w:rPr>
      </w:pPr>
    </w:p>
    <w:p>
      <w:pPr>
        <w:pStyle w:val="3"/>
        <w:rPr>
          <w:rFonts w:hint="eastAsia"/>
        </w:rPr>
      </w:pPr>
    </w:p>
    <w:p>
      <w:pPr>
        <w:rPr>
          <w:rFonts w:hint="eastAsia"/>
        </w:rPr>
      </w:pPr>
    </w:p>
    <w:p>
      <w:pPr>
        <w:pStyle w:val="3"/>
        <w:rPr>
          <w:rFonts w:hint="eastAsia"/>
        </w:rPr>
      </w:pPr>
    </w:p>
    <w:p>
      <w:pPr>
        <w:rPr>
          <w:rFonts w:hint="eastAsia"/>
        </w:rPr>
      </w:pPr>
    </w:p>
    <w:p>
      <w:pPr>
        <w:pStyle w:val="7"/>
        <w:rPr>
          <w:rFonts w:hint="eastAsia"/>
        </w:rPr>
      </w:pPr>
    </w:p>
    <w:p>
      <w:pPr>
        <w:rPr>
          <w:rFonts w:hint="eastAsia"/>
        </w:rPr>
      </w:pPr>
    </w:p>
    <w:p>
      <w:pPr>
        <w:rPr>
          <w:rFonts w:hint="eastAsia" w:ascii="宋体" w:hAnsi="宋体" w:eastAsia="宋体" w:cs="宋体"/>
          <w:b/>
          <w:sz w:val="36"/>
          <w:szCs w:val="44"/>
          <w:highlight w:val="none"/>
        </w:rPr>
      </w:pPr>
    </w:p>
    <w:p>
      <w:pPr>
        <w:pStyle w:val="15"/>
        <w:rPr>
          <w:rFonts w:hint="eastAsia"/>
        </w:rPr>
      </w:pPr>
    </w:p>
    <w:p>
      <w:pPr>
        <w:pStyle w:val="7"/>
        <w:jc w:val="center"/>
        <w:rPr>
          <w:rFonts w:hint="eastAsia" w:ascii="宋体" w:hAnsi="宋体" w:eastAsia="宋体" w:cs="宋体"/>
          <w:b/>
          <w:sz w:val="36"/>
          <w:szCs w:val="44"/>
          <w:highlight w:val="none"/>
        </w:rPr>
      </w:pPr>
    </w:p>
    <w:p>
      <w:pPr>
        <w:pStyle w:val="7"/>
        <w:jc w:val="center"/>
        <w:rPr>
          <w:rFonts w:ascii="宋体" w:hAnsi="宋体" w:eastAsia="宋体" w:cs="宋体"/>
          <w:b/>
          <w:sz w:val="36"/>
          <w:szCs w:val="44"/>
          <w:highlight w:val="none"/>
        </w:rPr>
      </w:pPr>
      <w:r>
        <w:rPr>
          <w:rFonts w:hint="eastAsia" w:ascii="宋体" w:hAnsi="宋体" w:eastAsia="宋体" w:cs="宋体"/>
          <w:b/>
          <w:sz w:val="36"/>
          <w:szCs w:val="44"/>
          <w:highlight w:val="none"/>
        </w:rPr>
        <w:t>第五部分：采购需求</w:t>
      </w:r>
    </w:p>
    <w:p>
      <w:pPr>
        <w:rPr>
          <w:rFonts w:ascii="宋体" w:hAnsi="宋体" w:cs="宋体"/>
          <w:b/>
          <w:sz w:val="36"/>
          <w:szCs w:val="44"/>
        </w:rPr>
      </w:pPr>
    </w:p>
    <w:p>
      <w:pPr>
        <w:rPr>
          <w:rFonts w:hint="eastAsia"/>
          <w:lang w:val="en-US" w:eastAsia="zh-CN"/>
        </w:rPr>
      </w:pPr>
      <w:r>
        <w:rPr>
          <w:rFonts w:hint="eastAsia" w:ascii="宋体" w:hAnsi="宋体" w:cs="宋体"/>
          <w:b/>
          <w:bCs/>
          <w:color w:val="auto"/>
          <w:kern w:val="2"/>
          <w:sz w:val="24"/>
          <w:szCs w:val="24"/>
          <w:lang w:val="en-US" w:eastAsia="zh-CN" w:bidi="ar-SA"/>
        </w:rPr>
        <w:t>一、清单明细</w:t>
      </w:r>
    </w:p>
    <w:tbl>
      <w:tblPr>
        <w:tblStyle w:val="17"/>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89"/>
        <w:gridCol w:w="1099"/>
        <w:gridCol w:w="873"/>
        <w:gridCol w:w="787"/>
        <w:gridCol w:w="68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名称</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单位</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数量</w:t>
            </w:r>
          </w:p>
        </w:tc>
        <w:tc>
          <w:tcPr>
            <w:tcW w:w="33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简介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6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AI机器学习套件</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r>
              <w:rPr>
                <w:rFonts w:hint="eastAsia" w:ascii="宋体" w:hAnsi="宋体" w:cs="宋体"/>
                <w:i w:val="0"/>
                <w:iCs w:val="0"/>
                <w:color w:val="000000"/>
                <w:kern w:val="0"/>
                <w:sz w:val="18"/>
                <w:szCs w:val="18"/>
                <w:u w:val="none"/>
                <w:lang w:val="en-US" w:eastAsia="zh-CN" w:bidi="ar"/>
              </w:rPr>
              <w:t>7</w:t>
            </w:r>
          </w:p>
        </w:tc>
        <w:tc>
          <w:tcPr>
            <w:tcW w:w="33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Style w:val="49"/>
                <w:rFonts w:hint="eastAsia" w:ascii="宋体" w:hAnsi="宋体" w:eastAsia="宋体" w:cs="宋体"/>
                <w:sz w:val="18"/>
                <w:szCs w:val="18"/>
                <w:lang w:val="en-US" w:eastAsia="zh-CN" w:bidi="ar"/>
              </w:rPr>
              <w:t>一、产品描述</w:t>
            </w:r>
            <w:r>
              <w:rPr>
                <w:rStyle w:val="49"/>
                <w:rFonts w:hint="eastAsia" w:ascii="宋体" w:hAnsi="宋体" w:eastAsia="宋体" w:cs="宋体"/>
                <w:sz w:val="18"/>
                <w:szCs w:val="18"/>
                <w:lang w:val="en-US" w:eastAsia="zh-CN" w:bidi="ar"/>
              </w:rPr>
              <w:br w:type="textWrapping"/>
            </w:r>
            <w:r>
              <w:rPr>
                <w:rStyle w:val="49"/>
                <w:rFonts w:hint="eastAsia" w:ascii="宋体" w:hAnsi="宋体" w:eastAsia="宋体" w:cs="宋体"/>
                <w:sz w:val="18"/>
                <w:szCs w:val="18"/>
                <w:lang w:val="en-US" w:eastAsia="zh-CN" w:bidi="ar"/>
              </w:rPr>
              <w:t>人工智能机器学习初级套件是一款基于国产的人工智能芯片K210设计开发的一款机器学习人工智能套件。目的是让学生能够低门槛的学习和应用人工智能解决现实生活中的问题。如人脸识别，物体识别与分类，声音识别等。让学生学会综合应用各种编程知识，人工智能技术，打通虚拟世界和现实世界，培养学生的编程控制能力、动手实践能力以及对日常生活的观察能力和解决问题的能力，以及综合实践能力，提高学生的综合科学素养和工程素养。</w:t>
            </w:r>
            <w:r>
              <w:rPr>
                <w:rStyle w:val="49"/>
                <w:rFonts w:hint="eastAsia" w:ascii="宋体" w:hAnsi="宋体" w:eastAsia="宋体" w:cs="宋体"/>
                <w:sz w:val="18"/>
                <w:szCs w:val="18"/>
                <w:lang w:val="en-US" w:eastAsia="zh-CN" w:bidi="ar"/>
              </w:rPr>
              <w:br w:type="textWrapping"/>
            </w:r>
            <w:r>
              <w:rPr>
                <w:rStyle w:val="49"/>
                <w:rFonts w:hint="eastAsia" w:ascii="宋体" w:hAnsi="宋体" w:eastAsia="宋体" w:cs="宋体"/>
                <w:sz w:val="18"/>
                <w:szCs w:val="18"/>
                <w:lang w:val="en-US" w:eastAsia="zh-CN" w:bidi="ar"/>
              </w:rPr>
              <w:br w:type="textWrapping"/>
            </w:r>
            <w:r>
              <w:rPr>
                <w:rStyle w:val="49"/>
                <w:rFonts w:hint="eastAsia" w:ascii="宋体" w:hAnsi="宋体" w:eastAsia="宋体" w:cs="宋体"/>
                <w:sz w:val="18"/>
                <w:szCs w:val="18"/>
                <w:lang w:val="en-US" w:eastAsia="zh-CN" w:bidi="ar"/>
              </w:rPr>
              <w:t>二、硬件功能参数</w:t>
            </w:r>
            <w:r>
              <w:rPr>
                <w:rStyle w:val="49"/>
                <w:rFonts w:hint="eastAsia" w:ascii="宋体" w:hAnsi="宋体" w:eastAsia="宋体" w:cs="宋体"/>
                <w:sz w:val="18"/>
                <w:szCs w:val="18"/>
                <w:lang w:val="en-US" w:eastAsia="zh-CN" w:bidi="ar"/>
              </w:rPr>
              <w:br w:type="textWrapping"/>
            </w:r>
            <w:r>
              <w:rPr>
                <w:rStyle w:val="49"/>
                <w:rFonts w:hint="eastAsia" w:ascii="宋体" w:hAnsi="宋体" w:eastAsia="宋体" w:cs="宋体"/>
                <w:sz w:val="18"/>
                <w:szCs w:val="18"/>
                <w:lang w:val="en-US" w:eastAsia="zh-CN" w:bidi="ar"/>
              </w:rPr>
              <w:t>1)</w:t>
            </w:r>
            <w:r>
              <w:rPr>
                <w:rStyle w:val="50"/>
                <w:rFonts w:hint="eastAsia" w:ascii="宋体" w:hAnsi="宋体" w:eastAsia="宋体" w:cs="宋体"/>
                <w:sz w:val="18"/>
                <w:szCs w:val="18"/>
                <w:lang w:val="en-US" w:eastAsia="zh-CN" w:bidi="ar"/>
              </w:rPr>
              <w:t xml:space="preserve"> </w:t>
            </w:r>
            <w:r>
              <w:rPr>
                <w:rStyle w:val="49"/>
                <w:rFonts w:hint="eastAsia" w:ascii="宋体" w:hAnsi="宋体" w:eastAsia="宋体" w:cs="宋体"/>
                <w:sz w:val="18"/>
                <w:szCs w:val="18"/>
                <w:lang w:val="en-US" w:eastAsia="zh-CN" w:bidi="ar"/>
              </w:rPr>
              <w:t xml:space="preserve">  ELF K210人工智能主控板是基于两款国产芯片设计的一款人工智能主控板。主频400MHz（可睿频到600MHz）, 离线人工智能性能卓越，可以进行机器视觉识别处理，听觉识别处理，内置FPU，KPU，APU，FFT，总算力高达1TOPS。ESP32主要负责提供蓝牙和WIFI部分的工作，也就是物联网部分的功能，可进行物联网教学。主板上集成了4路直流电机接口，1个按键。同时引出了20组IO排母接口+2组I2C排母接口和4个RJ11座接口，5V和3.3V电源切换，方便连接市面上的开源电子模块。主控上固定一个2.4寸彩屏，可以显示各种彩色图形，使用体验好，彩屏通过软排线和主控板相连。另外主控可以固定一个摄像头，也可以采用一个3D打印的可180°旋转的支架固定摄像头，实现需可转动摄像头场景的场合。彩屏和摄像头均采用FFC连接器连接，方便用户更换不同型号的设备。USB Type C接口，正反插接兼容，方便耐用，不易损坏。MEMS麦克风：1个，喇叭：1个。电源接口6-12V宽电压使用。ELF K210人工智能主控板兼容Maixduino使用以及开源的电子模块，兼容市面常用的mixly图形化编程软件和Arduino编程软件，以及MaixPy IDE 编程。支持编程语言：C、C++、MicroPython、WeeeCode图形化编程等。</w:t>
            </w:r>
            <w:r>
              <w:rPr>
                <w:rStyle w:val="49"/>
                <w:rFonts w:hint="eastAsia" w:ascii="宋体" w:hAnsi="宋体" w:eastAsia="宋体" w:cs="宋体"/>
                <w:sz w:val="18"/>
                <w:szCs w:val="18"/>
                <w:lang w:val="en-US" w:eastAsia="zh-CN" w:bidi="ar"/>
              </w:rPr>
              <w:br w:type="textWrapping"/>
            </w:r>
            <w:r>
              <w:rPr>
                <w:rStyle w:val="49"/>
                <w:rFonts w:hint="eastAsia" w:ascii="宋体" w:hAnsi="宋体" w:eastAsia="宋体" w:cs="宋体"/>
                <w:sz w:val="18"/>
                <w:szCs w:val="18"/>
                <w:lang w:val="en-US" w:eastAsia="zh-CN" w:bidi="ar"/>
              </w:rPr>
              <w:t>2)</w:t>
            </w:r>
            <w:r>
              <w:rPr>
                <w:rStyle w:val="50"/>
                <w:rFonts w:hint="eastAsia" w:ascii="宋体" w:hAnsi="宋体" w:eastAsia="宋体" w:cs="宋体"/>
                <w:sz w:val="18"/>
                <w:szCs w:val="18"/>
                <w:lang w:val="en-US" w:eastAsia="zh-CN" w:bidi="ar"/>
              </w:rPr>
              <w:t xml:space="preserve"> </w:t>
            </w:r>
            <w:r>
              <w:rPr>
                <w:rStyle w:val="49"/>
                <w:rFonts w:hint="eastAsia" w:ascii="宋体" w:hAnsi="宋体" w:eastAsia="宋体" w:cs="宋体"/>
                <w:sz w:val="18"/>
                <w:szCs w:val="18"/>
                <w:lang w:val="en-US" w:eastAsia="zh-CN" w:bidi="ar"/>
              </w:rPr>
              <w:t>大班教学可以使用RJ11接口，兼容 100+电子模块，扩展性强，使用简单，方便，安全，可以进行机器人教学，人工智能编程教育</w:t>
            </w:r>
            <w:r>
              <w:rPr>
                <w:rStyle w:val="49"/>
                <w:rFonts w:hint="eastAsia" w:ascii="宋体" w:hAnsi="宋体" w:eastAsia="宋体" w:cs="宋体"/>
                <w:sz w:val="18"/>
                <w:szCs w:val="18"/>
                <w:lang w:val="en-US" w:eastAsia="zh-CN" w:bidi="ar"/>
              </w:rPr>
              <w:br w:type="textWrapping"/>
            </w:r>
            <w:r>
              <w:rPr>
                <w:rStyle w:val="49"/>
                <w:rFonts w:hint="eastAsia" w:ascii="宋体" w:hAnsi="宋体" w:eastAsia="宋体" w:cs="宋体"/>
                <w:sz w:val="18"/>
                <w:szCs w:val="18"/>
                <w:lang w:val="en-US" w:eastAsia="zh-CN" w:bidi="ar"/>
              </w:rPr>
              <w:t>3)</w:t>
            </w:r>
            <w:r>
              <w:rPr>
                <w:rStyle w:val="50"/>
                <w:rFonts w:hint="eastAsia" w:ascii="宋体" w:hAnsi="宋体" w:eastAsia="宋体" w:cs="宋体"/>
                <w:sz w:val="18"/>
                <w:szCs w:val="18"/>
                <w:lang w:val="en-US" w:eastAsia="zh-CN" w:bidi="ar"/>
              </w:rPr>
              <w:t xml:space="preserve"> </w:t>
            </w:r>
            <w:r>
              <w:rPr>
                <w:rStyle w:val="49"/>
                <w:rFonts w:hint="eastAsia" w:ascii="宋体" w:hAnsi="宋体" w:eastAsia="宋体" w:cs="宋体"/>
                <w:sz w:val="18"/>
                <w:szCs w:val="18"/>
                <w:lang w:val="en-US" w:eastAsia="zh-CN" w:bidi="ar"/>
              </w:rPr>
              <w:t xml:space="preserve"> 摄像头： OV2640 像素200W，可以安装到摄像头支架上，可以旋转，对于需要调整摄像头角度的场景非常方便。</w:t>
            </w:r>
            <w:r>
              <w:rPr>
                <w:rStyle w:val="49"/>
                <w:rFonts w:hint="eastAsia" w:ascii="宋体" w:hAnsi="宋体" w:eastAsia="宋体" w:cs="宋体"/>
                <w:sz w:val="18"/>
                <w:szCs w:val="18"/>
                <w:lang w:val="en-US" w:eastAsia="zh-CN" w:bidi="ar"/>
              </w:rPr>
              <w:br w:type="textWrapping"/>
            </w:r>
            <w:r>
              <w:rPr>
                <w:rStyle w:val="49"/>
                <w:rFonts w:hint="eastAsia" w:ascii="宋体" w:hAnsi="宋体" w:eastAsia="宋体" w:cs="宋体"/>
                <w:sz w:val="18"/>
                <w:szCs w:val="18"/>
                <w:lang w:val="en-US" w:eastAsia="zh-CN" w:bidi="ar"/>
              </w:rPr>
              <w:t>4)</w:t>
            </w:r>
            <w:r>
              <w:rPr>
                <w:rStyle w:val="50"/>
                <w:rFonts w:hint="eastAsia" w:ascii="宋体" w:hAnsi="宋体" w:eastAsia="宋体" w:cs="宋体"/>
                <w:sz w:val="18"/>
                <w:szCs w:val="18"/>
                <w:lang w:val="en-US" w:eastAsia="zh-CN" w:bidi="ar"/>
              </w:rPr>
              <w:t xml:space="preserve"> </w:t>
            </w:r>
            <w:r>
              <w:rPr>
                <w:rStyle w:val="49"/>
                <w:rFonts w:hint="eastAsia" w:ascii="宋体" w:hAnsi="宋体" w:eastAsia="宋体" w:cs="宋体"/>
                <w:sz w:val="18"/>
                <w:szCs w:val="18"/>
                <w:lang w:val="en-US" w:eastAsia="zh-CN" w:bidi="ar"/>
              </w:rPr>
              <w:t xml:space="preserve"> 通讯接口：为方便学生入门、套件教学和快速搭建，电子模块采用4P4C的RJ11端子，使用的是4pin水晶头的RJ11连接线，连接使用方便快捷、电气性能好、寿命长。绝大部分传感器模块和RJ11端口可以任意连接随意插拔并可以自动识别端口反馈到编程程序中。</w:t>
            </w:r>
            <w:r>
              <w:rPr>
                <w:rStyle w:val="49"/>
                <w:rFonts w:hint="eastAsia" w:ascii="宋体" w:hAnsi="宋体" w:eastAsia="宋体" w:cs="宋体"/>
                <w:sz w:val="18"/>
                <w:szCs w:val="18"/>
                <w:lang w:val="en-US" w:eastAsia="zh-CN" w:bidi="ar"/>
              </w:rPr>
              <w:br w:type="textWrapping"/>
            </w:r>
            <w:r>
              <w:rPr>
                <w:rStyle w:val="49"/>
                <w:rFonts w:hint="eastAsia" w:ascii="宋体" w:hAnsi="宋体" w:eastAsia="宋体" w:cs="宋体"/>
                <w:sz w:val="18"/>
                <w:szCs w:val="18"/>
                <w:lang w:val="en-US" w:eastAsia="zh-CN" w:bidi="ar"/>
              </w:rPr>
              <w:t>5)</w:t>
            </w:r>
            <w:r>
              <w:rPr>
                <w:rStyle w:val="50"/>
                <w:rFonts w:hint="eastAsia" w:ascii="宋体" w:hAnsi="宋体" w:eastAsia="宋体" w:cs="宋体"/>
                <w:sz w:val="18"/>
                <w:szCs w:val="18"/>
                <w:lang w:val="en-US" w:eastAsia="zh-CN" w:bidi="ar"/>
              </w:rPr>
              <w:t xml:space="preserve"> </w:t>
            </w:r>
            <w:r>
              <w:rPr>
                <w:rStyle w:val="49"/>
                <w:rFonts w:hint="eastAsia" w:ascii="宋体" w:hAnsi="宋体" w:eastAsia="宋体" w:cs="宋体"/>
                <w:sz w:val="18"/>
                <w:szCs w:val="18"/>
                <w:lang w:val="en-US" w:eastAsia="zh-CN" w:bidi="ar"/>
              </w:rPr>
              <w:t xml:space="preserve"> 套件包括ELF K210 AI主控板 /TT电机/摄像头/18650电池包/麦克纳姆轮/普通轮子/ 电子模块可接RJ11接口，方便插接，无需对色标，即插即用，降低学习门槛。如想新增电子模块，其均有外壳保护，耐用不易损坏，而且可以兼容乐高结构进行搭建。</w:t>
            </w:r>
            <w:r>
              <w:rPr>
                <w:rStyle w:val="49"/>
                <w:rFonts w:hint="eastAsia" w:ascii="宋体" w:hAnsi="宋体" w:eastAsia="宋体" w:cs="宋体"/>
                <w:sz w:val="18"/>
                <w:szCs w:val="18"/>
                <w:lang w:val="en-US" w:eastAsia="zh-CN" w:bidi="ar"/>
              </w:rPr>
              <w:br w:type="textWrapping"/>
            </w:r>
            <w:r>
              <w:rPr>
                <w:rStyle w:val="49"/>
                <w:rFonts w:hint="eastAsia" w:ascii="宋体" w:hAnsi="宋体" w:eastAsia="宋体" w:cs="宋体"/>
                <w:sz w:val="18"/>
                <w:szCs w:val="18"/>
                <w:lang w:val="en-US" w:eastAsia="zh-CN" w:bidi="ar"/>
              </w:rPr>
              <w:t>6)</w:t>
            </w:r>
            <w:r>
              <w:rPr>
                <w:rStyle w:val="50"/>
                <w:rFonts w:hint="eastAsia" w:ascii="宋体" w:hAnsi="宋体" w:eastAsia="宋体" w:cs="宋体"/>
                <w:sz w:val="18"/>
                <w:szCs w:val="18"/>
                <w:lang w:val="en-US" w:eastAsia="zh-CN" w:bidi="ar"/>
              </w:rPr>
              <w:t xml:space="preserve"> </w:t>
            </w:r>
            <w:r>
              <w:rPr>
                <w:rStyle w:val="49"/>
                <w:rFonts w:hint="eastAsia" w:ascii="宋体" w:hAnsi="宋体" w:eastAsia="宋体" w:cs="宋体"/>
                <w:sz w:val="18"/>
                <w:szCs w:val="18"/>
                <w:lang w:val="en-US" w:eastAsia="zh-CN" w:bidi="ar"/>
              </w:rPr>
              <w:t xml:space="preserve"> 套件自带18650锂电池包，电量强劲且持久。电池包有塑胶外壳保护，不易损坏。</w:t>
            </w:r>
            <w:r>
              <w:rPr>
                <w:rStyle w:val="49"/>
                <w:rFonts w:hint="eastAsia" w:ascii="宋体" w:hAnsi="宋体" w:eastAsia="宋体" w:cs="宋体"/>
                <w:sz w:val="18"/>
                <w:szCs w:val="18"/>
                <w:lang w:val="en-US" w:eastAsia="zh-CN" w:bidi="ar"/>
              </w:rPr>
              <w:br w:type="textWrapping"/>
            </w:r>
            <w:r>
              <w:rPr>
                <w:rStyle w:val="49"/>
                <w:rFonts w:hint="eastAsia" w:ascii="宋体" w:hAnsi="宋体" w:eastAsia="宋体" w:cs="宋体"/>
                <w:sz w:val="18"/>
                <w:szCs w:val="18"/>
                <w:lang w:val="en-US" w:eastAsia="zh-CN" w:bidi="ar"/>
              </w:rPr>
              <w:t>7)</w:t>
            </w:r>
            <w:r>
              <w:rPr>
                <w:rStyle w:val="50"/>
                <w:rFonts w:hint="eastAsia" w:ascii="宋体" w:hAnsi="宋体" w:eastAsia="宋体" w:cs="宋体"/>
                <w:sz w:val="18"/>
                <w:szCs w:val="18"/>
                <w:lang w:val="en-US" w:eastAsia="zh-CN" w:bidi="ar"/>
              </w:rPr>
              <w:t xml:space="preserve"> </w:t>
            </w:r>
            <w:r>
              <w:rPr>
                <w:rStyle w:val="49"/>
                <w:rFonts w:hint="eastAsia" w:ascii="宋体" w:hAnsi="宋体" w:eastAsia="宋体" w:cs="宋体"/>
                <w:sz w:val="18"/>
                <w:szCs w:val="18"/>
                <w:lang w:val="en-US" w:eastAsia="zh-CN" w:bidi="ar"/>
              </w:rPr>
              <w:t xml:space="preserve"> 支持WeeeCode软件及Mixly软件,mind+软件。</w:t>
            </w:r>
            <w:r>
              <w:rPr>
                <w:rStyle w:val="49"/>
                <w:rFonts w:hint="eastAsia" w:ascii="宋体" w:hAnsi="宋体" w:eastAsia="宋体" w:cs="宋体"/>
                <w:sz w:val="18"/>
                <w:szCs w:val="18"/>
                <w:lang w:val="en-US" w:eastAsia="zh-CN" w:bidi="ar"/>
              </w:rPr>
              <w:br w:type="textWrapping"/>
            </w:r>
            <w:r>
              <w:rPr>
                <w:rStyle w:val="49"/>
                <w:rFonts w:hint="eastAsia" w:ascii="宋体" w:hAnsi="宋体" w:eastAsia="宋体" w:cs="宋体"/>
                <w:sz w:val="18"/>
                <w:szCs w:val="18"/>
                <w:lang w:val="en-US" w:eastAsia="zh-CN" w:bidi="ar"/>
              </w:rPr>
              <w:br w:type="textWrapping"/>
            </w:r>
            <w:r>
              <w:rPr>
                <w:rStyle w:val="49"/>
                <w:rFonts w:hint="eastAsia" w:ascii="宋体" w:hAnsi="宋体" w:eastAsia="宋体" w:cs="宋体"/>
                <w:sz w:val="18"/>
                <w:szCs w:val="18"/>
                <w:lang w:val="en-US" w:eastAsia="zh-CN" w:bidi="ar"/>
              </w:rPr>
              <w:t>三、编程平台参数</w:t>
            </w:r>
            <w:r>
              <w:rPr>
                <w:rStyle w:val="49"/>
                <w:rFonts w:hint="eastAsia" w:ascii="宋体" w:hAnsi="宋体" w:eastAsia="宋体" w:cs="宋体"/>
                <w:sz w:val="18"/>
                <w:szCs w:val="18"/>
                <w:lang w:val="en-US" w:eastAsia="zh-CN" w:bidi="ar"/>
              </w:rPr>
              <w:br w:type="textWrapping"/>
            </w:r>
            <w:r>
              <w:rPr>
                <w:rStyle w:val="49"/>
                <w:rFonts w:hint="eastAsia" w:ascii="宋体" w:hAnsi="宋体" w:eastAsia="宋体" w:cs="宋体"/>
                <w:sz w:val="18"/>
                <w:szCs w:val="18"/>
                <w:lang w:val="en-US" w:eastAsia="zh-CN" w:bidi="ar"/>
              </w:rPr>
              <w:t>1)</w:t>
            </w:r>
            <w:r>
              <w:rPr>
                <w:rStyle w:val="50"/>
                <w:rFonts w:hint="eastAsia" w:ascii="宋体" w:hAnsi="宋体" w:eastAsia="宋体" w:cs="宋体"/>
                <w:sz w:val="18"/>
                <w:szCs w:val="18"/>
                <w:lang w:val="en-US" w:eastAsia="zh-CN" w:bidi="ar"/>
              </w:rPr>
              <w:t xml:space="preserve"> </w:t>
            </w:r>
            <w:r>
              <w:rPr>
                <w:rStyle w:val="49"/>
                <w:rFonts w:hint="eastAsia" w:ascii="宋体" w:hAnsi="宋体" w:eastAsia="宋体" w:cs="宋体"/>
                <w:sz w:val="18"/>
                <w:szCs w:val="18"/>
                <w:lang w:val="en-US" w:eastAsia="zh-CN" w:bidi="ar"/>
              </w:rPr>
              <w:t>可以使用纯图形化编程软件进行编程，也可以用Python代码进行编程；</w:t>
            </w:r>
            <w:r>
              <w:rPr>
                <w:rStyle w:val="49"/>
                <w:rFonts w:hint="eastAsia" w:ascii="宋体" w:hAnsi="宋体" w:eastAsia="宋体" w:cs="宋体"/>
                <w:sz w:val="18"/>
                <w:szCs w:val="18"/>
                <w:lang w:val="en-US" w:eastAsia="zh-CN" w:bidi="ar"/>
              </w:rPr>
              <w:br w:type="textWrapping"/>
            </w:r>
            <w:r>
              <w:rPr>
                <w:rStyle w:val="49"/>
                <w:rFonts w:hint="eastAsia" w:ascii="宋体" w:hAnsi="宋体" w:eastAsia="宋体" w:cs="宋体"/>
                <w:sz w:val="18"/>
                <w:szCs w:val="18"/>
                <w:lang w:val="en-US" w:eastAsia="zh-CN" w:bidi="ar"/>
              </w:rPr>
              <w:t>2)</w:t>
            </w:r>
            <w:r>
              <w:rPr>
                <w:rStyle w:val="50"/>
                <w:rFonts w:hint="eastAsia" w:ascii="宋体" w:hAnsi="宋体" w:eastAsia="宋体" w:cs="宋体"/>
                <w:sz w:val="18"/>
                <w:szCs w:val="18"/>
                <w:lang w:val="en-US" w:eastAsia="zh-CN" w:bidi="ar"/>
              </w:rPr>
              <w:t xml:space="preserve"> </w:t>
            </w:r>
            <w:r>
              <w:rPr>
                <w:rStyle w:val="49"/>
                <w:rFonts w:hint="eastAsia" w:ascii="宋体" w:hAnsi="宋体" w:eastAsia="宋体" w:cs="宋体"/>
                <w:sz w:val="18"/>
                <w:szCs w:val="18"/>
                <w:lang w:val="en-US" w:eastAsia="zh-CN" w:bidi="ar"/>
              </w:rPr>
              <w:t>兼容Arduino软硬件开发平台，兼容ArduinoIDE软件编程，兼容Scratch软件编程，兼容Python语言编程；</w:t>
            </w:r>
            <w:r>
              <w:rPr>
                <w:rStyle w:val="49"/>
                <w:rFonts w:hint="eastAsia" w:ascii="宋体" w:hAnsi="宋体" w:eastAsia="宋体" w:cs="宋体"/>
                <w:sz w:val="18"/>
                <w:szCs w:val="18"/>
                <w:lang w:val="en-US" w:eastAsia="zh-CN" w:bidi="ar"/>
              </w:rPr>
              <w:br w:type="textWrapping"/>
            </w:r>
            <w:r>
              <w:rPr>
                <w:rStyle w:val="49"/>
                <w:rFonts w:hint="eastAsia" w:ascii="宋体" w:hAnsi="宋体" w:eastAsia="宋体" w:cs="宋体"/>
                <w:sz w:val="18"/>
                <w:szCs w:val="18"/>
                <w:lang w:val="en-US" w:eastAsia="zh-CN" w:bidi="ar"/>
              </w:rPr>
              <w:t>3)</w:t>
            </w:r>
            <w:r>
              <w:rPr>
                <w:rStyle w:val="50"/>
                <w:rFonts w:hint="eastAsia" w:ascii="宋体" w:hAnsi="宋体" w:eastAsia="宋体" w:cs="宋体"/>
                <w:sz w:val="18"/>
                <w:szCs w:val="18"/>
                <w:lang w:val="en-US" w:eastAsia="zh-CN" w:bidi="ar"/>
              </w:rPr>
              <w:t xml:space="preserve"> </w:t>
            </w:r>
            <w:r>
              <w:rPr>
                <w:rStyle w:val="49"/>
                <w:rFonts w:hint="eastAsia" w:ascii="宋体" w:hAnsi="宋体" w:eastAsia="宋体" w:cs="宋体"/>
                <w:sz w:val="18"/>
                <w:szCs w:val="18"/>
                <w:lang w:val="en-US" w:eastAsia="zh-CN" w:bidi="ar"/>
              </w:rPr>
              <w:t>须封装相应电子模块的固件C语言库和Python库。</w:t>
            </w:r>
            <w:r>
              <w:rPr>
                <w:rStyle w:val="49"/>
                <w:rFonts w:hint="eastAsia" w:ascii="宋体" w:hAnsi="宋体" w:eastAsia="宋体" w:cs="宋体"/>
                <w:sz w:val="18"/>
                <w:szCs w:val="18"/>
                <w:lang w:val="en-US" w:eastAsia="zh-CN" w:bidi="ar"/>
              </w:rPr>
              <w:br w:type="textWrapping"/>
            </w:r>
            <w:r>
              <w:rPr>
                <w:rStyle w:val="49"/>
                <w:rFonts w:hint="eastAsia" w:ascii="宋体" w:hAnsi="宋体" w:eastAsia="宋体" w:cs="宋体"/>
                <w:sz w:val="18"/>
                <w:szCs w:val="18"/>
                <w:lang w:val="en-US" w:eastAsia="zh-CN" w:bidi="ar"/>
              </w:rPr>
              <w:t>4)</w:t>
            </w:r>
            <w:r>
              <w:rPr>
                <w:rStyle w:val="50"/>
                <w:rFonts w:hint="eastAsia" w:ascii="宋体" w:hAnsi="宋体" w:eastAsia="宋体" w:cs="宋体"/>
                <w:sz w:val="18"/>
                <w:szCs w:val="18"/>
                <w:lang w:val="en-US" w:eastAsia="zh-CN" w:bidi="ar"/>
              </w:rPr>
              <w:t xml:space="preserve"> </w:t>
            </w:r>
            <w:r>
              <w:rPr>
                <w:rStyle w:val="49"/>
                <w:rFonts w:hint="eastAsia" w:ascii="宋体" w:hAnsi="宋体" w:eastAsia="宋体" w:cs="宋体"/>
                <w:sz w:val="18"/>
                <w:szCs w:val="18"/>
                <w:lang w:val="en-US" w:eastAsia="zh-CN" w:bidi="ar"/>
              </w:rPr>
              <w:t>提供编程案例源程序，供参考学习</w:t>
            </w:r>
            <w:r>
              <w:rPr>
                <w:rStyle w:val="49"/>
                <w:rFonts w:hint="eastAsia" w:ascii="宋体" w:hAnsi="宋体" w:eastAsia="宋体" w:cs="宋体"/>
                <w:sz w:val="18"/>
                <w:szCs w:val="18"/>
                <w:lang w:val="en-US" w:eastAsia="zh-CN" w:bidi="ar"/>
              </w:rPr>
              <w:br w:type="textWrapping"/>
            </w:r>
            <w:r>
              <w:rPr>
                <w:rStyle w:val="49"/>
                <w:rFonts w:hint="eastAsia" w:ascii="宋体" w:hAnsi="宋体" w:eastAsia="宋体" w:cs="宋体"/>
                <w:sz w:val="18"/>
                <w:szCs w:val="18"/>
                <w:lang w:val="en-US" w:eastAsia="zh-CN" w:bidi="ar"/>
              </w:rPr>
              <w:br w:type="textWrapping"/>
            </w:r>
            <w:r>
              <w:rPr>
                <w:rStyle w:val="49"/>
                <w:rFonts w:hint="eastAsia" w:ascii="宋体" w:hAnsi="宋体" w:eastAsia="宋体" w:cs="宋体"/>
                <w:sz w:val="18"/>
                <w:szCs w:val="18"/>
                <w:lang w:val="en-US" w:eastAsia="zh-CN" w:bidi="ar"/>
              </w:rPr>
              <w:t>四、机械零件特点</w:t>
            </w:r>
            <w:r>
              <w:rPr>
                <w:rStyle w:val="49"/>
                <w:rFonts w:hint="eastAsia" w:ascii="宋体" w:hAnsi="宋体" w:eastAsia="宋体" w:cs="宋体"/>
                <w:sz w:val="18"/>
                <w:szCs w:val="18"/>
                <w:lang w:val="en-US" w:eastAsia="zh-CN" w:bidi="ar"/>
              </w:rPr>
              <w:br w:type="textWrapping"/>
            </w:r>
            <w:r>
              <w:rPr>
                <w:rStyle w:val="49"/>
                <w:rFonts w:hint="eastAsia" w:ascii="宋体" w:hAnsi="宋体" w:eastAsia="宋体" w:cs="宋体"/>
                <w:sz w:val="18"/>
                <w:szCs w:val="18"/>
                <w:lang w:val="en-US" w:eastAsia="zh-CN" w:bidi="ar"/>
              </w:rPr>
              <w:t>1)</w:t>
            </w:r>
            <w:r>
              <w:rPr>
                <w:rStyle w:val="50"/>
                <w:rFonts w:hint="eastAsia" w:ascii="宋体" w:hAnsi="宋体" w:eastAsia="宋体" w:cs="宋体"/>
                <w:sz w:val="18"/>
                <w:szCs w:val="18"/>
                <w:lang w:val="en-US" w:eastAsia="zh-CN" w:bidi="ar"/>
              </w:rPr>
              <w:t xml:space="preserve"> </w:t>
            </w:r>
            <w:r>
              <w:rPr>
                <w:rStyle w:val="49"/>
                <w:rFonts w:hint="eastAsia" w:ascii="宋体" w:hAnsi="宋体" w:eastAsia="宋体" w:cs="宋体"/>
                <w:sz w:val="18"/>
                <w:szCs w:val="18"/>
                <w:lang w:val="en-US" w:eastAsia="zh-CN" w:bidi="ar"/>
              </w:rPr>
              <w:t>电池组外壳均为透明PC材质，环保耐用，尺寸兼用乐高。</w:t>
            </w:r>
            <w:r>
              <w:rPr>
                <w:rStyle w:val="49"/>
                <w:rFonts w:hint="eastAsia" w:ascii="宋体" w:hAnsi="宋体" w:eastAsia="宋体" w:cs="宋体"/>
                <w:sz w:val="18"/>
                <w:szCs w:val="18"/>
                <w:lang w:val="en-US" w:eastAsia="zh-CN" w:bidi="ar"/>
              </w:rPr>
              <w:br w:type="textWrapping"/>
            </w:r>
            <w:r>
              <w:rPr>
                <w:rStyle w:val="49"/>
                <w:rFonts w:hint="eastAsia" w:ascii="宋体" w:hAnsi="宋体" w:eastAsia="宋体" w:cs="宋体"/>
                <w:sz w:val="18"/>
                <w:szCs w:val="18"/>
                <w:lang w:val="en-US" w:eastAsia="zh-CN" w:bidi="ar"/>
              </w:rPr>
              <w:t>2)</w:t>
            </w:r>
            <w:r>
              <w:rPr>
                <w:rStyle w:val="50"/>
                <w:rFonts w:hint="eastAsia" w:ascii="宋体" w:hAnsi="宋体" w:eastAsia="宋体" w:cs="宋体"/>
                <w:sz w:val="18"/>
                <w:szCs w:val="18"/>
                <w:lang w:val="en-US" w:eastAsia="zh-CN" w:bidi="ar"/>
              </w:rPr>
              <w:t xml:space="preserve"> </w:t>
            </w:r>
            <w:r>
              <w:rPr>
                <w:rStyle w:val="49"/>
                <w:rFonts w:hint="eastAsia" w:ascii="宋体" w:hAnsi="宋体" w:eastAsia="宋体" w:cs="宋体"/>
                <w:sz w:val="18"/>
                <w:szCs w:val="18"/>
                <w:lang w:val="en-US" w:eastAsia="zh-CN" w:bidi="ar"/>
              </w:rPr>
              <w:t xml:space="preserve"> 如需加电子模块，大部分电子模块带塑胶底座，底座兼容乐高以及8mm孔距安装，而且电子模块与底座之间拆装方便。</w:t>
            </w:r>
            <w:r>
              <w:rPr>
                <w:rStyle w:val="49"/>
                <w:rFonts w:hint="eastAsia" w:ascii="宋体" w:hAnsi="宋体" w:eastAsia="宋体" w:cs="宋体"/>
                <w:sz w:val="18"/>
                <w:szCs w:val="18"/>
                <w:lang w:val="en-US" w:eastAsia="zh-CN" w:bidi="ar"/>
              </w:rPr>
              <w:br w:type="textWrapping"/>
            </w:r>
            <w:r>
              <w:rPr>
                <w:rStyle w:val="49"/>
                <w:rFonts w:hint="eastAsia" w:ascii="宋体" w:hAnsi="宋体" w:eastAsia="宋体" w:cs="宋体"/>
                <w:sz w:val="18"/>
                <w:szCs w:val="18"/>
                <w:lang w:val="en-US" w:eastAsia="zh-CN" w:bidi="ar"/>
              </w:rPr>
              <w:br w:type="textWrapping"/>
            </w:r>
            <w:r>
              <w:rPr>
                <w:rStyle w:val="49"/>
                <w:rFonts w:hint="eastAsia" w:ascii="宋体" w:hAnsi="宋体" w:eastAsia="宋体" w:cs="宋体"/>
                <w:sz w:val="18"/>
                <w:szCs w:val="18"/>
                <w:lang w:val="en-US" w:eastAsia="zh-CN" w:bidi="ar"/>
              </w:rPr>
              <w:t>五、编程软件</w:t>
            </w:r>
            <w:r>
              <w:rPr>
                <w:rStyle w:val="49"/>
                <w:rFonts w:hint="eastAsia" w:ascii="宋体" w:hAnsi="宋体" w:eastAsia="宋体" w:cs="宋体"/>
                <w:sz w:val="18"/>
                <w:szCs w:val="18"/>
                <w:lang w:val="en-US" w:eastAsia="zh-CN" w:bidi="ar"/>
              </w:rPr>
              <w:br w:type="textWrapping"/>
            </w:r>
            <w:r>
              <w:rPr>
                <w:rStyle w:val="49"/>
                <w:rFonts w:hint="eastAsia" w:ascii="宋体" w:hAnsi="宋体" w:eastAsia="宋体" w:cs="宋体"/>
                <w:sz w:val="18"/>
                <w:szCs w:val="18"/>
                <w:lang w:val="en-US" w:eastAsia="zh-CN" w:bidi="ar"/>
              </w:rPr>
              <w:t xml:space="preserve"> 拥有自主知识产权的交互式图形化编程软件，一键转Python语言代码；支持中、英文编程及人工智能相关模块，不少于语音识别，手势识别，图像识别，机器学习，智能天气、人脸识别、TensorFlow、无人机、智慧家居等人工智能功能模块。</w:t>
            </w:r>
            <w:r>
              <w:rPr>
                <w:rStyle w:val="49"/>
                <w:rFonts w:hint="eastAsia" w:ascii="宋体" w:hAnsi="宋体" w:eastAsia="宋体" w:cs="宋体"/>
                <w:sz w:val="18"/>
                <w:szCs w:val="18"/>
                <w:lang w:val="en-US" w:eastAsia="zh-CN" w:bidi="ar"/>
              </w:rPr>
              <w:br w:type="textWrapping"/>
            </w:r>
            <w:r>
              <w:rPr>
                <w:rStyle w:val="49"/>
                <w:rFonts w:hint="eastAsia" w:ascii="宋体" w:hAnsi="宋体" w:eastAsia="宋体" w:cs="宋体"/>
                <w:sz w:val="18"/>
                <w:szCs w:val="18"/>
                <w:lang w:val="en-US" w:eastAsia="zh-CN" w:bidi="ar"/>
              </w:rPr>
              <w:br w:type="textWrapping"/>
            </w:r>
            <w:r>
              <w:rPr>
                <w:rStyle w:val="49"/>
                <w:rFonts w:hint="eastAsia" w:ascii="宋体" w:hAnsi="宋体" w:eastAsia="宋体" w:cs="宋体"/>
                <w:sz w:val="18"/>
                <w:szCs w:val="18"/>
                <w:lang w:val="en-US" w:eastAsia="zh-CN" w:bidi="ar"/>
              </w:rPr>
              <w:t>六、课程内容</w:t>
            </w:r>
            <w:r>
              <w:rPr>
                <w:rStyle w:val="49"/>
                <w:rFonts w:hint="eastAsia" w:ascii="宋体" w:hAnsi="宋体" w:eastAsia="宋体" w:cs="宋体"/>
                <w:sz w:val="18"/>
                <w:szCs w:val="18"/>
                <w:lang w:val="en-US" w:eastAsia="zh-CN" w:bidi="ar"/>
              </w:rPr>
              <w:br w:type="textWrapping"/>
            </w:r>
            <w:r>
              <w:rPr>
                <w:rStyle w:val="49"/>
                <w:rFonts w:hint="eastAsia" w:ascii="宋体" w:hAnsi="宋体" w:eastAsia="宋体" w:cs="宋体"/>
                <w:sz w:val="18"/>
                <w:szCs w:val="18"/>
                <w:lang w:val="en-US" w:eastAsia="zh-CN" w:bidi="ar"/>
              </w:rPr>
              <w:t>配套专属电子档教材和源程序代码,可提供不少于14个课时的课程</w:t>
            </w:r>
            <w:r>
              <w:rPr>
                <w:rStyle w:val="49"/>
                <w:rFonts w:hint="eastAsia" w:ascii="宋体" w:hAnsi="宋体" w:eastAsia="宋体" w:cs="宋体"/>
                <w:sz w:val="18"/>
                <w:szCs w:val="18"/>
                <w:lang w:val="en-US" w:eastAsia="zh-CN" w:bidi="ar"/>
              </w:rPr>
              <w:br w:type="textWrapping"/>
            </w:r>
            <w:r>
              <w:rPr>
                <w:rStyle w:val="49"/>
                <w:rFonts w:hint="eastAsia" w:ascii="宋体" w:hAnsi="宋体" w:eastAsia="宋体" w:cs="宋体"/>
                <w:sz w:val="18"/>
                <w:szCs w:val="18"/>
                <w:lang w:val="en-US" w:eastAsia="zh-CN" w:bidi="ar"/>
              </w:rPr>
              <w:t>第一课 认识ELF K210 AI主板、第二课 屏幕的显示 、第三课 摄像头的应用、第四课 简单的物体识别、第五课 简单的音频播放、第六课 简单的颜色识别、第七课 简单的标签识别、第八课 简单的语音识别、第九课 四轮驱动、第十课 四轮视觉物体追踪、第十一课 麦轮多向运动、第十二课 麦轮视觉追踪、第十三课 人脸追踪、第十四课 视觉巡线</w:t>
            </w:r>
            <w:r>
              <w:rPr>
                <w:rStyle w:val="49"/>
                <w:rFonts w:hint="eastAsia" w:ascii="宋体" w:hAnsi="宋体" w:eastAsia="宋体" w:cs="宋体"/>
                <w:sz w:val="18"/>
                <w:szCs w:val="18"/>
                <w:lang w:val="en-US" w:eastAsia="zh-CN" w:bidi="ar"/>
              </w:rPr>
              <w:br w:type="textWrapping"/>
            </w:r>
            <w:r>
              <w:rPr>
                <w:rStyle w:val="49"/>
                <w:rFonts w:hint="eastAsia" w:ascii="宋体" w:hAnsi="宋体" w:eastAsia="宋体" w:cs="宋体"/>
                <w:color w:val="C00000"/>
                <w:sz w:val="18"/>
                <w:szCs w:val="18"/>
                <w:lang w:val="en-US" w:eastAsia="zh-CN" w:bidi="ar"/>
              </w:rPr>
              <w:t>★编程教学软件平台支持中、英文编程及人工智能相关模块，不少于语音识别，手势识别，图像识别，机器学习，智能天气、人脸识别、TensorFlow、无人机、智慧家居等人工智能功能模块，不少于9种人工智能功能模块，需提供软件截图证明</w:t>
            </w:r>
            <w:r>
              <w:rPr>
                <w:rStyle w:val="49"/>
                <w:rFonts w:hint="eastAsia" w:ascii="宋体" w:hAnsi="宋体" w:eastAsia="宋体" w:cs="宋体"/>
                <w:color w:val="C00000"/>
                <w:sz w:val="18"/>
                <w:szCs w:val="18"/>
                <w:lang w:val="en-US" w:eastAsia="zh-CN" w:bidi="ar"/>
              </w:rPr>
              <w:br w:type="textWrapping"/>
            </w:r>
            <w:r>
              <w:rPr>
                <w:rStyle w:val="49"/>
                <w:rFonts w:hint="eastAsia" w:ascii="宋体" w:hAnsi="宋体" w:eastAsia="宋体" w:cs="宋体"/>
                <w:color w:val="C00000"/>
                <w:sz w:val="18"/>
                <w:szCs w:val="18"/>
                <w:lang w:val="en-US" w:eastAsia="zh-CN" w:bidi="ar"/>
              </w:rPr>
              <w:t>★提供拥有国内独立的自主知识产权的“AI仿生编程”的软件著作权证书（</w:t>
            </w:r>
            <w:r>
              <w:rPr>
                <w:rFonts w:hint="eastAsia" w:ascii="宋体" w:hAnsi="宋体" w:eastAsia="宋体" w:cs="宋体"/>
                <w:i w:val="0"/>
                <w:iCs w:val="0"/>
                <w:color w:val="C00000"/>
                <w:kern w:val="0"/>
                <w:sz w:val="18"/>
                <w:szCs w:val="18"/>
                <w:u w:val="none"/>
                <w:lang w:val="en-US" w:eastAsia="zh-CN" w:bidi="ar"/>
              </w:rPr>
              <w:t>复印件或扫描件加盖公章</w:t>
            </w:r>
            <w:r>
              <w:rPr>
                <w:rStyle w:val="49"/>
                <w:rFonts w:hint="eastAsia" w:ascii="宋体" w:hAnsi="宋体" w:eastAsia="宋体" w:cs="宋体"/>
                <w:color w:val="C00000"/>
                <w:sz w:val="18"/>
                <w:szCs w:val="18"/>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Python编程-绿色世界教学套装</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cs="宋体"/>
                <w:i w:val="0"/>
                <w:iCs w:val="0"/>
                <w:color w:val="000000"/>
                <w:kern w:val="0"/>
                <w:sz w:val="18"/>
                <w:szCs w:val="18"/>
                <w:u w:val="none"/>
                <w:lang w:val="en-US" w:eastAsia="zh-CN" w:bidi="ar"/>
              </w:rPr>
              <w:t>27</w:t>
            </w:r>
          </w:p>
        </w:tc>
        <w:tc>
          <w:tcPr>
            <w:tcW w:w="33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一、硬件功能参数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 ELF ESP32主控板是一块专门为学习Python而开发的开源主控板。工作电压DC 6-10V，宽电压适应。主控上有2个直流电机接口，可以直接用于驱动电机。主控有复位按键1个，电源开关1个，蓝色LED灯1个，3PIN-2510接口8个，4-P2510接口5个。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专门设计的防反接KF2510端子，即简化了安装难度，又保留了开源性，方便大班教学使用。通过KF2510端子可直接插接20+常用的KF2510端子的开源电子模块。如通过杜邦线插接能兼容更多市面开源电子模块，扩展性强。产品可以进行机器人教学，编程教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3)套件含有ELF ESP32主控板/光线传感器/声音传感器/按键模块/红色LED模块/绿色LED模块/黄色LED模块/四位数码管模块/无源蜂鸣器模块/单路巡线传感器模块/温湿度传感器/交通灯模块/有源蜂鸣器模块/9g舵机。电子模块可接KF2510接口，方便插接，具有防反接功能，即插即用，降低学习门槛。大部分电子模块其均有外壳保护，耐用不易损坏，可以兼容乐高结构进行快速搭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4)支持WeeeCode软件图形化编程以及在线调试及离线控制。支持使用Thonny IDE，Mu Editor等纯代码编程。。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二、编程平台参数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1)可以使用纯图形化编程软件进行积木式编程，也可以用Python文本代码进行编程；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2)须封装相应电子模块的固件C语言库。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3)提供编程案例源程序，供参考学习。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4)包含不低于30次Python课程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三、机械零件特点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1)主要电子模块带塑胶底座，孔距8mm，可以兼容乐高件也可以安装到8mm孔距标准的铝合金结构件上。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2)案例结构主要为铝合金材质，经过阳极氧化，美观耐用，其上面设计的安装孔遵循8的倍数关系，方便安装。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四、编程软件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拥有自主知识产权的交互式图形化编程软件，一键转Arduino C/Python语言代码；支持中、英文编程及人工智能相关模块，不少于语音识别，手势识别，图像识别，机器学习，智能天气、人脸识别、TensorFlow、无人机、智慧家居等人工智能功能模块。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C00000"/>
                <w:kern w:val="0"/>
                <w:sz w:val="18"/>
                <w:szCs w:val="18"/>
                <w:u w:val="none"/>
                <w:lang w:val="en-US" w:eastAsia="zh-CN" w:bidi="ar"/>
              </w:rPr>
              <w:t>★提供软件著作权证书（复印件或扫描件加盖公章）</w:t>
            </w:r>
            <w:r>
              <w:rPr>
                <w:rFonts w:hint="eastAsia" w:ascii="宋体" w:hAnsi="宋体" w:eastAsia="宋体" w:cs="宋体"/>
                <w:i w:val="0"/>
                <w:iCs w:val="0"/>
                <w:color w:val="C00000"/>
                <w:kern w:val="0"/>
                <w:sz w:val="18"/>
                <w:szCs w:val="18"/>
                <w:u w:val="none"/>
                <w:lang w:val="en-US" w:eastAsia="zh-CN" w:bidi="ar"/>
              </w:rPr>
              <w:br w:type="textWrapping"/>
            </w:r>
            <w:r>
              <w:rPr>
                <w:rFonts w:hint="eastAsia" w:ascii="宋体" w:hAnsi="宋体" w:eastAsia="宋体" w:cs="宋体"/>
                <w:i w:val="0"/>
                <w:iCs w:val="0"/>
                <w:color w:val="C00000"/>
                <w:kern w:val="0"/>
                <w:sz w:val="18"/>
                <w:szCs w:val="18"/>
                <w:u w:val="none"/>
                <w:lang w:val="en-US" w:eastAsia="zh-CN" w:bidi="ar"/>
              </w:rPr>
              <w:t>★提供机器人三方认证的检测报告（复印件或扫描件加盖公章）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8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人工智能校本课程定制</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33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提供针对本校的人工智能机器人校本教材课程体系编写、设计、印刷等。校本教材课程分为上下两册，每册不低于14次课。共计2套专用教材，打印教材数量每册50本，共计100本。课程内容配套教学设备专用，包含学校设计元素。并且邀请南京大学或东南大学或南京理工大学等人工智能、机器人知名专家到校做讲座1次。提供教学PPT和案例以及软件培训，方便后期社团老师快速入门。提供针对硬件操作培训以及配套课程培训、磨课等建议和指导。提供不低于3次的社团课代课培训，老师们可以旁听现场教学，每节课时间不低于1小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8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教学编程软件显示装置-教师端</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33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1、拥有自主知识权的交互式图形化编程软件，全面兼容Arduino代码编程软件；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2、至少同时支持328P、2560 Arduino主控板、micro bit主控、树霉派Raspberry Pi等多种主控硬件编程；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3、自动识别硬件接入COM端口，提供软件监视器实时监测硬件接入的传感器信息及状态；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4、支持联机、脱机两种编程模式；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5、能实现图形模块与Arduino指令的同步转换，支持S4A协议。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6、集成Arduino、Python代码编程环境。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7、支持Windows、MAC OS、Raspberry Pi等操作系统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8、软件支持人工智能相关模块，如语音识别，手势识别，图像识别，机器学习，智能天气、人脸识别、TensorFlow、无人机、智慧家居等人工智能功能模块；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9、平台拥有国内独立的自主知识产权。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10、标配软件配套显示装置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机器人教学显示设备，包含定制款教学软件和课程体系，配套学生教学使用。硬件参数要求如下：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内存容量: 不低于16GB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硬盘容量: 不低于512GB固态硬盘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CPU: 不低于i5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屏幕比例: 16:9</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显存容量: 不低于4GB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输入设备: 触摸板 全尺寸键盘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是否触摸屏: 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操作系统: Windows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通信技术类型: 无线网卡 蓝牙 有线网卡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屏幕类型: fhd</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屏幕分辨率:不低于 1920x1200像素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屏幕尺寸: 不低于15英寸</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屏幕刷新率: 不低于60Hz</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8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教学编程软件显示装置-学生端</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33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1、拥有自主知识权的交互式图形化编程软件，全面兼容Arduino代码编程软件；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2、至少同时支持328P、2560 Arduino主控板、micro bit主控、树霉派Raspberry Pi等多种主控硬件编程；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3、自动识别硬件接入COM端口，提供软件监视器实时监测硬件接入的传感器信息及状态；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4、支持联机、脱机两种编程模式；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5、能实现图形模块与Arduino指令的同步转换，支持S4A协议。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6、集成Arduino、Python代码编程环境。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7、支持Windows、MAC OS、Raspberry Pi等操作系统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8、软件支持人工智能相关模块，如语音识别，手势识别，图像识别，机器学习，智能天气、人脸识别、TensorFlow、无人机、智慧家居等人工智能功能模块；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9、平台拥有国内独立的自主知识产权。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10、标配软件配套显示装置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机器人教学显示设备，包含定制款教学软件和课程体系，配套学生教学使用。硬件参数要求如下：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内存容量: 不低于8GB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硬盘容量: 不低于256GB固态硬盘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CPU: 不低于i3</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屏幕比例: 16:9</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显存容量: 2GB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输入设备: 触摸板 全尺寸键盘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是否触摸屏: 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操作系统: Windows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通信技术类型: 无线网卡 蓝牙 有线网卡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屏幕类型: fhd</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屏幕分辨率:不低于 1920x1080像素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屏幕尺寸: 不低于14英寸</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屏幕刷新率: 不低于60Hz</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8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教学软件定制平板</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33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利用平板完成的编程，可发送到机器人进行运行。通过机器人本身运动模块的调用，让机器人能够完成特定的任务。含表情控制系统、感应系统、程序接收与处理系统。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屏幕尺寸为10.9英寸Liquid视网膜显示屏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颜色：银色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支持无线局域网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内存256G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全面屏设计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A14芯片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1200万像素广角摄像头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包含一套专用平板、充电线和充电器各一。包含一套专用官方保护套和触控笔。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教学软件显示一体机</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33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包含人工智能机器人定制软件一套，包含专用支架一套。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一、硬件参数要求：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 尺寸:≥86英寸,采用LED背光,液晶A规屏;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2.屏幕物理分辨率:≥3840*2160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3.满足全屏显示比例16:9;</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4.整机外壳采用金属材质,抗撞抗划抗腐蚀;</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5.表面无尖锐边缘或凸起,保证安全使用;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6.采用4mm厚度钢化防眩玻璃覆盖屏体;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7.交互平板表面钢化玻璃玻璃硬度不低于7H,可见光透射比≥89%,雾度范围2%-5%;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8.整机具备抗强光干扰性能，在100K LUX照度的光照下保证正常触控、书写.</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9.整机具备“书写”显性特征，标配两只书写笔。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10.交互平板前置面板提供至少1路HDMI高清输入接口，满足高清信号源输入需求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 提供前置输入接口：HDMI 2.0/In*1，USB Touch *1, USB 2.0 * 2，OPS、安卓复用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后置输入接口： HDMI *1， USB Touch *1，type BAndroid USB 2.0 x 1，public USB 2.0 * 1，public USB 3.0*1 ，RS232* 1，RJ45*1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后置输出接口：HDMI*1,Phone jack*1,S/PDIF *1,RJ45*1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12.交互平板采用Windows和Android双系统架构并存设计方案；</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13.整机内嵌针脚数为80Pin(双面),符合 Intel®标准规范的插拔式电脑,支持Windows平台.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内置PC要求：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交互平板采用Windows和Android双系统架构并存设计，电脑和交互平板仅通过一个OPS接口连接。模块化电脑支持独立使用。独立使用时，除标准OPS接口外，无任何外露元器件。开放式可插接规范接口（OPS接口）:双面合计80针,长度≤64mm；模块化电脑外观尺寸:高度≤30mm；宽度≤185mm；长度≤200mm；CPU：≥Intel Core I5；内存：≥4G；≥1G独立显卡，硬盘：≥128G SSD</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二.触控性能:1.触摸框采用前维护结构,实现正面免工具拆装维护;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2.双系统下支持10点同时触控，支持10笔书写,触摸分辨率:≥32768*32768;</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3.具备书写保障措施:书写区域被手、书本遮挡以及某一条红外框失灵时,可正常书写、操作，不影响使用进程顺利进行；</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三.节能: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1.支持用户设定时间，到时间后系统自动进入待机状态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2.提供设备的定时自动开关机功能.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四.内置软件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1.主页: 直观式操作, 整体界面简约明了，风格协调统一，所有图标与实际功能一致，表述清晰，并带有文字标识，便于学生理解，快速上手操作；用户可在主页一键操作OPS切换, 信号源, 书写板, 文件浏览器等主要功能.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2.状态栏直观显示U盘状态, 有线局网与WiFi的连接状态, 轻触可直接读取U盘内容, 设置有线局网与WiFi.</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3.轻触启始页即开始进行教学, 教学时间自动计时; 课程结束时主动提示是否保存/分享教学纪录. 课程结束时可将书写/批注内容进行一键分享, 可直接保存于U盘, 或透过电子邮件/二维码进行分享.</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4.用户可于主页中直接设置自定义锁屏Logo, 主页Logo及壁纸, 无须进入系统设置页面进行设置.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5.双侧工具栏: 在屏幕两侧有可收缩/展开/关闭的侧工具栏，功能包含批注、白板、主页、返回、自定义键等最常用的系统功能键，其中自定义键可一键调用OPS、安卓应用、进程管理、信号源切换(用户可设置自定义信号源)等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6.双侧工具栏自带批注功能, 教学中可随时于任意界面中对任意程序如桌面、PPT、Word、CAD等静态文档、高清动态视频等进行批注, 无须开启其他软件, 批注结束自动保存批注内容.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进程管理键置于双侧工具栏, 老师可随时切换/管理所有进程任务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信号切换：满足老师准确、快速切换多个信号源的使用需求，具备信号源预览功能，并支持通过触控方式快速切换信号源至全屏显示。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7.快捷设置菜单: 双指由显示区域下方黑边垂直向上滑动，可调用快捷设置界面。功能包含静音, 提示音, 麦克风, 蓝光过滤器, WiFi, 摄像头左右快捷栏, 设置及主页等功能.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8.用户可于主页上一键添加7个自定义快捷键, 其中包含Windows程序快捷方式, 自定义信号源, 安卓应用程序三大类功能快捷方式, 并可依据用户习惯设置快捷键位置.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9.内建正版无广告Officesuit软件, 可直接开启/编辑常用Office文档, 如Word, Excel, PPT, PDF格式文檔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书写板软件提供本地白板书写功能;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提供硬笔、荧光笔、橡皮等书写工具，满足老师进行电子教学纪要纪录，拓扑图、设计文稿等自然书写的使用需求。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硬笔与荧光笔分别提供7种颜色、5种粗细，可通过触控方式快速选择配置；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10.荧光笔功能可根据笔尖粗细自动识别为硬笔(细笔尖)或荧光笔(粗笔尖) ※ VN不支持此自动识别功能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支持一键切换屏幕批注模式, 批注后可自动/手动保存批注内容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11.手势擦除功能支持手掌, 手背, 手指, 范围, 一键清屏等擦除方式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版面支持20页书写，提供缩略图用以预览/切换页面内容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12.正版File Commander文件管理软件：提供多种文件格式(Office Word/Excel/PPT、PDF、音视频、图片)等资源自动分类浏览, 具备搜索、粘贴、复制、删除等文档操作功能. 支持云文件(Dropbox, Box, SugarSync, OneDrive, Amazon等), FTP, 本地网络文檔存储调用.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欢迎词软件：提供多种欢迎词模板, 用户可任意编辑欢迎词背景图片、文本内容及位置，编辑完成后可保存为自定义模板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13.蓝光过滤器能过滤掉大部分蓝色眩光，用户可自行设置过滤器级别，有效缓解眼部疲劳，保护眼睛视力</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支持多种设备无线投屏，安卓、iOS等设备透过无线WIFI进行传输。用户可快速将移动设备上的文档、图片、音乐、视频、桌面等内容投屏到交互平板上。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安卓应用支持在线升级；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五．无线传屏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1、Windows系统下无需安装任何驱动即可实现无线传屏应用；电脑无需连接网络，无需安装程序，插入usb即可传屏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2、无需路由器，无需设置网络，即插即用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3、单usb接口设计，无需额外供电线及其他端口；可兼容市面上具备通用型USB接口的各类电脑。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4、为满足需求的易用性，设备全面兼容Windows 7/8/10及苹果Mac系统；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5、设备在使用过程中不占用电脑wifi，电脑仍可以上网；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6、5 G /2.4G  wifi传输信道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7、支持外部电脑音视频高清信号实时传输到交互平板上，并可支持触摸回传。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8、一键抢占式传屏，多个发送端轻松切换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9、支持同时八个传屏发射端对应一台触摸一体机，可通过按键切换传输不同外部电脑的画面及声音。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10、iPhone，iPad，Mac可通过AirPlay进行镜像传屏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11、安卓设备可无线投屏至交互平板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C00000"/>
                <w:kern w:val="0"/>
                <w:sz w:val="18"/>
                <w:szCs w:val="18"/>
                <w:u w:val="none"/>
                <w:lang w:val="en-US" w:eastAsia="zh-CN" w:bidi="ar"/>
              </w:rPr>
              <w:t>★为方便外接信号源的输入，设备至少 1 路前置 HDMI 接口（非转接），2 路前置 USB3.0 接口；整机标配 VGA 输入接口≥1 路（须提供 CMA 或 CNAS认证检测机构出具的检测报告原件扫描件）</w:t>
            </w:r>
            <w:r>
              <w:rPr>
                <w:rFonts w:hint="eastAsia" w:ascii="宋体" w:hAnsi="宋体" w:eastAsia="宋体" w:cs="宋体"/>
                <w:i w:val="0"/>
                <w:iCs w:val="0"/>
                <w:color w:val="C00000"/>
                <w:kern w:val="0"/>
                <w:sz w:val="18"/>
                <w:szCs w:val="18"/>
                <w:u w:val="none"/>
                <w:lang w:val="en-US" w:eastAsia="zh-CN" w:bidi="ar"/>
              </w:rPr>
              <w:br w:type="textWrapping"/>
            </w:r>
            <w:r>
              <w:rPr>
                <w:rFonts w:hint="eastAsia" w:ascii="宋体" w:hAnsi="宋体" w:eastAsia="宋体" w:cs="宋体"/>
                <w:i w:val="0"/>
                <w:iCs w:val="0"/>
                <w:color w:val="C00000"/>
                <w:kern w:val="0"/>
                <w:sz w:val="18"/>
                <w:szCs w:val="18"/>
                <w:u w:val="none"/>
                <w:lang w:val="en-US" w:eastAsia="zh-CN" w:bidi="ar"/>
              </w:rPr>
              <w:t>★为方便用户进行各类设置和操作，设备前置按键不少于 8 个，可实现音量加减、窗口关闭、触控开关等功能，且每个按键不少于两种以上功能。（须提供 CMA 或 CNAS 认证检测机构出具的检测报告原件扫描件）</w:t>
            </w:r>
            <w:r>
              <w:rPr>
                <w:rFonts w:hint="eastAsia" w:ascii="宋体" w:hAnsi="宋体" w:eastAsia="宋体" w:cs="宋体"/>
                <w:i w:val="0"/>
                <w:iCs w:val="0"/>
                <w:color w:val="C00000"/>
                <w:kern w:val="0"/>
                <w:sz w:val="18"/>
                <w:szCs w:val="18"/>
                <w:u w:val="none"/>
                <w:lang w:val="en-US" w:eastAsia="zh-CN" w:bidi="ar"/>
              </w:rPr>
              <w:br w:type="textWrapping"/>
            </w:r>
            <w:r>
              <w:rPr>
                <w:rFonts w:hint="eastAsia" w:ascii="宋体" w:hAnsi="宋体" w:eastAsia="宋体" w:cs="宋体"/>
                <w:i w:val="0"/>
                <w:iCs w:val="0"/>
                <w:color w:val="C00000"/>
                <w:kern w:val="0"/>
                <w:sz w:val="18"/>
                <w:szCs w:val="18"/>
                <w:u w:val="none"/>
                <w:lang w:val="en-US" w:eastAsia="zh-CN" w:bidi="ar"/>
              </w:rPr>
              <w:t>★智能交互平板具有悬浮菜单，两指可快速移动悬浮菜单至按压位置，悬浮菜单可进行自定义分组，可添加 AI 互动软件等不少于 30 个应用；（须提供 CMA 或 CNAS 认证检测机构出具的检测报告原件扫描件）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8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Challenge工程竞赛 器材套装-高中</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33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一、产品描述：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强化套装是赛事器材套装的强化版本。套装配套有更多的零件，用于支撑选手更好地构建比赛用车。强化器材套装配备丰富的电子件和结构件，使得搭建空间更为广阔；配备麦克纳姆轮，使得战车运动更加灵活，便于任务的完成；搭配性能强劲的电机及舵机，满足大型机器人动力需求；配套专业的机器人赛事课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二、产品构成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包含新主控、动力扩展板、电源管理模块、180智能编码电机、37直流电机、智能舵机MS-12A、无刷电机（正螺纹和反螺纹）、蓝牙适配器、蓝牙手柄、蓝牙模块、测距传感器、视觉模块、各种金属结构件、轮类、线材、五金工具、麦克纳姆轮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三、功能与特点：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1、新主控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新一代赛事平台主控，具有一个高性能M7处理器以及一个STM32F030CCT6协处理器，具有不少于5个传感器接口，不少于6个智能电机接口。传感器接口使用串口通讯，对外输出 5V电压。智能电机接口使用串口通讯，对外提供12V电压。新主控板载6轴传感器，可测量 X，Y，Z 三个方向上的加速度和 X，Y，Z 三个方向上的旋转角速度。新主控可搭配动力扩展板使用，提供更加丰富的接口与资源。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1）主要参数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处理器：高性能M7处理器和STM32F030CCT6协处理器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主频≥300MHz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Flash≥1024KB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RAM≥384KB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工作电压：6V ~ 13V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工作电流：60 mA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通讯端口及协议：串口/专属协议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模块尺寸≤85 × 56 × 13 mm（长×宽×高)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2）功能特性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外接支持：金属件、lego销连接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传感器接口：5路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电机接口：6路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板载传感器：6轴运动传感器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扩展：支持动力扩展板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编程支持：图形化积木编程或Python编程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2、动力扩展板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动力扩展板搭载一颗ARM Cortex-M4 内核MCU，使用串口与新主控通信连接，通过不少于8个直流输出接口和不少于2个无刷电机接口对直流电机、机械爪、电磁阀、无刷电机等动力器件进行控制。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1）主要参数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输入电压：6 ~ 13 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直流接口电压：12 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直流接口最大电流：3 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无刷接口电压：12 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无刷接口最大电流：5 A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模块尺寸≤85 × 56 × 19.5mm（长×宽×高)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3、电源管理模块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此模块与新主控搭配使用，为参加比赛的必须器件。模块通过无线连接至比赛系统，使比赛系统能够控制参赛队伍机器人的动力电源，并且向机器人发送与比赛相关的指令（如切换手动/自动状态）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1）主要参数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模块尺寸≤85mm×56mm×11.5mm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工作电压：6V ~ 13V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工作电流：100mA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通讯端口/协议：串口/神经元协议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3）功能特性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使用RGB LED提示比赛状态，方便用户在远处观测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在训练中，使用者可以通过按键模拟比赛中各个阶段的状态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外置天线，信号更加稳定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4、蓝牙手柄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1）材质：ABS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2）蓝牙版本：≥4.0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3）频率范围：2402-2480MHz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4）射频发射功率：≥4dBm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5）传输距离：≥20m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6）抗干扰能力：支持不少于80个同时工作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7）供电方式：2节 5号电池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5、测距传感器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测距传感器能够通过红外波检测与障碍物之间的距离。</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1）尺寸：24×20mm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2）读值范围：2~200cm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3）读值精度：±5%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4）工作电流：33mA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6、视觉模块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视觉模块能够识别条码和线条，也可以学习和识别颜色鲜艳的物体，实现诸如垃圾分类、智慧交通、物体追踪、智能巡线等功能。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1）尺寸≤48*48mm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2）分辨率≥640*480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3）视场角≥65.0度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4）有效焦距：4.65±5% 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5）识别速度：60帧/s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6）识别距离：0.25-1.2m范围最佳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7）抗跌落能力≥1m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8）供电方式：3.7V锂电池或5V电源模块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9）功耗范围：0.9-1.3W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10）工作温度：-10℃~55℃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7、构件数量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包含梁不少于30种，数量不少于92个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包含支架类不少于8种，数量不少于40个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包含连接片及连杆类不少于8种，数量不少于27个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四、 机械种类的描述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1、型材类</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1）双孔梁特性介绍:双孔梁为 机械体系中主要结构件之一。型材由模具挤压生成，半成品由CNC加工，外观阳极氧化处理。外观美观大气，金属质感强烈。双孔梁螺纹槽结构，无级调整连接，锁紧方便快捷。孔距标准为16mm，兼容性强，可兼容乐高体系。由于其为铝合金型材，强度较高，可以搭建出很高精度的机器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2）方形梁特性介绍:方形梁为 机械体系中主要结构件之三。由模具挤压成形，半成品由CNC加工，外观阳极氧化处理。外观美观大气，金属质感强烈。方形梁四周螺纹槽结构，无级调整连接，锁紧方便快捷。孔距标准为16mm，兼容性强，可兼容乐高体系。铝合金材质，强度高，可以搭建出高精度，高强度的结构。比如大型结构，大型3D打印机，雕刻机，大型塔吊结构等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2、片材类</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1）片类零件，钣金冲压成型，表面处理为阳极氧化。美观大气，质感强烈。8mm孔距，兼容性强，主要用于梁类零件的连接作用。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2）支架类零件，挤压成型后冲压，表面处理为阳极氧化。美观大气，质感强烈。8mm孔距，兼容性强，用于轴承的支持以及梁类零件的连接件作用。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3）连杆类零件，钣金冲压成型，表面处理为阳极氧化。美观大气，质感强烈。结构简单，主要功能为连杆类零件，构成各种低精度，低强度的连杆类结构。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8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Challenge工程竞赛 场地套装-高中</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33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一、产品描述：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该套装内包含赛项场地搭建所需要的地图、边框、道具等零件，可用于线下训练，承办比赛使用。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二、产品配置：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铁网≥6；收纳挂篮≥2；红黑保龄球瓶≥12；蓝黑保龄球瓶≥12；三卡锁≥126；左斜卡锁≥12；右斜卡锁≥12；八棱柱960≥12；扁铝960≥6；扁铝960≥36；球瓶支撑板≥12；方块隔板≥3；方块盖板≥3；黑色护栏板≥2；蓝黑护栏板≥7；红黑护栏板≥7；黄色方块120mm≥9；方块贴纸A（绿色）≥5；方块贴纸B（黄色）≥5；黄色球70mm≥64；八棱柱400≥4；八棱柱250≥4；扁铝220≥10；扁铝160≥22；斜扁铝45°≥12；八棱柱封盖≥28；扁铝封盖≥22；扳手≥3；M4长方形铁螺母≥32；螺丝M4*10≥12；双面布基胶带≥1；3M纳米双面胶≥1；八棱柱45≥4；黑色毛面魔术贴1150*25mm≥4；组合螺丝M4*8≥20；螺丝刀2.5mm转十字≥1；能源革新地图≥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8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Robo Genius超能行动器材包</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33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1、套件包含uKit AI控制器 1个；伺服舵机 6个；减速电机 4 个；蓝牙手柄 1 个；线材 W1-10条；线材 W2-8条；线材 W3-4条；线材 W5-1条；线材 W7-2条；线材 M2-1条；塑胶件≥1320个；电源适配器 1个。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2、教具零件材质为ABS、ABS+PC塑胶。教具颜色丰富，主要以浅灰、红、绿、黄、黑、蓝、银白等构成，模型全机身环保材料。</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3、教具零件均采用创新卡扣式设计、销扣连接的方式，便于搭建，适用于各年龄段学习。无需采用铁质螺丝刀、螺母刀、扳手完成机器人的搭建。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4、课程内容完整，包含编程工具使用介绍、案例指导、配合软件模型图纸，快速学习可视化图形编程功能。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5、伺服舵机通过配套的连接线与控制器相连接，通过积木零件进行创意搭建设计，结合APP 3D 动态图纸和图形化编程功能，可模拟实现日常智能机械装置、智能语音应用、仿生机器人、人形机器人等各种创意作品。套装具有富有启发性的完备教学资源，可以让学生更有信心地提出问题，确定问题，并设计自己的解决方案。</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6、技术参数：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控制器参数如下：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处理器：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（1）工作电压：DC 6.8V-9.6V（典型值：7.4V）；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（2）内存：8M；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（3）Flash：16M；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（4）蓝牙：双模蓝牙4.2 BLE+EDR；</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（5）电池：聚合物锂电池，容量不低于1200mAh；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（6）语音功能：在线ASR和在线TTS语音功能。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舵机参数：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（1）重量：25±0.2g；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（2）输出扭矩：约3.5kg•cm；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（3）转速：约0.17 S/60°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（4）精度：空载精度1度，带载精度3度；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（5）角度范围：0~240°；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（6）工作电压范围：6.4V～9.6V（典型值：7.4V）；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（7）工作指令：数字格式；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（8）协议：半双工串口；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减速电机参数：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（1）工作电压范围：5.5V-8.4V DC（典型值： 7.4V）；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（2）最大扭矩：约2.2kg•cm；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（3）空载速度：140±10% RPM；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（4）旋转方向：CW(&gt;0)顺时针转；</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（5）电子控制精度：±1.5 RPM；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（6）机械极限角度：360°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（7）通讯接口：3Pin插座；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（8）外观尺寸：78mm*30mm*36mm；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蓝牙手柄参数如下：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（1）频率范围：2.400~2.4835GHz；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（2）射频发射功率：最大发射功率4dBm；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（3）最大控制距离：空旷环境下10米；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（4）蓝牙版本：蓝牙4.0；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（5）电池容量：550毫安；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（6）尺寸：约155mm*113mm*65mm；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电源适配器参数如下：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输入电压：100-240V AC 50/60Hz；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输出电压：5V；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输出电流：2A，具有过流保护特性，防止过充爆炸。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8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Robo Genius超能行动场地包</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33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1、套件包含塑胶件≥200个；白色绒面魔术贴≥50个；黑色勾面魔术贴≥50个；EVA≥50个。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2、零件材质为ABS、ABS+PC塑胶。教具颜色丰富，主要以浅灰、红、黄、黑、蓝、银白等构成，模型全机身环保材料。</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3、零件均采用销扣连接的方式，便于搭建，无需采用铁质螺丝刀、螺母刀、扳手完成机器人的搭建。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4、该产品的小球和方块采用新型环保塑料发泡材料（EVA），具有良好的缓冲、抗震、隔热、防潮、抗化学腐蚀等优点，且无毒、不吸水。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1、套件包含超能行动地图包 地图1张；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2、规格参数：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超能行动地图包参数如下：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约1500*2000mm，公差±5mm，PP裱地板膜，卷曲。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8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优创未来活动高中智能人形机器人</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33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外观：人形外观，银色；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尺寸：高370*宽192*厚106（mm）左右；约2.05kg；材质：铝合金结构、AL+PC+ABS外壳；伺服舵机：≥17个自由度（DOF）；工作温度：≥0℃～40℃；外接显示器连接网络实现计算机功能。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主芯片及存储器：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处理器：STM32F103RDT6+Broadcom BCM2837 1.2GHz 64-bit quad-core ARMv8 Cortex-A53；</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运行内存（RAM）容量：≥1GB；内部存储（ROM）容量：≥16GB；操作系统：Raspbian；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网络连接：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Wifi：支持Wi-Fi2.4G 802.11b/g/n快速上网连接，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蓝牙：BT 4.1；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电气：电池容量：≥2750mAh左右 7.24V 锂电池；适配器：输入：≥100V-240V~50/60Hz 1.6A；输出：DC ≥9.6V，4A。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音频：喇叭：4Ω，2W， Φ25mm立体声喇叭 2个；麦克风：1个。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视觉：≥800万像素 定焦；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灯效：眼部三色LED灯 *2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胸部三色LED呼吸灯 *3</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麦克风绿色指示灯*1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传感器：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九轴运动控制（Motion Tracking）传感器 *1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主板温度检测传感器 *1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外围接口：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HDMI*1；USB*2 ；GPIO*40；POGO 4PIN磁吸扩展口*6</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标准DC电源接口 外径Φ5.5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按键：1、胸口电源键*1；2、头顶紧急停止键*1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控制方式：手机APP 或语音控制；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舵机参数：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重量（g）：≥50g；输出扭矩（12kg）：≥6.5V:8kg*cm；8.5V:8kg*cm；齿轮减速比：≥1/333；角度范围：≥180°（加上偏移正负30°）；输出电压：≥6V-9V(典型值：7.4V)；转速（秒/60°）：6.5V:≥0.238sec/60°；8.5V：≥0.198sec/60°；工作电流：满载0.9A/堵转2A；电压范围：≥9V-15V；精度：空载1/3° 带载1；工作指令：数字格式；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胸前灯提示状态：充电中：未开机：浅蓝呼吸灯；开机：绿色呼吸灯；充电完成：未开机：浅蓝常亮；开机：绿色常亮；低电量：红灯闪烁；待机：蓝灯渐变呼吸； 正常联网运行：绿灯常亮；网络等待链接：语音提示；网络未链接：语音提示；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功能介绍：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伺服舵机：≥17个自由度，可走动、可灵活模拟人类肢体动作；1. 头部 1DOF；2. 双手 3DOF*2；3. 双脚 5DOF*2；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摄像头：定焦800W万像素摄像头；位于头部额头中间；用于拍照等功能；人脸分析，人脸跟踪，手势识别等功能；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传感器： 九轴运动控制（Motion Tracking）传感器 *1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主板温度检测传感器 *1；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传感器扩展：POGO 4PIN磁吸扩展口*6；</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音频输入：.麦克风*1；在无阻断开阔空间下有效拾音距离约1米左右；支持通过麦克风语音控制机器人；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音频输出： Φ25mm 立体声喇叭*2； 位于耳朵左右两侧；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Wifi接入：默认支持2.4GHz；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蓝牙接入：支持蓝牙4.1；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按键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胸前按键：未开机状态下，下按1.5秒（可以实现0.7秒，未实施）可开启机器人；开机状态下，短按按键，可进入单次语音识别功能；连续两次短按按键，可实现连续语音识别；长按3秒可关闭机器人；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头顶紧急停止按键：机器人工作状态下，按下紧急停止键，机器人立刻断电。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电池：1. ≥2750mAh 7.24V 锂电池；2. 充电时长为≥2小时；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续航： 电池充满正常使用工作时间：约50分钟；电池充满待机时间（站立）：约100分钟； 电源接口：后腰部设置1个标准DC接口 Φ5.5mm，作为充电接口；USB功能：USB v2.0接口*2，用于外接USB设备（如键盘鼠标等）以及机器人的升级和维护，及开发者调试。HDMI-B接口*1,用于外接显示扩展（显示器/投影仪等）；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配套App： 支持共Wifi网络下接入机器人； 支持共Wifi网络下控制机器人，包括“运动控制”“Blockly编程”“回读编程”“传感器”“社区”“课程”等； 支持下载使用云端各种最新资源；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软件基本功能：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机器人采用基于Linux的开源软件架构，支持用户直接调用并集成海量的Raspberry Pi的开源软件模块；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专属学习APP，支持iOS和Andriod等主流移动设备；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支持BLockly、Python、Java、C/C++等多种编程语言学习及应用开发；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内建智能AI系统，提供语音交互、语义识别、人脸识别等智能技术的学习；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支持人形机器人动作步态学习及设计；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支持多种传感器应用学习及设计开发，满足多种AI领域学习和开发需求；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支持学习数据分析，提供学习交流社区等。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优创未来活动高中地图包</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33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套件包含优创未来活动高中组地图 1张、色卡1套。2400*1500mm。地图喷绘工艺：地板膜过哑胶，卷曲，高精度喷绘。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8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B类轮式机器人比赛器材</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33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1、主控器最低为32位ARM处理器，主频72MHz，512K程序存储器，64K数据缓冲器，内置8MB程序存储器（可存放超多个独立程序）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主控器控制器满足5路及以上RJ11传感器接口（数字/模拟复用），4 路带驱动专用编码马达接口（具有自我保护功能）。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主控器内置可触控彩色液晶显示模块,液晶显示屏尺寸不小于 2.4 英寸，分辨率不低于 320*240，色彩不低于 65K；内置充电电路，内置7.4V800mAh一体锂电池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 主控器内置电源电压测量模块、音量测量模块（探测范围 40-120 分贝，精度不低于 1%，频率范围 20－16000Hz）和蜂鸣器。免驱动安装 ，支持 U 盘程序下载，内置蓝牙模块，蓝牙程序下载；支持 U 盘模式的固件升级。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 电子件全部带ABS一体外壳，RJ11接口，至少含有：1) 碰触传感器 1个；2) 彩灯模块 1个，含半透明外壳，可全彩颜色显示；3) 光电模块 2个，发光灯为可见光，可以控制发光灯亮灭，并带有阈值指示灯；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4) 高速伺服电机 2个，内置角度传感器，可以精确到 1 度的控制；测速反馈精度：290 - 310 RPM， 5)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 设计比例是基于标准的 10 毫米积木，无螺丝的搭建设计，不少于 590 个积木件，种类不少于83种。辅助结构部件包括有以下 7 类：梁类、齿轮、轴类 、实销类、虚销类、连接销、紧固件类。积木件的颜色大于10种，含有红、黄、蓝、绿、灰、深灰、白、土黄、黄色、黑等颜色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 不少于11种传动配件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 用于连接、紧固的各种销与连接件不少于32种，有丰富的搭建方式且易于实现。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 配有两个硅胶轮胎（65*22mm），，环保无异味，耐磨性高；轮胎采用高耐磨高弹性软性硅胶塑料，轮毂采用高强度高硬度工程塑料。十字轴连接方式配合孔耐磨耐用；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 机器人编程软件同时支持图形化编程和代码编程方式；可以支持SCRATCH2.0和SCRATCH3.0编程方式，支持控制器通过内置蓝牙直接连接 SCRATCH 在线编程与下载，具备多任务编程方式；控制器支持多任务程序。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 支持 手机/平板APP 的程序编写、遥控与Python文件程序下载并保存控制器磁盘中。</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 控制器同时支持Python语言和C语言，支持直接运行.py文件与.bin文件。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8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B类轮式机器人比赛场地</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33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比赛场地为长方形，长宽尺寸约是2362mm×1143mm，线宽20mm。比赛场地四周没有围栏。场地材质是喷绘布。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任务道具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方块：棱长40mm的EVA材质立方体重约5(±1)克，有红、绿、蓝三种颜色若干个，某色方块为参赛队本次比赛的得分物。</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色饼：直径80mm、厚度为10mm的亚克力材质圆柱体，有红、绿、蓝三种颜色，其决定参赛队本次比赛所需抓取方块的颜色。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8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C类无人机比赛器材</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33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一、产品功能：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1、飞控代码完全开源，可二次开发；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2、支持一键起飞，一键降落，一键急停，一键校准机头；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3、支持激光定高，光流定点；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4、可在无遥控器控制时实现由非电子控制设备控制飞机向前、后、左、右四个方向飞行；</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5、支持抛飞；</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6、支持无头模式飞行；</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7、遥控器可显示遥控电池电压及无人机电池电压；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8、PID可直接通过遥控器发送，无需无人机直接与PC相连；</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9、遥控器可显示无人机三轴偏移量；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10、底层开源；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11、支持mind+图形化编程；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12、支持创玩+互动编程；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13、可增加激光避障模块，并可通过遥控主动开关；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14、遥控可作为互动编程手柄使用；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15、支持无人机及遥控器加密；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16、支持DIY外观；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17、支持可拆卸桨叶保护罩；</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18、可自动识别误差越过30cm定位二维码，根据底层算法可以自主拉回所在定位。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19、可45º斜飞。</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20、大容量电池1200毫安，续航时间更久。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二、开源平台无人机平台整体参数：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1、机身轴距：≤230mm；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2、留空时间：≥12min；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3、起飞重量：≥100g；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4、最大载荷：≥40g；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5、活动半径：0～500m；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6、飞行高度：＜100m；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三、开源平台无人机主要部件参数：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1、核心处理器：Cortex-M3、72MHz工作频率、20KRAM、128KFLASH、最低工作电压2V；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2、陀螺仪：支持IIC和SPI,范围±250、500、1000、2000°/s，工作温度-40℃～85℃；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3、气压计：1.7～3.6V工作电压、压力范围300～1100HPA、相对精度±0.06hpa；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4、电子罗盘：内置A到D转换器的磁力数据出、灵敏度0.3uT/LSB；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5、遥控系统：Cortex-M3、72MHz工作频率、20KRAM、128KFLASH、最低工作电压2V；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6、螺旋桨：125；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7、电机：有刷电机；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8、无线通信：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支持六路通道的数据接收；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支持GFSK/FSK等通用调制方式；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支持2Mbps/1Mbps/250Kbps 数据速率,可设不同的发射功率；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多频点：126频点，满足多点通信和跳频通信需要内部集成高PSRR的LDO；</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宽电源电压范围：1.9～3.6V，典型3.3V；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平均发射电流低至25mA(7dBm)；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接收灵敏度：-96dBm@250kbps；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发射功率可高达+7±1dBm；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采用四线SPI接口，速率可达10MHz；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内部集成智能ARQ基带协议引擎；</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收发数据硬件中断输出；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支持1bit RSSI输出；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工作温度：-20℃～85℃；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9、激光避障：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供电电源：3～5V（内部低压差稳压）；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避障距离：40-100cm；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通信方式：串口输出，PWM输出，芯片本身IIC输出；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包装：铝合金包装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49"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C类无人机比赛器材配件包</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33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3.7V 1200毫安无人机电池*8</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无人机桨叶*4</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保护罩*4</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维修工具螺丝刀*2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8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C类无人机比赛场地</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33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比赛场地为长方形，长宽尺寸是4000mm*2000mm。场地材质是喷绘布。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任务道具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投掷物：20mm的EVA材质立方体，上表面有引磁片，重量≤10克，有蓝色三个，在投掷物摆放区放置。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回收物：20mm的EVA材质立方体，上表面有引磁片，重量≤10克，红色一个，在圆柱体上放置。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场地道具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纸杯：颜色不限，杯口直径约75mm，杯底直径约53mm，杯身高度约86mm，杯口朝上，固定在场地上。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竖杆：高度约 1500mm 的竖杆，该杆竖直放置，与地面垂直。无人飞行器须绕竖杆作水平360度以上绕行，绕行时高度和方向均不作要求，但不能越过场地边线。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拱门：高度为1000mm，内宽为600mm的长方形拱门。无人飞行器绕横杆做360 度以上绕行，绕行时高度和方向均不作要求。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垂直双环：两个内径为550mm的圆圈，其中一个圆圈竖直放置，圈平面与地面垂直，圆圈中心离地高度1200mm，另外一个圆圈水平放置，圈平面与地面平行，圆圈中心离地高度1000mm。无人飞行器须依次连续穿越两个圆圈，穿越的方向均不作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圆柱体：高600mm,直径50mm，固定在8号区域。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8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赛事培训耗材包</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33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提供针对2023-2024年学校参与赛事的设备搭建和调试，提供设备优化源程序。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1提供赛事设备和程序调试，提供设备优化源程序。并且对设备的结构进行大幅度的创新，保证比赛过程中的稳定性和高效性。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2提供针对老师和学生赛事培训和服务，并且提供参赛选手的选拔和考核。选拔赛事小组成员:对成员的选择要根据实际情况，综合来考虑。主要考虑学生的兴趣，其二考虑学生的逻辑思维能力，其三考虑学生的智力，其四考虑学生的动手能力，其五考虑学生的创新能力。通过这些因素，也在一定程度上提升了学生能力水平，更有利于学习其他知识。为后期老带新参加比赛打下基础。</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3提供针对现场赛事规则的模拟训练，让学生提前适应赛场环境和比赛赛事过程中的不同情况。</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4提供针对现场比赛和平时训练的赛事器材零件包，保证平时训练比赛的设备搭建和现场比赛的设备零件足够使用。零件包含CNC结构件、亚克力、木质材料等，满足赛事使用。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5提供赛事推荐和报名支持，确保有名额参加各类赛事。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6提供到校赛事培训，针对每种赛事培训次数不低于10次，每次不低于4小时。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7配合学校进行赛事规划，提供统一出行计划，方便学校后期安排学生到各地参加赛事。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C00000"/>
                <w:kern w:val="0"/>
                <w:sz w:val="18"/>
                <w:szCs w:val="18"/>
                <w:u w:val="none"/>
                <w:lang w:val="en-US" w:eastAsia="zh-CN" w:bidi="ar"/>
              </w:rPr>
              <w:t>★需提供硬件培训服务，其中合作教学培训师需要具备由中央电教馆颁发的“人工智能创客指导师（高级）”资格证书，需提供证书复印件或者扫描件。</w:t>
            </w:r>
            <w:r>
              <w:rPr>
                <w:rFonts w:hint="eastAsia" w:ascii="宋体" w:hAnsi="宋体" w:eastAsia="宋体" w:cs="宋体"/>
                <w:i w:val="0"/>
                <w:iCs w:val="0"/>
                <w:color w:val="C00000"/>
                <w:kern w:val="0"/>
                <w:sz w:val="18"/>
                <w:szCs w:val="18"/>
                <w:u w:val="none"/>
                <w:lang w:val="en-US" w:eastAsia="zh-CN" w:bidi="ar"/>
              </w:rPr>
              <w:br w:type="textWrapping"/>
            </w:r>
            <w:r>
              <w:rPr>
                <w:rFonts w:hint="eastAsia" w:ascii="宋体" w:hAnsi="宋体" w:eastAsia="宋体" w:cs="宋体"/>
                <w:i w:val="0"/>
                <w:iCs w:val="0"/>
                <w:color w:val="C00000"/>
                <w:kern w:val="0"/>
                <w:sz w:val="18"/>
                <w:szCs w:val="18"/>
                <w:u w:val="none"/>
                <w:lang w:val="en-US" w:eastAsia="zh-CN" w:bidi="ar"/>
              </w:rPr>
              <w:t>★合作教学培训师应获得具有“工业和信息化部教育与考试中心”认定的“青少年人工智能技术水平测试三级、四级技术水平”的教师证书，需提供证书复印件或者扫描件。</w:t>
            </w:r>
            <w:r>
              <w:rPr>
                <w:rFonts w:hint="eastAsia" w:ascii="宋体" w:hAnsi="宋体" w:eastAsia="宋体" w:cs="宋体"/>
                <w:i w:val="0"/>
                <w:iCs w:val="0"/>
                <w:color w:val="C00000"/>
                <w:kern w:val="0"/>
                <w:sz w:val="18"/>
                <w:szCs w:val="18"/>
                <w:u w:val="none"/>
                <w:lang w:val="en-US" w:eastAsia="zh-CN" w:bidi="ar"/>
              </w:rPr>
              <w:br w:type="textWrapping"/>
            </w:r>
            <w:r>
              <w:rPr>
                <w:rFonts w:hint="eastAsia" w:ascii="宋体" w:hAnsi="宋体" w:eastAsia="宋体" w:cs="宋体"/>
                <w:i w:val="0"/>
                <w:iCs w:val="0"/>
                <w:color w:val="C00000"/>
                <w:kern w:val="0"/>
                <w:sz w:val="18"/>
                <w:szCs w:val="18"/>
                <w:u w:val="none"/>
                <w:lang w:val="en-US" w:eastAsia="zh-CN" w:bidi="ar"/>
              </w:rPr>
              <w:t>★教学培训师“应获得中国青少年科技教育工作者协会”和“江苏省青少年科技教育协会”颁发的全国青少年科技辅导员专业水平认证初级科技辅导员，需提供证书复</w:t>
            </w:r>
            <w:r>
              <w:rPr>
                <w:rFonts w:hint="eastAsia" w:ascii="宋体" w:hAnsi="宋体" w:eastAsia="宋体" w:cs="宋体"/>
                <w:i w:val="0"/>
                <w:iCs w:val="0"/>
                <w:color w:val="000000"/>
                <w:kern w:val="0"/>
                <w:sz w:val="18"/>
                <w:szCs w:val="18"/>
                <w:u w:val="none"/>
                <w:lang w:val="en-US" w:eastAsia="zh-CN" w:bidi="ar"/>
              </w:rPr>
              <w:t>印件或者扫描件。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双孔梁结构套装</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33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套装包含不同尺寸的冲压梁、滑轨双孔梁和方形梁，长度为16mm到272mm不等。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梁种类16种，零件数量为53个。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滑轨方形梁：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1.M4六角螺丝卡槽，可用于任意位置安装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2.四面滑轨，可当滑轨使用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3.两个端面各4个螺丝孔，可用于端面固定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4.孔距和长度均为8的倍数，兼容体系</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5.铝合金阳极氧化，坚固耐用，美观大气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滑轨双孔梁：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1.M4六角螺丝卡槽，可用于任意位置安装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2.两面滑轨，可当滑轨使用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3.两个端面各2个螺丝孔，可用于端面固定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4.孔距和长度均为8的倍数，兼容体系</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5.铝合金阳极氧化，坚固耐用，美观大气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（冲压）梁：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1.六面安装结构，更灵活，更自由</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2.两个端面各2个螺丝孔，可用于端面固定，也可端面连接接长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3.孔距和长度均为8的倍数，兼容体系</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4.铝合金阳极氧化，坚固耐用，美观大气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电机套装</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33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套装包含不同尺寸的冲压梁、长度为36mm到212mm不等；直流电机、电机支架、电机线、18650电池及电池盒、130电机风扇和18650电池充电器。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零件种类15种，零件数量98个。重要参数如下：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（冲压）梁：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1.六面安装结构，更灵活，更自由</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2.两个端面各2个螺丝孔，可用于端面固定，也可端面连接接长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3.孔距和长度均为8的倍数，兼容体系</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4.铝合金阳极氧化，坚固耐用，美观大气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电机支架：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1.尺寸：11x43x40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2.25电机支架，可以用来安装25电机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3.电机支架可以两面安装，安装灵活</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4.中心直径8mm，可用来放置8mm轴承，当轴承支架使用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5.孔距和长度均为8的倍数，兼容体系</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6.铝合金阳极氧化，坚固耐用，美观大气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25直流电机（50RPM、188RPM、335RPM）：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1.尺寸：84xφ25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2.额定电压：DC 9V  空载转速：50/188/335±12% rpm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3.减速比:1:167(50RPM);1:45(188RPM);1:35.8(335RPM)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4.额定转速：41±12% rpm(50RPM);160±12% rpm(188RPM);280±12% rpm(335RPM)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5.额定扭矩：4Kgf.cm(50RPM);1.5Kgf.cm(188RPM);1Kgf.cm(335RPM)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18650电池：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1.3.7V 2000mAh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2.7.4Wh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3.FCC/UL/CE电池认证齐全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金属连接件套装</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33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套装包含不同尺寸的连杆梁、长度为24mm到144mm不等；支架、片材和圆盘。零件种类19种，零件数量116个。重要参数如下：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（连杆）梁：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1.多空连杆，可用于作为结构件，连杆传动等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2.孔距和长度均为8的倍数，兼容体系</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3.铝合金阳极氧化，坚固耐用，美观大气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U型支架：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1.尺寸：24x26x28</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2.该支架可作为加强结构用或轴承支架等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3.孔距和长度均为8的倍数，兼容体系</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4.铝合金阳极氧化，坚固耐用，美观大气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U1型支架：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1.尺寸：24x30x58</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2.该支架可作为轮子支架，轴承支架等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3.孔距和长度均为8的倍数，兼容体系</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4.铝合金阳极氧化，坚固耐用，美观大气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支架3x3：</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1.尺寸：24x32x32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2.该支架可作为加强结构用或轴承支架等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3.孔距和长度均为8的倍数，兼容体系，可任意兼容梁1030和滑轨梁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4.铝合金阳极氧化，坚固耐用，美观大气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片3x4:</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1.尺寸：2x24x60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2.主要用于梁1030系列和滑轨梁系列的连接安装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3.孔距和长度均为8的倍数，兼容体系</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4.铝合金阳极氧化，坚固耐用，美观大气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片9x9:</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1.尺寸：2x72x72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2.用于稍大的平板结构，可以作为一些大结构安装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3.孔距和长度均为8的倍数，兼容体系</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4.铝合金阳极氧化，坚固耐用，美观大气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片45：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1.尺寸：3x36x25.5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2.片45可以作为连接片，异形结构，连杆等使用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3.孔距和长度均为8的倍数，兼容体系</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4.铝合金阳极氧化，坚固耐用，美观大气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圆盘D68：</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1.尺寸：3xφ68</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2.改圆盘可以作为异形结构搭建，可安装42步进电机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3.孔距和长度均为8的倍数，兼容体系</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4.铝合金阳极氧化，坚固耐用，美观大气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传动件套装</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33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一、套件简介：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包含不同规格的齿轮、轮胎、同步带轴承等传动部件和螺丝、螺钉五金工具等。零件种类26种，零件数量274个。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二、功能与特点：（总括）</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1、机械、电子、软件和教材四位一体的教育平台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（1）特殊结构设计实现了机械零件的易用性、通用性、扩展性和稳定性；MCU、单总线和RJ11实现电子模块的分布式计算能力、智能性和独立性；拥有自主知识产权的交互式图形化编程软件、Arduino IDE、Python实现了编程软件的易用性和阶梯性；针对套件研发匹配对应年级和难易度的课程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接近工业级的器材搭建平台，平台包含大量铝型材、片材材质的机械零件，多种电子传感器等模块，多种类型的直流电机，舵机和步进电机等，基于这个零件平台，学生们可以快速实现创意，验证自己的想法，完成专业的作品和项目，成为微型工业智能设计项目案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（3）体系平台的零件丰富多彩，富含多个年龄段的知识点，可以适用小学、初中、学生乃至大学各个年级。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2、精密金属结构件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（1）材质与工艺：主要材料使用高强度2mm航空铝板冲压成型， 结合CNC精密加工，结构坚固，配合紧密；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（2）技术参数：耐高温度＞500℃；抗拉强度＞250MPa；耐力＞172MPa；延伸率＜1.7%；硬度＞70HB；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（3）平台拓展性：工业标准孔距和孔径，以8mm的倍数为基准，兼容大量工业标准件和五金零件；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（4）安全性：阳极氧化上色，安全环保无毒。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传感器套装</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33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一、套件简介：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包含主控板、电子模块、注塑件、轴类、履带、轴承等传动部件和螺丝、螺母等五金类器件。零件种类24种，零件数量350个。主要参数如下：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 主控制板：主板尺寸应不大于72*36*22mm，内置ATmega328p或ESP32芯片，集成蓝牙BT4.1模块、红外、蜂鸣器、光线传感器，触摸开关、声音传感器等。支持3-6V电压范围；主控板可同时支持4个传感器和2个电机同时工作。声音传感器模块可以感知环境中的声音强度并反馈相应电信号从而执行程序控制机器人。光线传感器模块可以感知环境中的光线强度并反馈相应的电信号从而执行程序控制机器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（2）其他模块和主要零件要求：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标配至少7个电池模块，电池为可充电18650锂电池、9个电机、1个舵机、2个超声波模块、1个Mp3模块、各种金属结构件，轴和塑料齿轮以及塑胶结构件1批。（大部分模块自带MCU，可以自动识别）</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RGB超声波传感器：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采用超声波探头内置RGB灯，实现炫酷灯效，其超声波进行避障，测量范围从4 cm 到500 cm；可控制机器人避开障碍或进行距离测量；RGB超声波模块自带MCU，可实现自动识别模块接入。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9g角度舵机：体积小，用途广，可用来驱动连杆机构等。工作电压：4.8~6.0V DC；空载工作电流 ≤60mA；堵转电流 ≤700mA,；额定力矩 ≥0.8kgf.cm；最大扭矩  ≥1.2kgf.cmN  空载速度≤0.11s/60°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标配一个红外遥控器，用于遥控与互动。遥控范围：8m以上，采用电池：CR2032 3V扣式锂锰电池；红外载波频率：38KHz。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MP3模块：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MP3模块：采用内置语音解码芯片，可以随意播放音乐。模块上内置0.5W喇叭，同时提供外接接口，可以连接更高功率喇叭。播放文件可以直接存储在模块上的Flash里，也可以插入容量更大的TF内存卡。本模块可以通过主控板的指令来播放音乐，也可以直接按模块上的按键来操作，无需编程，简单方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通讯接口：为方便学生入门、套件教学和快速搭建，电子模块需标配MCU并采用4P4C的RJ11端子，使用的是4pin水晶头的RJ11连接线，连接使用方便快捷、电气性能好、寿命长。绝大部分传感器模块和RJ11端口可以任意连接随意插拔并可以自动识别端口反馈到编程程序中。</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 编程平台要求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a.拥有自主知识产权的交互式图形化编程软件；支持APP编程、PC端在线及离线编程；APP支持安卓和IOS系统；PC图形化编程支持Windows、MAC OS、Raspberry Pi等系统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b.兼容Arduino软硬件开发平台，兼容代码编程软件；另外支持 Codemao Martrix编辑器，Mixly软件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c. 软件平台支持中、英文编程及人工智能相关模块，不少于语音识别，手势识别，图像识别，机器学习，智能天气、人脸识别、TensorFlow、无人机等人工智能功能模块;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五金连接件套装</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33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1.包含联轴器、万向节、螺丝、螺钉五金工具等。零件种类25种，零件数量1391个。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2.螺丝规格为M4，长度4~45mm，内外都是六边型螺丝头结构，方便取出；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3.螺丝采用不锈钢304材质，硬度高且耐腐蚀，兼容工业标准件和五金零件；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4.万向节材料：不锈钢，尺寸不小于：Φ4xφ9x22，最大转向角度: 45°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5.收纳盒包装，方便取用及归类收纳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人工智能创客空间中级套装-机械部分</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33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1.机械零件不少于零件总数574个，梁类：18种，片类和支架：9种，工具：5种，其他：35种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2.材质与工艺：主要材料使用高强度2mm航空铝板冲压成型， 结合CNC精密加工，表面处理为橙色阳极氧化,结构坚固，配合紧密,美观大气，质感强烈；</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3.材质特性：耐高温度＞500℃；抗拉强度＞250MPa；耐力＞172MPa；延伸率＜1.7%；硬度＞70HB；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4.平台拓展性：工业标准孔距和孔径，孔距标准为8mm，兼容大量工业标准件和五金零件；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5.0824滑轨梁：孔距8mm,孔径Φ4,两端带螺纹攻牙，两侧带滑轨槽，中间有M4六角螺丝卡槽设计，可用于任意位置安装，无级调整连接，锁紧方便快捷，反复使用无损伤，寿命高。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6.1030结构梁：钣金冲压成型,具有六面可安装M4螺孔，孔距8mm；两端带螺纹攻牙，无需安装螺母即可固定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7.安全性：阳极氧化上色，安全环保无毒。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人工智能创客空间中级套装-电子部分</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33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1.电子传感器不少于：53种/套，含主控板：1种/套，输入模块：19种/套，输出模块：11种/套，其他：11种/套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控制板支持插拔式可换主控芯片，可支持ESP32、ATmega328p，mega2560等；集成RGBLED和按键、并扩展连接了蜂鸣器、红外接收器，光线传感器，等传感器；支持6-12V宽幅电压；主控板可最多支持10个传感器或10个电机同时工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3.电子传感器模块不少于蜂鸣器、光线传感器、巡线传感器、颜色识别传感器、全向摇杆模块、LED四位按键模块、倾斜开关传感器、RJ11 RGB灯模块、电子指南针传感器、数码管、表情面板、RGB超声波传感器、人体红外传感器、火焰传感器、温湿度传感器、继电器模块、旋转电位器模块、触摸传感器、雾化仪模块、红外遥控器、5V 130风扇模块、9g角度舵机、MG995舵机、25电机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4.传感器模块采用沉金工艺，自带M4固定孔，至少自带MCU，不用色标体系区分，可实现自动识别模块接入。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5.RGB超声波模块：标配1组超声波探头且内置6颗RGB全彩灯，测量范围从4 cm 到500 cm；可在不同情况下发出不同的全彩色灯光。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6.LED四位按键模块：四个按键，每个按键内都带有一个蓝色LED灯，可独立控制亮灭。</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7.雾化仪模块：本模块可以把水雾化成水汽，可以随时控制是否开启工作，简单易用;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通讯接口：为方便学生入门、套件教学和快速搭建，电子模块需标配MCU并采用4P4C的RJ11端子，使用的是4pin水晶头的RJ11连接线，连接使用方便快捷、电气性能好、寿命长。绝大部分传感器模块和RJ11端口可以任意连接随意插拔并可以自动识别端口反馈到编程程序中。</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9.编程平台参数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（1）拥有自主知识产权的交互式图形化编程软件；支持APP编程、PC端在线及离线编程；APP支持安卓和IOS系统；PC图形化编程支持Windows、MAC OS、Raspberry Pi等系统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（2）兼容开源软硬件开发平台，兼容代码编程软件；另外支持 Codemao Martrix编辑器，Mixly软件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（3）软件平台支持中、英文编程及人工智能相关模块，不少于语音识别，手势识别，图像识别，机器学习，智能天气、人脸识别、TensorFlow、无人机等人工智能功能模块;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手动工具三件套</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33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专用配套工具，工具箱内定点定位，方便使用和管理。工具包括：木工凿子，1把，3/4”；美工刀，1把，包胶；木工锉，1把，8"半圆；剪刀，1把，多用；羊角锤，1把，0.5KG木柄；鸟刨，1把；手推刨，1把；钢角尺，1把，300mm；螺丝刀，1把，6*125+-铬钒钢，芝麻柄；老虎钳，1把，8"黄黑双色柄；卷尺，1把，3m*12.5mm；G形夹，1把，3"；有机玻璃钩刀，1把，钩刀带两把刀片；木工鸡尾锯，1把，锰钢三面齿，磨齿锯；木工铅笔，1支；小水平尺，1把，S93型，塑料，三水泡，45°、90°、180°；墨斗，1个，新型迷你墨斗；磨刀石一块。专用配套工具箱55件套，含26种必备常用工具，工具箱内定点定位，方便使用和管理。工具包括：钢丝钳，1把，7"，45#钢；尖嘴钳，1把，6"，45#钢；钢直尺，1把，300mm钢直尺；扁锉刀，1把，200mm尖头；半圆锉刀，1把，200mm半圆；三角锉，1把，200mm三角；圆锉刀，1把，200mm圆锉；划针，1把，200mm；划规，1把，150mm划规；样冲，1把，GP100C-2ΦD2mm，L100mm；什锦锉，6件/套（轴承钢，半圆锉、三角锉、方锉、圆锉、尖头扁锉、齐头扁锉）；钳工锤，1把，300g木柄；圆头锤，1把，0.45kg木柄圆头；丝锤、扳牙扳手，12件/套；钢卷尺，1把，3m*12.5mmABS；两用扳手，4件/套；内六角扳手，9件/套，1.5-10mm；三叉扳手，1套；螺丝刀，2把，6*100mm+-PH2；螺丝刀，2把，5*75mm+-PH1；活动扳手，1把，8”；钢丝刷，1把，6排木柄；钢锯架，1把，铁皮活动钢锯架；铁皮剪，1把，8”美式铁皮剪；自行车钢丝扳手，1把；三角尺，1把，20*40mm不锈钢。专用配套工具箱34件套，含22种必备常用工具，工具箱内定点定位，方便使用和管理。工具包括：电工胶布，1卷，5mPVC电工胶布；芝麻柄螺丝批，2把，6*100mmPH2# 十字一字各一支；芝麻柄螺丝批，2把，5*75mmPH1#，十字一字各一支；芝麻柄螺丝批，2把，3*150mmPH0# 十字一字各一支；钢卷尺，1把，3m*12.5mm公制白色涂脂尺带；吸锡器，1个，铝塑吸锡泵；剥线钳，1把，磨齿剥线钳、剥线经0.6-2.6mm、后面切线功能；刷子，1把，软毛刷；焊锡丝，1卷，1.0mm FLNX 2.0%；小钢锯，1把，配一根锯条；测电笔，1支，氖管；活动扳手，1把，8”；羊角锤，1把，0.25KG钢管柄；钢丝钳，1把，7”；尖嘴钳，1把，6"；斜口钳，1把，7"；数显万用表，1台，T830B数字；精密螺丝批，6把/套，PH00 PH0 -3.0 -2.0 -1.2；电烙铁，1把，220V50Hz60W；美工刀，1把，单发包胶；烙铁架，1付，内六角扳手1套。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6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零件工具架</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33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尺寸大小≥300*160cm，孔中心距250mm，孔径6mm，加厚材质洞洞板厚度≥1.0mm，配套250+挂钩，挂钩直径为3.5mm，长度5~10cm;便于拆装。配套机器人零件专用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1"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30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多功能讲台</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33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表面为实木材料</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尺寸约为：1100x780xl000mm（长宽高）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材质：优质冷轧钢板桌面耐划台面 实木橡木扶手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用途：集成多种电教设备于一体，适用于大中专院校中小学 多媒体教室、会议室、演播厅、培训室、报告厅等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包含专用教室黑板，双开门式。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1.盖门采取翻转方式，更加人性化的设计，解决了以往盖门沉重，女教师及年老教师开门比较困难的问题。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.合理的尺寸设计，合理的设备安排，19英寸机架,真正做到了防盗功能。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3.钢木结合材料一体成型；桌体采用1.2-1.5MM优质冷轧钢板，实木扶手； 桌面黄色木质耐划台面；全封闭式结构，保障了多媒体设备的安全性。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4.整个讲台只使用一副滑轨，减少故障几率。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5.液晶显示器采用翻转设计，显示器角度任意调节，可使视线和显示器接近垂直,可安装17-24寸显示器,关闭后所有设备都隐藏在讲台内。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6.键盘采用翻转式操作，显示器、中央控制系统、键盘互不影响独立操作。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 .右侧抽屉采用隐藏抽拉式设计，可放置实物展台。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8.讲桌桌体采用开合式寸巨门设计，不必打开大柜门，即可经由计算机光驱播 放光碟。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9.桌体下层内部采用标准机柜设计，带层板,可任意调节。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1"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31</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编程桌</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张</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33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规格：长宽高约为650*500*750mm，架子采用一级加厚，冷轧钢工艺的加厚钢材，承重性强。台面采用基材为E1级实木颗粒环保免漆板,抗弯性强,不易变形。编程专用桌，颜色搭配教室风格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9"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32</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六边桌</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组</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33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约为：对角1400mm，高度750mm，桌边宽度700mm，架子采用一级加厚，冷轧钢工艺的加厚钢材，承重性强。台面采用基材为E1级实木颗粒环保免漆板,抗弯性强,不易变形。教学定制，颜色搭配教室风格。每组由6个单独三角桌组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33</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板凳</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33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一体化坐垫和靠背，优质PE塑料，一级新料，韧性好，强度高。加厚电镀弯曲框架。支撑框架采用加厚方管，优质金属基材，稳固性强，耐磨、美观。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2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34</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货架</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组</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33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全金属材质构成，表面防锈处理，干净整洁牢固。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整体组合长度为5米左右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高度为4层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立柱规格:40x80MM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层板规格:0.3MM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P型梁规格:40*60*0.6MM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加强筋厚度:0.4MM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主架:8块/4块层板+8根横梁+2套立柱片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副架:8块/4块层板+8根横梁+1套立柱片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35</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收纳柜 矮柜</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33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规格约为：700*400*800mm，面材：采用优质三聚氰胺饰面板，防火、耐磨、防污、硬度高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基材：采用实木多层板；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封边：采用PVC同色封边，厚度达2mm；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其它:顶板25mm厚，其它全部使用18mm厚的板，优质拉手及锁具。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36</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收纳柜 高柜</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33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规格约为：700*400*1200mm，面材：采用优质三聚氰胺饰面板，防火、耐磨、防污、硬度高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基材：采用实木多层板；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封边：采用PVC同色封边，厚度达2mm；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其它:顶板25mm厚，其它全部使用18mm厚的板，优质拉手及锁具。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2"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37</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操作展示台</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张</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33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规格长宽高约为：1400*700*800mm，免漆板+钢架结构，型材钢板，用于展示定制设备专用。颜色搭配教室风格，结实稳固，承重力强。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1"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cs="宋体"/>
                <w:i w:val="0"/>
                <w:iCs w:val="0"/>
                <w:color w:val="000000"/>
                <w:kern w:val="0"/>
                <w:sz w:val="18"/>
                <w:szCs w:val="18"/>
                <w:u w:val="none"/>
                <w:lang w:val="en-US" w:eastAsia="zh-CN" w:bidi="ar"/>
              </w:rPr>
              <w:t>38</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柜式空调</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33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柜式，3匹。能效等级不低于3级。包安装及售后。</w:t>
            </w:r>
          </w:p>
        </w:tc>
      </w:tr>
    </w:tbl>
    <w:p>
      <w:pPr>
        <w:pStyle w:val="9"/>
        <w:spacing w:line="360" w:lineRule="auto"/>
        <w:ind w:firstLine="560" w:firstLineChars="200"/>
        <w:rPr>
          <w:rFonts w:hint="eastAsia" w:ascii="宋体" w:hAnsi="宋体" w:cs="宋体"/>
          <w:color w:val="auto"/>
          <w:sz w:val="28"/>
          <w:szCs w:val="28"/>
          <w:highlight w:val="yellow"/>
        </w:rPr>
      </w:pPr>
    </w:p>
    <w:p>
      <w:pPr>
        <w:pStyle w:val="9"/>
        <w:spacing w:line="360" w:lineRule="auto"/>
        <w:ind w:firstLine="560" w:firstLineChars="200"/>
        <w:rPr>
          <w:color w:val="auto"/>
          <w:highlight w:val="yellow"/>
        </w:rPr>
      </w:pPr>
      <w:r>
        <w:rPr>
          <w:rFonts w:hint="eastAsia" w:ascii="宋体" w:hAnsi="宋体" w:cs="宋体"/>
          <w:color w:val="auto"/>
          <w:sz w:val="28"/>
          <w:szCs w:val="28"/>
          <w:highlight w:val="yellow"/>
          <w:lang w:val="en-US" w:eastAsia="zh-CN"/>
        </w:rPr>
        <w:t>二、</w:t>
      </w:r>
      <w:r>
        <w:rPr>
          <w:rFonts w:hint="eastAsia" w:ascii="宋体" w:hAnsi="宋体" w:cs="宋体"/>
          <w:color w:val="auto"/>
          <w:sz w:val="28"/>
          <w:szCs w:val="28"/>
          <w:highlight w:val="yellow"/>
        </w:rPr>
        <w:t>中标人对涉及产品应按照“财办库〔2020〕123号《关于印发《商品包装政府采购需求标准（试行）》、《快递包装政府采购需求标准（试行）》的通知》”执行。涉及设备运维参考《绿色数据中心政府采购需求标准（试行）》（财库【2023】7号文）执行。</w:t>
      </w:r>
    </w:p>
    <w:p>
      <w:pPr>
        <w:rPr>
          <w:rFonts w:hint="eastAsia"/>
        </w:rPr>
      </w:pPr>
    </w:p>
    <w:p>
      <w:pPr>
        <w:rPr>
          <w:rFonts w:hint="eastAsia"/>
        </w:rPr>
      </w:pPr>
    </w:p>
    <w:p>
      <w:pPr>
        <w:pStyle w:val="15"/>
        <w:rPr>
          <w:rFonts w:hint="eastAsia"/>
        </w:rPr>
      </w:pPr>
    </w:p>
    <w:p>
      <w:pPr>
        <w:pStyle w:val="16"/>
        <w:rPr>
          <w:rFonts w:hint="eastAsia"/>
        </w:rPr>
      </w:pPr>
    </w:p>
    <w:p>
      <w:pPr>
        <w:pStyle w:val="16"/>
        <w:rPr>
          <w:rFonts w:hint="eastAsia"/>
        </w:rPr>
      </w:pPr>
    </w:p>
    <w:p>
      <w:pPr>
        <w:pStyle w:val="16"/>
        <w:rPr>
          <w:rFonts w:hint="eastAsia"/>
        </w:rPr>
      </w:pPr>
    </w:p>
    <w:p>
      <w:pPr>
        <w:pStyle w:val="16"/>
        <w:rPr>
          <w:rFonts w:hint="eastAsia"/>
        </w:rPr>
      </w:pPr>
    </w:p>
    <w:p>
      <w:pPr>
        <w:pStyle w:val="16"/>
        <w:rPr>
          <w:rFonts w:hint="eastAsia"/>
        </w:rPr>
      </w:pPr>
    </w:p>
    <w:p>
      <w:pPr>
        <w:pStyle w:val="16"/>
        <w:rPr>
          <w:rFonts w:hint="eastAsia"/>
        </w:rPr>
      </w:pPr>
    </w:p>
    <w:p>
      <w:pPr>
        <w:rPr>
          <w:rFonts w:hint="eastAsia"/>
        </w:rPr>
      </w:pPr>
    </w:p>
    <w:p>
      <w:pPr>
        <w:widowControl/>
        <w:jc w:val="center"/>
        <w:rPr>
          <w:sz w:val="32"/>
          <w:szCs w:val="28"/>
        </w:rPr>
      </w:pPr>
      <w:r>
        <w:rPr>
          <w:rFonts w:hint="eastAsia" w:ascii="宋体" w:hAnsi="宋体" w:cs="宋体"/>
          <w:b/>
          <w:bCs/>
          <w:color w:val="000000"/>
          <w:kern w:val="0"/>
          <w:sz w:val="52"/>
          <w:szCs w:val="52"/>
        </w:rPr>
        <w:t>第二章 响 应 文 件 格 式</w:t>
      </w:r>
    </w:p>
    <w:p>
      <w:pPr>
        <w:widowControl/>
        <w:jc w:val="left"/>
        <w:rPr>
          <w:rFonts w:ascii="宋体" w:hAnsi="宋体" w:cs="宋体"/>
          <w:b/>
          <w:bCs/>
          <w:color w:val="000000"/>
          <w:kern w:val="0"/>
          <w:sz w:val="72"/>
          <w:szCs w:val="72"/>
        </w:rPr>
      </w:pPr>
    </w:p>
    <w:p>
      <w:pPr>
        <w:widowControl/>
        <w:jc w:val="center"/>
        <w:rPr>
          <w:sz w:val="24"/>
          <w:szCs w:val="22"/>
        </w:rPr>
      </w:pPr>
      <w:r>
        <w:rPr>
          <w:rFonts w:hint="eastAsia" w:ascii="宋体" w:hAnsi="宋体" w:cs="宋体"/>
          <w:b/>
          <w:bCs/>
          <w:color w:val="000000"/>
          <w:kern w:val="0"/>
          <w:sz w:val="72"/>
          <w:szCs w:val="72"/>
        </w:rPr>
        <w:t>响 应 文 件</w:t>
      </w:r>
    </w:p>
    <w:p>
      <w:pPr>
        <w:widowControl/>
        <w:jc w:val="left"/>
        <w:rPr>
          <w:rFonts w:ascii="宋体" w:hAnsi="宋体" w:cs="宋体"/>
          <w:b/>
          <w:bCs/>
          <w:color w:val="000000"/>
          <w:kern w:val="0"/>
          <w:sz w:val="44"/>
          <w:szCs w:val="44"/>
        </w:rPr>
      </w:pPr>
    </w:p>
    <w:p>
      <w:pPr>
        <w:widowControl/>
        <w:jc w:val="center"/>
        <w:rPr>
          <w:sz w:val="24"/>
          <w:szCs w:val="22"/>
        </w:rPr>
      </w:pPr>
      <w:r>
        <w:rPr>
          <w:rFonts w:hint="eastAsia" w:ascii="宋体" w:hAnsi="宋体" w:cs="宋体"/>
          <w:b/>
          <w:bCs/>
          <w:color w:val="000000"/>
          <w:kern w:val="0"/>
          <w:sz w:val="44"/>
          <w:szCs w:val="44"/>
        </w:rPr>
        <w:t>项目名称:</w:t>
      </w:r>
    </w:p>
    <w:p>
      <w:pPr>
        <w:widowControl/>
        <w:jc w:val="center"/>
        <w:rPr>
          <w:rFonts w:ascii="宋体" w:hAnsi="宋体" w:cs="宋体"/>
          <w:b/>
          <w:bCs/>
          <w:color w:val="000000"/>
          <w:kern w:val="0"/>
          <w:sz w:val="44"/>
          <w:szCs w:val="44"/>
        </w:rPr>
      </w:pPr>
    </w:p>
    <w:p>
      <w:pPr>
        <w:widowControl/>
        <w:jc w:val="center"/>
        <w:rPr>
          <w:sz w:val="24"/>
          <w:szCs w:val="22"/>
        </w:rPr>
      </w:pPr>
      <w:r>
        <w:rPr>
          <w:rFonts w:hint="eastAsia" w:ascii="宋体" w:hAnsi="宋体" w:cs="宋体"/>
          <w:b/>
          <w:bCs/>
          <w:color w:val="000000"/>
          <w:kern w:val="0"/>
          <w:sz w:val="44"/>
          <w:szCs w:val="44"/>
        </w:rPr>
        <w:t>项目编号:</w:t>
      </w:r>
    </w:p>
    <w:p>
      <w:pPr>
        <w:widowControl/>
        <w:jc w:val="center"/>
        <w:rPr>
          <w:rFonts w:ascii="宋体" w:hAnsi="宋体" w:cs="宋体"/>
          <w:b/>
          <w:bCs/>
          <w:color w:val="000000"/>
          <w:kern w:val="0"/>
          <w:sz w:val="44"/>
          <w:szCs w:val="44"/>
        </w:rPr>
      </w:pPr>
    </w:p>
    <w:p>
      <w:pPr>
        <w:widowControl/>
        <w:jc w:val="center"/>
        <w:rPr>
          <w:sz w:val="24"/>
          <w:szCs w:val="22"/>
        </w:rPr>
      </w:pPr>
      <w:r>
        <w:rPr>
          <w:rFonts w:hint="eastAsia" w:ascii="宋体" w:hAnsi="宋体" w:cs="宋体"/>
          <w:b/>
          <w:bCs/>
          <w:color w:val="000000"/>
          <w:kern w:val="0"/>
          <w:sz w:val="44"/>
          <w:szCs w:val="44"/>
        </w:rPr>
        <w:t>供应商:</w:t>
      </w:r>
    </w:p>
    <w:p>
      <w:pPr>
        <w:widowControl/>
        <w:jc w:val="center"/>
        <w:rPr>
          <w:rFonts w:ascii="宋体" w:hAnsi="宋体" w:cs="宋体"/>
          <w:b/>
          <w:bCs/>
          <w:color w:val="000000"/>
          <w:kern w:val="0"/>
          <w:sz w:val="44"/>
          <w:szCs w:val="44"/>
        </w:rPr>
      </w:pPr>
    </w:p>
    <w:p>
      <w:pPr>
        <w:widowControl/>
        <w:jc w:val="center"/>
        <w:rPr>
          <w:sz w:val="24"/>
          <w:szCs w:val="22"/>
        </w:rPr>
      </w:pPr>
      <w:r>
        <w:rPr>
          <w:rFonts w:hint="eastAsia" w:ascii="宋体" w:hAnsi="宋体" w:cs="宋体"/>
          <w:b/>
          <w:bCs/>
          <w:color w:val="000000"/>
          <w:kern w:val="0"/>
          <w:sz w:val="44"/>
          <w:szCs w:val="44"/>
        </w:rPr>
        <w:t>二 0 二三年 月 日</w:t>
      </w:r>
    </w:p>
    <w:p>
      <w:pPr>
        <w:widowControl/>
        <w:jc w:val="left"/>
        <w:rPr>
          <w:rFonts w:ascii="宋体" w:hAnsi="宋体" w:cs="宋体"/>
          <w:color w:val="000000"/>
          <w:kern w:val="0"/>
          <w:sz w:val="32"/>
          <w:szCs w:val="32"/>
        </w:rPr>
      </w:pPr>
    </w:p>
    <w:p>
      <w:pPr>
        <w:widowControl/>
        <w:jc w:val="left"/>
        <w:rPr>
          <w:rFonts w:ascii="宋体" w:hAnsi="宋体" w:cs="宋体"/>
          <w:color w:val="000000"/>
          <w:kern w:val="0"/>
          <w:sz w:val="32"/>
          <w:szCs w:val="32"/>
        </w:rPr>
      </w:pPr>
    </w:p>
    <w:p>
      <w:pPr>
        <w:widowControl/>
        <w:jc w:val="left"/>
        <w:rPr>
          <w:rFonts w:ascii="宋体" w:hAnsi="宋体" w:cs="宋体"/>
          <w:color w:val="000000"/>
          <w:kern w:val="0"/>
          <w:sz w:val="32"/>
          <w:szCs w:val="32"/>
        </w:rPr>
      </w:pPr>
    </w:p>
    <w:p>
      <w:pPr>
        <w:pStyle w:val="5"/>
        <w:rPr>
          <w:rFonts w:ascii="宋体" w:hAnsi="宋体" w:eastAsia="宋体" w:cs="宋体"/>
          <w:color w:val="000000"/>
          <w:kern w:val="0"/>
          <w:sz w:val="32"/>
          <w:szCs w:val="32"/>
        </w:rPr>
      </w:pPr>
    </w:p>
    <w:p/>
    <w:p>
      <w:pPr>
        <w:widowControl/>
        <w:jc w:val="left"/>
        <w:rPr>
          <w:rFonts w:ascii="宋体" w:hAnsi="宋体" w:cs="宋体"/>
          <w:color w:val="000000"/>
          <w:kern w:val="0"/>
          <w:sz w:val="32"/>
          <w:szCs w:val="32"/>
        </w:rPr>
      </w:pPr>
    </w:p>
    <w:p>
      <w:pPr>
        <w:widowControl/>
        <w:jc w:val="left"/>
        <w:rPr>
          <w:sz w:val="24"/>
          <w:szCs w:val="22"/>
        </w:rPr>
      </w:pPr>
      <w:r>
        <w:rPr>
          <w:rFonts w:hint="eastAsia" w:ascii="宋体" w:hAnsi="宋体" w:cs="宋体"/>
          <w:color w:val="000000"/>
          <w:kern w:val="0"/>
          <w:sz w:val="32"/>
          <w:szCs w:val="32"/>
        </w:rPr>
        <w:t xml:space="preserve">尊敬的供应商: </w:t>
      </w:r>
    </w:p>
    <w:p>
      <w:pPr>
        <w:widowControl/>
        <w:jc w:val="left"/>
        <w:rPr>
          <w:sz w:val="24"/>
          <w:szCs w:val="22"/>
        </w:rPr>
      </w:pPr>
      <w:r>
        <w:rPr>
          <w:rFonts w:hint="eastAsia" w:ascii="宋体" w:hAnsi="宋体" w:cs="宋体"/>
          <w:color w:val="000000"/>
          <w:kern w:val="0"/>
          <w:sz w:val="32"/>
          <w:szCs w:val="32"/>
        </w:rPr>
        <w:t>请按照以下文件的格式要求、内容、顺序制作响应文件，否则可能将影响对响应文件的评价。</w:t>
      </w:r>
    </w:p>
    <w:p>
      <w:pPr>
        <w:widowControl/>
        <w:jc w:val="left"/>
        <w:rPr>
          <w:rFonts w:ascii="宋体" w:hAnsi="宋体" w:cs="宋体"/>
          <w:color w:val="000000"/>
          <w:kern w:val="0"/>
          <w:sz w:val="32"/>
          <w:szCs w:val="32"/>
        </w:rPr>
      </w:pPr>
      <w:r>
        <w:rPr>
          <w:rFonts w:hint="eastAsia" w:ascii="宋体" w:hAnsi="宋体" w:cs="宋体"/>
          <w:color w:val="000000"/>
          <w:kern w:val="0"/>
          <w:sz w:val="32"/>
          <w:szCs w:val="32"/>
        </w:rPr>
        <w:t>响应文件格式中所有要求签字和盖章的部分，必须按要求进行签字和盖章，电子投标文件内容需加盖电子签章。</w:t>
      </w:r>
    </w:p>
    <w:p>
      <w:pPr>
        <w:pStyle w:val="5"/>
        <w:rPr>
          <w:rFonts w:ascii="宋体" w:hAnsi="宋体" w:eastAsia="宋体" w:cs="宋体"/>
          <w:color w:val="000000"/>
          <w:kern w:val="0"/>
          <w:sz w:val="32"/>
          <w:szCs w:val="32"/>
        </w:rPr>
      </w:pPr>
    </w:p>
    <w:p>
      <w:pPr>
        <w:pStyle w:val="15"/>
      </w:pPr>
    </w:p>
    <w:p>
      <w:pPr>
        <w:pStyle w:val="5"/>
      </w:pPr>
    </w:p>
    <w:p>
      <w:pPr>
        <w:widowControl/>
        <w:jc w:val="center"/>
        <w:rPr>
          <w:rFonts w:hint="eastAsia" w:ascii="宋体" w:hAnsi="宋体" w:eastAsia="宋体" w:cs="宋体"/>
          <w:b/>
          <w:bCs/>
          <w:sz w:val="32"/>
          <w:szCs w:val="32"/>
        </w:rPr>
      </w:pPr>
    </w:p>
    <w:p>
      <w:pPr>
        <w:widowControl/>
        <w:jc w:val="center"/>
        <w:rPr>
          <w:rFonts w:hint="default" w:ascii="宋体" w:hAnsi="宋体" w:eastAsia="宋体" w:cs="宋体"/>
          <w:b/>
          <w:sz w:val="32"/>
          <w:szCs w:val="32"/>
          <w:lang w:val="en-US" w:eastAsia="zh-CN"/>
        </w:rPr>
      </w:pPr>
      <w:r>
        <w:rPr>
          <w:rFonts w:hint="eastAsia" w:ascii="宋体" w:hAnsi="宋体" w:eastAsia="宋体" w:cs="宋体"/>
          <w:b/>
          <w:bCs/>
          <w:sz w:val="32"/>
          <w:szCs w:val="32"/>
        </w:rPr>
        <w:t>一、</w:t>
      </w:r>
      <w:r>
        <w:rPr>
          <w:rFonts w:hint="eastAsia" w:ascii="宋体" w:hAnsi="宋体" w:eastAsia="宋体" w:cs="宋体"/>
          <w:b/>
          <w:bCs/>
          <w:sz w:val="32"/>
          <w:szCs w:val="32"/>
          <w:lang w:val="en-US" w:eastAsia="zh-CN"/>
        </w:rPr>
        <w:t>磋商函</w:t>
      </w:r>
    </w:p>
    <w:p>
      <w:pPr>
        <w:pStyle w:val="10"/>
        <w:spacing w:line="460" w:lineRule="exact"/>
        <w:jc w:val="left"/>
        <w:rPr>
          <w:rFonts w:hint="eastAsia" w:ascii="宋体" w:hAnsi="宋体" w:eastAsia="宋体" w:cs="宋体"/>
          <w:b/>
          <w:color w:val="000000"/>
          <w:sz w:val="24"/>
          <w:szCs w:val="24"/>
          <w:u w:val="single"/>
        </w:rPr>
      </w:pPr>
      <w:r>
        <w:rPr>
          <w:rFonts w:hint="eastAsia" w:ascii="宋体" w:hAnsi="宋体" w:eastAsia="宋体" w:cs="宋体"/>
          <w:color w:val="000000"/>
          <w:sz w:val="24"/>
          <w:szCs w:val="24"/>
        </w:rPr>
        <w:t>致:</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kern w:val="0"/>
          <w:sz w:val="24"/>
          <w:szCs w:val="24"/>
          <w:u w:val="single"/>
        </w:rPr>
        <w:t xml:space="preserve">  </w:t>
      </w:r>
    </w:p>
    <w:p>
      <w:pPr>
        <w:widowControl/>
        <w:spacing w:line="460" w:lineRule="exact"/>
        <w:jc w:val="left"/>
        <w:rPr>
          <w:rFonts w:hint="eastAsia" w:ascii="宋体" w:hAnsi="宋体" w:eastAsia="宋体" w:cs="宋体"/>
          <w:color w:val="000000"/>
          <w:sz w:val="24"/>
          <w:szCs w:val="24"/>
        </w:rPr>
      </w:pPr>
      <w:r>
        <w:rPr>
          <w:rFonts w:hint="eastAsia" w:ascii="宋体" w:hAnsi="宋体" w:eastAsia="宋体" w:cs="宋体"/>
          <w:color w:val="000000"/>
          <w:kern w:val="0"/>
          <w:sz w:val="24"/>
          <w:szCs w:val="24"/>
        </w:rPr>
        <w:t xml:space="preserve">    根据贵方</w:t>
      </w:r>
      <w:r>
        <w:rPr>
          <w:rFonts w:hint="eastAsia" w:ascii="宋体" w:hAnsi="宋体" w:eastAsia="宋体" w:cs="宋体"/>
          <w:color w:val="000000"/>
          <w:kern w:val="0"/>
          <w:sz w:val="24"/>
          <w:szCs w:val="24"/>
          <w:lang w:eastAsia="zh-CN"/>
        </w:rPr>
        <w:t>磋商</w:t>
      </w:r>
      <w:r>
        <w:rPr>
          <w:rFonts w:hint="eastAsia" w:ascii="宋体" w:hAnsi="宋体" w:eastAsia="宋体" w:cs="宋体"/>
          <w:color w:val="000000"/>
          <w:kern w:val="0"/>
          <w:sz w:val="24"/>
          <w:szCs w:val="24"/>
          <w:lang w:val="en-US" w:eastAsia="zh-CN"/>
        </w:rPr>
        <w:t>文件</w:t>
      </w:r>
      <w:r>
        <w:rPr>
          <w:rFonts w:hint="eastAsia" w:ascii="宋体" w:hAnsi="宋体" w:eastAsia="宋体" w:cs="宋体"/>
          <w:color w:val="000000"/>
          <w:kern w:val="0"/>
          <w:sz w:val="24"/>
          <w:szCs w:val="24"/>
        </w:rPr>
        <w:t>的</w:t>
      </w:r>
      <w:r>
        <w:rPr>
          <w:rFonts w:hint="eastAsia" w:ascii="宋体" w:hAnsi="宋体" w:eastAsia="宋体" w:cs="宋体"/>
          <w:color w:val="000000"/>
          <w:kern w:val="0"/>
          <w:sz w:val="24"/>
          <w:szCs w:val="24"/>
          <w:lang w:val="en-US" w:eastAsia="zh-CN"/>
        </w:rPr>
        <w:t>要求</w:t>
      </w:r>
      <w:r>
        <w:rPr>
          <w:rFonts w:hint="eastAsia" w:ascii="宋体" w:hAnsi="宋体" w:eastAsia="宋体" w:cs="宋体"/>
          <w:color w:val="000000"/>
          <w:kern w:val="0"/>
          <w:sz w:val="24"/>
          <w:szCs w:val="24"/>
          <w:u w:val="single"/>
        </w:rPr>
        <w:t xml:space="preserve">     </w:t>
      </w:r>
      <w:r>
        <w:rPr>
          <w:rFonts w:hint="eastAsia" w:ascii="宋体" w:hAnsi="宋体" w:eastAsia="宋体" w:cs="宋体"/>
          <w:b/>
          <w:color w:val="000000"/>
          <w:kern w:val="0"/>
          <w:sz w:val="24"/>
          <w:szCs w:val="24"/>
          <w:u w:val="single"/>
        </w:rPr>
        <w:t>项目（项目编号：  ）</w:t>
      </w:r>
      <w:r>
        <w:rPr>
          <w:rFonts w:hint="eastAsia" w:ascii="宋体" w:hAnsi="宋体" w:eastAsia="宋体" w:cs="宋体"/>
          <w:color w:val="000000"/>
          <w:kern w:val="0"/>
          <w:sz w:val="24"/>
          <w:szCs w:val="24"/>
        </w:rPr>
        <w:t>，正式授权下述签字人</w:t>
      </w:r>
      <w:r>
        <w:rPr>
          <w:rFonts w:hint="eastAsia" w:ascii="宋体" w:hAnsi="宋体" w:eastAsia="宋体" w:cs="宋体"/>
          <w:color w:val="000000"/>
          <w:kern w:val="0"/>
          <w:sz w:val="24"/>
          <w:szCs w:val="24"/>
          <w:u w:val="single"/>
        </w:rPr>
        <w:t xml:space="preserve">   （姓名和职务）   </w:t>
      </w:r>
      <w:r>
        <w:rPr>
          <w:rFonts w:hint="eastAsia" w:ascii="宋体" w:hAnsi="宋体" w:eastAsia="宋体" w:cs="宋体"/>
          <w:color w:val="000000"/>
          <w:kern w:val="0"/>
          <w:sz w:val="24"/>
          <w:szCs w:val="24"/>
        </w:rPr>
        <w:t>代表我方</w:t>
      </w:r>
      <w:r>
        <w:rPr>
          <w:rFonts w:hint="eastAsia" w:ascii="宋体" w:hAnsi="宋体" w:eastAsia="宋体" w:cs="宋体"/>
          <w:color w:val="000000"/>
          <w:kern w:val="0"/>
          <w:sz w:val="24"/>
          <w:szCs w:val="24"/>
          <w:u w:val="single"/>
        </w:rPr>
        <w:t xml:space="preserve">    （响应供应商单位的名称）  </w:t>
      </w:r>
      <w:r>
        <w:rPr>
          <w:rFonts w:hint="eastAsia" w:ascii="宋体" w:hAnsi="宋体" w:eastAsia="宋体" w:cs="宋体"/>
          <w:color w:val="000000"/>
          <w:kern w:val="0"/>
          <w:sz w:val="24"/>
          <w:szCs w:val="24"/>
        </w:rPr>
        <w:t>，全权处理本次项目</w:t>
      </w:r>
      <w:r>
        <w:rPr>
          <w:rFonts w:hint="eastAsia" w:ascii="宋体" w:hAnsi="宋体" w:eastAsia="宋体" w:cs="宋体"/>
          <w:color w:val="000000"/>
          <w:kern w:val="0"/>
          <w:sz w:val="24"/>
          <w:szCs w:val="24"/>
          <w:lang w:eastAsia="zh-CN"/>
        </w:rPr>
        <w:t>磋商</w:t>
      </w:r>
      <w:r>
        <w:rPr>
          <w:rFonts w:hint="eastAsia" w:ascii="宋体" w:hAnsi="宋体" w:eastAsia="宋体" w:cs="宋体"/>
          <w:color w:val="000000"/>
          <w:kern w:val="0"/>
          <w:sz w:val="24"/>
          <w:szCs w:val="24"/>
        </w:rPr>
        <w:t>的有关事宜。</w:t>
      </w:r>
    </w:p>
    <w:p>
      <w:pPr>
        <w:widowControl/>
        <w:spacing w:line="460" w:lineRule="exact"/>
        <w:ind w:firstLine="480" w:firstLineChars="20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据此函，签字人兹宣布同意如下：</w:t>
      </w:r>
    </w:p>
    <w:p>
      <w:pPr>
        <w:pStyle w:val="46"/>
        <w:spacing w:line="4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（1）按</w:t>
      </w:r>
      <w:r>
        <w:rPr>
          <w:rFonts w:hint="eastAsia" w:ascii="宋体" w:hAnsi="宋体" w:eastAsia="宋体" w:cs="宋体"/>
          <w:color w:val="000000"/>
          <w:sz w:val="24"/>
          <w:szCs w:val="24"/>
          <w:lang w:eastAsia="zh-CN"/>
        </w:rPr>
        <w:t>磋商文件</w:t>
      </w:r>
      <w:r>
        <w:rPr>
          <w:rFonts w:hint="eastAsia" w:ascii="宋体" w:hAnsi="宋体" w:eastAsia="宋体" w:cs="宋体"/>
          <w:color w:val="000000"/>
          <w:sz w:val="24"/>
          <w:szCs w:val="24"/>
        </w:rPr>
        <w:t>规定的各项要求，我方愿以(人民币大写)</w:t>
      </w:r>
      <w:r>
        <w:rPr>
          <w:rFonts w:hint="eastAsia" w:ascii="宋体" w:hAnsi="宋体" w:eastAsia="宋体" w:cs="宋体"/>
          <w:color w:val="000000"/>
          <w:sz w:val="24"/>
          <w:szCs w:val="24"/>
          <w:u w:val="single"/>
        </w:rPr>
        <w:t xml:space="preserve">     元</w:t>
      </w:r>
      <w:r>
        <w:rPr>
          <w:rFonts w:hint="eastAsia" w:ascii="宋体" w:hAnsi="宋体" w:eastAsia="宋体" w:cs="宋体"/>
          <w:color w:val="000000"/>
          <w:sz w:val="24"/>
          <w:szCs w:val="24"/>
        </w:rPr>
        <w:t>（RMB￥</w:t>
      </w:r>
      <w:r>
        <w:rPr>
          <w:rFonts w:hint="eastAsia" w:ascii="宋体" w:hAnsi="宋体" w:eastAsia="宋体" w:cs="宋体"/>
          <w:color w:val="000000"/>
          <w:sz w:val="24"/>
          <w:szCs w:val="24"/>
          <w:u w:val="single"/>
        </w:rPr>
        <w:t xml:space="preserve">           元</w:t>
      </w:r>
      <w:r>
        <w:rPr>
          <w:rFonts w:hint="eastAsia" w:ascii="宋体" w:hAnsi="宋体" w:eastAsia="宋体" w:cs="宋体"/>
          <w:color w:val="000000"/>
          <w:sz w:val="24"/>
          <w:szCs w:val="24"/>
        </w:rPr>
        <w:t>）的报价并按</w:t>
      </w:r>
      <w:r>
        <w:rPr>
          <w:rFonts w:hint="eastAsia" w:ascii="宋体" w:hAnsi="宋体" w:eastAsia="宋体" w:cs="宋体"/>
          <w:color w:val="000000"/>
          <w:sz w:val="24"/>
          <w:szCs w:val="24"/>
          <w:lang w:eastAsia="zh-CN"/>
        </w:rPr>
        <w:t>磋商文件</w:t>
      </w:r>
      <w:r>
        <w:rPr>
          <w:rFonts w:hint="eastAsia" w:ascii="宋体" w:hAnsi="宋体" w:eastAsia="宋体" w:cs="宋体"/>
          <w:color w:val="000000"/>
          <w:sz w:val="24"/>
          <w:szCs w:val="24"/>
        </w:rPr>
        <w:t>的规定要求提供所需货物和服务。</w:t>
      </w:r>
    </w:p>
    <w:p>
      <w:pPr>
        <w:pStyle w:val="46"/>
        <w:spacing w:line="4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（2）我们接受</w:t>
      </w:r>
      <w:r>
        <w:rPr>
          <w:rFonts w:hint="eastAsia" w:ascii="宋体" w:hAnsi="宋体" w:eastAsia="宋体" w:cs="宋体"/>
          <w:color w:val="000000"/>
          <w:sz w:val="24"/>
          <w:szCs w:val="24"/>
          <w:lang w:eastAsia="zh-CN"/>
        </w:rPr>
        <w:t>磋商文件</w:t>
      </w:r>
      <w:r>
        <w:rPr>
          <w:rFonts w:hint="eastAsia" w:ascii="宋体" w:hAnsi="宋体" w:eastAsia="宋体" w:cs="宋体"/>
          <w:color w:val="000000"/>
          <w:sz w:val="24"/>
          <w:szCs w:val="24"/>
        </w:rPr>
        <w:t xml:space="preserve">的所有的条款和规定。 </w:t>
      </w:r>
    </w:p>
    <w:p>
      <w:pPr>
        <w:pStyle w:val="46"/>
        <w:spacing w:line="4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（3）如果我们的</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响应文件被接受，我们将严格履行</w:t>
      </w:r>
      <w:r>
        <w:rPr>
          <w:rFonts w:hint="eastAsia" w:ascii="宋体" w:hAnsi="宋体" w:eastAsia="宋体" w:cs="宋体"/>
          <w:color w:val="000000"/>
          <w:sz w:val="24"/>
          <w:szCs w:val="24"/>
          <w:lang w:eastAsia="zh-CN"/>
        </w:rPr>
        <w:t>磋商文件</w:t>
      </w:r>
      <w:r>
        <w:rPr>
          <w:rFonts w:hint="eastAsia" w:ascii="宋体" w:hAnsi="宋体" w:eastAsia="宋体" w:cs="宋体"/>
          <w:color w:val="000000"/>
          <w:sz w:val="24"/>
          <w:szCs w:val="24"/>
        </w:rPr>
        <w:t>中规定的每一项要求，按期、按质、按量履行合同的义务。</w:t>
      </w:r>
    </w:p>
    <w:p>
      <w:pPr>
        <w:pStyle w:val="46"/>
        <w:spacing w:line="4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（4）如果我们成交，我们将在成交公告发出之日起在</w:t>
      </w:r>
      <w:r>
        <w:rPr>
          <w:rFonts w:hint="eastAsia" w:ascii="宋体" w:hAnsi="宋体" w:eastAsia="宋体" w:cs="宋体"/>
          <w:color w:val="000000"/>
          <w:sz w:val="24"/>
          <w:szCs w:val="24"/>
          <w:lang w:eastAsia="zh-CN"/>
        </w:rPr>
        <w:t>磋商文件</w:t>
      </w:r>
      <w:r>
        <w:rPr>
          <w:rFonts w:hint="eastAsia" w:ascii="宋体" w:hAnsi="宋体" w:eastAsia="宋体" w:cs="宋体"/>
          <w:color w:val="000000"/>
          <w:sz w:val="24"/>
          <w:szCs w:val="24"/>
        </w:rPr>
        <w:t>约定的时间内与采购人签订采购合同，否则将视为我方自行放弃关于本次采购的成交人资格，并承担所有因此而对采购人造成的损失。</w:t>
      </w:r>
    </w:p>
    <w:p>
      <w:pPr>
        <w:pStyle w:val="46"/>
        <w:spacing w:line="4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（5）我们已详细审查全部</w:t>
      </w:r>
      <w:r>
        <w:rPr>
          <w:rFonts w:hint="eastAsia" w:ascii="宋体" w:hAnsi="宋体" w:eastAsia="宋体" w:cs="宋体"/>
          <w:color w:val="000000"/>
          <w:sz w:val="24"/>
          <w:szCs w:val="24"/>
          <w:lang w:eastAsia="zh-CN"/>
        </w:rPr>
        <w:t>磋商文件</w:t>
      </w:r>
      <w:r>
        <w:rPr>
          <w:rFonts w:hint="eastAsia" w:ascii="宋体" w:hAnsi="宋体" w:eastAsia="宋体" w:cs="宋体"/>
          <w:color w:val="000000"/>
          <w:sz w:val="24"/>
          <w:szCs w:val="24"/>
        </w:rPr>
        <w:t>，包括补充文件(如果有的话)。我们完全理解并同意放弃对这方面有不明及误解的权力。</w:t>
      </w:r>
    </w:p>
    <w:p>
      <w:pPr>
        <w:pStyle w:val="46"/>
        <w:spacing w:line="460" w:lineRule="exact"/>
        <w:ind w:firstLine="645"/>
        <w:rPr>
          <w:rFonts w:hint="eastAsia" w:ascii="宋体" w:hAnsi="宋体" w:eastAsia="宋体" w:cs="宋体"/>
          <w:color w:val="000000"/>
          <w:sz w:val="24"/>
          <w:szCs w:val="24"/>
        </w:rPr>
      </w:pPr>
      <w:r>
        <w:rPr>
          <w:rFonts w:hint="eastAsia" w:ascii="宋体" w:hAnsi="宋体" w:eastAsia="宋体" w:cs="宋体"/>
          <w:color w:val="000000"/>
          <w:sz w:val="24"/>
          <w:szCs w:val="24"/>
        </w:rPr>
        <w:t>（6）我们愿意提供采购人在</w:t>
      </w:r>
      <w:r>
        <w:rPr>
          <w:rFonts w:hint="eastAsia" w:ascii="宋体" w:hAnsi="宋体" w:eastAsia="宋体" w:cs="宋体"/>
          <w:color w:val="000000"/>
          <w:sz w:val="24"/>
          <w:szCs w:val="24"/>
          <w:lang w:eastAsia="zh-CN"/>
        </w:rPr>
        <w:t>磋商文件</w:t>
      </w:r>
      <w:r>
        <w:rPr>
          <w:rFonts w:hint="eastAsia" w:ascii="宋体" w:hAnsi="宋体" w:eastAsia="宋体" w:cs="宋体"/>
          <w:color w:val="000000"/>
          <w:sz w:val="24"/>
          <w:szCs w:val="24"/>
        </w:rPr>
        <w:t>中要求的所有资料并配合采购人对该等资料的真实性进行验证。</w:t>
      </w:r>
    </w:p>
    <w:p>
      <w:pPr>
        <w:pStyle w:val="46"/>
        <w:spacing w:line="460" w:lineRule="exact"/>
        <w:ind w:firstLine="645"/>
        <w:rPr>
          <w:rFonts w:hint="eastAsia" w:ascii="宋体" w:hAnsi="宋体" w:eastAsia="宋体" w:cs="宋体"/>
          <w:color w:val="000000"/>
          <w:sz w:val="24"/>
          <w:szCs w:val="24"/>
        </w:rPr>
      </w:pPr>
      <w:r>
        <w:rPr>
          <w:rFonts w:hint="eastAsia" w:ascii="宋体" w:hAnsi="宋体" w:eastAsia="宋体" w:cs="宋体"/>
          <w:color w:val="000000"/>
          <w:sz w:val="24"/>
          <w:szCs w:val="24"/>
        </w:rPr>
        <w:t>（7）我们承诺该</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响应文件在被接受后至合同履行结束并通过项目验收的全过程中保持有效，不作任何更改和变动。</w:t>
      </w:r>
    </w:p>
    <w:p>
      <w:pPr>
        <w:pStyle w:val="46"/>
        <w:spacing w:line="460" w:lineRule="exact"/>
        <w:ind w:firstLine="480" w:firstLineChars="200"/>
        <w:jc w:val="left"/>
        <w:rPr>
          <w:rFonts w:hint="eastAsia" w:ascii="宋体" w:hAnsi="宋体" w:eastAsia="宋体" w:cs="宋体"/>
          <w:color w:val="000000"/>
          <w:sz w:val="24"/>
          <w:szCs w:val="24"/>
        </w:rPr>
      </w:pPr>
    </w:p>
    <w:p>
      <w:pPr>
        <w:pStyle w:val="46"/>
        <w:spacing w:line="460" w:lineRule="exact"/>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供应商：（单位盖章）</w:t>
      </w:r>
    </w:p>
    <w:p>
      <w:pPr>
        <w:pStyle w:val="46"/>
        <w:spacing w:line="460" w:lineRule="exact"/>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法定代表人（负责人）或授权委托人：（签字或盖章）</w:t>
      </w:r>
    </w:p>
    <w:p>
      <w:pPr>
        <w:pStyle w:val="46"/>
        <w:spacing w:line="460" w:lineRule="exact"/>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联系电话（必须填写）：</w:t>
      </w:r>
    </w:p>
    <w:p>
      <w:pPr>
        <w:pStyle w:val="46"/>
        <w:spacing w:line="460" w:lineRule="exact"/>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公司地址（必须填写）：</w:t>
      </w:r>
    </w:p>
    <w:p>
      <w:pPr>
        <w:pStyle w:val="46"/>
        <w:spacing w:line="460" w:lineRule="exact"/>
        <w:ind w:firstLine="480" w:firstLineChars="200"/>
        <w:jc w:val="left"/>
        <w:rPr>
          <w:rFonts w:hint="eastAsia" w:ascii="宋体" w:hAnsi="宋体" w:eastAsia="宋体" w:cs="宋体"/>
          <w:b/>
          <w:color w:val="000000"/>
          <w:sz w:val="24"/>
          <w:szCs w:val="24"/>
        </w:rPr>
      </w:pPr>
      <w:r>
        <w:rPr>
          <w:rFonts w:hint="eastAsia" w:ascii="宋体" w:hAnsi="宋体" w:eastAsia="宋体" w:cs="宋体"/>
          <w:color w:val="000000"/>
          <w:sz w:val="24"/>
          <w:szCs w:val="24"/>
        </w:rPr>
        <w:t>年     月     日</w:t>
      </w:r>
    </w:p>
    <w:p>
      <w:pPr>
        <w:spacing w:line="440" w:lineRule="exact"/>
        <w:jc w:val="center"/>
        <w:rPr>
          <w:rFonts w:hint="eastAsia" w:ascii="宋体" w:hAnsi="宋体" w:eastAsia="宋体" w:cs="宋体"/>
          <w:b/>
          <w:bCs/>
          <w:spacing w:val="20"/>
          <w:w w:val="90"/>
          <w:sz w:val="28"/>
          <w:szCs w:val="28"/>
        </w:rPr>
      </w:pPr>
    </w:p>
    <w:p>
      <w:pPr>
        <w:spacing w:line="440" w:lineRule="exact"/>
        <w:jc w:val="center"/>
        <w:rPr>
          <w:rFonts w:hint="eastAsia" w:ascii="宋体" w:hAnsi="宋体" w:eastAsia="宋体" w:cs="宋体"/>
          <w:b/>
          <w:bCs/>
          <w:spacing w:val="20"/>
          <w:w w:val="90"/>
          <w:sz w:val="32"/>
          <w:szCs w:val="32"/>
        </w:rPr>
      </w:pPr>
    </w:p>
    <w:p>
      <w:pPr>
        <w:spacing w:line="440" w:lineRule="exact"/>
        <w:jc w:val="center"/>
        <w:rPr>
          <w:rFonts w:hint="eastAsia" w:ascii="宋体" w:hAnsi="宋体" w:eastAsia="宋体" w:cs="宋体"/>
          <w:b/>
          <w:bCs/>
          <w:spacing w:val="20"/>
          <w:w w:val="90"/>
          <w:sz w:val="32"/>
          <w:szCs w:val="32"/>
        </w:rPr>
      </w:pPr>
    </w:p>
    <w:p>
      <w:pPr>
        <w:pStyle w:val="9"/>
      </w:pPr>
    </w:p>
    <w:p>
      <w:pPr>
        <w:pStyle w:val="9"/>
      </w:pPr>
    </w:p>
    <w:p>
      <w:pPr>
        <w:pStyle w:val="9"/>
      </w:pPr>
    </w:p>
    <w:p>
      <w:pPr>
        <w:pStyle w:val="9"/>
      </w:pPr>
    </w:p>
    <w:p>
      <w:pPr>
        <w:pStyle w:val="9"/>
      </w:pPr>
    </w:p>
    <w:p>
      <w:pPr>
        <w:pStyle w:val="9"/>
      </w:pPr>
    </w:p>
    <w:p>
      <w:pPr>
        <w:pStyle w:val="9"/>
      </w:pPr>
    </w:p>
    <w:p>
      <w:pPr>
        <w:pStyle w:val="9"/>
      </w:pPr>
    </w:p>
    <w:p>
      <w:pPr>
        <w:pStyle w:val="9"/>
      </w:pPr>
    </w:p>
    <w:p>
      <w:pPr>
        <w:pStyle w:val="9"/>
      </w:pPr>
    </w:p>
    <w:p>
      <w:pPr>
        <w:widowControl/>
        <w:numPr>
          <w:ilvl w:val="0"/>
          <w:numId w:val="5"/>
        </w:numPr>
        <w:spacing w:before="19" w:line="480" w:lineRule="exact"/>
        <w:ind w:firstLine="643" w:firstLineChars="200"/>
        <w:jc w:val="center"/>
        <w:rPr>
          <w:rFonts w:ascii="宋体" w:hAnsi="宋体" w:cs="宋体"/>
          <w:b/>
          <w:color w:val="000000"/>
          <w:sz w:val="32"/>
        </w:rPr>
      </w:pPr>
      <w:r>
        <w:rPr>
          <w:rFonts w:hint="eastAsia" w:ascii="宋体" w:hAnsi="宋体" w:cs="宋体"/>
          <w:b/>
          <w:color w:val="000000"/>
          <w:sz w:val="32"/>
        </w:rPr>
        <w:t>开标一览表</w:t>
      </w:r>
    </w:p>
    <w:p>
      <w:pPr>
        <w:pStyle w:val="15"/>
        <w:ind w:left="840" w:leftChars="400" w:firstLine="0" w:firstLineChars="0"/>
      </w:pPr>
    </w:p>
    <w:p/>
    <w:tbl>
      <w:tblPr>
        <w:tblStyle w:val="17"/>
        <w:tblW w:w="88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59"/>
        <w:gridCol w:w="716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39" w:hRule="exact"/>
          <w:jc w:val="center"/>
        </w:trPr>
        <w:tc>
          <w:tcPr>
            <w:tcW w:w="1659"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Style w:val="38"/>
                <w:rFonts w:ascii="宋体" w:hAnsi="宋体"/>
                <w:sz w:val="24"/>
              </w:rPr>
            </w:pPr>
            <w:r>
              <w:rPr>
                <w:rStyle w:val="38"/>
                <w:rFonts w:ascii="宋体" w:hAnsi="宋体"/>
                <w:sz w:val="24"/>
              </w:rPr>
              <w:t>项目名称</w:t>
            </w:r>
          </w:p>
        </w:tc>
        <w:tc>
          <w:tcPr>
            <w:tcW w:w="7161"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left"/>
              <w:rPr>
                <w:rStyle w:val="38"/>
                <w:rFonts w:ascii="宋体" w:hAnsi="宋体"/>
                <w:b/>
                <w:sz w:val="24"/>
              </w:rPr>
            </w:pPr>
            <w:r>
              <w:rPr>
                <w:rStyle w:val="38"/>
                <w:rFonts w:hint="eastAsia" w:ascii="宋体" w:hAnsi="宋体"/>
                <w:b/>
                <w:sz w:val="24"/>
              </w:rPr>
              <w:t>江苏省盱眙中学人工智能创新实验室采购项目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015" w:hRule="atLeast"/>
          <w:jc w:val="center"/>
        </w:trPr>
        <w:tc>
          <w:tcPr>
            <w:tcW w:w="1659"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Style w:val="38"/>
                <w:rFonts w:ascii="宋体" w:hAnsi="宋体"/>
                <w:sz w:val="24"/>
              </w:rPr>
            </w:pPr>
            <w:r>
              <w:rPr>
                <w:rStyle w:val="38"/>
                <w:rFonts w:ascii="宋体" w:hAnsi="宋体"/>
                <w:sz w:val="24"/>
              </w:rPr>
              <w:t>投标报价</w:t>
            </w:r>
          </w:p>
        </w:tc>
        <w:tc>
          <w:tcPr>
            <w:tcW w:w="7161"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left"/>
              <w:rPr>
                <w:rStyle w:val="38"/>
                <w:rFonts w:ascii="宋体" w:hAnsi="宋体"/>
                <w:sz w:val="24"/>
              </w:rPr>
            </w:pPr>
            <w:r>
              <w:rPr>
                <w:rStyle w:val="38"/>
                <w:rFonts w:hint="eastAsia" w:ascii="宋体" w:hAnsi="宋体"/>
                <w:sz w:val="24"/>
              </w:rPr>
              <w:t>人民币大写：           元</w:t>
            </w:r>
          </w:p>
          <w:p>
            <w:pPr>
              <w:spacing w:line="360" w:lineRule="auto"/>
              <w:ind w:firstLine="720" w:firstLineChars="300"/>
              <w:jc w:val="left"/>
            </w:pPr>
            <w:r>
              <w:rPr>
                <w:rStyle w:val="38"/>
                <w:rFonts w:hint="eastAsia" w:ascii="宋体" w:hAnsi="宋体"/>
                <w:sz w:val="24"/>
              </w:rPr>
              <w:t>小写：           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95" w:hRule="atLeast"/>
          <w:jc w:val="center"/>
        </w:trPr>
        <w:tc>
          <w:tcPr>
            <w:tcW w:w="1659"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Style w:val="38"/>
                <w:rFonts w:ascii="宋体" w:hAnsi="宋体"/>
                <w:sz w:val="24"/>
              </w:rPr>
            </w:pPr>
            <w:r>
              <w:rPr>
                <w:rStyle w:val="38"/>
                <w:rFonts w:hint="eastAsia" w:ascii="宋体" w:hAnsi="宋体"/>
                <w:sz w:val="24"/>
              </w:rPr>
              <w:t>工期要求</w:t>
            </w:r>
          </w:p>
        </w:tc>
        <w:tc>
          <w:tcPr>
            <w:tcW w:w="7161" w:type="dxa"/>
            <w:tcBorders>
              <w:top w:val="single" w:color="000000" w:sz="4" w:space="0"/>
              <w:left w:val="single" w:color="000000" w:sz="4" w:space="0"/>
              <w:bottom w:val="single" w:color="000000" w:sz="4" w:space="0"/>
              <w:right w:val="single" w:color="000000" w:sz="4" w:space="0"/>
            </w:tcBorders>
            <w:noWrap/>
            <w:vAlign w:val="center"/>
          </w:tcPr>
          <w:p>
            <w:pPr>
              <w:spacing w:line="480" w:lineRule="exact"/>
              <w:rPr>
                <w:rStyle w:val="38"/>
                <w:rFonts w:ascii="宋体" w:hAnsi="宋体"/>
                <w:sz w:val="24"/>
              </w:rPr>
            </w:pPr>
            <w:r>
              <w:rPr>
                <w:rStyle w:val="38"/>
                <w:rFonts w:hint="eastAsia" w:ascii="宋体" w:hAnsi="宋体"/>
                <w:sz w:val="24"/>
              </w:rPr>
              <w:t>30日历天</w:t>
            </w:r>
          </w:p>
        </w:tc>
      </w:tr>
    </w:tbl>
    <w:p>
      <w:pPr>
        <w:spacing w:line="480" w:lineRule="exact"/>
        <w:rPr>
          <w:rFonts w:ascii="宋体" w:hAnsi="宋体" w:cs="宋体"/>
          <w:color w:val="000000"/>
          <w:w w:val="90"/>
          <w:sz w:val="28"/>
        </w:rPr>
      </w:pPr>
    </w:p>
    <w:p>
      <w:pPr>
        <w:pStyle w:val="10"/>
        <w:spacing w:line="400" w:lineRule="exact"/>
        <w:ind w:left="538" w:leftChars="256"/>
        <w:rPr>
          <w:rFonts w:hAnsi="宋体" w:cs="宋体"/>
          <w:color w:val="000000"/>
          <w:w w:val="90"/>
          <w:sz w:val="28"/>
        </w:rPr>
      </w:pPr>
      <w:r>
        <w:rPr>
          <w:rFonts w:hint="eastAsia" w:hAnsi="宋体" w:cs="宋体"/>
          <w:color w:val="000000"/>
          <w:w w:val="90"/>
          <w:sz w:val="28"/>
        </w:rPr>
        <w:t>供应商：（加盖公章）</w:t>
      </w:r>
    </w:p>
    <w:p>
      <w:pPr>
        <w:pStyle w:val="10"/>
        <w:spacing w:line="400" w:lineRule="exact"/>
        <w:ind w:left="538" w:leftChars="256"/>
        <w:rPr>
          <w:rFonts w:hAnsi="宋体" w:cs="宋体"/>
          <w:color w:val="000000"/>
          <w:w w:val="90"/>
          <w:sz w:val="28"/>
        </w:rPr>
      </w:pPr>
      <w:r>
        <w:rPr>
          <w:rFonts w:hint="eastAsia" w:hAnsi="宋体" w:cs="宋体"/>
          <w:color w:val="000000"/>
          <w:w w:val="90"/>
          <w:sz w:val="28"/>
        </w:rPr>
        <w:t>法定代表人或其委托受托人签字：</w:t>
      </w:r>
    </w:p>
    <w:p>
      <w:pPr>
        <w:pStyle w:val="10"/>
        <w:spacing w:line="400" w:lineRule="exact"/>
        <w:ind w:left="538" w:leftChars="256"/>
        <w:rPr>
          <w:rFonts w:hAnsi="宋体" w:cs="宋体"/>
          <w:color w:val="000000"/>
          <w:w w:val="90"/>
          <w:sz w:val="28"/>
        </w:rPr>
      </w:pPr>
      <w:r>
        <w:rPr>
          <w:rFonts w:hint="eastAsia" w:hAnsi="宋体" w:cs="宋体"/>
          <w:color w:val="000000"/>
          <w:w w:val="90"/>
          <w:sz w:val="28"/>
        </w:rPr>
        <w:t>日期：年　月　日</w:t>
      </w:r>
    </w:p>
    <w:p>
      <w:pPr>
        <w:pStyle w:val="10"/>
        <w:spacing w:line="400" w:lineRule="exact"/>
        <w:rPr>
          <w:rFonts w:hAnsi="宋体" w:cs="宋体"/>
          <w:color w:val="000000"/>
          <w:w w:val="90"/>
          <w:sz w:val="28"/>
        </w:rPr>
      </w:pPr>
    </w:p>
    <w:p>
      <w:pPr>
        <w:pStyle w:val="10"/>
        <w:spacing w:line="400" w:lineRule="exact"/>
        <w:rPr>
          <w:rFonts w:hAnsi="宋体" w:cs="宋体"/>
          <w:color w:val="000000"/>
          <w:w w:val="90"/>
          <w:sz w:val="28"/>
        </w:rPr>
      </w:pPr>
    </w:p>
    <w:p>
      <w:pPr>
        <w:pStyle w:val="10"/>
        <w:spacing w:line="400" w:lineRule="exact"/>
        <w:rPr>
          <w:rFonts w:hAnsi="宋体" w:cs="宋体"/>
          <w:color w:val="000000"/>
          <w:w w:val="90"/>
          <w:sz w:val="28"/>
        </w:rPr>
      </w:pPr>
    </w:p>
    <w:p>
      <w:pPr>
        <w:pStyle w:val="10"/>
        <w:spacing w:line="400" w:lineRule="exact"/>
        <w:rPr>
          <w:rFonts w:hAnsi="宋体" w:cs="宋体"/>
          <w:color w:val="000000"/>
          <w:w w:val="90"/>
          <w:sz w:val="28"/>
        </w:rPr>
      </w:pPr>
    </w:p>
    <w:p>
      <w:pPr>
        <w:pStyle w:val="10"/>
        <w:ind w:left="420"/>
        <w:jc w:val="center"/>
        <w:rPr>
          <w:rFonts w:hAnsi="宋体" w:cs="宋体"/>
          <w:b/>
          <w:color w:val="000000"/>
          <w:sz w:val="32"/>
          <w:szCs w:val="24"/>
        </w:rPr>
      </w:pPr>
    </w:p>
    <w:p>
      <w:pPr>
        <w:pStyle w:val="10"/>
        <w:ind w:left="420"/>
        <w:jc w:val="center"/>
        <w:rPr>
          <w:rFonts w:hAnsi="宋体" w:cs="宋体"/>
          <w:b/>
          <w:color w:val="000000"/>
          <w:sz w:val="32"/>
          <w:szCs w:val="24"/>
        </w:rPr>
      </w:pPr>
    </w:p>
    <w:p>
      <w:pPr>
        <w:pStyle w:val="10"/>
        <w:ind w:left="420"/>
        <w:jc w:val="center"/>
        <w:rPr>
          <w:rFonts w:hAnsi="宋体" w:cs="宋体"/>
          <w:b/>
          <w:color w:val="000000"/>
          <w:sz w:val="32"/>
          <w:szCs w:val="24"/>
        </w:rPr>
      </w:pPr>
    </w:p>
    <w:p>
      <w:pPr>
        <w:pStyle w:val="10"/>
        <w:ind w:left="420"/>
        <w:jc w:val="center"/>
        <w:rPr>
          <w:rFonts w:hAnsi="宋体" w:cs="宋体"/>
          <w:b/>
          <w:color w:val="000000"/>
          <w:sz w:val="32"/>
          <w:szCs w:val="24"/>
        </w:rPr>
      </w:pPr>
    </w:p>
    <w:p>
      <w:pPr>
        <w:pStyle w:val="10"/>
        <w:ind w:left="420"/>
        <w:jc w:val="center"/>
        <w:rPr>
          <w:rFonts w:hAnsi="宋体" w:cs="宋体"/>
          <w:b/>
          <w:color w:val="000000"/>
          <w:sz w:val="32"/>
          <w:szCs w:val="24"/>
        </w:rPr>
      </w:pPr>
    </w:p>
    <w:p>
      <w:pPr>
        <w:pStyle w:val="10"/>
        <w:ind w:left="420"/>
        <w:jc w:val="center"/>
        <w:rPr>
          <w:rFonts w:hAnsi="宋体" w:cs="宋体"/>
          <w:b/>
          <w:color w:val="000000"/>
          <w:sz w:val="32"/>
          <w:szCs w:val="24"/>
        </w:rPr>
      </w:pPr>
    </w:p>
    <w:p>
      <w:pPr>
        <w:pStyle w:val="10"/>
        <w:ind w:left="420"/>
        <w:jc w:val="center"/>
        <w:rPr>
          <w:rFonts w:hAnsi="宋体" w:cs="宋体"/>
          <w:b/>
          <w:color w:val="000000"/>
          <w:sz w:val="32"/>
          <w:szCs w:val="24"/>
        </w:rPr>
      </w:pPr>
    </w:p>
    <w:p>
      <w:pPr>
        <w:rPr>
          <w:rFonts w:hAnsi="宋体" w:cs="宋体"/>
          <w:b/>
          <w:color w:val="000000"/>
          <w:sz w:val="32"/>
          <w:szCs w:val="24"/>
        </w:rPr>
      </w:pPr>
    </w:p>
    <w:p>
      <w:pPr>
        <w:pStyle w:val="11"/>
        <w:rPr>
          <w:rFonts w:hAnsi="宋体" w:cs="宋体"/>
          <w:b/>
          <w:color w:val="000000"/>
          <w:sz w:val="32"/>
          <w:szCs w:val="24"/>
        </w:rPr>
      </w:pPr>
    </w:p>
    <w:p>
      <w:pPr>
        <w:rPr>
          <w:rFonts w:hAnsi="宋体" w:cs="宋体"/>
          <w:b/>
          <w:color w:val="000000"/>
          <w:sz w:val="32"/>
          <w:szCs w:val="24"/>
        </w:rPr>
      </w:pPr>
    </w:p>
    <w:p>
      <w:pPr>
        <w:pStyle w:val="11"/>
        <w:rPr>
          <w:rFonts w:hAnsi="宋体" w:cs="宋体"/>
          <w:b/>
          <w:color w:val="000000"/>
          <w:sz w:val="32"/>
          <w:szCs w:val="24"/>
        </w:rPr>
      </w:pPr>
    </w:p>
    <w:p>
      <w:pPr>
        <w:rPr>
          <w:rFonts w:hAnsi="宋体" w:cs="宋体"/>
          <w:b/>
          <w:color w:val="000000"/>
          <w:sz w:val="32"/>
          <w:szCs w:val="24"/>
        </w:rPr>
      </w:pPr>
    </w:p>
    <w:p>
      <w:pPr>
        <w:pStyle w:val="11"/>
        <w:rPr>
          <w:rFonts w:hAnsi="宋体" w:cs="宋体"/>
          <w:b/>
          <w:color w:val="000000"/>
          <w:sz w:val="32"/>
          <w:szCs w:val="24"/>
        </w:rPr>
      </w:pPr>
    </w:p>
    <w:p>
      <w:pPr>
        <w:rPr>
          <w:rFonts w:hAnsi="宋体" w:cs="宋体"/>
          <w:b/>
          <w:color w:val="000000"/>
          <w:sz w:val="32"/>
          <w:szCs w:val="24"/>
        </w:rPr>
      </w:pPr>
    </w:p>
    <w:p>
      <w:pPr>
        <w:pStyle w:val="11"/>
        <w:rPr>
          <w:rFonts w:hAnsi="宋体" w:cs="宋体"/>
          <w:b/>
          <w:color w:val="000000"/>
          <w:sz w:val="32"/>
          <w:szCs w:val="24"/>
        </w:rPr>
      </w:pPr>
    </w:p>
    <w:p>
      <w:pPr>
        <w:rPr>
          <w:rFonts w:hAnsi="宋体" w:cs="宋体"/>
          <w:b/>
          <w:color w:val="000000"/>
          <w:sz w:val="32"/>
          <w:szCs w:val="24"/>
        </w:rPr>
      </w:pPr>
    </w:p>
    <w:p>
      <w:pPr>
        <w:pStyle w:val="11"/>
      </w:pPr>
    </w:p>
    <w:p>
      <w:pPr>
        <w:rPr>
          <w:rFonts w:hAnsi="宋体" w:cs="宋体"/>
          <w:b/>
          <w:color w:val="000000"/>
          <w:sz w:val="32"/>
          <w:szCs w:val="24"/>
        </w:rPr>
      </w:pPr>
    </w:p>
    <w:p>
      <w:pPr>
        <w:pStyle w:val="10"/>
        <w:ind w:firstLine="3213" w:firstLineChars="1000"/>
        <w:rPr>
          <w:rFonts w:hint="eastAsia" w:hAnsi="宋体" w:cs="宋体"/>
          <w:b/>
          <w:color w:val="000000"/>
          <w:sz w:val="32"/>
          <w:szCs w:val="24"/>
          <w:highlight w:val="none"/>
        </w:rPr>
      </w:pPr>
    </w:p>
    <w:p>
      <w:pPr>
        <w:pStyle w:val="10"/>
        <w:ind w:firstLine="3213" w:firstLineChars="1000"/>
        <w:rPr>
          <w:rFonts w:hint="eastAsia" w:hAnsi="宋体" w:cs="宋体"/>
          <w:b/>
          <w:color w:val="000000"/>
          <w:sz w:val="32"/>
          <w:szCs w:val="24"/>
          <w:highlight w:val="none"/>
        </w:rPr>
      </w:pPr>
    </w:p>
    <w:p>
      <w:pPr>
        <w:pStyle w:val="10"/>
        <w:ind w:firstLine="3534" w:firstLineChars="1100"/>
        <w:rPr>
          <w:rFonts w:hAnsi="宋体" w:cs="宋体"/>
          <w:b/>
          <w:color w:val="000000"/>
          <w:sz w:val="32"/>
          <w:szCs w:val="24"/>
          <w:highlight w:val="none"/>
        </w:rPr>
      </w:pPr>
      <w:r>
        <w:rPr>
          <w:rFonts w:hint="eastAsia" w:hAnsi="宋体" w:cs="宋体"/>
          <w:b/>
          <w:color w:val="000000"/>
          <w:sz w:val="32"/>
          <w:szCs w:val="24"/>
          <w:highlight w:val="none"/>
        </w:rPr>
        <w:t>三、投标报价明细表</w:t>
      </w:r>
    </w:p>
    <w:p>
      <w:pPr>
        <w:spacing w:line="360" w:lineRule="auto"/>
        <w:jc w:val="center"/>
        <w:rPr>
          <w:rFonts w:hint="eastAsia" w:ascii="宋体" w:hAnsi="宋体" w:cs="宋体"/>
          <w:b/>
          <w:bCs/>
          <w:color w:val="000000"/>
          <w:kern w:val="0"/>
          <w:sz w:val="28"/>
          <w:szCs w:val="28"/>
        </w:rPr>
      </w:pPr>
    </w:p>
    <w:tbl>
      <w:tblPr>
        <w:tblStyle w:val="17"/>
        <w:tblW w:w="10268" w:type="dxa"/>
        <w:tblInd w:w="-30" w:type="dxa"/>
        <w:tblLayout w:type="autofit"/>
        <w:tblCellMar>
          <w:top w:w="0" w:type="dxa"/>
          <w:left w:w="30" w:type="dxa"/>
          <w:bottom w:w="0" w:type="dxa"/>
          <w:right w:w="30" w:type="dxa"/>
        </w:tblCellMar>
      </w:tblPr>
      <w:tblGrid>
        <w:gridCol w:w="834"/>
        <w:gridCol w:w="2843"/>
        <w:gridCol w:w="1077"/>
        <w:gridCol w:w="943"/>
        <w:gridCol w:w="883"/>
        <w:gridCol w:w="1487"/>
        <w:gridCol w:w="2201"/>
      </w:tblGrid>
      <w:tr>
        <w:tblPrEx>
          <w:tblCellMar>
            <w:top w:w="0" w:type="dxa"/>
            <w:left w:w="30" w:type="dxa"/>
            <w:bottom w:w="0" w:type="dxa"/>
            <w:right w:w="30" w:type="dxa"/>
          </w:tblCellMar>
        </w:tblPrEx>
        <w:trPr>
          <w:trHeight w:val="1094" w:hRule="atLeast"/>
        </w:trPr>
        <w:tc>
          <w:tcPr>
            <w:tcW w:w="83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beforeAutospacing="0" w:afterAutospacing="0" w:line="360" w:lineRule="exact"/>
              <w:jc w:val="center"/>
              <w:rPr>
                <w:rFonts w:hint="eastAsia"/>
                <w:color w:val="000000"/>
                <w:sz w:val="24"/>
              </w:rPr>
            </w:pPr>
            <w:r>
              <w:rPr>
                <w:rFonts w:hint="eastAsia"/>
                <w:color w:val="000000"/>
                <w:sz w:val="24"/>
              </w:rPr>
              <w:t>序号</w:t>
            </w:r>
          </w:p>
        </w:tc>
        <w:tc>
          <w:tcPr>
            <w:tcW w:w="284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beforeAutospacing="0" w:afterAutospacing="0" w:line="360" w:lineRule="exact"/>
              <w:jc w:val="center"/>
              <w:rPr>
                <w:rFonts w:hint="eastAsia"/>
                <w:color w:val="000000"/>
                <w:sz w:val="24"/>
                <w:lang w:val="en-US" w:eastAsia="zh-CN"/>
              </w:rPr>
            </w:pPr>
            <w:r>
              <w:rPr>
                <w:rFonts w:hint="eastAsia"/>
                <w:color w:val="000000"/>
                <w:sz w:val="24"/>
                <w:lang w:val="en-US" w:eastAsia="zh-CN"/>
              </w:rPr>
              <w:t>名称</w:t>
            </w:r>
          </w:p>
        </w:tc>
        <w:tc>
          <w:tcPr>
            <w:tcW w:w="1077" w:type="dxa"/>
            <w:tcBorders>
              <w:top w:val="single" w:color="000000" w:sz="6" w:space="0"/>
              <w:left w:val="single" w:color="000000" w:sz="6" w:space="0"/>
              <w:bottom w:val="single" w:color="000000" w:sz="6" w:space="0"/>
              <w:right w:val="single" w:color="000000" w:sz="4" w:space="0"/>
            </w:tcBorders>
            <w:vAlign w:val="center"/>
          </w:tcPr>
          <w:p>
            <w:pPr>
              <w:autoSpaceDE w:val="0"/>
              <w:autoSpaceDN w:val="0"/>
              <w:spacing w:beforeAutospacing="0" w:afterAutospacing="0" w:line="360" w:lineRule="exact"/>
              <w:jc w:val="center"/>
              <w:rPr>
                <w:rFonts w:hint="eastAsia"/>
                <w:color w:val="000000"/>
                <w:sz w:val="24"/>
              </w:rPr>
            </w:pPr>
            <w:r>
              <w:rPr>
                <w:rFonts w:hint="eastAsia"/>
                <w:color w:val="000000"/>
                <w:sz w:val="24"/>
              </w:rPr>
              <w:t>数量</w:t>
            </w:r>
          </w:p>
        </w:tc>
        <w:tc>
          <w:tcPr>
            <w:tcW w:w="943" w:type="dxa"/>
            <w:tcBorders>
              <w:top w:val="single" w:color="000000" w:sz="6" w:space="0"/>
              <w:left w:val="single" w:color="000000" w:sz="4" w:space="0"/>
              <w:bottom w:val="single" w:color="000000" w:sz="6" w:space="0"/>
              <w:right w:val="single" w:color="000000" w:sz="6" w:space="0"/>
            </w:tcBorders>
            <w:vAlign w:val="center"/>
          </w:tcPr>
          <w:p>
            <w:pPr>
              <w:autoSpaceDE w:val="0"/>
              <w:autoSpaceDN w:val="0"/>
              <w:spacing w:beforeAutospacing="0" w:afterAutospacing="0" w:line="360" w:lineRule="exact"/>
              <w:jc w:val="center"/>
              <w:rPr>
                <w:rFonts w:hint="eastAsia"/>
                <w:color w:val="000000"/>
                <w:sz w:val="24"/>
                <w:lang w:val="en-US" w:eastAsia="zh-CN"/>
              </w:rPr>
            </w:pPr>
            <w:r>
              <w:rPr>
                <w:rFonts w:hint="eastAsia"/>
                <w:color w:val="000000"/>
                <w:sz w:val="24"/>
                <w:lang w:val="en-US" w:eastAsia="zh-CN"/>
              </w:rPr>
              <w:t>单位</w:t>
            </w:r>
          </w:p>
        </w:tc>
        <w:tc>
          <w:tcPr>
            <w:tcW w:w="883" w:type="dxa"/>
            <w:tcBorders>
              <w:top w:val="single" w:color="000000" w:sz="6" w:space="0"/>
              <w:left w:val="single" w:color="000000" w:sz="4" w:space="0"/>
              <w:bottom w:val="single" w:color="000000" w:sz="6" w:space="0"/>
              <w:right w:val="single" w:color="000000" w:sz="6" w:space="0"/>
            </w:tcBorders>
            <w:vAlign w:val="center"/>
          </w:tcPr>
          <w:p>
            <w:pPr>
              <w:autoSpaceDE w:val="0"/>
              <w:autoSpaceDN w:val="0"/>
              <w:spacing w:beforeAutospacing="0" w:afterAutospacing="0" w:line="360" w:lineRule="exact"/>
              <w:jc w:val="center"/>
              <w:rPr>
                <w:rFonts w:hint="eastAsia"/>
                <w:color w:val="000000"/>
                <w:sz w:val="24"/>
              </w:rPr>
            </w:pPr>
            <w:r>
              <w:rPr>
                <w:rFonts w:hint="eastAsia"/>
                <w:color w:val="000000"/>
                <w:sz w:val="24"/>
              </w:rPr>
              <w:t>单价</w:t>
            </w:r>
          </w:p>
        </w:tc>
        <w:tc>
          <w:tcPr>
            <w:tcW w:w="148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beforeAutospacing="0" w:afterAutospacing="0" w:line="360" w:lineRule="exact"/>
              <w:jc w:val="center"/>
              <w:rPr>
                <w:rFonts w:hint="eastAsia"/>
                <w:color w:val="000000"/>
                <w:sz w:val="24"/>
                <w:lang w:val="en-US" w:eastAsia="zh-CN"/>
              </w:rPr>
            </w:pPr>
            <w:r>
              <w:rPr>
                <w:rFonts w:hint="eastAsia"/>
                <w:color w:val="000000"/>
                <w:sz w:val="24"/>
                <w:lang w:val="en-US" w:eastAsia="zh-CN"/>
              </w:rPr>
              <w:t>总价</w:t>
            </w:r>
          </w:p>
        </w:tc>
        <w:tc>
          <w:tcPr>
            <w:tcW w:w="220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beforeAutospacing="0" w:afterAutospacing="0" w:line="360" w:lineRule="exact"/>
              <w:jc w:val="center"/>
              <w:rPr>
                <w:rFonts w:hint="eastAsia"/>
                <w:color w:val="000000"/>
                <w:sz w:val="24"/>
              </w:rPr>
            </w:pPr>
            <w:r>
              <w:rPr>
                <w:rFonts w:hint="eastAsia"/>
                <w:color w:val="000000"/>
                <w:sz w:val="24"/>
              </w:rPr>
              <w:t>备 注</w:t>
            </w:r>
          </w:p>
        </w:tc>
      </w:tr>
      <w:tr>
        <w:tblPrEx>
          <w:tblCellMar>
            <w:top w:w="0" w:type="dxa"/>
            <w:left w:w="30" w:type="dxa"/>
            <w:bottom w:w="0" w:type="dxa"/>
            <w:right w:w="30" w:type="dxa"/>
          </w:tblCellMar>
        </w:tblPrEx>
        <w:trPr>
          <w:trHeight w:val="571" w:hRule="atLeast"/>
        </w:trPr>
        <w:tc>
          <w:tcPr>
            <w:tcW w:w="83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beforeAutospacing="0" w:afterAutospacing="0" w:line="360" w:lineRule="exact"/>
              <w:jc w:val="center"/>
              <w:rPr>
                <w:rFonts w:hint="eastAsia" w:asciiTheme="majorEastAsia" w:hAnsiTheme="majorEastAsia" w:eastAsiaTheme="majorEastAsia" w:cstheme="majorEastAsia"/>
                <w:color w:val="000000"/>
                <w:sz w:val="22"/>
                <w:szCs w:val="22"/>
                <w:lang w:val="en-US" w:eastAsia="zh-CN"/>
              </w:rPr>
            </w:pPr>
            <w:r>
              <w:rPr>
                <w:rFonts w:hint="eastAsia" w:asciiTheme="majorEastAsia" w:hAnsiTheme="majorEastAsia" w:eastAsiaTheme="majorEastAsia" w:cstheme="majorEastAsia"/>
                <w:color w:val="000000"/>
                <w:sz w:val="22"/>
                <w:szCs w:val="22"/>
                <w:lang w:val="en-US" w:eastAsia="zh-CN"/>
              </w:rPr>
              <w:t>1</w:t>
            </w:r>
          </w:p>
        </w:tc>
        <w:tc>
          <w:tcPr>
            <w:tcW w:w="284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beforeAutospacing="0" w:afterAutospacing="0" w:line="360" w:lineRule="exact"/>
              <w:jc w:val="both"/>
              <w:rPr>
                <w:rFonts w:hint="eastAsia"/>
                <w:color w:val="000000"/>
                <w:sz w:val="24"/>
                <w:lang w:val="en-US" w:eastAsia="zh-CN"/>
              </w:rPr>
            </w:pPr>
          </w:p>
        </w:tc>
        <w:tc>
          <w:tcPr>
            <w:tcW w:w="1077" w:type="dxa"/>
            <w:tcBorders>
              <w:top w:val="single" w:color="000000" w:sz="6" w:space="0"/>
              <w:left w:val="single" w:color="000000" w:sz="6" w:space="0"/>
              <w:bottom w:val="single" w:color="000000" w:sz="6" w:space="0"/>
              <w:right w:val="single" w:color="000000" w:sz="4" w:space="0"/>
            </w:tcBorders>
            <w:vAlign w:val="center"/>
          </w:tcPr>
          <w:p>
            <w:pPr>
              <w:autoSpaceDE w:val="0"/>
              <w:autoSpaceDN w:val="0"/>
              <w:spacing w:beforeAutospacing="0" w:afterAutospacing="0" w:line="360" w:lineRule="exact"/>
              <w:jc w:val="center"/>
              <w:rPr>
                <w:rFonts w:hint="eastAsia"/>
                <w:color w:val="000000"/>
                <w:sz w:val="24"/>
              </w:rPr>
            </w:pPr>
          </w:p>
        </w:tc>
        <w:tc>
          <w:tcPr>
            <w:tcW w:w="943" w:type="dxa"/>
            <w:tcBorders>
              <w:top w:val="single" w:color="000000" w:sz="6" w:space="0"/>
              <w:left w:val="single" w:color="000000" w:sz="4" w:space="0"/>
              <w:bottom w:val="single" w:color="000000" w:sz="6" w:space="0"/>
              <w:right w:val="single" w:color="000000" w:sz="6" w:space="0"/>
            </w:tcBorders>
            <w:vAlign w:val="center"/>
          </w:tcPr>
          <w:p>
            <w:pPr>
              <w:autoSpaceDE w:val="0"/>
              <w:autoSpaceDN w:val="0"/>
              <w:spacing w:beforeAutospacing="0" w:afterAutospacing="0" w:line="360" w:lineRule="exact"/>
              <w:jc w:val="center"/>
              <w:rPr>
                <w:rFonts w:hint="eastAsia"/>
                <w:color w:val="000000"/>
                <w:sz w:val="24"/>
                <w:lang w:val="en-US" w:eastAsia="zh-CN"/>
              </w:rPr>
            </w:pPr>
          </w:p>
        </w:tc>
        <w:tc>
          <w:tcPr>
            <w:tcW w:w="883" w:type="dxa"/>
            <w:tcBorders>
              <w:top w:val="single" w:color="000000" w:sz="6" w:space="0"/>
              <w:left w:val="single" w:color="000000" w:sz="4" w:space="0"/>
              <w:bottom w:val="single" w:color="000000" w:sz="6" w:space="0"/>
              <w:right w:val="single" w:color="000000" w:sz="6" w:space="0"/>
            </w:tcBorders>
            <w:vAlign w:val="center"/>
          </w:tcPr>
          <w:p>
            <w:pPr>
              <w:autoSpaceDE w:val="0"/>
              <w:autoSpaceDN w:val="0"/>
              <w:spacing w:beforeAutospacing="0" w:afterAutospacing="0" w:line="360" w:lineRule="exact"/>
              <w:jc w:val="center"/>
              <w:rPr>
                <w:rFonts w:hint="eastAsia"/>
                <w:color w:val="000000"/>
                <w:sz w:val="24"/>
              </w:rPr>
            </w:pPr>
          </w:p>
        </w:tc>
        <w:tc>
          <w:tcPr>
            <w:tcW w:w="148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beforeAutospacing="0" w:afterAutospacing="0" w:line="360" w:lineRule="exact"/>
              <w:jc w:val="center"/>
              <w:rPr>
                <w:rFonts w:hint="eastAsia"/>
                <w:color w:val="000000"/>
                <w:sz w:val="24"/>
                <w:lang w:val="en-US" w:eastAsia="zh-CN"/>
              </w:rPr>
            </w:pPr>
          </w:p>
        </w:tc>
        <w:tc>
          <w:tcPr>
            <w:tcW w:w="220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beforeAutospacing="0" w:afterAutospacing="0" w:line="360" w:lineRule="exact"/>
              <w:jc w:val="both"/>
              <w:rPr>
                <w:rFonts w:hint="eastAsia" w:eastAsia="宋体"/>
                <w:color w:val="000000"/>
                <w:sz w:val="24"/>
                <w:lang w:eastAsia="zh-CN"/>
              </w:rPr>
            </w:pPr>
          </w:p>
        </w:tc>
      </w:tr>
      <w:tr>
        <w:tblPrEx>
          <w:tblCellMar>
            <w:top w:w="0" w:type="dxa"/>
            <w:left w:w="30" w:type="dxa"/>
            <w:bottom w:w="0" w:type="dxa"/>
            <w:right w:w="30" w:type="dxa"/>
          </w:tblCellMar>
        </w:tblPrEx>
        <w:trPr>
          <w:trHeight w:val="552" w:hRule="atLeast"/>
        </w:trPr>
        <w:tc>
          <w:tcPr>
            <w:tcW w:w="83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beforeAutospacing="0" w:afterAutospacing="0" w:line="360" w:lineRule="exact"/>
              <w:jc w:val="center"/>
              <w:rPr>
                <w:rFonts w:hint="eastAsia" w:asciiTheme="majorEastAsia" w:hAnsiTheme="majorEastAsia" w:eastAsiaTheme="majorEastAsia" w:cstheme="majorEastAsia"/>
                <w:color w:val="000000"/>
                <w:sz w:val="22"/>
                <w:szCs w:val="22"/>
                <w:lang w:val="en-US" w:eastAsia="zh-CN"/>
              </w:rPr>
            </w:pPr>
            <w:r>
              <w:rPr>
                <w:rFonts w:hint="eastAsia" w:asciiTheme="majorEastAsia" w:hAnsiTheme="majorEastAsia" w:eastAsiaTheme="majorEastAsia" w:cstheme="majorEastAsia"/>
                <w:color w:val="000000"/>
                <w:sz w:val="22"/>
                <w:szCs w:val="22"/>
                <w:lang w:val="en-US" w:eastAsia="zh-CN"/>
              </w:rPr>
              <w:t>2</w:t>
            </w:r>
          </w:p>
        </w:tc>
        <w:tc>
          <w:tcPr>
            <w:tcW w:w="284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beforeAutospacing="0" w:afterAutospacing="0" w:line="360" w:lineRule="exact"/>
              <w:jc w:val="center"/>
              <w:rPr>
                <w:rFonts w:hint="eastAsia" w:ascii="宋体" w:hAnsi="宋体"/>
                <w:color w:val="000000"/>
                <w:sz w:val="18"/>
                <w:szCs w:val="18"/>
                <w:lang w:val="en-US" w:eastAsia="zh-CN"/>
              </w:rPr>
            </w:pPr>
          </w:p>
        </w:tc>
        <w:tc>
          <w:tcPr>
            <w:tcW w:w="1077" w:type="dxa"/>
            <w:tcBorders>
              <w:top w:val="single" w:color="000000" w:sz="6" w:space="0"/>
              <w:left w:val="single" w:color="000000" w:sz="6" w:space="0"/>
              <w:bottom w:val="single" w:color="000000" w:sz="6" w:space="0"/>
              <w:right w:val="single" w:color="000000" w:sz="4" w:space="0"/>
            </w:tcBorders>
            <w:vAlign w:val="center"/>
          </w:tcPr>
          <w:p>
            <w:pPr>
              <w:autoSpaceDE w:val="0"/>
              <w:autoSpaceDN w:val="0"/>
              <w:spacing w:beforeAutospacing="0" w:afterAutospacing="0" w:line="360" w:lineRule="exact"/>
              <w:jc w:val="both"/>
              <w:rPr>
                <w:rFonts w:hint="default" w:ascii="宋体" w:hAnsi="宋体"/>
                <w:color w:val="000000"/>
                <w:sz w:val="18"/>
                <w:szCs w:val="18"/>
                <w:lang w:val="en-US" w:eastAsia="zh-CN"/>
              </w:rPr>
            </w:pPr>
          </w:p>
        </w:tc>
        <w:tc>
          <w:tcPr>
            <w:tcW w:w="943" w:type="dxa"/>
            <w:tcBorders>
              <w:top w:val="single" w:color="000000" w:sz="6" w:space="0"/>
              <w:left w:val="single" w:color="000000" w:sz="4" w:space="0"/>
              <w:bottom w:val="single" w:color="000000" w:sz="6" w:space="0"/>
              <w:right w:val="single" w:color="000000" w:sz="6" w:space="0"/>
            </w:tcBorders>
            <w:vAlign w:val="center"/>
          </w:tcPr>
          <w:p>
            <w:pPr>
              <w:autoSpaceDE w:val="0"/>
              <w:autoSpaceDN w:val="0"/>
              <w:spacing w:beforeAutospacing="0" w:afterAutospacing="0" w:line="360" w:lineRule="exact"/>
              <w:jc w:val="center"/>
              <w:rPr>
                <w:rFonts w:hint="eastAsia" w:ascii="宋体" w:hAnsi="宋体" w:eastAsia="宋体"/>
                <w:color w:val="000000"/>
                <w:sz w:val="18"/>
                <w:szCs w:val="18"/>
              </w:rPr>
            </w:pPr>
          </w:p>
        </w:tc>
        <w:tc>
          <w:tcPr>
            <w:tcW w:w="883" w:type="dxa"/>
            <w:tcBorders>
              <w:top w:val="single" w:color="000000" w:sz="6" w:space="0"/>
              <w:left w:val="single" w:color="000000" w:sz="4" w:space="0"/>
              <w:bottom w:val="single" w:color="000000" w:sz="6" w:space="0"/>
              <w:right w:val="single" w:color="000000" w:sz="6" w:space="0"/>
            </w:tcBorders>
            <w:vAlign w:val="center"/>
          </w:tcPr>
          <w:p>
            <w:pPr>
              <w:autoSpaceDE w:val="0"/>
              <w:autoSpaceDN w:val="0"/>
              <w:spacing w:beforeAutospacing="0" w:afterAutospacing="0" w:line="360" w:lineRule="exact"/>
              <w:jc w:val="both"/>
              <w:rPr>
                <w:rFonts w:hint="default" w:ascii="宋体" w:hAnsi="宋体" w:eastAsia="宋体"/>
                <w:color w:val="000000"/>
                <w:sz w:val="18"/>
                <w:szCs w:val="18"/>
                <w:lang w:val="en-US" w:eastAsia="zh-CN"/>
              </w:rPr>
            </w:pPr>
          </w:p>
        </w:tc>
        <w:tc>
          <w:tcPr>
            <w:tcW w:w="148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beforeAutospacing="0" w:afterAutospacing="0" w:line="360" w:lineRule="exact"/>
              <w:jc w:val="both"/>
              <w:rPr>
                <w:rFonts w:hint="default" w:ascii="宋体" w:hAnsi="宋体" w:eastAsia="宋体"/>
                <w:color w:val="000000"/>
                <w:sz w:val="18"/>
                <w:szCs w:val="18"/>
                <w:lang w:val="en-US" w:eastAsia="zh-CN"/>
              </w:rPr>
            </w:pPr>
          </w:p>
        </w:tc>
        <w:tc>
          <w:tcPr>
            <w:tcW w:w="220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beforeAutospacing="0" w:afterAutospacing="0" w:line="360" w:lineRule="exact"/>
              <w:jc w:val="both"/>
              <w:rPr>
                <w:rFonts w:hint="default" w:ascii="宋体" w:hAnsi="宋体" w:eastAsia="宋体"/>
                <w:color w:val="000000"/>
                <w:sz w:val="18"/>
                <w:szCs w:val="18"/>
                <w:lang w:val="en-US" w:eastAsia="zh-CN"/>
              </w:rPr>
            </w:pPr>
          </w:p>
        </w:tc>
      </w:tr>
      <w:tr>
        <w:tblPrEx>
          <w:tblCellMar>
            <w:top w:w="0" w:type="dxa"/>
            <w:left w:w="30" w:type="dxa"/>
            <w:bottom w:w="0" w:type="dxa"/>
            <w:right w:w="30" w:type="dxa"/>
          </w:tblCellMar>
        </w:tblPrEx>
        <w:trPr>
          <w:trHeight w:val="541" w:hRule="atLeast"/>
        </w:trPr>
        <w:tc>
          <w:tcPr>
            <w:tcW w:w="83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beforeAutospacing="0" w:afterAutospacing="0" w:line="360" w:lineRule="exact"/>
              <w:jc w:val="center"/>
              <w:rPr>
                <w:rFonts w:hint="eastAsia" w:asciiTheme="majorEastAsia" w:hAnsiTheme="majorEastAsia" w:eastAsiaTheme="majorEastAsia" w:cstheme="majorEastAsia"/>
                <w:color w:val="000000"/>
                <w:sz w:val="22"/>
                <w:szCs w:val="22"/>
                <w:lang w:val="en-US" w:eastAsia="zh-CN"/>
              </w:rPr>
            </w:pPr>
            <w:r>
              <w:rPr>
                <w:rFonts w:hint="eastAsia" w:asciiTheme="majorEastAsia" w:hAnsiTheme="majorEastAsia" w:eastAsiaTheme="majorEastAsia" w:cstheme="majorEastAsia"/>
                <w:color w:val="000000"/>
                <w:sz w:val="22"/>
                <w:szCs w:val="22"/>
                <w:lang w:val="en-US" w:eastAsia="zh-CN"/>
              </w:rPr>
              <w:t>3</w:t>
            </w:r>
          </w:p>
        </w:tc>
        <w:tc>
          <w:tcPr>
            <w:tcW w:w="284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beforeAutospacing="0" w:afterAutospacing="0" w:line="360" w:lineRule="exact"/>
              <w:jc w:val="center"/>
              <w:rPr>
                <w:rFonts w:hint="eastAsia" w:ascii="宋体" w:hAnsi="宋体"/>
                <w:color w:val="000000"/>
                <w:sz w:val="18"/>
                <w:szCs w:val="18"/>
                <w:lang w:val="en-US" w:eastAsia="zh-CN"/>
              </w:rPr>
            </w:pPr>
          </w:p>
        </w:tc>
        <w:tc>
          <w:tcPr>
            <w:tcW w:w="1077" w:type="dxa"/>
            <w:tcBorders>
              <w:top w:val="single" w:color="000000" w:sz="6" w:space="0"/>
              <w:left w:val="single" w:color="000000" w:sz="6" w:space="0"/>
              <w:bottom w:val="single" w:color="000000" w:sz="6" w:space="0"/>
              <w:right w:val="single" w:color="000000" w:sz="4" w:space="0"/>
            </w:tcBorders>
            <w:vAlign w:val="center"/>
          </w:tcPr>
          <w:p>
            <w:pPr>
              <w:autoSpaceDE w:val="0"/>
              <w:autoSpaceDN w:val="0"/>
              <w:spacing w:beforeAutospacing="0" w:afterAutospacing="0" w:line="360" w:lineRule="exact"/>
              <w:jc w:val="center"/>
              <w:rPr>
                <w:rFonts w:hint="default" w:ascii="宋体" w:hAnsi="宋体"/>
                <w:color w:val="000000"/>
                <w:sz w:val="18"/>
                <w:szCs w:val="18"/>
                <w:lang w:val="en-US" w:eastAsia="zh-CN"/>
              </w:rPr>
            </w:pPr>
          </w:p>
        </w:tc>
        <w:tc>
          <w:tcPr>
            <w:tcW w:w="943" w:type="dxa"/>
            <w:tcBorders>
              <w:top w:val="single" w:color="000000" w:sz="6" w:space="0"/>
              <w:left w:val="single" w:color="000000" w:sz="4" w:space="0"/>
              <w:bottom w:val="single" w:color="000000" w:sz="6" w:space="0"/>
              <w:right w:val="single" w:color="000000" w:sz="6" w:space="0"/>
            </w:tcBorders>
            <w:vAlign w:val="center"/>
          </w:tcPr>
          <w:p>
            <w:pPr>
              <w:autoSpaceDE w:val="0"/>
              <w:autoSpaceDN w:val="0"/>
              <w:spacing w:beforeAutospacing="0" w:afterAutospacing="0" w:line="360" w:lineRule="exact"/>
              <w:jc w:val="center"/>
              <w:rPr>
                <w:rFonts w:hint="eastAsia" w:ascii="宋体" w:hAnsi="宋体" w:eastAsia="宋体"/>
                <w:color w:val="000000"/>
                <w:sz w:val="18"/>
                <w:szCs w:val="18"/>
              </w:rPr>
            </w:pPr>
          </w:p>
        </w:tc>
        <w:tc>
          <w:tcPr>
            <w:tcW w:w="883" w:type="dxa"/>
            <w:tcBorders>
              <w:top w:val="single" w:color="000000" w:sz="6" w:space="0"/>
              <w:left w:val="single" w:color="000000" w:sz="4" w:space="0"/>
              <w:bottom w:val="single" w:color="000000" w:sz="6" w:space="0"/>
              <w:right w:val="single" w:color="000000" w:sz="6" w:space="0"/>
            </w:tcBorders>
            <w:vAlign w:val="center"/>
          </w:tcPr>
          <w:p>
            <w:pPr>
              <w:autoSpaceDE w:val="0"/>
              <w:autoSpaceDN w:val="0"/>
              <w:spacing w:beforeAutospacing="0" w:afterAutospacing="0" w:line="360" w:lineRule="exact"/>
              <w:jc w:val="center"/>
              <w:rPr>
                <w:rFonts w:hint="default" w:ascii="宋体" w:hAnsi="宋体" w:eastAsia="宋体"/>
                <w:color w:val="000000"/>
                <w:sz w:val="18"/>
                <w:szCs w:val="18"/>
                <w:lang w:val="en-US" w:eastAsia="zh-CN"/>
              </w:rPr>
            </w:pPr>
          </w:p>
        </w:tc>
        <w:tc>
          <w:tcPr>
            <w:tcW w:w="148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beforeAutospacing="0" w:afterAutospacing="0" w:line="360" w:lineRule="exact"/>
              <w:jc w:val="both"/>
              <w:rPr>
                <w:rFonts w:hint="default" w:ascii="宋体" w:hAnsi="宋体" w:eastAsia="宋体"/>
                <w:color w:val="000000"/>
                <w:sz w:val="18"/>
                <w:szCs w:val="18"/>
                <w:lang w:val="en-US" w:eastAsia="zh-CN"/>
              </w:rPr>
            </w:pPr>
          </w:p>
        </w:tc>
        <w:tc>
          <w:tcPr>
            <w:tcW w:w="220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beforeAutospacing="0" w:afterAutospacing="0" w:line="360" w:lineRule="exact"/>
              <w:jc w:val="both"/>
              <w:rPr>
                <w:rFonts w:hint="default" w:ascii="宋体" w:hAnsi="宋体" w:eastAsia="宋体"/>
                <w:color w:val="000000"/>
                <w:sz w:val="18"/>
                <w:szCs w:val="18"/>
                <w:lang w:val="en-US" w:eastAsia="zh-CN"/>
              </w:rPr>
            </w:pPr>
          </w:p>
        </w:tc>
      </w:tr>
      <w:tr>
        <w:tblPrEx>
          <w:tblCellMar>
            <w:top w:w="0" w:type="dxa"/>
            <w:left w:w="30" w:type="dxa"/>
            <w:bottom w:w="0" w:type="dxa"/>
            <w:right w:w="30" w:type="dxa"/>
          </w:tblCellMar>
        </w:tblPrEx>
        <w:trPr>
          <w:trHeight w:val="641" w:hRule="atLeast"/>
        </w:trPr>
        <w:tc>
          <w:tcPr>
            <w:tcW w:w="83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beforeAutospacing="0" w:afterAutospacing="0" w:line="360" w:lineRule="exact"/>
              <w:jc w:val="center"/>
              <w:rPr>
                <w:rFonts w:hint="eastAsia" w:asciiTheme="majorEastAsia" w:hAnsiTheme="majorEastAsia" w:eastAsiaTheme="majorEastAsia" w:cstheme="majorEastAsia"/>
                <w:color w:val="000000"/>
                <w:sz w:val="22"/>
                <w:szCs w:val="22"/>
                <w:lang w:val="en-US" w:eastAsia="zh-CN"/>
              </w:rPr>
            </w:pPr>
            <w:r>
              <w:rPr>
                <w:rFonts w:hint="eastAsia" w:asciiTheme="majorEastAsia" w:hAnsiTheme="majorEastAsia" w:eastAsiaTheme="majorEastAsia" w:cstheme="majorEastAsia"/>
                <w:color w:val="000000"/>
                <w:sz w:val="22"/>
                <w:szCs w:val="22"/>
                <w:lang w:val="en-US" w:eastAsia="zh-CN"/>
              </w:rPr>
              <w:t>4</w:t>
            </w:r>
          </w:p>
        </w:tc>
        <w:tc>
          <w:tcPr>
            <w:tcW w:w="284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beforeAutospacing="0" w:afterAutospacing="0" w:line="360" w:lineRule="exact"/>
              <w:jc w:val="both"/>
              <w:rPr>
                <w:rFonts w:hint="default" w:ascii="宋体" w:hAnsi="宋体"/>
                <w:color w:val="000000"/>
                <w:sz w:val="18"/>
                <w:szCs w:val="18"/>
                <w:lang w:val="en-US" w:eastAsia="zh-CN"/>
              </w:rPr>
            </w:pPr>
          </w:p>
        </w:tc>
        <w:tc>
          <w:tcPr>
            <w:tcW w:w="1077" w:type="dxa"/>
            <w:tcBorders>
              <w:top w:val="single" w:color="000000" w:sz="6" w:space="0"/>
              <w:left w:val="single" w:color="000000" w:sz="6" w:space="0"/>
              <w:bottom w:val="single" w:color="000000" w:sz="6" w:space="0"/>
              <w:right w:val="single" w:color="000000" w:sz="4" w:space="0"/>
            </w:tcBorders>
            <w:vAlign w:val="center"/>
          </w:tcPr>
          <w:p>
            <w:pPr>
              <w:autoSpaceDE w:val="0"/>
              <w:autoSpaceDN w:val="0"/>
              <w:spacing w:beforeAutospacing="0" w:afterAutospacing="0" w:line="360" w:lineRule="exact"/>
              <w:jc w:val="center"/>
              <w:rPr>
                <w:rFonts w:hint="default" w:ascii="宋体" w:hAnsi="宋体"/>
                <w:color w:val="000000"/>
                <w:sz w:val="18"/>
                <w:szCs w:val="18"/>
                <w:lang w:val="en-US" w:eastAsia="zh-CN"/>
              </w:rPr>
            </w:pPr>
          </w:p>
        </w:tc>
        <w:tc>
          <w:tcPr>
            <w:tcW w:w="943" w:type="dxa"/>
            <w:tcBorders>
              <w:top w:val="single" w:color="000000" w:sz="6" w:space="0"/>
              <w:left w:val="single" w:color="000000" w:sz="4" w:space="0"/>
              <w:bottom w:val="single" w:color="000000" w:sz="6" w:space="0"/>
              <w:right w:val="single" w:color="000000" w:sz="6" w:space="0"/>
            </w:tcBorders>
            <w:vAlign w:val="center"/>
          </w:tcPr>
          <w:p>
            <w:pPr>
              <w:autoSpaceDE w:val="0"/>
              <w:autoSpaceDN w:val="0"/>
              <w:spacing w:beforeAutospacing="0" w:afterAutospacing="0" w:line="360" w:lineRule="exact"/>
              <w:jc w:val="center"/>
              <w:rPr>
                <w:rFonts w:hint="default" w:ascii="宋体" w:hAnsi="宋体" w:eastAsia="宋体"/>
                <w:color w:val="000000"/>
                <w:sz w:val="18"/>
                <w:szCs w:val="18"/>
                <w:lang w:val="en-US" w:eastAsia="zh-CN"/>
              </w:rPr>
            </w:pPr>
          </w:p>
        </w:tc>
        <w:tc>
          <w:tcPr>
            <w:tcW w:w="883" w:type="dxa"/>
            <w:tcBorders>
              <w:top w:val="single" w:color="000000" w:sz="6" w:space="0"/>
              <w:left w:val="single" w:color="000000" w:sz="4" w:space="0"/>
              <w:bottom w:val="single" w:color="000000" w:sz="6" w:space="0"/>
              <w:right w:val="single" w:color="000000" w:sz="6" w:space="0"/>
            </w:tcBorders>
            <w:vAlign w:val="center"/>
          </w:tcPr>
          <w:p>
            <w:pPr>
              <w:autoSpaceDE w:val="0"/>
              <w:autoSpaceDN w:val="0"/>
              <w:spacing w:beforeAutospacing="0" w:afterAutospacing="0" w:line="360" w:lineRule="exact"/>
              <w:jc w:val="center"/>
              <w:rPr>
                <w:rFonts w:hint="default" w:ascii="宋体" w:hAnsi="宋体"/>
                <w:color w:val="000000"/>
                <w:sz w:val="18"/>
                <w:szCs w:val="18"/>
                <w:lang w:val="en-US" w:eastAsia="zh-CN"/>
              </w:rPr>
            </w:pPr>
          </w:p>
        </w:tc>
        <w:tc>
          <w:tcPr>
            <w:tcW w:w="148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beforeAutospacing="0" w:afterAutospacing="0" w:line="360" w:lineRule="exact"/>
              <w:jc w:val="both"/>
              <w:rPr>
                <w:rFonts w:hint="default" w:ascii="宋体" w:hAnsi="宋体"/>
                <w:color w:val="000000"/>
                <w:sz w:val="18"/>
                <w:szCs w:val="18"/>
                <w:lang w:val="en-US" w:eastAsia="zh-CN"/>
              </w:rPr>
            </w:pPr>
          </w:p>
        </w:tc>
        <w:tc>
          <w:tcPr>
            <w:tcW w:w="220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beforeAutospacing="0" w:afterAutospacing="0" w:line="360" w:lineRule="exact"/>
              <w:jc w:val="both"/>
              <w:rPr>
                <w:rFonts w:hint="eastAsia" w:ascii="宋体" w:hAnsi="宋体" w:eastAsia="宋体"/>
                <w:color w:val="000000"/>
                <w:sz w:val="18"/>
                <w:szCs w:val="18"/>
                <w:lang w:eastAsia="zh-CN"/>
              </w:rPr>
            </w:pPr>
          </w:p>
        </w:tc>
      </w:tr>
      <w:tr>
        <w:tblPrEx>
          <w:tblCellMar>
            <w:top w:w="0" w:type="dxa"/>
            <w:left w:w="30" w:type="dxa"/>
            <w:bottom w:w="0" w:type="dxa"/>
            <w:right w:w="30" w:type="dxa"/>
          </w:tblCellMar>
        </w:tblPrEx>
        <w:trPr>
          <w:trHeight w:val="641" w:hRule="atLeast"/>
        </w:trPr>
        <w:tc>
          <w:tcPr>
            <w:tcW w:w="834" w:type="dxa"/>
            <w:tcBorders>
              <w:top w:val="single" w:color="000000" w:sz="6" w:space="0"/>
              <w:left w:val="single" w:color="000000" w:sz="6" w:space="0"/>
              <w:bottom w:val="single" w:color="000000" w:sz="6" w:space="0"/>
              <w:right w:val="single" w:color="000000" w:sz="6" w:space="0"/>
            </w:tcBorders>
            <w:vAlign w:val="center"/>
          </w:tcPr>
          <w:p>
            <w:pPr>
              <w:tabs>
                <w:tab w:val="left" w:pos="204"/>
              </w:tabs>
              <w:autoSpaceDE w:val="0"/>
              <w:autoSpaceDN w:val="0"/>
              <w:spacing w:beforeAutospacing="0" w:afterAutospacing="0" w:line="360" w:lineRule="exact"/>
              <w:jc w:val="center"/>
              <w:rPr>
                <w:rFonts w:hint="eastAsia" w:asciiTheme="majorEastAsia" w:hAnsiTheme="majorEastAsia" w:eastAsiaTheme="majorEastAsia" w:cstheme="majorEastAsia"/>
                <w:color w:val="000000"/>
                <w:sz w:val="22"/>
                <w:szCs w:val="22"/>
                <w:lang w:val="en-US" w:eastAsia="zh-CN"/>
              </w:rPr>
            </w:pPr>
            <w:r>
              <w:rPr>
                <w:rFonts w:hint="eastAsia" w:asciiTheme="majorEastAsia" w:hAnsiTheme="majorEastAsia" w:eastAsiaTheme="majorEastAsia" w:cstheme="majorEastAsia"/>
                <w:color w:val="000000"/>
                <w:sz w:val="22"/>
                <w:szCs w:val="22"/>
                <w:lang w:val="en-US" w:eastAsia="zh-CN"/>
              </w:rPr>
              <w:t>5</w:t>
            </w:r>
          </w:p>
        </w:tc>
        <w:tc>
          <w:tcPr>
            <w:tcW w:w="284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beforeAutospacing="0" w:afterAutospacing="0" w:line="360" w:lineRule="exact"/>
              <w:jc w:val="both"/>
              <w:rPr>
                <w:rFonts w:hint="default" w:ascii="宋体" w:hAnsi="宋体"/>
                <w:color w:val="000000"/>
                <w:sz w:val="18"/>
                <w:szCs w:val="18"/>
                <w:lang w:val="en-US" w:eastAsia="zh-CN"/>
              </w:rPr>
            </w:pPr>
          </w:p>
        </w:tc>
        <w:tc>
          <w:tcPr>
            <w:tcW w:w="1077" w:type="dxa"/>
            <w:tcBorders>
              <w:top w:val="single" w:color="000000" w:sz="6" w:space="0"/>
              <w:left w:val="single" w:color="000000" w:sz="6" w:space="0"/>
              <w:bottom w:val="single" w:color="000000" w:sz="6" w:space="0"/>
              <w:right w:val="single" w:color="000000" w:sz="4" w:space="0"/>
            </w:tcBorders>
            <w:vAlign w:val="center"/>
          </w:tcPr>
          <w:p>
            <w:pPr>
              <w:autoSpaceDE w:val="0"/>
              <w:autoSpaceDN w:val="0"/>
              <w:spacing w:beforeAutospacing="0" w:afterAutospacing="0" w:line="360" w:lineRule="exact"/>
              <w:jc w:val="center"/>
              <w:rPr>
                <w:rFonts w:hint="default" w:ascii="宋体" w:hAnsi="宋体"/>
                <w:color w:val="000000"/>
                <w:sz w:val="18"/>
                <w:szCs w:val="18"/>
                <w:lang w:val="en-US" w:eastAsia="zh-CN"/>
              </w:rPr>
            </w:pPr>
          </w:p>
        </w:tc>
        <w:tc>
          <w:tcPr>
            <w:tcW w:w="943" w:type="dxa"/>
            <w:tcBorders>
              <w:top w:val="single" w:color="000000" w:sz="6" w:space="0"/>
              <w:left w:val="single" w:color="000000" w:sz="4" w:space="0"/>
              <w:bottom w:val="single" w:color="000000" w:sz="6" w:space="0"/>
              <w:right w:val="single" w:color="000000" w:sz="6" w:space="0"/>
            </w:tcBorders>
            <w:vAlign w:val="center"/>
          </w:tcPr>
          <w:p>
            <w:pPr>
              <w:autoSpaceDE w:val="0"/>
              <w:autoSpaceDN w:val="0"/>
              <w:spacing w:beforeAutospacing="0" w:afterAutospacing="0" w:line="360" w:lineRule="exact"/>
              <w:jc w:val="center"/>
              <w:rPr>
                <w:rFonts w:hint="default" w:ascii="宋体" w:hAnsi="宋体" w:eastAsia="宋体"/>
                <w:color w:val="000000"/>
                <w:sz w:val="18"/>
                <w:szCs w:val="18"/>
                <w:lang w:val="en-US" w:eastAsia="zh-CN"/>
              </w:rPr>
            </w:pPr>
          </w:p>
        </w:tc>
        <w:tc>
          <w:tcPr>
            <w:tcW w:w="883" w:type="dxa"/>
            <w:tcBorders>
              <w:top w:val="single" w:color="000000" w:sz="6" w:space="0"/>
              <w:left w:val="single" w:color="000000" w:sz="4" w:space="0"/>
              <w:bottom w:val="single" w:color="000000" w:sz="6" w:space="0"/>
              <w:right w:val="single" w:color="000000" w:sz="6" w:space="0"/>
            </w:tcBorders>
            <w:vAlign w:val="center"/>
          </w:tcPr>
          <w:p>
            <w:pPr>
              <w:autoSpaceDE w:val="0"/>
              <w:autoSpaceDN w:val="0"/>
              <w:spacing w:beforeAutospacing="0" w:afterAutospacing="0" w:line="360" w:lineRule="exact"/>
              <w:jc w:val="center"/>
              <w:rPr>
                <w:rFonts w:hint="default" w:ascii="宋体" w:hAnsi="宋体"/>
                <w:color w:val="000000"/>
                <w:sz w:val="18"/>
                <w:szCs w:val="18"/>
                <w:lang w:val="en-US" w:eastAsia="zh-CN"/>
              </w:rPr>
            </w:pPr>
          </w:p>
        </w:tc>
        <w:tc>
          <w:tcPr>
            <w:tcW w:w="148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beforeAutospacing="0" w:afterAutospacing="0" w:line="360" w:lineRule="exact"/>
              <w:jc w:val="both"/>
              <w:rPr>
                <w:rFonts w:hint="default" w:ascii="宋体" w:hAnsi="宋体"/>
                <w:color w:val="000000"/>
                <w:sz w:val="18"/>
                <w:szCs w:val="18"/>
                <w:lang w:val="en-US" w:eastAsia="zh-CN"/>
              </w:rPr>
            </w:pPr>
          </w:p>
        </w:tc>
        <w:tc>
          <w:tcPr>
            <w:tcW w:w="220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beforeAutospacing="0" w:afterAutospacing="0" w:line="360" w:lineRule="exact"/>
              <w:jc w:val="both"/>
              <w:rPr>
                <w:rFonts w:hint="default" w:ascii="宋体" w:hAnsi="宋体" w:eastAsia="宋体"/>
                <w:color w:val="000000"/>
                <w:sz w:val="18"/>
                <w:szCs w:val="18"/>
                <w:lang w:val="en-US" w:eastAsia="zh-CN"/>
              </w:rPr>
            </w:pPr>
          </w:p>
        </w:tc>
      </w:tr>
      <w:tr>
        <w:tblPrEx>
          <w:tblCellMar>
            <w:top w:w="0" w:type="dxa"/>
            <w:left w:w="30" w:type="dxa"/>
            <w:bottom w:w="0" w:type="dxa"/>
            <w:right w:w="30" w:type="dxa"/>
          </w:tblCellMar>
        </w:tblPrEx>
        <w:trPr>
          <w:trHeight w:val="641" w:hRule="atLeast"/>
        </w:trPr>
        <w:tc>
          <w:tcPr>
            <w:tcW w:w="83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beforeAutospacing="0" w:afterAutospacing="0" w:line="360" w:lineRule="exact"/>
              <w:jc w:val="center"/>
              <w:rPr>
                <w:rFonts w:hint="default"/>
                <w:color w:val="000000"/>
                <w:sz w:val="18"/>
                <w:szCs w:val="18"/>
                <w:lang w:val="en-US" w:eastAsia="zh-CN"/>
              </w:rPr>
            </w:pPr>
            <w:r>
              <w:rPr>
                <w:rFonts w:hint="eastAsia"/>
                <w:b/>
                <w:bCs/>
                <w:color w:val="000000"/>
                <w:sz w:val="18"/>
                <w:szCs w:val="18"/>
                <w:lang w:val="en-US" w:eastAsia="zh-CN"/>
              </w:rPr>
              <w:t>........</w:t>
            </w:r>
          </w:p>
        </w:tc>
        <w:tc>
          <w:tcPr>
            <w:tcW w:w="284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beforeAutospacing="0" w:afterAutospacing="0" w:line="360" w:lineRule="exact"/>
              <w:jc w:val="both"/>
              <w:rPr>
                <w:rFonts w:hint="default" w:ascii="宋体" w:hAnsi="宋体"/>
                <w:color w:val="000000"/>
                <w:sz w:val="18"/>
                <w:szCs w:val="18"/>
                <w:lang w:val="en-US" w:eastAsia="zh-CN"/>
              </w:rPr>
            </w:pPr>
          </w:p>
        </w:tc>
        <w:tc>
          <w:tcPr>
            <w:tcW w:w="1077" w:type="dxa"/>
            <w:tcBorders>
              <w:top w:val="single" w:color="000000" w:sz="6" w:space="0"/>
              <w:left w:val="single" w:color="000000" w:sz="6" w:space="0"/>
              <w:bottom w:val="single" w:color="000000" w:sz="6" w:space="0"/>
              <w:right w:val="single" w:color="000000" w:sz="4" w:space="0"/>
            </w:tcBorders>
            <w:vAlign w:val="center"/>
          </w:tcPr>
          <w:p>
            <w:pPr>
              <w:autoSpaceDE w:val="0"/>
              <w:autoSpaceDN w:val="0"/>
              <w:spacing w:beforeAutospacing="0" w:afterAutospacing="0" w:line="360" w:lineRule="exact"/>
              <w:jc w:val="center"/>
              <w:rPr>
                <w:rFonts w:hint="default" w:ascii="宋体" w:hAnsi="宋体"/>
                <w:color w:val="000000"/>
                <w:sz w:val="18"/>
                <w:szCs w:val="18"/>
                <w:lang w:val="en-US" w:eastAsia="zh-CN"/>
              </w:rPr>
            </w:pPr>
          </w:p>
        </w:tc>
        <w:tc>
          <w:tcPr>
            <w:tcW w:w="943" w:type="dxa"/>
            <w:tcBorders>
              <w:top w:val="single" w:color="000000" w:sz="6" w:space="0"/>
              <w:left w:val="single" w:color="000000" w:sz="4" w:space="0"/>
              <w:bottom w:val="single" w:color="000000" w:sz="6" w:space="0"/>
              <w:right w:val="single" w:color="000000" w:sz="6" w:space="0"/>
            </w:tcBorders>
            <w:vAlign w:val="center"/>
          </w:tcPr>
          <w:p>
            <w:pPr>
              <w:autoSpaceDE w:val="0"/>
              <w:autoSpaceDN w:val="0"/>
              <w:spacing w:beforeAutospacing="0" w:afterAutospacing="0" w:line="360" w:lineRule="exact"/>
              <w:jc w:val="center"/>
              <w:rPr>
                <w:rFonts w:hint="default" w:ascii="宋体" w:hAnsi="宋体" w:eastAsia="宋体"/>
                <w:color w:val="000000"/>
                <w:sz w:val="18"/>
                <w:szCs w:val="18"/>
                <w:lang w:val="en-US" w:eastAsia="zh-CN"/>
              </w:rPr>
            </w:pPr>
          </w:p>
        </w:tc>
        <w:tc>
          <w:tcPr>
            <w:tcW w:w="883" w:type="dxa"/>
            <w:tcBorders>
              <w:top w:val="single" w:color="000000" w:sz="6" w:space="0"/>
              <w:left w:val="single" w:color="000000" w:sz="4" w:space="0"/>
              <w:bottom w:val="single" w:color="000000" w:sz="6" w:space="0"/>
              <w:right w:val="single" w:color="000000" w:sz="6" w:space="0"/>
            </w:tcBorders>
            <w:vAlign w:val="center"/>
          </w:tcPr>
          <w:p>
            <w:pPr>
              <w:autoSpaceDE w:val="0"/>
              <w:autoSpaceDN w:val="0"/>
              <w:spacing w:beforeAutospacing="0" w:afterAutospacing="0" w:line="360" w:lineRule="exact"/>
              <w:jc w:val="center"/>
              <w:rPr>
                <w:rFonts w:hint="default" w:ascii="宋体" w:hAnsi="宋体"/>
                <w:color w:val="000000"/>
                <w:sz w:val="18"/>
                <w:szCs w:val="18"/>
                <w:lang w:val="en-US" w:eastAsia="zh-CN"/>
              </w:rPr>
            </w:pPr>
          </w:p>
        </w:tc>
        <w:tc>
          <w:tcPr>
            <w:tcW w:w="148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beforeAutospacing="0" w:afterAutospacing="0" w:line="360" w:lineRule="exact"/>
              <w:jc w:val="both"/>
              <w:rPr>
                <w:rFonts w:hint="default" w:ascii="宋体" w:hAnsi="宋体"/>
                <w:color w:val="000000"/>
                <w:sz w:val="18"/>
                <w:szCs w:val="18"/>
                <w:lang w:val="en-US" w:eastAsia="zh-CN"/>
              </w:rPr>
            </w:pPr>
          </w:p>
        </w:tc>
        <w:tc>
          <w:tcPr>
            <w:tcW w:w="220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beforeAutospacing="0" w:afterAutospacing="0" w:line="360" w:lineRule="exact"/>
              <w:jc w:val="both"/>
              <w:rPr>
                <w:rFonts w:hint="eastAsia" w:ascii="宋体" w:hAnsi="宋体" w:eastAsia="宋体"/>
                <w:color w:val="000000"/>
                <w:sz w:val="18"/>
                <w:szCs w:val="18"/>
                <w:lang w:eastAsia="zh-CN"/>
              </w:rPr>
            </w:pPr>
          </w:p>
        </w:tc>
      </w:tr>
      <w:tr>
        <w:tblPrEx>
          <w:tblCellMar>
            <w:top w:w="0" w:type="dxa"/>
            <w:left w:w="30" w:type="dxa"/>
            <w:bottom w:w="0" w:type="dxa"/>
            <w:right w:w="30" w:type="dxa"/>
          </w:tblCellMar>
        </w:tblPrEx>
        <w:trPr>
          <w:trHeight w:val="641" w:hRule="atLeast"/>
        </w:trPr>
        <w:tc>
          <w:tcPr>
            <w:tcW w:w="83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beforeAutospacing="0" w:afterAutospacing="0" w:line="360" w:lineRule="exact"/>
              <w:jc w:val="center"/>
              <w:rPr>
                <w:rFonts w:hint="eastAsia"/>
                <w:color w:val="000000"/>
                <w:sz w:val="24"/>
                <w:lang w:val="en-US" w:eastAsia="zh-CN"/>
              </w:rPr>
            </w:pPr>
          </w:p>
        </w:tc>
        <w:tc>
          <w:tcPr>
            <w:tcW w:w="284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beforeAutospacing="0" w:afterAutospacing="0" w:line="360" w:lineRule="exact"/>
              <w:jc w:val="both"/>
              <w:rPr>
                <w:rFonts w:hint="eastAsia" w:ascii="宋体" w:hAnsi="宋体"/>
                <w:color w:val="000000"/>
                <w:sz w:val="24"/>
                <w:lang w:val="en-US" w:eastAsia="zh-CN"/>
              </w:rPr>
            </w:pPr>
          </w:p>
        </w:tc>
        <w:tc>
          <w:tcPr>
            <w:tcW w:w="1077" w:type="dxa"/>
            <w:tcBorders>
              <w:top w:val="single" w:color="000000" w:sz="6" w:space="0"/>
              <w:left w:val="single" w:color="000000" w:sz="6" w:space="0"/>
              <w:bottom w:val="single" w:color="000000" w:sz="6" w:space="0"/>
              <w:right w:val="single" w:color="000000" w:sz="4" w:space="0"/>
            </w:tcBorders>
            <w:vAlign w:val="center"/>
          </w:tcPr>
          <w:p>
            <w:pPr>
              <w:autoSpaceDE w:val="0"/>
              <w:autoSpaceDN w:val="0"/>
              <w:spacing w:beforeAutospacing="0" w:afterAutospacing="0" w:line="360" w:lineRule="exact"/>
              <w:jc w:val="center"/>
              <w:rPr>
                <w:rFonts w:hint="eastAsia" w:ascii="宋体" w:hAnsi="宋体"/>
                <w:color w:val="000000"/>
                <w:sz w:val="24"/>
                <w:lang w:val="en-US" w:eastAsia="zh-CN"/>
              </w:rPr>
            </w:pPr>
          </w:p>
        </w:tc>
        <w:tc>
          <w:tcPr>
            <w:tcW w:w="943" w:type="dxa"/>
            <w:tcBorders>
              <w:top w:val="single" w:color="000000" w:sz="6" w:space="0"/>
              <w:left w:val="single" w:color="000000" w:sz="4" w:space="0"/>
              <w:bottom w:val="single" w:color="000000" w:sz="6" w:space="0"/>
              <w:right w:val="single" w:color="000000" w:sz="6" w:space="0"/>
            </w:tcBorders>
            <w:vAlign w:val="center"/>
          </w:tcPr>
          <w:p>
            <w:pPr>
              <w:autoSpaceDE w:val="0"/>
              <w:autoSpaceDN w:val="0"/>
              <w:spacing w:beforeAutospacing="0" w:afterAutospacing="0" w:line="360" w:lineRule="exact"/>
              <w:jc w:val="center"/>
              <w:rPr>
                <w:rFonts w:hint="eastAsia" w:ascii="宋体" w:hAnsi="宋体"/>
                <w:color w:val="000000"/>
                <w:sz w:val="24"/>
                <w:lang w:val="en-US" w:eastAsia="zh-CN"/>
              </w:rPr>
            </w:pPr>
          </w:p>
        </w:tc>
        <w:tc>
          <w:tcPr>
            <w:tcW w:w="883" w:type="dxa"/>
            <w:tcBorders>
              <w:top w:val="single" w:color="000000" w:sz="6" w:space="0"/>
              <w:left w:val="single" w:color="000000" w:sz="4" w:space="0"/>
              <w:bottom w:val="single" w:color="000000" w:sz="6" w:space="0"/>
              <w:right w:val="single" w:color="000000" w:sz="6" w:space="0"/>
            </w:tcBorders>
            <w:vAlign w:val="center"/>
          </w:tcPr>
          <w:p>
            <w:pPr>
              <w:autoSpaceDE w:val="0"/>
              <w:autoSpaceDN w:val="0"/>
              <w:spacing w:beforeAutospacing="0" w:afterAutospacing="0" w:line="360" w:lineRule="exact"/>
              <w:jc w:val="center"/>
              <w:rPr>
                <w:rFonts w:hint="eastAsia" w:ascii="宋体" w:hAnsi="宋体"/>
                <w:color w:val="000000"/>
                <w:sz w:val="24"/>
                <w:lang w:val="en-US" w:eastAsia="zh-CN"/>
              </w:rPr>
            </w:pPr>
          </w:p>
        </w:tc>
        <w:tc>
          <w:tcPr>
            <w:tcW w:w="148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beforeAutospacing="0" w:afterAutospacing="0" w:line="360" w:lineRule="exact"/>
              <w:jc w:val="both"/>
              <w:rPr>
                <w:rFonts w:hint="eastAsia" w:ascii="宋体" w:hAnsi="宋体"/>
                <w:color w:val="000000"/>
                <w:sz w:val="24"/>
                <w:lang w:val="en-US" w:eastAsia="zh-CN"/>
              </w:rPr>
            </w:pPr>
          </w:p>
        </w:tc>
        <w:tc>
          <w:tcPr>
            <w:tcW w:w="220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beforeAutospacing="0" w:afterAutospacing="0" w:line="360" w:lineRule="exact"/>
              <w:jc w:val="center"/>
              <w:rPr>
                <w:rFonts w:hint="eastAsia" w:ascii="宋体" w:hAnsi="宋体" w:eastAsia="宋体"/>
                <w:color w:val="000000"/>
                <w:sz w:val="24"/>
              </w:rPr>
            </w:pPr>
          </w:p>
        </w:tc>
      </w:tr>
      <w:tr>
        <w:tblPrEx>
          <w:tblCellMar>
            <w:top w:w="0" w:type="dxa"/>
            <w:left w:w="30" w:type="dxa"/>
            <w:bottom w:w="0" w:type="dxa"/>
            <w:right w:w="30" w:type="dxa"/>
          </w:tblCellMar>
        </w:tblPrEx>
        <w:trPr>
          <w:trHeight w:val="741" w:hRule="atLeast"/>
        </w:trPr>
        <w:tc>
          <w:tcPr>
            <w:tcW w:w="6580" w:type="dxa"/>
            <w:gridSpan w:val="5"/>
            <w:tcBorders>
              <w:top w:val="single" w:color="000000" w:sz="6" w:space="0"/>
              <w:left w:val="single" w:color="000000" w:sz="6" w:space="0"/>
              <w:bottom w:val="single" w:color="000000" w:sz="6" w:space="0"/>
              <w:right w:val="single" w:color="000000" w:sz="6" w:space="0"/>
            </w:tcBorders>
            <w:vAlign w:val="center"/>
          </w:tcPr>
          <w:p>
            <w:pPr>
              <w:autoSpaceDE w:val="0"/>
              <w:autoSpaceDN w:val="0"/>
              <w:spacing w:beforeAutospacing="0" w:afterAutospacing="0" w:line="360" w:lineRule="auto"/>
              <w:jc w:val="center"/>
              <w:rPr>
                <w:rFonts w:hint="eastAsia"/>
                <w:b/>
                <w:bCs/>
                <w:color w:val="000000"/>
                <w:sz w:val="24"/>
                <w:lang w:val="en-US" w:eastAsia="zh-CN"/>
              </w:rPr>
            </w:pPr>
            <w:r>
              <w:rPr>
                <w:rFonts w:hint="eastAsia"/>
                <w:b/>
                <w:bCs/>
                <w:color w:val="000000"/>
                <w:sz w:val="24"/>
                <w:lang w:val="en-US" w:eastAsia="zh-CN"/>
              </w:rPr>
              <w:t>合  计</w:t>
            </w:r>
          </w:p>
        </w:tc>
        <w:tc>
          <w:tcPr>
            <w:tcW w:w="3688" w:type="dxa"/>
            <w:gridSpan w:val="2"/>
            <w:tcBorders>
              <w:top w:val="single" w:color="000000" w:sz="6" w:space="0"/>
              <w:left w:val="single" w:color="000000" w:sz="6" w:space="0"/>
              <w:bottom w:val="single" w:color="000000" w:sz="6" w:space="0"/>
              <w:right w:val="single" w:color="000000" w:sz="6" w:space="0"/>
            </w:tcBorders>
            <w:vAlign w:val="center"/>
          </w:tcPr>
          <w:p>
            <w:pPr>
              <w:autoSpaceDE w:val="0"/>
              <w:autoSpaceDN w:val="0"/>
              <w:spacing w:beforeAutospacing="0" w:afterAutospacing="0" w:line="360" w:lineRule="auto"/>
              <w:rPr>
                <w:rFonts w:hint="default" w:eastAsia="宋体"/>
                <w:color w:val="000000"/>
                <w:sz w:val="24"/>
                <w:lang w:val="en-US" w:eastAsia="zh-CN"/>
              </w:rPr>
            </w:pPr>
          </w:p>
        </w:tc>
      </w:tr>
    </w:tbl>
    <w:p>
      <w:pPr>
        <w:pStyle w:val="5"/>
      </w:pPr>
    </w:p>
    <w:p/>
    <w:p>
      <w:pPr>
        <w:spacing w:line="520" w:lineRule="exact"/>
        <w:rPr>
          <w:rFonts w:hint="eastAsia" w:ascii="宋体" w:hAnsi="宋体" w:cs="宋体"/>
          <w:spacing w:val="-2"/>
          <w:sz w:val="24"/>
        </w:rPr>
      </w:pPr>
      <w:r>
        <w:rPr>
          <w:rFonts w:hint="eastAsia" w:ascii="宋体" w:hAnsi="宋体" w:cs="宋体"/>
          <w:spacing w:val="-2"/>
          <w:sz w:val="24"/>
        </w:rPr>
        <w:t>本项目投标报价包含</w:t>
      </w:r>
      <w:r>
        <w:rPr>
          <w:rFonts w:hint="eastAsia" w:ascii="宋体" w:hAnsi="宋体" w:cs="宋体"/>
          <w:spacing w:val="-2"/>
          <w:sz w:val="24"/>
          <w:lang w:val="en-US" w:eastAsia="zh-CN"/>
        </w:rPr>
        <w:t>但不限于</w:t>
      </w:r>
      <w:r>
        <w:rPr>
          <w:rFonts w:hint="eastAsia" w:ascii="宋体" w:hAnsi="宋体" w:cs="宋体"/>
          <w:spacing w:val="-2"/>
          <w:sz w:val="24"/>
        </w:rPr>
        <w:t>投标人为完成上述内容所必须支付的交通费、人工费、材料费、仪器设备或机械使用费</w:t>
      </w:r>
      <w:r>
        <w:rPr>
          <w:rFonts w:hint="eastAsia" w:ascii="宋体" w:hAnsi="宋体" w:cs="宋体"/>
          <w:spacing w:val="-2"/>
          <w:sz w:val="24"/>
          <w:lang w:eastAsia="zh-CN"/>
        </w:rPr>
        <w:t>、</w:t>
      </w:r>
      <w:r>
        <w:rPr>
          <w:rFonts w:hint="eastAsia" w:ascii="宋体" w:hAnsi="宋体" w:cs="宋体"/>
          <w:spacing w:val="-2"/>
          <w:sz w:val="24"/>
        </w:rPr>
        <w:t>招标代理费、利润、税金的各项所需的全部费用、不可预见费及其它一切相关费用。</w:t>
      </w:r>
    </w:p>
    <w:p>
      <w:pPr>
        <w:spacing w:line="520" w:lineRule="exact"/>
        <w:rPr>
          <w:rFonts w:hint="eastAsia" w:ascii="宋体" w:hAnsi="宋体" w:cs="宋体"/>
          <w:spacing w:val="-2"/>
          <w:sz w:val="24"/>
        </w:rPr>
      </w:pPr>
    </w:p>
    <w:p>
      <w:pP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w:t>
      </w:r>
      <w:r>
        <w:rPr>
          <w:rFonts w:hint="eastAsia" w:ascii="宋体" w:hAnsi="宋体" w:eastAsia="宋体" w:cs="宋体"/>
          <w:b/>
          <w:color w:val="000000"/>
          <w:sz w:val="24"/>
          <w:szCs w:val="24"/>
          <w:highlight w:val="none"/>
        </w:rPr>
        <w:t>盖单位公章</w:t>
      </w:r>
      <w:r>
        <w:rPr>
          <w:rFonts w:hint="eastAsia" w:ascii="宋体" w:hAnsi="宋体" w:eastAsia="宋体" w:cs="宋体"/>
          <w:color w:val="000000"/>
          <w:sz w:val="24"/>
          <w:szCs w:val="24"/>
          <w:highlight w:val="none"/>
        </w:rPr>
        <w:t>）：</w:t>
      </w:r>
    </w:p>
    <w:p>
      <w:pP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法定代表人（负责人）或授权委托人：</w:t>
      </w:r>
      <w:r>
        <w:rPr>
          <w:rFonts w:hint="eastAsia" w:ascii="宋体" w:hAnsi="宋体" w:eastAsia="宋体" w:cs="宋体"/>
          <w:b/>
          <w:color w:val="000000"/>
          <w:sz w:val="24"/>
          <w:szCs w:val="24"/>
          <w:highlight w:val="none"/>
        </w:rPr>
        <w:t>（签字</w:t>
      </w:r>
      <w:r>
        <w:rPr>
          <w:rFonts w:hint="eastAsia" w:ascii="宋体" w:hAnsi="宋体" w:eastAsia="宋体" w:cs="宋体"/>
          <w:b/>
          <w:color w:val="000000"/>
          <w:sz w:val="24"/>
          <w:szCs w:val="24"/>
          <w:highlight w:val="none"/>
          <w:lang w:eastAsia="zh-CN"/>
        </w:rPr>
        <w:t>或盖章</w:t>
      </w:r>
      <w:r>
        <w:rPr>
          <w:rFonts w:hint="eastAsia" w:ascii="宋体" w:hAnsi="宋体" w:eastAsia="宋体" w:cs="宋体"/>
          <w:b/>
          <w:color w:val="000000"/>
          <w:sz w:val="24"/>
          <w:szCs w:val="24"/>
          <w:highlight w:val="none"/>
        </w:rPr>
        <w:t>）</w:t>
      </w:r>
    </w:p>
    <w:p>
      <w:pP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联系电话</w:t>
      </w:r>
      <w:r>
        <w:rPr>
          <w:rFonts w:hint="eastAsia" w:ascii="宋体" w:hAnsi="宋体" w:eastAsia="宋体" w:cs="宋体"/>
          <w:b/>
          <w:color w:val="000000"/>
          <w:sz w:val="24"/>
          <w:szCs w:val="24"/>
          <w:highlight w:val="none"/>
        </w:rPr>
        <w:t>（必须填写）</w:t>
      </w:r>
      <w:r>
        <w:rPr>
          <w:rFonts w:hint="eastAsia" w:ascii="宋体" w:hAnsi="宋体" w:eastAsia="宋体" w:cs="宋体"/>
          <w:color w:val="000000"/>
          <w:sz w:val="24"/>
          <w:szCs w:val="24"/>
          <w:highlight w:val="none"/>
        </w:rPr>
        <w:t>：</w:t>
      </w:r>
    </w:p>
    <w:p>
      <w:pP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公司地址</w:t>
      </w:r>
      <w:r>
        <w:rPr>
          <w:rFonts w:hint="eastAsia" w:ascii="宋体" w:hAnsi="宋体" w:eastAsia="宋体" w:cs="宋体"/>
          <w:b/>
          <w:color w:val="000000"/>
          <w:sz w:val="24"/>
          <w:szCs w:val="24"/>
          <w:highlight w:val="none"/>
        </w:rPr>
        <w:t>（必须填写）</w:t>
      </w:r>
      <w:r>
        <w:rPr>
          <w:rFonts w:hint="eastAsia" w:ascii="宋体" w:hAnsi="宋体" w:eastAsia="宋体" w:cs="宋体"/>
          <w:color w:val="000000"/>
          <w:sz w:val="24"/>
          <w:szCs w:val="24"/>
          <w:highlight w:val="none"/>
        </w:rPr>
        <w:t>：</w:t>
      </w:r>
    </w:p>
    <w:p>
      <w:pPr>
        <w:spacing w:line="520" w:lineRule="exact"/>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 xml:space="preserve">日期： </w:t>
      </w:r>
      <w:r>
        <w:rPr>
          <w:rFonts w:hint="eastAsia" w:ascii="宋体" w:hAnsi="宋体" w:eastAsia="宋体" w:cs="宋体"/>
          <w:color w:val="000000"/>
          <w:kern w:val="0"/>
          <w:sz w:val="24"/>
          <w:szCs w:val="24"/>
          <w:highlight w:val="none"/>
          <w:u w:val="single"/>
        </w:rPr>
        <w:t xml:space="preserve">      </w:t>
      </w:r>
      <w:r>
        <w:rPr>
          <w:rFonts w:hint="eastAsia" w:ascii="宋体" w:hAnsi="宋体" w:eastAsia="宋体" w:cs="宋体"/>
          <w:color w:val="000000"/>
          <w:kern w:val="0"/>
          <w:sz w:val="24"/>
          <w:szCs w:val="24"/>
          <w:highlight w:val="none"/>
        </w:rPr>
        <w:t>年</w:t>
      </w:r>
      <w:r>
        <w:rPr>
          <w:rFonts w:hint="eastAsia" w:ascii="宋体" w:hAnsi="宋体" w:eastAsia="宋体" w:cs="宋体"/>
          <w:color w:val="000000"/>
          <w:kern w:val="0"/>
          <w:sz w:val="24"/>
          <w:szCs w:val="24"/>
          <w:highlight w:val="none"/>
          <w:u w:val="single"/>
        </w:rPr>
        <w:t xml:space="preserve">   </w:t>
      </w:r>
      <w:r>
        <w:rPr>
          <w:rFonts w:hint="eastAsia" w:ascii="宋体" w:hAnsi="宋体" w:eastAsia="宋体" w:cs="宋体"/>
          <w:color w:val="000000"/>
          <w:kern w:val="0"/>
          <w:sz w:val="24"/>
          <w:szCs w:val="24"/>
          <w:highlight w:val="none"/>
        </w:rPr>
        <w:t>月</w:t>
      </w:r>
      <w:r>
        <w:rPr>
          <w:rFonts w:hint="eastAsia" w:ascii="宋体" w:hAnsi="宋体" w:eastAsia="宋体" w:cs="宋体"/>
          <w:color w:val="000000"/>
          <w:kern w:val="0"/>
          <w:sz w:val="24"/>
          <w:szCs w:val="24"/>
          <w:highlight w:val="none"/>
          <w:u w:val="single"/>
        </w:rPr>
        <w:t xml:space="preserve">   </w:t>
      </w:r>
      <w:r>
        <w:rPr>
          <w:rFonts w:hint="eastAsia" w:ascii="宋体" w:hAnsi="宋体" w:eastAsia="宋体" w:cs="宋体"/>
          <w:color w:val="000000"/>
          <w:kern w:val="0"/>
          <w:sz w:val="24"/>
          <w:szCs w:val="24"/>
          <w:highlight w:val="none"/>
        </w:rPr>
        <w:t>日</w:t>
      </w:r>
    </w:p>
    <w:p>
      <w:pPr>
        <w:widowControl/>
        <w:shd w:val="clear" w:color="auto" w:fill="FFFFFF"/>
        <w:spacing w:line="360" w:lineRule="auto"/>
        <w:rPr>
          <w:rFonts w:hint="eastAsia" w:ascii="宋体" w:hAnsi="宋体" w:eastAsia="宋体" w:cs="宋体"/>
          <w:b/>
          <w:bCs/>
          <w:sz w:val="24"/>
          <w:lang w:val="en-US" w:eastAsia="zh-CN"/>
        </w:rPr>
      </w:pPr>
    </w:p>
    <w:p>
      <w:pPr>
        <w:pStyle w:val="7"/>
      </w:pPr>
    </w:p>
    <w:p/>
    <w:p>
      <w:pPr>
        <w:keepNext w:val="0"/>
        <w:keepLines w:val="0"/>
        <w:widowControl/>
        <w:suppressLineNumbers w:val="0"/>
        <w:spacing w:before="0" w:beforeAutospacing="0" w:after="0" w:afterAutospacing="0" w:line="440" w:lineRule="exact"/>
        <w:ind w:left="0" w:right="0" w:firstLine="0" w:firstLineChars="0"/>
        <w:jc w:val="center"/>
        <w:rPr>
          <w:rFonts w:hint="eastAsia" w:ascii="宋体" w:hAnsi="宋体" w:eastAsia="宋体" w:cs="宋体"/>
          <w:b/>
          <w:color w:val="000000"/>
          <w:kern w:val="2"/>
          <w:sz w:val="32"/>
          <w:szCs w:val="32"/>
          <w:highlight w:val="none"/>
          <w:lang w:val="en-US" w:eastAsia="zh-CN" w:bidi="ar-SA"/>
        </w:rPr>
      </w:pPr>
    </w:p>
    <w:p>
      <w:pPr>
        <w:keepNext w:val="0"/>
        <w:keepLines w:val="0"/>
        <w:widowControl/>
        <w:suppressLineNumbers w:val="0"/>
        <w:spacing w:before="0" w:beforeAutospacing="0" w:after="0" w:afterAutospacing="0" w:line="440" w:lineRule="exact"/>
        <w:ind w:left="0" w:right="0" w:firstLine="0" w:firstLineChars="0"/>
        <w:jc w:val="center"/>
        <w:rPr>
          <w:rFonts w:hint="eastAsia" w:ascii="宋体" w:hAnsi="宋体" w:eastAsia="宋体" w:cs="宋体"/>
          <w:b/>
          <w:color w:val="000000"/>
          <w:kern w:val="2"/>
          <w:sz w:val="32"/>
          <w:szCs w:val="32"/>
          <w:highlight w:val="none"/>
          <w:lang w:val="en-US" w:eastAsia="zh-CN" w:bidi="ar-SA"/>
        </w:rPr>
      </w:pPr>
    </w:p>
    <w:p>
      <w:pPr>
        <w:keepNext w:val="0"/>
        <w:keepLines w:val="0"/>
        <w:widowControl/>
        <w:suppressLineNumbers w:val="0"/>
        <w:spacing w:before="0" w:beforeAutospacing="0" w:after="0" w:afterAutospacing="0" w:line="440" w:lineRule="exact"/>
        <w:ind w:left="0" w:right="0" w:firstLine="0" w:firstLineChars="0"/>
        <w:jc w:val="center"/>
        <w:rPr>
          <w:rFonts w:hint="default" w:ascii="宋体" w:hAnsi="宋体" w:eastAsia="宋体" w:cs="宋体"/>
          <w:b/>
          <w:color w:val="000000"/>
          <w:kern w:val="2"/>
          <w:sz w:val="32"/>
          <w:szCs w:val="32"/>
          <w:highlight w:val="none"/>
          <w:lang w:val="en-US" w:eastAsia="zh-CN" w:bidi="ar-SA"/>
        </w:rPr>
      </w:pPr>
      <w:r>
        <w:rPr>
          <w:rFonts w:hint="eastAsia" w:ascii="宋体" w:hAnsi="宋体" w:eastAsia="宋体" w:cs="宋体"/>
          <w:b/>
          <w:color w:val="000000"/>
          <w:kern w:val="2"/>
          <w:sz w:val="32"/>
          <w:szCs w:val="32"/>
          <w:highlight w:val="none"/>
          <w:lang w:val="en-US" w:eastAsia="zh-CN" w:bidi="ar-SA"/>
        </w:rPr>
        <w:t>四、技术规格响应偏离表</w:t>
      </w:r>
    </w:p>
    <w:p>
      <w:pPr>
        <w:pStyle w:val="13"/>
        <w:keepNext w:val="0"/>
        <w:keepLines w:val="0"/>
        <w:widowControl/>
        <w:suppressLineNumbers w:val="0"/>
        <w:spacing w:before="0" w:beforeAutospacing="0" w:after="0" w:afterAutospacing="0"/>
        <w:ind w:left="0" w:right="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 xml:space="preserve"> </w:t>
      </w:r>
    </w:p>
    <w:tbl>
      <w:tblPr>
        <w:tblStyle w:val="17"/>
        <w:tblW w:w="9270" w:type="dxa"/>
        <w:jc w:val="center"/>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3" w:type="dxa"/>
          <w:bottom w:w="0" w:type="dxa"/>
          <w:right w:w="3" w:type="dxa"/>
        </w:tblCellMar>
      </w:tblPr>
      <w:tblGrid>
        <w:gridCol w:w="1083"/>
        <w:gridCol w:w="3052"/>
        <w:gridCol w:w="2795"/>
        <w:gridCol w:w="1170"/>
        <w:gridCol w:w="1170"/>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3" w:type="dxa"/>
            <w:bottom w:w="0" w:type="dxa"/>
            <w:right w:w="3" w:type="dxa"/>
          </w:tblCellMar>
        </w:tblPrEx>
        <w:trPr>
          <w:trHeight w:val="773" w:hRule="atLeast"/>
          <w:jc w:val="center"/>
        </w:trPr>
        <w:tc>
          <w:tcPr>
            <w:tcW w:w="108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序号</w:t>
            </w:r>
          </w:p>
        </w:tc>
        <w:tc>
          <w:tcPr>
            <w:tcW w:w="3052"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default" w:ascii="宋体" w:hAnsi="宋体" w:eastAsia="宋体" w:cs="宋体"/>
                <w:color w:val="000000"/>
                <w:kern w:val="2"/>
                <w:sz w:val="21"/>
                <w:szCs w:val="21"/>
                <w:highlight w:val="none"/>
                <w:lang w:val="en-US"/>
              </w:rPr>
            </w:pPr>
            <w:r>
              <w:rPr>
                <w:rFonts w:hint="default" w:ascii="宋体" w:hAnsi="宋体" w:eastAsia="宋体" w:cs="宋体"/>
                <w:color w:val="000000"/>
                <w:kern w:val="2"/>
                <w:sz w:val="21"/>
                <w:szCs w:val="21"/>
                <w:highlight w:val="none"/>
                <w:lang w:val="en-US"/>
              </w:rPr>
              <w:t>项目采购需求中主要技术条款描述</w:t>
            </w:r>
          </w:p>
        </w:tc>
        <w:tc>
          <w:tcPr>
            <w:tcW w:w="2795"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default" w:ascii="宋体" w:hAnsi="宋体" w:eastAsia="宋体" w:cs="宋体"/>
                <w:color w:val="000000"/>
                <w:kern w:val="2"/>
                <w:sz w:val="21"/>
                <w:szCs w:val="21"/>
                <w:highlight w:val="none"/>
                <w:lang w:val="en-US"/>
              </w:rPr>
            </w:pPr>
            <w:r>
              <w:rPr>
                <w:rFonts w:hint="default" w:ascii="宋体" w:hAnsi="宋体" w:eastAsia="宋体" w:cs="宋体"/>
                <w:color w:val="000000"/>
                <w:kern w:val="2"/>
                <w:sz w:val="21"/>
                <w:szCs w:val="21"/>
                <w:highlight w:val="none"/>
                <w:lang w:val="en-US"/>
              </w:rPr>
              <w:t>所投产品规格、型号及相应技术参数描述</w:t>
            </w:r>
          </w:p>
        </w:tc>
        <w:tc>
          <w:tcPr>
            <w:tcW w:w="1170"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firstLine="210" w:firstLineChars="100"/>
              <w:jc w:val="both"/>
              <w:rPr>
                <w:rFonts w:hint="default" w:ascii="宋体" w:hAnsi="宋体" w:eastAsia="宋体" w:cs="宋体"/>
                <w:color w:val="000000"/>
                <w:kern w:val="2"/>
                <w:sz w:val="21"/>
                <w:szCs w:val="21"/>
                <w:highlight w:val="none"/>
                <w:lang w:val="en-US"/>
              </w:rPr>
            </w:pPr>
            <w:r>
              <w:rPr>
                <w:rFonts w:hint="default" w:ascii="宋体" w:hAnsi="宋体" w:eastAsia="宋体" w:cs="宋体"/>
                <w:color w:val="000000"/>
                <w:kern w:val="2"/>
                <w:sz w:val="21"/>
                <w:szCs w:val="21"/>
                <w:highlight w:val="none"/>
                <w:lang w:val="en-US"/>
              </w:rPr>
              <w:t>偏离情况</w:t>
            </w:r>
          </w:p>
        </w:tc>
        <w:tc>
          <w:tcPr>
            <w:tcW w:w="1170"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备注</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3" w:type="dxa"/>
            <w:bottom w:w="0" w:type="dxa"/>
            <w:right w:w="3" w:type="dxa"/>
          </w:tblCellMar>
        </w:tblPrEx>
        <w:trPr>
          <w:cantSplit/>
          <w:trHeight w:val="773" w:hRule="atLeast"/>
          <w:jc w:val="center"/>
        </w:trPr>
        <w:tc>
          <w:tcPr>
            <w:tcW w:w="108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1"/>
                <w:szCs w:val="21"/>
                <w:highlight w:val="none"/>
                <w:lang w:val="en-US" w:eastAsia="zh-CN"/>
              </w:rPr>
            </w:pPr>
            <w:r>
              <w:rPr>
                <w:rFonts w:hint="eastAsia" w:ascii="宋体" w:hAnsi="宋体" w:cs="宋体"/>
                <w:color w:val="000000"/>
                <w:kern w:val="2"/>
                <w:sz w:val="21"/>
                <w:szCs w:val="21"/>
                <w:highlight w:val="none"/>
                <w:lang w:val="en-US" w:eastAsia="zh-CN"/>
              </w:rPr>
              <w:t>1</w:t>
            </w:r>
          </w:p>
        </w:tc>
        <w:tc>
          <w:tcPr>
            <w:tcW w:w="3052"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1"/>
                <w:szCs w:val="21"/>
                <w:highlight w:val="none"/>
              </w:rPr>
            </w:pPr>
          </w:p>
        </w:tc>
        <w:tc>
          <w:tcPr>
            <w:tcW w:w="2795"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1"/>
                <w:szCs w:val="21"/>
                <w:highlight w:val="none"/>
              </w:rPr>
            </w:pPr>
          </w:p>
        </w:tc>
        <w:tc>
          <w:tcPr>
            <w:tcW w:w="1170"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1"/>
                <w:szCs w:val="21"/>
                <w:highlight w:val="none"/>
              </w:rPr>
            </w:pPr>
          </w:p>
        </w:tc>
        <w:tc>
          <w:tcPr>
            <w:tcW w:w="1170"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3" w:type="dxa"/>
            <w:bottom w:w="0" w:type="dxa"/>
            <w:right w:w="3" w:type="dxa"/>
          </w:tblCellMar>
        </w:tblPrEx>
        <w:trPr>
          <w:cantSplit/>
          <w:trHeight w:val="773" w:hRule="atLeast"/>
          <w:jc w:val="center"/>
        </w:trPr>
        <w:tc>
          <w:tcPr>
            <w:tcW w:w="108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1"/>
                <w:szCs w:val="21"/>
                <w:highlight w:val="none"/>
                <w:lang w:val="en-US" w:eastAsia="zh-CN"/>
              </w:rPr>
            </w:pPr>
            <w:r>
              <w:rPr>
                <w:rFonts w:hint="eastAsia" w:ascii="宋体" w:hAnsi="宋体" w:cs="宋体"/>
                <w:color w:val="000000"/>
                <w:kern w:val="2"/>
                <w:sz w:val="21"/>
                <w:szCs w:val="21"/>
                <w:highlight w:val="none"/>
                <w:lang w:val="en-US" w:eastAsia="zh-CN"/>
              </w:rPr>
              <w:t>2</w:t>
            </w:r>
          </w:p>
        </w:tc>
        <w:tc>
          <w:tcPr>
            <w:tcW w:w="3052"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1"/>
                <w:szCs w:val="21"/>
                <w:highlight w:val="none"/>
              </w:rPr>
            </w:pPr>
          </w:p>
        </w:tc>
        <w:tc>
          <w:tcPr>
            <w:tcW w:w="2795"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1"/>
                <w:szCs w:val="21"/>
                <w:highlight w:val="none"/>
              </w:rPr>
            </w:pPr>
          </w:p>
        </w:tc>
        <w:tc>
          <w:tcPr>
            <w:tcW w:w="1170"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1"/>
                <w:szCs w:val="21"/>
                <w:highlight w:val="none"/>
              </w:rPr>
            </w:pPr>
          </w:p>
        </w:tc>
        <w:tc>
          <w:tcPr>
            <w:tcW w:w="1170"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3" w:type="dxa"/>
            <w:bottom w:w="0" w:type="dxa"/>
            <w:right w:w="3" w:type="dxa"/>
          </w:tblCellMar>
        </w:tblPrEx>
        <w:trPr>
          <w:cantSplit/>
          <w:trHeight w:val="773" w:hRule="atLeast"/>
          <w:jc w:val="center"/>
        </w:trPr>
        <w:tc>
          <w:tcPr>
            <w:tcW w:w="108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1"/>
                <w:szCs w:val="21"/>
                <w:highlight w:val="none"/>
                <w:lang w:val="en-US" w:eastAsia="zh-CN"/>
              </w:rPr>
            </w:pPr>
            <w:r>
              <w:rPr>
                <w:rFonts w:hint="eastAsia" w:ascii="宋体" w:hAnsi="宋体" w:cs="宋体"/>
                <w:color w:val="000000"/>
                <w:kern w:val="2"/>
                <w:sz w:val="21"/>
                <w:szCs w:val="21"/>
                <w:highlight w:val="none"/>
                <w:lang w:val="en-US" w:eastAsia="zh-CN"/>
              </w:rPr>
              <w:t>3</w:t>
            </w:r>
          </w:p>
        </w:tc>
        <w:tc>
          <w:tcPr>
            <w:tcW w:w="3052"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1"/>
                <w:szCs w:val="21"/>
                <w:highlight w:val="none"/>
              </w:rPr>
            </w:pPr>
          </w:p>
        </w:tc>
        <w:tc>
          <w:tcPr>
            <w:tcW w:w="2795"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1"/>
                <w:szCs w:val="21"/>
                <w:highlight w:val="none"/>
              </w:rPr>
            </w:pPr>
          </w:p>
        </w:tc>
        <w:tc>
          <w:tcPr>
            <w:tcW w:w="1170"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1"/>
                <w:szCs w:val="21"/>
                <w:highlight w:val="none"/>
              </w:rPr>
            </w:pPr>
          </w:p>
        </w:tc>
        <w:tc>
          <w:tcPr>
            <w:tcW w:w="1170"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3" w:type="dxa"/>
            <w:bottom w:w="0" w:type="dxa"/>
            <w:right w:w="3" w:type="dxa"/>
          </w:tblCellMar>
        </w:tblPrEx>
        <w:trPr>
          <w:cantSplit/>
          <w:trHeight w:val="773" w:hRule="atLeast"/>
          <w:jc w:val="center"/>
        </w:trPr>
        <w:tc>
          <w:tcPr>
            <w:tcW w:w="108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1"/>
                <w:szCs w:val="21"/>
                <w:highlight w:val="none"/>
                <w:lang w:val="en-US" w:eastAsia="zh-CN"/>
              </w:rPr>
            </w:pPr>
            <w:r>
              <w:rPr>
                <w:rFonts w:hint="eastAsia" w:ascii="宋体" w:hAnsi="宋体" w:cs="宋体"/>
                <w:color w:val="000000"/>
                <w:kern w:val="2"/>
                <w:sz w:val="21"/>
                <w:szCs w:val="21"/>
                <w:highlight w:val="none"/>
                <w:lang w:val="en-US" w:eastAsia="zh-CN"/>
              </w:rPr>
              <w:t>4</w:t>
            </w:r>
          </w:p>
        </w:tc>
        <w:tc>
          <w:tcPr>
            <w:tcW w:w="3052"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1"/>
                <w:szCs w:val="21"/>
                <w:highlight w:val="none"/>
              </w:rPr>
            </w:pPr>
          </w:p>
        </w:tc>
        <w:tc>
          <w:tcPr>
            <w:tcW w:w="2795"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1"/>
                <w:szCs w:val="21"/>
                <w:highlight w:val="none"/>
              </w:rPr>
            </w:pPr>
          </w:p>
        </w:tc>
        <w:tc>
          <w:tcPr>
            <w:tcW w:w="1170"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1"/>
                <w:szCs w:val="21"/>
                <w:highlight w:val="none"/>
              </w:rPr>
            </w:pPr>
          </w:p>
        </w:tc>
        <w:tc>
          <w:tcPr>
            <w:tcW w:w="1170"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3" w:type="dxa"/>
            <w:bottom w:w="0" w:type="dxa"/>
            <w:right w:w="3" w:type="dxa"/>
          </w:tblCellMar>
        </w:tblPrEx>
        <w:trPr>
          <w:cantSplit/>
          <w:trHeight w:val="773" w:hRule="atLeast"/>
          <w:jc w:val="center"/>
        </w:trPr>
        <w:tc>
          <w:tcPr>
            <w:tcW w:w="108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1"/>
                <w:szCs w:val="21"/>
                <w:highlight w:val="none"/>
                <w:lang w:val="en-US" w:eastAsia="zh-CN"/>
              </w:rPr>
            </w:pPr>
            <w:r>
              <w:rPr>
                <w:rFonts w:hint="eastAsia" w:ascii="宋体" w:hAnsi="宋体" w:cs="宋体"/>
                <w:color w:val="000000"/>
                <w:kern w:val="2"/>
                <w:sz w:val="21"/>
                <w:szCs w:val="21"/>
                <w:highlight w:val="none"/>
                <w:lang w:val="en-US" w:eastAsia="zh-CN"/>
              </w:rPr>
              <w:t>5</w:t>
            </w:r>
          </w:p>
        </w:tc>
        <w:tc>
          <w:tcPr>
            <w:tcW w:w="3052"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1"/>
                <w:szCs w:val="21"/>
                <w:highlight w:val="none"/>
              </w:rPr>
            </w:pPr>
          </w:p>
        </w:tc>
        <w:tc>
          <w:tcPr>
            <w:tcW w:w="2795"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1"/>
                <w:szCs w:val="21"/>
                <w:highlight w:val="none"/>
              </w:rPr>
            </w:pPr>
          </w:p>
        </w:tc>
        <w:tc>
          <w:tcPr>
            <w:tcW w:w="1170"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1"/>
                <w:szCs w:val="21"/>
                <w:highlight w:val="none"/>
              </w:rPr>
            </w:pPr>
          </w:p>
        </w:tc>
        <w:tc>
          <w:tcPr>
            <w:tcW w:w="1170"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3" w:type="dxa"/>
            <w:bottom w:w="0" w:type="dxa"/>
            <w:right w:w="3" w:type="dxa"/>
          </w:tblCellMar>
        </w:tblPrEx>
        <w:trPr>
          <w:cantSplit/>
          <w:trHeight w:val="773" w:hRule="atLeast"/>
          <w:jc w:val="center"/>
        </w:trPr>
        <w:tc>
          <w:tcPr>
            <w:tcW w:w="108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default" w:ascii="宋体" w:hAnsi="宋体" w:eastAsia="宋体" w:cs="宋体"/>
                <w:color w:val="000000"/>
                <w:kern w:val="2"/>
                <w:sz w:val="21"/>
                <w:szCs w:val="21"/>
                <w:highlight w:val="none"/>
                <w:lang w:val="en-US" w:eastAsia="zh-CN"/>
              </w:rPr>
            </w:pPr>
            <w:r>
              <w:rPr>
                <w:rFonts w:hint="eastAsia" w:ascii="宋体" w:hAnsi="宋体" w:cs="宋体"/>
                <w:color w:val="000000"/>
                <w:kern w:val="2"/>
                <w:sz w:val="21"/>
                <w:szCs w:val="21"/>
                <w:highlight w:val="none"/>
                <w:lang w:val="en-US" w:eastAsia="zh-CN"/>
              </w:rPr>
              <w:t>......</w:t>
            </w:r>
          </w:p>
        </w:tc>
        <w:tc>
          <w:tcPr>
            <w:tcW w:w="3052"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1"/>
                <w:szCs w:val="21"/>
                <w:highlight w:val="none"/>
              </w:rPr>
            </w:pPr>
          </w:p>
        </w:tc>
        <w:tc>
          <w:tcPr>
            <w:tcW w:w="2795"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1"/>
                <w:szCs w:val="21"/>
                <w:highlight w:val="none"/>
              </w:rPr>
            </w:pPr>
          </w:p>
        </w:tc>
        <w:tc>
          <w:tcPr>
            <w:tcW w:w="1170"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1"/>
                <w:szCs w:val="21"/>
                <w:highlight w:val="none"/>
              </w:rPr>
            </w:pPr>
          </w:p>
        </w:tc>
        <w:tc>
          <w:tcPr>
            <w:tcW w:w="1170"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3" w:type="dxa"/>
            <w:bottom w:w="0" w:type="dxa"/>
            <w:right w:w="3" w:type="dxa"/>
          </w:tblCellMar>
        </w:tblPrEx>
        <w:trPr>
          <w:cantSplit/>
          <w:trHeight w:val="773" w:hRule="atLeast"/>
          <w:jc w:val="center"/>
        </w:trPr>
        <w:tc>
          <w:tcPr>
            <w:tcW w:w="108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1"/>
                <w:szCs w:val="21"/>
                <w:highlight w:val="none"/>
              </w:rPr>
            </w:pPr>
          </w:p>
        </w:tc>
        <w:tc>
          <w:tcPr>
            <w:tcW w:w="3052"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1"/>
                <w:szCs w:val="21"/>
                <w:highlight w:val="none"/>
              </w:rPr>
            </w:pPr>
          </w:p>
        </w:tc>
        <w:tc>
          <w:tcPr>
            <w:tcW w:w="2795"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1"/>
                <w:szCs w:val="21"/>
                <w:highlight w:val="none"/>
              </w:rPr>
            </w:pPr>
          </w:p>
        </w:tc>
        <w:tc>
          <w:tcPr>
            <w:tcW w:w="1170"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1"/>
                <w:szCs w:val="21"/>
                <w:highlight w:val="none"/>
              </w:rPr>
            </w:pPr>
          </w:p>
        </w:tc>
        <w:tc>
          <w:tcPr>
            <w:tcW w:w="1170"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3" w:type="dxa"/>
            <w:bottom w:w="0" w:type="dxa"/>
            <w:right w:w="3" w:type="dxa"/>
          </w:tblCellMar>
        </w:tblPrEx>
        <w:trPr>
          <w:cantSplit/>
          <w:trHeight w:val="773" w:hRule="atLeast"/>
          <w:jc w:val="center"/>
        </w:trPr>
        <w:tc>
          <w:tcPr>
            <w:tcW w:w="108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1"/>
                <w:szCs w:val="21"/>
                <w:highlight w:val="none"/>
              </w:rPr>
            </w:pPr>
          </w:p>
        </w:tc>
        <w:tc>
          <w:tcPr>
            <w:tcW w:w="3052"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1"/>
                <w:szCs w:val="21"/>
                <w:highlight w:val="none"/>
              </w:rPr>
            </w:pPr>
          </w:p>
        </w:tc>
        <w:tc>
          <w:tcPr>
            <w:tcW w:w="2795"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1"/>
                <w:szCs w:val="21"/>
                <w:highlight w:val="none"/>
              </w:rPr>
            </w:pPr>
          </w:p>
        </w:tc>
        <w:tc>
          <w:tcPr>
            <w:tcW w:w="1170"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1"/>
                <w:szCs w:val="21"/>
                <w:highlight w:val="none"/>
              </w:rPr>
            </w:pPr>
          </w:p>
        </w:tc>
        <w:tc>
          <w:tcPr>
            <w:tcW w:w="1170"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1"/>
                <w:szCs w:val="21"/>
                <w:highlight w:val="none"/>
              </w:rPr>
            </w:pPr>
          </w:p>
        </w:tc>
      </w:tr>
    </w:tbl>
    <w:p>
      <w:pPr>
        <w:keepNext w:val="0"/>
        <w:keepLines w:val="0"/>
        <w:widowControl w:val="0"/>
        <w:suppressLineNumbers w:val="0"/>
        <w:spacing w:before="0" w:beforeAutospacing="0" w:after="0" w:afterAutospacing="0" w:line="520" w:lineRule="exact"/>
        <w:ind w:left="0" w:right="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 xml:space="preserve"> </w:t>
      </w:r>
    </w:p>
    <w:p>
      <w:pPr>
        <w:keepNext w:val="0"/>
        <w:keepLines w:val="0"/>
        <w:widowControl w:val="0"/>
        <w:suppressLineNumbers w:val="0"/>
        <w:spacing w:before="0" w:beforeAutospacing="0" w:after="0" w:afterAutospacing="0" w:line="520" w:lineRule="exact"/>
        <w:ind w:left="0" w:right="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 xml:space="preserve"> </w:t>
      </w:r>
    </w:p>
    <w:p>
      <w:pPr>
        <w:pStyle w:val="13"/>
        <w:keepNext w:val="0"/>
        <w:keepLines w:val="0"/>
        <w:widowControl/>
        <w:suppressLineNumbers w:val="0"/>
        <w:spacing w:before="0" w:beforeAutospacing="0" w:after="0" w:afterAutospacing="0"/>
        <w:ind w:left="0" w:right="0"/>
        <w:jc w:val="both"/>
        <w:rPr>
          <w:rFonts w:hint="default" w:ascii="Times New Roman" w:hAnsi="Times New Roman" w:eastAsia="宋体" w:cs="宋体"/>
          <w:color w:val="000000"/>
          <w:kern w:val="2"/>
          <w:sz w:val="21"/>
          <w:szCs w:val="21"/>
          <w:highlight w:val="none"/>
        </w:rPr>
      </w:pPr>
      <w:r>
        <w:rPr>
          <w:rFonts w:hint="default" w:ascii="Times New Roman" w:hAnsi="Times New Roman" w:eastAsia="宋体" w:cs="宋体"/>
          <w:color w:val="000000"/>
          <w:kern w:val="2"/>
          <w:sz w:val="21"/>
          <w:szCs w:val="21"/>
          <w:highlight w:val="none"/>
          <w:lang w:val="en-US" w:eastAsia="zh-CN" w:bidi="ar"/>
        </w:rPr>
        <w:t xml:space="preserve"> </w:t>
      </w:r>
    </w:p>
    <w:p>
      <w:pPr>
        <w:keepNext w:val="0"/>
        <w:keepLines w:val="0"/>
        <w:widowControl w:val="0"/>
        <w:suppressLineNumbers w:val="0"/>
        <w:spacing w:before="0" w:beforeAutospacing="0" w:after="0" w:afterAutospacing="0" w:line="440" w:lineRule="exact"/>
        <w:ind w:left="0" w:right="0" w:firstLine="4365" w:firstLineChars="2079"/>
        <w:jc w:val="both"/>
        <w:rPr>
          <w:rFonts w:hint="default" w:ascii="Times New Roman" w:hAnsi="Times New Roman" w:eastAsia="宋体" w:cs="Times New Roman"/>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供应商：</w:t>
      </w:r>
      <w:r>
        <w:rPr>
          <w:rFonts w:hint="default" w:ascii="Times New Roman" w:hAnsi="Times New Roman" w:eastAsia="宋体" w:cs="Times New Roman"/>
          <w:color w:val="000000"/>
          <w:kern w:val="2"/>
          <w:sz w:val="21"/>
          <w:szCs w:val="21"/>
          <w:highlight w:val="none"/>
          <w:u w:val="single"/>
          <w:lang w:val="en-US" w:eastAsia="zh-CN" w:bidi="ar"/>
        </w:rPr>
        <w:tab/>
      </w:r>
      <w:r>
        <w:rPr>
          <w:rFonts w:hint="default" w:ascii="Times New Roman" w:hAnsi="Times New Roman" w:eastAsia="宋体" w:cs="Times New Roman"/>
          <w:color w:val="000000"/>
          <w:kern w:val="2"/>
          <w:sz w:val="21"/>
          <w:szCs w:val="21"/>
          <w:highlight w:val="none"/>
          <w:u w:val="single"/>
          <w:lang w:val="en-US" w:eastAsia="zh-CN" w:bidi="ar"/>
        </w:rPr>
        <w:tab/>
      </w:r>
      <w:r>
        <w:rPr>
          <w:rFonts w:hint="default" w:ascii="Times New Roman" w:hAnsi="Times New Roman" w:eastAsia="宋体" w:cs="Times New Roman"/>
          <w:color w:val="000000"/>
          <w:kern w:val="2"/>
          <w:sz w:val="21"/>
          <w:szCs w:val="21"/>
          <w:highlight w:val="none"/>
          <w:u w:val="single"/>
          <w:lang w:val="en-US" w:eastAsia="zh-CN" w:bidi="ar"/>
        </w:rPr>
        <w:tab/>
      </w:r>
      <w:r>
        <w:rPr>
          <w:rFonts w:hint="default" w:ascii="Times New Roman" w:hAnsi="Times New Roman" w:eastAsia="宋体" w:cs="Times New Roman"/>
          <w:color w:val="000000"/>
          <w:kern w:val="2"/>
          <w:sz w:val="21"/>
          <w:szCs w:val="21"/>
          <w:highlight w:val="none"/>
          <w:u w:val="single"/>
          <w:lang w:val="en-US" w:eastAsia="zh-CN" w:bidi="ar"/>
        </w:rPr>
        <w:t xml:space="preserve">                   </w:t>
      </w:r>
      <w:r>
        <w:rPr>
          <w:rFonts w:hint="default" w:ascii="Times New Roman" w:hAnsi="Times New Roman" w:eastAsia="宋体" w:cs="Times New Roman"/>
          <w:color w:val="000000"/>
          <w:kern w:val="2"/>
          <w:sz w:val="21"/>
          <w:szCs w:val="21"/>
          <w:highlight w:val="none"/>
          <w:u w:val="single"/>
          <w:lang w:val="en-US" w:eastAsia="zh-CN" w:bidi="ar"/>
        </w:rPr>
        <w:tab/>
      </w:r>
      <w:r>
        <w:rPr>
          <w:rFonts w:hint="eastAsia" w:ascii="宋体" w:hAnsi="宋体" w:eastAsia="宋体" w:cs="宋体"/>
          <w:color w:val="000000"/>
          <w:kern w:val="2"/>
          <w:sz w:val="21"/>
          <w:szCs w:val="21"/>
          <w:highlight w:val="none"/>
          <w:lang w:val="en-US" w:eastAsia="zh-CN" w:bidi="ar"/>
        </w:rPr>
        <w:t>（盖单位章）</w:t>
      </w:r>
    </w:p>
    <w:p>
      <w:pPr>
        <w:keepNext w:val="0"/>
        <w:keepLines w:val="0"/>
        <w:widowControl w:val="0"/>
        <w:suppressLineNumbers w:val="0"/>
        <w:spacing w:before="0" w:beforeAutospacing="0" w:after="0" w:afterAutospacing="0" w:line="440" w:lineRule="exact"/>
        <w:ind w:left="0" w:right="0" w:firstLine="2692" w:firstLineChars="1282"/>
        <w:jc w:val="both"/>
        <w:rPr>
          <w:rFonts w:hint="default" w:ascii="Times New Roman" w:hAnsi="Times New Roman" w:eastAsia="宋体" w:cs="Times New Roman"/>
          <w:color w:val="000000"/>
          <w:kern w:val="2"/>
          <w:sz w:val="21"/>
          <w:szCs w:val="21"/>
          <w:highlight w:val="none"/>
        </w:rPr>
      </w:pPr>
      <w:r>
        <w:rPr>
          <w:rFonts w:hint="default" w:ascii="Times New Roman" w:hAnsi="Times New Roman" w:eastAsia="宋体" w:cs="Times New Roman"/>
          <w:color w:val="000000"/>
          <w:kern w:val="2"/>
          <w:sz w:val="21"/>
          <w:szCs w:val="21"/>
          <w:highlight w:val="none"/>
          <w:lang w:val="en-US" w:eastAsia="zh-CN" w:bidi="ar"/>
        </w:rPr>
        <w:t xml:space="preserve"> </w:t>
      </w:r>
    </w:p>
    <w:p>
      <w:pPr>
        <w:keepNext w:val="0"/>
        <w:keepLines w:val="0"/>
        <w:widowControl w:val="0"/>
        <w:suppressLineNumbers w:val="0"/>
        <w:spacing w:before="0" w:beforeAutospacing="0" w:after="0" w:afterAutospacing="0" w:line="440" w:lineRule="exact"/>
        <w:ind w:left="0" w:right="0" w:firstLine="3738" w:firstLineChars="1780"/>
        <w:jc w:val="left"/>
        <w:rPr>
          <w:rFonts w:hint="default" w:ascii="Times New Roman" w:hAnsi="Times New Roman" w:eastAsia="宋体" w:cs="Times New Roman"/>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法定代表人（单位负责人）：</w:t>
      </w:r>
      <w:r>
        <w:rPr>
          <w:rFonts w:hint="default" w:ascii="Times New Roman" w:hAnsi="Times New Roman" w:eastAsia="宋体" w:cs="Times New Roman"/>
          <w:color w:val="000000"/>
          <w:kern w:val="2"/>
          <w:sz w:val="21"/>
          <w:szCs w:val="21"/>
          <w:highlight w:val="none"/>
          <w:u w:val="single"/>
          <w:lang w:val="en-US" w:eastAsia="zh-CN" w:bidi="ar"/>
        </w:rPr>
        <w:tab/>
      </w:r>
      <w:r>
        <w:rPr>
          <w:rFonts w:hint="default" w:ascii="Times New Roman" w:hAnsi="Times New Roman" w:eastAsia="宋体" w:cs="Times New Roman"/>
          <w:color w:val="000000"/>
          <w:kern w:val="2"/>
          <w:sz w:val="21"/>
          <w:szCs w:val="21"/>
          <w:highlight w:val="none"/>
          <w:u w:val="single"/>
          <w:lang w:val="en-US" w:eastAsia="zh-CN" w:bidi="ar"/>
        </w:rPr>
        <w:tab/>
      </w:r>
      <w:r>
        <w:rPr>
          <w:rFonts w:hint="default" w:ascii="Times New Roman" w:hAnsi="Times New Roman" w:eastAsia="宋体" w:cs="Times New Roman"/>
          <w:color w:val="000000"/>
          <w:kern w:val="2"/>
          <w:sz w:val="21"/>
          <w:szCs w:val="21"/>
          <w:highlight w:val="none"/>
          <w:u w:val="single"/>
          <w:lang w:val="en-US" w:eastAsia="zh-CN" w:bidi="ar"/>
        </w:rPr>
        <w:tab/>
      </w:r>
      <w:r>
        <w:rPr>
          <w:rFonts w:hint="default" w:ascii="Times New Roman" w:hAnsi="Times New Roman" w:eastAsia="宋体" w:cs="Times New Roman"/>
          <w:color w:val="000000"/>
          <w:kern w:val="2"/>
          <w:sz w:val="21"/>
          <w:szCs w:val="21"/>
          <w:highlight w:val="none"/>
          <w:u w:val="single"/>
          <w:lang w:val="en-US" w:eastAsia="zh-CN" w:bidi="ar"/>
        </w:rPr>
        <w:t xml:space="preserve">        </w:t>
      </w:r>
      <w:r>
        <w:rPr>
          <w:rFonts w:hint="default" w:ascii="Times New Roman" w:hAnsi="Times New Roman" w:eastAsia="宋体" w:cs="Times New Roman"/>
          <w:color w:val="000000"/>
          <w:kern w:val="2"/>
          <w:sz w:val="21"/>
          <w:szCs w:val="21"/>
          <w:highlight w:val="none"/>
          <w:u w:val="single"/>
          <w:lang w:val="en-US" w:eastAsia="zh-CN" w:bidi="ar"/>
        </w:rPr>
        <w:tab/>
      </w:r>
      <w:r>
        <w:rPr>
          <w:rFonts w:hint="eastAsia" w:ascii="宋体" w:hAnsi="宋体" w:eastAsia="宋体" w:cs="宋体"/>
          <w:color w:val="000000"/>
          <w:kern w:val="2"/>
          <w:sz w:val="21"/>
          <w:szCs w:val="21"/>
          <w:highlight w:val="none"/>
          <w:lang w:val="en-US" w:eastAsia="zh-CN" w:bidi="ar"/>
        </w:rPr>
        <w:t>（签字）</w:t>
      </w:r>
    </w:p>
    <w:p>
      <w:pPr>
        <w:pStyle w:val="13"/>
        <w:keepNext w:val="0"/>
        <w:keepLines w:val="0"/>
        <w:widowControl/>
        <w:suppressLineNumbers w:val="0"/>
        <w:spacing w:before="0" w:beforeAutospacing="0" w:after="0" w:afterAutospacing="0"/>
        <w:ind w:left="0" w:right="0"/>
        <w:jc w:val="both"/>
        <w:rPr>
          <w:rFonts w:hint="default" w:ascii="Times New Roman" w:hAnsi="Times New Roman" w:eastAsia="宋体" w:cs="宋体"/>
          <w:color w:val="000000"/>
          <w:kern w:val="2"/>
          <w:sz w:val="21"/>
          <w:szCs w:val="21"/>
          <w:highlight w:val="none"/>
        </w:rPr>
      </w:pPr>
      <w:r>
        <w:rPr>
          <w:rFonts w:hint="default" w:ascii="Times New Roman" w:hAnsi="Times New Roman" w:eastAsia="宋体" w:cs="宋体"/>
          <w:color w:val="000000"/>
          <w:kern w:val="2"/>
          <w:sz w:val="21"/>
          <w:szCs w:val="21"/>
          <w:highlight w:val="none"/>
          <w:lang w:val="en-US" w:eastAsia="zh-CN" w:bidi="ar"/>
        </w:rPr>
        <w:t xml:space="preserve"> </w:t>
      </w:r>
    </w:p>
    <w:p>
      <w:pPr>
        <w:keepNext w:val="0"/>
        <w:keepLines w:val="0"/>
        <w:widowControl w:val="0"/>
        <w:suppressLineNumbers w:val="0"/>
        <w:spacing w:before="0" w:beforeAutospacing="0" w:after="0" w:afterAutospacing="0" w:line="440" w:lineRule="exact"/>
        <w:ind w:right="0" w:firstLine="6510" w:firstLineChars="3100"/>
        <w:jc w:val="both"/>
        <w:rPr>
          <w:rFonts w:hint="default" w:ascii="Times New Roman" w:hAnsi="Times New Roman" w:eastAsia="宋体" w:cs="Times New Roman"/>
          <w:color w:val="000000"/>
          <w:kern w:val="2"/>
          <w:sz w:val="21"/>
          <w:szCs w:val="21"/>
          <w:highlight w:val="none"/>
        </w:rPr>
      </w:pPr>
      <w:r>
        <w:rPr>
          <w:rFonts w:hint="default" w:ascii="Times New Roman" w:hAnsi="Times New Roman" w:eastAsia="宋体" w:cs="Times New Roman"/>
          <w:color w:val="000000"/>
          <w:kern w:val="2"/>
          <w:sz w:val="21"/>
          <w:szCs w:val="21"/>
          <w:highlight w:val="none"/>
          <w:u w:val="single"/>
          <w:lang w:val="en-US" w:eastAsia="zh-CN" w:bidi="ar"/>
        </w:rPr>
        <w:t xml:space="preserve">       </w:t>
      </w:r>
      <w:r>
        <w:rPr>
          <w:rFonts w:hint="eastAsia" w:ascii="宋体" w:hAnsi="宋体" w:eastAsia="宋体" w:cs="宋体"/>
          <w:color w:val="000000"/>
          <w:kern w:val="2"/>
          <w:sz w:val="21"/>
          <w:szCs w:val="21"/>
          <w:highlight w:val="none"/>
          <w:lang w:val="en-US" w:eastAsia="zh-CN" w:bidi="ar"/>
        </w:rPr>
        <w:t>年</w:t>
      </w:r>
      <w:r>
        <w:rPr>
          <w:rFonts w:hint="default" w:ascii="Times New Roman" w:hAnsi="Times New Roman" w:eastAsia="宋体" w:cs="Times New Roman"/>
          <w:color w:val="000000"/>
          <w:kern w:val="2"/>
          <w:sz w:val="21"/>
          <w:szCs w:val="21"/>
          <w:highlight w:val="none"/>
          <w:u w:val="single"/>
          <w:lang w:val="en-US" w:eastAsia="zh-CN" w:bidi="ar"/>
        </w:rPr>
        <w:t xml:space="preserve">       </w:t>
      </w:r>
      <w:r>
        <w:rPr>
          <w:rFonts w:hint="eastAsia" w:ascii="宋体" w:hAnsi="宋体" w:eastAsia="宋体" w:cs="宋体"/>
          <w:color w:val="000000"/>
          <w:kern w:val="2"/>
          <w:sz w:val="21"/>
          <w:szCs w:val="21"/>
          <w:highlight w:val="none"/>
          <w:lang w:val="en-US" w:eastAsia="zh-CN" w:bidi="ar"/>
        </w:rPr>
        <w:t>月</w:t>
      </w:r>
      <w:r>
        <w:rPr>
          <w:rFonts w:hint="default" w:ascii="Times New Roman" w:hAnsi="Times New Roman" w:eastAsia="宋体" w:cs="Times New Roman"/>
          <w:color w:val="000000"/>
          <w:kern w:val="2"/>
          <w:sz w:val="21"/>
          <w:szCs w:val="21"/>
          <w:highlight w:val="none"/>
          <w:u w:val="single"/>
          <w:lang w:val="en-US" w:eastAsia="zh-CN" w:bidi="ar"/>
        </w:rPr>
        <w:t xml:space="preserve">       </w:t>
      </w:r>
      <w:r>
        <w:rPr>
          <w:rFonts w:hint="eastAsia" w:ascii="宋体" w:hAnsi="宋体" w:eastAsia="宋体" w:cs="宋体"/>
          <w:color w:val="000000"/>
          <w:kern w:val="2"/>
          <w:sz w:val="21"/>
          <w:szCs w:val="21"/>
          <w:highlight w:val="none"/>
          <w:lang w:val="en-US" w:eastAsia="zh-CN" w:bidi="ar"/>
        </w:rPr>
        <w:t>日</w:t>
      </w:r>
    </w:p>
    <w:p>
      <w:pPr>
        <w:keepNext w:val="0"/>
        <w:keepLines w:val="0"/>
        <w:widowControl w:val="0"/>
        <w:suppressLineNumbers w:val="0"/>
        <w:spacing w:before="0" w:beforeAutospacing="0" w:after="0" w:afterAutospacing="0"/>
        <w:ind w:left="540" w:right="0"/>
        <w:jc w:val="both"/>
        <w:rPr>
          <w:rFonts w:hint="eastAsia" w:ascii="宋体" w:hAnsi="宋体" w:eastAsia="宋体" w:cs="宋体"/>
          <w:b/>
          <w:bCs/>
          <w:color w:val="000000"/>
          <w:kern w:val="2"/>
          <w:sz w:val="21"/>
          <w:szCs w:val="21"/>
          <w:highlight w:val="none"/>
          <w:lang w:val="en-US" w:eastAsia="zh-CN" w:bidi="ar"/>
        </w:rPr>
      </w:pPr>
    </w:p>
    <w:p>
      <w:pPr>
        <w:pStyle w:val="7"/>
      </w:pPr>
    </w:p>
    <w:p/>
    <w:p>
      <w:pPr>
        <w:pStyle w:val="7"/>
      </w:pPr>
    </w:p>
    <w:p/>
    <w:p>
      <w:pPr>
        <w:pStyle w:val="7"/>
      </w:pPr>
    </w:p>
    <w:p/>
    <w:p>
      <w:pPr>
        <w:pStyle w:val="7"/>
      </w:pPr>
    </w:p>
    <w:p/>
    <w:p/>
    <w:p>
      <w:pPr>
        <w:pStyle w:val="7"/>
      </w:pPr>
    </w:p>
    <w:p>
      <w:pPr>
        <w:pStyle w:val="5"/>
      </w:pPr>
    </w:p>
    <w:p>
      <w:pPr>
        <w:widowControl/>
        <w:spacing w:before="19" w:line="360" w:lineRule="auto"/>
        <w:jc w:val="left"/>
        <w:rPr>
          <w:rFonts w:ascii="宋体" w:hAnsi="宋体" w:cs="宋体"/>
          <w:b/>
          <w:sz w:val="32"/>
        </w:rPr>
      </w:pPr>
      <w:bookmarkStart w:id="33" w:name="_Hlk38802776"/>
      <w:r>
        <w:rPr>
          <w:rFonts w:hint="eastAsia" w:ascii="宋体" w:hAnsi="宋体" w:cs="宋体"/>
          <w:b/>
          <w:sz w:val="32"/>
          <w:lang w:val="en-US" w:eastAsia="zh-CN"/>
        </w:rPr>
        <w:t>五</w:t>
      </w:r>
      <w:r>
        <w:rPr>
          <w:rFonts w:hint="eastAsia" w:ascii="宋体" w:hAnsi="宋体" w:cs="宋体"/>
          <w:b/>
          <w:sz w:val="32"/>
        </w:rPr>
        <w:t>、服务承诺</w:t>
      </w:r>
    </w:p>
    <w:p>
      <w:pPr>
        <w:spacing w:line="440" w:lineRule="exact"/>
        <w:jc w:val="left"/>
        <w:rPr>
          <w:rFonts w:ascii="宋体" w:hAnsi="宋体" w:cs="宋体"/>
          <w:sz w:val="28"/>
        </w:rPr>
      </w:pPr>
      <w:r>
        <w:rPr>
          <w:rFonts w:hint="eastAsia" w:ascii="宋体" w:hAnsi="宋体" w:cs="宋体"/>
          <w:sz w:val="28"/>
        </w:rPr>
        <w:t>（格式由磋商供应商自定、加盖公章。）</w:t>
      </w:r>
    </w:p>
    <w:bookmarkEnd w:id="33"/>
    <w:p>
      <w:pPr>
        <w:spacing w:line="400" w:lineRule="exact"/>
        <w:jc w:val="left"/>
        <w:rPr>
          <w:rFonts w:ascii="宋体" w:hAnsi="宋体" w:cs="宋体"/>
          <w:b/>
          <w:bCs/>
          <w:sz w:val="32"/>
          <w:szCs w:val="32"/>
        </w:rPr>
      </w:pPr>
    </w:p>
    <w:p>
      <w:pPr>
        <w:spacing w:line="400" w:lineRule="exact"/>
        <w:jc w:val="left"/>
        <w:rPr>
          <w:rFonts w:ascii="宋体" w:hAnsi="宋体" w:cs="宋体"/>
          <w:b/>
          <w:bCs/>
          <w:sz w:val="32"/>
          <w:szCs w:val="32"/>
        </w:rPr>
      </w:pPr>
    </w:p>
    <w:p>
      <w:pPr>
        <w:spacing w:line="400" w:lineRule="exact"/>
        <w:jc w:val="left"/>
        <w:rPr>
          <w:rFonts w:ascii="宋体" w:hAnsi="宋体" w:cs="宋体"/>
          <w:b/>
          <w:bCs/>
          <w:sz w:val="32"/>
        </w:rPr>
      </w:pPr>
      <w:r>
        <w:rPr>
          <w:rFonts w:hint="eastAsia" w:ascii="宋体" w:hAnsi="宋体" w:cs="宋体"/>
          <w:b/>
          <w:bCs/>
          <w:sz w:val="32"/>
          <w:szCs w:val="32"/>
          <w:lang w:val="en-US" w:eastAsia="zh-CN"/>
        </w:rPr>
        <w:t>六</w:t>
      </w:r>
      <w:r>
        <w:rPr>
          <w:rFonts w:hint="eastAsia" w:ascii="宋体" w:hAnsi="宋体" w:cs="宋体"/>
          <w:b/>
          <w:bCs/>
          <w:sz w:val="32"/>
          <w:szCs w:val="32"/>
        </w:rPr>
        <w:t>、</w:t>
      </w:r>
      <w:r>
        <w:rPr>
          <w:rFonts w:hint="eastAsia" w:ascii="宋体" w:hAnsi="宋体" w:cs="宋体"/>
          <w:b/>
          <w:bCs/>
          <w:sz w:val="32"/>
        </w:rPr>
        <w:t>投标供应商必须提交的资格证明文件</w:t>
      </w:r>
    </w:p>
    <w:p>
      <w:pPr>
        <w:spacing w:line="400" w:lineRule="exact"/>
        <w:jc w:val="left"/>
        <w:rPr>
          <w:rFonts w:ascii="宋体" w:hAnsi="宋体" w:cs="宋体"/>
          <w:b/>
          <w:bCs/>
          <w:sz w:val="32"/>
          <w:szCs w:val="32"/>
        </w:rPr>
      </w:pPr>
      <w:r>
        <w:rPr>
          <w:rFonts w:hint="eastAsia" w:ascii="宋体" w:hAnsi="宋体" w:cs="宋体"/>
          <w:bCs/>
          <w:sz w:val="32"/>
        </w:rPr>
        <w:t>（详见采购公告要求）</w:t>
      </w:r>
    </w:p>
    <w:p>
      <w:pPr>
        <w:spacing w:line="440" w:lineRule="exact"/>
        <w:jc w:val="left"/>
        <w:rPr>
          <w:rFonts w:ascii="宋体" w:hAnsi="宋体" w:cs="宋体"/>
          <w:b/>
          <w:bCs/>
          <w:sz w:val="32"/>
          <w:szCs w:val="32"/>
        </w:rPr>
      </w:pPr>
    </w:p>
    <w:p>
      <w:pPr>
        <w:spacing w:line="440" w:lineRule="exact"/>
        <w:jc w:val="left"/>
        <w:rPr>
          <w:rFonts w:ascii="宋体" w:hAnsi="宋体" w:cs="宋体"/>
          <w:b/>
          <w:bCs/>
          <w:sz w:val="32"/>
          <w:szCs w:val="32"/>
        </w:rPr>
      </w:pPr>
      <w:r>
        <w:rPr>
          <w:rFonts w:hint="eastAsia" w:ascii="宋体" w:hAnsi="宋体" w:cs="宋体"/>
          <w:b/>
          <w:bCs/>
          <w:sz w:val="32"/>
          <w:szCs w:val="32"/>
          <w:lang w:val="en-US" w:eastAsia="zh-CN"/>
        </w:rPr>
        <w:t>七</w:t>
      </w:r>
      <w:r>
        <w:rPr>
          <w:rFonts w:hint="eastAsia" w:ascii="宋体" w:hAnsi="宋体" w:cs="宋体"/>
          <w:b/>
          <w:bCs/>
          <w:sz w:val="32"/>
          <w:szCs w:val="32"/>
        </w:rPr>
        <w:t>、磋商供应商认为有必要提供并说明的其它资料</w:t>
      </w:r>
    </w:p>
    <w:p>
      <w:pPr>
        <w:widowControl/>
        <w:spacing w:line="440" w:lineRule="exact"/>
        <w:jc w:val="left"/>
        <w:rPr>
          <w:rFonts w:ascii="宋体" w:hAnsi="宋体" w:cs="宋体"/>
          <w:bCs/>
          <w:sz w:val="36"/>
        </w:rPr>
      </w:pPr>
      <w:r>
        <w:rPr>
          <w:rFonts w:hint="eastAsia" w:ascii="宋体" w:hAnsi="宋体" w:cs="宋体"/>
          <w:sz w:val="32"/>
        </w:rPr>
        <w:t>（格式由磋商供应商自定、加盖公章）</w:t>
      </w:r>
    </w:p>
    <w:p>
      <w:pPr>
        <w:spacing w:line="440" w:lineRule="exact"/>
        <w:rPr>
          <w:rFonts w:ascii="宋体" w:hAnsi="宋体" w:cs="宋体"/>
          <w:bCs/>
          <w:sz w:val="32"/>
          <w:szCs w:val="32"/>
        </w:rPr>
      </w:pPr>
    </w:p>
    <w:p>
      <w:pPr>
        <w:spacing w:line="440" w:lineRule="exact"/>
        <w:rPr>
          <w:rFonts w:ascii="宋体" w:hAnsi="宋体" w:cs="宋体"/>
          <w:b/>
          <w:bCs/>
          <w:sz w:val="32"/>
          <w:szCs w:val="32"/>
        </w:rPr>
      </w:pPr>
    </w:p>
    <w:p>
      <w:pPr>
        <w:spacing w:line="440" w:lineRule="exact"/>
        <w:rPr>
          <w:rFonts w:ascii="宋体" w:hAnsi="宋体" w:cs="宋体"/>
          <w:b/>
          <w:bCs/>
          <w:sz w:val="32"/>
          <w:szCs w:val="32"/>
        </w:rPr>
      </w:pPr>
      <w:r>
        <w:rPr>
          <w:rFonts w:hint="eastAsia" w:ascii="宋体" w:hAnsi="宋体" w:cs="宋体"/>
          <w:b/>
          <w:bCs/>
          <w:sz w:val="32"/>
          <w:szCs w:val="32"/>
        </w:rPr>
        <w:t>友情提醒</w:t>
      </w:r>
    </w:p>
    <w:p>
      <w:pPr>
        <w:widowControl/>
        <w:spacing w:line="440" w:lineRule="exact"/>
        <w:ind w:firstLine="413" w:firstLineChars="147"/>
        <w:jc w:val="left"/>
        <w:rPr>
          <w:rFonts w:ascii="宋体" w:hAnsi="宋体" w:cs="宋体"/>
          <w:b/>
          <w:bCs/>
          <w:sz w:val="32"/>
          <w:szCs w:val="32"/>
        </w:rPr>
      </w:pPr>
      <w:r>
        <w:rPr>
          <w:rFonts w:hint="eastAsia" w:ascii="宋体" w:hAnsi="宋体" w:cs="宋体"/>
          <w:b/>
          <w:bCs/>
          <w:sz w:val="28"/>
        </w:rPr>
        <w:t>磋商供应商所提供的资格证明材料应真实、有效，淮安市公共资源交易中心盱眙分中心及采购人保留对磋商供应商提供的资格证明材料进行核查的权利。如发现磋商供应商提供虚假资格证明材料，采购人将对其进行严肃处理。</w:t>
      </w:r>
    </w:p>
    <w:p>
      <w:pPr>
        <w:spacing w:line="440" w:lineRule="exact"/>
        <w:rPr>
          <w:rFonts w:ascii="宋体" w:hAnsi="宋体" w:cs="宋体"/>
          <w:b/>
          <w:sz w:val="32"/>
          <w:szCs w:val="32"/>
        </w:rPr>
      </w:pPr>
    </w:p>
    <w:p>
      <w:pPr>
        <w:spacing w:line="440" w:lineRule="exact"/>
        <w:rPr>
          <w:rFonts w:ascii="宋体" w:hAnsi="宋体" w:cs="宋体"/>
          <w:b/>
          <w:sz w:val="32"/>
          <w:szCs w:val="32"/>
        </w:rPr>
      </w:pPr>
    </w:p>
    <w:p>
      <w:pPr>
        <w:spacing w:line="440" w:lineRule="exact"/>
        <w:rPr>
          <w:rFonts w:ascii="宋体" w:hAnsi="宋体" w:cs="宋体"/>
          <w:b/>
          <w:sz w:val="32"/>
          <w:szCs w:val="32"/>
        </w:rPr>
      </w:pPr>
    </w:p>
    <w:p>
      <w:pPr>
        <w:spacing w:line="440" w:lineRule="exact"/>
        <w:rPr>
          <w:rFonts w:ascii="宋体" w:hAnsi="宋体" w:cs="宋体"/>
          <w:b/>
          <w:sz w:val="32"/>
          <w:szCs w:val="32"/>
        </w:rPr>
      </w:pPr>
    </w:p>
    <w:p>
      <w:pPr>
        <w:spacing w:line="440" w:lineRule="exact"/>
        <w:rPr>
          <w:rFonts w:ascii="宋体" w:hAnsi="宋体" w:cs="宋体"/>
          <w:b/>
          <w:sz w:val="32"/>
          <w:szCs w:val="32"/>
        </w:rPr>
      </w:pPr>
    </w:p>
    <w:p>
      <w:pPr>
        <w:spacing w:line="440" w:lineRule="exact"/>
        <w:rPr>
          <w:rFonts w:ascii="宋体" w:hAnsi="宋体" w:cs="宋体"/>
          <w:b/>
          <w:sz w:val="32"/>
          <w:szCs w:val="32"/>
        </w:rPr>
      </w:pPr>
    </w:p>
    <w:p>
      <w:pPr>
        <w:spacing w:line="440" w:lineRule="exact"/>
        <w:rPr>
          <w:rFonts w:ascii="宋体" w:hAnsi="宋体" w:cs="宋体"/>
          <w:b/>
          <w:sz w:val="32"/>
          <w:szCs w:val="32"/>
        </w:rPr>
      </w:pPr>
    </w:p>
    <w:p>
      <w:pPr>
        <w:spacing w:line="440" w:lineRule="exact"/>
        <w:rPr>
          <w:rFonts w:ascii="宋体" w:hAnsi="宋体" w:cs="宋体"/>
          <w:b/>
          <w:sz w:val="32"/>
          <w:szCs w:val="32"/>
        </w:rPr>
      </w:pPr>
    </w:p>
    <w:p>
      <w:pPr>
        <w:spacing w:line="440" w:lineRule="exact"/>
        <w:rPr>
          <w:rFonts w:ascii="宋体" w:hAnsi="宋体" w:cs="宋体"/>
          <w:b/>
          <w:sz w:val="32"/>
          <w:szCs w:val="32"/>
        </w:rPr>
      </w:pPr>
    </w:p>
    <w:p>
      <w:pPr>
        <w:spacing w:line="440" w:lineRule="exact"/>
        <w:rPr>
          <w:rFonts w:ascii="宋体" w:hAnsi="宋体" w:cs="宋体"/>
          <w:b/>
          <w:sz w:val="32"/>
          <w:szCs w:val="32"/>
        </w:rPr>
      </w:pPr>
    </w:p>
    <w:p>
      <w:pPr>
        <w:spacing w:line="440" w:lineRule="exact"/>
        <w:rPr>
          <w:rFonts w:ascii="宋体" w:hAnsi="宋体" w:cs="宋体"/>
          <w:b/>
          <w:sz w:val="32"/>
          <w:szCs w:val="32"/>
        </w:rPr>
      </w:pPr>
    </w:p>
    <w:p>
      <w:pPr>
        <w:spacing w:line="440" w:lineRule="exact"/>
        <w:rPr>
          <w:rFonts w:ascii="宋体" w:hAnsi="宋体" w:cs="宋体"/>
          <w:b/>
          <w:sz w:val="32"/>
          <w:szCs w:val="32"/>
        </w:rPr>
      </w:pPr>
    </w:p>
    <w:p>
      <w:pPr>
        <w:spacing w:line="440" w:lineRule="exact"/>
        <w:rPr>
          <w:rFonts w:ascii="宋体" w:hAnsi="宋体" w:cs="宋体"/>
          <w:b/>
          <w:sz w:val="32"/>
          <w:szCs w:val="32"/>
        </w:rPr>
      </w:pPr>
    </w:p>
    <w:p>
      <w:pPr>
        <w:spacing w:line="440" w:lineRule="exact"/>
        <w:rPr>
          <w:rFonts w:ascii="宋体" w:hAnsi="宋体" w:cs="宋体"/>
          <w:b/>
          <w:sz w:val="32"/>
          <w:szCs w:val="32"/>
        </w:rPr>
      </w:pPr>
    </w:p>
    <w:p>
      <w:pPr>
        <w:spacing w:line="440" w:lineRule="exact"/>
        <w:rPr>
          <w:rFonts w:ascii="宋体" w:hAnsi="宋体" w:cs="宋体"/>
          <w:b/>
          <w:sz w:val="32"/>
          <w:szCs w:val="32"/>
        </w:rPr>
      </w:pPr>
    </w:p>
    <w:p>
      <w:pPr>
        <w:spacing w:line="440" w:lineRule="exact"/>
        <w:rPr>
          <w:rFonts w:ascii="宋体" w:hAnsi="宋体" w:cs="宋体"/>
          <w:b/>
          <w:sz w:val="32"/>
          <w:szCs w:val="32"/>
        </w:rPr>
      </w:pPr>
    </w:p>
    <w:p>
      <w:pPr>
        <w:spacing w:line="440" w:lineRule="exact"/>
        <w:rPr>
          <w:rFonts w:ascii="宋体" w:hAnsi="宋体" w:cs="宋体"/>
          <w:b/>
          <w:sz w:val="32"/>
          <w:szCs w:val="32"/>
        </w:rPr>
      </w:pPr>
    </w:p>
    <w:p>
      <w:pPr>
        <w:spacing w:line="440" w:lineRule="exact"/>
        <w:rPr>
          <w:rFonts w:ascii="宋体" w:hAnsi="宋体" w:cs="宋体"/>
          <w:b/>
          <w:sz w:val="32"/>
          <w:szCs w:val="32"/>
        </w:rPr>
      </w:pPr>
    </w:p>
    <w:p>
      <w:pPr>
        <w:spacing w:line="440" w:lineRule="exact"/>
        <w:rPr>
          <w:rFonts w:ascii="宋体" w:hAnsi="宋体" w:cs="宋体"/>
          <w:b/>
          <w:bCs/>
          <w:sz w:val="28"/>
        </w:rPr>
      </w:pPr>
      <w:r>
        <w:rPr>
          <w:rFonts w:hint="eastAsia" w:ascii="宋体" w:hAnsi="宋体" w:cs="宋体"/>
          <w:b/>
          <w:sz w:val="32"/>
          <w:szCs w:val="32"/>
        </w:rPr>
        <w:t>示范格式一</w:t>
      </w:r>
    </w:p>
    <w:p>
      <w:pPr>
        <w:spacing w:line="640" w:lineRule="exact"/>
        <w:ind w:firstLine="2873" w:firstLineChars="795"/>
        <w:rPr>
          <w:rFonts w:ascii="宋体" w:hAnsi="宋体" w:cs="宋体"/>
          <w:b/>
          <w:bCs/>
          <w:sz w:val="36"/>
          <w:szCs w:val="36"/>
        </w:rPr>
      </w:pPr>
      <w:r>
        <w:rPr>
          <w:rFonts w:hint="eastAsia" w:ascii="宋体" w:hAnsi="宋体" w:cs="宋体"/>
          <w:b/>
          <w:bCs/>
          <w:sz w:val="36"/>
          <w:szCs w:val="36"/>
        </w:rPr>
        <w:t>法定代表人资格证明</w:t>
      </w:r>
    </w:p>
    <w:p>
      <w:pPr>
        <w:autoSpaceDE w:val="0"/>
        <w:autoSpaceDN w:val="0"/>
        <w:adjustRightInd w:val="0"/>
        <w:spacing w:line="640" w:lineRule="exact"/>
        <w:ind w:firstLine="280"/>
        <w:rPr>
          <w:rFonts w:ascii="宋体" w:hAnsi="宋体" w:cs="宋体"/>
          <w:sz w:val="28"/>
          <w:szCs w:val="28"/>
          <w:lang w:val="zh-CN"/>
        </w:rPr>
      </w:pPr>
      <w:r>
        <w:rPr>
          <w:rFonts w:hint="eastAsia" w:ascii="宋体" w:hAnsi="宋体" w:cs="宋体"/>
          <w:sz w:val="28"/>
          <w:szCs w:val="28"/>
          <w:lang w:val="zh-CN"/>
        </w:rPr>
        <w:t>单位名称：</w:t>
      </w:r>
    </w:p>
    <w:p>
      <w:pPr>
        <w:autoSpaceDE w:val="0"/>
        <w:autoSpaceDN w:val="0"/>
        <w:adjustRightInd w:val="0"/>
        <w:spacing w:line="640" w:lineRule="exact"/>
        <w:ind w:firstLine="280"/>
        <w:rPr>
          <w:rFonts w:ascii="宋体" w:hAnsi="宋体" w:cs="宋体"/>
          <w:sz w:val="28"/>
          <w:szCs w:val="28"/>
          <w:lang w:val="zh-CN"/>
        </w:rPr>
      </w:pPr>
      <w:r>
        <w:rPr>
          <w:rFonts w:hint="eastAsia" w:ascii="宋体" w:hAnsi="宋体" w:cs="宋体"/>
          <w:sz w:val="28"/>
          <w:szCs w:val="28"/>
          <w:lang w:val="zh-CN"/>
        </w:rPr>
        <w:t>地址：</w:t>
      </w:r>
    </w:p>
    <w:p>
      <w:pPr>
        <w:autoSpaceDE w:val="0"/>
        <w:autoSpaceDN w:val="0"/>
        <w:adjustRightInd w:val="0"/>
        <w:spacing w:line="640" w:lineRule="exact"/>
        <w:ind w:firstLine="280"/>
        <w:rPr>
          <w:rFonts w:ascii="宋体" w:hAnsi="宋体" w:cs="宋体"/>
          <w:sz w:val="28"/>
          <w:szCs w:val="28"/>
        </w:rPr>
      </w:pPr>
      <w:r>
        <w:rPr>
          <w:rFonts w:hint="eastAsia" w:ascii="宋体" w:hAnsi="宋体" w:cs="宋体"/>
          <w:sz w:val="28"/>
          <w:szCs w:val="28"/>
          <w:lang w:val="zh-CN"/>
        </w:rPr>
        <w:t>姓名：     性别：      年龄：      职务：</w:t>
      </w:r>
      <w:r>
        <w:rPr>
          <w:rFonts w:hint="eastAsia" w:ascii="宋体" w:hAnsi="宋体" w:cs="宋体"/>
          <w:sz w:val="28"/>
          <w:szCs w:val="28"/>
        </w:rPr>
        <w:t xml:space="preserve">       联系方式：</w:t>
      </w:r>
    </w:p>
    <w:p>
      <w:pPr>
        <w:spacing w:line="640" w:lineRule="exact"/>
        <w:ind w:left="1" w:firstLine="560" w:firstLineChars="200"/>
        <w:rPr>
          <w:rFonts w:ascii="宋体" w:hAnsi="宋体" w:cs="宋体"/>
          <w:sz w:val="28"/>
        </w:rPr>
      </w:pPr>
      <w:r>
        <w:rPr>
          <w:rFonts w:hint="eastAsia" w:ascii="宋体" w:hAnsi="宋体" w:cs="宋体"/>
          <w:sz w:val="28"/>
          <w:szCs w:val="28"/>
          <w:lang w:val="zh-CN"/>
        </w:rPr>
        <w:t>系</w:t>
      </w:r>
      <w:r>
        <w:rPr>
          <w:rFonts w:hint="eastAsia" w:ascii="宋体" w:hAnsi="宋体" w:cs="宋体"/>
          <w:sz w:val="28"/>
          <w:szCs w:val="28"/>
          <w:u w:val="single"/>
          <w:lang w:val="zh-CN"/>
        </w:rPr>
        <w:t xml:space="preserve"> （磋商供应商名称）</w:t>
      </w:r>
      <w:r>
        <w:rPr>
          <w:rFonts w:hint="eastAsia" w:ascii="宋体" w:hAnsi="宋体" w:cs="宋体"/>
          <w:sz w:val="28"/>
          <w:szCs w:val="28"/>
          <w:lang w:val="zh-CN"/>
        </w:rPr>
        <w:t>的法定代表人。</w:t>
      </w:r>
      <w:r>
        <w:rPr>
          <w:rFonts w:hint="eastAsia" w:ascii="宋体" w:hAnsi="宋体" w:cs="宋体"/>
          <w:sz w:val="28"/>
        </w:rPr>
        <w:t>为参与项目，签署上述项目的响应文件、进行磋商、签署合同和处理与之有关的一切事务。</w:t>
      </w:r>
    </w:p>
    <w:p>
      <w:pPr>
        <w:autoSpaceDE w:val="0"/>
        <w:autoSpaceDN w:val="0"/>
        <w:adjustRightInd w:val="0"/>
        <w:spacing w:line="640" w:lineRule="exact"/>
        <w:rPr>
          <w:rFonts w:ascii="宋体" w:hAnsi="宋体" w:cs="宋体"/>
          <w:sz w:val="28"/>
          <w:szCs w:val="28"/>
          <w:lang w:val="zh-CN"/>
        </w:rPr>
      </w:pPr>
    </w:p>
    <w:p>
      <w:pPr>
        <w:autoSpaceDE w:val="0"/>
        <w:autoSpaceDN w:val="0"/>
        <w:adjustRightInd w:val="0"/>
        <w:spacing w:line="640" w:lineRule="exact"/>
        <w:ind w:firstLine="280"/>
        <w:rPr>
          <w:rFonts w:ascii="宋体" w:hAnsi="宋体" w:cs="宋体"/>
          <w:sz w:val="28"/>
          <w:szCs w:val="28"/>
          <w:lang w:val="zh-CN"/>
        </w:rPr>
      </w:pPr>
      <w:r>
        <w:rPr>
          <w:rFonts w:hint="eastAsia" w:ascii="宋体" w:hAnsi="宋体" w:cs="宋体"/>
          <w:sz w:val="28"/>
          <w:szCs w:val="28"/>
          <w:lang w:val="zh-CN"/>
        </w:rPr>
        <w:t>特此证明。</w:t>
      </w:r>
    </w:p>
    <w:p>
      <w:pPr>
        <w:spacing w:line="640" w:lineRule="exact"/>
        <w:ind w:firstLine="5600" w:firstLineChars="2000"/>
        <w:rPr>
          <w:rFonts w:ascii="宋体" w:hAnsi="宋体" w:cs="宋体"/>
          <w:sz w:val="28"/>
        </w:rPr>
      </w:pPr>
    </w:p>
    <w:p>
      <w:pPr>
        <w:spacing w:line="640" w:lineRule="exact"/>
        <w:ind w:firstLine="5173" w:firstLineChars="2053"/>
        <w:rPr>
          <w:rFonts w:ascii="宋体" w:hAnsi="宋体" w:cs="宋体"/>
          <w:w w:val="90"/>
          <w:sz w:val="28"/>
        </w:rPr>
      </w:pPr>
      <w:r>
        <w:rPr>
          <w:rFonts w:hint="eastAsia" w:ascii="宋体" w:hAnsi="宋体" w:cs="宋体"/>
          <w:w w:val="90"/>
          <w:sz w:val="28"/>
        </w:rPr>
        <w:t>磋商供应商：</w:t>
      </w:r>
      <w:r>
        <w:rPr>
          <w:rFonts w:hint="eastAsia" w:ascii="宋体" w:hAnsi="宋体" w:cs="宋体"/>
          <w:w w:val="90"/>
          <w:sz w:val="28"/>
          <w:u w:val="single"/>
        </w:rPr>
        <w:t xml:space="preserve"> （加盖公章）  </w:t>
      </w:r>
    </w:p>
    <w:p>
      <w:pPr>
        <w:snapToGrid w:val="0"/>
        <w:spacing w:line="640" w:lineRule="exact"/>
        <w:ind w:firstLine="5320" w:firstLineChars="1900"/>
        <w:rPr>
          <w:rFonts w:ascii="宋体" w:hAnsi="宋体" w:cs="宋体"/>
          <w:sz w:val="28"/>
          <w:szCs w:val="28"/>
        </w:rPr>
      </w:pPr>
      <w:r>
        <w:rPr>
          <w:rFonts w:hint="eastAsia" w:ascii="宋体" w:hAnsi="宋体" w:cs="宋体"/>
          <w:sz w:val="28"/>
          <w:szCs w:val="28"/>
        </w:rPr>
        <w:t>年月日</w:t>
      </w:r>
    </w:p>
    <w:p>
      <w:pPr>
        <w:snapToGrid w:val="0"/>
        <w:spacing w:line="640" w:lineRule="exact"/>
        <w:ind w:firstLine="5320" w:firstLineChars="1900"/>
        <w:rPr>
          <w:rFonts w:ascii="宋体" w:hAnsi="宋体" w:cs="宋体"/>
          <w:sz w:val="28"/>
          <w:szCs w:val="28"/>
        </w:rPr>
      </w:pPr>
    </w:p>
    <w:p>
      <w:pPr>
        <w:spacing w:line="640" w:lineRule="exact"/>
        <w:ind w:firstLine="3204" w:firstLineChars="1140"/>
        <w:rPr>
          <w:rFonts w:ascii="宋体" w:hAnsi="宋体" w:cs="宋体"/>
          <w:b/>
          <w:bCs/>
          <w:sz w:val="28"/>
        </w:rPr>
      </w:pPr>
      <w:r>
        <w:rPr>
          <w:rFonts w:ascii="宋体" w:hAnsi="宋体" w:cs="宋体"/>
          <w:b/>
          <w:bCs/>
          <w:sz w:val="28"/>
        </w:rPr>
        <mc:AlternateContent>
          <mc:Choice Requires="wps">
            <w:drawing>
              <wp:anchor distT="0" distB="0" distL="114300" distR="114300" simplePos="0" relativeHeight="251659264" behindDoc="0" locked="0" layoutInCell="1" allowOverlap="1">
                <wp:simplePos x="0" y="0"/>
                <wp:positionH relativeFrom="column">
                  <wp:posOffset>1371600</wp:posOffset>
                </wp:positionH>
                <wp:positionV relativeFrom="paragraph">
                  <wp:posOffset>391160</wp:posOffset>
                </wp:positionV>
                <wp:extent cx="3314700" cy="1584960"/>
                <wp:effectExtent l="4445" t="4445" r="14605" b="10795"/>
                <wp:wrapNone/>
                <wp:docPr id="25" name="矩形 25"/>
                <wp:cNvGraphicFramePr/>
                <a:graphic xmlns:a="http://schemas.openxmlformats.org/drawingml/2006/main">
                  <a:graphicData uri="http://schemas.microsoft.com/office/word/2010/wordprocessingShape">
                    <wps:wsp>
                      <wps:cNvSpPr/>
                      <wps:spPr>
                        <a:xfrm>
                          <a:off x="0" y="0"/>
                          <a:ext cx="331470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pPr>
                          </w:p>
                          <w:p>
                            <w:pPr>
                              <w:jc w:val="center"/>
                            </w:pPr>
                          </w:p>
                          <w:p>
                            <w:pPr>
                              <w:jc w:val="center"/>
                            </w:pPr>
                          </w:p>
                          <w:p>
                            <w:pPr>
                              <w:jc w:val="center"/>
                              <w:rPr>
                                <w:sz w:val="24"/>
                              </w:rPr>
                            </w:pPr>
                            <w:r>
                              <w:rPr>
                                <w:rFonts w:hint="eastAsia"/>
                                <w:sz w:val="24"/>
                              </w:rPr>
                              <w:t>身份证复印件</w:t>
                            </w:r>
                          </w:p>
                          <w:p>
                            <w:pPr>
                              <w:jc w:val="center"/>
                            </w:pPr>
                            <w:r>
                              <w:rPr>
                                <w:rFonts w:hint="eastAsia"/>
                                <w:sz w:val="24"/>
                              </w:rPr>
                              <w:t>（只可复印不可粘贴）</w:t>
                            </w:r>
                          </w:p>
                        </w:txbxContent>
                      </wps:txbx>
                      <wps:bodyPr upright="1"/>
                    </wps:wsp>
                  </a:graphicData>
                </a:graphic>
              </wp:anchor>
            </w:drawing>
          </mc:Choice>
          <mc:Fallback>
            <w:pict>
              <v:rect id="_x0000_s1026" o:spid="_x0000_s1026" o:spt="1" style="position:absolute;left:0pt;margin-left:108pt;margin-top:30.8pt;height:124.8pt;width:261pt;z-index:251659264;mso-width-relative:page;mso-height-relative:page;" fillcolor="#FFFFFF" filled="t" stroked="t" coordsize="21600,21600" o:gfxdata="UEsDBAoAAAAAAIdO4kAAAAAAAAAAAAAAAAAEAAAAZHJzL1BLAwQUAAAACACHTuJAwK6bedgAAAAK&#10;AQAADwAAAGRycy9kb3ducmV2LnhtbE2PQU+EMBCF7yb+h2ZMvLmlkOCKlD1o1sTjLnvxNtAKKJ0S&#10;WnbRX+940uOb9/Lme+VudaM42zkMnjSoTQLCUuvNQJ2GU72/24IIEcng6Mlq+LIBdtX1VYmF8Rc6&#10;2PMxdoJLKBSooY9xKqQMbW8dho2fLLH37meHkeXcSTPjhcvdKNMkyaXDgfhDj5N96m37eVychmZI&#10;T/h9qF8S97DP4utafyxvz1rf3qjkEUS0a/wLwy8+o0PFTI1fyAQxakhVzluihlzlIDhwn2350GjI&#10;lEpBVqX8P6H6AVBLAwQUAAAACACHTuJA4yrJCgoCAAA6BAAADgAAAGRycy9lMm9Eb2MueG1srVPN&#10;jtMwEL4j8Q6W7zRpd7vsRk33QCkXBCstPMDUmSSW/CfbbdKnQeLGQ/A4iNdg7JbSXTj0QA7OjD3+&#10;Zr5vxov7USu2Qx+kNTWfTkrO0AjbSNPV/POn9atbzkIE04CyBmu+x8Dvly9fLAZX4cz2VjXoGYGY&#10;UA2u5n2MriqKIHrUECbWoaHD1noNkVzfFY2HgdC1KmZleVMM1jfOW4Eh0O7qcMiPiP4SQNu2UuDK&#10;iq1GEw+oHhVEohR66QJf5mrbFkX82LYBI1M1J6Yxr5SE7E1ai+UCqs6D66U4lgCXlPCMkwZpKOkJ&#10;agUR2NbLv6C0FN4G28aJsLo4EMmKEItp+Uybxx4cZi4kdXAn0cP/gxUfdg+eyabmszlnBjR1/OeX&#10;bz++f2W0QeoMLlQU9Oge/NELZCaqY+t1+hMJNmZF9ydFcYxM0ObV1fT6dUliCzqbzm+v726y5sWf&#10;686H+A6tZsmouaeWZSVh9z5ESkmhv0NStmCVbNZSqez4bvNGebYDau86f6lmuvIkTBk21PxunigK&#10;oJltaVbI1I54B9PlfE9uhHPgMn//Ak6FrSD0hwIyQgqDSsuISS+oeoTmrWlY3DuS1tCT4qkYjQ1n&#10;CukFJitHRpDqkkhip0yCxjzfR5VSnw6dSVYcNyOBJnNjmz21eOu87HoSeJqJpBMaqazVcfzTzJ77&#10;ZJ8/+eUv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wK6bedgAAAAKAQAADwAAAAAAAAABACAAAAAi&#10;AAAAZHJzL2Rvd25yZXYueG1sUEsBAhQAFAAAAAgAh07iQOMqyQoKAgAAOgQAAA4AAAAAAAAAAQAg&#10;AAAAJwEAAGRycy9lMm9Eb2MueG1sUEsFBgAAAAAGAAYAWQEAAKMFAAAAAA==&#10;">
                <v:fill on="t" focussize="0,0"/>
                <v:stroke color="#000000" joinstyle="miter"/>
                <v:imagedata o:title=""/>
                <o:lock v:ext="edit" aspectratio="f"/>
                <v:textbox>
                  <w:txbxContent>
                    <w:p>
                      <w:pPr>
                        <w:jc w:val="center"/>
                      </w:pPr>
                    </w:p>
                    <w:p>
                      <w:pPr>
                        <w:jc w:val="center"/>
                      </w:pPr>
                    </w:p>
                    <w:p>
                      <w:pPr>
                        <w:jc w:val="center"/>
                      </w:pPr>
                    </w:p>
                    <w:p>
                      <w:pPr>
                        <w:jc w:val="center"/>
                        <w:rPr>
                          <w:sz w:val="24"/>
                        </w:rPr>
                      </w:pPr>
                      <w:r>
                        <w:rPr>
                          <w:rFonts w:hint="eastAsia"/>
                          <w:sz w:val="24"/>
                        </w:rPr>
                        <w:t>身份证复印件</w:t>
                      </w:r>
                    </w:p>
                    <w:p>
                      <w:pPr>
                        <w:jc w:val="center"/>
                      </w:pPr>
                      <w:r>
                        <w:rPr>
                          <w:rFonts w:hint="eastAsia"/>
                          <w:sz w:val="24"/>
                        </w:rPr>
                        <w:t>（只可复印不可粘贴）</w:t>
                      </w:r>
                    </w:p>
                  </w:txbxContent>
                </v:textbox>
              </v:rect>
            </w:pict>
          </mc:Fallback>
        </mc:AlternateContent>
      </w:r>
    </w:p>
    <w:p>
      <w:pPr>
        <w:spacing w:line="640" w:lineRule="exact"/>
        <w:ind w:firstLine="3204" w:firstLineChars="1140"/>
        <w:rPr>
          <w:rFonts w:ascii="宋体" w:hAnsi="宋体" w:cs="宋体"/>
          <w:b/>
          <w:bCs/>
          <w:sz w:val="28"/>
        </w:rPr>
      </w:pPr>
    </w:p>
    <w:p>
      <w:pPr>
        <w:spacing w:line="640" w:lineRule="exact"/>
        <w:ind w:firstLine="3204" w:firstLineChars="1140"/>
        <w:rPr>
          <w:rFonts w:ascii="宋体" w:hAnsi="宋体" w:cs="宋体"/>
          <w:b/>
          <w:bCs/>
          <w:sz w:val="28"/>
        </w:rPr>
      </w:pPr>
    </w:p>
    <w:p>
      <w:pPr>
        <w:spacing w:line="640" w:lineRule="exact"/>
        <w:ind w:firstLine="3204" w:firstLineChars="1140"/>
        <w:rPr>
          <w:rFonts w:ascii="宋体" w:hAnsi="宋体" w:cs="宋体"/>
          <w:b/>
          <w:bCs/>
          <w:sz w:val="28"/>
        </w:rPr>
      </w:pPr>
    </w:p>
    <w:p>
      <w:pPr>
        <w:spacing w:line="640" w:lineRule="exact"/>
        <w:ind w:firstLine="3204" w:firstLineChars="1140"/>
        <w:rPr>
          <w:rFonts w:ascii="宋体" w:hAnsi="宋体" w:cs="宋体"/>
          <w:b/>
          <w:bCs/>
          <w:sz w:val="28"/>
        </w:rPr>
      </w:pPr>
    </w:p>
    <w:p>
      <w:pPr>
        <w:spacing w:line="440" w:lineRule="exact"/>
        <w:ind w:firstLine="562" w:firstLineChars="200"/>
        <w:rPr>
          <w:rFonts w:ascii="宋体" w:hAnsi="宋体" w:cs="宋体"/>
          <w:b/>
          <w:bCs/>
          <w:sz w:val="28"/>
        </w:rPr>
      </w:pPr>
    </w:p>
    <w:p>
      <w:pPr>
        <w:pStyle w:val="10"/>
        <w:rPr>
          <w:rFonts w:hAnsi="宋体" w:cs="宋体"/>
          <w:b/>
          <w:sz w:val="32"/>
        </w:rPr>
      </w:pPr>
    </w:p>
    <w:p>
      <w:pPr>
        <w:pStyle w:val="10"/>
        <w:rPr>
          <w:rFonts w:hAnsi="宋体" w:cs="宋体"/>
          <w:b/>
          <w:sz w:val="32"/>
        </w:rPr>
      </w:pPr>
    </w:p>
    <w:p>
      <w:pPr>
        <w:pStyle w:val="10"/>
        <w:rPr>
          <w:rFonts w:hAnsi="宋体" w:cs="宋体"/>
          <w:b/>
          <w:sz w:val="32"/>
        </w:rPr>
      </w:pPr>
    </w:p>
    <w:p>
      <w:pPr>
        <w:pStyle w:val="10"/>
        <w:rPr>
          <w:rFonts w:hAnsi="宋体" w:cs="宋体"/>
          <w:b/>
          <w:sz w:val="32"/>
        </w:rPr>
      </w:pPr>
      <w:r>
        <w:rPr>
          <w:rFonts w:hAnsi="宋体" w:cs="宋体"/>
          <w:b/>
          <w:sz w:val="32"/>
        </w:rPr>
        <w:br w:type="page"/>
      </w:r>
    </w:p>
    <w:p>
      <w:pPr>
        <w:pStyle w:val="10"/>
        <w:rPr>
          <w:rFonts w:hAnsi="宋体" w:cs="宋体"/>
          <w:b/>
          <w:sz w:val="32"/>
        </w:rPr>
      </w:pPr>
    </w:p>
    <w:p>
      <w:pPr>
        <w:pStyle w:val="10"/>
        <w:rPr>
          <w:rFonts w:hAnsi="宋体" w:cs="宋体"/>
          <w:sz w:val="32"/>
          <w:u w:val="single"/>
        </w:rPr>
      </w:pPr>
      <w:r>
        <w:rPr>
          <w:rFonts w:hint="eastAsia" w:hAnsi="宋体" w:cs="宋体"/>
          <w:b/>
          <w:sz w:val="32"/>
        </w:rPr>
        <w:t>示范格式二</w:t>
      </w:r>
    </w:p>
    <w:p>
      <w:pPr>
        <w:spacing w:line="520" w:lineRule="exact"/>
        <w:ind w:firstLine="3777" w:firstLineChars="1045"/>
        <w:rPr>
          <w:rFonts w:ascii="宋体" w:hAnsi="宋体" w:cs="宋体"/>
          <w:b/>
          <w:bCs/>
          <w:sz w:val="36"/>
          <w:szCs w:val="36"/>
        </w:rPr>
      </w:pPr>
      <w:r>
        <w:rPr>
          <w:rFonts w:hint="eastAsia" w:ascii="宋体" w:hAnsi="宋体" w:cs="宋体"/>
          <w:b/>
          <w:bCs/>
          <w:sz w:val="36"/>
          <w:szCs w:val="36"/>
        </w:rPr>
        <w:t>授权委托书</w:t>
      </w:r>
    </w:p>
    <w:p>
      <w:pPr>
        <w:spacing w:line="440" w:lineRule="exact"/>
        <w:rPr>
          <w:rFonts w:ascii="宋体" w:hAnsi="宋体" w:cs="宋体"/>
          <w:b/>
          <w:bCs/>
          <w:sz w:val="30"/>
          <w:szCs w:val="28"/>
        </w:rPr>
      </w:pPr>
      <w:r>
        <w:rPr>
          <w:rFonts w:hint="eastAsia" w:ascii="宋体" w:hAnsi="宋体" w:cs="宋体"/>
          <w:b/>
          <w:bCs/>
          <w:sz w:val="30"/>
          <w:szCs w:val="28"/>
        </w:rPr>
        <w:t>致</w:t>
      </w:r>
      <w:r>
        <w:rPr>
          <w:rFonts w:hint="eastAsia" w:ascii="宋体" w:hAnsi="宋体" w:cs="宋体"/>
          <w:b/>
          <w:bCs/>
          <w:sz w:val="30"/>
          <w:szCs w:val="28"/>
          <w:u w:val="single"/>
        </w:rPr>
        <w:t xml:space="preserve">   （采购单位）   </w:t>
      </w:r>
      <w:r>
        <w:rPr>
          <w:rFonts w:hint="eastAsia" w:ascii="宋体" w:hAnsi="宋体" w:cs="宋体"/>
          <w:b/>
          <w:bCs/>
          <w:sz w:val="30"/>
          <w:szCs w:val="28"/>
        </w:rPr>
        <w:t>：</w:t>
      </w:r>
    </w:p>
    <w:p>
      <w:pPr>
        <w:spacing w:line="440" w:lineRule="exact"/>
        <w:rPr>
          <w:rFonts w:ascii="宋体" w:hAnsi="宋体" w:cs="宋体"/>
          <w:sz w:val="28"/>
          <w:szCs w:val="28"/>
        </w:rPr>
      </w:pPr>
      <w:r>
        <w:rPr>
          <w:rFonts w:hint="eastAsia" w:ascii="宋体" w:hAnsi="宋体" w:cs="宋体"/>
          <w:sz w:val="28"/>
          <w:szCs w:val="28"/>
        </w:rPr>
        <w:t>本授权书宣告：</w:t>
      </w:r>
    </w:p>
    <w:p>
      <w:pPr>
        <w:snapToGrid w:val="0"/>
        <w:spacing w:line="440" w:lineRule="exact"/>
        <w:rPr>
          <w:rFonts w:ascii="宋体" w:hAnsi="宋体" w:cs="宋体"/>
          <w:sz w:val="28"/>
          <w:szCs w:val="28"/>
        </w:rPr>
      </w:pPr>
      <w:r>
        <w:rPr>
          <w:rFonts w:hint="eastAsia" w:ascii="宋体" w:hAnsi="宋体" w:cs="宋体"/>
          <w:sz w:val="28"/>
          <w:szCs w:val="28"/>
        </w:rPr>
        <w:t>委托方：  地址：</w:t>
      </w:r>
    </w:p>
    <w:p>
      <w:pPr>
        <w:snapToGrid w:val="0"/>
        <w:spacing w:line="440" w:lineRule="exact"/>
        <w:rPr>
          <w:rFonts w:ascii="宋体" w:hAnsi="宋体" w:cs="宋体"/>
          <w:sz w:val="28"/>
          <w:szCs w:val="28"/>
          <w:u w:val="single"/>
        </w:rPr>
      </w:pPr>
      <w:r>
        <w:rPr>
          <w:rFonts w:hint="eastAsia" w:ascii="宋体" w:hAnsi="宋体" w:cs="宋体"/>
          <w:sz w:val="28"/>
          <w:szCs w:val="28"/>
        </w:rPr>
        <w:t>法定代表人：</w:t>
      </w:r>
    </w:p>
    <w:p>
      <w:pPr>
        <w:snapToGrid w:val="0"/>
        <w:spacing w:line="440" w:lineRule="exact"/>
        <w:rPr>
          <w:rFonts w:ascii="宋体" w:hAnsi="宋体" w:cs="宋体"/>
          <w:sz w:val="28"/>
          <w:szCs w:val="28"/>
        </w:rPr>
      </w:pPr>
      <w:r>
        <w:rPr>
          <w:rFonts w:hint="eastAsia" w:ascii="宋体" w:hAnsi="宋体" w:cs="宋体"/>
          <w:sz w:val="28"/>
          <w:szCs w:val="28"/>
        </w:rPr>
        <w:t>受托人：姓名 性别： 出生日期：年月日</w:t>
      </w:r>
    </w:p>
    <w:p>
      <w:pPr>
        <w:snapToGrid w:val="0"/>
        <w:spacing w:line="440" w:lineRule="exact"/>
        <w:rPr>
          <w:rFonts w:ascii="宋体" w:hAnsi="宋体" w:cs="宋体"/>
          <w:sz w:val="28"/>
          <w:szCs w:val="28"/>
        </w:rPr>
      </w:pPr>
      <w:r>
        <w:rPr>
          <w:rFonts w:hint="eastAsia" w:ascii="宋体" w:hAnsi="宋体" w:cs="宋体"/>
          <w:sz w:val="28"/>
          <w:szCs w:val="28"/>
        </w:rPr>
        <w:t>所在单位：职务：</w:t>
      </w:r>
    </w:p>
    <w:p>
      <w:pPr>
        <w:snapToGrid w:val="0"/>
        <w:spacing w:line="440" w:lineRule="exact"/>
        <w:rPr>
          <w:rFonts w:ascii="宋体" w:hAnsi="宋体" w:cs="宋体"/>
          <w:sz w:val="28"/>
          <w:szCs w:val="28"/>
        </w:rPr>
      </w:pPr>
      <w:r>
        <w:rPr>
          <w:rFonts w:hint="eastAsia" w:ascii="宋体" w:hAnsi="宋体" w:cs="宋体"/>
          <w:sz w:val="28"/>
          <w:szCs w:val="28"/>
        </w:rPr>
        <w:t>身 份 证：联系方式：</w:t>
      </w:r>
    </w:p>
    <w:p>
      <w:pPr>
        <w:snapToGrid w:val="0"/>
        <w:spacing w:line="440" w:lineRule="exact"/>
        <w:rPr>
          <w:rFonts w:ascii="宋体" w:hAnsi="宋体" w:cs="宋体"/>
          <w:sz w:val="28"/>
          <w:szCs w:val="28"/>
        </w:rPr>
      </w:pPr>
      <w:r>
        <w:rPr>
          <w:rFonts w:hint="eastAsia" w:ascii="宋体" w:hAnsi="宋体" w:cs="宋体"/>
          <w:sz w:val="28"/>
          <w:szCs w:val="28"/>
        </w:rPr>
        <w:t>兹委托受托人代表我公司参加</w:t>
      </w:r>
      <w:r>
        <w:rPr>
          <w:rFonts w:hint="eastAsia" w:ascii="宋体" w:hAnsi="宋体" w:cs="宋体"/>
          <w:sz w:val="28"/>
          <w:szCs w:val="28"/>
          <w:u w:val="single"/>
        </w:rPr>
        <w:t xml:space="preserve">           （项目名称及项目编号）               </w:t>
      </w:r>
      <w:r>
        <w:rPr>
          <w:rFonts w:hint="eastAsia" w:ascii="宋体" w:hAnsi="宋体" w:cs="宋体"/>
          <w:sz w:val="28"/>
          <w:szCs w:val="28"/>
        </w:rPr>
        <w:t>的政府采购活动，受托人有权在该磋商活动中，以我单位的名义签署磋商函和响应文件，与采购人协商、澄清、解释，签订合同书并执行一切与此有关的事项。</w:t>
      </w:r>
    </w:p>
    <w:p>
      <w:pPr>
        <w:snapToGrid w:val="0"/>
        <w:spacing w:line="440" w:lineRule="exact"/>
        <w:rPr>
          <w:rFonts w:ascii="宋体" w:hAnsi="宋体" w:cs="宋体"/>
          <w:sz w:val="28"/>
          <w:szCs w:val="28"/>
        </w:rPr>
      </w:pPr>
      <w:r>
        <w:rPr>
          <w:rFonts w:hint="eastAsia" w:ascii="宋体" w:hAnsi="宋体" w:cs="宋体"/>
          <w:sz w:val="28"/>
          <w:szCs w:val="28"/>
        </w:rPr>
        <w:t xml:space="preserve">    受托人在办理上述事宜过程中以其自己的名义所签署的所有文件我公司均予以承认。受托人无转委托权。</w:t>
      </w:r>
    </w:p>
    <w:p>
      <w:pPr>
        <w:snapToGrid w:val="0"/>
        <w:spacing w:line="440" w:lineRule="exact"/>
        <w:ind w:firstLine="560" w:firstLineChars="200"/>
        <w:rPr>
          <w:rFonts w:ascii="宋体" w:hAnsi="宋体" w:cs="宋体"/>
          <w:sz w:val="28"/>
          <w:szCs w:val="28"/>
        </w:rPr>
      </w:pPr>
      <w:r>
        <w:rPr>
          <w:rFonts w:hint="eastAsia" w:ascii="宋体" w:hAnsi="宋体" w:cs="宋体"/>
          <w:sz w:val="28"/>
          <w:szCs w:val="28"/>
        </w:rPr>
        <w:t>委托期限：至上述事宜处理完毕止。</w:t>
      </w:r>
    </w:p>
    <w:p>
      <w:pPr>
        <w:snapToGrid w:val="0"/>
        <w:spacing w:line="520" w:lineRule="exact"/>
        <w:ind w:firstLine="5040" w:firstLineChars="1800"/>
        <w:rPr>
          <w:rFonts w:ascii="宋体" w:hAnsi="宋体" w:cs="宋体"/>
          <w:sz w:val="28"/>
          <w:szCs w:val="28"/>
          <w:u w:val="single"/>
        </w:rPr>
      </w:pPr>
      <w:r>
        <w:rPr>
          <w:rFonts w:hint="eastAsia" w:ascii="宋体" w:hAnsi="宋体" w:cs="宋体"/>
          <w:sz w:val="28"/>
          <w:szCs w:val="28"/>
        </w:rPr>
        <w:t>委托单位</w:t>
      </w:r>
      <w:r>
        <w:rPr>
          <w:rFonts w:hint="eastAsia" w:ascii="宋体" w:hAnsi="宋体" w:cs="宋体"/>
          <w:sz w:val="28"/>
          <w:szCs w:val="28"/>
          <w:u w:val="single"/>
        </w:rPr>
        <w:t xml:space="preserve">       （公章）    </w:t>
      </w:r>
    </w:p>
    <w:p>
      <w:pPr>
        <w:spacing w:line="520" w:lineRule="exact"/>
        <w:ind w:firstLine="5460" w:firstLineChars="1950"/>
        <w:rPr>
          <w:rFonts w:ascii="宋体" w:hAnsi="宋体" w:cs="宋体"/>
          <w:sz w:val="28"/>
          <w:szCs w:val="28"/>
        </w:rPr>
      </w:pPr>
      <w:r>
        <w:rPr>
          <w:rFonts w:hint="eastAsia" w:ascii="宋体" w:hAnsi="宋体" w:cs="宋体"/>
          <w:sz w:val="28"/>
          <w:szCs w:val="28"/>
        </w:rPr>
        <w:t xml:space="preserve">年月日 </w:t>
      </w:r>
    </w:p>
    <w:p>
      <w:pPr>
        <w:spacing w:line="520" w:lineRule="exact"/>
        <w:ind w:firstLine="5481" w:firstLineChars="1950"/>
        <w:rPr>
          <w:rFonts w:ascii="宋体" w:hAnsi="宋体" w:cs="宋体"/>
          <w:b/>
          <w:bCs/>
          <w:sz w:val="28"/>
        </w:rPr>
      </w:pPr>
      <w:r>
        <w:rPr>
          <w:rFonts w:ascii="宋体" w:hAnsi="宋体" w:cs="宋体"/>
          <w:b/>
          <w:bCs/>
          <w:sz w:val="28"/>
        </w:rPr>
        <mc:AlternateContent>
          <mc:Choice Requires="wps">
            <w:drawing>
              <wp:anchor distT="0" distB="0" distL="114300" distR="114300" simplePos="0" relativeHeight="251660288" behindDoc="0" locked="0" layoutInCell="1" allowOverlap="1">
                <wp:simplePos x="0" y="0"/>
                <wp:positionH relativeFrom="column">
                  <wp:posOffset>1143000</wp:posOffset>
                </wp:positionH>
                <wp:positionV relativeFrom="paragraph">
                  <wp:posOffset>314960</wp:posOffset>
                </wp:positionV>
                <wp:extent cx="3314700" cy="1684020"/>
                <wp:effectExtent l="4445" t="4445" r="14605" b="6985"/>
                <wp:wrapNone/>
                <wp:docPr id="27" name="矩形 27"/>
                <wp:cNvGraphicFramePr/>
                <a:graphic xmlns:a="http://schemas.openxmlformats.org/drawingml/2006/main">
                  <a:graphicData uri="http://schemas.microsoft.com/office/word/2010/wordprocessingShape">
                    <wps:wsp>
                      <wps:cNvSpPr/>
                      <wps:spPr>
                        <a:xfrm>
                          <a:off x="0" y="0"/>
                          <a:ext cx="3314700" cy="168402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pPr>
                          </w:p>
                          <w:p>
                            <w:pPr>
                              <w:jc w:val="center"/>
                            </w:pPr>
                          </w:p>
                          <w:p>
                            <w:pPr>
                              <w:jc w:val="center"/>
                            </w:pPr>
                          </w:p>
                          <w:p>
                            <w:pPr>
                              <w:jc w:val="center"/>
                              <w:rPr>
                                <w:sz w:val="24"/>
                              </w:rPr>
                            </w:pPr>
                            <w:r>
                              <w:rPr>
                                <w:rFonts w:hint="eastAsia"/>
                                <w:sz w:val="24"/>
                              </w:rPr>
                              <w:t>身份证复印件</w:t>
                            </w:r>
                          </w:p>
                          <w:p>
                            <w:pPr>
                              <w:jc w:val="center"/>
                            </w:pPr>
                            <w:r>
                              <w:rPr>
                                <w:rFonts w:hint="eastAsia"/>
                                <w:sz w:val="24"/>
                              </w:rPr>
                              <w:t>（只可复印不可粘贴）</w:t>
                            </w:r>
                          </w:p>
                        </w:txbxContent>
                      </wps:txbx>
                      <wps:bodyPr upright="1"/>
                    </wps:wsp>
                  </a:graphicData>
                </a:graphic>
              </wp:anchor>
            </w:drawing>
          </mc:Choice>
          <mc:Fallback>
            <w:pict>
              <v:rect id="_x0000_s1026" o:spid="_x0000_s1026" o:spt="1" style="position:absolute;left:0pt;margin-left:90pt;margin-top:24.8pt;height:132.6pt;width:261pt;z-index:251660288;mso-width-relative:page;mso-height-relative:page;" fillcolor="#FFFFFF" filled="t" stroked="t" coordsize="21600,21600" o:gfxdata="UEsDBAoAAAAAAIdO4kAAAAAAAAAAAAAAAAAEAAAAZHJzL1BLAwQUAAAACACHTuJAHexAINgAAAAK&#10;AQAADwAAAGRycy9kb3ducmV2LnhtbE2PQU+DQBCF7038D5sx8dbuQptKkaUHTU08tvTibYAVUHaW&#10;sEuL/nrHkz2+Ny9vvpftZ9uLixl950hDtFIgDFWu7qjRcC4OywSED0g19o6Mhm/jYZ/fLTJMa3el&#10;o7mcQiO4hHyKGtoQhlRKX7XGol+5wRDfPtxoMbAcG1mPeOVy28tYqa202BF/aHEwz62pvk6T1VB2&#10;8Rl/jsWrsrvDOrzNxef0/qL1w32knkAEM4f/MPzhMzrkzFS6iWovetaJ4i1Bw2a3BcGBRxWzUWpY&#10;R5sEZJ7J2wn5L1BLAwQUAAAACACHTuJAl9XIWAoCAAA6BAAADgAAAGRycy9lMm9Eb2MueG1srVPN&#10;jtMwEL4j8Q6W7zRp9z9qugdKuSBYaeEBps4kseQ/2W6TPg0SNx6Cx0G8BmO3lO4uhx7IwZmxx9/M&#10;9814fj9qxbbog7Sm5tNJyRkaYRtpupp/+bx6c8tZiGAaUNZgzXcY+P3i9av54Cqc2d6qBj0jEBOq&#10;wdW8j9FVRRFEjxrCxDo0dNharyGS67ui8TAQulbFrCyvi8H6xnkrMATaXe4P+QHRnwNo21YKXFqx&#10;0WjiHtWjgkiUQi9d4ItcbduiiJ/aNmBkqubENOaVkpC9TmuxmEPVeXC9FIcS4JwSnnHSIA0lPUIt&#10;IQLbePkCSkvhbbBtnAiriz2RrAixmJbPtHnswWHmQlIHdxQ9/D9Y8XH74Jlsaj674cyApo7/+vr9&#10;549vjDZIncGFioIe3YM/eIHMRHVsvU5/IsHGrOjuqCiOkQnavLiYXt6UJLags+n17WU5y5oXf687&#10;H+J7tJolo+aeWpaVhO2HECklhf4JSdmCVbJZSaWy47v1W+XZFqi9q/ylmunKkzBl2FDzu6vZFRUC&#10;NLMtzQqZ2hHvYLqc78mNcApc5u9fwKmwJYR+X0BGSGFQaRkx6QVVj9C8Mw2LO0fSGnpSPBWjseFM&#10;Ib3AZOXICFKdE0nslEnQmOf7oFLq074zyYrjeiTQZK5ts6MWb5yXXU8CTzORdEIjlbU6jH+a2VOf&#10;7NMnv/g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HexAINgAAAAKAQAADwAAAAAAAAABACAAAAAi&#10;AAAAZHJzL2Rvd25yZXYueG1sUEsBAhQAFAAAAAgAh07iQJfVyFgKAgAAOgQAAA4AAAAAAAAAAQAg&#10;AAAAJwEAAGRycy9lMm9Eb2MueG1sUEsFBgAAAAAGAAYAWQEAAKMFAAAAAA==&#10;">
                <v:fill on="t" focussize="0,0"/>
                <v:stroke color="#000000" joinstyle="miter"/>
                <v:imagedata o:title=""/>
                <o:lock v:ext="edit" aspectratio="f"/>
                <v:textbox>
                  <w:txbxContent>
                    <w:p>
                      <w:pPr>
                        <w:jc w:val="center"/>
                      </w:pPr>
                    </w:p>
                    <w:p>
                      <w:pPr>
                        <w:jc w:val="center"/>
                      </w:pPr>
                    </w:p>
                    <w:p>
                      <w:pPr>
                        <w:jc w:val="center"/>
                      </w:pPr>
                    </w:p>
                    <w:p>
                      <w:pPr>
                        <w:jc w:val="center"/>
                        <w:rPr>
                          <w:sz w:val="24"/>
                        </w:rPr>
                      </w:pPr>
                      <w:r>
                        <w:rPr>
                          <w:rFonts w:hint="eastAsia"/>
                          <w:sz w:val="24"/>
                        </w:rPr>
                        <w:t>身份证复印件</w:t>
                      </w:r>
                    </w:p>
                    <w:p>
                      <w:pPr>
                        <w:jc w:val="center"/>
                      </w:pPr>
                      <w:r>
                        <w:rPr>
                          <w:rFonts w:hint="eastAsia"/>
                          <w:sz w:val="24"/>
                        </w:rPr>
                        <w:t>（只可复印不可粘贴）</w:t>
                      </w:r>
                    </w:p>
                  </w:txbxContent>
                </v:textbox>
              </v:rect>
            </w:pict>
          </mc:Fallback>
        </mc:AlternateContent>
      </w:r>
    </w:p>
    <w:p>
      <w:pPr>
        <w:spacing w:line="520" w:lineRule="exact"/>
        <w:ind w:firstLine="5481" w:firstLineChars="1950"/>
        <w:rPr>
          <w:rFonts w:ascii="宋体" w:hAnsi="宋体" w:cs="宋体"/>
          <w:b/>
          <w:bCs/>
          <w:sz w:val="28"/>
        </w:rPr>
      </w:pPr>
    </w:p>
    <w:p>
      <w:pPr>
        <w:spacing w:line="520" w:lineRule="exact"/>
        <w:ind w:firstLine="5481" w:firstLineChars="1950"/>
        <w:rPr>
          <w:rFonts w:ascii="宋体" w:hAnsi="宋体" w:cs="宋体"/>
          <w:b/>
          <w:bCs/>
          <w:sz w:val="28"/>
        </w:rPr>
      </w:pPr>
    </w:p>
    <w:p>
      <w:pPr>
        <w:spacing w:line="520" w:lineRule="exact"/>
        <w:ind w:firstLine="5481" w:firstLineChars="1950"/>
        <w:rPr>
          <w:rFonts w:ascii="宋体" w:hAnsi="宋体" w:cs="宋体"/>
          <w:b/>
          <w:bCs/>
          <w:sz w:val="28"/>
        </w:rPr>
      </w:pPr>
    </w:p>
    <w:p>
      <w:pPr>
        <w:spacing w:line="520" w:lineRule="exact"/>
        <w:ind w:firstLine="5481" w:firstLineChars="1950"/>
        <w:rPr>
          <w:rFonts w:ascii="宋体" w:hAnsi="宋体" w:cs="宋体"/>
          <w:b/>
          <w:bCs/>
          <w:sz w:val="28"/>
        </w:rPr>
      </w:pPr>
    </w:p>
    <w:p>
      <w:pPr>
        <w:spacing w:line="520" w:lineRule="exact"/>
        <w:ind w:firstLine="5481" w:firstLineChars="1950"/>
        <w:rPr>
          <w:rFonts w:ascii="宋体" w:hAnsi="宋体" w:cs="宋体"/>
          <w:b/>
          <w:bCs/>
          <w:sz w:val="28"/>
        </w:rPr>
      </w:pPr>
    </w:p>
    <w:p>
      <w:pPr>
        <w:pStyle w:val="10"/>
        <w:rPr>
          <w:rFonts w:hAnsi="宋体" w:cs="宋体"/>
          <w:b/>
          <w:sz w:val="32"/>
        </w:rPr>
      </w:pPr>
      <w:r>
        <w:rPr>
          <w:rFonts w:hint="eastAsia"/>
        </w:rPr>
        <w:br w:type="page"/>
      </w:r>
      <w:r>
        <w:rPr>
          <w:rFonts w:hint="eastAsia" w:hAnsi="宋体" w:cs="宋体"/>
          <w:b/>
          <w:sz w:val="32"/>
        </w:rPr>
        <w:t>示范格式三</w:t>
      </w:r>
    </w:p>
    <w:p>
      <w:pPr>
        <w:pStyle w:val="10"/>
        <w:jc w:val="center"/>
        <w:rPr>
          <w:rFonts w:hAnsi="宋体" w:cs="宋体"/>
          <w:b/>
          <w:sz w:val="32"/>
        </w:rPr>
      </w:pPr>
      <w:r>
        <w:rPr>
          <w:rFonts w:hint="eastAsia" w:hAnsi="宋体" w:cs="宋体"/>
          <w:b/>
          <w:sz w:val="32"/>
        </w:rPr>
        <w:t>承   诺  书</w:t>
      </w:r>
    </w:p>
    <w:p>
      <w:pPr>
        <w:spacing w:line="520" w:lineRule="exact"/>
        <w:ind w:right="420"/>
        <w:rPr>
          <w:rFonts w:ascii="宋体" w:hAnsi="宋体" w:cs="宋体"/>
          <w:sz w:val="28"/>
          <w:szCs w:val="28"/>
        </w:rPr>
      </w:pPr>
      <w:r>
        <w:rPr>
          <w:rFonts w:hint="eastAsia" w:ascii="宋体" w:hAnsi="宋体" w:cs="宋体"/>
          <w:sz w:val="28"/>
          <w:szCs w:val="28"/>
          <w:u w:val="single"/>
        </w:rPr>
        <w:t xml:space="preserve">（采购单位） </w:t>
      </w:r>
      <w:r>
        <w:rPr>
          <w:rFonts w:hint="eastAsia" w:ascii="宋体" w:hAnsi="宋体" w:cs="宋体"/>
          <w:sz w:val="28"/>
          <w:szCs w:val="28"/>
        </w:rPr>
        <w:t>：</w:t>
      </w:r>
    </w:p>
    <w:p>
      <w:pPr>
        <w:spacing w:line="520" w:lineRule="exact"/>
        <w:ind w:firstLine="560" w:firstLineChars="200"/>
        <w:rPr>
          <w:rFonts w:ascii="宋体" w:hAnsi="宋体" w:cs="宋体"/>
          <w:sz w:val="28"/>
          <w:szCs w:val="28"/>
        </w:rPr>
      </w:pPr>
      <w:r>
        <w:rPr>
          <w:rFonts w:hint="eastAsia" w:ascii="宋体" w:hAnsi="宋体" w:cs="宋体"/>
          <w:sz w:val="28"/>
          <w:szCs w:val="28"/>
        </w:rPr>
        <w:t>我方在项目名称：（项目编号：）的采购过程中，做如下承诺：</w:t>
      </w:r>
    </w:p>
    <w:p>
      <w:pPr>
        <w:spacing w:line="500" w:lineRule="exact"/>
        <w:ind w:firstLine="560" w:firstLineChars="200"/>
        <w:rPr>
          <w:rFonts w:ascii="宋体" w:hAnsi="宋体" w:cs="宋体"/>
          <w:sz w:val="28"/>
          <w:szCs w:val="28"/>
        </w:rPr>
      </w:pPr>
      <w:r>
        <w:rPr>
          <w:rFonts w:hint="eastAsia" w:ascii="宋体" w:hAnsi="宋体" w:cs="宋体"/>
          <w:sz w:val="28"/>
          <w:szCs w:val="28"/>
        </w:rPr>
        <w:t>一、我方具有良好的商业信誉和健全的财务会计制度；</w:t>
      </w:r>
    </w:p>
    <w:p>
      <w:pPr>
        <w:spacing w:line="500" w:lineRule="exact"/>
        <w:ind w:firstLine="560" w:firstLineChars="200"/>
        <w:rPr>
          <w:rFonts w:ascii="宋体" w:hAnsi="宋体" w:cs="宋体"/>
          <w:sz w:val="28"/>
          <w:szCs w:val="28"/>
        </w:rPr>
      </w:pPr>
      <w:r>
        <w:rPr>
          <w:rFonts w:hint="eastAsia" w:ascii="宋体" w:hAnsi="宋体" w:cs="宋体"/>
          <w:sz w:val="28"/>
          <w:szCs w:val="28"/>
        </w:rPr>
        <w:t>二、我方完全具备履行合同所必须的设备和专业技术能力；</w:t>
      </w:r>
    </w:p>
    <w:p>
      <w:pPr>
        <w:pStyle w:val="34"/>
        <w:spacing w:line="500" w:lineRule="exact"/>
        <w:ind w:firstLine="560" w:firstLineChars="200"/>
        <w:rPr>
          <w:rFonts w:ascii="宋体" w:hAnsi="宋体" w:eastAsia="宋体" w:cs="宋体"/>
          <w:kern w:val="2"/>
          <w:sz w:val="28"/>
          <w:szCs w:val="28"/>
          <w:lang w:val="en-US"/>
        </w:rPr>
      </w:pPr>
      <w:r>
        <w:rPr>
          <w:rFonts w:hint="eastAsia" w:ascii="宋体" w:hAnsi="宋体" w:eastAsia="宋体" w:cs="宋体"/>
          <w:kern w:val="2"/>
          <w:sz w:val="28"/>
          <w:szCs w:val="28"/>
          <w:lang w:val="en-US"/>
        </w:rPr>
        <w:t>三、我方有依法缴纳税收和社会保障资金的良好记录；</w:t>
      </w:r>
    </w:p>
    <w:p>
      <w:pPr>
        <w:spacing w:line="500" w:lineRule="exact"/>
        <w:ind w:firstLine="560" w:firstLineChars="200"/>
        <w:rPr>
          <w:rFonts w:ascii="宋体" w:hAnsi="宋体" w:cs="宋体"/>
          <w:sz w:val="28"/>
          <w:szCs w:val="28"/>
        </w:rPr>
      </w:pPr>
      <w:r>
        <w:rPr>
          <w:rFonts w:hint="eastAsia" w:ascii="宋体" w:hAnsi="宋体" w:cs="宋体"/>
          <w:sz w:val="28"/>
          <w:szCs w:val="28"/>
        </w:rPr>
        <w:t>四、我方参加政府采购活动前3年内在经营活动中没有重大违法记录（因违法经营受到刑事处罚或者责令停产停业、吊销许可证或者执照、较大数额罚款等行政处罚）；</w:t>
      </w:r>
    </w:p>
    <w:p>
      <w:pPr>
        <w:spacing w:line="500" w:lineRule="exact"/>
        <w:ind w:firstLine="560" w:firstLineChars="200"/>
        <w:rPr>
          <w:rFonts w:ascii="宋体" w:hAnsi="宋体" w:cs="宋体"/>
          <w:sz w:val="28"/>
          <w:szCs w:val="28"/>
        </w:rPr>
      </w:pPr>
      <w:r>
        <w:rPr>
          <w:rFonts w:hint="eastAsia" w:ascii="宋体" w:hAnsi="宋体" w:cs="宋体"/>
          <w:sz w:val="28"/>
          <w:szCs w:val="28"/>
        </w:rPr>
        <w:t>五、我方与参加本次采购活动的其他单位不存在单位负责人为同一人的情况，也不存在控股、管理关系的情况；</w:t>
      </w:r>
    </w:p>
    <w:p>
      <w:pPr>
        <w:spacing w:line="500" w:lineRule="exact"/>
        <w:ind w:firstLine="560" w:firstLineChars="200"/>
        <w:rPr>
          <w:rFonts w:ascii="宋体" w:hAnsi="宋体" w:cs="宋体"/>
          <w:sz w:val="28"/>
          <w:szCs w:val="28"/>
        </w:rPr>
      </w:pPr>
      <w:r>
        <w:rPr>
          <w:rFonts w:hint="eastAsia" w:ascii="宋体" w:hAnsi="宋体" w:cs="宋体"/>
          <w:sz w:val="28"/>
          <w:szCs w:val="28"/>
        </w:rPr>
        <w:t>六、我方没有为本采购项目提供整体设计、规范编制或者项目管理、监理、检测等服务；</w:t>
      </w:r>
    </w:p>
    <w:p>
      <w:pPr>
        <w:spacing w:line="500" w:lineRule="exact"/>
        <w:ind w:firstLine="560" w:firstLineChars="200"/>
        <w:rPr>
          <w:rFonts w:ascii="宋体" w:hAnsi="宋体" w:cs="宋体"/>
          <w:sz w:val="28"/>
          <w:szCs w:val="28"/>
        </w:rPr>
      </w:pPr>
      <w:r>
        <w:rPr>
          <w:rFonts w:hint="eastAsia" w:ascii="宋体" w:hAnsi="宋体" w:cs="宋体"/>
          <w:sz w:val="28"/>
          <w:szCs w:val="28"/>
        </w:rPr>
        <w:t>七、我方保证上述信息的真实和准确，并愿意承担因我方就此弄虚作假所引起的一切法律后果，并自愿接受相关监管部门作出的任何处罚。</w:t>
      </w:r>
    </w:p>
    <w:p>
      <w:pPr>
        <w:spacing w:line="520" w:lineRule="exact"/>
        <w:ind w:firstLine="560" w:firstLineChars="200"/>
        <w:rPr>
          <w:rFonts w:ascii="宋体" w:hAnsi="宋体" w:cs="宋体"/>
          <w:sz w:val="28"/>
          <w:szCs w:val="28"/>
        </w:rPr>
      </w:pPr>
    </w:p>
    <w:p>
      <w:pPr>
        <w:spacing w:line="520" w:lineRule="exact"/>
        <w:ind w:firstLine="560" w:firstLineChars="200"/>
        <w:rPr>
          <w:rFonts w:ascii="宋体" w:hAnsi="宋体" w:cs="宋体"/>
          <w:sz w:val="28"/>
          <w:szCs w:val="28"/>
        </w:rPr>
      </w:pPr>
    </w:p>
    <w:p>
      <w:pPr>
        <w:spacing w:line="520" w:lineRule="exact"/>
        <w:ind w:firstLine="560" w:firstLineChars="200"/>
        <w:rPr>
          <w:rFonts w:ascii="宋体" w:hAnsi="宋体" w:cs="宋体"/>
          <w:sz w:val="28"/>
          <w:szCs w:val="28"/>
        </w:rPr>
      </w:pPr>
      <w:r>
        <w:rPr>
          <w:rFonts w:hint="eastAsia" w:ascii="宋体" w:hAnsi="宋体" w:cs="宋体"/>
          <w:sz w:val="28"/>
          <w:szCs w:val="28"/>
        </w:rPr>
        <w:t>特此承诺！</w:t>
      </w:r>
    </w:p>
    <w:p>
      <w:pPr>
        <w:spacing w:line="520" w:lineRule="exact"/>
        <w:ind w:right="420"/>
        <w:rPr>
          <w:rFonts w:ascii="宋体" w:hAnsi="宋体" w:cs="宋体"/>
          <w:sz w:val="28"/>
          <w:szCs w:val="28"/>
        </w:rPr>
      </w:pPr>
    </w:p>
    <w:p>
      <w:pPr>
        <w:spacing w:line="520" w:lineRule="exact"/>
        <w:ind w:right="420"/>
        <w:jc w:val="right"/>
        <w:rPr>
          <w:rFonts w:ascii="宋体" w:hAnsi="宋体" w:cs="宋体"/>
          <w:kern w:val="0"/>
          <w:sz w:val="28"/>
          <w:szCs w:val="28"/>
        </w:rPr>
      </w:pPr>
      <w:r>
        <w:rPr>
          <w:rFonts w:hint="eastAsia" w:ascii="宋体" w:hAnsi="宋体" w:cs="宋体"/>
          <w:kern w:val="0"/>
          <w:sz w:val="28"/>
          <w:szCs w:val="28"/>
        </w:rPr>
        <w:t>供应商：（电子签章）</w:t>
      </w:r>
    </w:p>
    <w:p>
      <w:pPr>
        <w:spacing w:line="520" w:lineRule="exact"/>
        <w:ind w:right="420"/>
        <w:jc w:val="right"/>
        <w:rPr>
          <w:rFonts w:ascii="宋体" w:hAnsi="宋体" w:cs="宋体"/>
          <w:kern w:val="0"/>
          <w:sz w:val="28"/>
          <w:szCs w:val="28"/>
        </w:rPr>
      </w:pPr>
      <w:r>
        <w:rPr>
          <w:rFonts w:hint="eastAsia" w:hAnsi="宋体" w:cs="仿宋"/>
          <w:sz w:val="28"/>
          <w:szCs w:val="28"/>
        </w:rPr>
        <w:t>法定代表人：</w:t>
      </w:r>
      <w:r>
        <w:rPr>
          <w:rFonts w:hint="eastAsia" w:hAnsi="宋体" w:cs="仿宋"/>
          <w:sz w:val="28"/>
          <w:szCs w:val="28"/>
          <w:u w:val="single"/>
        </w:rPr>
        <w:t>（电子签章或电子签字）</w:t>
      </w:r>
    </w:p>
    <w:p>
      <w:pPr>
        <w:pStyle w:val="10"/>
        <w:rPr>
          <w:rFonts w:hAnsi="宋体" w:cs="宋体"/>
          <w:b/>
          <w:bCs/>
          <w:sz w:val="28"/>
          <w:szCs w:val="28"/>
        </w:rPr>
      </w:pPr>
    </w:p>
    <w:p/>
    <w:p>
      <w:pPr>
        <w:pStyle w:val="40"/>
        <w:ind w:firstLine="420"/>
      </w:pPr>
    </w:p>
    <w:p/>
    <w:p>
      <w:pPr>
        <w:pStyle w:val="5"/>
      </w:pPr>
    </w:p>
    <w:p/>
    <w:p>
      <w:pPr>
        <w:pStyle w:val="5"/>
      </w:pPr>
    </w:p>
    <w:p/>
    <w:p/>
    <w:p>
      <w:pPr>
        <w:pStyle w:val="5"/>
      </w:pPr>
    </w:p>
    <w:p>
      <w:pPr>
        <w:textAlignment w:val="baseline"/>
        <w:rPr>
          <w:rFonts w:ascii="宋体"/>
          <w:b/>
          <w:sz w:val="32"/>
          <w:szCs w:val="32"/>
        </w:rPr>
      </w:pPr>
      <w:r>
        <w:rPr>
          <w:rFonts w:hint="eastAsia"/>
          <w:b/>
          <w:sz w:val="32"/>
          <w:szCs w:val="32"/>
        </w:rPr>
        <w:t>示范格式四</w:t>
      </w:r>
    </w:p>
    <w:p>
      <w:pPr>
        <w:spacing w:line="560" w:lineRule="exact"/>
        <w:ind w:firstLine="321" w:firstLineChars="100"/>
        <w:jc w:val="center"/>
        <w:rPr>
          <w:rFonts w:ascii="宋体" w:hAnsi="宋体" w:cs="宋体"/>
          <w:b/>
          <w:sz w:val="32"/>
          <w:szCs w:val="32"/>
        </w:rPr>
      </w:pPr>
      <w:r>
        <w:rPr>
          <w:rFonts w:hint="eastAsia" w:ascii="宋体" w:hAnsi="宋体" w:cs="宋体"/>
          <w:b/>
          <w:sz w:val="32"/>
          <w:szCs w:val="32"/>
        </w:rPr>
        <w:t>中小企业声明函</w:t>
      </w:r>
    </w:p>
    <w:p>
      <w:pPr>
        <w:spacing w:line="560" w:lineRule="exact"/>
        <w:ind w:firstLine="280" w:firstLineChars="100"/>
        <w:jc w:val="center"/>
        <w:rPr>
          <w:rFonts w:ascii="宋体" w:hAnsi="宋体" w:cs="宋体"/>
          <w:bCs/>
          <w:sz w:val="28"/>
          <w:szCs w:val="28"/>
        </w:rPr>
      </w:pPr>
    </w:p>
    <w:p>
      <w:pPr>
        <w:spacing w:line="600" w:lineRule="exact"/>
        <w:ind w:firstLine="560" w:firstLineChars="200"/>
        <w:rPr>
          <w:rFonts w:ascii="宋体" w:hAnsi="宋体" w:cs="宋体"/>
          <w:bCs/>
          <w:sz w:val="28"/>
          <w:szCs w:val="28"/>
        </w:rPr>
      </w:pPr>
      <w:r>
        <w:rPr>
          <w:rFonts w:hint="eastAsia" w:ascii="宋体" w:hAnsi="宋体" w:cs="宋体"/>
          <w:bCs/>
          <w:sz w:val="28"/>
          <w:szCs w:val="28"/>
        </w:rPr>
        <w:t>本公司郑重声明，根据《政府采购促进中小企业发展管理办法》(财库[2020]46号)的规定，本公司参加</w:t>
      </w:r>
      <w:r>
        <w:rPr>
          <w:rFonts w:hint="eastAsia" w:ascii="宋体" w:hAnsi="宋体" w:cs="宋体"/>
          <w:bCs/>
          <w:sz w:val="28"/>
          <w:szCs w:val="28"/>
          <w:u w:val="single"/>
        </w:rPr>
        <w:t>（单位名称）</w:t>
      </w:r>
      <w:r>
        <w:rPr>
          <w:rFonts w:hint="eastAsia" w:ascii="宋体" w:hAnsi="宋体" w:cs="宋体"/>
          <w:bCs/>
          <w:sz w:val="28"/>
          <w:szCs w:val="28"/>
        </w:rPr>
        <w:t>的</w:t>
      </w:r>
      <w:r>
        <w:rPr>
          <w:rFonts w:hint="eastAsia" w:ascii="宋体" w:hAnsi="宋体" w:cs="宋体"/>
          <w:bCs/>
          <w:sz w:val="28"/>
          <w:szCs w:val="28"/>
          <w:u w:val="single"/>
        </w:rPr>
        <w:t>（项目名称）</w:t>
      </w:r>
      <w:r>
        <w:rPr>
          <w:rFonts w:hint="eastAsia" w:ascii="宋体" w:hAnsi="宋体" w:cs="宋体"/>
          <w:bCs/>
          <w:sz w:val="28"/>
          <w:szCs w:val="28"/>
        </w:rPr>
        <w:t>采购活动，服务全部由符合政策要求的中小企业承接。相关企业的具体情况如下：</w:t>
      </w:r>
    </w:p>
    <w:p>
      <w:pPr>
        <w:spacing w:line="600" w:lineRule="exact"/>
        <w:ind w:firstLine="560" w:firstLineChars="200"/>
        <w:rPr>
          <w:rFonts w:ascii="宋体" w:hAnsi="宋体" w:cs="宋体"/>
          <w:bCs/>
          <w:sz w:val="28"/>
          <w:szCs w:val="28"/>
        </w:rPr>
      </w:pPr>
      <w:r>
        <w:rPr>
          <w:rFonts w:hint="eastAsia" w:ascii="宋体" w:hAnsi="宋体" w:cs="宋体"/>
          <w:bCs/>
          <w:sz w:val="28"/>
          <w:szCs w:val="28"/>
        </w:rPr>
        <w:t>1、</w:t>
      </w:r>
      <w:r>
        <w:rPr>
          <w:rFonts w:hint="eastAsia" w:ascii="宋体" w:hAnsi="宋体" w:cs="宋体"/>
          <w:bCs/>
          <w:sz w:val="28"/>
          <w:szCs w:val="28"/>
          <w:u w:val="single"/>
        </w:rPr>
        <w:t>（标的名称）</w:t>
      </w:r>
      <w:r>
        <w:rPr>
          <w:rFonts w:hint="eastAsia" w:ascii="宋体" w:hAnsi="宋体" w:cs="宋体"/>
          <w:bCs/>
          <w:sz w:val="28"/>
          <w:szCs w:val="28"/>
        </w:rPr>
        <w:t>，属于</w:t>
      </w:r>
      <w:r>
        <w:rPr>
          <w:rFonts w:hint="eastAsia" w:ascii="宋体" w:hAnsi="宋体" w:cs="宋体"/>
          <w:bCs/>
          <w:sz w:val="28"/>
          <w:szCs w:val="28"/>
          <w:u w:val="single"/>
        </w:rPr>
        <w:t>（采购文件中明确的所属行业）行业</w:t>
      </w:r>
      <w:r>
        <w:rPr>
          <w:rFonts w:hint="eastAsia" w:ascii="宋体" w:hAnsi="宋体" w:cs="宋体"/>
          <w:bCs/>
          <w:sz w:val="28"/>
          <w:szCs w:val="28"/>
        </w:rPr>
        <w:t>；承接企业为（</w:t>
      </w:r>
      <w:r>
        <w:rPr>
          <w:rFonts w:hint="eastAsia" w:ascii="宋体" w:hAnsi="宋体" w:cs="宋体"/>
          <w:bCs/>
          <w:sz w:val="28"/>
          <w:szCs w:val="28"/>
          <w:u w:val="single"/>
        </w:rPr>
        <w:t>企业名称）</w:t>
      </w:r>
      <w:r>
        <w:rPr>
          <w:rFonts w:hint="eastAsia" w:ascii="宋体" w:hAnsi="宋体" w:cs="宋体"/>
          <w:bCs/>
          <w:sz w:val="28"/>
          <w:szCs w:val="28"/>
        </w:rPr>
        <w:t>，从业人员</w:t>
      </w:r>
      <w:r>
        <w:rPr>
          <w:rFonts w:hint="eastAsia" w:ascii="宋体" w:hAnsi="宋体" w:cs="宋体"/>
          <w:bCs/>
          <w:sz w:val="28"/>
          <w:szCs w:val="28"/>
          <w:u w:val="single"/>
        </w:rPr>
        <w:t>   </w:t>
      </w:r>
      <w:r>
        <w:rPr>
          <w:rFonts w:hint="eastAsia" w:ascii="宋体" w:hAnsi="宋体" w:cs="宋体"/>
          <w:bCs/>
          <w:sz w:val="28"/>
          <w:szCs w:val="28"/>
        </w:rPr>
        <w:t>人，营业收入为 </w:t>
      </w:r>
      <w:r>
        <w:rPr>
          <w:rFonts w:hint="eastAsia" w:ascii="宋体" w:hAnsi="宋体" w:cs="宋体"/>
          <w:bCs/>
          <w:sz w:val="28"/>
          <w:szCs w:val="28"/>
          <w:u w:val="single"/>
        </w:rPr>
        <w:t>   </w:t>
      </w:r>
      <w:r>
        <w:rPr>
          <w:rFonts w:hint="eastAsia" w:ascii="宋体" w:hAnsi="宋体" w:cs="宋体"/>
          <w:bCs/>
          <w:sz w:val="28"/>
          <w:szCs w:val="28"/>
        </w:rPr>
        <w:t>万元，资产总额为</w:t>
      </w:r>
      <w:r>
        <w:rPr>
          <w:rFonts w:hint="eastAsia" w:ascii="宋体" w:hAnsi="宋体" w:cs="宋体"/>
          <w:bCs/>
          <w:sz w:val="28"/>
          <w:szCs w:val="28"/>
          <w:u w:val="single"/>
        </w:rPr>
        <w:t>    </w:t>
      </w:r>
      <w:r>
        <w:rPr>
          <w:rFonts w:hint="eastAsia" w:ascii="宋体" w:hAnsi="宋体" w:cs="宋体"/>
          <w:bCs/>
          <w:sz w:val="28"/>
          <w:szCs w:val="28"/>
        </w:rPr>
        <w:t>万元，属于（中型企业、小型企业、微型企业）；</w:t>
      </w:r>
    </w:p>
    <w:p>
      <w:pPr>
        <w:spacing w:line="600" w:lineRule="exact"/>
        <w:ind w:firstLine="560" w:firstLineChars="200"/>
        <w:rPr>
          <w:rFonts w:ascii="宋体" w:hAnsi="宋体" w:cs="宋体"/>
          <w:bCs/>
          <w:sz w:val="28"/>
          <w:szCs w:val="28"/>
        </w:rPr>
      </w:pPr>
      <w:r>
        <w:rPr>
          <w:rFonts w:hint="eastAsia" w:ascii="宋体" w:hAnsi="宋体" w:cs="宋体"/>
          <w:bCs/>
          <w:sz w:val="28"/>
          <w:szCs w:val="28"/>
        </w:rPr>
        <w:t>……</w:t>
      </w:r>
    </w:p>
    <w:p>
      <w:pPr>
        <w:spacing w:line="600" w:lineRule="exact"/>
        <w:ind w:firstLine="560" w:firstLineChars="200"/>
        <w:rPr>
          <w:rFonts w:ascii="宋体" w:hAnsi="宋体" w:cs="宋体"/>
          <w:bCs/>
          <w:sz w:val="28"/>
          <w:szCs w:val="28"/>
        </w:rPr>
      </w:pPr>
      <w:r>
        <w:rPr>
          <w:rFonts w:hint="eastAsia" w:ascii="宋体" w:hAnsi="宋体" w:cs="宋体"/>
          <w:bCs/>
          <w:sz w:val="28"/>
          <w:szCs w:val="28"/>
        </w:rPr>
        <w:t>以上企业，不属于大企业的分支机构，不存在控股股东为大企业的情形，也不存在与大企业的负责人为同一人的情形。</w:t>
      </w:r>
    </w:p>
    <w:p>
      <w:pPr>
        <w:spacing w:line="600" w:lineRule="exact"/>
        <w:ind w:firstLine="560" w:firstLineChars="200"/>
        <w:rPr>
          <w:rFonts w:ascii="宋体" w:hAnsi="宋体" w:cs="宋体"/>
          <w:bCs/>
          <w:sz w:val="28"/>
          <w:szCs w:val="28"/>
        </w:rPr>
      </w:pPr>
      <w:r>
        <w:rPr>
          <w:rFonts w:hint="eastAsia" w:ascii="宋体" w:hAnsi="宋体" w:cs="宋体"/>
          <w:bCs/>
          <w:sz w:val="28"/>
          <w:szCs w:val="28"/>
        </w:rPr>
        <w:t>本企业对上述声明内容的真实性负责。如有虚假，将依法承担相应责任。</w:t>
      </w:r>
    </w:p>
    <w:p>
      <w:pPr>
        <w:spacing w:line="560" w:lineRule="exact"/>
        <w:ind w:firstLine="560" w:firstLineChars="200"/>
        <w:jc w:val="right"/>
        <w:rPr>
          <w:rFonts w:ascii="宋体" w:hAnsi="宋体" w:cs="宋体"/>
          <w:bCs/>
          <w:sz w:val="28"/>
          <w:szCs w:val="28"/>
        </w:rPr>
      </w:pPr>
      <w:r>
        <w:rPr>
          <w:rFonts w:hint="eastAsia" w:ascii="宋体" w:hAnsi="宋体" w:cs="宋体"/>
          <w:bCs/>
          <w:sz w:val="28"/>
          <w:szCs w:val="28"/>
        </w:rPr>
        <w:t>                                       企业名称（电子签章）：</w:t>
      </w:r>
    </w:p>
    <w:p>
      <w:pPr>
        <w:spacing w:line="560" w:lineRule="exact"/>
        <w:ind w:firstLine="560" w:firstLineChars="200"/>
        <w:jc w:val="right"/>
        <w:rPr>
          <w:rFonts w:ascii="宋体" w:hAnsi="宋体" w:cs="宋体"/>
          <w:bCs/>
          <w:sz w:val="28"/>
          <w:szCs w:val="28"/>
        </w:rPr>
      </w:pPr>
      <w:r>
        <w:rPr>
          <w:rFonts w:hint="eastAsia" w:ascii="宋体" w:hAnsi="宋体" w:cs="宋体"/>
          <w:bCs/>
          <w:sz w:val="28"/>
          <w:szCs w:val="28"/>
        </w:rPr>
        <w:t>日  期：</w:t>
      </w:r>
    </w:p>
    <w:p>
      <w:pPr>
        <w:pStyle w:val="33"/>
        <w:spacing w:before="0" w:line="400" w:lineRule="exact"/>
        <w:ind w:firstLine="480"/>
        <w:rPr>
          <w:rFonts w:ascii="宋体" w:hAnsi="宋体" w:cs="宋体"/>
          <w:bCs/>
        </w:rPr>
      </w:pPr>
    </w:p>
    <w:p>
      <w:pPr>
        <w:pStyle w:val="33"/>
        <w:spacing w:before="0" w:line="400" w:lineRule="exact"/>
        <w:ind w:firstLine="480"/>
        <w:rPr>
          <w:rFonts w:ascii="宋体" w:hAnsi="宋体" w:cs="宋体"/>
          <w:bCs/>
        </w:rPr>
      </w:pPr>
    </w:p>
    <w:p>
      <w:pPr>
        <w:pStyle w:val="33"/>
        <w:spacing w:before="0" w:line="400" w:lineRule="exact"/>
        <w:ind w:firstLine="480"/>
        <w:rPr>
          <w:rFonts w:ascii="宋体" w:hAnsi="宋体" w:cs="宋体"/>
          <w:bCs/>
        </w:rPr>
      </w:pPr>
    </w:p>
    <w:p>
      <w:pPr>
        <w:pStyle w:val="33"/>
        <w:spacing w:before="0" w:line="400" w:lineRule="exact"/>
        <w:ind w:firstLine="480"/>
        <w:rPr>
          <w:rFonts w:ascii="宋体" w:hAnsi="宋体" w:cs="宋体"/>
          <w:bCs/>
        </w:rPr>
      </w:pPr>
    </w:p>
    <w:p>
      <w:pPr>
        <w:textAlignment w:val="baseline"/>
        <w:rPr>
          <w:rFonts w:ascii="宋体"/>
          <w:sz w:val="22"/>
        </w:rPr>
      </w:pPr>
    </w:p>
    <w:p>
      <w:pPr>
        <w:textAlignment w:val="baseline"/>
        <w:rPr>
          <w:rFonts w:ascii="宋体"/>
          <w:sz w:val="22"/>
        </w:rPr>
      </w:pPr>
    </w:p>
    <w:p>
      <w:pPr>
        <w:textAlignment w:val="baseline"/>
        <w:rPr>
          <w:rFonts w:ascii="宋体"/>
          <w:sz w:val="22"/>
        </w:rPr>
      </w:pPr>
      <w:r>
        <w:rPr>
          <w:rFonts w:hint="eastAsia" w:ascii="宋体"/>
          <w:sz w:val="22"/>
        </w:rPr>
        <w:t>注：1、从业人员、营业收入、资产总额填报上一年度数据，无上一年度数据的新成立企业不填报。</w:t>
      </w:r>
    </w:p>
    <w:p>
      <w:pPr>
        <w:textAlignment w:val="baseline"/>
        <w:rPr>
          <w:rFonts w:ascii="宋体"/>
          <w:sz w:val="22"/>
        </w:rPr>
      </w:pPr>
      <w:r>
        <w:rPr>
          <w:rFonts w:hint="eastAsia" w:ascii="宋体"/>
          <w:sz w:val="22"/>
        </w:rPr>
        <w:t>2、非中小企业无须提供此函</w:t>
      </w:r>
    </w:p>
    <w:p>
      <w:pPr>
        <w:textAlignment w:val="baseline"/>
        <w:rPr>
          <w:rFonts w:ascii="宋体"/>
          <w:b/>
          <w:sz w:val="24"/>
        </w:rPr>
      </w:pPr>
      <w:r>
        <w:rPr>
          <w:rFonts w:hint="eastAsia" w:ascii="宋体" w:hAnsi="宋体" w:cs="宋体"/>
          <w:b/>
          <w:sz w:val="28"/>
          <w:szCs w:val="28"/>
        </w:rPr>
        <w:br w:type="page"/>
      </w:r>
      <w:r>
        <w:rPr>
          <w:rFonts w:hint="eastAsia" w:ascii="宋体"/>
          <w:b/>
          <w:sz w:val="32"/>
          <w:szCs w:val="32"/>
        </w:rPr>
        <w:t>示范格式五</w:t>
      </w:r>
    </w:p>
    <w:p>
      <w:pPr>
        <w:spacing w:line="560" w:lineRule="exact"/>
        <w:jc w:val="center"/>
        <w:rPr>
          <w:rFonts w:ascii="宋体" w:hAnsi="宋体" w:cs="宋体"/>
          <w:b/>
          <w:sz w:val="32"/>
          <w:szCs w:val="32"/>
        </w:rPr>
      </w:pPr>
      <w:r>
        <w:rPr>
          <w:rFonts w:hint="eastAsia" w:ascii="宋体" w:hAnsi="宋体" w:cs="宋体"/>
          <w:b/>
          <w:sz w:val="32"/>
          <w:szCs w:val="32"/>
        </w:rPr>
        <w:t>残疾人福利性单位声明函</w:t>
      </w:r>
    </w:p>
    <w:p>
      <w:pPr>
        <w:spacing w:line="588" w:lineRule="exact"/>
        <w:ind w:firstLine="840" w:firstLineChars="300"/>
        <w:rPr>
          <w:rFonts w:ascii="宋体" w:hAnsi="宋体" w:cs="宋体"/>
          <w:sz w:val="28"/>
          <w:szCs w:val="28"/>
        </w:rPr>
      </w:pPr>
    </w:p>
    <w:p>
      <w:pPr>
        <w:spacing w:line="588" w:lineRule="exact"/>
        <w:ind w:firstLine="840" w:firstLineChars="300"/>
        <w:rPr>
          <w:rFonts w:ascii="宋体" w:hAnsi="宋体" w:cs="宋体"/>
          <w:sz w:val="28"/>
          <w:szCs w:val="28"/>
        </w:rPr>
      </w:pPr>
      <w:r>
        <w:rPr>
          <w:rFonts w:hint="eastAsia" w:ascii="宋体" w:hAnsi="宋体" w:cs="宋体"/>
          <w:sz w:val="28"/>
          <w:szCs w:val="28"/>
        </w:rPr>
        <w:t>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p>
    <w:p>
      <w:pPr>
        <w:spacing w:line="588" w:lineRule="exact"/>
        <w:ind w:firstLine="560" w:firstLineChars="200"/>
        <w:rPr>
          <w:rFonts w:ascii="宋体" w:hAnsi="宋体" w:cs="宋体"/>
          <w:sz w:val="28"/>
          <w:szCs w:val="28"/>
        </w:rPr>
      </w:pPr>
      <w:r>
        <w:rPr>
          <w:rFonts w:hint="eastAsia" w:ascii="宋体" w:hAnsi="宋体" w:cs="宋体"/>
          <w:sz w:val="28"/>
          <w:szCs w:val="28"/>
        </w:rPr>
        <w:t>本单位在本次政府采购活动中提供的残疾人福利单位产品报价合计为人民币（大写）圆整（￥：     ）。</w:t>
      </w:r>
    </w:p>
    <w:p>
      <w:pPr>
        <w:spacing w:line="588" w:lineRule="exact"/>
        <w:ind w:firstLine="560" w:firstLineChars="200"/>
        <w:rPr>
          <w:rFonts w:ascii="宋体" w:hAnsi="宋体" w:cs="宋体"/>
          <w:sz w:val="28"/>
          <w:szCs w:val="28"/>
        </w:rPr>
      </w:pPr>
      <w:r>
        <w:rPr>
          <w:rFonts w:hint="eastAsia" w:ascii="宋体" w:hAnsi="宋体" w:cs="宋体"/>
          <w:sz w:val="28"/>
          <w:szCs w:val="28"/>
        </w:rPr>
        <w:t>本单位对上述声明的真实性负责。如有虚假，将依法承担相应责任。</w:t>
      </w:r>
    </w:p>
    <w:p>
      <w:pPr>
        <w:spacing w:line="588" w:lineRule="exact"/>
        <w:ind w:firstLine="560" w:firstLineChars="200"/>
        <w:rPr>
          <w:rFonts w:ascii="宋体" w:hAnsi="宋体" w:cs="宋体"/>
          <w:sz w:val="28"/>
          <w:szCs w:val="28"/>
        </w:rPr>
      </w:pPr>
    </w:p>
    <w:p>
      <w:pPr>
        <w:spacing w:line="588" w:lineRule="exact"/>
        <w:ind w:firstLine="560" w:firstLineChars="200"/>
        <w:rPr>
          <w:rFonts w:ascii="宋体" w:hAnsi="宋体" w:cs="宋体"/>
          <w:sz w:val="28"/>
          <w:szCs w:val="28"/>
        </w:rPr>
      </w:pPr>
      <w:r>
        <w:rPr>
          <w:rFonts w:hint="eastAsia" w:ascii="宋体" w:hAnsi="宋体" w:cs="宋体"/>
          <w:sz w:val="28"/>
          <w:szCs w:val="28"/>
        </w:rPr>
        <w:t>（备注：1、供应商如不提供此声明函，价格将不做相应扣除。2、中标供应商为残疾人福利单位的，此声明函将随中标结果同时公告，接受社会监督）</w:t>
      </w:r>
    </w:p>
    <w:p>
      <w:pPr>
        <w:spacing w:line="588" w:lineRule="exact"/>
        <w:ind w:firstLine="584" w:firstLineChars="200"/>
        <w:rPr>
          <w:rFonts w:ascii="宋体" w:hAnsi="宋体" w:cs="宋体"/>
          <w:spacing w:val="6"/>
          <w:sz w:val="28"/>
          <w:szCs w:val="28"/>
        </w:rPr>
      </w:pPr>
    </w:p>
    <w:p>
      <w:pPr>
        <w:tabs>
          <w:tab w:val="left" w:pos="4860"/>
        </w:tabs>
        <w:spacing w:line="588" w:lineRule="exact"/>
        <w:ind w:right="1560" w:firstLine="560" w:firstLineChars="200"/>
        <w:jc w:val="right"/>
        <w:rPr>
          <w:rFonts w:ascii="宋体" w:hAnsi="宋体" w:cs="宋体"/>
          <w:sz w:val="28"/>
          <w:szCs w:val="28"/>
        </w:rPr>
      </w:pPr>
      <w:r>
        <w:rPr>
          <w:rFonts w:hint="eastAsia" w:ascii="宋体" w:hAnsi="宋体" w:cs="宋体"/>
          <w:sz w:val="28"/>
          <w:szCs w:val="28"/>
        </w:rPr>
        <w:t xml:space="preserve">              供应商全称（电子签章）：</w:t>
      </w:r>
    </w:p>
    <w:p>
      <w:pPr>
        <w:tabs>
          <w:tab w:val="left" w:pos="4860"/>
        </w:tabs>
        <w:spacing w:line="588" w:lineRule="exact"/>
        <w:ind w:right="1560" w:firstLine="560" w:firstLineChars="200"/>
        <w:jc w:val="center"/>
        <w:rPr>
          <w:rFonts w:ascii="宋体" w:hAnsi="宋体" w:cs="宋体"/>
          <w:sz w:val="24"/>
        </w:rPr>
      </w:pPr>
      <w:r>
        <w:rPr>
          <w:rFonts w:hint="eastAsia" w:ascii="宋体" w:hAnsi="宋体" w:cs="宋体"/>
          <w:sz w:val="28"/>
          <w:szCs w:val="28"/>
        </w:rPr>
        <w:t xml:space="preserve">                              日  期：</w:t>
      </w:r>
    </w:p>
    <w:p/>
    <w:p/>
    <w:p/>
    <w:p/>
    <w:p/>
    <w:sectPr>
      <w:footerReference r:id="rId5" w:type="first"/>
      <w:footerReference r:id="rId3" w:type="default"/>
      <w:footerReference r:id="rId4" w:type="even"/>
      <w:pgSz w:w="11906" w:h="16838"/>
      <w:pgMar w:top="850" w:right="964" w:bottom="850" w:left="964" w:header="851" w:footer="680" w:gutter="0"/>
      <w:pgBorders>
        <w:top w:val="none" w:sz="0" w:space="0"/>
        <w:left w:val="none" w:sz="0" w:space="0"/>
        <w:bottom w:val="none" w:sz="0" w:space="0"/>
        <w:right w:val="none" w:sz="0" w:space="0"/>
      </w:pgBorders>
      <w:pgNumType w:start="0"/>
      <w:cols w:space="720" w:num="1"/>
      <w:titlePg/>
      <w:docGrid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方正仿宋简体">
    <w:altName w:val="微软雅黑"/>
    <w:panose1 w:val="00000000000000000000"/>
    <w:charset w:val="86"/>
    <w:family w:val="auto"/>
    <w:pitch w:val="default"/>
    <w:sig w:usb0="00000000" w:usb1="00000000" w:usb2="00000012" w:usb3="00000000" w:csb0="00040001"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rPr>
        <w:rFonts w:ascii="宋体" w:hAnsi="宋体"/>
        <w:szCs w:val="18"/>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1"/>
                            <w:jc w:val="center"/>
                          </w:pPr>
                          <w:r>
                            <w:rPr>
                              <w:rFonts w:ascii="宋体" w:hAnsi="宋体"/>
                              <w:szCs w:val="18"/>
                            </w:rPr>
                            <w:fldChar w:fldCharType="begin"/>
                          </w:r>
                          <w:r>
                            <w:rPr>
                              <w:rFonts w:ascii="宋体" w:hAnsi="宋体"/>
                              <w:szCs w:val="18"/>
                            </w:rPr>
                            <w:instrText xml:space="preserve"> PAGE   \* MERGEFORMAT </w:instrText>
                          </w:r>
                          <w:r>
                            <w:rPr>
                              <w:rFonts w:ascii="宋体" w:hAnsi="宋体"/>
                              <w:szCs w:val="18"/>
                            </w:rPr>
                            <w:fldChar w:fldCharType="separate"/>
                          </w:r>
                          <w:r>
                            <w:rPr>
                              <w:rFonts w:ascii="宋体" w:hAnsi="宋体"/>
                              <w:szCs w:val="18"/>
                              <w:lang w:val="zh-CN"/>
                            </w:rPr>
                            <w:t>17</w:t>
                          </w:r>
                          <w:r>
                            <w:rPr>
                              <w:rFonts w:ascii="宋体" w:hAnsi="宋体"/>
                              <w:szCs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e6CiY6AgAAcQQAAA4AAABkcnMvZTJvRG9jLnhtbK1UzY7TMBC+I/EO&#10;lu80aRd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69pkQzhY6fvn87&#10;/fh1+vmV4A4CtdbPEPdgERm6t6bD2Az3HpeRd1c5FX/BiMAPeY8XeUUXCI+PppPpNIeLwzccgJ89&#10;PrfOh3fCKBKNgjr0L8nKDhsf+tAhJGbTZt1ImXooNWkLen31Jk8PLh6ASx1jRZqGM0yk1JcerdBt&#10;uzPPrSmPoOlMPyne8nWDUjbMh3vmMBooH8sT7vCppEFKc7YoqY378q/7GI+OwUtJi1ErqMZmUSLf&#10;a3QSgGEw3GBsB0Pv1a3B7I6xlJYnEw9ckINZOaM+Y6OWMQdcTHNkKmgYzNvQjzs2kovlMgXtrWt2&#10;df8Ac2hZ2OgHy2OaKJW3y32AtEnxKFCvCjoVD5jE1LPz1sRR//Ocoh7/KR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LNJWO7QAAAABQEAAA8AAAAAAAAAAQAgAAAAIgAAAGRycy9kb3ducmV2Lnht&#10;bFBLAQIUABQAAAAIAIdO4kBHugomOgIAAHEEAAAOAAAAAAAAAAEAIAAAAB8BAABkcnMvZTJvRG9j&#10;LnhtbFBLBQYAAAAABgAGAFkBAADLBQAAAAA=&#10;">
              <v:fill on="f" focussize="0,0"/>
              <v:stroke on="f" weight="0.5pt"/>
              <v:imagedata o:title=""/>
              <o:lock v:ext="edit" aspectratio="f"/>
              <v:textbox inset="0mm,0mm,0mm,0mm" style="mso-fit-shape-to-text:t;">
                <w:txbxContent>
                  <w:p>
                    <w:pPr>
                      <w:pStyle w:val="11"/>
                      <w:jc w:val="center"/>
                    </w:pPr>
                    <w:r>
                      <w:rPr>
                        <w:rFonts w:ascii="宋体" w:hAnsi="宋体"/>
                        <w:szCs w:val="18"/>
                      </w:rPr>
                      <w:fldChar w:fldCharType="begin"/>
                    </w:r>
                    <w:r>
                      <w:rPr>
                        <w:rFonts w:ascii="宋体" w:hAnsi="宋体"/>
                        <w:szCs w:val="18"/>
                      </w:rPr>
                      <w:instrText xml:space="preserve"> PAGE   \* MERGEFORMAT </w:instrText>
                    </w:r>
                    <w:r>
                      <w:rPr>
                        <w:rFonts w:ascii="宋体" w:hAnsi="宋体"/>
                        <w:szCs w:val="18"/>
                      </w:rPr>
                      <w:fldChar w:fldCharType="separate"/>
                    </w:r>
                    <w:r>
                      <w:rPr>
                        <w:rFonts w:ascii="宋体" w:hAnsi="宋体"/>
                        <w:szCs w:val="18"/>
                        <w:lang w:val="zh-CN"/>
                      </w:rPr>
                      <w:t>17</w:t>
                    </w:r>
                    <w:r>
                      <w:rPr>
                        <w:rFonts w:ascii="宋体" w:hAnsi="宋体"/>
                        <w:szCs w:val="18"/>
                      </w:rPr>
                      <w:fldChar w:fldCharType="end"/>
                    </w:r>
                  </w:p>
                </w:txbxContent>
              </v:textbox>
            </v:shape>
          </w:pict>
        </mc:Fallback>
      </mc:AlternateContent>
    </w:r>
  </w:p>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center" w:y="1"/>
      <w:rPr>
        <w:rStyle w:val="21"/>
      </w:rPr>
    </w:pPr>
    <w:r>
      <w:rPr>
        <w:rStyle w:val="21"/>
      </w:rPr>
      <w:fldChar w:fldCharType="begin"/>
    </w:r>
    <w:r>
      <w:rPr>
        <w:rStyle w:val="21"/>
      </w:rPr>
      <w:instrText xml:space="preserve">PAGE  </w:instrText>
    </w:r>
    <w:r>
      <w:rPr>
        <w:rStyle w:val="21"/>
      </w:rPr>
      <w:fldChar w:fldCharType="separate"/>
    </w:r>
    <w:r>
      <w:rPr>
        <w:rStyle w:val="21"/>
      </w:rPr>
      <w:t>1</w:t>
    </w:r>
    <w:r>
      <w:rPr>
        <w:rStyle w:val="21"/>
      </w:rPr>
      <w:fldChar w:fldCharType="end"/>
    </w:r>
  </w:p>
  <w:p>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1"/>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ijic5AgAAcQ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QyoUQzhY6ff3w/&#10;//x9/vWN4A4CNdbPELe1iAztO9NibPp7j8vIuy2dir9gROCHvKervKINhMdH0/F0OoSLw9cfgJ89&#10;PbfOh/fCKBKNnDr0L8nKjhsfutA+JGbTZl1LmXooNWlyejN5O0wPrh6ASx1jRZqGC0yk1JUerdDu&#10;2gvPnSlOoOlMNyne8nWNUjbMhwfmMBooH8sT7vEppUFKc7EoqYz7+q/7GI+OwUtJg1HLqcZmUSI/&#10;aHQSgKE3XG/sekMf1J3B7I6wlJYnEw9ckL1ZOqO+YKOWMQdcTHNkymnozbvQjTs2kovlMgUdrKv3&#10;VfcAc2hZ2Oit5TFNlMrb5SFA2qR4FKhTBZ2KB0xi6tlla+Ko/3lOUU//FItH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OGijic5AgAAcQQAAA4AAAAAAAAAAQAgAAAAHwEAAGRycy9lMm9Eb2Mu&#10;eG1sUEsFBgAAAAAGAAYAWQEAAMoFA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0</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CF8862"/>
    <w:multiLevelType w:val="singleLevel"/>
    <w:tmpl w:val="96CF8862"/>
    <w:lvl w:ilvl="0" w:tentative="0">
      <w:start w:val="1"/>
      <w:numFmt w:val="decimal"/>
      <w:suff w:val="nothing"/>
      <w:lvlText w:val="%1、"/>
      <w:lvlJc w:val="left"/>
    </w:lvl>
  </w:abstractNum>
  <w:abstractNum w:abstractNumId="1">
    <w:nsid w:val="ADE9187C"/>
    <w:multiLevelType w:val="singleLevel"/>
    <w:tmpl w:val="ADE9187C"/>
    <w:lvl w:ilvl="0" w:tentative="0">
      <w:start w:val="2"/>
      <w:numFmt w:val="chineseCounting"/>
      <w:suff w:val="nothing"/>
      <w:lvlText w:val="%1、"/>
      <w:lvlJc w:val="left"/>
      <w:rPr>
        <w:rFonts w:hint="eastAsia" w:cs="Times New Roman"/>
      </w:rPr>
    </w:lvl>
  </w:abstractNum>
  <w:abstractNum w:abstractNumId="2">
    <w:nsid w:val="E5B922B3"/>
    <w:multiLevelType w:val="singleLevel"/>
    <w:tmpl w:val="E5B922B3"/>
    <w:lvl w:ilvl="0" w:tentative="0">
      <w:start w:val="9"/>
      <w:numFmt w:val="decimal"/>
      <w:lvlText w:val="%1."/>
      <w:lvlJc w:val="left"/>
      <w:pPr>
        <w:tabs>
          <w:tab w:val="left" w:pos="312"/>
        </w:tabs>
      </w:pPr>
    </w:lvl>
  </w:abstractNum>
  <w:abstractNum w:abstractNumId="3">
    <w:nsid w:val="EEA74BCC"/>
    <w:multiLevelType w:val="singleLevel"/>
    <w:tmpl w:val="EEA74BCC"/>
    <w:lvl w:ilvl="0" w:tentative="0">
      <w:start w:val="2"/>
      <w:numFmt w:val="chineseCounting"/>
      <w:suff w:val="nothing"/>
      <w:lvlText w:val="%1、"/>
      <w:lvlJc w:val="left"/>
      <w:rPr>
        <w:rFonts w:hint="eastAsia"/>
      </w:rPr>
    </w:lvl>
  </w:abstractNum>
  <w:abstractNum w:abstractNumId="4">
    <w:nsid w:val="30F8BC5E"/>
    <w:multiLevelType w:val="singleLevel"/>
    <w:tmpl w:val="30F8BC5E"/>
    <w:lvl w:ilvl="0" w:tentative="0">
      <w:start w:val="4"/>
      <w:numFmt w:val="chineseCounting"/>
      <w:suff w:val="nothing"/>
      <w:lvlText w:val="%1、"/>
      <w:lvlJc w:val="left"/>
      <w:rPr>
        <w:rFonts w:hint="eastAsia"/>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VlMGE0YTc3NjJhZDQwMDdlNzE5MGVmZjNmYzY2MDEifQ=="/>
  </w:docVars>
  <w:rsids>
    <w:rsidRoot w:val="0F255882"/>
    <w:rsid w:val="000942B7"/>
    <w:rsid w:val="000F1A71"/>
    <w:rsid w:val="00237A6E"/>
    <w:rsid w:val="008C6C96"/>
    <w:rsid w:val="00A42231"/>
    <w:rsid w:val="00B72FDD"/>
    <w:rsid w:val="00C405A2"/>
    <w:rsid w:val="00CF01E0"/>
    <w:rsid w:val="00F230E7"/>
    <w:rsid w:val="01E46D89"/>
    <w:rsid w:val="02072A78"/>
    <w:rsid w:val="024E6B63"/>
    <w:rsid w:val="025008C3"/>
    <w:rsid w:val="025D6B3C"/>
    <w:rsid w:val="02EE3C38"/>
    <w:rsid w:val="036B7036"/>
    <w:rsid w:val="03724869"/>
    <w:rsid w:val="037C1244"/>
    <w:rsid w:val="03960557"/>
    <w:rsid w:val="040177F9"/>
    <w:rsid w:val="04142A0F"/>
    <w:rsid w:val="04497378"/>
    <w:rsid w:val="04F3624A"/>
    <w:rsid w:val="05017C52"/>
    <w:rsid w:val="05104339"/>
    <w:rsid w:val="054D10EA"/>
    <w:rsid w:val="05A86320"/>
    <w:rsid w:val="05AB0993"/>
    <w:rsid w:val="05B2719F"/>
    <w:rsid w:val="0620235A"/>
    <w:rsid w:val="06792E57"/>
    <w:rsid w:val="06D80E87"/>
    <w:rsid w:val="06FF01C2"/>
    <w:rsid w:val="07091040"/>
    <w:rsid w:val="071A4FFB"/>
    <w:rsid w:val="073762C7"/>
    <w:rsid w:val="07630750"/>
    <w:rsid w:val="078F7797"/>
    <w:rsid w:val="07A174CB"/>
    <w:rsid w:val="07B76CEE"/>
    <w:rsid w:val="07D7113E"/>
    <w:rsid w:val="07DF007B"/>
    <w:rsid w:val="08265589"/>
    <w:rsid w:val="08D8516E"/>
    <w:rsid w:val="08F33D56"/>
    <w:rsid w:val="09246605"/>
    <w:rsid w:val="09320D22"/>
    <w:rsid w:val="095F3D18"/>
    <w:rsid w:val="096D3B08"/>
    <w:rsid w:val="09B94F9F"/>
    <w:rsid w:val="09F4422A"/>
    <w:rsid w:val="0A0D0E47"/>
    <w:rsid w:val="0A6F38B0"/>
    <w:rsid w:val="0AD11E75"/>
    <w:rsid w:val="0ADB2CF4"/>
    <w:rsid w:val="0B093D05"/>
    <w:rsid w:val="0B41524D"/>
    <w:rsid w:val="0BAD643E"/>
    <w:rsid w:val="0BB27EF8"/>
    <w:rsid w:val="0BB53545"/>
    <w:rsid w:val="0BE45BD8"/>
    <w:rsid w:val="0C4D15FA"/>
    <w:rsid w:val="0C7156BE"/>
    <w:rsid w:val="0C913FB2"/>
    <w:rsid w:val="0C9910B8"/>
    <w:rsid w:val="0CC954FA"/>
    <w:rsid w:val="0D5A18FB"/>
    <w:rsid w:val="0D6E42F3"/>
    <w:rsid w:val="0DFF5CB4"/>
    <w:rsid w:val="0E0662D9"/>
    <w:rsid w:val="0E0C74AF"/>
    <w:rsid w:val="0E1704E7"/>
    <w:rsid w:val="0EBE4E06"/>
    <w:rsid w:val="0EE24651"/>
    <w:rsid w:val="0EE26D46"/>
    <w:rsid w:val="0EF53D6F"/>
    <w:rsid w:val="0F255882"/>
    <w:rsid w:val="0F517A28"/>
    <w:rsid w:val="0FA52239"/>
    <w:rsid w:val="0FBA7468"/>
    <w:rsid w:val="0FD3668F"/>
    <w:rsid w:val="10141182"/>
    <w:rsid w:val="101E5B5C"/>
    <w:rsid w:val="107C6D27"/>
    <w:rsid w:val="10CC380A"/>
    <w:rsid w:val="10E01064"/>
    <w:rsid w:val="11162CD7"/>
    <w:rsid w:val="111F6202"/>
    <w:rsid w:val="11553800"/>
    <w:rsid w:val="11811943"/>
    <w:rsid w:val="118C2F9A"/>
    <w:rsid w:val="11EE77B0"/>
    <w:rsid w:val="120B0362"/>
    <w:rsid w:val="12105979"/>
    <w:rsid w:val="139323BD"/>
    <w:rsid w:val="1439615C"/>
    <w:rsid w:val="14405E62"/>
    <w:rsid w:val="14515DD5"/>
    <w:rsid w:val="148B7538"/>
    <w:rsid w:val="148E0DD7"/>
    <w:rsid w:val="14EB7FD7"/>
    <w:rsid w:val="153E2C9C"/>
    <w:rsid w:val="15475B55"/>
    <w:rsid w:val="15776D65"/>
    <w:rsid w:val="15A20FDE"/>
    <w:rsid w:val="15F829AC"/>
    <w:rsid w:val="15FB6E11"/>
    <w:rsid w:val="16500A3A"/>
    <w:rsid w:val="16EB0762"/>
    <w:rsid w:val="171C4DC0"/>
    <w:rsid w:val="17FB2C27"/>
    <w:rsid w:val="185A09EA"/>
    <w:rsid w:val="1869193F"/>
    <w:rsid w:val="18702CCD"/>
    <w:rsid w:val="18C9062F"/>
    <w:rsid w:val="18E84F59"/>
    <w:rsid w:val="18E92A80"/>
    <w:rsid w:val="18F57676"/>
    <w:rsid w:val="19770192"/>
    <w:rsid w:val="19793E03"/>
    <w:rsid w:val="198253AE"/>
    <w:rsid w:val="1A404921"/>
    <w:rsid w:val="1A424B3D"/>
    <w:rsid w:val="1A5D1977"/>
    <w:rsid w:val="1A976C37"/>
    <w:rsid w:val="1AC96B7E"/>
    <w:rsid w:val="1AD54B7B"/>
    <w:rsid w:val="1B2E0C1E"/>
    <w:rsid w:val="1B486183"/>
    <w:rsid w:val="1B532828"/>
    <w:rsid w:val="1B860A5A"/>
    <w:rsid w:val="1BA17641"/>
    <w:rsid w:val="1BAA4748"/>
    <w:rsid w:val="1C050363"/>
    <w:rsid w:val="1C2A5889"/>
    <w:rsid w:val="1C2D7127"/>
    <w:rsid w:val="1CBD5B8E"/>
    <w:rsid w:val="1CC950A2"/>
    <w:rsid w:val="1CD221A8"/>
    <w:rsid w:val="1D097B94"/>
    <w:rsid w:val="1D271DC8"/>
    <w:rsid w:val="1D2D73DF"/>
    <w:rsid w:val="1D6D0123"/>
    <w:rsid w:val="1D70376F"/>
    <w:rsid w:val="1D713004"/>
    <w:rsid w:val="1D90796E"/>
    <w:rsid w:val="1DB25B36"/>
    <w:rsid w:val="1DCB6BF8"/>
    <w:rsid w:val="1DED3012"/>
    <w:rsid w:val="1DF779ED"/>
    <w:rsid w:val="1E14234D"/>
    <w:rsid w:val="1E544E3F"/>
    <w:rsid w:val="1E6C03DB"/>
    <w:rsid w:val="1EBB1A4A"/>
    <w:rsid w:val="1F066139"/>
    <w:rsid w:val="1F204D21"/>
    <w:rsid w:val="1F792DAF"/>
    <w:rsid w:val="1F8D21CF"/>
    <w:rsid w:val="1F947BE9"/>
    <w:rsid w:val="1FAB0A8F"/>
    <w:rsid w:val="207B4905"/>
    <w:rsid w:val="20E701EC"/>
    <w:rsid w:val="21463165"/>
    <w:rsid w:val="219C4B33"/>
    <w:rsid w:val="21C83B7A"/>
    <w:rsid w:val="21D56369"/>
    <w:rsid w:val="220B7F0B"/>
    <w:rsid w:val="225D0766"/>
    <w:rsid w:val="226513C9"/>
    <w:rsid w:val="22714212"/>
    <w:rsid w:val="22883B49"/>
    <w:rsid w:val="22E42C35"/>
    <w:rsid w:val="23046E34"/>
    <w:rsid w:val="2329689A"/>
    <w:rsid w:val="235574BD"/>
    <w:rsid w:val="23735D67"/>
    <w:rsid w:val="23906919"/>
    <w:rsid w:val="2393640A"/>
    <w:rsid w:val="239A32F4"/>
    <w:rsid w:val="23E97DD8"/>
    <w:rsid w:val="24232A58"/>
    <w:rsid w:val="242C1835"/>
    <w:rsid w:val="2455546D"/>
    <w:rsid w:val="24637B8A"/>
    <w:rsid w:val="2479115B"/>
    <w:rsid w:val="24883A94"/>
    <w:rsid w:val="24D34D10"/>
    <w:rsid w:val="24FF3D57"/>
    <w:rsid w:val="253A669F"/>
    <w:rsid w:val="253F23A5"/>
    <w:rsid w:val="25A641D2"/>
    <w:rsid w:val="25CE54D7"/>
    <w:rsid w:val="25D56865"/>
    <w:rsid w:val="25FC3DF2"/>
    <w:rsid w:val="26040EF9"/>
    <w:rsid w:val="260D24A3"/>
    <w:rsid w:val="2685028B"/>
    <w:rsid w:val="268A3AF4"/>
    <w:rsid w:val="26B02E2F"/>
    <w:rsid w:val="270311B0"/>
    <w:rsid w:val="27565784"/>
    <w:rsid w:val="279B763B"/>
    <w:rsid w:val="27CC5A46"/>
    <w:rsid w:val="27EE00B2"/>
    <w:rsid w:val="287A36F4"/>
    <w:rsid w:val="289522DC"/>
    <w:rsid w:val="28D177B8"/>
    <w:rsid w:val="28D71FFD"/>
    <w:rsid w:val="29D84B76"/>
    <w:rsid w:val="29DB01C2"/>
    <w:rsid w:val="2A135BAE"/>
    <w:rsid w:val="2A8D770F"/>
    <w:rsid w:val="2B732DA8"/>
    <w:rsid w:val="2BE75544"/>
    <w:rsid w:val="2C077995"/>
    <w:rsid w:val="2C191E8B"/>
    <w:rsid w:val="2C477D91"/>
    <w:rsid w:val="2CE84825"/>
    <w:rsid w:val="2D085772"/>
    <w:rsid w:val="2D1E6D44"/>
    <w:rsid w:val="2D265BF9"/>
    <w:rsid w:val="2DBC3323"/>
    <w:rsid w:val="2E7330BF"/>
    <w:rsid w:val="2EE8585B"/>
    <w:rsid w:val="2F083808"/>
    <w:rsid w:val="2F544C9F"/>
    <w:rsid w:val="2F6F3887"/>
    <w:rsid w:val="303A1B72"/>
    <w:rsid w:val="3049232A"/>
    <w:rsid w:val="30607673"/>
    <w:rsid w:val="30907F59"/>
    <w:rsid w:val="30FD4EC2"/>
    <w:rsid w:val="316513E5"/>
    <w:rsid w:val="31CA749A"/>
    <w:rsid w:val="31F369F1"/>
    <w:rsid w:val="32095D3D"/>
    <w:rsid w:val="32C55B70"/>
    <w:rsid w:val="32FA7647"/>
    <w:rsid w:val="33242BDA"/>
    <w:rsid w:val="334119DE"/>
    <w:rsid w:val="334430A8"/>
    <w:rsid w:val="334D3EDF"/>
    <w:rsid w:val="3368056A"/>
    <w:rsid w:val="33D27683"/>
    <w:rsid w:val="33D740F0"/>
    <w:rsid w:val="33E67E90"/>
    <w:rsid w:val="33F95E15"/>
    <w:rsid w:val="34433534"/>
    <w:rsid w:val="34711A42"/>
    <w:rsid w:val="34EC51CF"/>
    <w:rsid w:val="34EC7728"/>
    <w:rsid w:val="34FD36E3"/>
    <w:rsid w:val="34FF56AD"/>
    <w:rsid w:val="35507CB7"/>
    <w:rsid w:val="355A6D87"/>
    <w:rsid w:val="35A10DA9"/>
    <w:rsid w:val="367F4CF7"/>
    <w:rsid w:val="36877708"/>
    <w:rsid w:val="36963DEF"/>
    <w:rsid w:val="36A24542"/>
    <w:rsid w:val="371B60A2"/>
    <w:rsid w:val="372A4537"/>
    <w:rsid w:val="3757688F"/>
    <w:rsid w:val="37695060"/>
    <w:rsid w:val="377063EE"/>
    <w:rsid w:val="37B87D95"/>
    <w:rsid w:val="37CE75B8"/>
    <w:rsid w:val="386817BB"/>
    <w:rsid w:val="38D8249D"/>
    <w:rsid w:val="38F35529"/>
    <w:rsid w:val="38FD0C3F"/>
    <w:rsid w:val="39050DB8"/>
    <w:rsid w:val="390A63CE"/>
    <w:rsid w:val="39233154"/>
    <w:rsid w:val="394144E6"/>
    <w:rsid w:val="39573AE7"/>
    <w:rsid w:val="397445CB"/>
    <w:rsid w:val="397D4DF2"/>
    <w:rsid w:val="3A1F234D"/>
    <w:rsid w:val="3A296D28"/>
    <w:rsid w:val="3AD550C2"/>
    <w:rsid w:val="3AE96BE3"/>
    <w:rsid w:val="3AED7993"/>
    <w:rsid w:val="3B1B48C3"/>
    <w:rsid w:val="3B223EA3"/>
    <w:rsid w:val="3B2319C9"/>
    <w:rsid w:val="3B5654F4"/>
    <w:rsid w:val="3B5F0C53"/>
    <w:rsid w:val="3B6049CB"/>
    <w:rsid w:val="3BBA215D"/>
    <w:rsid w:val="3BDD7DCA"/>
    <w:rsid w:val="3C0E030A"/>
    <w:rsid w:val="3C1063F2"/>
    <w:rsid w:val="3CA77D58"/>
    <w:rsid w:val="3CB21257"/>
    <w:rsid w:val="3CB7061B"/>
    <w:rsid w:val="3CCD6091"/>
    <w:rsid w:val="3CF27217"/>
    <w:rsid w:val="3D167A38"/>
    <w:rsid w:val="3D1F72EF"/>
    <w:rsid w:val="3DBC70F3"/>
    <w:rsid w:val="3E135D25"/>
    <w:rsid w:val="3E3839DE"/>
    <w:rsid w:val="3E3E37F3"/>
    <w:rsid w:val="3E500D27"/>
    <w:rsid w:val="3E810EE1"/>
    <w:rsid w:val="3E886713"/>
    <w:rsid w:val="3E9E1A93"/>
    <w:rsid w:val="3EC55271"/>
    <w:rsid w:val="3EEA117C"/>
    <w:rsid w:val="3F12422F"/>
    <w:rsid w:val="3F147FA7"/>
    <w:rsid w:val="3F1A47FA"/>
    <w:rsid w:val="3F7153F9"/>
    <w:rsid w:val="3F7E3672"/>
    <w:rsid w:val="3F8C3FE1"/>
    <w:rsid w:val="3FAC01DF"/>
    <w:rsid w:val="3FD26248"/>
    <w:rsid w:val="40356427"/>
    <w:rsid w:val="403D52DB"/>
    <w:rsid w:val="404C551E"/>
    <w:rsid w:val="40640ABA"/>
    <w:rsid w:val="406867FC"/>
    <w:rsid w:val="40890521"/>
    <w:rsid w:val="408B54E8"/>
    <w:rsid w:val="40C652D1"/>
    <w:rsid w:val="40D07EFD"/>
    <w:rsid w:val="40FE2CBD"/>
    <w:rsid w:val="41322966"/>
    <w:rsid w:val="41692885"/>
    <w:rsid w:val="416F7716"/>
    <w:rsid w:val="4182569C"/>
    <w:rsid w:val="421F2EEA"/>
    <w:rsid w:val="42521512"/>
    <w:rsid w:val="4262727B"/>
    <w:rsid w:val="431A1904"/>
    <w:rsid w:val="43572B58"/>
    <w:rsid w:val="436300A9"/>
    <w:rsid w:val="436A4639"/>
    <w:rsid w:val="438F40A0"/>
    <w:rsid w:val="43CA157C"/>
    <w:rsid w:val="442A46C7"/>
    <w:rsid w:val="44527B9D"/>
    <w:rsid w:val="445A46AE"/>
    <w:rsid w:val="44703ED1"/>
    <w:rsid w:val="44CE4900"/>
    <w:rsid w:val="44E8566D"/>
    <w:rsid w:val="454B049A"/>
    <w:rsid w:val="45504B8B"/>
    <w:rsid w:val="45753590"/>
    <w:rsid w:val="4585575A"/>
    <w:rsid w:val="458F65D9"/>
    <w:rsid w:val="45E16709"/>
    <w:rsid w:val="460C19D8"/>
    <w:rsid w:val="466E61EE"/>
    <w:rsid w:val="467F664E"/>
    <w:rsid w:val="46DD3374"/>
    <w:rsid w:val="47266AC9"/>
    <w:rsid w:val="472D60AA"/>
    <w:rsid w:val="472F1E22"/>
    <w:rsid w:val="474B6530"/>
    <w:rsid w:val="47560DB5"/>
    <w:rsid w:val="47665118"/>
    <w:rsid w:val="476A2E5A"/>
    <w:rsid w:val="47867568"/>
    <w:rsid w:val="47A10846"/>
    <w:rsid w:val="48BB76E5"/>
    <w:rsid w:val="48EC5AF0"/>
    <w:rsid w:val="4907292A"/>
    <w:rsid w:val="492E435B"/>
    <w:rsid w:val="49892DB7"/>
    <w:rsid w:val="49ED1B20"/>
    <w:rsid w:val="4A126DC2"/>
    <w:rsid w:val="4A174DEF"/>
    <w:rsid w:val="4A8B7D12"/>
    <w:rsid w:val="4AA541A9"/>
    <w:rsid w:val="4AAA17BF"/>
    <w:rsid w:val="4ACD36E9"/>
    <w:rsid w:val="4AE72891"/>
    <w:rsid w:val="4AE922E8"/>
    <w:rsid w:val="4AFF1B0B"/>
    <w:rsid w:val="4B0E1D4E"/>
    <w:rsid w:val="4B257098"/>
    <w:rsid w:val="4B4F32F4"/>
    <w:rsid w:val="4B4F71EE"/>
    <w:rsid w:val="4B842010"/>
    <w:rsid w:val="4B897627"/>
    <w:rsid w:val="4C0575F5"/>
    <w:rsid w:val="4C15535E"/>
    <w:rsid w:val="4C343A36"/>
    <w:rsid w:val="4C371778"/>
    <w:rsid w:val="4C502AF0"/>
    <w:rsid w:val="4C6A7458"/>
    <w:rsid w:val="4C8A7AFA"/>
    <w:rsid w:val="4CAF2096"/>
    <w:rsid w:val="4CAF7561"/>
    <w:rsid w:val="4CF51418"/>
    <w:rsid w:val="4CFF2296"/>
    <w:rsid w:val="4D245859"/>
    <w:rsid w:val="4D265A75"/>
    <w:rsid w:val="4D6D36A4"/>
    <w:rsid w:val="4DA02E4D"/>
    <w:rsid w:val="4DAB0910"/>
    <w:rsid w:val="4DF80A94"/>
    <w:rsid w:val="4DF92D0A"/>
    <w:rsid w:val="4E6879C7"/>
    <w:rsid w:val="4E70105D"/>
    <w:rsid w:val="4E8F13F8"/>
    <w:rsid w:val="4E9D1D67"/>
    <w:rsid w:val="4EDE5EDB"/>
    <w:rsid w:val="4EE2777A"/>
    <w:rsid w:val="4EE51018"/>
    <w:rsid w:val="4F22401A"/>
    <w:rsid w:val="4F4B17C3"/>
    <w:rsid w:val="4F8E345D"/>
    <w:rsid w:val="4F9305EF"/>
    <w:rsid w:val="4FBC621D"/>
    <w:rsid w:val="500D4CCA"/>
    <w:rsid w:val="50A56CB1"/>
    <w:rsid w:val="51052478"/>
    <w:rsid w:val="5133250E"/>
    <w:rsid w:val="513F5357"/>
    <w:rsid w:val="51491D32"/>
    <w:rsid w:val="51AA02F7"/>
    <w:rsid w:val="51AF590D"/>
    <w:rsid w:val="51DA5080"/>
    <w:rsid w:val="51F205C7"/>
    <w:rsid w:val="520D7203"/>
    <w:rsid w:val="525E7A5F"/>
    <w:rsid w:val="532145E9"/>
    <w:rsid w:val="5338205E"/>
    <w:rsid w:val="539179C0"/>
    <w:rsid w:val="53F9084D"/>
    <w:rsid w:val="540D6E22"/>
    <w:rsid w:val="542250DD"/>
    <w:rsid w:val="546B6463"/>
    <w:rsid w:val="547F1F0F"/>
    <w:rsid w:val="548B08B3"/>
    <w:rsid w:val="54CF254E"/>
    <w:rsid w:val="54EC3868"/>
    <w:rsid w:val="55314FB7"/>
    <w:rsid w:val="5572737D"/>
    <w:rsid w:val="55AA4D69"/>
    <w:rsid w:val="55AC0AE1"/>
    <w:rsid w:val="55B279CD"/>
    <w:rsid w:val="55CA325E"/>
    <w:rsid w:val="55D32512"/>
    <w:rsid w:val="562B5EAA"/>
    <w:rsid w:val="563A7E9B"/>
    <w:rsid w:val="56C43C09"/>
    <w:rsid w:val="56C500AD"/>
    <w:rsid w:val="56EE7CC2"/>
    <w:rsid w:val="573963A5"/>
    <w:rsid w:val="57961A49"/>
    <w:rsid w:val="57D8108E"/>
    <w:rsid w:val="57F81DBC"/>
    <w:rsid w:val="581D1822"/>
    <w:rsid w:val="58490869"/>
    <w:rsid w:val="586438F5"/>
    <w:rsid w:val="587B479B"/>
    <w:rsid w:val="588C69A8"/>
    <w:rsid w:val="590824D3"/>
    <w:rsid w:val="591863C9"/>
    <w:rsid w:val="59260BAB"/>
    <w:rsid w:val="59464DA9"/>
    <w:rsid w:val="595C3AFF"/>
    <w:rsid w:val="598C3104"/>
    <w:rsid w:val="59C97EB4"/>
    <w:rsid w:val="59DB3743"/>
    <w:rsid w:val="59DF76D7"/>
    <w:rsid w:val="59F842F5"/>
    <w:rsid w:val="5A2052F0"/>
    <w:rsid w:val="5A9A35FE"/>
    <w:rsid w:val="5ABF609B"/>
    <w:rsid w:val="5ADF3707"/>
    <w:rsid w:val="5AE40D1D"/>
    <w:rsid w:val="5AEE74A6"/>
    <w:rsid w:val="5B084A0C"/>
    <w:rsid w:val="5B092CA2"/>
    <w:rsid w:val="5B353327"/>
    <w:rsid w:val="5B5A4B3C"/>
    <w:rsid w:val="5B6360E6"/>
    <w:rsid w:val="5B8816A9"/>
    <w:rsid w:val="5B940305"/>
    <w:rsid w:val="5BC04E23"/>
    <w:rsid w:val="5BE63F04"/>
    <w:rsid w:val="5BE97F10"/>
    <w:rsid w:val="5C0056E3"/>
    <w:rsid w:val="5C677510"/>
    <w:rsid w:val="5C9C3D18"/>
    <w:rsid w:val="5CB63FF4"/>
    <w:rsid w:val="5CC04E72"/>
    <w:rsid w:val="5CE62B2B"/>
    <w:rsid w:val="5D5A0E23"/>
    <w:rsid w:val="5D7418B5"/>
    <w:rsid w:val="5D9A3915"/>
    <w:rsid w:val="5DE84681"/>
    <w:rsid w:val="5E021DB5"/>
    <w:rsid w:val="5E3873B6"/>
    <w:rsid w:val="5E8E7B23"/>
    <w:rsid w:val="5E9F094A"/>
    <w:rsid w:val="5EF534F9"/>
    <w:rsid w:val="5F1119B5"/>
    <w:rsid w:val="5F223BC2"/>
    <w:rsid w:val="5F4C0B84"/>
    <w:rsid w:val="5F6366B5"/>
    <w:rsid w:val="5F6F5669"/>
    <w:rsid w:val="5F7A755A"/>
    <w:rsid w:val="5F824661"/>
    <w:rsid w:val="5FA647F3"/>
    <w:rsid w:val="5FFE1F39"/>
    <w:rsid w:val="600357A2"/>
    <w:rsid w:val="600F05EB"/>
    <w:rsid w:val="602F6597"/>
    <w:rsid w:val="603C0CB4"/>
    <w:rsid w:val="606F2512"/>
    <w:rsid w:val="60910B83"/>
    <w:rsid w:val="60B8658C"/>
    <w:rsid w:val="60E23609"/>
    <w:rsid w:val="611F69FF"/>
    <w:rsid w:val="6150343A"/>
    <w:rsid w:val="61DA1F93"/>
    <w:rsid w:val="623F405B"/>
    <w:rsid w:val="62614A02"/>
    <w:rsid w:val="62622171"/>
    <w:rsid w:val="62781B0A"/>
    <w:rsid w:val="628F156F"/>
    <w:rsid w:val="632717A7"/>
    <w:rsid w:val="639F24A2"/>
    <w:rsid w:val="63B02ED2"/>
    <w:rsid w:val="63BC2837"/>
    <w:rsid w:val="63BF5E84"/>
    <w:rsid w:val="63DE021C"/>
    <w:rsid w:val="646F1658"/>
    <w:rsid w:val="64A263AC"/>
    <w:rsid w:val="65075D34"/>
    <w:rsid w:val="658C2313"/>
    <w:rsid w:val="659C46CE"/>
    <w:rsid w:val="65A215B9"/>
    <w:rsid w:val="65DD0843"/>
    <w:rsid w:val="65ED6CD8"/>
    <w:rsid w:val="66137463"/>
    <w:rsid w:val="664A412A"/>
    <w:rsid w:val="6695111E"/>
    <w:rsid w:val="66A001EE"/>
    <w:rsid w:val="66F171B4"/>
    <w:rsid w:val="673D77EB"/>
    <w:rsid w:val="67966EFB"/>
    <w:rsid w:val="67A45ABC"/>
    <w:rsid w:val="67AE2497"/>
    <w:rsid w:val="67FF0105"/>
    <w:rsid w:val="68183DB4"/>
    <w:rsid w:val="68515E48"/>
    <w:rsid w:val="695D5F23"/>
    <w:rsid w:val="696A4AE4"/>
    <w:rsid w:val="697274F4"/>
    <w:rsid w:val="69EE1271"/>
    <w:rsid w:val="6A042842"/>
    <w:rsid w:val="6A0936F4"/>
    <w:rsid w:val="6A1D56B2"/>
    <w:rsid w:val="6A242EE4"/>
    <w:rsid w:val="6A5A6906"/>
    <w:rsid w:val="6A5F5CCB"/>
    <w:rsid w:val="6A613E90"/>
    <w:rsid w:val="6A773014"/>
    <w:rsid w:val="6A815C41"/>
    <w:rsid w:val="6A8B2F63"/>
    <w:rsid w:val="6A9811DC"/>
    <w:rsid w:val="6AB73D58"/>
    <w:rsid w:val="6ACB7804"/>
    <w:rsid w:val="6B1B4CEE"/>
    <w:rsid w:val="6B1E3A6B"/>
    <w:rsid w:val="6B3B2294"/>
    <w:rsid w:val="6B655563"/>
    <w:rsid w:val="6B797260"/>
    <w:rsid w:val="6BBF2EC5"/>
    <w:rsid w:val="6BD526E8"/>
    <w:rsid w:val="6BDD159D"/>
    <w:rsid w:val="6C0C3C30"/>
    <w:rsid w:val="6C7517D5"/>
    <w:rsid w:val="6C8B2DA7"/>
    <w:rsid w:val="6CA16A6E"/>
    <w:rsid w:val="6CC4450B"/>
    <w:rsid w:val="6CC60492"/>
    <w:rsid w:val="6CD81D64"/>
    <w:rsid w:val="6CE16E6B"/>
    <w:rsid w:val="6D0B038C"/>
    <w:rsid w:val="6DB14A8F"/>
    <w:rsid w:val="6DE44E65"/>
    <w:rsid w:val="6E292877"/>
    <w:rsid w:val="6E50569C"/>
    <w:rsid w:val="6E647D53"/>
    <w:rsid w:val="6E9518B7"/>
    <w:rsid w:val="6EA2087C"/>
    <w:rsid w:val="6EA75E92"/>
    <w:rsid w:val="6EBA7973"/>
    <w:rsid w:val="6EBF4F8A"/>
    <w:rsid w:val="6ED053E9"/>
    <w:rsid w:val="6EDA1DC4"/>
    <w:rsid w:val="6EE606B1"/>
    <w:rsid w:val="6F046E40"/>
    <w:rsid w:val="6F225677"/>
    <w:rsid w:val="6F715886"/>
    <w:rsid w:val="6F8306AD"/>
    <w:rsid w:val="6FDC1B6B"/>
    <w:rsid w:val="6FEC6252"/>
    <w:rsid w:val="700370F8"/>
    <w:rsid w:val="706C7393"/>
    <w:rsid w:val="707029DF"/>
    <w:rsid w:val="70A02B99"/>
    <w:rsid w:val="70A26911"/>
    <w:rsid w:val="70B86135"/>
    <w:rsid w:val="70E74DF7"/>
    <w:rsid w:val="70ED4030"/>
    <w:rsid w:val="71460054"/>
    <w:rsid w:val="719C7804"/>
    <w:rsid w:val="71EF202A"/>
    <w:rsid w:val="720535FB"/>
    <w:rsid w:val="723D0FE7"/>
    <w:rsid w:val="728269FA"/>
    <w:rsid w:val="728C339C"/>
    <w:rsid w:val="73353A6C"/>
    <w:rsid w:val="734C0DB6"/>
    <w:rsid w:val="742064CB"/>
    <w:rsid w:val="7452064E"/>
    <w:rsid w:val="74806F69"/>
    <w:rsid w:val="74850A24"/>
    <w:rsid w:val="75074069"/>
    <w:rsid w:val="751F49D4"/>
    <w:rsid w:val="753D4E5A"/>
    <w:rsid w:val="75464A57"/>
    <w:rsid w:val="757C3BD5"/>
    <w:rsid w:val="762F6E99"/>
    <w:rsid w:val="7693517B"/>
    <w:rsid w:val="770976EA"/>
    <w:rsid w:val="774D3005"/>
    <w:rsid w:val="77674410"/>
    <w:rsid w:val="77844FC2"/>
    <w:rsid w:val="77A80CB1"/>
    <w:rsid w:val="77D31AA6"/>
    <w:rsid w:val="780C4ECB"/>
    <w:rsid w:val="780F0D30"/>
    <w:rsid w:val="78270568"/>
    <w:rsid w:val="78306EF8"/>
    <w:rsid w:val="78463590"/>
    <w:rsid w:val="786817B4"/>
    <w:rsid w:val="789E0306"/>
    <w:rsid w:val="790F6B0E"/>
    <w:rsid w:val="791A257C"/>
    <w:rsid w:val="797D43BF"/>
    <w:rsid w:val="79A55325"/>
    <w:rsid w:val="79D264B9"/>
    <w:rsid w:val="79E27A58"/>
    <w:rsid w:val="79E9735F"/>
    <w:rsid w:val="79F309DD"/>
    <w:rsid w:val="7A1F0FD2"/>
    <w:rsid w:val="7A513882"/>
    <w:rsid w:val="7A5C4B36"/>
    <w:rsid w:val="7A910122"/>
    <w:rsid w:val="7AC878BC"/>
    <w:rsid w:val="7AD6706B"/>
    <w:rsid w:val="7AE30252"/>
    <w:rsid w:val="7AEA338E"/>
    <w:rsid w:val="7AEC35AA"/>
    <w:rsid w:val="7B1A0118"/>
    <w:rsid w:val="7B212FE6"/>
    <w:rsid w:val="7B25086A"/>
    <w:rsid w:val="7B770644"/>
    <w:rsid w:val="7C014E34"/>
    <w:rsid w:val="7C183F2B"/>
    <w:rsid w:val="7CC406F4"/>
    <w:rsid w:val="7CD460A4"/>
    <w:rsid w:val="7CEB7929"/>
    <w:rsid w:val="7D4529C1"/>
    <w:rsid w:val="7D4D5E56"/>
    <w:rsid w:val="7DCC321F"/>
    <w:rsid w:val="7E0D5D12"/>
    <w:rsid w:val="7E33504C"/>
    <w:rsid w:val="7EE12CFA"/>
    <w:rsid w:val="7EEC596A"/>
    <w:rsid w:val="7F166E48"/>
    <w:rsid w:val="7F673200"/>
    <w:rsid w:val="7FAF2DF8"/>
    <w:rsid w:val="7FB0104A"/>
    <w:rsid w:val="7FB977D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39"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tabs>
        <w:tab w:val="left" w:pos="1440"/>
        <w:tab w:val="left" w:pos="5670"/>
      </w:tabs>
      <w:spacing w:beforeLines="100" w:afterLines="100"/>
      <w:ind w:firstLine="2890" w:firstLineChars="1203"/>
      <w:outlineLvl w:val="0"/>
    </w:pPr>
    <w:rPr>
      <w:rFonts w:ascii="黑体" w:eastAsia="黑体"/>
      <w:b/>
      <w:kern w:val="44"/>
      <w:sz w:val="24"/>
      <w:szCs w:val="28"/>
    </w:rPr>
  </w:style>
  <w:style w:type="paragraph" w:styleId="3">
    <w:name w:val="heading 2"/>
    <w:basedOn w:val="1"/>
    <w:next w:val="1"/>
    <w:qFormat/>
    <w:uiPriority w:val="0"/>
    <w:pPr>
      <w:keepNext/>
      <w:keepLines/>
      <w:spacing w:before="120" w:after="120"/>
      <w:jc w:val="left"/>
      <w:outlineLvl w:val="1"/>
    </w:pPr>
    <w:rPr>
      <w:rFonts w:ascii="宋体" w:hAnsi="宋体"/>
      <w:b/>
      <w:szCs w:val="24"/>
    </w:rPr>
  </w:style>
  <w:style w:type="paragraph" w:styleId="4">
    <w:name w:val="heading 3"/>
    <w:basedOn w:val="1"/>
    <w:next w:val="1"/>
    <w:qFormat/>
    <w:uiPriority w:val="0"/>
    <w:pPr>
      <w:keepNext/>
      <w:keepLines/>
      <w:shd w:val="clear" w:color="auto" w:fill="FFFFFF"/>
      <w:wordWrap w:val="0"/>
      <w:spacing w:line="390" w:lineRule="atLeast"/>
      <w:outlineLvl w:val="2"/>
    </w:pPr>
    <w:rPr>
      <w:rFonts w:ascii="宋体" w:hAnsi="宋体"/>
      <w:b/>
      <w:szCs w:val="21"/>
    </w:rPr>
  </w:style>
  <w:style w:type="paragraph" w:styleId="5">
    <w:name w:val="heading 4"/>
    <w:basedOn w:val="1"/>
    <w:next w:val="1"/>
    <w:qFormat/>
    <w:uiPriority w:val="0"/>
    <w:pPr>
      <w:keepNext/>
      <w:keepLines/>
      <w:spacing w:before="120" w:after="120"/>
      <w:outlineLvl w:val="3"/>
    </w:pPr>
    <w:rPr>
      <w:rFonts w:ascii="Arial" w:hAnsi="Arial" w:eastAsia="黑体"/>
      <w:b/>
      <w:sz w:val="28"/>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qFormat/>
    <w:uiPriority w:val="0"/>
    <w:pPr>
      <w:jc w:val="left"/>
    </w:pPr>
  </w:style>
  <w:style w:type="paragraph" w:styleId="7">
    <w:name w:val="Body Text"/>
    <w:basedOn w:val="1"/>
    <w:next w:val="1"/>
    <w:qFormat/>
    <w:uiPriority w:val="0"/>
    <w:rPr>
      <w:rFonts w:ascii="楷体_GB2312" w:hAnsi="Arial" w:eastAsia="楷体_GB2312"/>
      <w:sz w:val="28"/>
    </w:rPr>
  </w:style>
  <w:style w:type="paragraph" w:styleId="8">
    <w:name w:val="Body Text Indent"/>
    <w:basedOn w:val="1"/>
    <w:next w:val="9"/>
    <w:qFormat/>
    <w:uiPriority w:val="0"/>
    <w:pPr>
      <w:ind w:firstLine="645"/>
    </w:pPr>
    <w:rPr>
      <w:rFonts w:ascii="楷体_GB2312" w:eastAsia="楷体_GB2312"/>
      <w:sz w:val="32"/>
    </w:rPr>
  </w:style>
  <w:style w:type="paragraph" w:styleId="9">
    <w:name w:val="envelope return"/>
    <w:basedOn w:val="1"/>
    <w:qFormat/>
    <w:uiPriority w:val="0"/>
    <w:pPr>
      <w:snapToGrid w:val="0"/>
    </w:pPr>
    <w:rPr>
      <w:rFonts w:ascii="Arial" w:hAnsi="Arial"/>
    </w:rPr>
  </w:style>
  <w:style w:type="paragraph" w:styleId="10">
    <w:name w:val="Plain Text"/>
    <w:basedOn w:val="1"/>
    <w:next w:val="1"/>
    <w:qFormat/>
    <w:uiPriority w:val="0"/>
    <w:rPr>
      <w:rFonts w:ascii="宋体" w:hAnsi="Courier New"/>
    </w:rPr>
  </w:style>
  <w:style w:type="paragraph" w:styleId="11">
    <w:name w:val="footer"/>
    <w:basedOn w:val="1"/>
    <w:next w:val="1"/>
    <w:qFormat/>
    <w:uiPriority w:val="99"/>
    <w:pPr>
      <w:tabs>
        <w:tab w:val="center" w:pos="4153"/>
        <w:tab w:val="right" w:pos="8306"/>
      </w:tabs>
      <w:snapToGrid w:val="0"/>
      <w:jc w:val="left"/>
    </w:pPr>
    <w:rPr>
      <w:sz w:val="18"/>
    </w:rPr>
  </w:style>
  <w:style w:type="paragraph" w:styleId="12">
    <w:name w:val="toc 6"/>
    <w:basedOn w:val="1"/>
    <w:next w:val="1"/>
    <w:qFormat/>
    <w:uiPriority w:val="39"/>
    <w:pPr>
      <w:ind w:left="1050"/>
      <w:jc w:val="left"/>
    </w:pPr>
    <w:rPr>
      <w:sz w:val="18"/>
      <w:szCs w:val="18"/>
    </w:rPr>
  </w:style>
  <w:style w:type="paragraph" w:styleId="13">
    <w:name w:val="Normal (Web)"/>
    <w:basedOn w:val="1"/>
    <w:qFormat/>
    <w:uiPriority w:val="0"/>
    <w:pPr>
      <w:spacing w:before="100" w:beforeAutospacing="1" w:after="100" w:afterAutospacing="1"/>
      <w:jc w:val="left"/>
    </w:pPr>
    <w:rPr>
      <w:kern w:val="0"/>
      <w:sz w:val="24"/>
    </w:rPr>
  </w:style>
  <w:style w:type="paragraph" w:styleId="14">
    <w:name w:val="Body Text First Indent"/>
    <w:basedOn w:val="7"/>
    <w:next w:val="12"/>
    <w:qFormat/>
    <w:uiPriority w:val="0"/>
    <w:pPr>
      <w:tabs>
        <w:tab w:val="left" w:pos="2020"/>
        <w:tab w:val="center" w:pos="4535"/>
      </w:tabs>
      <w:spacing w:after="120" w:afterLines="0" w:line="240" w:lineRule="auto"/>
      <w:ind w:firstLine="420" w:firstLineChars="100"/>
      <w:outlineLvl w:val="9"/>
    </w:pPr>
    <w:rPr>
      <w:rFonts w:ascii="Times New Roman" w:hAnsi="Times New Roman" w:eastAsia="宋体"/>
      <w:color w:val="auto"/>
      <w:sz w:val="21"/>
    </w:rPr>
  </w:style>
  <w:style w:type="paragraph" w:styleId="15">
    <w:name w:val="Body Text First Indent 2"/>
    <w:basedOn w:val="8"/>
    <w:next w:val="16"/>
    <w:qFormat/>
    <w:uiPriority w:val="0"/>
    <w:pPr>
      <w:widowControl/>
      <w:ind w:left="420" w:leftChars="200" w:firstLine="420" w:firstLineChars="200"/>
    </w:pPr>
    <w:rPr>
      <w:rFonts w:ascii="仿宋_GB2312" w:eastAsia="仿宋_GB2312"/>
      <w:color w:val="FF6600"/>
      <w:sz w:val="21"/>
    </w:rPr>
  </w:style>
  <w:style w:type="paragraph" w:customStyle="1" w:styleId="16">
    <w:name w:val="Default"/>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0">
    <w:name w:val="Strong"/>
    <w:basedOn w:val="19"/>
    <w:qFormat/>
    <w:uiPriority w:val="0"/>
    <w:rPr>
      <w:b/>
      <w:bCs/>
      <w:sz w:val="0"/>
      <w:szCs w:val="0"/>
      <w:bdr w:val="single" w:color="auto" w:sz="2" w:space="0"/>
    </w:rPr>
  </w:style>
  <w:style w:type="character" w:styleId="21">
    <w:name w:val="page number"/>
    <w:basedOn w:val="19"/>
    <w:qFormat/>
    <w:uiPriority w:val="0"/>
  </w:style>
  <w:style w:type="character" w:styleId="22">
    <w:name w:val="FollowedHyperlink"/>
    <w:basedOn w:val="19"/>
    <w:qFormat/>
    <w:uiPriority w:val="0"/>
    <w:rPr>
      <w:color w:val="5C5C5C"/>
      <w:u w:val="none"/>
    </w:rPr>
  </w:style>
  <w:style w:type="character" w:styleId="23">
    <w:name w:val="Emphasis"/>
    <w:basedOn w:val="19"/>
    <w:qFormat/>
    <w:uiPriority w:val="0"/>
    <w:rPr>
      <w:b/>
      <w:bCs/>
    </w:rPr>
  </w:style>
  <w:style w:type="character" w:styleId="24">
    <w:name w:val="HTML Definition"/>
    <w:basedOn w:val="19"/>
    <w:qFormat/>
    <w:uiPriority w:val="0"/>
  </w:style>
  <w:style w:type="character" w:styleId="25">
    <w:name w:val="HTML Typewriter"/>
    <w:basedOn w:val="19"/>
    <w:qFormat/>
    <w:uiPriority w:val="0"/>
    <w:rPr>
      <w:rFonts w:ascii="monospace" w:hAnsi="monospace" w:eastAsia="monospace" w:cs="monospace"/>
      <w:sz w:val="20"/>
    </w:rPr>
  </w:style>
  <w:style w:type="character" w:styleId="26">
    <w:name w:val="HTML Acronym"/>
    <w:basedOn w:val="19"/>
    <w:qFormat/>
    <w:uiPriority w:val="0"/>
  </w:style>
  <w:style w:type="character" w:styleId="27">
    <w:name w:val="HTML Variable"/>
    <w:basedOn w:val="19"/>
    <w:qFormat/>
    <w:uiPriority w:val="0"/>
  </w:style>
  <w:style w:type="character" w:styleId="28">
    <w:name w:val="Hyperlink"/>
    <w:basedOn w:val="19"/>
    <w:qFormat/>
    <w:uiPriority w:val="99"/>
    <w:rPr>
      <w:color w:val="333333"/>
      <w:u w:val="none"/>
    </w:rPr>
  </w:style>
  <w:style w:type="character" w:styleId="29">
    <w:name w:val="HTML Code"/>
    <w:basedOn w:val="19"/>
    <w:qFormat/>
    <w:uiPriority w:val="0"/>
    <w:rPr>
      <w:rFonts w:hint="default" w:ascii="monospace" w:hAnsi="monospace" w:eastAsia="monospace" w:cs="monospace"/>
      <w:sz w:val="20"/>
    </w:rPr>
  </w:style>
  <w:style w:type="character" w:styleId="30">
    <w:name w:val="HTML Cite"/>
    <w:basedOn w:val="19"/>
    <w:qFormat/>
    <w:uiPriority w:val="0"/>
  </w:style>
  <w:style w:type="character" w:styleId="31">
    <w:name w:val="HTML Keyboard"/>
    <w:basedOn w:val="19"/>
    <w:qFormat/>
    <w:uiPriority w:val="0"/>
    <w:rPr>
      <w:rFonts w:hint="default" w:ascii="monospace" w:hAnsi="monospace" w:eastAsia="monospace" w:cs="monospace"/>
      <w:vanish/>
      <w:sz w:val="20"/>
    </w:rPr>
  </w:style>
  <w:style w:type="character" w:styleId="32">
    <w:name w:val="HTML Sample"/>
    <w:basedOn w:val="19"/>
    <w:qFormat/>
    <w:uiPriority w:val="0"/>
    <w:rPr>
      <w:rFonts w:hint="default" w:ascii="monospace" w:hAnsi="monospace" w:eastAsia="monospace" w:cs="monospace"/>
    </w:rPr>
  </w:style>
  <w:style w:type="paragraph" w:customStyle="1" w:styleId="33">
    <w:name w:val="正文1"/>
    <w:basedOn w:val="1"/>
    <w:next w:val="1"/>
    <w:qFormat/>
    <w:uiPriority w:val="99"/>
    <w:pPr>
      <w:spacing w:before="156" w:line="360" w:lineRule="auto"/>
      <w:ind w:firstLine="510" w:firstLineChars="200"/>
    </w:pPr>
    <w:rPr>
      <w:sz w:val="24"/>
    </w:rPr>
  </w:style>
  <w:style w:type="paragraph" w:customStyle="1" w:styleId="34">
    <w:name w:val="[Normal]"/>
    <w:qFormat/>
    <w:uiPriority w:val="0"/>
    <w:rPr>
      <w:rFonts w:ascii="方正仿宋简体" w:hAnsi="方正仿宋简体" w:eastAsia="方正仿宋简体" w:cs="Courier New"/>
      <w:sz w:val="24"/>
      <w:szCs w:val="22"/>
      <w:lang w:val="zh-CN" w:eastAsia="zh-CN" w:bidi="ar-SA"/>
    </w:rPr>
  </w:style>
  <w:style w:type="paragraph" w:customStyle="1" w:styleId="35">
    <w:name w:val="正文空2格  1."/>
    <w:basedOn w:val="1"/>
    <w:qFormat/>
    <w:uiPriority w:val="99"/>
    <w:pPr>
      <w:adjustRightInd w:val="0"/>
      <w:spacing w:line="360" w:lineRule="auto"/>
      <w:ind w:firstLine="480" w:firstLineChars="200"/>
      <w:textAlignment w:val="baseline"/>
    </w:pPr>
    <w:rPr>
      <w:rFonts w:ascii="宋体" w:eastAsia="仿宋" w:cs="宋体"/>
      <w:kern w:val="0"/>
      <w:sz w:val="28"/>
    </w:rPr>
  </w:style>
  <w:style w:type="paragraph" w:styleId="36">
    <w:name w:val="List Paragraph"/>
    <w:basedOn w:val="1"/>
    <w:qFormat/>
    <w:uiPriority w:val="34"/>
    <w:pPr>
      <w:ind w:firstLine="420" w:firstLineChars="200"/>
    </w:pPr>
    <w:rPr>
      <w:szCs w:val="24"/>
    </w:rPr>
  </w:style>
  <w:style w:type="paragraph" w:customStyle="1" w:styleId="37">
    <w:name w:val="正文_0"/>
    <w:qFormat/>
    <w:uiPriority w:val="99"/>
    <w:pPr>
      <w:widowControl w:val="0"/>
      <w:jc w:val="both"/>
    </w:pPr>
    <w:rPr>
      <w:rFonts w:ascii="Calibri" w:hAnsi="Calibri" w:eastAsia="宋体" w:cs="Times New Roman"/>
      <w:lang w:val="en-US" w:eastAsia="zh-CN" w:bidi="ar-SA"/>
    </w:rPr>
  </w:style>
  <w:style w:type="character" w:customStyle="1" w:styleId="38">
    <w:name w:val="UserStyle_18"/>
    <w:qFormat/>
    <w:uiPriority w:val="0"/>
    <w:rPr>
      <w:kern w:val="2"/>
      <w:sz w:val="21"/>
      <w:szCs w:val="24"/>
      <w:lang w:val="en-US" w:eastAsia="zh-CN" w:bidi="ar-SA"/>
    </w:rPr>
  </w:style>
  <w:style w:type="character" w:customStyle="1" w:styleId="39">
    <w:name w:val="NormalCharacter"/>
    <w:qFormat/>
    <w:uiPriority w:val="0"/>
  </w:style>
  <w:style w:type="paragraph" w:customStyle="1" w:styleId="40">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41">
    <w:name w:val="hover"/>
    <w:basedOn w:val="19"/>
    <w:qFormat/>
    <w:uiPriority w:val="0"/>
    <w:rPr>
      <w:color w:val="2590EB"/>
    </w:rPr>
  </w:style>
  <w:style w:type="character" w:customStyle="1" w:styleId="42">
    <w:name w:val="hover1"/>
    <w:basedOn w:val="19"/>
    <w:qFormat/>
    <w:uiPriority w:val="0"/>
  </w:style>
  <w:style w:type="character" w:customStyle="1" w:styleId="43">
    <w:name w:val="hover2"/>
    <w:basedOn w:val="19"/>
    <w:qFormat/>
    <w:uiPriority w:val="0"/>
    <w:rPr>
      <w:color w:val="2590EB"/>
    </w:rPr>
  </w:style>
  <w:style w:type="character" w:customStyle="1" w:styleId="44">
    <w:name w:val="hover3"/>
    <w:basedOn w:val="19"/>
    <w:qFormat/>
    <w:uiPriority w:val="0"/>
    <w:rPr>
      <w:color w:val="2590EB"/>
      <w:shd w:val="clear" w:fill="E9F4FD"/>
    </w:rPr>
  </w:style>
  <w:style w:type="paragraph" w:customStyle="1" w:styleId="45">
    <w:name w:val="正文格式"/>
    <w:qFormat/>
    <w:uiPriority w:val="0"/>
    <w:pPr>
      <w:spacing w:line="360" w:lineRule="auto"/>
      <w:ind w:firstLine="200" w:firstLineChars="200"/>
    </w:pPr>
    <w:rPr>
      <w:rFonts w:ascii="宋体" w:hAnsi="宋体" w:eastAsia="宋体" w:cs="Times New Roman"/>
      <w:kern w:val="2"/>
      <w:sz w:val="28"/>
      <w:szCs w:val="22"/>
      <w:lang w:val="en-US" w:eastAsia="zh-CN" w:bidi="ar-SA"/>
    </w:rPr>
  </w:style>
  <w:style w:type="paragraph" w:customStyle="1" w:styleId="46">
    <w:name w:val="纯文本1"/>
    <w:basedOn w:val="1"/>
    <w:qFormat/>
    <w:uiPriority w:val="0"/>
    <w:pPr>
      <w:adjustRightInd w:val="0"/>
      <w:textAlignment w:val="baseline"/>
    </w:pPr>
    <w:rPr>
      <w:rFonts w:ascii="宋体" w:hAnsi="Courier New" w:eastAsia="楷体_GB2312"/>
      <w:sz w:val="26"/>
      <w:szCs w:val="20"/>
    </w:rPr>
  </w:style>
  <w:style w:type="character" w:customStyle="1" w:styleId="47">
    <w:name w:val="font121"/>
    <w:basedOn w:val="19"/>
    <w:qFormat/>
    <w:uiPriority w:val="0"/>
    <w:rPr>
      <w:rFonts w:ascii="Arial" w:hAnsi="Arial" w:cs="Arial"/>
      <w:color w:val="000000"/>
      <w:sz w:val="20"/>
      <w:szCs w:val="20"/>
      <w:u w:val="none"/>
    </w:rPr>
  </w:style>
  <w:style w:type="character" w:customStyle="1" w:styleId="48">
    <w:name w:val="font51"/>
    <w:basedOn w:val="19"/>
    <w:qFormat/>
    <w:uiPriority w:val="0"/>
    <w:rPr>
      <w:rFonts w:hint="eastAsia" w:ascii="宋体" w:hAnsi="宋体" w:eastAsia="宋体" w:cs="宋体"/>
      <w:color w:val="000000"/>
      <w:sz w:val="20"/>
      <w:szCs w:val="20"/>
      <w:u w:val="none"/>
    </w:rPr>
  </w:style>
  <w:style w:type="character" w:customStyle="1" w:styleId="49">
    <w:name w:val="font11"/>
    <w:basedOn w:val="19"/>
    <w:qFormat/>
    <w:uiPriority w:val="0"/>
    <w:rPr>
      <w:rFonts w:hint="eastAsia" w:ascii="宋体" w:hAnsi="宋体" w:eastAsia="宋体" w:cs="宋体"/>
      <w:color w:val="000000"/>
      <w:sz w:val="22"/>
      <w:szCs w:val="22"/>
      <w:u w:val="none"/>
    </w:rPr>
  </w:style>
  <w:style w:type="character" w:customStyle="1" w:styleId="50">
    <w:name w:val="font101"/>
    <w:basedOn w:val="19"/>
    <w:qFormat/>
    <w:uiPriority w:val="0"/>
    <w:rPr>
      <w:rFonts w:ascii="Arial" w:hAnsi="Arial" w:cs="Arial"/>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53</Pages>
  <Words>41816</Words>
  <Characters>46953</Characters>
  <Lines>54</Lines>
  <Paragraphs>114</Paragraphs>
  <TotalTime>198</TotalTime>
  <ScaleCrop>false</ScaleCrop>
  <LinksUpToDate>false</LinksUpToDate>
  <CharactersWithSpaces>48367</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2023-06-13T01:27:00Z</dcterms:created>
  <dc:creator>WPS_1645060415</dc:creator>
  <cp:lastModifiedBy>WPS_1645060415</cp:lastModifiedBy>
  <cp:lastPrinted>2023-07-19T02:55:00Z</cp:lastPrinted>
  <dcterms:modified xsi:type="dcterms:W3CDTF">2023-09-08T01:13:14Z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98E36D72E8D24E9C88F19E8A76EA88E0_13</vt:lpwstr>
  </property>
</Properties>
</file>