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87"/>
        <w:ind w:firstLine="0"/>
        <w:rPr>
          <w:rFonts w:hint="eastAsia" w:ascii="宋体" w:hAnsi="宋体" w:eastAsia="宋体" w:cs="宋体"/>
          <w:b/>
          <w:bCs/>
          <w:color w:val="auto"/>
          <w:sz w:val="84"/>
          <w:highlight w:val="none"/>
        </w:rPr>
      </w:pPr>
    </w:p>
    <w:p>
      <w:pPr>
        <w:pStyle w:val="287"/>
        <w:ind w:firstLine="0"/>
        <w:jc w:val="center"/>
        <w:rPr>
          <w:rFonts w:hint="eastAsia" w:ascii="宋体" w:hAnsi="宋体" w:eastAsia="宋体" w:cs="宋体"/>
          <w:b/>
          <w:bCs/>
          <w:color w:val="auto"/>
          <w:sz w:val="84"/>
          <w:highlight w:val="none"/>
        </w:rPr>
      </w:pPr>
      <w:r>
        <w:rPr>
          <w:rFonts w:hint="eastAsia" w:ascii="宋体" w:hAnsi="宋体" w:eastAsia="宋体" w:cs="宋体"/>
          <w:b/>
          <w:bCs/>
          <w:color w:val="auto"/>
          <w:sz w:val="84"/>
          <w:highlight w:val="none"/>
        </w:rPr>
        <w:t>招　标　文　件</w:t>
      </w:r>
    </w:p>
    <w:p>
      <w:pPr>
        <w:pStyle w:val="287"/>
        <w:ind w:firstLine="2249"/>
        <w:rPr>
          <w:rFonts w:hint="eastAsia" w:ascii="宋体" w:hAnsi="宋体" w:eastAsia="宋体" w:cs="宋体"/>
          <w:b/>
          <w:bCs/>
          <w:color w:val="auto"/>
          <w:sz w:val="32"/>
          <w:highlight w:val="none"/>
        </w:rPr>
      </w:pPr>
    </w:p>
    <w:p>
      <w:pPr>
        <w:pStyle w:val="287"/>
        <w:ind w:firstLine="2249"/>
        <w:rPr>
          <w:rFonts w:hint="eastAsia" w:ascii="宋体" w:hAnsi="宋体" w:eastAsia="宋体" w:cs="宋体"/>
          <w:b/>
          <w:bCs/>
          <w:color w:val="auto"/>
          <w:sz w:val="32"/>
          <w:highlight w:val="none"/>
        </w:rPr>
      </w:pPr>
    </w:p>
    <w:p>
      <w:pPr>
        <w:pStyle w:val="287"/>
        <w:ind w:firstLine="2249"/>
        <w:rPr>
          <w:rFonts w:hint="eastAsia" w:ascii="宋体" w:hAnsi="宋体" w:eastAsia="宋体" w:cs="宋体"/>
          <w:b/>
          <w:bCs/>
          <w:color w:val="auto"/>
          <w:sz w:val="32"/>
          <w:highlight w:val="none"/>
        </w:rPr>
      </w:pPr>
    </w:p>
    <w:p>
      <w:pPr>
        <w:pStyle w:val="287"/>
        <w:ind w:firstLine="2249"/>
        <w:rPr>
          <w:rFonts w:hint="eastAsia" w:ascii="宋体" w:hAnsi="宋体" w:eastAsia="宋体" w:cs="宋体"/>
          <w:b/>
          <w:bCs/>
          <w:color w:val="auto"/>
          <w:sz w:val="32"/>
          <w:highlight w:val="none"/>
        </w:rPr>
      </w:pPr>
    </w:p>
    <w:p>
      <w:pPr>
        <w:spacing w:line="760" w:lineRule="exact"/>
        <w:ind w:firstLine="643"/>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rPr>
        <w:t>项目名称：</w:t>
      </w:r>
      <w:r>
        <w:rPr>
          <w:rFonts w:hint="eastAsia" w:ascii="宋体" w:hAnsi="宋体" w:eastAsia="宋体" w:cs="宋体"/>
          <w:b/>
          <w:bCs/>
          <w:color w:val="auto"/>
          <w:sz w:val="32"/>
          <w:highlight w:val="none"/>
          <w:lang w:eastAsia="zh-CN"/>
        </w:rPr>
        <w:t>金湖县政策性农业保险经办机构遴选项目</w:t>
      </w:r>
    </w:p>
    <w:p>
      <w:pPr>
        <w:spacing w:line="760" w:lineRule="exact"/>
        <w:ind w:firstLine="643"/>
        <w:rPr>
          <w:rFonts w:hint="eastAsia" w:ascii="宋体" w:hAnsi="宋体" w:eastAsia="宋体" w:cs="宋体"/>
          <w:b/>
          <w:bCs/>
          <w:color w:val="auto"/>
          <w:sz w:val="32"/>
          <w:highlight w:val="none"/>
        </w:rPr>
      </w:pPr>
    </w:p>
    <w:p>
      <w:pPr>
        <w:spacing w:line="760" w:lineRule="exact"/>
        <w:ind w:firstLine="643"/>
        <w:rPr>
          <w:rFonts w:hint="eastAsia" w:ascii="宋体" w:hAnsi="宋体" w:eastAsia="宋体" w:cs="宋体"/>
          <w:b/>
          <w:color w:val="auto"/>
          <w:sz w:val="30"/>
          <w:szCs w:val="30"/>
          <w:highlight w:val="none"/>
        </w:rPr>
      </w:pPr>
      <w:r>
        <w:rPr>
          <w:rFonts w:hint="eastAsia" w:ascii="宋体" w:hAnsi="宋体" w:eastAsia="宋体" w:cs="宋体"/>
          <w:b/>
          <w:bCs/>
          <w:color w:val="auto"/>
          <w:sz w:val="32"/>
          <w:highlight w:val="none"/>
        </w:rPr>
        <w:t>项目编号：</w:t>
      </w:r>
      <w:r>
        <w:rPr>
          <w:rFonts w:hint="eastAsia" w:ascii="宋体" w:hAnsi="宋体" w:cs="宋体"/>
          <w:b/>
          <w:bCs/>
          <w:color w:val="auto"/>
          <w:sz w:val="32"/>
          <w:highlight w:val="none"/>
          <w:lang w:eastAsia="zh-CN"/>
        </w:rPr>
        <w:t>JSZC-320831-HAJY-G2024-0005</w:t>
      </w:r>
      <w:r>
        <w:rPr>
          <w:rFonts w:hint="eastAsia" w:ascii="宋体" w:hAnsi="宋体" w:eastAsia="宋体" w:cs="宋体"/>
          <w:b/>
          <w:bCs/>
          <w:color w:val="auto"/>
          <w:sz w:val="32"/>
          <w:highlight w:val="none"/>
        </w:rPr>
        <w:t xml:space="preserve">   </w:t>
      </w:r>
      <w:r>
        <w:rPr>
          <w:rFonts w:hint="eastAsia" w:ascii="宋体" w:hAnsi="宋体" w:eastAsia="宋体" w:cs="宋体"/>
          <w:b/>
          <w:color w:val="auto"/>
          <w:sz w:val="30"/>
          <w:szCs w:val="30"/>
          <w:highlight w:val="none"/>
        </w:rPr>
        <w:t xml:space="preserve">  </w:t>
      </w:r>
      <w:r>
        <w:rPr>
          <w:rFonts w:hint="eastAsia" w:ascii="宋体" w:hAnsi="宋体" w:eastAsia="宋体" w:cs="宋体"/>
          <w:color w:val="auto"/>
          <w:highlight w:val="none"/>
        </w:rPr>
        <w:t xml:space="preserve">  </w:t>
      </w:r>
      <w:r>
        <w:rPr>
          <w:rFonts w:hint="eastAsia" w:ascii="宋体" w:hAnsi="宋体" w:eastAsia="宋体" w:cs="宋体"/>
          <w:b/>
          <w:color w:val="auto"/>
          <w:sz w:val="30"/>
          <w:szCs w:val="30"/>
          <w:highlight w:val="none"/>
        </w:rPr>
        <w:t xml:space="preserve"> </w:t>
      </w:r>
    </w:p>
    <w:p>
      <w:pPr>
        <w:ind w:left="2100"/>
        <w:rPr>
          <w:rFonts w:hint="eastAsia" w:ascii="宋体" w:hAnsi="宋体" w:eastAsia="宋体" w:cs="宋体"/>
          <w:b/>
          <w:color w:val="auto"/>
          <w:sz w:val="30"/>
          <w:szCs w:val="30"/>
          <w:highlight w:val="none"/>
        </w:rPr>
      </w:pPr>
    </w:p>
    <w:p>
      <w:pPr>
        <w:pStyle w:val="287"/>
        <w:spacing w:before="0" w:after="0"/>
        <w:ind w:firstLine="0"/>
        <w:rPr>
          <w:rFonts w:hint="eastAsia" w:ascii="宋体" w:hAnsi="宋体" w:eastAsia="宋体" w:cs="宋体"/>
          <w:color w:val="auto"/>
          <w:highlight w:val="none"/>
        </w:rPr>
      </w:pPr>
    </w:p>
    <w:p>
      <w:pPr>
        <w:pStyle w:val="287"/>
        <w:spacing w:before="0" w:after="0"/>
        <w:ind w:firstLine="0"/>
        <w:rPr>
          <w:rFonts w:hint="eastAsia" w:ascii="宋体" w:hAnsi="宋体" w:eastAsia="宋体" w:cs="宋体"/>
          <w:color w:val="auto"/>
          <w:highlight w:val="none"/>
        </w:rPr>
      </w:pPr>
    </w:p>
    <w:p>
      <w:pPr>
        <w:pStyle w:val="287"/>
        <w:spacing w:before="0" w:after="0"/>
        <w:ind w:firstLine="0"/>
        <w:rPr>
          <w:rFonts w:hint="eastAsia" w:ascii="宋体" w:hAnsi="宋体" w:eastAsia="宋体" w:cs="宋体"/>
          <w:color w:val="auto"/>
          <w:highlight w:val="none"/>
        </w:rPr>
      </w:pPr>
    </w:p>
    <w:p>
      <w:pPr>
        <w:pStyle w:val="287"/>
        <w:spacing w:before="0" w:after="0"/>
        <w:ind w:firstLine="0"/>
        <w:rPr>
          <w:rFonts w:hint="eastAsia" w:ascii="宋体" w:hAnsi="宋体" w:eastAsia="宋体" w:cs="宋体"/>
          <w:color w:val="auto"/>
          <w:highlight w:val="none"/>
        </w:rPr>
      </w:pPr>
    </w:p>
    <w:p>
      <w:pPr>
        <w:pStyle w:val="287"/>
        <w:spacing w:before="0" w:after="0"/>
        <w:ind w:firstLine="0"/>
        <w:rPr>
          <w:rFonts w:hint="eastAsia" w:ascii="宋体" w:hAnsi="宋体" w:eastAsia="宋体" w:cs="宋体"/>
          <w:color w:val="auto"/>
          <w:highlight w:val="none"/>
        </w:rPr>
      </w:pPr>
    </w:p>
    <w:p>
      <w:pPr>
        <w:pStyle w:val="287"/>
        <w:spacing w:before="0" w:after="0"/>
        <w:ind w:firstLine="0"/>
        <w:rPr>
          <w:rFonts w:hint="eastAsia" w:ascii="宋体" w:hAnsi="宋体" w:eastAsia="宋体" w:cs="宋体"/>
          <w:color w:val="auto"/>
          <w:highlight w:val="none"/>
        </w:rPr>
      </w:pPr>
    </w:p>
    <w:p>
      <w:pPr>
        <w:pStyle w:val="287"/>
        <w:spacing w:before="0" w:after="0"/>
        <w:ind w:firstLine="0"/>
        <w:rPr>
          <w:rFonts w:hint="eastAsia" w:ascii="宋体" w:hAnsi="宋体" w:eastAsia="宋体" w:cs="宋体"/>
          <w:color w:val="auto"/>
          <w:highlight w:val="none"/>
        </w:rPr>
      </w:pPr>
    </w:p>
    <w:p>
      <w:pPr>
        <w:pStyle w:val="287"/>
        <w:ind w:firstLine="0"/>
        <w:jc w:val="center"/>
        <w:rPr>
          <w:rFonts w:hint="eastAsia" w:ascii="宋体" w:hAnsi="宋体" w:eastAsia="宋体" w:cs="宋体"/>
          <w:b/>
          <w:bCs/>
          <w:color w:val="auto"/>
          <w:sz w:val="32"/>
          <w:highlight w:val="none"/>
          <w:lang w:eastAsia="zh-CN"/>
        </w:rPr>
      </w:pPr>
      <w:r>
        <w:rPr>
          <w:rFonts w:hint="eastAsia" w:ascii="宋体" w:hAnsi="宋体" w:eastAsia="宋体" w:cs="宋体"/>
          <w:b/>
          <w:bCs/>
          <w:color w:val="auto"/>
          <w:sz w:val="32"/>
          <w:highlight w:val="none"/>
          <w:lang w:eastAsia="zh-CN"/>
        </w:rPr>
        <w:t>淮安江益工程项目管理咨询有限公司</w:t>
      </w:r>
    </w:p>
    <w:p>
      <w:pPr>
        <w:pStyle w:val="287"/>
        <w:ind w:firstLine="0"/>
        <w:jc w:val="center"/>
        <w:rPr>
          <w:rFonts w:hint="eastAsia" w:ascii="宋体" w:hAnsi="宋体" w:eastAsia="宋体" w:cs="宋体"/>
          <w:b/>
          <w:bCs/>
          <w:color w:val="auto"/>
          <w:sz w:val="32"/>
          <w:highlight w:val="none"/>
        </w:rPr>
      </w:pPr>
      <w:r>
        <w:rPr>
          <w:rFonts w:hint="eastAsia" w:ascii="宋体" w:hAnsi="宋体" w:eastAsia="宋体" w:cs="宋体"/>
          <w:b/>
          <w:bCs/>
          <w:color w:val="auto"/>
          <w:sz w:val="32"/>
          <w:highlight w:val="none"/>
        </w:rPr>
        <w:t>202</w:t>
      </w:r>
      <w:r>
        <w:rPr>
          <w:rFonts w:hint="eastAsia" w:ascii="宋体" w:hAnsi="宋体" w:eastAsia="宋体" w:cs="宋体"/>
          <w:b/>
          <w:bCs/>
          <w:color w:val="auto"/>
          <w:sz w:val="32"/>
          <w:highlight w:val="none"/>
          <w:lang w:val="en-US" w:eastAsia="zh-CN"/>
        </w:rPr>
        <w:t>4</w:t>
      </w:r>
      <w:r>
        <w:rPr>
          <w:rFonts w:hint="eastAsia" w:ascii="宋体" w:hAnsi="宋体" w:eastAsia="宋体" w:cs="宋体"/>
          <w:b/>
          <w:bCs/>
          <w:color w:val="auto"/>
          <w:sz w:val="32"/>
          <w:highlight w:val="none"/>
        </w:rPr>
        <w:t>年</w:t>
      </w:r>
      <w:r>
        <w:rPr>
          <w:rFonts w:hint="eastAsia" w:ascii="宋体" w:hAnsi="宋体" w:cs="宋体"/>
          <w:b/>
          <w:bCs/>
          <w:color w:val="auto"/>
          <w:sz w:val="32"/>
          <w:highlight w:val="none"/>
          <w:lang w:val="en-US" w:eastAsia="zh-CN"/>
        </w:rPr>
        <w:t>3</w:t>
      </w:r>
      <w:r>
        <w:rPr>
          <w:rFonts w:hint="eastAsia" w:ascii="宋体" w:hAnsi="宋体" w:eastAsia="宋体" w:cs="宋体"/>
          <w:b/>
          <w:bCs/>
          <w:color w:val="auto"/>
          <w:sz w:val="32"/>
          <w:highlight w:val="none"/>
        </w:rPr>
        <w:t>月</w:t>
      </w:r>
      <w:r>
        <w:rPr>
          <w:rFonts w:hint="eastAsia" w:ascii="宋体" w:hAnsi="宋体" w:cs="宋体"/>
          <w:b/>
          <w:bCs/>
          <w:color w:val="auto"/>
          <w:sz w:val="32"/>
          <w:highlight w:val="none"/>
          <w:lang w:val="en-US" w:eastAsia="zh-CN"/>
        </w:rPr>
        <w:t>5</w:t>
      </w:r>
      <w:r>
        <w:rPr>
          <w:rFonts w:hint="eastAsia" w:ascii="宋体" w:hAnsi="宋体" w:eastAsia="宋体" w:cs="宋体"/>
          <w:b/>
          <w:bCs/>
          <w:color w:val="auto"/>
          <w:sz w:val="32"/>
          <w:highlight w:val="none"/>
        </w:rPr>
        <w:t>日</w:t>
      </w:r>
    </w:p>
    <w:p>
      <w:pPr>
        <w:pStyle w:val="287"/>
        <w:ind w:firstLine="0"/>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p>
    <w:p>
      <w:pPr>
        <w:spacing w:line="480" w:lineRule="auto"/>
        <w:jc w:val="center"/>
        <w:outlineLvl w:val="0"/>
        <w:rPr>
          <w:rFonts w:hint="eastAsia" w:ascii="宋体" w:hAnsi="宋体" w:eastAsia="宋体" w:cs="宋体"/>
          <w:b/>
          <w:color w:val="auto"/>
          <w:sz w:val="44"/>
          <w:highlight w:val="none"/>
        </w:rPr>
      </w:pPr>
      <w:bookmarkStart w:id="0" w:name="_Toc120614210"/>
      <w:bookmarkStart w:id="1" w:name="_Toc523127445"/>
      <w:bookmarkStart w:id="2" w:name="_Toc16938516"/>
      <w:bookmarkStart w:id="3" w:name="_Toc513029200"/>
      <w:bookmarkStart w:id="4" w:name="_Toc479757206"/>
      <w:bookmarkStart w:id="5" w:name="_Toc20823272"/>
    </w:p>
    <w:p>
      <w:pPr>
        <w:spacing w:line="480" w:lineRule="auto"/>
        <w:jc w:val="center"/>
        <w:outlineLvl w:val="0"/>
        <w:rPr>
          <w:rFonts w:hint="eastAsia" w:ascii="宋体" w:hAnsi="宋体" w:eastAsia="宋体" w:cs="宋体"/>
          <w:b/>
          <w:color w:val="auto"/>
          <w:sz w:val="44"/>
          <w:highlight w:val="none"/>
        </w:rPr>
      </w:pPr>
      <w:r>
        <w:rPr>
          <w:rFonts w:hint="eastAsia" w:ascii="宋体" w:hAnsi="宋体" w:eastAsia="宋体" w:cs="宋体"/>
          <w:b/>
          <w:color w:val="auto"/>
          <w:sz w:val="44"/>
          <w:highlight w:val="none"/>
        </w:rPr>
        <w:t>总  目  录</w:t>
      </w:r>
    </w:p>
    <w:p>
      <w:pPr>
        <w:spacing w:line="480" w:lineRule="auto"/>
        <w:rPr>
          <w:rFonts w:hint="eastAsia" w:ascii="宋体" w:hAnsi="宋体" w:eastAsia="宋体" w:cs="宋体"/>
          <w:b/>
          <w:color w:val="auto"/>
          <w:sz w:val="28"/>
          <w:highlight w:val="none"/>
        </w:rPr>
      </w:pPr>
    </w:p>
    <w:p>
      <w:pPr>
        <w:numPr>
          <w:ilvl w:val="0"/>
          <w:numId w:val="4"/>
        </w:numPr>
        <w:spacing w:line="920" w:lineRule="exact"/>
        <w:outlineLvl w:val="0"/>
        <w:rPr>
          <w:rFonts w:hint="eastAsia" w:ascii="宋体" w:hAnsi="宋体" w:eastAsia="宋体" w:cs="宋体"/>
          <w:color w:val="auto"/>
          <w:sz w:val="32"/>
          <w:highlight w:val="none"/>
        </w:rPr>
      </w:pPr>
      <w:r>
        <w:rPr>
          <w:rFonts w:hint="eastAsia" w:ascii="宋体" w:hAnsi="宋体" w:eastAsia="宋体" w:cs="宋体"/>
          <w:color w:val="auto"/>
          <w:sz w:val="36"/>
          <w:highlight w:val="none"/>
        </w:rPr>
        <w:t xml:space="preserve">投标邀请 </w:t>
      </w:r>
    </w:p>
    <w:p>
      <w:pPr>
        <w:numPr>
          <w:ilvl w:val="0"/>
          <w:numId w:val="4"/>
        </w:numPr>
        <w:spacing w:line="920" w:lineRule="exact"/>
        <w:outlineLvl w:val="0"/>
        <w:rPr>
          <w:rFonts w:hint="eastAsia" w:ascii="宋体" w:hAnsi="宋体" w:eastAsia="宋体" w:cs="宋体"/>
          <w:color w:val="auto"/>
          <w:sz w:val="36"/>
          <w:highlight w:val="none"/>
        </w:rPr>
      </w:pPr>
      <w:r>
        <w:rPr>
          <w:rFonts w:hint="eastAsia" w:ascii="宋体" w:hAnsi="宋体" w:eastAsia="宋体" w:cs="宋体"/>
          <w:bCs/>
          <w:color w:val="auto"/>
          <w:sz w:val="36"/>
          <w:szCs w:val="36"/>
          <w:highlight w:val="none"/>
        </w:rPr>
        <w:t>投标人须知</w:t>
      </w:r>
      <w:r>
        <w:rPr>
          <w:rFonts w:hint="eastAsia" w:ascii="宋体" w:hAnsi="宋体" w:eastAsia="宋体" w:cs="宋体"/>
          <w:color w:val="auto"/>
          <w:sz w:val="36"/>
          <w:highlight w:val="none"/>
        </w:rPr>
        <w:t xml:space="preserve">  </w:t>
      </w:r>
    </w:p>
    <w:p>
      <w:pPr>
        <w:numPr>
          <w:ilvl w:val="0"/>
          <w:numId w:val="4"/>
        </w:numPr>
        <w:spacing w:line="92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合同文本</w:t>
      </w:r>
    </w:p>
    <w:p>
      <w:pPr>
        <w:numPr>
          <w:ilvl w:val="0"/>
          <w:numId w:val="4"/>
        </w:numPr>
        <w:spacing w:line="92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采购需求</w:t>
      </w:r>
    </w:p>
    <w:p>
      <w:pPr>
        <w:numPr>
          <w:ilvl w:val="0"/>
          <w:numId w:val="4"/>
        </w:numPr>
        <w:spacing w:line="920" w:lineRule="exact"/>
        <w:outlineLvl w:val="0"/>
        <w:rPr>
          <w:rFonts w:hint="eastAsia" w:ascii="宋体" w:hAnsi="宋体" w:eastAsia="宋体" w:cs="宋体"/>
          <w:color w:val="auto"/>
          <w:sz w:val="36"/>
          <w:highlight w:val="none"/>
        </w:rPr>
      </w:pPr>
      <w:r>
        <w:rPr>
          <w:rFonts w:hint="eastAsia" w:ascii="宋体" w:hAnsi="宋体" w:eastAsia="宋体" w:cs="宋体"/>
          <w:bCs/>
          <w:color w:val="auto"/>
          <w:sz w:val="36"/>
          <w:szCs w:val="36"/>
          <w:highlight w:val="none"/>
        </w:rPr>
        <w:t>评标方法与评标标准</w:t>
      </w:r>
    </w:p>
    <w:p>
      <w:pPr>
        <w:numPr>
          <w:ilvl w:val="0"/>
          <w:numId w:val="4"/>
        </w:numPr>
        <w:spacing w:line="920" w:lineRule="exact"/>
        <w:outlineLvl w:val="0"/>
        <w:rPr>
          <w:rFonts w:hint="eastAsia" w:ascii="宋体" w:hAnsi="宋体" w:eastAsia="宋体" w:cs="宋体"/>
          <w:color w:val="auto"/>
          <w:sz w:val="36"/>
          <w:highlight w:val="none"/>
        </w:rPr>
      </w:pPr>
      <w:r>
        <w:rPr>
          <w:rFonts w:hint="eastAsia" w:ascii="宋体" w:hAnsi="宋体" w:eastAsia="宋体" w:cs="宋体"/>
          <w:color w:val="auto"/>
          <w:sz w:val="36"/>
          <w:highlight w:val="none"/>
        </w:rPr>
        <w:t>投标文件格式</w:t>
      </w:r>
    </w:p>
    <w:p>
      <w:pPr>
        <w:spacing w:line="920" w:lineRule="exact"/>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pStyle w:val="202"/>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第一章  </w:t>
      </w:r>
      <w:bookmarkEnd w:id="0"/>
      <w:r>
        <w:rPr>
          <w:rFonts w:hint="eastAsia" w:ascii="宋体" w:hAnsi="宋体" w:eastAsia="宋体" w:cs="宋体"/>
          <w:color w:val="auto"/>
          <w:sz w:val="44"/>
          <w:szCs w:val="44"/>
          <w:highlight w:val="none"/>
        </w:rPr>
        <w:t>投标邀请</w:t>
      </w:r>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受</w:t>
      </w:r>
      <w:r>
        <w:rPr>
          <w:rFonts w:hint="eastAsia" w:ascii="宋体" w:hAnsi="宋体" w:eastAsia="宋体" w:cs="宋体"/>
          <w:color w:val="auto"/>
          <w:sz w:val="24"/>
          <w:highlight w:val="none"/>
          <w:lang w:eastAsia="zh-CN"/>
        </w:rPr>
        <w:t>金湖县农业农村局</w:t>
      </w:r>
      <w:r>
        <w:rPr>
          <w:rFonts w:hint="eastAsia" w:ascii="宋体" w:hAnsi="宋体" w:eastAsia="宋体" w:cs="宋体"/>
          <w:color w:val="auto"/>
          <w:sz w:val="24"/>
          <w:highlight w:val="none"/>
        </w:rPr>
        <w:t>的委托，</w:t>
      </w:r>
      <w:r>
        <w:rPr>
          <w:rFonts w:hint="eastAsia" w:ascii="宋体" w:hAnsi="宋体" w:eastAsia="宋体" w:cs="宋体"/>
          <w:color w:val="auto"/>
          <w:sz w:val="24"/>
          <w:highlight w:val="none"/>
          <w:lang w:eastAsia="zh-CN"/>
        </w:rPr>
        <w:t>淮安江益工程项目管理咨询有限公司</w:t>
      </w:r>
      <w:r>
        <w:rPr>
          <w:rFonts w:hint="eastAsia" w:ascii="宋体" w:hAnsi="宋体" w:eastAsia="宋体" w:cs="宋体"/>
          <w:color w:val="auto"/>
          <w:sz w:val="24"/>
          <w:highlight w:val="none"/>
        </w:rPr>
        <w:t>就</w:t>
      </w:r>
      <w:r>
        <w:rPr>
          <w:rFonts w:hint="eastAsia" w:ascii="宋体" w:hAnsi="宋体" w:eastAsia="宋体" w:cs="宋体"/>
          <w:color w:val="auto"/>
          <w:sz w:val="24"/>
          <w:highlight w:val="none"/>
          <w:lang w:eastAsia="zh-CN"/>
        </w:rPr>
        <w:t>金湖县政策性农业保险经办机构遴选项目</w:t>
      </w:r>
      <w:r>
        <w:rPr>
          <w:rFonts w:hint="eastAsia" w:ascii="宋体" w:hAnsi="宋体" w:eastAsia="宋体" w:cs="宋体"/>
          <w:color w:val="auto"/>
          <w:sz w:val="24"/>
          <w:highlight w:val="none"/>
        </w:rPr>
        <w:t>(</w:t>
      </w:r>
      <w:r>
        <w:rPr>
          <w:rFonts w:hint="eastAsia" w:ascii="宋体" w:hAnsi="宋体" w:cs="宋体"/>
          <w:color w:val="auto"/>
          <w:sz w:val="24"/>
          <w:highlight w:val="none"/>
          <w:lang w:eastAsia="zh-CN"/>
        </w:rPr>
        <w:t>JSZC-320831-HAJY-G2024-0005</w:t>
      </w:r>
      <w:r>
        <w:rPr>
          <w:rFonts w:hint="eastAsia" w:ascii="宋体" w:hAnsi="宋体" w:eastAsia="宋体" w:cs="宋体"/>
          <w:color w:val="auto"/>
          <w:sz w:val="24"/>
          <w:highlight w:val="none"/>
        </w:rPr>
        <w:t>)项目进行公开招标采购，欢迎符合条件的供应商投标。</w:t>
      </w:r>
    </w:p>
    <w:p>
      <w:pPr>
        <w:pBdr>
          <w:top w:val="single" w:color="000000" w:sz="4" w:space="1"/>
          <w:left w:val="single" w:color="000000" w:sz="4" w:space="4"/>
          <w:bottom w:val="single" w:color="000000" w:sz="4" w:space="1"/>
          <w:right w:val="single" w:color="000000" w:sz="4" w:space="4"/>
        </w:pBd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pPr>
        <w:pBdr>
          <w:top w:val="single" w:color="000000" w:sz="4" w:space="1"/>
          <w:left w:val="single" w:color="000000" w:sz="4" w:space="4"/>
          <w:bottom w:val="single" w:color="000000" w:sz="4" w:space="1"/>
          <w:right w:val="single" w:color="000000" w:sz="4" w:space="4"/>
        </w:pBd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金湖县政策性农业保险经办机构遴选项目</w:t>
      </w:r>
      <w:r>
        <w:rPr>
          <w:rFonts w:hint="eastAsia" w:ascii="宋体" w:hAnsi="宋体" w:eastAsia="宋体" w:cs="宋体"/>
          <w:color w:val="auto"/>
          <w:sz w:val="24"/>
          <w:szCs w:val="24"/>
          <w:highlight w:val="none"/>
        </w:rPr>
        <w:t>招标项目的潜在投标人可在“淮安市政府采购网”</w:t>
      </w:r>
      <w:r>
        <w:rPr>
          <w:rFonts w:hint="eastAsia" w:ascii="宋体" w:hAnsi="宋体" w:eastAsia="宋体" w:cs="宋体"/>
          <w:color w:val="auto"/>
          <w:sz w:val="28"/>
          <w:szCs w:val="28"/>
          <w:highlight w:val="none"/>
        </w:rPr>
        <w:t xml:space="preserve"> （http://czj.huaian.gov.cn/col/13924_326175/index.html）</w:t>
      </w:r>
      <w:r>
        <w:rPr>
          <w:rFonts w:hint="eastAsia" w:ascii="宋体" w:hAnsi="宋体" w:eastAsia="宋体" w:cs="宋体"/>
          <w:color w:val="auto"/>
          <w:sz w:val="24"/>
          <w:szCs w:val="24"/>
          <w:highlight w:val="none"/>
        </w:rPr>
        <w:t>、“淮安市公共资源交易网”</w:t>
      </w:r>
      <w:r>
        <w:rPr>
          <w:rFonts w:hint="eastAsia" w:ascii="宋体" w:hAnsi="宋体" w:eastAsia="宋体" w:cs="宋体"/>
          <w:color w:val="auto"/>
          <w:sz w:val="28"/>
          <w:szCs w:val="28"/>
          <w:highlight w:val="none"/>
        </w:rPr>
        <w:t xml:space="preserve"> （http://ggzy.huaian.gov.cn/）</w:t>
      </w:r>
      <w:r>
        <w:rPr>
          <w:rFonts w:hint="eastAsia" w:ascii="宋体" w:hAnsi="宋体" w:eastAsia="宋体" w:cs="宋体"/>
          <w:color w:val="auto"/>
          <w:sz w:val="24"/>
          <w:szCs w:val="24"/>
          <w:highlight w:val="none"/>
        </w:rPr>
        <w:t>自行免费下载招标文件，并于</w:t>
      </w:r>
      <w:r>
        <w:rPr>
          <w:rFonts w:hint="eastAsia" w:ascii="宋体" w:hAnsi="宋体" w:eastAsia="宋体" w:cs="宋体"/>
          <w:color w:val="auto"/>
          <w:sz w:val="24"/>
          <w:szCs w:val="24"/>
          <w:highlight w:val="none"/>
          <w:u w:val="single"/>
        </w:rPr>
        <w:t>2024</w:t>
      </w:r>
      <w:r>
        <w:rPr>
          <w:rFonts w:hint="eastAsia" w:ascii="宋体" w:hAnsi="宋体" w:eastAsia="宋体" w:cs="宋体"/>
          <w:bCs/>
          <w:color w:val="auto"/>
          <w:sz w:val="24"/>
          <w:szCs w:val="24"/>
          <w:highlight w:val="none"/>
          <w:u w:val="single"/>
        </w:rPr>
        <w:t>年</w:t>
      </w:r>
      <w:r>
        <w:rPr>
          <w:rFonts w:hint="eastAsia" w:ascii="宋体" w:hAnsi="宋体" w:cs="宋体"/>
          <w:bCs/>
          <w:color w:val="auto"/>
          <w:sz w:val="24"/>
          <w:szCs w:val="24"/>
          <w:highlight w:val="none"/>
          <w:u w:val="single"/>
          <w:lang w:val="en-US" w:eastAsia="zh-CN"/>
        </w:rPr>
        <w:t>3</w:t>
      </w:r>
      <w:r>
        <w:rPr>
          <w:rFonts w:hint="eastAsia" w:ascii="宋体" w:hAnsi="宋体" w:eastAsia="宋体" w:cs="宋体"/>
          <w:bCs/>
          <w:color w:val="auto"/>
          <w:sz w:val="24"/>
          <w:szCs w:val="24"/>
          <w:highlight w:val="none"/>
          <w:u w:val="single"/>
        </w:rPr>
        <w:t>月</w:t>
      </w:r>
      <w:r>
        <w:rPr>
          <w:rFonts w:hint="eastAsia" w:ascii="宋体" w:hAnsi="宋体" w:cs="宋体"/>
          <w:bCs/>
          <w:color w:val="auto"/>
          <w:sz w:val="24"/>
          <w:szCs w:val="24"/>
          <w:highlight w:val="none"/>
          <w:u w:val="single"/>
          <w:lang w:val="en-US" w:eastAsia="zh-CN"/>
        </w:rPr>
        <w:t>28</w:t>
      </w:r>
      <w:r>
        <w:rPr>
          <w:rFonts w:hint="eastAsia" w:ascii="宋体" w:hAnsi="宋体" w:eastAsia="宋体" w:cs="宋体"/>
          <w:bCs/>
          <w:color w:val="auto"/>
          <w:sz w:val="24"/>
          <w:szCs w:val="24"/>
          <w:highlight w:val="none"/>
          <w:u w:val="single"/>
        </w:rPr>
        <w:t>日</w:t>
      </w:r>
      <w:r>
        <w:rPr>
          <w:rFonts w:hint="eastAsia" w:ascii="宋体" w:hAnsi="宋体" w:cs="宋体"/>
          <w:bCs/>
          <w:color w:val="auto"/>
          <w:sz w:val="24"/>
          <w:szCs w:val="24"/>
          <w:highlight w:val="none"/>
          <w:u w:val="single"/>
          <w:lang w:val="en-US" w:eastAsia="zh-CN"/>
        </w:rPr>
        <w:t>9</w:t>
      </w:r>
      <w:r>
        <w:rPr>
          <w:rFonts w:hint="eastAsia" w:ascii="宋体" w:hAnsi="宋体" w:eastAsia="宋体" w:cs="宋体"/>
          <w:bCs/>
          <w:color w:val="auto"/>
          <w:sz w:val="24"/>
          <w:szCs w:val="24"/>
          <w:highlight w:val="none"/>
          <w:u w:val="single"/>
        </w:rPr>
        <w:t>点00 分（</w:t>
      </w:r>
      <w:r>
        <w:rPr>
          <w:rFonts w:hint="eastAsia" w:ascii="宋体" w:hAnsi="宋体" w:eastAsia="宋体" w:cs="宋体"/>
          <w:bCs/>
          <w:color w:val="auto"/>
          <w:sz w:val="24"/>
          <w:szCs w:val="24"/>
          <w:highlight w:val="none"/>
        </w:rPr>
        <w:t>北京时间）前递交投标文件</w:t>
      </w:r>
      <w:r>
        <w:rPr>
          <w:rFonts w:hint="eastAsia" w:ascii="宋体" w:hAnsi="宋体" w:eastAsia="宋体" w:cs="宋体"/>
          <w:color w:val="auto"/>
          <w:sz w:val="24"/>
          <w:szCs w:val="24"/>
          <w:highlight w:val="none"/>
        </w:rPr>
        <w:t>。</w:t>
      </w:r>
    </w:p>
    <w:p>
      <w:pPr>
        <w:pStyle w:val="205"/>
        <w:spacing w:before="145" w:after="145" w:line="360" w:lineRule="auto"/>
        <w:ind w:firstLine="498"/>
        <w:rPr>
          <w:rFonts w:hint="eastAsia" w:ascii="宋体" w:hAnsi="宋体" w:eastAsia="宋体" w:cs="宋体"/>
          <w:color w:val="auto"/>
          <w:highlight w:val="none"/>
        </w:rPr>
      </w:pPr>
      <w:bookmarkStart w:id="6" w:name="_Toc35393621"/>
      <w:bookmarkStart w:id="7" w:name="_Toc35393790"/>
      <w:bookmarkStart w:id="8" w:name="_Toc28359079"/>
      <w:bookmarkStart w:id="9" w:name="_Toc28359002"/>
      <w:bookmarkStart w:id="10" w:name="_Toc38985263"/>
      <w:bookmarkStart w:id="11" w:name="_Hlk24379207"/>
      <w:r>
        <w:rPr>
          <w:rFonts w:hint="eastAsia" w:ascii="宋体" w:hAnsi="宋体" w:eastAsia="宋体" w:cs="宋体"/>
          <w:color w:val="auto"/>
          <w:highlight w:val="none"/>
        </w:rPr>
        <w:t>一、项目基本情况</w:t>
      </w:r>
      <w:bookmarkEnd w:id="6"/>
      <w:bookmarkEnd w:id="7"/>
      <w:bookmarkEnd w:id="8"/>
      <w:bookmarkEnd w:id="9"/>
      <w:bookmarkEnd w:id="10"/>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1.项目编号：</w:t>
      </w:r>
      <w:r>
        <w:rPr>
          <w:rFonts w:hint="eastAsia" w:ascii="宋体" w:hAnsi="宋体" w:cs="宋体"/>
          <w:color w:val="auto"/>
          <w:sz w:val="24"/>
          <w:highlight w:val="none"/>
          <w:lang w:eastAsia="zh-CN"/>
        </w:rPr>
        <w:t>JSZC-320831-HAJY-G2024-0005</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2.项目名称：金湖县政策性农业保险经办机构遴选项目</w:t>
      </w:r>
    </w:p>
    <w:bookmarkEnd w:id="11"/>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3.预算金额：</w:t>
      </w:r>
      <w:r>
        <w:rPr>
          <w:rFonts w:hint="eastAsia" w:ascii="宋体" w:hAnsi="宋体" w:eastAsia="宋体" w:cs="宋体"/>
          <w:color w:val="auto"/>
          <w:sz w:val="24"/>
          <w:highlight w:val="none"/>
          <w:lang w:val="en-US" w:eastAsia="zh-CN"/>
        </w:rPr>
        <w:t>16000</w:t>
      </w:r>
      <w:r>
        <w:rPr>
          <w:rFonts w:hint="eastAsia" w:ascii="宋体" w:hAnsi="宋体" w:eastAsia="宋体" w:cs="宋体"/>
          <w:color w:val="auto"/>
          <w:sz w:val="24"/>
          <w:highlight w:val="none"/>
          <w:lang w:eastAsia="zh-CN"/>
        </w:rPr>
        <w:t>万元</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4.本项目最高限价，最高限价为</w:t>
      </w:r>
      <w:r>
        <w:rPr>
          <w:rFonts w:hint="eastAsia" w:ascii="宋体" w:hAnsi="宋体" w:eastAsia="宋体" w:cs="宋体"/>
          <w:color w:val="auto"/>
          <w:sz w:val="24"/>
          <w:highlight w:val="none"/>
          <w:lang w:val="en-US" w:eastAsia="zh-CN"/>
        </w:rPr>
        <w:t>16000</w:t>
      </w:r>
      <w:r>
        <w:rPr>
          <w:rFonts w:hint="eastAsia" w:ascii="宋体" w:hAnsi="宋体" w:eastAsia="宋体" w:cs="宋体"/>
          <w:color w:val="auto"/>
          <w:sz w:val="24"/>
          <w:highlight w:val="none"/>
          <w:lang w:eastAsia="zh-CN"/>
        </w:rPr>
        <w:t>万元。</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5.采购需求（简介）：金湖县政策性农业保险经办机构遴选项目</w:t>
      </w:r>
      <w:r>
        <w:rPr>
          <w:rFonts w:hint="eastAsia" w:ascii="宋体" w:hAnsi="宋体" w:eastAsia="宋体" w:cs="宋体"/>
          <w:color w:val="auto"/>
          <w:sz w:val="24"/>
          <w:highlight w:val="none"/>
          <w:lang w:val="en-US" w:eastAsia="zh-CN"/>
        </w:rPr>
        <w:t>,</w:t>
      </w:r>
      <w:r>
        <w:rPr>
          <w:rFonts w:hint="eastAsia" w:ascii="宋体" w:hAnsi="宋体" w:eastAsia="宋体" w:cs="宋体"/>
          <w:color w:val="auto"/>
          <w:sz w:val="24"/>
          <w:highlight w:val="none"/>
          <w:lang w:eastAsia="zh-CN"/>
        </w:rPr>
        <w:t>分5个区域，第1区域：戴楼街道、金南镇、塔集镇、银涂镇；第2区域：前锋镇、吕良镇；第3区域：金北街道；第4区域：黎城街道；第5区域：滩涂及其他。得分排名第一的</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highlight w:val="none"/>
          <w:lang w:eastAsia="zh-CN"/>
        </w:rPr>
        <w:t>承保第1</w:t>
      </w:r>
      <w:r>
        <w:rPr>
          <w:rFonts w:hint="eastAsia" w:ascii="宋体" w:hAnsi="宋体" w:cs="宋体"/>
          <w:color w:val="auto"/>
          <w:sz w:val="24"/>
          <w:highlight w:val="none"/>
          <w:lang w:val="en-US" w:eastAsia="zh-CN"/>
        </w:rPr>
        <w:t>区域</w:t>
      </w:r>
      <w:r>
        <w:rPr>
          <w:rFonts w:hint="eastAsia" w:ascii="宋体" w:hAnsi="宋体" w:eastAsia="宋体" w:cs="宋体"/>
          <w:color w:val="auto"/>
          <w:sz w:val="24"/>
          <w:highlight w:val="none"/>
          <w:lang w:eastAsia="zh-CN"/>
        </w:rPr>
        <w:t>，以此类推，总计招标五家</w:t>
      </w:r>
      <w:r>
        <w:rPr>
          <w:rFonts w:hint="eastAsia" w:ascii="宋体" w:hAnsi="宋体" w:eastAsia="宋体" w:cs="宋体"/>
          <w:color w:val="auto"/>
          <w:sz w:val="24"/>
          <w:szCs w:val="24"/>
          <w:highlight w:val="none"/>
        </w:rPr>
        <w:t>投标人</w:t>
      </w:r>
      <w:r>
        <w:rPr>
          <w:rFonts w:hint="eastAsia" w:ascii="宋体" w:hAnsi="宋体" w:eastAsia="宋体" w:cs="宋体"/>
          <w:color w:val="auto"/>
          <w:sz w:val="24"/>
          <w:highlight w:val="none"/>
          <w:lang w:eastAsia="zh-CN"/>
        </w:rPr>
        <w:t>。</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6.合同履行期限：</w:t>
      </w:r>
      <w:r>
        <w:rPr>
          <w:rFonts w:hint="eastAsia" w:ascii="宋体" w:hAnsi="宋体" w:eastAsia="宋体" w:cs="宋体"/>
          <w:color w:val="auto"/>
          <w:sz w:val="24"/>
          <w:highlight w:val="none"/>
          <w:lang w:val="en-US" w:eastAsia="zh-CN"/>
        </w:rPr>
        <w:t>三</w:t>
      </w:r>
      <w:r>
        <w:rPr>
          <w:rFonts w:hint="eastAsia" w:ascii="宋体" w:hAnsi="宋体" w:eastAsia="宋体" w:cs="宋体"/>
          <w:color w:val="auto"/>
          <w:sz w:val="24"/>
          <w:highlight w:val="none"/>
          <w:lang w:eastAsia="zh-CN"/>
        </w:rPr>
        <w:t>年</w:t>
      </w:r>
    </w:p>
    <w:p>
      <w:pPr>
        <w:pStyle w:val="205"/>
        <w:spacing w:before="145" w:after="145" w:line="360" w:lineRule="auto"/>
        <w:ind w:firstLine="498"/>
        <w:rPr>
          <w:rFonts w:hint="eastAsia" w:ascii="宋体" w:hAnsi="宋体" w:eastAsia="宋体" w:cs="宋体"/>
          <w:color w:val="auto"/>
          <w:highlight w:val="none"/>
        </w:rPr>
      </w:pPr>
      <w:bookmarkStart w:id="12" w:name="_Toc38985264"/>
      <w:bookmarkStart w:id="13" w:name="_Toc35393791"/>
      <w:bookmarkStart w:id="14" w:name="_Toc28359003"/>
      <w:bookmarkStart w:id="15" w:name="_Toc28359080"/>
      <w:bookmarkStart w:id="16" w:name="_Toc35393622"/>
      <w:r>
        <w:rPr>
          <w:rFonts w:hint="eastAsia" w:ascii="宋体" w:hAnsi="宋体" w:eastAsia="宋体" w:cs="宋体"/>
          <w:color w:val="auto"/>
          <w:highlight w:val="none"/>
        </w:rPr>
        <w:t>二、申请人的资格要求：</w:t>
      </w:r>
      <w:bookmarkEnd w:id="12"/>
      <w:bookmarkEnd w:id="13"/>
      <w:bookmarkEnd w:id="14"/>
      <w:bookmarkEnd w:id="15"/>
      <w:bookmarkEnd w:id="16"/>
    </w:p>
    <w:p>
      <w:pPr>
        <w:spacing w:line="500" w:lineRule="exact"/>
        <w:ind w:firstLine="480"/>
        <w:rPr>
          <w:rFonts w:hint="eastAsia" w:ascii="宋体" w:hAnsi="宋体" w:eastAsia="宋体" w:cs="宋体"/>
          <w:color w:val="auto"/>
          <w:sz w:val="24"/>
          <w:highlight w:val="none"/>
          <w:lang w:eastAsia="zh-CN"/>
        </w:rPr>
      </w:pPr>
      <w:bookmarkStart w:id="17" w:name="_Toc35393792"/>
      <w:bookmarkStart w:id="18" w:name="_Toc38985265"/>
      <w:bookmarkStart w:id="19" w:name="_Toc35393623"/>
      <w:bookmarkStart w:id="20" w:name="_Toc28359081"/>
      <w:bookmarkStart w:id="21" w:name="_Toc28359004"/>
      <w:r>
        <w:rPr>
          <w:rFonts w:hint="eastAsia" w:ascii="宋体" w:hAnsi="宋体" w:cs="宋体"/>
          <w:color w:val="auto"/>
          <w:sz w:val="24"/>
          <w:highlight w:val="none"/>
          <w:lang w:eastAsia="zh-CN"/>
        </w:rPr>
        <w:t>（</w:t>
      </w:r>
      <w:r>
        <w:rPr>
          <w:rFonts w:hint="eastAsia" w:ascii="宋体" w:hAnsi="宋体" w:cs="宋体"/>
          <w:color w:val="auto"/>
          <w:sz w:val="24"/>
          <w:highlight w:val="none"/>
          <w:lang w:val="en-US" w:eastAsia="zh-CN"/>
        </w:rPr>
        <w:t>一）</w:t>
      </w:r>
      <w:r>
        <w:rPr>
          <w:rFonts w:hint="eastAsia" w:ascii="宋体" w:hAnsi="宋体" w:eastAsia="宋体" w:cs="宋体"/>
          <w:color w:val="auto"/>
          <w:sz w:val="24"/>
          <w:highlight w:val="none"/>
          <w:lang w:eastAsia="zh-CN"/>
        </w:rPr>
        <w:t>满足《中华人民共和国政府采购法》第二十二条规定，</w:t>
      </w:r>
    </w:p>
    <w:p>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（二）</w:t>
      </w:r>
      <w:r>
        <w:rPr>
          <w:rFonts w:hint="eastAsia" w:ascii="宋体" w:hAnsi="宋体" w:eastAsia="宋体" w:cs="宋体"/>
          <w:color w:val="auto"/>
          <w:sz w:val="24"/>
          <w:highlight w:val="none"/>
          <w:lang w:val="en-US" w:eastAsia="zh-CN"/>
        </w:rPr>
        <w:t>落实政府采购政策需满足的资格要求：本项目按照以下第</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lang w:val="en-US" w:eastAsia="zh-CN"/>
        </w:rPr>
        <w:t>种方式落实政府采购促进中小企业发展的要求：</w:t>
      </w:r>
    </w:p>
    <w:p>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本项目为专门面向中小企业采购的项目。</w:t>
      </w:r>
    </w:p>
    <w:p>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本项目通过以下第（）种方式预留部分采购份额采购中小企业服务：</w:t>
      </w:r>
    </w:p>
    <w:p>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1）本项目要求供应商以联合体形式参加，中小企业合同金额应当达到的比例为</w:t>
      </w:r>
      <w:r>
        <w:rPr>
          <w:rFonts w:hint="eastAsia" w:ascii="宋体" w:hAnsi="宋体" w:eastAsia="宋体" w:cs="宋体"/>
          <w:color w:val="auto"/>
          <w:sz w:val="24"/>
          <w:highlight w:val="none"/>
          <w:u w:val="single"/>
          <w:lang w:val="en-US" w:eastAsia="zh-CN"/>
        </w:rPr>
        <w:t>   </w:t>
      </w:r>
      <w:r>
        <w:rPr>
          <w:rFonts w:hint="eastAsia" w:ascii="宋体" w:hAnsi="宋体" w:eastAsia="宋体" w:cs="宋体"/>
          <w:color w:val="auto"/>
          <w:sz w:val="24"/>
          <w:highlight w:val="none"/>
          <w:lang w:val="en-US" w:eastAsia="zh-CN"/>
        </w:rPr>
        <w:t>%，其中小微企业所占比例应为</w:t>
      </w:r>
      <w:r>
        <w:rPr>
          <w:rFonts w:hint="eastAsia" w:ascii="宋体" w:hAnsi="宋体" w:eastAsia="宋体" w:cs="宋体"/>
          <w:color w:val="auto"/>
          <w:sz w:val="24"/>
          <w:highlight w:val="none"/>
          <w:u w:val="single"/>
          <w:lang w:val="en-US" w:eastAsia="zh-CN"/>
        </w:rPr>
        <w:t>  </w:t>
      </w:r>
      <w:r>
        <w:rPr>
          <w:rFonts w:hint="eastAsia" w:ascii="宋体" w:hAnsi="宋体" w:eastAsia="宋体" w:cs="宋体"/>
          <w:color w:val="auto"/>
          <w:sz w:val="24"/>
          <w:highlight w:val="none"/>
          <w:lang w:val="en-US" w:eastAsia="zh-CN"/>
        </w:rPr>
        <w:t>%（两项比例均应符合《政府采购促进中小企业发展管理办法》第八条规定）。</w:t>
      </w:r>
    </w:p>
    <w:p>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2）本项目要求供应商进行合同分包，中小企业合同金额应当达到的比例为</w:t>
      </w:r>
      <w:r>
        <w:rPr>
          <w:rFonts w:hint="eastAsia" w:ascii="宋体" w:hAnsi="宋体" w:eastAsia="宋体" w:cs="宋体"/>
          <w:color w:val="auto"/>
          <w:sz w:val="24"/>
          <w:highlight w:val="none"/>
          <w:u w:val="single"/>
          <w:lang w:val="en-US" w:eastAsia="zh-CN"/>
        </w:rPr>
        <w:t>   </w:t>
      </w:r>
      <w:r>
        <w:rPr>
          <w:rFonts w:hint="eastAsia" w:ascii="宋体" w:hAnsi="宋体" w:eastAsia="宋体" w:cs="宋体"/>
          <w:color w:val="auto"/>
          <w:sz w:val="24"/>
          <w:highlight w:val="none"/>
          <w:lang w:val="en-US" w:eastAsia="zh-CN"/>
        </w:rPr>
        <w:t>%，其中小微企业所占比例应为</w:t>
      </w:r>
      <w:r>
        <w:rPr>
          <w:rFonts w:hint="eastAsia" w:ascii="宋体" w:hAnsi="宋体" w:eastAsia="宋体" w:cs="宋体"/>
          <w:color w:val="auto"/>
          <w:sz w:val="24"/>
          <w:highlight w:val="none"/>
          <w:u w:val="single"/>
          <w:lang w:val="en-US" w:eastAsia="zh-CN"/>
        </w:rPr>
        <w:t>  </w:t>
      </w:r>
      <w:r>
        <w:rPr>
          <w:rFonts w:hint="eastAsia" w:ascii="宋体" w:hAnsi="宋体" w:eastAsia="宋体" w:cs="宋体"/>
          <w:color w:val="auto"/>
          <w:sz w:val="24"/>
          <w:highlight w:val="none"/>
          <w:lang w:val="en-US" w:eastAsia="zh-CN"/>
        </w:rPr>
        <w:t>%（两项比例均应符合《政府采购促进中小企业发展管理办法》第八条规定）。</w:t>
      </w:r>
    </w:p>
    <w:p>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3</w:t>
      </w:r>
      <w:r>
        <w:rPr>
          <w:rFonts w:hint="eastAsia" w:ascii="宋体" w:hAnsi="宋体" w:cs="宋体"/>
          <w:color w:val="auto"/>
          <w:sz w:val="24"/>
          <w:highlight w:val="none"/>
          <w:lang w:val="en-US" w:eastAsia="zh-CN"/>
        </w:rPr>
        <w:t>.</w:t>
      </w:r>
      <w:r>
        <w:rPr>
          <w:rFonts w:hint="eastAsia" w:ascii="宋体" w:hAnsi="宋体" w:eastAsia="宋体" w:cs="宋体"/>
          <w:color w:val="auto"/>
          <w:sz w:val="24"/>
          <w:highlight w:val="none"/>
          <w:lang w:val="en-US" w:eastAsia="zh-CN"/>
        </w:rPr>
        <w:t>本项目为非预留份额的采购项目，对小微企业报价给予扣除，用扣除后的价格参加评审，具体详见第五章“评标方法与评标标准”第二项。</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注:监狱企业、残疾人福利性单位视同小微企业。</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三</w:t>
      </w:r>
      <w:r>
        <w:rPr>
          <w:rFonts w:hint="eastAsia" w:ascii="宋体" w:hAnsi="宋体" w:eastAsia="宋体" w:cs="宋体"/>
          <w:color w:val="auto"/>
          <w:sz w:val="24"/>
          <w:highlight w:val="none"/>
          <w:lang w:eastAsia="zh-CN"/>
        </w:rPr>
        <w:t>）本项目的特定资格要求:</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（1）投标人具有《经营保险业务许可证》。</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（2）投标人总公司或省级公司具有国家保险监督管理机关批准开展农业保险业务的经营资质或者公布的具有符合规定的经营条件。</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（3）投标人可以是总公司、省公司或经省公司或总公司授权参与本次招标活动。</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4）投标人必须符合《关于加强政策性农业保险承保机构遴选管理工作的通知》（财金〔2020〕128号）和《江苏省财政厅江苏省农业农村厅关于做好政策性农业保险承保机构遴选工作的通知》（苏财金〔2021〕42号）对于承保机构的要求。</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（5）投标人不是联合体、外资保险公司</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lang w:eastAsia="zh-CN"/>
        </w:rPr>
        <w:t>）拒绝下述条件的</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lang w:eastAsia="zh-CN"/>
        </w:rPr>
        <w:t>参加本次采购活动：</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lang w:eastAsia="zh-CN"/>
        </w:rPr>
        <w:t>单位负责人为同一人或者存在直接控股、管理关系的不同</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lang w:eastAsia="zh-CN"/>
        </w:rPr>
        <w:t>，不得同时参加同一合同项下的政府采购活动。</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2.凡为采购项目提供整体设计、规范编制或者项目管理、监理、检测等服务的</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lang w:eastAsia="zh-CN"/>
        </w:rPr>
        <w:t>，不得再参加本项目的采购活动。</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3.</w:t>
      </w:r>
      <w:r>
        <w:rPr>
          <w:rFonts w:hint="eastAsia" w:ascii="宋体" w:hAnsi="宋体" w:eastAsia="宋体" w:cs="宋体"/>
          <w:color w:val="auto"/>
          <w:sz w:val="24"/>
          <w:highlight w:val="none"/>
          <w:lang w:val="en-US" w:eastAsia="zh-CN"/>
        </w:rPr>
        <w:t>投标人</w:t>
      </w:r>
      <w:r>
        <w:rPr>
          <w:rFonts w:hint="eastAsia" w:ascii="宋体" w:hAnsi="宋体" w:eastAsia="宋体" w:cs="宋体"/>
          <w:color w:val="auto"/>
          <w:sz w:val="24"/>
          <w:highlight w:val="none"/>
          <w:lang w:eastAsia="zh-CN"/>
        </w:rPr>
        <w:t>被“信用中国”网站、“中国政府采购网”列入失信被执行人、重大税收违法案件当事人名单、政府采购严重违法失信行为记录名单。</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三、获取招标文件</w:t>
      </w:r>
      <w:bookmarkEnd w:id="17"/>
      <w:bookmarkEnd w:id="18"/>
      <w:bookmarkEnd w:id="19"/>
      <w:bookmarkEnd w:id="20"/>
      <w:bookmarkEnd w:id="21"/>
    </w:p>
    <w:p>
      <w:pPr>
        <w:spacing w:line="500" w:lineRule="exact"/>
        <w:ind w:firstLine="480"/>
        <w:rPr>
          <w:rFonts w:hint="eastAsia" w:ascii="宋体" w:hAnsi="宋体" w:eastAsia="宋体" w:cs="宋体"/>
          <w:color w:val="auto"/>
          <w:sz w:val="24"/>
          <w:highlight w:val="none"/>
          <w:lang w:eastAsia="zh-CN"/>
        </w:rPr>
      </w:pPr>
      <w:bookmarkStart w:id="22" w:name="_Toc28359005"/>
      <w:bookmarkStart w:id="23" w:name="_Toc28359082"/>
      <w:bookmarkStart w:id="24" w:name="_Toc35393624"/>
      <w:bookmarkStart w:id="25" w:name="_Toc38985266"/>
      <w:bookmarkStart w:id="26" w:name="_Toc35393793"/>
      <w:r>
        <w:rPr>
          <w:rFonts w:hint="eastAsia" w:ascii="宋体" w:hAnsi="宋体" w:eastAsia="宋体" w:cs="宋体"/>
          <w:color w:val="auto"/>
          <w:sz w:val="24"/>
          <w:highlight w:val="none"/>
          <w:lang w:eastAsia="zh-CN"/>
        </w:rPr>
        <w:t>1.时间：自招标文件公告发布之日起5个工作日。</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2.方式：在“淮安市政府采购网”、“淮安市公共资源交易网”自行免费下载招标文件。</w:t>
      </w:r>
    </w:p>
    <w:p>
      <w:pPr>
        <w:pStyle w:val="205"/>
        <w:spacing w:before="145" w:after="145" w:line="360" w:lineRule="auto"/>
        <w:ind w:firstLine="498"/>
        <w:rPr>
          <w:rFonts w:hint="eastAsia" w:ascii="宋体" w:hAnsi="宋体" w:eastAsia="宋体" w:cs="宋体"/>
          <w:color w:val="auto"/>
          <w:highlight w:val="none"/>
        </w:rPr>
      </w:pPr>
      <w:r>
        <w:rPr>
          <w:rFonts w:hint="eastAsia" w:ascii="宋体" w:hAnsi="宋体" w:eastAsia="宋体" w:cs="宋体"/>
          <w:color w:val="auto"/>
          <w:highlight w:val="none"/>
        </w:rPr>
        <w:t>四、提交投标文件</w:t>
      </w:r>
      <w:bookmarkEnd w:id="22"/>
      <w:bookmarkEnd w:id="23"/>
      <w:r>
        <w:rPr>
          <w:rFonts w:hint="eastAsia" w:ascii="宋体" w:hAnsi="宋体" w:eastAsia="宋体" w:cs="宋体"/>
          <w:color w:val="auto"/>
          <w:highlight w:val="none"/>
        </w:rPr>
        <w:t>截止时间、开标时间和地点</w:t>
      </w:r>
      <w:bookmarkEnd w:id="24"/>
      <w:bookmarkEnd w:id="25"/>
      <w:bookmarkEnd w:id="26"/>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1.2024年</w:t>
      </w:r>
      <w:r>
        <w:rPr>
          <w:rFonts w:hint="eastAsia" w:ascii="宋体" w:hAnsi="宋体" w:cs="宋体"/>
          <w:color w:val="auto"/>
          <w:sz w:val="24"/>
          <w:highlight w:val="none"/>
          <w:lang w:val="en-US" w:eastAsia="zh-CN"/>
        </w:rPr>
        <w:t>3</w:t>
      </w:r>
      <w:r>
        <w:rPr>
          <w:rFonts w:hint="eastAsia" w:ascii="宋体" w:hAnsi="宋体" w:eastAsia="宋体" w:cs="宋体"/>
          <w:color w:val="auto"/>
          <w:sz w:val="24"/>
          <w:highlight w:val="none"/>
          <w:lang w:eastAsia="zh-CN"/>
        </w:rPr>
        <w:t>月</w:t>
      </w:r>
      <w:r>
        <w:rPr>
          <w:rFonts w:hint="eastAsia" w:ascii="宋体" w:hAnsi="宋体" w:cs="宋体"/>
          <w:color w:val="auto"/>
          <w:sz w:val="24"/>
          <w:highlight w:val="none"/>
          <w:lang w:val="en-US" w:eastAsia="zh-CN"/>
        </w:rPr>
        <w:t>28</w:t>
      </w:r>
      <w:r>
        <w:rPr>
          <w:rFonts w:hint="eastAsia" w:ascii="宋体" w:hAnsi="宋体" w:eastAsia="宋体" w:cs="宋体"/>
          <w:color w:val="auto"/>
          <w:sz w:val="24"/>
          <w:highlight w:val="none"/>
          <w:lang w:eastAsia="zh-CN"/>
        </w:rPr>
        <w:t xml:space="preserve">日 </w:t>
      </w:r>
      <w:r>
        <w:rPr>
          <w:rFonts w:hint="eastAsia" w:ascii="宋体" w:hAnsi="宋体" w:cs="宋体"/>
          <w:color w:val="auto"/>
          <w:sz w:val="24"/>
          <w:highlight w:val="none"/>
          <w:lang w:val="en-US" w:eastAsia="zh-CN"/>
        </w:rPr>
        <w:t>9</w:t>
      </w:r>
      <w:r>
        <w:rPr>
          <w:rFonts w:hint="eastAsia" w:ascii="宋体" w:hAnsi="宋体" w:eastAsia="宋体" w:cs="宋体"/>
          <w:color w:val="auto"/>
          <w:sz w:val="24"/>
          <w:highlight w:val="none"/>
          <w:lang w:eastAsia="zh-CN"/>
        </w:rPr>
        <w:t>点00 分（北京时间）</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2.地点：“苏采云”政府采购交易系统网上开标大厅。</w:t>
      </w:r>
    </w:p>
    <w:p>
      <w:pPr>
        <w:pStyle w:val="205"/>
        <w:spacing w:before="145" w:after="145" w:line="360" w:lineRule="auto"/>
        <w:ind w:firstLine="498"/>
        <w:rPr>
          <w:rFonts w:hint="eastAsia" w:ascii="宋体" w:hAnsi="宋体" w:eastAsia="宋体" w:cs="宋体"/>
          <w:color w:val="auto"/>
          <w:highlight w:val="none"/>
        </w:rPr>
      </w:pPr>
      <w:bookmarkStart w:id="27" w:name="_Toc28359007"/>
      <w:bookmarkStart w:id="28" w:name="_Toc38985267"/>
      <w:bookmarkStart w:id="29" w:name="_Toc35393625"/>
      <w:bookmarkStart w:id="30" w:name="_Toc28359084"/>
      <w:bookmarkStart w:id="31" w:name="_Toc35393794"/>
      <w:r>
        <w:rPr>
          <w:rFonts w:hint="eastAsia" w:ascii="宋体" w:hAnsi="宋体" w:eastAsia="宋体" w:cs="宋体"/>
          <w:color w:val="auto"/>
          <w:highlight w:val="none"/>
        </w:rPr>
        <w:t>五、公告期限</w:t>
      </w:r>
      <w:bookmarkEnd w:id="27"/>
      <w:bookmarkEnd w:id="28"/>
      <w:bookmarkEnd w:id="29"/>
      <w:bookmarkEnd w:id="30"/>
      <w:bookmarkEnd w:id="31"/>
    </w:p>
    <w:p>
      <w:pPr>
        <w:ind w:firstLine="480"/>
        <w:rPr>
          <w:rFonts w:hint="eastAsia" w:ascii="宋体" w:hAnsi="宋体" w:eastAsia="宋体" w:cs="宋体"/>
          <w:color w:val="auto"/>
          <w:sz w:val="24"/>
          <w:szCs w:val="24"/>
          <w:highlight w:val="none"/>
        </w:rPr>
      </w:pPr>
      <w:bookmarkStart w:id="32" w:name="_Toc38985268"/>
      <w:bookmarkStart w:id="33" w:name="_Toc35393795"/>
      <w:bookmarkStart w:id="34" w:name="_Toc35393626"/>
      <w:r>
        <w:rPr>
          <w:rFonts w:hint="eastAsia" w:ascii="宋体" w:hAnsi="宋体" w:eastAsia="宋体" w:cs="宋体"/>
          <w:color w:val="auto"/>
          <w:sz w:val="24"/>
          <w:szCs w:val="24"/>
          <w:highlight w:val="none"/>
        </w:rPr>
        <w:t>招标公告及招标文件公告期限为自本公告发布之日起5个工作日。</w:t>
      </w:r>
    </w:p>
    <w:p>
      <w:pPr>
        <w:pStyle w:val="205"/>
        <w:spacing w:before="145" w:after="145" w:line="360" w:lineRule="auto"/>
        <w:ind w:firstLine="498"/>
        <w:rPr>
          <w:rFonts w:hint="eastAsia" w:ascii="宋体" w:hAnsi="宋体" w:eastAsia="宋体" w:cs="宋体"/>
          <w:color w:val="auto"/>
          <w:highlight w:val="none"/>
        </w:rPr>
      </w:pPr>
      <w:r>
        <w:rPr>
          <w:rFonts w:hint="eastAsia" w:ascii="宋体" w:hAnsi="宋体" w:eastAsia="宋体" w:cs="宋体"/>
          <w:color w:val="auto"/>
          <w:highlight w:val="none"/>
        </w:rPr>
        <w:t>六、其他补充事宜</w:t>
      </w:r>
      <w:bookmarkEnd w:id="32"/>
      <w:bookmarkEnd w:id="33"/>
      <w:bookmarkEnd w:id="34"/>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pPr>
        <w:pStyle w:val="205"/>
        <w:spacing w:before="145" w:after="145" w:line="360" w:lineRule="auto"/>
        <w:ind w:firstLine="498"/>
        <w:rPr>
          <w:rFonts w:hint="eastAsia" w:ascii="宋体" w:hAnsi="宋体" w:eastAsia="宋体" w:cs="宋体"/>
          <w:color w:val="auto"/>
          <w:highlight w:val="none"/>
        </w:rPr>
      </w:pPr>
      <w:bookmarkStart w:id="35" w:name="_Toc28359085"/>
      <w:bookmarkStart w:id="36" w:name="_Toc35393627"/>
      <w:bookmarkStart w:id="37" w:name="_Toc28359008"/>
      <w:bookmarkStart w:id="38" w:name="_Toc38985269"/>
      <w:bookmarkStart w:id="39" w:name="_Toc35393796"/>
      <w:r>
        <w:rPr>
          <w:rFonts w:hint="eastAsia" w:ascii="宋体" w:hAnsi="宋体" w:eastAsia="宋体" w:cs="宋体"/>
          <w:color w:val="auto"/>
          <w:highlight w:val="none"/>
        </w:rPr>
        <w:t>七、本次招标联系方式</w:t>
      </w:r>
      <w:bookmarkEnd w:id="35"/>
      <w:bookmarkEnd w:id="36"/>
      <w:bookmarkEnd w:id="37"/>
      <w:bookmarkEnd w:id="38"/>
      <w:bookmarkEnd w:id="39"/>
    </w:p>
    <w:p>
      <w:pPr>
        <w:tabs>
          <w:tab w:val="left" w:pos="900"/>
        </w:tabs>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1.采购人信息</w:t>
      </w:r>
    </w:p>
    <w:p>
      <w:pPr>
        <w:tabs>
          <w:tab w:val="left" w:pos="900"/>
        </w:tabs>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名称: 金湖县农业农村局</w:t>
      </w:r>
    </w:p>
    <w:p>
      <w:pPr>
        <w:tabs>
          <w:tab w:val="left" w:pos="900"/>
        </w:tabs>
        <w:spacing w:line="520" w:lineRule="exact"/>
        <w:ind w:firstLine="48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地址:  </w:t>
      </w:r>
      <w:r>
        <w:rPr>
          <w:rFonts w:hint="eastAsia" w:ascii="宋体" w:hAnsi="宋体" w:cs="宋体"/>
          <w:color w:val="auto"/>
          <w:sz w:val="24"/>
          <w:szCs w:val="24"/>
          <w:highlight w:val="none"/>
          <w:lang w:val="en-US" w:eastAsia="zh-CN"/>
        </w:rPr>
        <w:t>金湖县神话东路95号</w:t>
      </w:r>
    </w:p>
    <w:p>
      <w:pPr>
        <w:tabs>
          <w:tab w:val="left" w:pos="900"/>
        </w:tabs>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联系人:  徐</w:t>
      </w:r>
      <w:r>
        <w:rPr>
          <w:rFonts w:hint="eastAsia" w:ascii="宋体" w:hAnsi="宋体" w:cs="宋体"/>
          <w:color w:val="auto"/>
          <w:sz w:val="24"/>
          <w:szCs w:val="24"/>
          <w:highlight w:val="none"/>
          <w:lang w:val="en-US" w:eastAsia="zh-CN"/>
        </w:rPr>
        <w:t>先生</w:t>
      </w:r>
      <w:r>
        <w:rPr>
          <w:rFonts w:hint="eastAsia" w:ascii="宋体" w:hAnsi="宋体" w:eastAsia="宋体" w:cs="宋体"/>
          <w:color w:val="auto"/>
          <w:sz w:val="24"/>
          <w:szCs w:val="24"/>
          <w:highlight w:val="none"/>
          <w:lang w:val="en-US" w:eastAsia="zh-CN"/>
        </w:rPr>
        <w:t xml:space="preserve">  </w:t>
      </w:r>
    </w:p>
    <w:p>
      <w:pPr>
        <w:tabs>
          <w:tab w:val="left" w:pos="900"/>
        </w:tabs>
        <w:spacing w:line="520" w:lineRule="exact"/>
        <w:ind w:firstLine="48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联系方式：</w:t>
      </w:r>
      <w:bookmarkStart w:id="40" w:name="_Toc28359009"/>
      <w:bookmarkStart w:id="41" w:name="_Toc28359086"/>
      <w:r>
        <w:rPr>
          <w:rFonts w:hint="eastAsia" w:ascii="宋体" w:hAnsi="宋体" w:eastAsia="宋体" w:cs="宋体"/>
          <w:color w:val="auto"/>
          <w:sz w:val="24"/>
          <w:szCs w:val="24"/>
          <w:highlight w:val="none"/>
          <w:lang w:val="en-US" w:eastAsia="zh-CN"/>
        </w:rPr>
        <w:t xml:space="preserve"> 0517-86805804 </w:t>
      </w:r>
    </w:p>
    <w:bookmarkEnd w:id="40"/>
    <w:bookmarkEnd w:id="41"/>
    <w:p>
      <w:pPr>
        <w:tabs>
          <w:tab w:val="left" w:pos="900"/>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pPr>
        <w:tabs>
          <w:tab w:val="left" w:pos="900"/>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val="en-US" w:eastAsia="zh-CN"/>
        </w:rPr>
        <w:t>淮安江益工程项目管理咨询有限公司</w:t>
      </w:r>
      <w:r>
        <w:rPr>
          <w:rFonts w:hint="eastAsia" w:ascii="宋体" w:hAnsi="宋体" w:eastAsia="宋体" w:cs="宋体"/>
          <w:color w:val="auto"/>
          <w:sz w:val="24"/>
          <w:szCs w:val="24"/>
          <w:highlight w:val="none"/>
        </w:rPr>
        <w:t> </w:t>
      </w:r>
    </w:p>
    <w:p>
      <w:pPr>
        <w:tabs>
          <w:tab w:val="left" w:pos="900"/>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highlight w:val="none"/>
          <w:lang w:val="en-US" w:eastAsia="zh-CN"/>
        </w:rPr>
        <w:t>淮阴区中业慧谷软件园B27-2</w:t>
      </w:r>
      <w:r>
        <w:rPr>
          <w:rFonts w:hint="eastAsia" w:ascii="宋体" w:hAnsi="宋体" w:eastAsia="宋体" w:cs="宋体"/>
          <w:color w:val="auto"/>
          <w:sz w:val="24"/>
          <w:szCs w:val="24"/>
          <w:highlight w:val="none"/>
        </w:rPr>
        <w:t> </w:t>
      </w:r>
    </w:p>
    <w:p>
      <w:pPr>
        <w:tabs>
          <w:tab w:val="left" w:pos="900"/>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0517-84933011</w:t>
      </w:r>
      <w:r>
        <w:rPr>
          <w:rFonts w:hint="eastAsia" w:ascii="宋体" w:hAnsi="宋体" w:eastAsia="宋体" w:cs="宋体"/>
          <w:color w:val="auto"/>
          <w:sz w:val="24"/>
          <w:szCs w:val="24"/>
          <w:highlight w:val="none"/>
        </w:rPr>
        <w:t>   </w:t>
      </w:r>
    </w:p>
    <w:p>
      <w:pPr>
        <w:tabs>
          <w:tab w:val="left" w:pos="900"/>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pPr>
        <w:tabs>
          <w:tab w:val="left" w:pos="900"/>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潘工</w:t>
      </w:r>
      <w:r>
        <w:rPr>
          <w:rFonts w:hint="eastAsia" w:ascii="宋体" w:hAnsi="宋体" w:eastAsia="宋体" w:cs="宋体"/>
          <w:color w:val="auto"/>
          <w:sz w:val="24"/>
          <w:szCs w:val="24"/>
          <w:highlight w:val="none"/>
        </w:rPr>
        <w:t>          </w:t>
      </w:r>
    </w:p>
    <w:p>
      <w:pPr>
        <w:tabs>
          <w:tab w:val="left" w:pos="900"/>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话：</w:t>
      </w:r>
      <w:r>
        <w:rPr>
          <w:rFonts w:hint="eastAsia" w:ascii="宋体" w:hAnsi="宋体" w:eastAsia="宋体" w:cs="宋体"/>
          <w:color w:val="auto"/>
          <w:sz w:val="24"/>
          <w:szCs w:val="24"/>
          <w:highlight w:val="none"/>
          <w:lang w:val="en-US" w:eastAsia="zh-CN"/>
        </w:rPr>
        <w:t>0517-84933011</w:t>
      </w:r>
      <w:r>
        <w:rPr>
          <w:rFonts w:hint="eastAsia" w:ascii="宋体" w:hAnsi="宋体" w:eastAsia="宋体" w:cs="宋体"/>
          <w:color w:val="auto"/>
          <w:sz w:val="24"/>
          <w:szCs w:val="24"/>
          <w:highlight w:val="none"/>
        </w:rPr>
        <w:t>    </w:t>
      </w:r>
    </w:p>
    <w:p>
      <w:pPr>
        <w:tabs>
          <w:tab w:val="left" w:pos="900"/>
        </w:tabs>
        <w:spacing w:line="5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pPr>
        <w:pStyle w:val="205"/>
        <w:spacing w:before="145" w:after="145" w:line="360" w:lineRule="auto"/>
        <w:ind w:firstLine="498"/>
        <w:rPr>
          <w:rFonts w:hint="eastAsia" w:ascii="宋体" w:hAnsi="宋体" w:eastAsia="宋体" w:cs="宋体"/>
          <w:color w:val="auto"/>
          <w:highlight w:val="none"/>
        </w:rPr>
      </w:pPr>
      <w:r>
        <w:rPr>
          <w:rFonts w:hint="eastAsia" w:ascii="宋体" w:hAnsi="宋体" w:eastAsia="宋体" w:cs="宋体"/>
          <w:color w:val="auto"/>
          <w:highlight w:val="none"/>
        </w:rPr>
        <w:t>八、其他</w:t>
      </w:r>
    </w:p>
    <w:p>
      <w:pPr>
        <w:tabs>
          <w:tab w:val="left" w:pos="900"/>
        </w:tabs>
        <w:spacing w:line="560" w:lineRule="exact"/>
        <w:ind w:firstLine="480"/>
        <w:jc w:val="left"/>
        <w:rPr>
          <w:rFonts w:hint="eastAsia" w:ascii="宋体" w:hAnsi="宋体" w:eastAsia="宋体" w:cs="宋体"/>
          <w:bCs/>
          <w:color w:val="auto"/>
          <w:sz w:val="24"/>
          <w:szCs w:val="24"/>
          <w:highlight w:val="none"/>
        </w:rPr>
      </w:pPr>
      <w:r>
        <w:rPr>
          <w:rFonts w:hint="eastAsia" w:ascii="宋体" w:hAnsi="宋体" w:eastAsia="宋体" w:cs="宋体"/>
          <w:color w:val="auto"/>
          <w:sz w:val="24"/>
          <w:highlight w:val="none"/>
        </w:rPr>
        <w:t>1.</w:t>
      </w:r>
      <w:r>
        <w:rPr>
          <w:rFonts w:hint="eastAsia" w:ascii="宋体" w:hAnsi="宋体" w:eastAsia="宋体" w:cs="宋体"/>
          <w:bCs/>
          <w:color w:val="auto"/>
          <w:sz w:val="24"/>
          <w:szCs w:val="24"/>
          <w:highlight w:val="none"/>
        </w:rPr>
        <w:t xml:space="preserve"> 根据省财政厅《关于更换全省政府采购交易系统CA数字证书和电子签章的通知》（苏财购〔2023〕101号），</w:t>
      </w:r>
      <w:r>
        <w:rPr>
          <w:rFonts w:hint="eastAsia" w:ascii="宋体" w:hAnsi="宋体" w:eastAsia="宋体" w:cs="宋体"/>
          <w:color w:val="auto"/>
          <w:sz w:val="24"/>
          <w:szCs w:val="24"/>
          <w:highlight w:val="none"/>
        </w:rPr>
        <w:t>“苏采云”政府采购交易系统（以下简称苏采云系统）</w:t>
      </w:r>
      <w:r>
        <w:rPr>
          <w:rFonts w:hint="eastAsia" w:ascii="宋体" w:hAnsi="宋体" w:eastAsia="宋体" w:cs="宋体"/>
          <w:bCs/>
          <w:color w:val="auto"/>
          <w:sz w:val="24"/>
          <w:szCs w:val="24"/>
          <w:highlight w:val="none"/>
        </w:rPr>
        <w:t>的CA数字证书、电子签章为江苏省电子政务证书认证中心CA和方正国际软件（北京）有限公司电子签章。如果投标人通过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参与政府采购项目，需要CA数字证书和电子签章。具体办理指南和操作手册见链接：http://www.ccgp-jiangsu.gov.cn/jiangsu/zlxz/ee/ee3a4bc5a3454aa2b0d9312230633ce9.html。</w:t>
      </w:r>
    </w:p>
    <w:p>
      <w:pPr>
        <w:tabs>
          <w:tab w:val="left" w:pos="900"/>
        </w:tabs>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领取CA和办理电子签章（请至淮安市清江浦区深圳路16号淮安市公共资源交易中心二楼13号CA办理窗口办理，具体联系方式见《苏采云系统供应商操作手册》（以下简称《操作手册》））、进行注册并按《操作手册》要求制作、上传电子投标文件。</w:t>
      </w:r>
    </w:p>
    <w:p>
      <w:pPr>
        <w:tabs>
          <w:tab w:val="left" w:pos="900"/>
        </w:tabs>
        <w:spacing w:line="56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 有关本次招标的事项若存在变动或修改，敬请及时关注</w:t>
      </w:r>
      <w:r>
        <w:rPr>
          <w:rFonts w:hint="eastAsia" w:ascii="宋体" w:hAnsi="宋体" w:eastAsia="宋体" w:cs="宋体"/>
          <w:bCs/>
          <w:color w:val="auto"/>
          <w:sz w:val="24"/>
          <w:szCs w:val="24"/>
          <w:highlight w:val="none"/>
          <w:lang w:eastAsia="zh-CN"/>
        </w:rPr>
        <w:t>淮安江益工程项目管理咨询有限公司</w:t>
      </w:r>
      <w:r>
        <w:rPr>
          <w:rFonts w:hint="eastAsia" w:ascii="宋体" w:hAnsi="宋体" w:eastAsia="宋体" w:cs="宋体"/>
          <w:bCs/>
          <w:color w:val="auto"/>
          <w:sz w:val="24"/>
          <w:szCs w:val="24"/>
          <w:highlight w:val="none"/>
        </w:rPr>
        <w:t>在“淮安市政府采购网”、“淮安市公共资源交易网”发布的更正公告。</w:t>
      </w:r>
    </w:p>
    <w:p>
      <w:pPr>
        <w:tabs>
          <w:tab w:val="left" w:pos="900"/>
        </w:tabs>
        <w:spacing w:line="560" w:lineRule="exact"/>
        <w:ind w:firstLine="480"/>
        <w:rPr>
          <w:rFonts w:hint="eastAsia" w:ascii="宋体" w:hAnsi="宋体" w:eastAsia="宋体" w:cs="宋体"/>
          <w:color w:val="auto"/>
          <w:sz w:val="44"/>
          <w:szCs w:val="44"/>
          <w:highlight w:val="none"/>
          <w:lang w:val="en-US" w:eastAsia="en-US" w:bidi="ar-SA"/>
        </w:rPr>
      </w:pPr>
      <w:r>
        <w:rPr>
          <w:rFonts w:hint="eastAsia" w:ascii="宋体" w:hAnsi="宋体" w:eastAsia="宋体" w:cs="宋体"/>
          <w:bCs/>
          <w:color w:val="auto"/>
          <w:sz w:val="24"/>
          <w:szCs w:val="24"/>
          <w:highlight w:val="none"/>
        </w:rPr>
        <w:t>3. 本次招标不收取投标保证金。</w:t>
      </w:r>
      <w:bookmarkStart w:id="42" w:name="_Toc120614211"/>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p>
    <w:p>
      <w:pPr>
        <w:bidi w:val="0"/>
        <w:jc w:val="center"/>
        <w:rPr>
          <w:rFonts w:hint="eastAsia" w:ascii="宋体" w:hAnsi="宋体" w:eastAsia="宋体" w:cs="宋体"/>
          <w:color w:val="auto"/>
          <w:sz w:val="44"/>
          <w:szCs w:val="44"/>
          <w:highlight w:val="none"/>
          <w:lang w:val="en-US" w:eastAsia="en-US" w:bidi="ar-SA"/>
        </w:rPr>
      </w:pPr>
      <w:r>
        <w:rPr>
          <w:rFonts w:hint="eastAsia" w:ascii="宋体" w:hAnsi="宋体" w:eastAsia="宋体" w:cs="宋体"/>
          <w:color w:val="auto"/>
          <w:sz w:val="44"/>
          <w:szCs w:val="44"/>
          <w:highlight w:val="none"/>
          <w:lang w:val="en-US" w:eastAsia="en-US" w:bidi="ar-SA"/>
        </w:rPr>
        <w:t xml:space="preserve">第二章  </w:t>
      </w:r>
      <w:bookmarkEnd w:id="1"/>
      <w:bookmarkEnd w:id="2"/>
      <w:bookmarkEnd w:id="3"/>
      <w:bookmarkEnd w:id="4"/>
      <w:bookmarkEnd w:id="5"/>
      <w:bookmarkEnd w:id="42"/>
      <w:bookmarkStart w:id="43" w:name="_Toc20823274"/>
      <w:bookmarkStart w:id="44" w:name="_Toc120614213"/>
      <w:bookmarkStart w:id="45" w:name="_Toc513029202"/>
      <w:bookmarkStart w:id="46" w:name="_Toc16938518"/>
      <w:r>
        <w:rPr>
          <w:rFonts w:hint="eastAsia" w:ascii="宋体" w:hAnsi="宋体" w:eastAsia="宋体" w:cs="宋体"/>
          <w:color w:val="auto"/>
          <w:sz w:val="44"/>
          <w:szCs w:val="44"/>
          <w:highlight w:val="none"/>
          <w:lang w:val="en-US" w:eastAsia="en-US" w:bidi="ar-SA"/>
        </w:rPr>
        <w:t>投标人须知</w:t>
      </w:r>
      <w:bookmarkEnd w:id="43"/>
      <w:bookmarkEnd w:id="44"/>
      <w:bookmarkEnd w:id="45"/>
      <w:bookmarkEnd w:id="46"/>
    </w:p>
    <w:p>
      <w:pPr>
        <w:pStyle w:val="205"/>
        <w:spacing w:before="145" w:after="145" w:line="360" w:lineRule="auto"/>
        <w:ind w:firstLine="498"/>
        <w:rPr>
          <w:rFonts w:hint="eastAsia" w:ascii="宋体" w:hAnsi="宋体" w:eastAsia="宋体" w:cs="宋体"/>
          <w:color w:val="auto"/>
          <w:highlight w:val="none"/>
        </w:rPr>
      </w:pPr>
      <w:bookmarkStart w:id="47" w:name="_Toc16938519"/>
      <w:bookmarkStart w:id="48" w:name="_Toc20823275"/>
      <w:bookmarkStart w:id="49" w:name="_Toc120614214"/>
      <w:bookmarkStart w:id="50" w:name="_Toc513029203"/>
      <w:r>
        <w:rPr>
          <w:rFonts w:hint="eastAsia" w:ascii="宋体" w:hAnsi="宋体" w:eastAsia="宋体" w:cs="宋体"/>
          <w:color w:val="auto"/>
          <w:highlight w:val="none"/>
        </w:rPr>
        <w:t>一、总则</w:t>
      </w:r>
      <w:bookmarkEnd w:id="47"/>
      <w:bookmarkEnd w:id="48"/>
      <w:bookmarkEnd w:id="49"/>
      <w:bookmarkEnd w:id="50"/>
    </w:p>
    <w:p>
      <w:pPr>
        <w:pStyle w:val="206"/>
        <w:spacing w:before="0" w:after="0" w:line="240" w:lineRule="auto"/>
        <w:ind w:firstLine="420"/>
        <w:rPr>
          <w:rFonts w:hint="eastAsia" w:ascii="宋体" w:hAnsi="宋体" w:eastAsia="宋体" w:cs="宋体"/>
          <w:b w:val="0"/>
          <w:bCs w:val="0"/>
          <w:color w:val="auto"/>
          <w:highlight w:val="none"/>
        </w:rPr>
      </w:pPr>
      <w:bookmarkStart w:id="51" w:name="_Hlt16619475"/>
      <w:bookmarkEnd w:id="51"/>
      <w:bookmarkStart w:id="52" w:name="_Toc458694821"/>
      <w:bookmarkStart w:id="53" w:name="_Toc16938520"/>
      <w:bookmarkStart w:id="54" w:name="_Toc513029204"/>
      <w:bookmarkStart w:id="55" w:name="_Toc20823276"/>
      <w:r>
        <w:rPr>
          <w:rFonts w:hint="eastAsia" w:ascii="宋体" w:hAnsi="宋体" w:eastAsia="宋体" w:cs="宋体"/>
          <w:b w:val="0"/>
          <w:bCs w:val="0"/>
          <w:color w:val="auto"/>
          <w:highlight w:val="none"/>
        </w:rPr>
        <w:t>1</w:t>
      </w:r>
      <w:bookmarkEnd w:id="52"/>
      <w:r>
        <w:rPr>
          <w:rFonts w:hint="eastAsia" w:ascii="宋体" w:hAnsi="宋体" w:eastAsia="宋体" w:cs="宋体"/>
          <w:b w:val="0"/>
          <w:bCs w:val="0"/>
          <w:color w:val="auto"/>
          <w:highlight w:val="none"/>
        </w:rPr>
        <w:t>、招标方式</w:t>
      </w:r>
      <w:bookmarkEnd w:id="53"/>
      <w:bookmarkEnd w:id="54"/>
      <w:bookmarkEnd w:id="55"/>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1.1 本次招标采取公开招标方式，本招标文件仅适用于招标公告中所述项目。</w:t>
      </w:r>
    </w:p>
    <w:p>
      <w:pPr>
        <w:pStyle w:val="206"/>
        <w:spacing w:before="0" w:after="0" w:line="240" w:lineRule="auto"/>
        <w:ind w:firstLine="420"/>
        <w:rPr>
          <w:rFonts w:hint="eastAsia" w:ascii="宋体" w:hAnsi="宋体" w:eastAsia="宋体" w:cs="宋体"/>
          <w:b w:val="0"/>
          <w:bCs w:val="0"/>
          <w:color w:val="auto"/>
          <w:highlight w:val="none"/>
        </w:rPr>
      </w:pPr>
      <w:bookmarkStart w:id="56" w:name="_Toc16938521"/>
      <w:bookmarkStart w:id="57" w:name="_Toc20823277"/>
      <w:bookmarkStart w:id="58" w:name="_Toc513029205"/>
      <w:r>
        <w:rPr>
          <w:rFonts w:hint="eastAsia" w:ascii="宋体" w:hAnsi="宋体" w:eastAsia="宋体" w:cs="宋体"/>
          <w:b w:val="0"/>
          <w:bCs w:val="0"/>
          <w:color w:val="auto"/>
          <w:highlight w:val="none"/>
        </w:rPr>
        <w:t>2、合格的投标人</w:t>
      </w:r>
      <w:bookmarkEnd w:id="56"/>
      <w:bookmarkEnd w:id="57"/>
      <w:bookmarkEnd w:id="58"/>
    </w:p>
    <w:p>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pPr>
        <w:spacing w:line="4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满足本文件实质性要求和条件的规定。</w:t>
      </w:r>
    </w:p>
    <w:p>
      <w:pPr>
        <w:pStyle w:val="206"/>
        <w:spacing w:before="0" w:after="0" w:line="240" w:lineRule="auto"/>
        <w:ind w:firstLine="420"/>
        <w:rPr>
          <w:rFonts w:hint="eastAsia" w:ascii="宋体" w:hAnsi="宋体" w:eastAsia="宋体" w:cs="宋体"/>
          <w:b w:val="0"/>
          <w:bCs w:val="0"/>
          <w:color w:val="auto"/>
          <w:highlight w:val="none"/>
        </w:rPr>
      </w:pPr>
      <w:bookmarkStart w:id="59" w:name="_Toc16938522"/>
      <w:bookmarkStart w:id="60" w:name="_Toc513029206"/>
      <w:bookmarkStart w:id="61" w:name="_Toc20823278"/>
      <w:r>
        <w:rPr>
          <w:rFonts w:hint="eastAsia" w:ascii="宋体" w:hAnsi="宋体" w:eastAsia="宋体" w:cs="宋体"/>
          <w:b w:val="0"/>
          <w:bCs w:val="0"/>
          <w:color w:val="auto"/>
          <w:highlight w:val="none"/>
        </w:rPr>
        <w:t>3、适用法律</w:t>
      </w:r>
      <w:bookmarkEnd w:id="59"/>
      <w:bookmarkEnd w:id="60"/>
      <w:bookmarkEnd w:id="61"/>
    </w:p>
    <w:p>
      <w:pPr>
        <w:spacing w:line="400" w:lineRule="exact"/>
        <w:ind w:firstLine="420"/>
        <w:rPr>
          <w:rFonts w:hint="eastAsia" w:ascii="宋体" w:hAnsi="宋体" w:eastAsia="宋体" w:cs="宋体"/>
          <w:color w:val="auto"/>
          <w:sz w:val="24"/>
          <w:highlight w:val="none"/>
        </w:rPr>
      </w:pPr>
      <w:r>
        <w:rPr>
          <w:rFonts w:hint="eastAsia" w:ascii="宋体" w:hAnsi="宋体" w:eastAsia="宋体" w:cs="宋体"/>
          <w:color w:val="auto"/>
          <w:sz w:val="24"/>
          <w:highlight w:val="none"/>
        </w:rPr>
        <w:t>3.1 本次招标及由此产生的合同受中华人民共和国有关的法律法规制约和保护。</w:t>
      </w:r>
    </w:p>
    <w:p>
      <w:pPr>
        <w:pStyle w:val="206"/>
        <w:spacing w:before="0" w:after="0" w:line="240" w:lineRule="auto"/>
        <w:ind w:firstLine="420"/>
        <w:rPr>
          <w:rFonts w:hint="eastAsia" w:ascii="宋体" w:hAnsi="宋体" w:eastAsia="宋体" w:cs="宋体"/>
          <w:b w:val="0"/>
          <w:bCs w:val="0"/>
          <w:color w:val="auto"/>
          <w:highlight w:val="none"/>
        </w:rPr>
      </w:pPr>
      <w:bookmarkStart w:id="62" w:name="_Toc462564067"/>
      <w:bookmarkStart w:id="63" w:name="_Toc20823279"/>
      <w:bookmarkStart w:id="64" w:name="_Toc513029207"/>
      <w:bookmarkStart w:id="65" w:name="_Toc16938523"/>
      <w:r>
        <w:rPr>
          <w:rFonts w:hint="eastAsia" w:ascii="宋体" w:hAnsi="宋体" w:eastAsia="宋体" w:cs="宋体"/>
          <w:b w:val="0"/>
          <w:bCs w:val="0"/>
          <w:color w:val="auto"/>
          <w:highlight w:val="none"/>
        </w:rPr>
        <w:t>4、投标费用</w:t>
      </w:r>
      <w:bookmarkEnd w:id="62"/>
      <w:bookmarkEnd w:id="63"/>
      <w:bookmarkEnd w:id="64"/>
      <w:bookmarkEnd w:id="65"/>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4.1</w:t>
      </w:r>
      <w:r>
        <w:rPr>
          <w:rFonts w:hint="eastAsia" w:ascii="宋体" w:hAnsi="宋体" w:eastAsia="宋体" w:cs="宋体"/>
          <w:color w:val="auto"/>
          <w:sz w:val="24"/>
          <w:highlight w:val="none"/>
        </w:rPr>
        <w:t xml:space="preserve"> 投标人应自行承担所有与参加投标有关的费用，无论投标过程中的做法和结果如何，</w:t>
      </w:r>
      <w:r>
        <w:rPr>
          <w:rFonts w:hint="eastAsia" w:ascii="宋体" w:hAnsi="宋体" w:eastAsia="宋体" w:cs="宋体"/>
          <w:color w:val="auto"/>
          <w:sz w:val="24"/>
          <w:highlight w:val="none"/>
          <w:lang w:eastAsia="zh-CN"/>
        </w:rPr>
        <w:t>淮安江益工程项目管理咨询有限公司</w:t>
      </w:r>
      <w:r>
        <w:rPr>
          <w:rFonts w:hint="eastAsia" w:ascii="宋体" w:hAnsi="宋体" w:eastAsia="宋体" w:cs="宋体"/>
          <w:color w:val="auto"/>
          <w:sz w:val="24"/>
          <w:highlight w:val="none"/>
        </w:rPr>
        <w:t>（以下简称</w:t>
      </w:r>
      <w:r>
        <w:rPr>
          <w:rFonts w:hint="eastAsia" w:ascii="宋体" w:hAnsi="宋体" w:cs="宋体"/>
          <w:color w:val="auto"/>
          <w:sz w:val="24"/>
          <w:highlight w:val="none"/>
          <w:lang w:eastAsia="zh-CN"/>
        </w:rPr>
        <w:t>代理机构</w:t>
      </w:r>
      <w:r>
        <w:rPr>
          <w:rFonts w:hint="eastAsia" w:ascii="宋体" w:hAnsi="宋体" w:eastAsia="宋体" w:cs="宋体"/>
          <w:color w:val="auto"/>
          <w:sz w:val="24"/>
          <w:highlight w:val="none"/>
        </w:rPr>
        <w:t>）在任何情况下均无义务和责任承担这些费用。</w:t>
      </w:r>
    </w:p>
    <w:p>
      <w:pPr>
        <w:spacing w:line="500" w:lineRule="exact"/>
        <w:ind w:firstLine="480"/>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4.2本次采购项目由采购人委托淮安江益工程项目管理咨询有限公司代理，经双方约定由中标人支付本项目代理费用</w:t>
      </w:r>
      <w:r>
        <w:rPr>
          <w:rFonts w:hint="eastAsia" w:ascii="宋体" w:hAnsi="宋体" w:eastAsia="宋体" w:cs="宋体"/>
          <w:color w:val="auto"/>
          <w:sz w:val="24"/>
          <w:highlight w:val="none"/>
          <w:lang w:val="en-US" w:eastAsia="zh-CN"/>
        </w:rPr>
        <w:t>伍万捌仟陆佰</w:t>
      </w:r>
      <w:r>
        <w:rPr>
          <w:rFonts w:hint="eastAsia" w:ascii="宋体" w:hAnsi="宋体" w:eastAsia="宋体" w:cs="宋体"/>
          <w:color w:val="auto"/>
          <w:sz w:val="24"/>
          <w:highlight w:val="none"/>
        </w:rPr>
        <w:t>元，文件评审费、评委费按实际发生收取，由五家中标供应商按中标区域202</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年保费收入比例分摊，投标人报价时予以考虑</w:t>
      </w:r>
      <w:r>
        <w:rPr>
          <w:rFonts w:hint="eastAsia" w:ascii="宋体" w:hAnsi="宋体" w:eastAsia="宋体" w:cs="宋体"/>
          <w:color w:val="auto"/>
          <w:sz w:val="24"/>
          <w:highlight w:val="none"/>
          <w:lang w:eastAsia="zh-CN"/>
        </w:rPr>
        <w:t>。</w:t>
      </w:r>
    </w:p>
    <w:p>
      <w:pPr>
        <w:spacing w:line="500" w:lineRule="exact"/>
        <w:ind w:firstLine="480"/>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4.3</w:t>
      </w:r>
      <w:r>
        <w:rPr>
          <w:rFonts w:hint="eastAsia" w:ascii="宋体" w:hAnsi="宋体" w:eastAsia="宋体" w:cs="宋体"/>
          <w:color w:val="auto"/>
          <w:sz w:val="24"/>
          <w:highlight w:val="none"/>
        </w:rPr>
        <w:t>本次采购项目不收取标书工本费</w:t>
      </w:r>
      <w:r>
        <w:rPr>
          <w:rFonts w:hint="eastAsia" w:ascii="宋体" w:hAnsi="宋体" w:eastAsia="宋体" w:cs="宋体"/>
          <w:color w:val="auto"/>
          <w:sz w:val="24"/>
          <w:highlight w:val="none"/>
          <w:lang w:eastAsia="zh-CN"/>
        </w:rPr>
        <w:t>。</w:t>
      </w:r>
    </w:p>
    <w:p>
      <w:pPr>
        <w:pStyle w:val="206"/>
        <w:spacing w:before="0" w:after="0" w:line="240" w:lineRule="auto"/>
        <w:ind w:firstLine="420"/>
        <w:rPr>
          <w:rFonts w:hint="eastAsia" w:ascii="宋体" w:hAnsi="宋体" w:eastAsia="宋体" w:cs="宋体"/>
          <w:b w:val="0"/>
          <w:bCs w:val="0"/>
          <w:color w:val="auto"/>
          <w:highlight w:val="none"/>
        </w:rPr>
      </w:pPr>
      <w:r>
        <w:rPr>
          <w:rFonts w:hint="eastAsia" w:ascii="宋体" w:hAnsi="宋体" w:eastAsia="宋体" w:cs="宋体"/>
          <w:color w:val="auto"/>
          <w:sz w:val="30"/>
          <w:highlight w:val="none"/>
        </w:rPr>
        <w:t>5、</w:t>
      </w:r>
      <w:r>
        <w:rPr>
          <w:rFonts w:hint="eastAsia" w:ascii="宋体" w:hAnsi="宋体" w:eastAsia="宋体" w:cs="宋体"/>
          <w:b w:val="0"/>
          <w:bCs w:val="0"/>
          <w:color w:val="auto"/>
          <w:highlight w:val="none"/>
        </w:rPr>
        <w:t>招标文件的约束力</w:t>
      </w:r>
    </w:p>
    <w:p>
      <w:pPr>
        <w:pStyle w:val="206"/>
        <w:spacing w:before="0" w:after="0" w:line="240" w:lineRule="auto"/>
        <w:ind w:firstLine="4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5.1 投标人一</w:t>
      </w:r>
      <w:r>
        <w:rPr>
          <w:rFonts w:hint="eastAsia" w:ascii="宋体" w:hAnsi="宋体" w:eastAsia="宋体" w:cs="宋体"/>
          <w:color w:val="auto"/>
          <w:sz w:val="24"/>
          <w:szCs w:val="24"/>
          <w:highlight w:val="none"/>
        </w:rPr>
        <w:t>旦参加本项目采购活动，即被认为接受了本招标文件的规定和约束。</w:t>
      </w:r>
    </w:p>
    <w:p>
      <w:pPr>
        <w:pStyle w:val="205"/>
        <w:spacing w:before="145" w:after="145" w:line="360" w:lineRule="auto"/>
        <w:ind w:firstLine="321"/>
        <w:rPr>
          <w:rFonts w:hint="eastAsia" w:ascii="宋体" w:hAnsi="宋体" w:eastAsia="宋体" w:cs="宋体"/>
          <w:color w:val="auto"/>
          <w:highlight w:val="none"/>
        </w:rPr>
      </w:pPr>
      <w:bookmarkStart w:id="66" w:name="_Toc20823281"/>
      <w:bookmarkStart w:id="67" w:name="_Toc16938525"/>
      <w:bookmarkStart w:id="68" w:name="_Toc513029209"/>
      <w:bookmarkStart w:id="69" w:name="_Toc120614215"/>
      <w:r>
        <w:rPr>
          <w:rFonts w:hint="eastAsia" w:ascii="宋体" w:hAnsi="宋体" w:eastAsia="宋体" w:cs="宋体"/>
          <w:color w:val="auto"/>
          <w:highlight w:val="none"/>
        </w:rPr>
        <w:t>二、招标文件</w:t>
      </w:r>
      <w:bookmarkEnd w:id="66"/>
      <w:bookmarkEnd w:id="67"/>
      <w:bookmarkEnd w:id="68"/>
      <w:bookmarkEnd w:id="69"/>
    </w:p>
    <w:p>
      <w:pPr>
        <w:pStyle w:val="206"/>
        <w:spacing w:before="0" w:after="0" w:line="240" w:lineRule="auto"/>
        <w:ind w:firstLine="420"/>
        <w:rPr>
          <w:rFonts w:hint="eastAsia" w:ascii="宋体" w:hAnsi="宋体" w:eastAsia="宋体" w:cs="宋体"/>
          <w:b w:val="0"/>
          <w:bCs w:val="0"/>
          <w:color w:val="auto"/>
          <w:highlight w:val="none"/>
        </w:rPr>
      </w:pPr>
      <w:bookmarkStart w:id="70" w:name="_Toc16938526"/>
      <w:bookmarkStart w:id="71" w:name="_Toc513029210"/>
      <w:bookmarkStart w:id="72" w:name="_Toc20823282"/>
      <w:r>
        <w:rPr>
          <w:rFonts w:hint="eastAsia" w:ascii="宋体" w:hAnsi="宋体" w:eastAsia="宋体" w:cs="宋体"/>
          <w:b w:val="0"/>
          <w:bCs w:val="0"/>
          <w:color w:val="auto"/>
          <w:highlight w:val="none"/>
        </w:rPr>
        <w:t>6、招标文件构成</w:t>
      </w:r>
      <w:bookmarkEnd w:id="70"/>
      <w:bookmarkEnd w:id="71"/>
      <w:bookmarkEnd w:id="72"/>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6.1</w:t>
      </w:r>
      <w:r>
        <w:rPr>
          <w:rFonts w:hint="eastAsia" w:ascii="宋体" w:hAnsi="宋体" w:eastAsia="宋体" w:cs="宋体"/>
          <w:color w:val="auto"/>
          <w:sz w:val="24"/>
          <w:highlight w:val="none"/>
        </w:rPr>
        <w:t xml:space="preserve"> 招标文件由以下部分组成：</w:t>
      </w:r>
    </w:p>
    <w:p>
      <w:pPr>
        <w:spacing w:line="4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（1）投标邀请</w:t>
      </w:r>
    </w:p>
    <w:p>
      <w:pPr>
        <w:spacing w:line="4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pPr>
        <w:spacing w:line="4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pPr>
        <w:spacing w:line="4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pPr>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pPr>
        <w:spacing w:line="40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请仔细检查招标文件是否齐全，如有缺漏请立即与</w:t>
      </w:r>
      <w:r>
        <w:rPr>
          <w:rFonts w:hint="eastAsia" w:ascii="宋体" w:hAnsi="宋体" w:cs="宋体"/>
          <w:color w:val="auto"/>
          <w:sz w:val="24"/>
          <w:highlight w:val="none"/>
          <w:lang w:eastAsia="zh-CN"/>
        </w:rPr>
        <w:t>代理机构</w:t>
      </w:r>
      <w:r>
        <w:rPr>
          <w:rFonts w:hint="eastAsia" w:ascii="宋体" w:hAnsi="宋体" w:eastAsia="宋体" w:cs="宋体"/>
          <w:color w:val="auto"/>
          <w:sz w:val="24"/>
          <w:highlight w:val="none"/>
        </w:rPr>
        <w:t>联系解决。</w:t>
      </w:r>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6.2</w:t>
      </w:r>
      <w:r>
        <w:rPr>
          <w:rFonts w:hint="eastAsia" w:ascii="宋体" w:hAnsi="宋体" w:eastAsia="宋体" w:cs="宋体"/>
          <w:color w:val="auto"/>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pPr>
        <w:pStyle w:val="206"/>
        <w:spacing w:before="0" w:after="0" w:line="240" w:lineRule="auto"/>
        <w:ind w:firstLine="560"/>
        <w:rPr>
          <w:rFonts w:hint="eastAsia" w:ascii="宋体" w:hAnsi="宋体" w:eastAsia="宋体" w:cs="宋体"/>
          <w:b w:val="0"/>
          <w:bCs w:val="0"/>
          <w:color w:val="auto"/>
          <w:highlight w:val="none"/>
        </w:rPr>
      </w:pPr>
      <w:bookmarkStart w:id="73" w:name="_Toc513029211"/>
      <w:bookmarkStart w:id="74" w:name="_Toc16938527"/>
      <w:bookmarkStart w:id="75" w:name="_Toc462564070"/>
      <w:bookmarkStart w:id="76" w:name="_Toc20823283"/>
      <w:r>
        <w:rPr>
          <w:rFonts w:hint="eastAsia" w:ascii="宋体" w:hAnsi="宋体" w:eastAsia="宋体" w:cs="宋体"/>
          <w:b w:val="0"/>
          <w:bCs w:val="0"/>
          <w:color w:val="auto"/>
          <w:highlight w:val="none"/>
        </w:rPr>
        <w:t>7、招标文件的澄清</w:t>
      </w:r>
      <w:bookmarkEnd w:id="73"/>
      <w:bookmarkEnd w:id="74"/>
      <w:bookmarkEnd w:id="75"/>
      <w:bookmarkEnd w:id="76"/>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7.1</w:t>
      </w:r>
      <w:r>
        <w:rPr>
          <w:rFonts w:hint="eastAsia" w:ascii="宋体" w:hAnsi="宋体" w:eastAsia="宋体" w:cs="宋体"/>
          <w:color w:val="auto"/>
          <w:sz w:val="24"/>
          <w:highlight w:val="none"/>
        </w:rPr>
        <w:t xml:space="preserve"> 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w:t>
      </w:r>
      <w:r>
        <w:rPr>
          <w:rFonts w:hint="eastAsia" w:ascii="宋体" w:hAnsi="宋体" w:eastAsia="宋体" w:cs="宋体"/>
          <w:color w:val="auto"/>
          <w:sz w:val="24"/>
          <w:highlight w:val="none"/>
        </w:rPr>
        <w:t>按招标公告中的通讯地址，以书面形式通知</w:t>
      </w:r>
      <w:r>
        <w:rPr>
          <w:rFonts w:hint="eastAsia" w:ascii="宋体" w:hAnsi="宋体" w:cs="宋体"/>
          <w:color w:val="auto"/>
          <w:sz w:val="24"/>
          <w:highlight w:val="none"/>
          <w:lang w:eastAsia="zh-CN"/>
        </w:rPr>
        <w:t>代理机构</w:t>
      </w:r>
      <w:r>
        <w:rPr>
          <w:rFonts w:hint="eastAsia" w:ascii="宋体" w:hAnsi="宋体" w:eastAsia="宋体" w:cs="宋体"/>
          <w:color w:val="auto"/>
          <w:sz w:val="24"/>
          <w:highlight w:val="none"/>
        </w:rPr>
        <w:t>。</w:t>
      </w:r>
    </w:p>
    <w:p>
      <w:pPr>
        <w:pStyle w:val="206"/>
        <w:spacing w:before="0" w:after="0" w:line="240" w:lineRule="auto"/>
        <w:ind w:firstLine="560"/>
        <w:rPr>
          <w:rFonts w:hint="eastAsia" w:ascii="宋体" w:hAnsi="宋体" w:eastAsia="宋体" w:cs="宋体"/>
          <w:b w:val="0"/>
          <w:bCs w:val="0"/>
          <w:color w:val="auto"/>
          <w:highlight w:val="none"/>
        </w:rPr>
      </w:pPr>
      <w:bookmarkStart w:id="77" w:name="_Toc16938528"/>
      <w:bookmarkStart w:id="78" w:name="_Toc513029212"/>
      <w:bookmarkStart w:id="79" w:name="_Toc462564071"/>
      <w:bookmarkStart w:id="80" w:name="_Toc20823284"/>
      <w:r>
        <w:rPr>
          <w:rFonts w:hint="eastAsia" w:ascii="宋体" w:hAnsi="宋体" w:eastAsia="宋体" w:cs="宋体"/>
          <w:b w:val="0"/>
          <w:bCs w:val="0"/>
          <w:color w:val="auto"/>
          <w:highlight w:val="none"/>
        </w:rPr>
        <w:t>8、招标文件的修改</w:t>
      </w:r>
      <w:bookmarkEnd w:id="77"/>
      <w:bookmarkEnd w:id="78"/>
      <w:bookmarkEnd w:id="79"/>
      <w:bookmarkEnd w:id="80"/>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8.1</w:t>
      </w:r>
      <w:r>
        <w:rPr>
          <w:rFonts w:hint="eastAsia" w:ascii="宋体" w:hAnsi="宋体" w:eastAsia="宋体" w:cs="宋体"/>
          <w:color w:val="auto"/>
          <w:sz w:val="24"/>
          <w:highlight w:val="none"/>
        </w:rPr>
        <w:t xml:space="preserve"> 在投标截止时间前，</w:t>
      </w:r>
      <w:r>
        <w:rPr>
          <w:rFonts w:hint="eastAsia" w:ascii="宋体" w:hAnsi="宋体" w:cs="宋体"/>
          <w:color w:val="auto"/>
          <w:sz w:val="24"/>
          <w:highlight w:val="none"/>
          <w:lang w:eastAsia="zh-CN"/>
        </w:rPr>
        <w:t>代理机构</w:t>
      </w:r>
      <w:r>
        <w:rPr>
          <w:rFonts w:hint="eastAsia" w:ascii="宋体" w:hAnsi="宋体" w:eastAsia="宋体" w:cs="宋体"/>
          <w:color w:val="auto"/>
          <w:sz w:val="24"/>
          <w:highlight w:val="none"/>
        </w:rPr>
        <w:t>可以对招标文件进行修改。</w:t>
      </w:r>
    </w:p>
    <w:p>
      <w:pPr>
        <w:spacing w:line="500" w:lineRule="exact"/>
        <w:ind w:firstLine="480"/>
        <w:rPr>
          <w:rFonts w:hint="eastAsia" w:ascii="宋体" w:hAnsi="宋体" w:eastAsia="宋体" w:cs="宋体"/>
          <w:color w:val="auto"/>
          <w:sz w:val="28"/>
          <w:highlight w:val="none"/>
        </w:rPr>
      </w:pPr>
      <w:r>
        <w:rPr>
          <w:rFonts w:hint="eastAsia" w:ascii="宋体" w:hAnsi="宋体" w:eastAsia="宋体" w:cs="宋体"/>
          <w:bCs/>
          <w:color w:val="auto"/>
          <w:sz w:val="24"/>
          <w:highlight w:val="none"/>
        </w:rPr>
        <w:t xml:space="preserve">8.2 </w:t>
      </w:r>
      <w:r>
        <w:rPr>
          <w:rFonts w:hint="eastAsia" w:ascii="宋体" w:hAnsi="宋体" w:cs="宋体"/>
          <w:color w:val="auto"/>
          <w:sz w:val="24"/>
          <w:highlight w:val="none"/>
          <w:lang w:eastAsia="zh-CN"/>
        </w:rPr>
        <w:t>代理机构</w:t>
      </w:r>
      <w:r>
        <w:rPr>
          <w:rFonts w:hint="eastAsia" w:ascii="宋体" w:hAnsi="宋体" w:eastAsia="宋体" w:cs="宋体"/>
          <w:color w:val="auto"/>
          <w:sz w:val="24"/>
          <w:szCs w:val="24"/>
          <w:highlight w:val="none"/>
        </w:rPr>
        <w:t>有权按照法定的要求</w:t>
      </w:r>
      <w:r>
        <w:rPr>
          <w:rFonts w:hint="eastAsia" w:ascii="宋体" w:hAnsi="宋体" w:eastAsia="宋体" w:cs="宋体"/>
          <w:color w:val="auto"/>
          <w:sz w:val="24"/>
          <w:highlight w:val="none"/>
        </w:rPr>
        <w:t>推迟投标截止日期和开标日期。</w:t>
      </w:r>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8.3 </w:t>
      </w:r>
      <w:r>
        <w:rPr>
          <w:rFonts w:hint="eastAsia" w:ascii="宋体" w:hAnsi="宋体" w:eastAsia="宋体" w:cs="宋体"/>
          <w:color w:val="auto"/>
          <w:sz w:val="24"/>
          <w:highlight w:val="none"/>
        </w:rPr>
        <w:t>招标文件的修改将在“淮安市政府采购网”、</w:t>
      </w:r>
      <w:r>
        <w:rPr>
          <w:rFonts w:hint="eastAsia" w:ascii="宋体" w:hAnsi="宋体" w:eastAsia="宋体" w:cs="宋体"/>
          <w:bCs/>
          <w:color w:val="auto"/>
          <w:sz w:val="24"/>
          <w:szCs w:val="24"/>
          <w:highlight w:val="none"/>
        </w:rPr>
        <w:t>“淮安市公共资源交易网”</w:t>
      </w:r>
      <w:r>
        <w:rPr>
          <w:rFonts w:hint="eastAsia" w:ascii="宋体" w:hAnsi="宋体" w:eastAsia="宋体" w:cs="宋体"/>
          <w:color w:val="auto"/>
          <w:sz w:val="24"/>
          <w:highlight w:val="none"/>
        </w:rPr>
        <w:t>公布，</w:t>
      </w:r>
      <w:r>
        <w:rPr>
          <w:rFonts w:hint="eastAsia" w:ascii="宋体" w:hAnsi="宋体" w:eastAsia="宋体" w:cs="宋体"/>
          <w:color w:val="auto"/>
          <w:sz w:val="24"/>
          <w:szCs w:val="24"/>
          <w:highlight w:val="none"/>
        </w:rPr>
        <w:t>补充文件将作为招标文件的组成部分，</w:t>
      </w:r>
      <w:r>
        <w:rPr>
          <w:rFonts w:hint="eastAsia" w:ascii="宋体" w:hAnsi="宋体" w:eastAsia="宋体" w:cs="宋体"/>
          <w:color w:val="auto"/>
          <w:sz w:val="24"/>
          <w:highlight w:val="none"/>
        </w:rPr>
        <w:t>并对投标人具有约束力。</w:t>
      </w:r>
    </w:p>
    <w:p>
      <w:pPr>
        <w:pStyle w:val="205"/>
        <w:spacing w:before="145" w:after="145" w:line="360" w:lineRule="auto"/>
        <w:ind w:firstLine="482"/>
        <w:rPr>
          <w:rFonts w:hint="eastAsia" w:ascii="宋体" w:hAnsi="宋体" w:eastAsia="宋体" w:cs="宋体"/>
          <w:color w:val="auto"/>
          <w:highlight w:val="none"/>
        </w:rPr>
      </w:pPr>
      <w:bookmarkStart w:id="81" w:name="_Toc16938529"/>
      <w:bookmarkStart w:id="82" w:name="_Toc462564072"/>
      <w:bookmarkStart w:id="83" w:name="_Toc20823285"/>
      <w:bookmarkStart w:id="84" w:name="_Toc513029213"/>
      <w:bookmarkStart w:id="85" w:name="_Toc120614216"/>
      <w:r>
        <w:rPr>
          <w:rFonts w:hint="eastAsia" w:ascii="宋体" w:hAnsi="宋体" w:eastAsia="宋体" w:cs="宋体"/>
          <w:color w:val="auto"/>
          <w:highlight w:val="none"/>
        </w:rPr>
        <w:t>三、投标文件的编制</w:t>
      </w:r>
      <w:bookmarkEnd w:id="81"/>
      <w:bookmarkEnd w:id="82"/>
      <w:bookmarkEnd w:id="83"/>
      <w:bookmarkEnd w:id="84"/>
      <w:bookmarkEnd w:id="85"/>
    </w:p>
    <w:p>
      <w:pPr>
        <w:pStyle w:val="206"/>
        <w:spacing w:before="0" w:after="0" w:line="240" w:lineRule="auto"/>
        <w:ind w:firstLine="560"/>
        <w:rPr>
          <w:rFonts w:hint="eastAsia" w:ascii="宋体" w:hAnsi="宋体" w:eastAsia="宋体" w:cs="宋体"/>
          <w:bCs w:val="0"/>
          <w:color w:val="auto"/>
          <w:highlight w:val="none"/>
        </w:rPr>
      </w:pPr>
      <w:bookmarkStart w:id="86" w:name="_Toc20823286"/>
      <w:bookmarkStart w:id="87" w:name="_Toc462564073"/>
      <w:bookmarkStart w:id="88" w:name="_Toc513029214"/>
      <w:bookmarkStart w:id="89" w:name="_Toc16938530"/>
      <w:r>
        <w:rPr>
          <w:rFonts w:hint="eastAsia" w:ascii="宋体" w:hAnsi="宋体" w:eastAsia="宋体" w:cs="宋体"/>
          <w:b w:val="0"/>
          <w:bCs w:val="0"/>
          <w:color w:val="auto"/>
          <w:highlight w:val="none"/>
        </w:rPr>
        <w:t>9、投标文件的语言及度量衡单位</w:t>
      </w:r>
      <w:bookmarkEnd w:id="86"/>
      <w:bookmarkEnd w:id="87"/>
      <w:bookmarkEnd w:id="88"/>
      <w:bookmarkEnd w:id="89"/>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9.1</w:t>
      </w:r>
      <w:r>
        <w:rPr>
          <w:rFonts w:hint="eastAsia" w:ascii="宋体" w:hAnsi="宋体" w:eastAsia="宋体" w:cs="宋体"/>
          <w:color w:val="auto"/>
          <w:sz w:val="24"/>
          <w:highlight w:val="none"/>
        </w:rPr>
        <w:t xml:space="preserve"> 投标人提交的投标文件以及投标人与</w:t>
      </w:r>
      <w:r>
        <w:rPr>
          <w:rFonts w:hint="eastAsia" w:ascii="宋体" w:hAnsi="宋体" w:cs="宋体"/>
          <w:color w:val="auto"/>
          <w:sz w:val="24"/>
          <w:highlight w:val="none"/>
          <w:lang w:eastAsia="zh-CN"/>
        </w:rPr>
        <w:t>代理机构</w:t>
      </w:r>
      <w:r>
        <w:rPr>
          <w:rFonts w:hint="eastAsia" w:ascii="宋体" w:hAnsi="宋体" w:eastAsia="宋体" w:cs="宋体"/>
          <w:color w:val="auto"/>
          <w:sz w:val="24"/>
          <w:highlight w:val="none"/>
        </w:rPr>
        <w:t>就有关投标的所有来往通知、函件和文件均应使用</w:t>
      </w:r>
      <w:r>
        <w:rPr>
          <w:rFonts w:hint="eastAsia" w:ascii="宋体" w:hAnsi="宋体" w:eastAsia="宋体" w:cs="宋体"/>
          <w:b/>
          <w:bCs/>
          <w:color w:val="auto"/>
          <w:sz w:val="24"/>
          <w:highlight w:val="none"/>
        </w:rPr>
        <w:t>简体中文</w:t>
      </w:r>
      <w:r>
        <w:rPr>
          <w:rFonts w:hint="eastAsia" w:ascii="宋体" w:hAnsi="宋体" w:eastAsia="宋体" w:cs="宋体"/>
          <w:color w:val="auto"/>
          <w:sz w:val="24"/>
          <w:highlight w:val="none"/>
        </w:rPr>
        <w:t>。</w:t>
      </w:r>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9.2</w:t>
      </w:r>
      <w:r>
        <w:rPr>
          <w:rFonts w:hint="eastAsia" w:ascii="宋体" w:hAnsi="宋体" w:eastAsia="宋体" w:cs="宋体"/>
          <w:color w:val="auto"/>
          <w:sz w:val="24"/>
          <w:highlight w:val="none"/>
        </w:rPr>
        <w:t xml:space="preserve"> 除技术性能另有规定外，投标文件所使用的度量衡单位，均须采用国家法定计量单位。</w:t>
      </w:r>
    </w:p>
    <w:p>
      <w:pPr>
        <w:pStyle w:val="206"/>
        <w:spacing w:before="0" w:after="0" w:line="240" w:lineRule="auto"/>
        <w:ind w:firstLine="420"/>
        <w:rPr>
          <w:rFonts w:hint="eastAsia" w:ascii="宋体" w:hAnsi="宋体" w:eastAsia="宋体" w:cs="宋体"/>
          <w:b w:val="0"/>
          <w:bCs w:val="0"/>
          <w:color w:val="auto"/>
          <w:highlight w:val="none"/>
        </w:rPr>
      </w:pPr>
      <w:bookmarkStart w:id="90" w:name="_Toc513029215"/>
      <w:bookmarkStart w:id="91" w:name="_Toc462564074"/>
      <w:bookmarkStart w:id="92" w:name="_Toc20823287"/>
      <w:bookmarkStart w:id="93" w:name="_Toc16938531"/>
      <w:r>
        <w:rPr>
          <w:rFonts w:hint="eastAsia" w:ascii="宋体" w:hAnsi="宋体" w:eastAsia="宋体" w:cs="宋体"/>
          <w:b w:val="0"/>
          <w:bCs w:val="0"/>
          <w:color w:val="auto"/>
          <w:highlight w:val="none"/>
        </w:rPr>
        <w:t>10、投标文件构成</w:t>
      </w:r>
      <w:bookmarkEnd w:id="90"/>
      <w:bookmarkEnd w:id="91"/>
      <w:bookmarkEnd w:id="92"/>
      <w:bookmarkEnd w:id="93"/>
    </w:p>
    <w:p>
      <w:pPr>
        <w:spacing w:line="44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10.1</w:t>
      </w:r>
      <w:r>
        <w:rPr>
          <w:rFonts w:hint="eastAsia" w:ascii="宋体" w:hAnsi="宋体" w:eastAsia="宋体" w:cs="宋体"/>
          <w:color w:val="auto"/>
          <w:sz w:val="24"/>
          <w:highlight w:val="none"/>
        </w:rPr>
        <w:t xml:space="preserve"> 投标人编写的投标文件应包括资格证明文件、符合性证明文件、投标分项报价表、技术要求响应及偏离表、商务要求响应及偏离表、其他证明文件、投标函、开标一览表等部分。</w:t>
      </w:r>
    </w:p>
    <w:p>
      <w:pPr>
        <w:spacing w:line="44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10.2 如标书制作工具中格式和内容与“淮安市政府采购网”、</w:t>
      </w:r>
      <w:r>
        <w:rPr>
          <w:rFonts w:hint="eastAsia" w:ascii="宋体" w:hAnsi="宋体" w:eastAsia="宋体" w:cs="宋体"/>
          <w:bCs/>
          <w:color w:val="auto"/>
          <w:sz w:val="24"/>
          <w:szCs w:val="24"/>
          <w:highlight w:val="none"/>
        </w:rPr>
        <w:t>“淮安市公共资源交易网”</w:t>
      </w:r>
      <w:r>
        <w:rPr>
          <w:rFonts w:hint="eastAsia" w:ascii="宋体" w:hAnsi="宋体" w:eastAsia="宋体" w:cs="宋体"/>
          <w:color w:val="auto"/>
          <w:sz w:val="24"/>
          <w:highlight w:val="none"/>
        </w:rPr>
        <w:t>发布的招标文件不一致，请以“淮安市政府采购网”发布的招标文件为准。</w:t>
      </w:r>
    </w:p>
    <w:p>
      <w:pPr>
        <w:pStyle w:val="206"/>
        <w:spacing w:before="0" w:after="0" w:line="240" w:lineRule="auto"/>
        <w:ind w:firstLine="420"/>
        <w:rPr>
          <w:rFonts w:hint="eastAsia" w:ascii="宋体" w:hAnsi="宋体" w:eastAsia="宋体" w:cs="宋体"/>
          <w:b w:val="0"/>
          <w:bCs w:val="0"/>
          <w:color w:val="auto"/>
          <w:highlight w:val="none"/>
        </w:rPr>
      </w:pPr>
      <w:bookmarkStart w:id="94" w:name="_Hlt26668975"/>
      <w:bookmarkEnd w:id="94"/>
      <w:bookmarkStart w:id="95" w:name="_Hlt26670360"/>
      <w:bookmarkEnd w:id="95"/>
      <w:bookmarkStart w:id="96" w:name="_Hlt26954838"/>
      <w:bookmarkEnd w:id="96"/>
      <w:bookmarkStart w:id="97" w:name="_Toc49090509"/>
      <w:bookmarkStart w:id="98" w:name="_Toc513029219"/>
      <w:bookmarkStart w:id="99" w:name="_Toc14577357"/>
      <w:bookmarkStart w:id="100" w:name="_Toc14577354"/>
      <w:bookmarkStart w:id="101" w:name="_Toc513029216"/>
      <w:bookmarkStart w:id="102" w:name="_Toc49090507"/>
      <w:r>
        <w:rPr>
          <w:rFonts w:hint="eastAsia" w:ascii="宋体" w:hAnsi="宋体" w:eastAsia="宋体" w:cs="宋体"/>
          <w:b w:val="0"/>
          <w:bCs w:val="0"/>
          <w:color w:val="auto"/>
          <w:highlight w:val="none"/>
        </w:rPr>
        <w:t>11、证明投标人及投标标的符合招标文件规定的文件</w:t>
      </w:r>
      <w:bookmarkEnd w:id="97"/>
      <w:bookmarkEnd w:id="98"/>
      <w:bookmarkEnd w:id="99"/>
    </w:p>
    <w:bookmarkEnd w:id="100"/>
    <w:bookmarkEnd w:id="101"/>
    <w:bookmarkEnd w:id="102"/>
    <w:p>
      <w:pPr>
        <w:spacing w:line="480" w:lineRule="exact"/>
        <w:rPr>
          <w:rFonts w:hint="eastAsia" w:ascii="宋体" w:hAnsi="宋体" w:eastAsia="宋体" w:cs="宋体"/>
          <w:color w:val="auto"/>
          <w:sz w:val="24"/>
          <w:szCs w:val="24"/>
          <w:highlight w:val="none"/>
        </w:rPr>
      </w:pPr>
      <w:bookmarkStart w:id="103" w:name="_Toc14577355"/>
      <w:bookmarkStart w:id="104" w:name="_Toc49090508"/>
      <w:r>
        <w:rPr>
          <w:rFonts w:hint="eastAsia" w:ascii="宋体" w:hAnsi="宋体" w:eastAsia="宋体" w:cs="宋体"/>
          <w:color w:val="auto"/>
          <w:sz w:val="24"/>
          <w:szCs w:val="24"/>
          <w:highlight w:val="none"/>
        </w:rPr>
        <w:t xml:space="preserve">    11.1 投标人应按照法律、法规、规章和规范性文件以及招标文件要求提交证明文件，证明其及投标标的符合招标文件规定。</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pPr>
        <w:pStyle w:val="206"/>
        <w:spacing w:before="0" w:after="0" w:line="240" w:lineRule="auto"/>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12、投标分项报价</w:t>
      </w:r>
      <w:bookmarkEnd w:id="103"/>
      <w:bookmarkStart w:id="105" w:name="_Hlt26670373"/>
      <w:bookmarkEnd w:id="105"/>
      <w:r>
        <w:rPr>
          <w:rFonts w:hint="eastAsia" w:ascii="宋体" w:hAnsi="宋体" w:eastAsia="宋体" w:cs="宋体"/>
          <w:b w:val="0"/>
          <w:bCs w:val="0"/>
          <w:color w:val="auto"/>
          <w:highlight w:val="none"/>
        </w:rPr>
        <w:t>表</w:t>
      </w:r>
      <w:bookmarkEnd w:id="104"/>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12.1</w:t>
      </w:r>
      <w:r>
        <w:rPr>
          <w:rFonts w:hint="eastAsia" w:ascii="宋体" w:hAnsi="宋体" w:eastAsia="宋体" w:cs="宋体"/>
          <w:color w:val="auto"/>
          <w:sz w:val="24"/>
          <w:highlight w:val="none"/>
        </w:rPr>
        <w:t xml:space="preserve"> 投</w:t>
      </w:r>
      <w:bookmarkStart w:id="106" w:name="_Hlt26954840"/>
      <w:bookmarkEnd w:id="106"/>
      <w:r>
        <w:rPr>
          <w:rFonts w:hint="eastAsia" w:ascii="宋体" w:hAnsi="宋体" w:eastAsia="宋体" w:cs="宋体"/>
          <w:color w:val="auto"/>
          <w:sz w:val="24"/>
          <w:highlight w:val="none"/>
        </w:rPr>
        <w:t>标人应按照招标文件规定格式填报投标分项报价表</w:t>
      </w:r>
      <w:bookmarkStart w:id="107" w:name="_Hlt26670399"/>
      <w:bookmarkEnd w:id="107"/>
      <w:r>
        <w:rPr>
          <w:rFonts w:hint="eastAsia" w:ascii="宋体" w:hAnsi="宋体" w:eastAsia="宋体" w:cs="宋体"/>
          <w:color w:val="auto"/>
          <w:sz w:val="24"/>
          <w:highlight w:val="none"/>
        </w:rPr>
        <w:t>。</w:t>
      </w:r>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12.2</w:t>
      </w:r>
      <w:r>
        <w:rPr>
          <w:rFonts w:hint="eastAsia" w:ascii="宋体" w:hAnsi="宋体" w:eastAsia="宋体" w:cs="宋体"/>
          <w:bCs/>
          <w:color w:val="auto"/>
          <w:sz w:val="24"/>
          <w:highlight w:val="none"/>
        </w:rPr>
        <w:t>投标货币。投标文件中的单价和总价无特殊规定的采用人民币报价，以元为单位标注。</w:t>
      </w:r>
      <w:r>
        <w:rPr>
          <w:rFonts w:hint="eastAsia" w:ascii="宋体" w:hAnsi="宋体" w:eastAsia="宋体" w:cs="宋体"/>
          <w:color w:val="auto"/>
          <w:sz w:val="24"/>
          <w:highlight w:val="none"/>
        </w:rPr>
        <w:t>招标文件中另有规定的按规定执行。</w:t>
      </w:r>
    </w:p>
    <w:p>
      <w:pPr>
        <w:pStyle w:val="206"/>
        <w:spacing w:before="0" w:after="0" w:line="240" w:lineRule="auto"/>
        <w:ind w:firstLine="420"/>
        <w:rPr>
          <w:rFonts w:hint="eastAsia" w:ascii="宋体" w:hAnsi="宋体" w:eastAsia="宋体" w:cs="宋体"/>
          <w:b w:val="0"/>
          <w:bCs w:val="0"/>
          <w:color w:val="auto"/>
          <w:highlight w:val="none"/>
        </w:rPr>
      </w:pPr>
      <w:bookmarkStart w:id="108" w:name="_Hlt26954842"/>
      <w:bookmarkEnd w:id="108"/>
      <w:bookmarkStart w:id="109" w:name="_Hlt26668983"/>
      <w:bookmarkEnd w:id="109"/>
      <w:bookmarkStart w:id="110" w:name="_Hlt26954846"/>
      <w:bookmarkEnd w:id="110"/>
      <w:bookmarkStart w:id="111" w:name="_Hlt26954844"/>
      <w:bookmarkEnd w:id="111"/>
      <w:bookmarkStart w:id="112" w:name="_Hlt26670482"/>
      <w:bookmarkEnd w:id="112"/>
      <w:bookmarkStart w:id="113" w:name="_Hlt26670403"/>
      <w:bookmarkEnd w:id="113"/>
      <w:bookmarkStart w:id="114" w:name="_Hlt26954848"/>
      <w:bookmarkEnd w:id="114"/>
      <w:bookmarkStart w:id="115" w:name="_Hlt26954731"/>
      <w:bookmarkEnd w:id="115"/>
      <w:bookmarkStart w:id="116" w:name="_Hlt26670425"/>
      <w:bookmarkEnd w:id="116"/>
      <w:bookmarkStart w:id="117" w:name="_Hlt26670486"/>
      <w:bookmarkEnd w:id="117"/>
      <w:r>
        <w:rPr>
          <w:rFonts w:hint="eastAsia" w:ascii="宋体" w:hAnsi="宋体" w:eastAsia="宋体" w:cs="宋体"/>
          <w:b w:val="0"/>
          <w:bCs w:val="0"/>
          <w:color w:val="auto"/>
          <w:highlight w:val="none"/>
        </w:rPr>
        <w:t>13、技术要求响应及偏离表、商务要求响应及偏离表（本项目不涉及）</w:t>
      </w:r>
    </w:p>
    <w:p>
      <w:pPr>
        <w:spacing w:line="500" w:lineRule="exact"/>
        <w:ind w:firstLine="480"/>
        <w:rPr>
          <w:rFonts w:hint="eastAsia" w:ascii="宋体" w:hAnsi="宋体" w:eastAsia="宋体" w:cs="宋体"/>
          <w:color w:val="auto"/>
          <w:sz w:val="24"/>
          <w:highlight w:val="none"/>
          <w:lang w:val="zh-CN"/>
        </w:rPr>
      </w:pPr>
      <w:r>
        <w:rPr>
          <w:rFonts w:hint="eastAsia" w:ascii="宋体" w:hAnsi="宋体" w:eastAsia="宋体" w:cs="宋体"/>
          <w:bCs/>
          <w:color w:val="auto"/>
          <w:sz w:val="24"/>
          <w:highlight w:val="none"/>
          <w:lang w:val="zh-CN"/>
        </w:rPr>
        <w:t>13.1</w:t>
      </w:r>
      <w:r>
        <w:rPr>
          <w:rFonts w:hint="eastAsia" w:ascii="宋体" w:hAnsi="宋体" w:eastAsia="宋体" w:cs="宋体"/>
          <w:color w:val="auto"/>
          <w:sz w:val="24"/>
          <w:highlight w:val="none"/>
          <w:lang w:val="zh-CN"/>
        </w:rPr>
        <w:t xml:space="preserve"> 投标人需对招标文件中的技术要求与商务要求逐项作出响应或偏离，并说明原因。</w:t>
      </w:r>
    </w:p>
    <w:p>
      <w:pPr>
        <w:tabs>
          <w:tab w:val="left" w:pos="1035"/>
        </w:tabs>
        <w:spacing w:line="500" w:lineRule="exact"/>
        <w:ind w:firstLine="48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13.2 投标人可在投标文件中提供认为需要的其他技术文件或说明。</w:t>
      </w:r>
    </w:p>
    <w:p>
      <w:pPr>
        <w:pStyle w:val="206"/>
        <w:spacing w:before="0" w:after="0" w:line="240" w:lineRule="auto"/>
        <w:ind w:firstLine="420"/>
        <w:rPr>
          <w:rFonts w:hint="eastAsia" w:ascii="宋体" w:hAnsi="宋体" w:eastAsia="宋体" w:cs="宋体"/>
          <w:b w:val="0"/>
          <w:bCs w:val="0"/>
          <w:color w:val="auto"/>
          <w:highlight w:val="none"/>
        </w:rPr>
      </w:pPr>
      <w:bookmarkStart w:id="118" w:name="_Toc49090510"/>
      <w:bookmarkStart w:id="119" w:name="_Toc14577359"/>
      <w:r>
        <w:rPr>
          <w:rFonts w:hint="eastAsia" w:ascii="宋体" w:hAnsi="宋体" w:eastAsia="宋体" w:cs="宋体"/>
          <w:b w:val="0"/>
          <w:bCs w:val="0"/>
          <w:color w:val="auto"/>
          <w:highlight w:val="none"/>
        </w:rPr>
        <w:t>14、投标函和开标一览表</w:t>
      </w:r>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14.1</w:t>
      </w:r>
      <w:r>
        <w:rPr>
          <w:rFonts w:hint="eastAsia" w:ascii="宋体" w:hAnsi="宋体" w:eastAsia="宋体" w:cs="宋体"/>
          <w:color w:val="auto"/>
          <w:sz w:val="24"/>
          <w:highlight w:val="none"/>
        </w:rPr>
        <w:t xml:space="preserve"> 投标人应按照招标文件中提供的格式完整、正确填写投标函、开标一览表。</w:t>
      </w:r>
    </w:p>
    <w:p>
      <w:pPr>
        <w:spacing w:line="500" w:lineRule="exact"/>
        <w:ind w:firstLine="480"/>
        <w:rPr>
          <w:rFonts w:hint="eastAsia" w:ascii="宋体" w:hAnsi="宋体" w:eastAsia="宋体" w:cs="宋体"/>
          <w:color w:val="auto"/>
          <w:sz w:val="24"/>
          <w:highlight w:val="none"/>
        </w:rPr>
      </w:pPr>
      <w:r>
        <w:rPr>
          <w:rFonts w:hint="eastAsia" w:ascii="宋体" w:hAnsi="宋体" w:eastAsia="宋体" w:cs="宋体"/>
          <w:bCs/>
          <w:color w:val="auto"/>
          <w:sz w:val="24"/>
          <w:highlight w:val="none"/>
        </w:rPr>
        <w:t>14.2</w:t>
      </w:r>
      <w:r>
        <w:rPr>
          <w:rFonts w:hint="eastAsia" w:ascii="宋体" w:hAnsi="宋体" w:eastAsia="宋体" w:cs="宋体"/>
          <w:color w:val="auto"/>
          <w:sz w:val="24"/>
          <w:highlight w:val="none"/>
        </w:rPr>
        <w:t xml:space="preserve"> 对于采用货币报价的项目，</w:t>
      </w:r>
      <w:r>
        <w:rPr>
          <w:rFonts w:hint="eastAsia" w:ascii="宋体" w:hAnsi="宋体" w:eastAsia="宋体" w:cs="宋体"/>
          <w:bCs/>
          <w:color w:val="auto"/>
          <w:sz w:val="24"/>
          <w:highlight w:val="none"/>
        </w:rPr>
        <w:t>开标一览表中的投标总报价应与投标分项报价表中的投标总报价一致，如不一致，</w:t>
      </w:r>
      <w:r>
        <w:rPr>
          <w:rFonts w:hint="eastAsia" w:ascii="宋体" w:hAnsi="宋体" w:eastAsia="宋体" w:cs="宋体"/>
          <w:color w:val="auto"/>
          <w:sz w:val="24"/>
          <w:szCs w:val="24"/>
          <w:highlight w:val="none"/>
        </w:rPr>
        <w:t>不作为无效投标处理</w:t>
      </w:r>
      <w:r>
        <w:rPr>
          <w:rFonts w:hint="eastAsia" w:ascii="宋体" w:hAnsi="宋体" w:eastAsia="宋体" w:cs="宋体"/>
          <w:bCs/>
          <w:color w:val="auto"/>
          <w:sz w:val="24"/>
          <w:highlight w:val="none"/>
        </w:rPr>
        <w:t>，但评标时按开标一览表中价格为准</w:t>
      </w:r>
      <w:r>
        <w:rPr>
          <w:rFonts w:hint="eastAsia" w:ascii="宋体" w:hAnsi="宋体" w:eastAsia="宋体" w:cs="宋体"/>
          <w:b/>
          <w:bCs/>
          <w:color w:val="auto"/>
          <w:sz w:val="24"/>
          <w:highlight w:val="none"/>
        </w:rPr>
        <w:t>。</w:t>
      </w:r>
    </w:p>
    <w:bookmarkEnd w:id="118"/>
    <w:bookmarkEnd w:id="119"/>
    <w:p>
      <w:pPr>
        <w:pStyle w:val="206"/>
        <w:spacing w:before="0" w:after="0" w:line="240" w:lineRule="auto"/>
        <w:ind w:firstLine="420"/>
        <w:rPr>
          <w:rFonts w:hint="eastAsia" w:ascii="宋体" w:hAnsi="宋体" w:eastAsia="宋体" w:cs="宋体"/>
          <w:b w:val="0"/>
          <w:bCs w:val="0"/>
          <w:color w:val="auto"/>
          <w:highlight w:val="none"/>
        </w:rPr>
      </w:pPr>
      <w:bookmarkStart w:id="120" w:name="_Hlt26670489"/>
      <w:bookmarkEnd w:id="120"/>
      <w:bookmarkStart w:id="121" w:name="_Hlt26954734"/>
      <w:bookmarkEnd w:id="121"/>
      <w:bookmarkStart w:id="122" w:name="_Hlt26954850"/>
      <w:bookmarkEnd w:id="122"/>
      <w:bookmarkStart w:id="123" w:name="_Toc14577360"/>
      <w:bookmarkStart w:id="124" w:name="_Toc49090511"/>
      <w:r>
        <w:rPr>
          <w:rFonts w:hint="eastAsia" w:ascii="宋体" w:hAnsi="宋体" w:eastAsia="宋体" w:cs="宋体"/>
          <w:b w:val="0"/>
          <w:bCs w:val="0"/>
          <w:color w:val="auto"/>
          <w:highlight w:val="none"/>
        </w:rPr>
        <w:t>15、投标有效期</w:t>
      </w:r>
      <w:bookmarkEnd w:id="123"/>
      <w:bookmarkEnd w:id="124"/>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15.1</w:t>
      </w:r>
      <w:r>
        <w:rPr>
          <w:rFonts w:hint="eastAsia" w:ascii="宋体" w:hAnsi="宋体" w:eastAsia="宋体" w:cs="宋体"/>
          <w:bCs/>
          <w:color w:val="auto"/>
          <w:sz w:val="24"/>
          <w:highlight w:val="none"/>
        </w:rPr>
        <w:t xml:space="preserve"> 投标有效期为</w:t>
      </w:r>
      <w:r>
        <w:rPr>
          <w:rFonts w:hint="eastAsia" w:ascii="宋体" w:hAnsi="宋体" w:cs="宋体"/>
          <w:bCs/>
          <w:color w:val="auto"/>
          <w:sz w:val="24"/>
          <w:highlight w:val="none"/>
          <w:lang w:eastAsia="zh-CN"/>
        </w:rPr>
        <w:t>代理机构</w:t>
      </w:r>
      <w:r>
        <w:rPr>
          <w:rFonts w:hint="eastAsia" w:ascii="宋体" w:hAnsi="宋体" w:eastAsia="宋体" w:cs="宋体"/>
          <w:bCs/>
          <w:color w:val="auto"/>
          <w:sz w:val="24"/>
          <w:highlight w:val="none"/>
        </w:rPr>
        <w:t>规定的开标之日后</w:t>
      </w:r>
      <w:r>
        <w:rPr>
          <w:rFonts w:hint="eastAsia" w:ascii="宋体" w:hAnsi="宋体" w:eastAsia="宋体" w:cs="宋体"/>
          <w:b/>
          <w:color w:val="auto"/>
          <w:sz w:val="24"/>
          <w:highlight w:val="none"/>
          <w:u w:val="single"/>
        </w:rPr>
        <w:t>六十（60）天</w:t>
      </w:r>
      <w:r>
        <w:rPr>
          <w:rFonts w:hint="eastAsia" w:ascii="宋体" w:hAnsi="宋体" w:eastAsia="宋体" w:cs="宋体"/>
          <w:bCs/>
          <w:color w:val="auto"/>
          <w:sz w:val="24"/>
          <w:highlight w:val="none"/>
        </w:rPr>
        <w:t>。投标有效期比规定短的将被视为未实质性响应招标文件而予以拒绝。</w:t>
      </w:r>
    </w:p>
    <w:p>
      <w:pPr>
        <w:pStyle w:val="206"/>
        <w:spacing w:before="0" w:after="0" w:line="240" w:lineRule="auto"/>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16、投标有效期的延长</w:t>
      </w:r>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16.1</w:t>
      </w:r>
      <w:r>
        <w:rPr>
          <w:rFonts w:hint="eastAsia" w:ascii="宋体" w:hAnsi="宋体" w:eastAsia="宋体" w:cs="宋体"/>
          <w:bCs/>
          <w:color w:val="auto"/>
          <w:sz w:val="24"/>
          <w:highlight w:val="none"/>
        </w:rPr>
        <w:t xml:space="preserve"> 在特殊情况下，</w:t>
      </w:r>
      <w:r>
        <w:rPr>
          <w:rFonts w:hint="eastAsia" w:ascii="宋体" w:hAnsi="宋体" w:cs="宋体"/>
          <w:bCs/>
          <w:color w:val="auto"/>
          <w:sz w:val="24"/>
          <w:highlight w:val="none"/>
          <w:lang w:eastAsia="zh-CN"/>
        </w:rPr>
        <w:t>代理机构</w:t>
      </w:r>
      <w:r>
        <w:rPr>
          <w:rFonts w:hint="eastAsia" w:ascii="宋体" w:hAnsi="宋体" w:eastAsia="宋体" w:cs="宋体"/>
          <w:bCs/>
          <w:color w:val="auto"/>
          <w:sz w:val="24"/>
          <w:highlight w:val="none"/>
        </w:rPr>
        <w:t>于原投标有效期满之前，可向投标人提出延长投标有效期的要求。这种要求与答复均应采用书面形式。投标人可以拒绝</w:t>
      </w:r>
      <w:r>
        <w:rPr>
          <w:rFonts w:hint="eastAsia" w:ascii="宋体" w:hAnsi="宋体" w:cs="宋体"/>
          <w:bCs/>
          <w:color w:val="auto"/>
          <w:sz w:val="24"/>
          <w:highlight w:val="none"/>
          <w:lang w:eastAsia="zh-CN"/>
        </w:rPr>
        <w:t>代理机构</w:t>
      </w:r>
      <w:r>
        <w:rPr>
          <w:rFonts w:hint="eastAsia" w:ascii="宋体" w:hAnsi="宋体" w:eastAsia="宋体" w:cs="宋体"/>
          <w:bCs/>
          <w:color w:val="auto"/>
          <w:sz w:val="24"/>
          <w:highlight w:val="none"/>
        </w:rPr>
        <w:t>的这一要求而放弃投标</w:t>
      </w:r>
      <w:r>
        <w:rPr>
          <w:rFonts w:hint="eastAsia" w:ascii="宋体" w:hAnsi="宋体" w:eastAsia="宋体" w:cs="宋体"/>
          <w:color w:val="auto"/>
          <w:sz w:val="24"/>
          <w:szCs w:val="24"/>
          <w:highlight w:val="none"/>
        </w:rPr>
        <w:t>。</w:t>
      </w:r>
      <w:r>
        <w:rPr>
          <w:rFonts w:hint="eastAsia" w:ascii="宋体" w:hAnsi="宋体" w:eastAsia="宋体" w:cs="宋体"/>
          <w:bCs/>
          <w:color w:val="auto"/>
          <w:sz w:val="24"/>
          <w:highlight w:val="none"/>
        </w:rPr>
        <w:t>同意延长投标有效期的投标人既不能要求也不允许修改其投标文件</w:t>
      </w:r>
      <w:r>
        <w:rPr>
          <w:rFonts w:hint="eastAsia" w:ascii="宋体" w:hAnsi="宋体" w:eastAsia="宋体" w:cs="宋体"/>
          <w:color w:val="auto"/>
          <w:sz w:val="24"/>
          <w:szCs w:val="24"/>
          <w:highlight w:val="none"/>
        </w:rPr>
        <w:t>，同时受投标有效期约束的所有权利与义务均延长至新的有效期</w:t>
      </w:r>
      <w:r>
        <w:rPr>
          <w:rFonts w:hint="eastAsia" w:ascii="宋体" w:hAnsi="宋体" w:eastAsia="宋体" w:cs="宋体"/>
          <w:bCs/>
          <w:color w:val="auto"/>
          <w:sz w:val="24"/>
          <w:highlight w:val="none"/>
        </w:rPr>
        <w:t>。</w:t>
      </w:r>
    </w:p>
    <w:p>
      <w:pPr>
        <w:pStyle w:val="205"/>
        <w:spacing w:before="145" w:after="145" w:line="360" w:lineRule="auto"/>
        <w:ind w:firstLine="482"/>
        <w:rPr>
          <w:rFonts w:hint="eastAsia" w:ascii="宋体" w:hAnsi="宋体" w:eastAsia="宋体" w:cs="宋体"/>
          <w:color w:val="auto"/>
          <w:highlight w:val="none"/>
        </w:rPr>
      </w:pPr>
      <w:bookmarkStart w:id="125" w:name="_Hlt26954739"/>
      <w:bookmarkEnd w:id="125"/>
      <w:bookmarkStart w:id="126" w:name="_Hlt26954852"/>
      <w:bookmarkEnd w:id="126"/>
      <w:bookmarkStart w:id="127" w:name="_Toc20823296"/>
      <w:bookmarkStart w:id="128" w:name="_Toc120614217"/>
      <w:bookmarkStart w:id="129" w:name="_Toc16938540"/>
      <w:bookmarkStart w:id="130" w:name="_Toc513029224"/>
      <w:r>
        <w:rPr>
          <w:rFonts w:hint="eastAsia" w:ascii="宋体" w:hAnsi="宋体" w:eastAsia="宋体" w:cs="宋体"/>
          <w:color w:val="auto"/>
          <w:highlight w:val="none"/>
        </w:rPr>
        <w:t>四、投标文件的递交</w:t>
      </w:r>
      <w:bookmarkEnd w:id="127"/>
      <w:bookmarkEnd w:id="128"/>
      <w:bookmarkEnd w:id="129"/>
      <w:bookmarkEnd w:id="130"/>
    </w:p>
    <w:p>
      <w:pPr>
        <w:pStyle w:val="206"/>
        <w:spacing w:before="0" w:after="0" w:line="240" w:lineRule="auto"/>
        <w:ind w:firstLine="560"/>
        <w:rPr>
          <w:rFonts w:hint="eastAsia" w:ascii="宋体" w:hAnsi="宋体" w:eastAsia="宋体" w:cs="宋体"/>
          <w:b w:val="0"/>
          <w:bCs w:val="0"/>
          <w:color w:val="auto"/>
          <w:highlight w:val="none"/>
        </w:rPr>
      </w:pPr>
      <w:bookmarkStart w:id="131" w:name="_Toc462564084"/>
      <w:bookmarkStart w:id="132" w:name="_Toc16938541"/>
      <w:bookmarkStart w:id="133" w:name="_Toc513029225"/>
      <w:bookmarkStart w:id="134" w:name="_Toc20823297"/>
      <w:r>
        <w:rPr>
          <w:rFonts w:hint="eastAsia" w:ascii="宋体" w:hAnsi="宋体" w:eastAsia="宋体" w:cs="宋体"/>
          <w:b w:val="0"/>
          <w:bCs w:val="0"/>
          <w:color w:val="auto"/>
          <w:highlight w:val="none"/>
        </w:rPr>
        <w:t>17、投标文件</w:t>
      </w:r>
      <w:bookmarkEnd w:id="131"/>
      <w:bookmarkEnd w:id="132"/>
      <w:bookmarkEnd w:id="133"/>
      <w:bookmarkEnd w:id="134"/>
      <w:r>
        <w:rPr>
          <w:rFonts w:hint="eastAsia" w:ascii="宋体" w:hAnsi="宋体" w:eastAsia="宋体" w:cs="宋体"/>
          <w:b w:val="0"/>
          <w:bCs w:val="0"/>
          <w:color w:val="auto"/>
          <w:highlight w:val="none"/>
        </w:rPr>
        <w:t>的递交</w:t>
      </w:r>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17.1</w:t>
      </w:r>
      <w:r>
        <w:rPr>
          <w:rFonts w:hint="eastAsia" w:ascii="宋体" w:hAnsi="宋体" w:eastAsia="宋体" w:cs="宋体"/>
          <w:bCs/>
          <w:color w:val="auto"/>
          <w:sz w:val="24"/>
          <w:highlight w:val="none"/>
        </w:rPr>
        <w:t xml:space="preserve"> 电子投标文件的递交</w:t>
      </w:r>
    </w:p>
    <w:p>
      <w:pPr>
        <w:pStyle w:val="311"/>
        <w:ind w:left="52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投标人应当按照《操作手册》规定，在投标截止时间前制作并上传电子投标文件。</w:t>
      </w:r>
      <w:bookmarkStart w:id="135" w:name="_Toc513029226"/>
      <w:bookmarkStart w:id="136" w:name="_Toc20823298"/>
      <w:bookmarkStart w:id="137" w:name="_Toc16938542"/>
    </w:p>
    <w:p>
      <w:pPr>
        <w:pStyle w:val="206"/>
        <w:ind w:firstLine="420"/>
        <w:rPr>
          <w:rFonts w:hint="eastAsia" w:ascii="宋体" w:hAnsi="宋体" w:eastAsia="宋体" w:cs="宋体"/>
          <w:b w:val="0"/>
          <w:color w:val="auto"/>
          <w:highlight w:val="none"/>
        </w:rPr>
      </w:pPr>
      <w:r>
        <w:rPr>
          <w:rFonts w:hint="eastAsia" w:ascii="宋体" w:hAnsi="宋体" w:eastAsia="宋体" w:cs="宋体"/>
          <w:b w:val="0"/>
          <w:color w:val="auto"/>
          <w:highlight w:val="none"/>
        </w:rPr>
        <w:t>18、投标截止</w:t>
      </w:r>
      <w:bookmarkEnd w:id="135"/>
      <w:bookmarkEnd w:id="136"/>
      <w:bookmarkEnd w:id="137"/>
      <w:r>
        <w:rPr>
          <w:rFonts w:hint="eastAsia" w:ascii="宋体" w:hAnsi="宋体" w:eastAsia="宋体" w:cs="宋体"/>
          <w:b w:val="0"/>
          <w:color w:val="auto"/>
          <w:highlight w:val="none"/>
        </w:rPr>
        <w:t>时间</w:t>
      </w:r>
    </w:p>
    <w:p>
      <w:pPr>
        <w:spacing w:line="500" w:lineRule="exact"/>
        <w:ind w:firstLine="480"/>
        <w:rPr>
          <w:rFonts w:hint="eastAsia" w:ascii="宋体" w:hAnsi="宋体" w:eastAsia="宋体" w:cs="宋体"/>
          <w:bCs/>
          <w:i/>
          <w:color w:val="auto"/>
          <w:sz w:val="24"/>
          <w:highlight w:val="none"/>
          <w:u w:val="single"/>
        </w:rPr>
      </w:pPr>
      <w:r>
        <w:rPr>
          <w:rFonts w:hint="eastAsia" w:ascii="宋体" w:hAnsi="宋体" w:eastAsia="宋体" w:cs="宋体"/>
          <w:i/>
          <w:color w:val="auto"/>
          <w:sz w:val="24"/>
          <w:highlight w:val="none"/>
          <w:u w:val="single"/>
        </w:rPr>
        <w:t>18.1</w:t>
      </w:r>
      <w:r>
        <w:rPr>
          <w:rFonts w:hint="eastAsia" w:ascii="宋体" w:hAnsi="宋体" w:eastAsia="宋体" w:cs="宋体"/>
          <w:bCs/>
          <w:i/>
          <w:color w:val="auto"/>
          <w:sz w:val="24"/>
          <w:highlight w:val="none"/>
          <w:u w:val="single"/>
        </w:rPr>
        <w:t xml:space="preserve"> 投标人上传电子投标文件的时间不得迟于招标公告中规定的投标截止时间。</w:t>
      </w:r>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投标人应充分考虑到网络环境、网络带宽等风险因素，如因投标人自身原因造成的电子投标文件上传不成功的按照本招标文件第二章第26.1.2条规定做无效投标处理。</w:t>
      </w:r>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18.2</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eastAsia="zh-CN"/>
        </w:rPr>
        <w:t>代理机构</w:t>
      </w:r>
      <w:r>
        <w:rPr>
          <w:rFonts w:hint="eastAsia" w:ascii="宋体" w:hAnsi="宋体" w:eastAsia="宋体" w:cs="宋体"/>
          <w:bCs/>
          <w:color w:val="auto"/>
          <w:sz w:val="24"/>
          <w:highlight w:val="none"/>
        </w:rPr>
        <w:t>可以按照规定，通过修改招标文件酌情延长投标截止时间，在此情况下，投标人的所有权利和义务以及投标人受制的截止时间均应以延长后新的截止时间为准。</w:t>
      </w:r>
    </w:p>
    <w:p>
      <w:pPr>
        <w:pStyle w:val="206"/>
        <w:spacing w:before="0" w:after="0" w:line="240" w:lineRule="auto"/>
        <w:ind w:firstLine="420"/>
        <w:rPr>
          <w:rFonts w:hint="eastAsia" w:ascii="宋体" w:hAnsi="宋体" w:eastAsia="宋体" w:cs="宋体"/>
          <w:b w:val="0"/>
          <w:bCs w:val="0"/>
          <w:color w:val="auto"/>
          <w:highlight w:val="none"/>
        </w:rPr>
      </w:pPr>
      <w:bookmarkStart w:id="138" w:name="_Toc513029227"/>
      <w:bookmarkStart w:id="139" w:name="_Toc16938543"/>
      <w:bookmarkStart w:id="140" w:name="_Toc20823299"/>
      <w:r>
        <w:rPr>
          <w:rFonts w:hint="eastAsia" w:ascii="宋体" w:hAnsi="宋体" w:eastAsia="宋体" w:cs="宋体"/>
          <w:b w:val="0"/>
          <w:bCs w:val="0"/>
          <w:color w:val="auto"/>
          <w:highlight w:val="none"/>
        </w:rPr>
        <w:t>19、投标文件</w:t>
      </w:r>
      <w:bookmarkEnd w:id="138"/>
      <w:bookmarkEnd w:id="139"/>
      <w:bookmarkEnd w:id="140"/>
      <w:r>
        <w:rPr>
          <w:rFonts w:hint="eastAsia" w:ascii="宋体" w:hAnsi="宋体" w:eastAsia="宋体" w:cs="宋体"/>
          <w:b w:val="0"/>
          <w:bCs w:val="0"/>
          <w:color w:val="auto"/>
          <w:highlight w:val="none"/>
        </w:rPr>
        <w:t>的拒收</w:t>
      </w:r>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19.1</w:t>
      </w:r>
      <w:r>
        <w:rPr>
          <w:rFonts w:hint="eastAsia" w:ascii="宋体" w:hAnsi="宋体" w:cs="宋体"/>
          <w:bCs/>
          <w:color w:val="auto"/>
          <w:sz w:val="24"/>
          <w:highlight w:val="none"/>
          <w:lang w:eastAsia="zh-CN"/>
        </w:rPr>
        <w:t>代理机构</w:t>
      </w:r>
      <w:r>
        <w:rPr>
          <w:rFonts w:hint="eastAsia" w:ascii="宋体" w:hAnsi="宋体" w:eastAsia="宋体" w:cs="宋体"/>
          <w:bCs/>
          <w:color w:val="auto"/>
          <w:sz w:val="24"/>
          <w:highlight w:val="none"/>
        </w:rPr>
        <w:t>拒绝接收在其规定的投标截止时间后上传的任何投标文件。</w:t>
      </w:r>
    </w:p>
    <w:p>
      <w:pPr>
        <w:pStyle w:val="206"/>
        <w:spacing w:before="0" w:after="0" w:line="240" w:lineRule="auto"/>
        <w:ind w:firstLine="420"/>
        <w:rPr>
          <w:rFonts w:hint="eastAsia" w:ascii="宋体" w:hAnsi="宋体" w:eastAsia="宋体" w:cs="宋体"/>
          <w:b w:val="0"/>
          <w:bCs w:val="0"/>
          <w:color w:val="auto"/>
          <w:highlight w:val="none"/>
        </w:rPr>
      </w:pPr>
      <w:bookmarkStart w:id="141" w:name="_Toc20823300"/>
      <w:bookmarkStart w:id="142" w:name="_Toc16938544"/>
      <w:bookmarkStart w:id="143" w:name="_Toc513029228"/>
      <w:r>
        <w:rPr>
          <w:rFonts w:hint="eastAsia" w:ascii="宋体" w:hAnsi="宋体" w:eastAsia="宋体" w:cs="宋体"/>
          <w:b w:val="0"/>
          <w:bCs w:val="0"/>
          <w:color w:val="auto"/>
          <w:highlight w:val="none"/>
        </w:rPr>
        <w:t>20、投标文件的撤回和修改</w:t>
      </w:r>
      <w:bookmarkEnd w:id="141"/>
      <w:bookmarkEnd w:id="142"/>
      <w:bookmarkEnd w:id="143"/>
    </w:p>
    <w:p>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20.1 投标文件的撤回</w:t>
      </w:r>
    </w:p>
    <w:p>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21.1.1 电子投标文件的撤回</w:t>
      </w:r>
    </w:p>
    <w:p>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投标人可在投标截止时间前，撤回其电子投标文件，具体操作方法见《操作手册》。</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21.1.2 投标人撤回电子投标文件，则认为其不再参与本项目投标活动。</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pPr>
        <w:spacing w:line="48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20.2.1投标人可在投标截止时间前，对其电子投标文件进行修改，具体操作方法见《操作手册》。</w:t>
      </w:r>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20.2.2</w:t>
      </w:r>
      <w:r>
        <w:rPr>
          <w:rFonts w:hint="eastAsia" w:ascii="宋体" w:hAnsi="宋体" w:eastAsia="宋体" w:cs="宋体"/>
          <w:bCs/>
          <w:color w:val="auto"/>
          <w:sz w:val="24"/>
          <w:highlight w:val="none"/>
        </w:rPr>
        <w:t xml:space="preserve"> 在投标截止时间之后，投标人不得对其电子投标文件作任何修改。</w:t>
      </w:r>
    </w:p>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20.3</w:t>
      </w:r>
      <w:r>
        <w:rPr>
          <w:rFonts w:hint="eastAsia" w:ascii="宋体" w:hAnsi="宋体" w:eastAsia="宋体" w:cs="宋体"/>
          <w:bCs/>
          <w:color w:val="auto"/>
          <w:sz w:val="24"/>
          <w:highlight w:val="none"/>
        </w:rPr>
        <w:t xml:space="preserve"> 在投标截止时间至招标文件中规定的投标有效期满之间的这段时间内，投标人不得撤回其投标。</w:t>
      </w:r>
    </w:p>
    <w:p>
      <w:pPr>
        <w:pStyle w:val="205"/>
        <w:spacing w:before="145" w:after="145" w:line="360" w:lineRule="auto"/>
        <w:ind w:firstLine="482"/>
        <w:rPr>
          <w:rFonts w:hint="eastAsia" w:ascii="宋体" w:hAnsi="宋体" w:eastAsia="宋体" w:cs="宋体"/>
          <w:color w:val="auto"/>
          <w:highlight w:val="none"/>
        </w:rPr>
      </w:pPr>
      <w:bookmarkStart w:id="144" w:name="_Toc16938545"/>
      <w:bookmarkStart w:id="145" w:name="_Toc20823301"/>
      <w:bookmarkStart w:id="146" w:name="_Toc120614218"/>
      <w:bookmarkStart w:id="147" w:name="_Toc513029229"/>
      <w:r>
        <w:rPr>
          <w:rFonts w:hint="eastAsia" w:ascii="宋体" w:hAnsi="宋体" w:eastAsia="宋体" w:cs="宋体"/>
          <w:color w:val="auto"/>
          <w:highlight w:val="none"/>
        </w:rPr>
        <w:t>五、开标与评标</w:t>
      </w:r>
      <w:bookmarkEnd w:id="144"/>
      <w:bookmarkEnd w:id="145"/>
      <w:bookmarkEnd w:id="146"/>
      <w:bookmarkEnd w:id="147"/>
    </w:p>
    <w:p>
      <w:pPr>
        <w:pStyle w:val="206"/>
        <w:spacing w:before="0" w:after="0" w:line="240" w:lineRule="auto"/>
        <w:ind w:firstLine="420"/>
        <w:rPr>
          <w:rFonts w:hint="eastAsia" w:ascii="宋体" w:hAnsi="宋体" w:eastAsia="宋体" w:cs="宋体"/>
          <w:b w:val="0"/>
          <w:bCs w:val="0"/>
          <w:color w:val="auto"/>
          <w:highlight w:val="none"/>
        </w:rPr>
      </w:pPr>
      <w:bookmarkStart w:id="148" w:name="_Toc513029230"/>
      <w:bookmarkStart w:id="149" w:name="_Toc20823302"/>
      <w:bookmarkStart w:id="150" w:name="_Toc16938546"/>
      <w:r>
        <w:rPr>
          <w:rFonts w:hint="eastAsia" w:ascii="宋体" w:hAnsi="宋体" w:eastAsia="宋体" w:cs="宋体"/>
          <w:b w:val="0"/>
          <w:bCs w:val="0"/>
          <w:color w:val="auto"/>
          <w:highlight w:val="none"/>
        </w:rPr>
        <w:t>21、开标</w:t>
      </w:r>
      <w:bookmarkEnd w:id="148"/>
      <w:bookmarkEnd w:id="149"/>
      <w:bookmarkEnd w:id="150"/>
    </w:p>
    <w:p>
      <w:pPr>
        <w:ind w:firstLine="360"/>
        <w:rPr>
          <w:rFonts w:hint="eastAsia" w:ascii="宋体" w:hAnsi="宋体" w:eastAsia="宋体" w:cs="宋体"/>
          <w:color w:val="auto"/>
          <w:highlight w:val="none"/>
        </w:rPr>
      </w:pPr>
      <w:r>
        <w:rPr>
          <w:rFonts w:hint="eastAsia" w:ascii="宋体" w:hAnsi="宋体" w:eastAsia="宋体" w:cs="宋体"/>
          <w:color w:val="auto"/>
          <w:sz w:val="24"/>
          <w:highlight w:val="none"/>
        </w:rPr>
        <w:t>21.1</w:t>
      </w: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eastAsia="zh-CN"/>
        </w:rPr>
        <w:t>代理机构</w:t>
      </w:r>
      <w:r>
        <w:rPr>
          <w:rFonts w:hint="eastAsia" w:ascii="宋体" w:hAnsi="宋体" w:eastAsia="宋体" w:cs="宋体"/>
          <w:bCs/>
          <w:color w:val="auto"/>
          <w:sz w:val="24"/>
          <w:highlight w:val="none"/>
        </w:rPr>
        <w:t>将在招标公告中规定的时间和地点组织公开开标</w:t>
      </w:r>
      <w:r>
        <w:rPr>
          <w:rFonts w:hint="eastAsia" w:ascii="宋体" w:hAnsi="宋体" w:eastAsia="宋体" w:cs="宋体"/>
          <w:color w:val="auto"/>
          <w:sz w:val="24"/>
          <w:szCs w:val="24"/>
          <w:highlight w:val="none"/>
        </w:rPr>
        <w:t>。投标人应当按照《操作手册》规定，参加开标活动和在苏采云系统规定的时间内对投标文件进行解密。</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21.2</w:t>
      </w:r>
      <w:r>
        <w:rPr>
          <w:rFonts w:hint="eastAsia" w:ascii="宋体" w:hAnsi="宋体" w:eastAsia="宋体" w:cs="宋体"/>
          <w:color w:val="auto"/>
          <w:sz w:val="24"/>
          <w:szCs w:val="24"/>
          <w:highlight w:val="none"/>
        </w:rPr>
        <w:t>开标仪式由</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组织。苏采云系统将自动对项目进行开标，并宣布各投标人名称和投标价格。</w:t>
      </w:r>
    </w:p>
    <w:p>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highlight w:val="none"/>
        </w:rPr>
        <w:t>21.3投标人在开标过程中涉及到的投标文件解密、开标结果确认等工作，应按照《操作手册》规定执行。</w:t>
      </w:r>
    </w:p>
    <w:p>
      <w:pPr>
        <w:spacing w:line="50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pPr>
        <w:pStyle w:val="206"/>
        <w:spacing w:before="0" w:after="0" w:line="240" w:lineRule="auto"/>
        <w:ind w:firstLine="420"/>
        <w:rPr>
          <w:rFonts w:hint="eastAsia" w:ascii="宋体" w:hAnsi="宋体" w:eastAsia="宋体" w:cs="宋体"/>
          <w:b w:val="0"/>
          <w:bCs w:val="0"/>
          <w:color w:val="auto"/>
          <w:highlight w:val="none"/>
        </w:rPr>
      </w:pPr>
      <w:bookmarkStart w:id="151" w:name="_Toc513029231"/>
      <w:bookmarkStart w:id="152" w:name="_Toc16938547"/>
      <w:bookmarkStart w:id="153" w:name="_Toc20823303"/>
      <w:r>
        <w:rPr>
          <w:rFonts w:hint="eastAsia" w:ascii="宋体" w:hAnsi="宋体" w:eastAsia="宋体" w:cs="宋体"/>
          <w:b w:val="0"/>
          <w:bCs w:val="0"/>
          <w:color w:val="auto"/>
          <w:highlight w:val="none"/>
        </w:rPr>
        <w:t>22、评标委员会</w:t>
      </w:r>
    </w:p>
    <w:p>
      <w:pPr>
        <w:spacing w:line="48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22.1</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开标后，</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将立即组织评标委员会（以下简称评委会）进行评标。</w:t>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22.2 评委会由采购人代表和有关技术、经济等方面的专家组成，且人员构成符合政府采购有关规定。</w:t>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 22.3评委会独立工作，负责评审所有投标文件并确定中标侯选人。</w:t>
      </w:r>
    </w:p>
    <w:p>
      <w:pPr>
        <w:pStyle w:val="206"/>
        <w:spacing w:before="0" w:after="0" w:line="240" w:lineRule="auto"/>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23、评标过程的保密与公正</w:t>
      </w:r>
    </w:p>
    <w:bookmarkEnd w:id="151"/>
    <w:bookmarkEnd w:id="152"/>
    <w:bookmarkEnd w:id="153"/>
    <w:p>
      <w:pPr>
        <w:spacing w:line="50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23.1</w:t>
      </w:r>
      <w:r>
        <w:rPr>
          <w:rFonts w:hint="eastAsia" w:ascii="宋体" w:hAnsi="宋体" w:eastAsia="宋体" w:cs="宋体"/>
          <w:bCs/>
          <w:color w:val="auto"/>
          <w:sz w:val="24"/>
          <w:highlight w:val="none"/>
        </w:rPr>
        <w:t>凡是与审查、澄清、评价和比较投标的有关资料以及授标建议等，采购人、评委、</w:t>
      </w:r>
      <w:r>
        <w:rPr>
          <w:rFonts w:hint="eastAsia" w:ascii="宋体" w:hAnsi="宋体" w:cs="宋体"/>
          <w:bCs/>
          <w:color w:val="auto"/>
          <w:sz w:val="24"/>
          <w:highlight w:val="none"/>
          <w:lang w:eastAsia="zh-CN"/>
        </w:rPr>
        <w:t>代理机构</w:t>
      </w:r>
      <w:r>
        <w:rPr>
          <w:rFonts w:hint="eastAsia" w:ascii="宋体" w:hAnsi="宋体" w:eastAsia="宋体" w:cs="宋体"/>
          <w:bCs/>
          <w:color w:val="auto"/>
          <w:sz w:val="24"/>
          <w:highlight w:val="none"/>
        </w:rPr>
        <w:t>均不得向投标人或与评标无关的其他人员透露。</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23.2</w:t>
      </w:r>
      <w:r>
        <w:rPr>
          <w:rFonts w:hint="eastAsia" w:ascii="宋体" w:hAnsi="宋体" w:eastAsia="宋体" w:cs="宋体"/>
          <w:color w:val="auto"/>
          <w:sz w:val="24"/>
          <w:szCs w:val="24"/>
          <w:highlight w:val="none"/>
        </w:rPr>
        <w:t>在评标过程中，投标人不得以任何行为影响评标过程，否则其投标文件将被作为无效投标文件。</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23.3 </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 采用综合评分法的项目，未中标的投标人可于中标结果公告期限届满之日起通过苏采云系统查看自己的评审得分及排序情况。</w:t>
      </w:r>
    </w:p>
    <w:p>
      <w:pPr>
        <w:pStyle w:val="206"/>
        <w:spacing w:before="0" w:after="0" w:line="240" w:lineRule="auto"/>
        <w:ind w:firstLine="420"/>
        <w:rPr>
          <w:rFonts w:hint="eastAsia" w:ascii="宋体" w:hAnsi="宋体" w:eastAsia="宋体" w:cs="宋体"/>
          <w:b w:val="0"/>
          <w:bCs w:val="0"/>
          <w:color w:val="auto"/>
          <w:highlight w:val="none"/>
        </w:rPr>
      </w:pPr>
      <w:bookmarkStart w:id="154" w:name="_Toc16938548"/>
      <w:bookmarkStart w:id="155" w:name="_Toc20823304"/>
      <w:bookmarkStart w:id="156" w:name="_Toc513029232"/>
      <w:r>
        <w:rPr>
          <w:rFonts w:hint="eastAsia" w:ascii="宋体" w:hAnsi="宋体" w:eastAsia="宋体" w:cs="宋体"/>
          <w:b w:val="0"/>
          <w:bCs w:val="0"/>
          <w:color w:val="auto"/>
          <w:highlight w:val="none"/>
        </w:rPr>
        <w:t>24、投标文件的澄清</w:t>
      </w:r>
      <w:bookmarkEnd w:id="154"/>
      <w:bookmarkEnd w:id="155"/>
      <w:bookmarkEnd w:id="156"/>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24.1评标期间，评委会对投标文件中含义不明确、同类问题表述不一致或者有明显文字和计算错误的内容，有权要求投标人作出必要的澄清、说明或者补正。</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24.3 接到评委会澄清、说明和补正要求的投标人如未按规定做出澄清、说明和补正，其风险由投标人自行承担。</w:t>
      </w:r>
    </w:p>
    <w:p>
      <w:pPr>
        <w:pStyle w:val="206"/>
        <w:spacing w:before="0" w:after="0" w:line="240" w:lineRule="auto"/>
        <w:ind w:firstLine="420"/>
        <w:rPr>
          <w:rFonts w:hint="eastAsia" w:ascii="宋体" w:hAnsi="宋体" w:eastAsia="宋体" w:cs="宋体"/>
          <w:b w:val="0"/>
          <w:bCs w:val="0"/>
          <w:color w:val="auto"/>
          <w:highlight w:val="none"/>
        </w:rPr>
      </w:pPr>
      <w:bookmarkStart w:id="157" w:name="_Toc513029233"/>
      <w:bookmarkStart w:id="158" w:name="_Toc16938549"/>
      <w:bookmarkStart w:id="159" w:name="_Toc20823305"/>
      <w:r>
        <w:rPr>
          <w:rFonts w:hint="eastAsia" w:ascii="宋体" w:hAnsi="宋体" w:eastAsia="宋体" w:cs="宋体"/>
          <w:b w:val="0"/>
          <w:bCs w:val="0"/>
          <w:color w:val="auto"/>
          <w:highlight w:val="none"/>
        </w:rPr>
        <w:t>25、对投标文件的初审</w:t>
      </w:r>
      <w:bookmarkEnd w:id="157"/>
      <w:bookmarkEnd w:id="158"/>
      <w:bookmarkEnd w:id="159"/>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25.1</w:t>
      </w:r>
      <w:r>
        <w:rPr>
          <w:rFonts w:hint="eastAsia" w:ascii="宋体" w:hAnsi="宋体" w:eastAsia="宋体" w:cs="宋体"/>
          <w:bCs/>
          <w:color w:val="auto"/>
          <w:sz w:val="24"/>
          <w:highlight w:val="none"/>
        </w:rPr>
        <w:t>投标文件初审分为资格审查和符合性审查。</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25.1.1 资格审查：依据法律法规和招标文件的规定，由采购人对投标文件中的资格证明文件进行审查。资格审查的结论，采购人以书面形式向评委会进行反馈。</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采购人在进行资格性审查的同时，将在“信用中国”网站（www.creditchina.gov.cn）查询投标人的信用记录，以确定投标人是否具备投标资格,查询结果留存并归档。</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接受联合体的项目，两个以上的自然人、法人或者其他组织组成一个联合体，以一个供应商的身份共同参加政府采购活动的,联合体成员存在不良信用记录的，视同联合体存在不良应用记录。</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25.1.2 符合性审查：依据招标文件的规定，由评委会从投标文件的有效性、完整性和对招标文件的响应程度进行审查，以确定是否对招标文件的实质性要求作出响应。</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25.1.3 未通过资格审查或符合性审查的投标人，</w:t>
      </w:r>
      <w:r>
        <w:rPr>
          <w:rFonts w:hint="eastAsia" w:ascii="宋体" w:hAnsi="宋体" w:cs="宋体"/>
          <w:bCs/>
          <w:color w:val="auto"/>
          <w:sz w:val="24"/>
          <w:highlight w:val="none"/>
          <w:lang w:eastAsia="zh-CN"/>
        </w:rPr>
        <w:t>代理机构</w:t>
      </w:r>
      <w:r>
        <w:rPr>
          <w:rFonts w:hint="eastAsia" w:ascii="宋体" w:hAnsi="宋体" w:eastAsia="宋体" w:cs="宋体"/>
          <w:bCs/>
          <w:color w:val="auto"/>
          <w:sz w:val="24"/>
          <w:highlight w:val="none"/>
        </w:rPr>
        <w:t>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中告知未通过资格审查或符合性审查的原因，评标结束后，</w:t>
      </w:r>
      <w:r>
        <w:rPr>
          <w:rFonts w:hint="eastAsia" w:ascii="宋体" w:hAnsi="宋体" w:cs="宋体"/>
          <w:bCs/>
          <w:color w:val="auto"/>
          <w:sz w:val="24"/>
          <w:highlight w:val="none"/>
          <w:lang w:eastAsia="zh-CN"/>
        </w:rPr>
        <w:t>代理机构</w:t>
      </w:r>
      <w:r>
        <w:rPr>
          <w:rFonts w:hint="eastAsia" w:ascii="宋体" w:hAnsi="宋体" w:eastAsia="宋体" w:cs="宋体"/>
          <w:bCs/>
          <w:color w:val="auto"/>
          <w:sz w:val="24"/>
          <w:highlight w:val="none"/>
        </w:rPr>
        <w:t>将不再告知未通过资格审查和符合性审查的原因。</w:t>
      </w:r>
    </w:p>
    <w:p>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所谓重大偏离或保留是指与招标文件规定的实质性要求存在负偏离，或者在实质上与招标文件不一致，而且限制了合同中买方和</w:t>
      </w:r>
      <w:r>
        <w:rPr>
          <w:rFonts w:hint="eastAsia" w:ascii="宋体" w:hAnsi="宋体" w:cs="宋体"/>
          <w:color w:val="auto"/>
          <w:sz w:val="24"/>
          <w:highlight w:val="none"/>
          <w:lang w:eastAsia="zh-CN"/>
        </w:rPr>
        <w:t>代理机构</w:t>
      </w:r>
      <w:r>
        <w:rPr>
          <w:rFonts w:hint="eastAsia" w:ascii="宋体" w:hAnsi="宋体" w:eastAsia="宋体" w:cs="宋体"/>
          <w:color w:val="auto"/>
          <w:sz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pPr>
        <w:spacing w:line="460"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25.3如果投标文件实质上没有响应招标文件的要求，评委会将予以拒绝，投标人不得通过修改或撤销不合要求的偏离或保留而使其投标成为实质性响应的投标。</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25.4</w:t>
      </w:r>
      <w:r>
        <w:rPr>
          <w:rFonts w:hint="eastAsia" w:ascii="宋体" w:hAnsi="宋体" w:eastAsia="宋体" w:cs="宋体"/>
          <w:bCs/>
          <w:color w:val="auto"/>
          <w:sz w:val="24"/>
          <w:highlight w:val="none"/>
        </w:rPr>
        <w:t>评委会将对确定为实质性响应的投标进行进一步审核，确定其是否有计算上或累加上的算术错误，修正错误的原则如下：</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（1）投标文件中开标一览表内容与投标文件中相应内容不一致的，以开标一览表为准。</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（2）大写金额和小写金额不一致的，以大写金额为准。</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（3）单价金额小数点或者百分比有明显错位的，以开标一览表的总价为准，并修改单价。</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（4）总价金额与按单价汇总金额不一致的，以单价金额计算结果为准。</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同时出现两种以上错误的，按照前款规定的顺序修正。</w:t>
      </w:r>
    </w:p>
    <w:p>
      <w:pPr>
        <w:spacing w:line="460" w:lineRule="exact"/>
        <w:ind w:firstLine="480"/>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25.5 </w:t>
      </w:r>
      <w:r>
        <w:rPr>
          <w:rFonts w:hint="eastAsia" w:ascii="宋体" w:hAnsi="宋体" w:eastAsia="宋体" w:cs="宋体"/>
          <w:bCs/>
          <w:color w:val="auto"/>
          <w:sz w:val="24"/>
          <w:highlight w:val="none"/>
        </w:rPr>
        <w:t>评委会将按上述修正错误的方法调整投标文件中的投标报价，并通过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告知投标人，调整后的价格应对投标人具有约束力。如果投标人不接受修正后的价格，则其投标将被拒绝。</w:t>
      </w:r>
    </w:p>
    <w:p>
      <w:pPr>
        <w:spacing w:line="460" w:lineRule="exact"/>
        <w:ind w:firstLine="420"/>
        <w:rPr>
          <w:rFonts w:hint="eastAsia" w:ascii="宋体" w:hAnsi="宋体" w:eastAsia="宋体" w:cs="宋体"/>
          <w:color w:val="auto"/>
          <w:sz w:val="24"/>
          <w:highlight w:val="none"/>
        </w:rPr>
      </w:pPr>
      <w:bookmarkStart w:id="160" w:name="_Toc16938550"/>
      <w:bookmarkStart w:id="161" w:name="_Toc513029234"/>
      <w:bookmarkStart w:id="162" w:name="_Toc20823306"/>
      <w:r>
        <w:rPr>
          <w:rFonts w:hint="eastAsia" w:ascii="宋体" w:hAnsi="宋体" w:eastAsia="宋体" w:cs="宋体"/>
          <w:color w:val="auto"/>
          <w:sz w:val="24"/>
          <w:highlight w:val="none"/>
        </w:rPr>
        <w:t>25.6投标人在开、评标全过程中应保持通讯畅通，及时登录</w:t>
      </w:r>
      <w:r>
        <w:rPr>
          <w:rFonts w:hint="eastAsia" w:ascii="宋体" w:hAnsi="宋体" w:eastAsia="宋体" w:cs="宋体"/>
          <w:color w:val="auto"/>
          <w:sz w:val="24"/>
          <w:szCs w:val="24"/>
          <w:highlight w:val="none"/>
        </w:rPr>
        <w:t>苏采云系统</w:t>
      </w:r>
      <w:r>
        <w:rPr>
          <w:rFonts w:hint="eastAsia" w:ascii="宋体" w:hAnsi="宋体" w:eastAsia="宋体" w:cs="宋体"/>
          <w:color w:val="auto"/>
          <w:sz w:val="24"/>
          <w:highlight w:val="none"/>
        </w:rPr>
        <w:t>查阅、答复相关信息，并安排专人与</w:t>
      </w:r>
      <w:r>
        <w:rPr>
          <w:rFonts w:hint="eastAsia" w:ascii="宋体" w:hAnsi="宋体" w:cs="宋体"/>
          <w:color w:val="auto"/>
          <w:sz w:val="24"/>
          <w:highlight w:val="none"/>
          <w:lang w:eastAsia="zh-CN"/>
        </w:rPr>
        <w:t>代理机构</w:t>
      </w:r>
      <w:r>
        <w:rPr>
          <w:rFonts w:hint="eastAsia" w:ascii="宋体" w:hAnsi="宋体" w:eastAsia="宋体" w:cs="宋体"/>
          <w:color w:val="auto"/>
          <w:sz w:val="24"/>
          <w:highlight w:val="none"/>
        </w:rPr>
        <w:t>及评标委员会联系。</w:t>
      </w:r>
    </w:p>
    <w:p>
      <w:pPr>
        <w:pStyle w:val="206"/>
        <w:spacing w:before="0" w:after="0" w:line="240" w:lineRule="auto"/>
        <w:ind w:firstLine="42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26、</w:t>
      </w:r>
      <w:bookmarkEnd w:id="160"/>
      <w:bookmarkEnd w:id="161"/>
      <w:bookmarkEnd w:id="162"/>
      <w:r>
        <w:rPr>
          <w:rFonts w:hint="eastAsia" w:ascii="宋体" w:hAnsi="宋体" w:eastAsia="宋体" w:cs="宋体"/>
          <w:b w:val="0"/>
          <w:bCs w:val="0"/>
          <w:color w:val="auto"/>
          <w:highlight w:val="none"/>
        </w:rPr>
        <w:t>无效投标条款和废标条款</w:t>
      </w:r>
    </w:p>
    <w:p>
      <w:pPr>
        <w:spacing w:line="440" w:lineRule="exact"/>
        <w:ind w:left="479"/>
        <w:rPr>
          <w:rFonts w:hint="eastAsia" w:ascii="宋体" w:hAnsi="宋体" w:eastAsia="宋体" w:cs="宋体"/>
          <w:bCs/>
          <w:color w:val="auto"/>
          <w:sz w:val="24"/>
          <w:highlight w:val="none"/>
        </w:rPr>
      </w:pPr>
      <w:bookmarkStart w:id="163" w:name="_Toc513029235"/>
      <w:bookmarkStart w:id="164" w:name="_Toc16938551"/>
      <w:bookmarkStart w:id="165" w:name="_Toc20823307"/>
      <w:r>
        <w:rPr>
          <w:rFonts w:hint="eastAsia" w:ascii="宋体" w:hAnsi="宋体" w:eastAsia="宋体" w:cs="宋体"/>
          <w:bCs/>
          <w:color w:val="auto"/>
          <w:sz w:val="24"/>
          <w:highlight w:val="none"/>
        </w:rPr>
        <w:t>26.1无效投标条款</w:t>
      </w:r>
    </w:p>
    <w:p>
      <w:pPr>
        <w:spacing w:line="440" w:lineRule="exact"/>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highlight w:val="none"/>
        </w:rPr>
        <w:t>26</w:t>
      </w:r>
      <w:r>
        <w:rPr>
          <w:rFonts w:hint="eastAsia" w:ascii="宋体" w:hAnsi="宋体" w:eastAsia="宋体" w:cs="宋体"/>
          <w:bCs/>
          <w:color w:val="auto"/>
          <w:sz w:val="24"/>
          <w:szCs w:val="24"/>
          <w:highlight w:val="none"/>
        </w:rPr>
        <w:t>.1.1 投标人在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4"/>
          <w:highlight w:val="none"/>
        </w:rPr>
        <w:t>规定的时间内未成功解密电子投标文件的。</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26.1.2 投标人未按照招标文件要求上传电子投标文件的。</w:t>
      </w:r>
    </w:p>
    <w:p>
      <w:pPr>
        <w:spacing w:line="440" w:lineRule="exact"/>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26.1.3同一投标人提交两个（含两个）以上不同的投标报价的。</w:t>
      </w:r>
    </w:p>
    <w:p>
      <w:pPr>
        <w:spacing w:line="440" w:lineRule="exact"/>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26.1.4投标人不具备招标文件中规定资格要求的。</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26.1.5投标人的报价超过了采购预算或最高限价的。</w:t>
      </w:r>
    </w:p>
    <w:p>
      <w:pPr>
        <w:spacing w:line="440" w:lineRule="exact"/>
        <w:ind w:firstLine="480"/>
        <w:rPr>
          <w:rFonts w:hint="eastAsia" w:ascii="宋体" w:hAnsi="宋体" w:eastAsia="宋体" w:cs="宋体"/>
          <w:bCs/>
          <w:i/>
          <w:color w:val="auto"/>
          <w:sz w:val="24"/>
          <w:highlight w:val="none"/>
          <w:u w:val="single"/>
        </w:rPr>
      </w:pPr>
      <w:r>
        <w:rPr>
          <w:rFonts w:hint="eastAsia" w:ascii="宋体" w:hAnsi="宋体" w:eastAsia="宋体" w:cs="宋体"/>
          <w:bCs/>
          <w:color w:val="auto"/>
          <w:sz w:val="24"/>
          <w:highlight w:val="none"/>
        </w:rPr>
        <w:t>26.1.6未通过符合性审查的。</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w:t>
      </w:r>
      <w:r>
        <w:rPr>
          <w:rFonts w:hint="eastAsia" w:ascii="宋体" w:hAnsi="宋体" w:eastAsia="宋体" w:cs="宋体"/>
          <w:bCs/>
          <w:color w:val="auto"/>
          <w:sz w:val="24"/>
          <w:highlight w:val="none"/>
          <w:lang w:val="en-US" w:eastAsia="zh-CN"/>
        </w:rPr>
        <w:t>7</w:t>
      </w:r>
      <w:r>
        <w:rPr>
          <w:rFonts w:hint="eastAsia" w:ascii="宋体" w:hAnsi="宋体" w:eastAsia="宋体" w:cs="宋体"/>
          <w:bCs/>
          <w:color w:val="auto"/>
          <w:sz w:val="24"/>
          <w:highlight w:val="none"/>
        </w:rPr>
        <w:t xml:space="preserve"> 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26.1.9 投标文件含有采购人不能接受的附加条件的。</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26.1.10评标委员会认为投标人的报价明显低于其他通过符合性审查投标人的报价，有可能影响产品质量或者不能诚信履约的，将通过</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要求其在合理的时间内提供说明，必要时提交相关证明材料；投标人不能证明其报价合理性的，评标委员会应当将其作为无效投标处理。</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26.1.11 投标文件未按照招标文件要求加盖CA电子公章的。</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26.1.12其他法律、法规及本招标文件规定的属无效投标的情形。</w:t>
      </w:r>
    </w:p>
    <w:p>
      <w:pPr>
        <w:spacing w:line="440" w:lineRule="exact"/>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26.2废标条款</w:t>
      </w:r>
    </w:p>
    <w:p>
      <w:pPr>
        <w:spacing w:line="440" w:lineRule="exact"/>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26.2.1符合专业条件的供应商或者对招标文件作实质响应的供应商不足三家的。</w:t>
      </w:r>
    </w:p>
    <w:p>
      <w:pPr>
        <w:spacing w:line="440" w:lineRule="exact"/>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26.2.2出现影响采购公正的违法、违规行为的。</w:t>
      </w:r>
    </w:p>
    <w:p>
      <w:pPr>
        <w:spacing w:line="440" w:lineRule="exact"/>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26.2.3因重大变故，采购任务取消的。</w:t>
      </w:r>
    </w:p>
    <w:p>
      <w:pPr>
        <w:spacing w:line="440" w:lineRule="exact"/>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26.2.4评标委员会认定招标文件存在歧义、重大缺陷导致评审工作无法进行。</w:t>
      </w:r>
    </w:p>
    <w:p>
      <w:pPr>
        <w:spacing w:line="440" w:lineRule="exact"/>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26.2.5 因</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系统故障原因造成开标不成功的。</w:t>
      </w:r>
    </w:p>
    <w:p>
      <w:pPr>
        <w:spacing w:line="440" w:lineRule="exact"/>
        <w:ind w:left="479"/>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 投标截止时间结束后参加投标的供应商不足三家的处理：</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26.3.1如出现投标截止时间结束后参加投标的供应商或者在评标期间对招标文件做出实质响应的供应商不足三家情况，按政府采购相关规定执行。</w:t>
      </w:r>
    </w:p>
    <w:p>
      <w:pPr>
        <w:pStyle w:val="205"/>
        <w:spacing w:before="145" w:after="145" w:line="360" w:lineRule="auto"/>
        <w:ind w:firstLine="482"/>
        <w:rPr>
          <w:rFonts w:hint="eastAsia" w:ascii="宋体" w:hAnsi="宋体" w:eastAsia="宋体" w:cs="宋体"/>
          <w:color w:val="auto"/>
          <w:highlight w:val="none"/>
        </w:rPr>
      </w:pPr>
      <w:bookmarkStart w:id="166" w:name="_Toc120614219"/>
      <w:r>
        <w:rPr>
          <w:rFonts w:hint="eastAsia" w:ascii="宋体" w:hAnsi="宋体" w:eastAsia="宋体" w:cs="宋体"/>
          <w:color w:val="auto"/>
          <w:highlight w:val="none"/>
        </w:rPr>
        <w:t>六、</w:t>
      </w:r>
      <w:bookmarkEnd w:id="163"/>
      <w:bookmarkEnd w:id="164"/>
      <w:bookmarkEnd w:id="165"/>
      <w:r>
        <w:rPr>
          <w:rFonts w:hint="eastAsia" w:ascii="宋体" w:hAnsi="宋体" w:eastAsia="宋体" w:cs="宋体"/>
          <w:color w:val="auto"/>
          <w:highlight w:val="none"/>
        </w:rPr>
        <w:t>定标</w:t>
      </w:r>
      <w:bookmarkEnd w:id="166"/>
    </w:p>
    <w:p>
      <w:pPr>
        <w:pStyle w:val="206"/>
        <w:spacing w:before="0" w:after="0" w:line="240" w:lineRule="auto"/>
        <w:ind w:firstLine="600"/>
        <w:rPr>
          <w:rFonts w:hint="eastAsia" w:ascii="宋体" w:hAnsi="宋体" w:eastAsia="宋体" w:cs="宋体"/>
          <w:b w:val="0"/>
          <w:color w:val="auto"/>
          <w:sz w:val="30"/>
          <w:szCs w:val="30"/>
          <w:highlight w:val="none"/>
        </w:rPr>
      </w:pPr>
      <w:bookmarkStart w:id="167" w:name="_Toc513029238"/>
      <w:bookmarkStart w:id="168" w:name="_Toc16938554"/>
      <w:bookmarkStart w:id="169" w:name="_Toc20823310"/>
      <w:r>
        <w:rPr>
          <w:rFonts w:hint="eastAsia" w:ascii="宋体" w:hAnsi="宋体" w:eastAsia="宋体" w:cs="宋体"/>
          <w:b w:val="0"/>
          <w:color w:val="auto"/>
          <w:sz w:val="30"/>
          <w:szCs w:val="30"/>
          <w:highlight w:val="none"/>
        </w:rPr>
        <w:t>27、</w:t>
      </w:r>
      <w:bookmarkEnd w:id="167"/>
      <w:r>
        <w:rPr>
          <w:rFonts w:hint="eastAsia" w:ascii="宋体" w:hAnsi="宋体" w:eastAsia="宋体" w:cs="宋体"/>
          <w:b w:val="0"/>
          <w:color w:val="auto"/>
          <w:sz w:val="30"/>
          <w:szCs w:val="30"/>
          <w:highlight w:val="none"/>
        </w:rPr>
        <w:t>确定</w:t>
      </w:r>
      <w:bookmarkEnd w:id="168"/>
      <w:bookmarkEnd w:id="169"/>
      <w:r>
        <w:rPr>
          <w:rFonts w:hint="eastAsia" w:ascii="宋体" w:hAnsi="宋体" w:eastAsia="宋体" w:cs="宋体"/>
          <w:b w:val="0"/>
          <w:color w:val="auto"/>
          <w:sz w:val="30"/>
          <w:szCs w:val="30"/>
          <w:highlight w:val="none"/>
        </w:rPr>
        <w:t>中标单位</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27.1中标候选人的选取原则和数量见招标文件第五章规定。 </w:t>
      </w:r>
    </w:p>
    <w:p>
      <w:pPr>
        <w:spacing w:line="440" w:lineRule="exact"/>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27.2 采购人应根据评委会推荐的中标候选人确定中标人。</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27.3 </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将在“淮安市政府采购网”、“淮安市公共资源交易网”发布中标公告，公告期限为1个工作日。</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 若有充分证据证明，中标人出现下列情况之一的，一经查实，将被取消中标资格：</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行贿或者提供其他不正当利益的。</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pPr>
        <w:spacing w:line="480" w:lineRule="exact"/>
        <w:ind w:firstLine="480"/>
        <w:rPr>
          <w:rFonts w:hint="eastAsia" w:ascii="宋体" w:hAnsi="宋体" w:eastAsia="宋体" w:cs="宋体"/>
          <w:color w:val="auto"/>
          <w:sz w:val="24"/>
          <w:szCs w:val="24"/>
          <w:highlight w:val="none"/>
        </w:rPr>
      </w:pPr>
      <w:bookmarkStart w:id="170" w:name="_Toc200451960"/>
      <w:r>
        <w:rPr>
          <w:rFonts w:hint="eastAsia" w:ascii="宋体" w:hAnsi="宋体" w:eastAsia="宋体" w:cs="宋体"/>
          <w:color w:val="auto"/>
          <w:sz w:val="24"/>
          <w:szCs w:val="24"/>
          <w:highlight w:val="none"/>
        </w:rPr>
        <w:t>27.5 有下列情形之一的，视为投标人串通投标，投标无效：</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 不同投标人的投标文件载明的项目管理成员或者联系人员为同一人。</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pPr>
        <w:pStyle w:val="206"/>
        <w:spacing w:before="0" w:after="0" w:line="240" w:lineRule="auto"/>
        <w:ind w:firstLine="600"/>
        <w:rPr>
          <w:rFonts w:hint="eastAsia"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28、质疑处理</w:t>
      </w:r>
      <w:bookmarkEnd w:id="170"/>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投标人认为采购文件、采购过程和中标结果使自己的权益受到损害的，可以在知道或者应知其权益受到损害之日起七个工作日内，以电子文件形式从通过“苏采云平台”-&gt;“供应商“登录，从”项目质疑申请”模块提出质疑。未通过交易平台提交的、七个工作日之外以及未按29.5条的要求提供质疑的均不予受理。</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28.2上述应知其权益受到损害之日是指:</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（1）对招标文件提出质疑的，为采购文件公告期限届满之日起计算；</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（2）对采购过程提出质疑的，为各采购程序环节结束之日起计算；</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（3）对中标结果提出质疑的，为中标结果公告期限届满之日起计算。</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28.3质疑投标人是指直接参加本次投标活动的投标人，未参加投标活动的投标人或在投标活动中自身权益未受到损害的投标人所提出的质疑不予受理。</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28.4质疑投标人在法定质疑期内应当一次性针对同一采购环节提出质疑。</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28.5质疑函应当包括以下主要内容，附上相关证明材料。否则，</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不予受理。</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（1）质疑投标人的名称、地址、邮编、联系人及联系电话；</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（2）质疑项目的名称、编号；</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（3）具体、明确的质疑事项和与质疑事实相关的请求；</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（4）事实依据；</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（5）必要的法律依据；</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（6）提起质疑的日期；</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【质疑函必须署名，由法定代表人或者其授权代表签字，并加盖单位电子公章。授权代表签字的，还需提供法定代表人出具的办理质疑事项授权书（授权中必须载明具体权限、期限和事项）。】</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收到质疑函后，将对质疑的形式和内容进行审查，如质疑函内容、格式不符合规定，</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将告知质疑人进行补正。质疑人应当在法定质疑期限内进行补正并重新提交质疑函，拒不补正或者超过法定期限后未重新提交质疑函的，为无效质疑，</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有权不予受理。</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28.7对于内容、格式符合规定的质疑函，</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将在七个工作日内以电子文件的形式作出答复，但质疑答复的内容不涉及商业秘密。如果质疑投标人还需要纸质形式回复函的，需主动与</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联系索取，或者在质疑函中明确提出该要求。</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28.8投标人提出的质疑必须有理、有据，不得恶意质疑或提交虚假质疑。否则，一经查实，</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有权依据政府采购的有关规定，报请淮安市财政局政府采购管理处对该投标人列入失信行为或不良行为记录名单，进行相应的行政处罚。</w:t>
      </w:r>
    </w:p>
    <w:p>
      <w:pPr>
        <w:pStyle w:val="206"/>
        <w:spacing w:before="0" w:after="0" w:line="240" w:lineRule="auto"/>
        <w:ind w:firstLine="600"/>
        <w:rPr>
          <w:rFonts w:hint="eastAsia"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29、中标通知书</w:t>
      </w:r>
    </w:p>
    <w:p>
      <w:pPr>
        <w:spacing w:line="48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中标结果确定后，</w:t>
      </w:r>
      <w:r>
        <w:rPr>
          <w:rFonts w:hint="eastAsia" w:ascii="宋体" w:hAnsi="宋体" w:cs="宋体"/>
          <w:color w:val="auto"/>
          <w:sz w:val="24"/>
          <w:szCs w:val="24"/>
          <w:highlight w:val="none"/>
          <w:lang w:eastAsia="zh-CN"/>
        </w:rPr>
        <w:t>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pPr>
        <w:spacing w:line="48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pPr>
        <w:pStyle w:val="205"/>
        <w:spacing w:before="145" w:after="145" w:line="360" w:lineRule="auto"/>
        <w:rPr>
          <w:rFonts w:hint="eastAsia" w:ascii="宋体" w:hAnsi="宋体" w:eastAsia="宋体" w:cs="宋体"/>
          <w:color w:val="auto"/>
          <w:highlight w:val="none"/>
        </w:rPr>
      </w:pPr>
      <w:bookmarkStart w:id="171" w:name="_Toc120614220"/>
      <w:bookmarkStart w:id="172" w:name="_Toc513029236"/>
      <w:bookmarkStart w:id="173" w:name="_Toc16938552"/>
      <w:bookmarkStart w:id="174" w:name="_Toc20823308"/>
      <w:r>
        <w:rPr>
          <w:rFonts w:hint="eastAsia" w:ascii="宋体" w:hAnsi="宋体" w:eastAsia="宋体" w:cs="宋体"/>
          <w:color w:val="auto"/>
          <w:highlight w:val="none"/>
        </w:rPr>
        <w:t>七、授予合同</w:t>
      </w:r>
      <w:bookmarkEnd w:id="171"/>
    </w:p>
    <w:bookmarkEnd w:id="172"/>
    <w:bookmarkEnd w:id="173"/>
    <w:bookmarkEnd w:id="174"/>
    <w:p>
      <w:pPr>
        <w:pStyle w:val="206"/>
        <w:spacing w:before="0" w:after="0" w:line="240" w:lineRule="auto"/>
        <w:ind w:firstLine="600"/>
        <w:rPr>
          <w:rFonts w:hint="eastAsia" w:ascii="宋体" w:hAnsi="宋体" w:eastAsia="宋体" w:cs="宋体"/>
          <w:b w:val="0"/>
          <w:color w:val="auto"/>
          <w:sz w:val="30"/>
          <w:szCs w:val="30"/>
          <w:highlight w:val="none"/>
        </w:rPr>
      </w:pPr>
      <w:bookmarkStart w:id="175" w:name="_Toc16938553"/>
      <w:bookmarkStart w:id="176" w:name="_Toc20823309"/>
      <w:bookmarkStart w:id="177" w:name="_Toc513029237"/>
      <w:r>
        <w:rPr>
          <w:rFonts w:hint="eastAsia" w:ascii="宋体" w:hAnsi="宋体" w:eastAsia="宋体" w:cs="宋体"/>
          <w:b w:val="0"/>
          <w:color w:val="auto"/>
          <w:sz w:val="30"/>
          <w:szCs w:val="30"/>
          <w:highlight w:val="none"/>
        </w:rPr>
        <w:t>30. 签订合同</w:t>
      </w:r>
    </w:p>
    <w:p>
      <w:pPr>
        <w:spacing w:line="480" w:lineRule="exact"/>
        <w:ind w:firstLine="6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30</w:t>
      </w:r>
      <w:r>
        <w:rPr>
          <w:rFonts w:hint="eastAsia" w:ascii="宋体" w:hAnsi="宋体" w:eastAsia="宋体" w:cs="宋体"/>
          <w:color w:val="auto"/>
          <w:sz w:val="24"/>
          <w:szCs w:val="24"/>
          <w:highlight w:val="none"/>
        </w:rPr>
        <w:t>.l中标人应当在中标通知书发出之日起三十日内，按照招标文件确定的事项与采购人签订政府采购合同。</w:t>
      </w:r>
    </w:p>
    <w:p>
      <w:pPr>
        <w:spacing w:line="48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w:t>
      </w: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招标文件、中标人的投标文件及招标过程中有关澄清、承诺文件均应作为合同附件。</w:t>
      </w:r>
    </w:p>
    <w:p>
      <w:pPr>
        <w:spacing w:line="480" w:lineRule="exact"/>
        <w:ind w:firstLine="6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 签订合同后，中标人不得将合同标的进行转包。未经采购人同意，中标人也不得采用分包的形式履行合同，否则采购人有权终止合同。转包或分包造成采购人损失的，中标人应承担相应赔偿责任。</w:t>
      </w:r>
    </w:p>
    <w:p>
      <w:pPr>
        <w:pStyle w:val="206"/>
        <w:spacing w:before="0" w:after="0" w:line="240" w:lineRule="auto"/>
        <w:ind w:firstLine="600"/>
        <w:rPr>
          <w:rFonts w:hint="eastAsia" w:ascii="宋体" w:hAnsi="宋体" w:eastAsia="宋体" w:cs="宋体"/>
          <w:b w:val="0"/>
          <w:color w:val="auto"/>
          <w:sz w:val="30"/>
          <w:szCs w:val="30"/>
          <w:highlight w:val="none"/>
        </w:rPr>
      </w:pPr>
      <w:r>
        <w:rPr>
          <w:rFonts w:hint="eastAsia" w:ascii="宋体" w:hAnsi="宋体" w:eastAsia="宋体" w:cs="宋体"/>
          <w:b w:val="0"/>
          <w:color w:val="auto"/>
          <w:sz w:val="30"/>
          <w:szCs w:val="30"/>
          <w:highlight w:val="none"/>
        </w:rPr>
        <w:t>31、服务（包含与服务相关的货物）的追加</w:t>
      </w:r>
    </w:p>
    <w:p>
      <w:pPr>
        <w:spacing w:line="48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bookmarkEnd w:id="175"/>
    <w:bookmarkEnd w:id="176"/>
    <w:bookmarkEnd w:id="177"/>
    <w:p>
      <w:pPr>
        <w:pStyle w:val="206"/>
        <w:spacing w:before="0" w:after="0" w:line="240" w:lineRule="auto"/>
        <w:ind w:firstLine="600"/>
        <w:rPr>
          <w:rFonts w:hint="eastAsia" w:ascii="宋体" w:hAnsi="宋体" w:eastAsia="宋体" w:cs="宋体"/>
          <w:b w:val="0"/>
          <w:color w:val="auto"/>
          <w:sz w:val="30"/>
          <w:szCs w:val="30"/>
          <w:highlight w:val="none"/>
        </w:rPr>
      </w:pPr>
      <w:bookmarkStart w:id="178" w:name="_Toc513029242"/>
      <w:bookmarkStart w:id="179" w:name="_Toc479757207"/>
      <w:bookmarkStart w:id="180" w:name="_Toc16938558"/>
      <w:bookmarkStart w:id="181" w:name="_Toc20823314"/>
      <w:bookmarkStart w:id="182" w:name="_Toc120614221"/>
      <w:r>
        <w:rPr>
          <w:rFonts w:hint="eastAsia" w:ascii="宋体" w:hAnsi="宋体" w:eastAsia="宋体" w:cs="宋体"/>
          <w:b w:val="0"/>
          <w:color w:val="auto"/>
          <w:sz w:val="30"/>
          <w:szCs w:val="30"/>
          <w:highlight w:val="none"/>
        </w:rPr>
        <w:t>32、政府采购履约资金扶持政策</w:t>
      </w:r>
    </w:p>
    <w:p>
      <w:pPr>
        <w:pStyle w:val="204"/>
        <w:rPr>
          <w:rFonts w:hint="eastAsia" w:ascii="宋体" w:hAnsi="宋体" w:eastAsia="宋体" w:cs="宋体"/>
          <w:color w:val="auto"/>
          <w:highlight w:val="none"/>
        </w:rPr>
      </w:pPr>
      <w:r>
        <w:rPr>
          <w:rFonts w:hint="eastAsia" w:ascii="宋体" w:hAnsi="宋体" w:eastAsia="宋体" w:cs="宋体"/>
          <w:bCs/>
          <w:color w:val="auto"/>
          <w:sz w:val="24"/>
          <w:highlight w:val="none"/>
        </w:rPr>
        <w:t>中标人可凭政府采购合同办理融资贷款，详情请见江苏政府采购网“政采贷”专栏。</w:t>
      </w:r>
    </w:p>
    <w:p>
      <w:pPr>
        <w:spacing w:line="440" w:lineRule="exact"/>
        <w:ind w:firstLine="600" w:firstLineChars="200"/>
        <w:rPr>
          <w:rFonts w:hint="eastAsia" w:ascii="宋体" w:hAnsi="宋体" w:eastAsia="宋体" w:cs="宋体"/>
          <w:b w:val="0"/>
          <w:bCs/>
          <w:color w:val="auto"/>
          <w:sz w:val="30"/>
          <w:szCs w:val="30"/>
          <w:highlight w:val="none"/>
          <w:lang w:val="en-US" w:eastAsia="en-US" w:bidi="ar-SA"/>
        </w:rPr>
      </w:pPr>
      <w:r>
        <w:rPr>
          <w:rFonts w:hint="eastAsia" w:ascii="宋体" w:hAnsi="宋体" w:eastAsia="宋体" w:cs="宋体"/>
          <w:b w:val="0"/>
          <w:bCs/>
          <w:color w:val="auto"/>
          <w:sz w:val="30"/>
          <w:szCs w:val="30"/>
          <w:highlight w:val="none"/>
          <w:lang w:val="en-US" w:eastAsia="en-US" w:bidi="ar-SA"/>
        </w:rPr>
        <w:t>3</w:t>
      </w:r>
      <w:r>
        <w:rPr>
          <w:rFonts w:hint="eastAsia" w:ascii="宋体" w:hAnsi="宋体" w:eastAsia="宋体" w:cs="宋体"/>
          <w:b w:val="0"/>
          <w:bCs/>
          <w:color w:val="auto"/>
          <w:sz w:val="30"/>
          <w:szCs w:val="30"/>
          <w:highlight w:val="none"/>
          <w:lang w:val="en-US" w:eastAsia="zh-CN" w:bidi="ar-SA"/>
        </w:rPr>
        <w:t>3</w:t>
      </w:r>
      <w:r>
        <w:rPr>
          <w:rFonts w:hint="eastAsia" w:ascii="宋体" w:hAnsi="宋体" w:eastAsia="宋体" w:cs="宋体"/>
          <w:b w:val="0"/>
          <w:bCs/>
          <w:color w:val="auto"/>
          <w:sz w:val="30"/>
          <w:szCs w:val="30"/>
          <w:highlight w:val="none"/>
          <w:lang w:val="en-US" w:eastAsia="en-US" w:bidi="ar-SA"/>
        </w:rPr>
        <w:t>.履约保证金</w:t>
      </w:r>
    </w:p>
    <w:p>
      <w:pPr>
        <w:spacing w:line="520" w:lineRule="exact"/>
        <w:ind w:firstLine="480" w:firstLineChars="200"/>
        <w:rPr>
          <w:rFonts w:hint="eastAsia" w:ascii="宋体" w:hAnsi="宋体" w:eastAsia="宋体" w:cs="宋体"/>
          <w:bCs/>
          <w:color w:val="auto"/>
          <w:sz w:val="24"/>
          <w:szCs w:val="21"/>
          <w:highlight w:val="none"/>
          <w:lang w:val="en-US" w:eastAsia="en-US" w:bidi="ar-SA"/>
        </w:rPr>
      </w:pPr>
      <w:r>
        <w:rPr>
          <w:rFonts w:hint="eastAsia" w:ascii="宋体" w:hAnsi="宋体" w:eastAsia="宋体" w:cs="宋体"/>
          <w:bCs/>
          <w:color w:val="auto"/>
          <w:sz w:val="24"/>
          <w:szCs w:val="21"/>
          <w:highlight w:val="none"/>
          <w:lang w:val="en-US" w:eastAsia="zh-CN" w:bidi="ar-SA"/>
        </w:rPr>
        <w:t>33</w:t>
      </w:r>
      <w:r>
        <w:rPr>
          <w:rFonts w:hint="eastAsia" w:ascii="宋体" w:hAnsi="宋体" w:eastAsia="宋体" w:cs="宋体"/>
          <w:bCs/>
          <w:color w:val="auto"/>
          <w:sz w:val="24"/>
          <w:szCs w:val="21"/>
          <w:highlight w:val="none"/>
          <w:lang w:val="en-US" w:eastAsia="en-US" w:bidi="ar-SA"/>
        </w:rPr>
        <w:t>.1为保证合同的顺利执行，</w:t>
      </w:r>
      <w:r>
        <w:rPr>
          <w:rFonts w:hint="eastAsia" w:ascii="宋体" w:hAnsi="宋体" w:eastAsia="宋体" w:cs="宋体"/>
          <w:bCs/>
          <w:color w:val="auto"/>
          <w:sz w:val="24"/>
          <w:szCs w:val="21"/>
          <w:highlight w:val="none"/>
          <w:lang w:val="en-US" w:eastAsia="zh-CN" w:bidi="ar-SA"/>
        </w:rPr>
        <w:t>中标人</w:t>
      </w:r>
      <w:r>
        <w:rPr>
          <w:rFonts w:hint="eastAsia" w:ascii="宋体" w:hAnsi="宋体" w:eastAsia="宋体" w:cs="宋体"/>
          <w:bCs/>
          <w:color w:val="auto"/>
          <w:sz w:val="24"/>
          <w:szCs w:val="21"/>
          <w:highlight w:val="none"/>
          <w:lang w:val="en-US" w:eastAsia="en-US" w:bidi="ar-SA"/>
        </w:rPr>
        <w:t>必须在签订合同前，向采购人提交金额为成交总价1%的履约保证金。逾期未提交履约保证金作自动放弃成交处</w:t>
      </w:r>
    </w:p>
    <w:p>
      <w:pPr>
        <w:spacing w:line="520" w:lineRule="exact"/>
        <w:ind w:firstLine="480" w:firstLineChars="200"/>
        <w:rPr>
          <w:rFonts w:hint="eastAsia" w:ascii="宋体" w:hAnsi="宋体" w:eastAsia="宋体" w:cs="宋体"/>
          <w:bCs/>
          <w:color w:val="auto"/>
          <w:sz w:val="24"/>
          <w:szCs w:val="21"/>
          <w:highlight w:val="none"/>
          <w:lang w:val="en-US" w:eastAsia="en-US" w:bidi="ar-SA"/>
        </w:rPr>
      </w:pPr>
      <w:r>
        <w:rPr>
          <w:rFonts w:hint="eastAsia" w:ascii="宋体" w:hAnsi="宋体" w:eastAsia="宋体" w:cs="宋体"/>
          <w:bCs/>
          <w:color w:val="auto"/>
          <w:sz w:val="24"/>
          <w:szCs w:val="21"/>
          <w:highlight w:val="none"/>
          <w:lang w:val="en-US" w:eastAsia="zh-CN" w:bidi="ar-SA"/>
        </w:rPr>
        <w:t>33</w:t>
      </w:r>
      <w:r>
        <w:rPr>
          <w:rFonts w:hint="eastAsia" w:ascii="宋体" w:hAnsi="宋体" w:eastAsia="宋体" w:cs="宋体"/>
          <w:bCs/>
          <w:color w:val="auto"/>
          <w:sz w:val="24"/>
          <w:szCs w:val="21"/>
          <w:highlight w:val="none"/>
          <w:lang w:val="en-US" w:eastAsia="en-US" w:bidi="ar-SA"/>
        </w:rPr>
        <w:t>.2 履约保证金应当以支票、汇票、本票或者保险公司、金融机构、担保机构出具的保函等非现金形式提交。提交形式由</w:t>
      </w:r>
      <w:r>
        <w:rPr>
          <w:rFonts w:hint="eastAsia" w:ascii="宋体" w:hAnsi="宋体" w:eastAsia="宋体" w:cs="宋体"/>
          <w:bCs/>
          <w:color w:val="auto"/>
          <w:sz w:val="24"/>
          <w:szCs w:val="21"/>
          <w:highlight w:val="none"/>
          <w:lang w:val="en-US" w:eastAsia="zh-CN" w:bidi="ar-SA"/>
        </w:rPr>
        <w:t>投标人</w:t>
      </w:r>
      <w:r>
        <w:rPr>
          <w:rFonts w:hint="eastAsia" w:ascii="宋体" w:hAnsi="宋体" w:eastAsia="宋体" w:cs="宋体"/>
          <w:bCs/>
          <w:color w:val="auto"/>
          <w:sz w:val="24"/>
          <w:szCs w:val="21"/>
          <w:highlight w:val="none"/>
          <w:lang w:val="en-US" w:eastAsia="en-US" w:bidi="ar-SA"/>
        </w:rPr>
        <w:t>自主选择，采购人应按淮财发【2022】207号通知规定接受供应商提交的保证保险。</w:t>
      </w:r>
    </w:p>
    <w:p>
      <w:pPr>
        <w:spacing w:line="520" w:lineRule="exact"/>
        <w:ind w:firstLine="480" w:firstLineChars="200"/>
        <w:rPr>
          <w:rFonts w:hint="eastAsia" w:ascii="宋体" w:hAnsi="宋体" w:eastAsia="宋体" w:cs="宋体"/>
          <w:bCs/>
          <w:color w:val="auto"/>
          <w:sz w:val="24"/>
          <w:szCs w:val="21"/>
          <w:highlight w:val="none"/>
          <w:lang w:val="en-US" w:eastAsia="en-US" w:bidi="ar-SA"/>
        </w:rPr>
      </w:pPr>
      <w:r>
        <w:rPr>
          <w:rFonts w:hint="eastAsia" w:ascii="宋体" w:hAnsi="宋体" w:eastAsia="宋体" w:cs="宋体"/>
          <w:bCs/>
          <w:color w:val="auto"/>
          <w:sz w:val="24"/>
          <w:szCs w:val="21"/>
          <w:highlight w:val="none"/>
          <w:lang w:val="en-US" w:eastAsia="zh-CN" w:bidi="ar-SA"/>
        </w:rPr>
        <w:t>33</w:t>
      </w:r>
      <w:r>
        <w:rPr>
          <w:rFonts w:hint="eastAsia" w:ascii="宋体" w:hAnsi="宋体" w:eastAsia="宋体" w:cs="宋体"/>
          <w:bCs/>
          <w:color w:val="auto"/>
          <w:sz w:val="24"/>
          <w:szCs w:val="21"/>
          <w:highlight w:val="none"/>
          <w:lang w:val="en-US" w:eastAsia="en-US" w:bidi="ar-SA"/>
        </w:rPr>
        <w:t>.3 如</w:t>
      </w:r>
      <w:r>
        <w:rPr>
          <w:rFonts w:hint="eastAsia" w:ascii="宋体" w:hAnsi="宋体" w:eastAsia="宋体" w:cs="宋体"/>
          <w:bCs/>
          <w:color w:val="auto"/>
          <w:sz w:val="24"/>
          <w:szCs w:val="21"/>
          <w:highlight w:val="none"/>
          <w:lang w:val="en-US" w:eastAsia="zh-CN" w:bidi="ar-SA"/>
        </w:rPr>
        <w:t>中标人</w:t>
      </w:r>
      <w:r>
        <w:rPr>
          <w:rFonts w:hint="eastAsia" w:ascii="宋体" w:hAnsi="宋体" w:eastAsia="宋体" w:cs="宋体"/>
          <w:bCs/>
          <w:color w:val="auto"/>
          <w:sz w:val="24"/>
          <w:szCs w:val="21"/>
          <w:highlight w:val="none"/>
          <w:lang w:val="en-US" w:eastAsia="en-US" w:bidi="ar-SA"/>
        </w:rPr>
        <w:t>未能履行合同规定的义务，采购人有权从履约保证金中取得补偿。</w:t>
      </w:r>
    </w:p>
    <w:p>
      <w:pPr>
        <w:spacing w:line="520" w:lineRule="exact"/>
        <w:ind w:firstLine="480" w:firstLineChars="200"/>
        <w:rPr>
          <w:rFonts w:hint="eastAsia" w:ascii="宋体" w:hAnsi="宋体" w:eastAsia="宋体" w:cs="宋体"/>
          <w:bCs/>
          <w:color w:val="auto"/>
          <w:sz w:val="24"/>
          <w:szCs w:val="21"/>
          <w:highlight w:val="none"/>
          <w:lang w:val="en-US" w:eastAsia="en-US" w:bidi="ar-SA"/>
        </w:rPr>
      </w:pPr>
      <w:r>
        <w:rPr>
          <w:rFonts w:hint="eastAsia" w:ascii="宋体" w:hAnsi="宋体" w:eastAsia="宋体" w:cs="宋体"/>
          <w:bCs/>
          <w:color w:val="auto"/>
          <w:sz w:val="24"/>
          <w:szCs w:val="21"/>
          <w:highlight w:val="none"/>
          <w:lang w:val="en-US" w:eastAsia="zh-CN" w:bidi="ar-SA"/>
        </w:rPr>
        <w:t>33</w:t>
      </w:r>
      <w:r>
        <w:rPr>
          <w:rFonts w:hint="eastAsia" w:ascii="宋体" w:hAnsi="宋体" w:eastAsia="宋体" w:cs="宋体"/>
          <w:bCs/>
          <w:color w:val="auto"/>
          <w:sz w:val="24"/>
          <w:szCs w:val="21"/>
          <w:highlight w:val="none"/>
          <w:lang w:val="en-US" w:eastAsia="en-US" w:bidi="ar-SA"/>
        </w:rPr>
        <w:t xml:space="preserve">.4 履约保证金在合同约定期间内不予退还或者应完全有效，约定期间届满之日起 </w:t>
      </w:r>
      <w:r>
        <w:rPr>
          <w:rFonts w:hint="eastAsia" w:ascii="宋体" w:hAnsi="宋体" w:eastAsia="宋体" w:cs="宋体"/>
          <w:bCs/>
          <w:color w:val="auto"/>
          <w:sz w:val="24"/>
          <w:szCs w:val="21"/>
          <w:highlight w:val="none"/>
          <w:lang w:val="en-US" w:eastAsia="zh-CN" w:bidi="ar-SA"/>
        </w:rPr>
        <w:t>5</w:t>
      </w:r>
      <w:r>
        <w:rPr>
          <w:rFonts w:hint="eastAsia" w:ascii="宋体" w:hAnsi="宋体" w:eastAsia="宋体" w:cs="宋体"/>
          <w:bCs/>
          <w:color w:val="auto"/>
          <w:sz w:val="24"/>
          <w:szCs w:val="21"/>
          <w:highlight w:val="none"/>
          <w:lang w:val="en-US" w:eastAsia="en-US" w:bidi="ar-SA"/>
        </w:rPr>
        <w:t>个工作日内，采购人应将履约保证金退还</w:t>
      </w:r>
      <w:r>
        <w:rPr>
          <w:rFonts w:hint="eastAsia" w:ascii="宋体" w:hAnsi="宋体" w:eastAsia="宋体" w:cs="宋体"/>
          <w:bCs/>
          <w:color w:val="auto"/>
          <w:sz w:val="24"/>
          <w:szCs w:val="21"/>
          <w:highlight w:val="none"/>
          <w:lang w:val="en-US" w:eastAsia="zh-CN" w:bidi="ar-SA"/>
        </w:rPr>
        <w:t>中标人</w:t>
      </w:r>
      <w:r>
        <w:rPr>
          <w:rFonts w:hint="eastAsia" w:ascii="宋体" w:hAnsi="宋体" w:eastAsia="宋体" w:cs="宋体"/>
          <w:bCs/>
          <w:color w:val="auto"/>
          <w:sz w:val="24"/>
          <w:szCs w:val="21"/>
          <w:highlight w:val="none"/>
          <w:lang w:val="en-US" w:eastAsia="en-US" w:bidi="ar-SA"/>
        </w:rPr>
        <w:t>:逾期退还的，按中国人民银行同期贷款基利率上浮20%后的利率支付超期资金占用费，但因</w:t>
      </w:r>
      <w:r>
        <w:rPr>
          <w:rFonts w:hint="eastAsia" w:ascii="宋体" w:hAnsi="宋体" w:eastAsia="宋体" w:cs="宋体"/>
          <w:bCs/>
          <w:color w:val="auto"/>
          <w:sz w:val="24"/>
          <w:szCs w:val="21"/>
          <w:highlight w:val="none"/>
          <w:lang w:val="en-US" w:eastAsia="zh-CN" w:bidi="ar-SA"/>
        </w:rPr>
        <w:t>中标人</w:t>
      </w:r>
      <w:r>
        <w:rPr>
          <w:rFonts w:hint="eastAsia" w:ascii="宋体" w:hAnsi="宋体" w:eastAsia="宋体" w:cs="宋体"/>
          <w:bCs/>
          <w:color w:val="auto"/>
          <w:sz w:val="24"/>
          <w:szCs w:val="21"/>
          <w:highlight w:val="none"/>
          <w:lang w:val="en-US" w:eastAsia="en-US" w:bidi="ar-SA"/>
        </w:rPr>
        <w:t>自身原因导致无法及时退还的除外。</w:t>
      </w:r>
    </w:p>
    <w:p>
      <w:pPr>
        <w:spacing w:line="520" w:lineRule="exact"/>
        <w:ind w:firstLine="480" w:firstLineChars="200"/>
        <w:rPr>
          <w:rFonts w:hint="eastAsia" w:ascii="宋体" w:hAnsi="宋体" w:eastAsia="宋体" w:cs="宋体"/>
          <w:bCs/>
          <w:color w:val="auto"/>
          <w:sz w:val="24"/>
          <w:szCs w:val="21"/>
          <w:highlight w:val="none"/>
          <w:lang w:val="en-US" w:eastAsia="en-US" w:bidi="ar-SA"/>
        </w:rPr>
      </w:pPr>
      <w:r>
        <w:rPr>
          <w:rFonts w:hint="eastAsia" w:ascii="宋体" w:hAnsi="宋体" w:eastAsia="宋体" w:cs="宋体"/>
          <w:bCs/>
          <w:color w:val="auto"/>
          <w:sz w:val="24"/>
          <w:szCs w:val="21"/>
          <w:highlight w:val="none"/>
          <w:lang w:val="en-US" w:eastAsia="zh-CN" w:bidi="ar-SA"/>
        </w:rPr>
        <w:t>33</w:t>
      </w:r>
      <w:r>
        <w:rPr>
          <w:rFonts w:hint="eastAsia" w:ascii="宋体" w:hAnsi="宋体" w:eastAsia="宋体" w:cs="宋体"/>
          <w:bCs/>
          <w:color w:val="auto"/>
          <w:sz w:val="24"/>
          <w:szCs w:val="21"/>
          <w:highlight w:val="none"/>
          <w:lang w:val="en-US" w:eastAsia="en-US" w:bidi="ar-SA"/>
        </w:rPr>
        <w:t>.5 履约保证金在项目验收合格后退还给成交供应商。</w:t>
      </w:r>
    </w:p>
    <w:p>
      <w:pPr>
        <w:spacing w:line="440" w:lineRule="exact"/>
        <w:ind w:firstLine="480" w:firstLineChars="200"/>
        <w:rPr>
          <w:rFonts w:hint="eastAsia" w:ascii="宋体" w:hAnsi="宋体" w:cs="宋体"/>
          <w:sz w:val="24"/>
        </w:rPr>
      </w:pPr>
      <w:r>
        <w:rPr>
          <w:rFonts w:hint="eastAsia" w:ascii="宋体" w:hAnsi="宋体" w:cs="宋体"/>
          <w:sz w:val="24"/>
        </w:rPr>
        <w:t>3</w:t>
      </w:r>
      <w:r>
        <w:rPr>
          <w:rFonts w:hint="eastAsia" w:ascii="宋体" w:hAnsi="宋体" w:cs="宋体"/>
          <w:sz w:val="24"/>
          <w:lang w:val="en-US" w:eastAsia="zh-CN"/>
        </w:rPr>
        <w:t>3</w:t>
      </w:r>
      <w:r>
        <w:rPr>
          <w:rFonts w:hint="eastAsia" w:ascii="宋体" w:hAnsi="宋体" w:cs="宋体"/>
          <w:sz w:val="24"/>
        </w:rPr>
        <w:t>.</w:t>
      </w:r>
      <w:r>
        <w:rPr>
          <w:rFonts w:hint="eastAsia" w:ascii="宋体" w:hAnsi="宋体" w:cs="宋体"/>
          <w:sz w:val="24"/>
          <w:lang w:val="en-US" w:eastAsia="zh-CN"/>
        </w:rPr>
        <w:t>6</w:t>
      </w:r>
      <w:r>
        <w:rPr>
          <w:rFonts w:hint="eastAsia" w:ascii="宋体" w:hAnsi="宋体" w:cs="宋体"/>
          <w:sz w:val="24"/>
        </w:rPr>
        <w:t>如果成交供应商没有按照</w:t>
      </w:r>
      <w:r>
        <w:rPr>
          <w:rFonts w:hint="eastAsia" w:ascii="宋体" w:hAnsi="宋体" w:cs="宋体"/>
          <w:sz w:val="24"/>
          <w:lang w:val="en-US" w:eastAsia="zh-CN"/>
        </w:rPr>
        <w:t>29</w:t>
      </w:r>
      <w:r>
        <w:rPr>
          <w:rFonts w:hint="eastAsia" w:ascii="宋体" w:hAnsi="宋体" w:cs="宋体"/>
          <w:sz w:val="24"/>
        </w:rPr>
        <w:t>条或</w:t>
      </w:r>
      <w:r>
        <w:rPr>
          <w:rFonts w:hint="eastAsia" w:ascii="宋体" w:hAnsi="宋体" w:cs="宋体"/>
          <w:sz w:val="24"/>
          <w:lang w:val="en-US" w:eastAsia="zh-CN"/>
        </w:rPr>
        <w:t>30</w:t>
      </w:r>
      <w:r>
        <w:rPr>
          <w:rFonts w:hint="eastAsia" w:ascii="宋体" w:hAnsi="宋体" w:cs="宋体"/>
          <w:sz w:val="24"/>
        </w:rPr>
        <w:t>条的规定去做，采购人可报财政部门取消其成交资格，在此情况下采购人可将标授予下一个成交候选供应商，或重新采购。</w:t>
      </w:r>
    </w:p>
    <w:p>
      <w:pPr>
        <w:bidi w:val="0"/>
        <w:rPr>
          <w:rFonts w:hint="eastAsia" w:ascii="宋体" w:hAnsi="宋体" w:eastAsia="宋体" w:cs="宋体"/>
          <w:color w:val="auto"/>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p>
    <w:p>
      <w:pPr>
        <w:bidi w:val="0"/>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第三章  合同</w:t>
      </w:r>
      <w:bookmarkEnd w:id="178"/>
      <w:bookmarkEnd w:id="179"/>
      <w:bookmarkEnd w:id="180"/>
      <w:bookmarkEnd w:id="181"/>
      <w:bookmarkEnd w:id="182"/>
      <w:r>
        <w:rPr>
          <w:rFonts w:hint="eastAsia" w:ascii="宋体" w:hAnsi="宋体" w:eastAsia="宋体" w:cs="宋体"/>
          <w:b/>
          <w:bCs/>
          <w:color w:val="auto"/>
          <w:sz w:val="36"/>
          <w:szCs w:val="36"/>
          <w:highlight w:val="none"/>
        </w:rPr>
        <w:t>文本</w:t>
      </w:r>
    </w:p>
    <w:p>
      <w:pPr>
        <w:spacing w:before="145" w:after="145"/>
        <w:ind w:firstLine="1205"/>
        <w:outlineLvl w:val="0"/>
        <w:rPr>
          <w:rFonts w:hint="eastAsia" w:ascii="宋体" w:hAnsi="宋体" w:eastAsia="宋体" w:cs="宋体"/>
          <w:b/>
          <w:bCs/>
          <w:color w:val="auto"/>
          <w:sz w:val="30"/>
          <w:szCs w:val="20"/>
          <w:highlight w:val="none"/>
        </w:rPr>
      </w:pPr>
      <w:bookmarkStart w:id="183" w:name="_Hlt16619369"/>
      <w:bookmarkEnd w:id="183"/>
      <w:bookmarkStart w:id="184" w:name="_Toc20823315"/>
      <w:bookmarkStart w:id="185" w:name="_Toc16938559"/>
      <w:bookmarkStart w:id="186" w:name="_Toc513029243"/>
      <w:r>
        <w:rPr>
          <w:rFonts w:hint="eastAsia" w:ascii="宋体" w:hAnsi="宋体" w:eastAsia="宋体" w:cs="宋体"/>
          <w:b/>
          <w:color w:val="auto"/>
          <w:sz w:val="30"/>
          <w:highlight w:val="none"/>
        </w:rPr>
        <w:t>淮安市政府采购合同（服务）（合同编号）</w:t>
      </w:r>
    </w:p>
    <w:p>
      <w:pPr>
        <w:pStyle w:val="239"/>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                                       项目编号：</w:t>
      </w:r>
    </w:p>
    <w:p>
      <w:pPr>
        <w:pStyle w:val="239"/>
        <w:spacing w:before="120" w:after="1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甲方：（</w:t>
      </w:r>
      <w:r>
        <w:rPr>
          <w:rFonts w:hint="eastAsia" w:ascii="宋体" w:hAnsi="宋体" w:eastAsia="宋体" w:cs="宋体"/>
          <w:color w:val="auto"/>
          <w:sz w:val="24"/>
          <w:szCs w:val="24"/>
          <w:highlight w:val="none"/>
        </w:rPr>
        <w:t>买方）_________</w:t>
      </w:r>
    </w:p>
    <w:p>
      <w:pPr>
        <w:pStyle w:val="239"/>
        <w:spacing w:before="120" w:after="120"/>
        <w:rPr>
          <w:rFonts w:hint="eastAsia" w:ascii="宋体" w:hAnsi="宋体" w:eastAsia="宋体" w:cs="宋体"/>
          <w:color w:val="auto"/>
          <w:sz w:val="22"/>
          <w:szCs w:val="22"/>
          <w:highlight w:val="none"/>
        </w:rPr>
      </w:pPr>
      <w:r>
        <w:rPr>
          <w:rFonts w:hint="eastAsia" w:ascii="宋体" w:hAnsi="宋体" w:eastAsia="宋体" w:cs="宋体"/>
          <w:color w:val="auto"/>
          <w:sz w:val="24"/>
          <w:szCs w:val="24"/>
          <w:highlight w:val="none"/>
        </w:rPr>
        <w:t>乙方：（卖方）_________</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甲、乙双方根据</w:t>
      </w:r>
      <w:r>
        <w:rPr>
          <w:rFonts w:hint="eastAsia" w:ascii="宋体" w:hAnsi="宋体" w:eastAsia="宋体" w:cs="宋体"/>
          <w:color w:val="auto"/>
          <w:sz w:val="24"/>
          <w:szCs w:val="24"/>
          <w:highlight w:val="none"/>
          <w:lang w:val="en-US" w:eastAsia="zh-CN"/>
        </w:rPr>
        <w:t>金湖县</w:t>
      </w:r>
      <w:r>
        <w:rPr>
          <w:rFonts w:hint="eastAsia" w:ascii="宋体" w:hAnsi="宋体" w:eastAsia="宋体" w:cs="宋体"/>
          <w:color w:val="auto"/>
          <w:sz w:val="24"/>
          <w:szCs w:val="24"/>
          <w:highlight w:val="none"/>
        </w:rPr>
        <w:t>政策性农业保险经办机构遴选项目（招标编号：   ） 公开招标的结果，签署本合同。</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1.定义</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除非另有特别约定，在本合同以及与本合同有关的甲乙双方另行签订的其他文件中，下列词语按如下定义进行解释：</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1.1“合同”是指甲方和乙方已达成的协议，即由双方签订的合同格式中的文件，包括所有的附件、附录和组成合同部分的所有其他文件。</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1.2“服务”是指本合同约定的，乙方同意按照农业保险政策要求为农业保险的宣传推动、承保出单、定损理赔、防灾减损等一系列服务工作的总称。</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1.3“被保险人”是指按本合同约定在乙方处办理农业保险业务的农民、农业生产经营组织等个人或单位。</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1.4“工作日”是指除公休日和国家法定节假日以外的日历日。</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1.5“附件”是指与本合同的订立、履行有关的，经甲乙双方认可的，对本合同约定的内容进行细化、补充的文件资料。</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2.适用范围</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 本合同条款仅适用于本次招标所规定的内容。</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3.合同的组成下列文件应作为本合同的组成部分：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中标通知书；</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投标文件及其附件（含投标人在评标期间递交和确认并经评审委员会同意的对有关问题的补充资料和澄清文件等）；</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 招标文件及其附件（含招标代理人在招标过程中对有关问题的补充资料和澄清文件等）；</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 与本次招标有关的并经当事人双方确认的其他文件。</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上述文件互为补充和解释，如有不清或相互矛盾之处，以所列顺序在前的为准，但甲乙双方有特别约定的除外。</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4.基本约定</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 承保区域</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承保服务区域：       。</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4.2 承保险种</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策性农业保险，包括水稻等主要种植业保险，能繁母猪等主要养殖业保险，设施大棚等高效设施农业保险，农机综合保险等农机具保险，以及根据上级有关规定、本地实际情况增设的，不属于创新保护的奖补险种。具体险种依据甲方（</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促展委办）的有关规定。</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4.3 保险条款</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乙方经办有中央、省级财政补贴保费的险种必须使用经保险监管机构和江苏省农险办批准的农险条款和费率，保险金额（赔偿限额）根据甲方的要求。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4.4 创新险种</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乙方拟开办新险种的保险条款，接受甲方指导管理。创新险种按照省市有关规定给予保护支持。</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5.甲方职责</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 作为农业保险管理工作责任主体，会同</w:t>
      </w:r>
      <w:r>
        <w:rPr>
          <w:rFonts w:hint="eastAsia" w:ascii="宋体" w:hAnsi="宋体" w:cs="宋体"/>
          <w:color w:val="auto"/>
          <w:sz w:val="24"/>
          <w:szCs w:val="24"/>
          <w:highlight w:val="none"/>
          <w:lang w:val="en-US" w:eastAsia="zh-CN"/>
        </w:rPr>
        <w:t>财政</w:t>
      </w:r>
      <w:r>
        <w:rPr>
          <w:rFonts w:hint="eastAsia" w:ascii="宋体" w:hAnsi="宋体" w:eastAsia="宋体" w:cs="宋体"/>
          <w:color w:val="auto"/>
          <w:sz w:val="24"/>
          <w:szCs w:val="24"/>
          <w:highlight w:val="none"/>
        </w:rPr>
        <w:t>局等部门组织协调、监督管理本行政区域内的农业保险工作，支持农业保险业务发展。日常管理工作由</w:t>
      </w:r>
      <w:r>
        <w:rPr>
          <w:rFonts w:hint="eastAsia" w:ascii="宋体" w:hAnsi="宋体" w:eastAsia="宋体" w:cs="宋体"/>
          <w:color w:val="auto"/>
          <w:sz w:val="24"/>
          <w:szCs w:val="24"/>
          <w:highlight w:val="none"/>
          <w:lang w:val="en-US" w:eastAsia="zh-CN"/>
        </w:rPr>
        <w:t>金湖县</w:t>
      </w:r>
      <w:r>
        <w:rPr>
          <w:rFonts w:hint="eastAsia" w:ascii="宋体" w:hAnsi="宋体" w:eastAsia="宋体" w:cs="宋体"/>
          <w:color w:val="auto"/>
          <w:sz w:val="24"/>
          <w:szCs w:val="24"/>
          <w:highlight w:val="none"/>
        </w:rPr>
        <w:t>促进农业保险发展委员会办公室（简称</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促展委办）执行。</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 负责对乙方指导、监督、评价、验收等管理工作。</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5.3 按照省、市、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有关补贴申请、审核、拨付、结算等规定，协助乙方申请各级财政补贴资金。</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6.乙方职责</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6.1.组织及业务管理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6.1.1 设置农险责任部门，由公司经理分管，配置专门人员，落实展业、核保、出单、查勘、核赔、定损、财务、统计、档案等工作，专业技术人员在业务素质和数量上能够适应服务工作要求。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6.1.2 强化乡镇服务站点建设，安排服务人员，保证农业保险服务站正常运行，能够深入农村高质量做好农业保险服务工作。</w:t>
      </w:r>
    </w:p>
    <w:p>
      <w:pPr>
        <w:spacing w:line="480" w:lineRule="exact"/>
        <w:ind w:firstLine="480" w:firstLineChars="200"/>
        <w:rPr>
          <w:rFonts w:hint="eastAsia"/>
        </w:rPr>
      </w:pPr>
      <w:r>
        <w:rPr>
          <w:rFonts w:hint="eastAsia" w:ascii="宋体" w:hAnsi="宋体" w:eastAsia="宋体" w:cs="宋体"/>
          <w:color w:val="auto"/>
          <w:sz w:val="24"/>
          <w:szCs w:val="24"/>
          <w:highlight w:val="none"/>
        </w:rPr>
        <w:t>6.1.3 积极与镇村基层组织沟通协调，争取支持，每村选聘一名保险协办人员（协保员），签订服务协议。专兼职人员（含协保员）应书面报甲方备案。变更农业保险人员应书面报甲方备案。</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6.1.4 及时完成相关人员的培训工作，专业技术人员在业务素质和数量上要充分保障本项目相关条件及要求。每年对保险业务人员、服务人员、种养大户、村组干部开展宣传培训活动。</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6.1.5 按照《江苏省财政厅关于进一步加强和改进农业保险保费补贴资金管理的通知》（苏财金〔2021〕98号）和甲方的具体要求，按季度向</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财政局报送承保理赔保单级数据、拨付保费补贴资金材料凭证。</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6.1.6 按照省农业保险保费补贴资金管理和市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财政部门的结算要求，于2 月1日前向</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财政局报送上年度财政补贴资金结算申请报告及附件（含电子文档）。</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6.1.7 按照政策性农业保险承保机构服务评价办法，对照承保机构服务评价指标体系及评分细则，开展本机构上一年度农业保险工作情况自评工作，并将自评表和评价得分的支撑资料装订成册，于2月1日前报送</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促展委办。因和程度、标识或有关信息等。</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6.2.6 及时定责定损。种植业、森林保险发生全部损失的，在接到报案后10日内完成损失核定；发生部分损失的，在接到报案后20日内完成损失核定。养殖业保险在接到报案后3日内完成损失核定。发生重大灾害、大范围疫情以及存在其他特殊情形的，保险机构可以适当延长损失核定时间，应向被保险人做好解释说明工作。组织投保的分户理赔清单，应由被保险人签名或盖章确认。</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6.2.7 公示。在依法保护个人信息的前提下，对分户投保清单、定损结果进行不少于3天的承保公示。公示方式包括：在村级或农业生产经营组织公共区域张贴公告；通过政府公共网站、行业信息平台发布；经被保险人同意的其他线上公示方式。公示期间，若接到对公示内容的反馈意见，应及时处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6.2.8 保处联动。病死畜禽必须100%无害化处理，否则，不得理赔。</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6.2.9 支付赔款。在与被保险人达成赔偿协议后10日内，将赔款支付给被保险人。赔款一律通过转账方式直接支付到被保险人银行账户（卡）或被保险人一折通财政涉农补贴账户，同时，留存支付证明，并将理赔信息及时告知被保险人。</w:t>
      </w:r>
    </w:p>
    <w:p>
      <w:pPr>
        <w:spacing w:line="480" w:lineRule="exact"/>
        <w:ind w:firstLine="480" w:firstLineChars="200"/>
        <w:rPr>
          <w:rFonts w:hint="eastAsia"/>
        </w:rPr>
      </w:pPr>
      <w:r>
        <w:rPr>
          <w:rFonts w:hint="eastAsia" w:ascii="宋体" w:hAnsi="宋体" w:eastAsia="宋体" w:cs="宋体"/>
          <w:color w:val="auto"/>
          <w:sz w:val="24"/>
          <w:szCs w:val="24"/>
          <w:highlight w:val="none"/>
        </w:rPr>
        <w:t>6.2.10 对承保、理赔业务的真实性负责，及时报送真实性、合规、准确的数据材料。</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 服务绩效目标</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6.3.1 三大粮食作物承保率、育肥猪保险不低于省、市、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下达的年度指标。三大粮食作物保险覆盖率=三大粮食作物参加农业保险面积/播种面积；育肥猪保险覆盖率=育肥猪投保头数/年出栏头数。</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6.3.2 农业保险保费规模不低于上年，农业保险保障总额增幅不低于省、市、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下达的年度指标。</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6.3.3 农业保险理赔兑现率不低于省、市、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下达的年度指标。</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6.3.4 农户满意度（政策知晓率、满意率）不低于省、市、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下达的年度指标。</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7.履约保证</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 履约保证金收取    万元（*        ）或对应的保函、保单。履约保证金不足时，乙方须及时补充不足部分。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7.2 履约保证金交纳信息:</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履约保证金交纳信息:</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 金湖县财政局代管资金专户</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开户行:江苏金湖农村商业银行股份有限公司</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帐号:3208310171010000227693</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7.3 在服务期间签订的保险合同，保险责任全部终止为服务期间届满。履约保证金在期间届满之日起5个工作日内，甲方将履约保证金无息退还乙方；逾期退还的，按中国人民银行同期贷款基利率支付超期资金占用费，因乙方自身原因导致无法及时退还的除外。</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7.4 乙方未能按照招标文件、投标文件、省市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有关规定，履行合同规定的义务，视同乙方违约，甲方有权从履约保证金中取得补偿。</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8.违约责任</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按照招标文件、投标文件、《江苏省政策性农业保险承保机构服务评价暂行办法》和</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有关规定，按年度进行评价。乙方完不成政策性农业保险服务目标、服务承诺或服务质量不合规定，甲方有权根据原因、情节、后果处罚乙方履约保证金，情节或后果严重的，调整承保险种、减少承保范围、解除合同、取消承保资格。</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 完不成省、市、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下达的年度农业保险绩效目标，每项处罚0.2-2万元。</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 因损害农民权益、违规经营被投诉、被市级以上（含）部门批评、被媒体曝光等，每件次处罚2-10万元。</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 因违规经营受到保监部门处罚，给农业保险工作造成不良影响，甲方有权解除合同。</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8.4 报送信息、数据及相关资料不及时、不准确，或完不成其他承诺事项或服务质量不合格，对要求整改的问题不整改或整改不及时、不到位的，不及时补齐履约保证金的，每件次处罚0.1-1万元。</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8.5 无正当理由拒绝投保、放弃承保资格的，承诺未兑现的，处罚全部履约保证金，甲方有权解除合同。</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8.6 乙方被处罚履约保证金后，应在收到书面通知后5个工作日内补齐</w:t>
      </w:r>
      <w:r>
        <w:rPr>
          <w:rFonts w:hint="eastAsia" w:ascii="宋体" w:hAnsi="宋体" w:eastAsia="宋体" w:cs="宋体"/>
          <w:color w:val="auto"/>
          <w:spacing w:val="-6"/>
          <w:sz w:val="24"/>
          <w:szCs w:val="24"/>
          <w:highlight w:val="none"/>
        </w:rPr>
        <w:t>履约保证金。</w:t>
      </w:r>
      <w:r>
        <w:rPr>
          <w:rFonts w:hint="eastAsia" w:ascii="宋体" w:hAnsi="宋体" w:eastAsia="宋体" w:cs="宋体"/>
          <w:color w:val="auto"/>
          <w:sz w:val="24"/>
          <w:szCs w:val="24"/>
          <w:highlight w:val="none"/>
        </w:rPr>
        <w:t>未按规定及时支付履约保证金或者其他应付款项，纳入不诚信记录，两次以上的，甲方有权解除合同。</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8.7 乙方服务期间不能满足农业保险发展需要，连续两年服务评价结果为“基本合格”或单次评价结果为“不合格”的，甲方有权解除合同。</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9.付款</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乙方依据国家、省、市、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有关农业保险保费补贴资金管理的规定，原则上按季度提交申请保费补贴报告以及必要的凭证材料，甲方在审核检查无误的基础上拨付保险费补贴资金。</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10.争议解决</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 在执行本合同中发生的与本合同有关的争议，甲乙双方应通过友好协商解决，经协商不能达成协议时，依法提交</w:t>
      </w:r>
      <w:r>
        <w:rPr>
          <w:rFonts w:hint="eastAsia" w:ascii="宋体" w:hAnsi="宋体" w:eastAsia="宋体" w:cs="宋体"/>
          <w:color w:val="auto"/>
          <w:sz w:val="24"/>
          <w:szCs w:val="24"/>
          <w:highlight w:val="none"/>
          <w:lang w:val="en-US" w:eastAsia="zh-CN"/>
        </w:rPr>
        <w:t>金湖县</w:t>
      </w:r>
      <w:r>
        <w:rPr>
          <w:rFonts w:hint="eastAsia" w:ascii="宋体" w:hAnsi="宋体" w:eastAsia="宋体" w:cs="宋体"/>
          <w:color w:val="auto"/>
          <w:sz w:val="24"/>
          <w:szCs w:val="24"/>
          <w:highlight w:val="none"/>
        </w:rPr>
        <w:t>人民法院裁决。</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 在争议诉讼期间，除争议部分外，合同其他部分继续执行。</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11．合同生效及其他</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11.1 除非合同中另有说明，本合同经甲乙双方代表人或授权代表人签字盖章后，即开始生效。</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 本合同有效期间三年，自202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   月   日起至 202</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年   月   日止。</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11.3 本合同期满或终止后，在合同有效期内乙方与被保险人签订的农业保险单，在保险单约定的保险期限内继续有效。</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11.4 本合同正本一式五份，甲方贰份、乙方</w:t>
      </w:r>
      <w:r>
        <w:rPr>
          <w:rFonts w:hint="eastAsia" w:ascii="宋体" w:hAnsi="宋体" w:cs="宋体"/>
          <w:color w:val="auto"/>
          <w:sz w:val="24"/>
          <w:szCs w:val="24"/>
          <w:highlight w:val="none"/>
          <w:lang w:val="en-US" w:eastAsia="zh-CN"/>
        </w:rPr>
        <w:t>贰</w:t>
      </w:r>
      <w:r>
        <w:rPr>
          <w:rFonts w:hint="eastAsia" w:ascii="宋体" w:hAnsi="宋体" w:eastAsia="宋体" w:cs="宋体"/>
          <w:color w:val="auto"/>
          <w:sz w:val="24"/>
          <w:szCs w:val="24"/>
          <w:highlight w:val="none"/>
        </w:rPr>
        <w:t>份，监管部门壹份，均具有同等法律效力。</w:t>
      </w:r>
    </w:p>
    <w:p>
      <w:pPr>
        <w:pStyle w:val="18"/>
        <w:spacing w:line="520" w:lineRule="exact"/>
        <w:rPr>
          <w:rFonts w:hint="eastAsia" w:ascii="宋体" w:hAnsi="宋体" w:eastAsia="宋体" w:cs="宋体"/>
          <w:color w:val="auto"/>
          <w:sz w:val="24"/>
          <w:szCs w:val="24"/>
          <w:highlight w:val="none"/>
          <w:lang w:val="en-US" w:eastAsia="zh-CN" w:bidi="ar-SA"/>
        </w:rPr>
      </w:pPr>
    </w:p>
    <w:p>
      <w:pPr>
        <w:pStyle w:val="18"/>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甲    方:                          乙    方:</w:t>
      </w:r>
    </w:p>
    <w:p>
      <w:pPr>
        <w:pStyle w:val="18"/>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单位盖章:（电子签章）              单位盖章:（电子签章）</w:t>
      </w:r>
    </w:p>
    <w:p>
      <w:pPr>
        <w:pStyle w:val="18"/>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代表签字:                          代表签字:</w:t>
      </w:r>
    </w:p>
    <w:p>
      <w:pPr>
        <w:pStyle w:val="18"/>
        <w:spacing w:line="520" w:lineRule="exact"/>
        <w:rPr>
          <w:rFonts w:hint="eastAsia"/>
        </w:rPr>
        <w:sectPr>
          <w:footerReference r:id="rId3" w:type="default"/>
          <w:pgSz w:w="11906" w:h="16839"/>
          <w:pgMar w:top="1118" w:right="1785" w:bottom="0" w:left="1785" w:header="879" w:footer="794" w:gutter="0"/>
          <w:cols w:space="720" w:num="1"/>
        </w:sectPr>
      </w:pPr>
      <w:r>
        <w:rPr>
          <w:rFonts w:hint="eastAsia" w:ascii="宋体" w:hAnsi="宋体" w:eastAsia="宋体" w:cs="宋体"/>
          <w:color w:val="auto"/>
          <w:sz w:val="24"/>
          <w:szCs w:val="24"/>
          <w:highlight w:val="none"/>
          <w:lang w:val="en-US" w:eastAsia="zh-CN" w:bidi="ar-SA"/>
        </w:rPr>
        <w:t>签定日期:                          签定日期</w:t>
      </w:r>
      <w:r>
        <w:rPr>
          <w:rFonts w:hint="eastAsia" w:hAnsi="宋体" w:cs="宋体"/>
          <w:color w:val="auto"/>
          <w:sz w:val="24"/>
          <w:szCs w:val="24"/>
          <w:highlight w:val="none"/>
          <w:lang w:val="en-US" w:eastAsia="zh-CN" w:bidi="ar-SA"/>
        </w:rPr>
        <w:t>：</w:t>
      </w:r>
    </w:p>
    <w:bookmarkEnd w:id="184"/>
    <w:bookmarkEnd w:id="185"/>
    <w:bookmarkEnd w:id="186"/>
    <w:p>
      <w:pPr>
        <w:pStyle w:val="239"/>
        <w:spacing w:before="120" w:after="120" w:line="0" w:lineRule="atLeast"/>
        <w:jc w:val="center"/>
        <w:rPr>
          <w:rFonts w:hint="eastAsia" w:ascii="宋体" w:hAnsi="宋体" w:eastAsia="宋体" w:cs="宋体"/>
          <w:color w:val="auto"/>
          <w:sz w:val="24"/>
          <w:szCs w:val="24"/>
          <w:highlight w:val="none"/>
        </w:rPr>
      </w:pPr>
      <w:bookmarkStart w:id="187" w:name="_Hlt16619350"/>
      <w:bookmarkStart w:id="188" w:name="_Toc16938590"/>
      <w:bookmarkStart w:id="189" w:name="_Toc20823346"/>
      <w:bookmarkStart w:id="190" w:name="_Toc120614244"/>
      <w:bookmarkStart w:id="191" w:name="_Toc479757211"/>
      <w:bookmarkStart w:id="192" w:name="_Toc462564139"/>
      <w:r>
        <w:rPr>
          <w:rFonts w:hint="eastAsia" w:ascii="宋体" w:hAnsi="宋体" w:eastAsia="宋体" w:cs="宋体"/>
          <w:bCs/>
          <w:color w:val="auto"/>
          <w:sz w:val="44"/>
          <w:highlight w:val="none"/>
        </w:rPr>
        <w:t>第</w:t>
      </w:r>
      <w:bookmarkEnd w:id="187"/>
      <w:r>
        <w:rPr>
          <w:rFonts w:hint="eastAsia" w:ascii="宋体" w:hAnsi="宋体" w:eastAsia="宋体" w:cs="宋体"/>
          <w:bCs/>
          <w:color w:val="auto"/>
          <w:sz w:val="44"/>
          <w:highlight w:val="none"/>
        </w:rPr>
        <w:t>四章 采购需求</w:t>
      </w:r>
      <w:bookmarkEnd w:id="188"/>
      <w:bookmarkEnd w:id="189"/>
      <w:bookmarkEnd w:id="190"/>
    </w:p>
    <w:p>
      <w:pPr>
        <w:spacing w:line="0" w:lineRule="atLeast"/>
        <w:rPr>
          <w:rFonts w:hint="eastAsia" w:ascii="宋体" w:hAnsi="宋体" w:eastAsia="宋体" w:cs="宋体"/>
          <w:color w:val="auto"/>
          <w:sz w:val="24"/>
          <w:szCs w:val="24"/>
          <w:highlight w:val="none"/>
        </w:rPr>
      </w:pPr>
      <w:bookmarkStart w:id="193" w:name="_Toc49090575"/>
      <w:bookmarkStart w:id="194" w:name="_Toc26554093"/>
      <w:r>
        <w:rPr>
          <w:rFonts w:hint="eastAsia" w:ascii="宋体" w:hAnsi="宋体" w:eastAsia="宋体" w:cs="宋体"/>
          <w:color w:val="auto"/>
          <w:sz w:val="24"/>
          <w:szCs w:val="24"/>
          <w:highlight w:val="none"/>
        </w:rPr>
        <w:t>项目属性:服务类项目。</w:t>
      </w:r>
    </w:p>
    <w:p>
      <w:pPr>
        <w:spacing w:line="0" w:lineRule="atLeast"/>
        <w:ind w:firstLine="360"/>
        <w:rPr>
          <w:rFonts w:hint="eastAsia" w:ascii="宋体" w:hAnsi="宋体" w:eastAsia="宋体" w:cs="宋体"/>
          <w:color w:val="auto"/>
          <w:sz w:val="24"/>
          <w:szCs w:val="24"/>
          <w:highlight w:val="none"/>
        </w:rPr>
      </w:pP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一、项目概况</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贯彻落实《关于加快农业保险高质量发展的指导意见》（财金〔2019〕102号）、《关于加快农业保险高质量发展的实施意见》（苏财金〔2020〕51号）、《关于做好政策性农业保险承保机构遴选工作的通知》（苏财金〔2021〕42号）等文件精神，进一步完善政策性农业保险工作机制和发展机制，依据法律法规和政策规定开展政策性农业保险承保机构遴选活动，为政策性农业保险择优选择承 保机构。</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二、项目需求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全</w:t>
      </w:r>
      <w:r>
        <w:rPr>
          <w:rFonts w:hint="eastAsia" w:ascii="宋体" w:hAnsi="宋体" w:eastAsia="宋体" w:cs="宋体"/>
          <w:color w:val="auto"/>
          <w:sz w:val="24"/>
          <w:szCs w:val="24"/>
          <w:highlight w:val="none"/>
          <w:lang w:val="en-US" w:eastAsia="zh-CN"/>
        </w:rPr>
        <w:t>县</w:t>
      </w:r>
      <w:r>
        <w:rPr>
          <w:rFonts w:hint="eastAsia" w:ascii="宋体" w:hAnsi="宋体" w:eastAsia="宋体" w:cs="宋体"/>
          <w:color w:val="auto"/>
          <w:sz w:val="24"/>
          <w:szCs w:val="24"/>
          <w:highlight w:val="none"/>
        </w:rPr>
        <w:t>划分5个区域，遴选5家承保机构，按照《农业保险条例》、《中央财政农业保险保费补贴管理办法》（财金〔2021〕130号）、《农业保险承保理赔管理办法》（银保监规〔2022〕4号）、《江苏省省级财政农业保险费补贴资金管理办法》、《江苏省财政厅关于进一步加强和改进农业保险保费补贴资金管理的通知》（苏财金〔2021〕98号）等政策制度的规定做好政策性农业保险服务工作。</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（一）承保服务内容：</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1.区域划分：政策性农业保险业务采取划区域经营模式，将全</w:t>
      </w:r>
      <w:r>
        <w:rPr>
          <w:rFonts w:hint="eastAsia" w:ascii="宋体" w:hAnsi="宋体" w:eastAsia="宋体" w:cs="宋体"/>
          <w:color w:val="auto"/>
          <w:sz w:val="24"/>
          <w:szCs w:val="24"/>
          <w:highlight w:val="none"/>
          <w:lang w:val="en-US" w:eastAsia="zh-CN"/>
        </w:rPr>
        <w:t>县</w:t>
      </w:r>
      <w:r>
        <w:rPr>
          <w:rFonts w:hint="eastAsia" w:ascii="宋体" w:hAnsi="宋体" w:eastAsia="宋体" w:cs="宋体"/>
          <w:color w:val="auto"/>
          <w:sz w:val="24"/>
          <w:szCs w:val="24"/>
          <w:highlight w:val="none"/>
        </w:rPr>
        <w:t xml:space="preserve"> 划分为5个不同区域：第1区域：戴楼街道、金南镇、塔集镇、银涂镇；第2区域：前锋镇、吕良镇；第3区域：金北街道；第4区域：黎城街道；第5区域：滩涂及其他。</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承保险种。政策性农业保险，包括水稻等主要种植业保险，能繁母猪等主要养殖业保险，设施大棚等高效设施农业保险，农机综合保险等农机具保险，以及根据上级有关规定及本地实际情况增设的奖补险种，不包括予以保护的创新险种。具体险种依据甲方（</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促展委办）的有关规定。</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3.险种标准。承保政策性险种应严格执行省、市、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下发的关于条款及费率、操作规程、指导意见、标准指引等文件实施项目操作。保险金额或赔偿限额根据省、市、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要求。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（二）服务（技术）要求及相关说明</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1.服务要求：供应商需要有</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镇、村三级服务网络，每个镇、街、村至少一名专职人员或协保员，保证每个乡镇和行政村农业保险服务网点的服务功能，能够深入农村做好农业保险政策宣传、业务培训、承保、勘察定损、无害化处理和理赔工作；积极探索建立风险防范和预警机制，发挥农险防灾减损作用；保证每个工作程序公平、公正、公开，不发生重大理赔信访、集访、重访案件。建立健全农业保险投诉及来访接待制度，及时登记处理，做到件件有回复；每月向</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促展委办报告农业保险经营情况、财务情况；完成省、市、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下达的农业保险高质量发展目标任务。</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2.相关说明</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2.1.组织及业务管理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 设置农险责任部门，由公司经理分管，配置专门人员，落实展业、核保、出单、查勘、核赔、定损、财务、统计、档案等工作，专业技术人员在业务素质和数量上能够适应服务工作要求。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 强化乡镇服务站点建设，安排服务人员，保证农业保险服务站正常运行，能够深入农村高质量做好农业保险服务工作。</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 积极与镇村基层组织沟通协调，争取支持，每村选聘一名保险协办人员（协保员），签订服务协议。专兼职人员（含协保员）应书面报甲方备案。变更农业保险人员应书面报甲方备案。</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 及时完成相关人员的培训工作，专业技术人员在业务素质和数量上要充分保障本项目相关条件及要求。每年对保险业务人员、服务人员、种养大户、村组干部开展宣传培训活动。</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2.1.5 按照《江苏省财政厅关于进一步加强和改进农业保险保费补贴资金管理的通知》（苏财金〔2021〕98 号）和甲方的具体要求，按季度向</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财政局报送承保理赔保单级数据、拨付保费补贴资金材料凭证。</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2.1.6 按照省农业保险保费补贴资金管理和市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财政部门的结算要求，于2月 1 日前向</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财政局报送上年度财政补贴资金结算申请报告及附件（含电子文档）。</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2.1.7 按照政策性农业保险承保机构服务评价办法，对照承保机构服务评价指标体系及评分细则，开展本机构上一年度农业保险工作情况自评工作，并将自评表和评价得分的支撑资料装订成册，于 2月1日前报送</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促展委办。</w:t>
      </w:r>
    </w:p>
    <w:p>
      <w:pPr>
        <w:spacing w:line="480" w:lineRule="exact"/>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2.1.8 每季度第一个月3日前，报送截至上季度末的农业保险保费补贴情况统计表。每年 7 月 10 日前，根据政策性农业保险承保数量、保险金额、保险费 率和保险费补贴比例等测算报送下一年度预计各级财政承担的保费补贴资金</w:t>
      </w:r>
      <w:r>
        <w:rPr>
          <w:rFonts w:hint="eastAsia" w:ascii="宋体" w:hAnsi="宋体" w:cs="宋体"/>
          <w:color w:val="auto"/>
          <w:sz w:val="24"/>
          <w:szCs w:val="24"/>
          <w:highlight w:val="none"/>
          <w:lang w:eastAsia="zh-CN"/>
        </w:rPr>
        <w:t>。</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2.1.9 按时完成</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财政局（</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促展委办）安排的农业保险相关工作。</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2.1.10 根据《江苏省省级财政农业保险保费补贴管理办法》（苏财规〔2022〕6号）及其他有关文件，按时向协办机构支付工作费用，用于农业保险的政策宣传、组织推动、信息统计、事故查勘和损失鉴定、防灾减损等发生的专家劳务、交通通讯、会务资料、设施器材、物资损耗以及协办人员的费用等相关工作支出。</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服务规范要求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主动高效服务农业保险发展需要，按照《中央财政农业保险保费补贴管理办法》《农业保险承保理赔管理办法》及省市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有关要求，规范开展承保理赔工作，并留存承保、理赔档案。对承保、理赔业务的真实性负责。</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 如实告知。严格履行说明义务，向投保人重点说明投保险种的保险责任、责任免除、合同双方权利义务、特别约定、理赔标准和方式等条款内容。保障投保人、被保险人的知情权和自主权，不得欺骗、误导投保，不得以不正当手段强迫投保或限制投保；不得向投保人、被保险人给予或承诺给予保险合同约定以外的保费回扣、赔付返还或者其他利益。</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 验标承保。对保险标的真实性、准确性、权属和风险等情况进行查验，并妥善保存相关证明资料。对保险标的不具有保险利益的个人或单位，保险机构不得将其确定为被保险人。</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2.2.3 出单。投保信息应真实、准确、完整，严禁虚假记录或编制投保信息。相关承保业务单证（包括分户投保清单）应当由投保人、被保险人签名或盖章确认。在确认收到应缴保费后，出具保险单。保险单或保险凭证应当及时发放到户。</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2.2.4 查勘时效。接到报案后，保险机构应当在24小时内进行查勘，因客观原因难以及时查勘的，应当与报案人联系并说明原因。</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2.2.5 查勘影像。对损失情况进行拍摄，并确保影像资料清晰、完整、未经任何修改。查勘影像应当体现查勘人员、拍摄位置、拍摄日期、受损标的特征和规模、损失原因和程度、标识或有关信息等。</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2.2.6 及时定责定损。种植业、森林保险发生全部损失的，在接到报案后10日内完成损失核定；发生部分损失的，在接到报案后20日内完成损失核定。养殖业保险在接到报案后3日内完成损失核定。发生重大灾害、大范围疫情以及存在其他特殊情形的，保险机构可以适当延长损失核定时间，应向被保险人做好解释说明工作。组织投保的分户理赔清单，应由被保险人签名或盖章确认。</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2.2.7公示。在依法保护个人信息的前提下，对分户投保清单、定损结果进行不少于3天的承保公示。公示方式包括：在村级或农业生产经营组织公共区域张贴公告；通过政府公共网站、行业信息平台发布；经被保险人同意的其他线上公示方式。公示期间，若接到对公示内容的反馈意见，应及时处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2.2.8 保处联动。病死畜禽必须100%无害化处理，否则，不得理赔。</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2.2.9 支付赔款。在与被保险人达成赔偿协议后10日内，将赔款支付给被保险人。赔款一律通过转账方式直接支付到被保险人银行账户（卡）或被保险人一折通财政涉农补贴账户，同时，留存支付证明，并将理赔信息及时告知被保险人。</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2.2.10 对承保、理赔业务的真实性负责，及时报送真实性、合规、准确的数据材料。</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2.1.11 不得因拒绝承保、拖赔、惜赔等损害农民权益行为被投诉、举报、上访，及时处理处理理赔纠纷，妥善化解矛盾与争议。</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 服务绩效目标</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 三大粮食作物承保率、育肥猪保险不低于省、市、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下达的年度指标。三大粮食作物保险覆盖率=三大粮食作物参加农业保险面积/播种面积；育肥猪保险覆盖率=育肥猪投保头数/年出栏头数。</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 农业保险保费规模不低于上年，农业保险保障总额增幅超过第一产业增加值增幅 10%。</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 农业保险理赔兑现率≥95%。理赔结案率＝已结案件数量/已立案件数量×0.5＋已结案件金额/已立案件金额×0.5。</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 农户满意度（政策知晓率、满意率）≥90%。政策知晓率=知晓人数/调查总人数；满意率＝满意人数/调查总人数。</w:t>
      </w:r>
    </w:p>
    <w:p>
      <w:pPr>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（三）其他要求</w:t>
      </w:r>
    </w:p>
    <w:p>
      <w:pPr>
        <w:spacing w:line="480" w:lineRule="exact"/>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中标人在实施本项目经营管理时须符合国家相关的政策法规,无条件执行国家、地方政府、行业协会最新的标准和条例。</w:t>
      </w:r>
      <w:r>
        <w:rPr>
          <w:rFonts w:hint="eastAsia" w:ascii="宋体" w:hAnsi="宋体" w:cs="宋体"/>
          <w:color w:val="auto"/>
          <w:sz w:val="24"/>
          <w:szCs w:val="24"/>
          <w:highlight w:val="none"/>
          <w:lang w:val="en-US" w:eastAsia="zh-CN"/>
        </w:rPr>
        <w:t>保险</w:t>
      </w:r>
      <w:r>
        <w:rPr>
          <w:rFonts w:hint="eastAsia" w:ascii="宋体" w:hAnsi="宋体" w:eastAsia="宋体" w:cs="宋体"/>
          <w:color w:val="auto"/>
          <w:sz w:val="24"/>
          <w:szCs w:val="24"/>
          <w:highlight w:val="none"/>
          <w:lang w:val="en-US" w:eastAsia="zh-CN"/>
        </w:rPr>
        <w:t>公司服务期内对涉及商品的包装应按照“财办库〔2020〕123号《关于印发《商品包装政府采购需求标准（试行）》、《快递包装政府采购需求标准（试行）》的通知》”执行。涉及设备运维参考《绿色数据中心政府采购需求标准（试行）》（财库【2023】7号文）执行。</w:t>
      </w:r>
    </w:p>
    <w:p>
      <w:pPr>
        <w:spacing w:line="480" w:lineRule="exact"/>
        <w:ind w:firstLine="480" w:firstLineChars="200"/>
        <w:rPr>
          <w:rFonts w:hint="eastAsia" w:ascii="宋体" w:hAnsi="宋体" w:eastAsia="宋体" w:cs="宋体"/>
          <w:color w:val="auto"/>
          <w:sz w:val="24"/>
          <w:szCs w:val="24"/>
          <w:highlight w:val="none"/>
        </w:rPr>
      </w:pP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）商务部分</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1.保费补贴资金拨付。依据国家、省、市、</w:t>
      </w:r>
      <w:r>
        <w:rPr>
          <w:rFonts w:hint="eastAsia" w:ascii="宋体" w:hAnsi="宋体" w:cs="宋体"/>
          <w:color w:val="auto"/>
          <w:sz w:val="24"/>
          <w:szCs w:val="24"/>
          <w:highlight w:val="none"/>
          <w:lang w:val="en-US" w:eastAsia="zh-CN"/>
        </w:rPr>
        <w:t>县</w:t>
      </w:r>
      <w:r>
        <w:rPr>
          <w:rFonts w:hint="eastAsia" w:ascii="宋体" w:hAnsi="宋体" w:eastAsia="宋体" w:cs="宋体"/>
          <w:color w:val="auto"/>
          <w:sz w:val="24"/>
          <w:szCs w:val="24"/>
          <w:highlight w:val="none"/>
        </w:rPr>
        <w:t>有关农业保险保费补贴资金管理的规定，原则上按季度提交申请保费补贴报告以及必要的凭证材料，甲方在审核检查无误的基础上拨付保险费补贴资金。</w:t>
      </w:r>
    </w:p>
    <w:p>
      <w:pPr>
        <w:spacing w:line="0" w:lineRule="atLeas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2.服务期限：承保服务三年，理赔服务至全部承保保单理赔完毕</w:t>
      </w:r>
      <w:r>
        <w:rPr>
          <w:rFonts w:hint="eastAsia" w:ascii="宋体" w:hAnsi="宋体" w:eastAsia="宋体" w:cs="宋体"/>
          <w:color w:val="auto"/>
          <w:sz w:val="24"/>
          <w:szCs w:val="24"/>
          <w:highlight w:val="none"/>
          <w:lang w:eastAsia="zh-CN"/>
        </w:rPr>
        <w:t>。</w:t>
      </w:r>
    </w:p>
    <w:p>
      <w:pPr>
        <w:spacing w:line="500" w:lineRule="exact"/>
        <w:ind w:firstLine="1320"/>
        <w:rPr>
          <w:rFonts w:hint="eastAsia" w:ascii="宋体" w:hAnsi="宋体" w:eastAsia="宋体" w:cs="宋体"/>
          <w:color w:val="auto"/>
          <w:sz w:val="24"/>
          <w:szCs w:val="24"/>
          <w:highlight w:val="none"/>
        </w:rPr>
      </w:pPr>
    </w:p>
    <w:p>
      <w:pPr>
        <w:spacing w:line="500" w:lineRule="exact"/>
        <w:ind w:firstLine="1320"/>
        <w:rPr>
          <w:rFonts w:hint="eastAsia" w:ascii="宋体" w:hAnsi="宋体" w:eastAsia="宋体" w:cs="宋体"/>
          <w:color w:val="auto"/>
          <w:sz w:val="24"/>
          <w:szCs w:val="24"/>
          <w:highlight w:val="none"/>
        </w:rPr>
      </w:pPr>
    </w:p>
    <w:p>
      <w:pPr>
        <w:spacing w:line="500" w:lineRule="exact"/>
        <w:ind w:firstLine="1320"/>
        <w:rPr>
          <w:rFonts w:hint="eastAsia" w:ascii="宋体" w:hAnsi="宋体" w:eastAsia="宋体" w:cs="宋体"/>
          <w:color w:val="auto"/>
          <w:sz w:val="24"/>
          <w:szCs w:val="24"/>
          <w:highlight w:val="none"/>
        </w:rPr>
      </w:pPr>
    </w:p>
    <w:p>
      <w:pPr>
        <w:spacing w:line="500" w:lineRule="exact"/>
        <w:ind w:firstLine="132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采购标的对应的中小企业划分标准所属行业一览表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10"/>
        <w:gridCol w:w="3132"/>
        <w:gridCol w:w="42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1110" w:type="dxa"/>
            <w:noWrap w:val="0"/>
            <w:vAlign w:val="center"/>
          </w:tcPr>
          <w:p>
            <w:pPr>
              <w:spacing w:line="0" w:lineRule="atLeas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132" w:type="dxa"/>
            <w:noWrap w:val="0"/>
            <w:vAlign w:val="center"/>
          </w:tcPr>
          <w:p>
            <w:pPr>
              <w:spacing w:line="0" w:lineRule="atLeas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采购标的</w:t>
            </w:r>
          </w:p>
        </w:tc>
        <w:tc>
          <w:tcPr>
            <w:tcW w:w="4253" w:type="dxa"/>
            <w:noWrap w:val="0"/>
            <w:vAlign w:val="center"/>
          </w:tcPr>
          <w:p>
            <w:pPr>
              <w:spacing w:line="0" w:lineRule="atLeas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对应中小企业划分标准所属行业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91" w:hRule="atLeast"/>
          <w:jc w:val="center"/>
        </w:trPr>
        <w:tc>
          <w:tcPr>
            <w:tcW w:w="1110" w:type="dxa"/>
            <w:noWrap w:val="0"/>
            <w:vAlign w:val="top"/>
          </w:tcPr>
          <w:p>
            <w:pPr>
              <w:spacing w:line="0" w:lineRule="atLeas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132" w:type="dxa"/>
            <w:noWrap w:val="0"/>
            <w:vAlign w:val="top"/>
          </w:tcPr>
          <w:p>
            <w:pPr>
              <w:spacing w:line="0" w:lineRule="atLeast"/>
              <w:ind w:firstLine="36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金湖县政策性农业保险经办机构遴选项目</w:t>
            </w:r>
          </w:p>
        </w:tc>
        <w:tc>
          <w:tcPr>
            <w:tcW w:w="4253" w:type="dxa"/>
            <w:noWrap w:val="0"/>
            <w:vAlign w:val="top"/>
          </w:tcPr>
          <w:p>
            <w:pPr>
              <w:spacing w:line="0" w:lineRule="atLeast"/>
              <w:ind w:firstLine="36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金融业</w:t>
            </w:r>
          </w:p>
        </w:tc>
      </w:tr>
    </w:tbl>
    <w:p>
      <w:pPr>
        <w:spacing w:line="480" w:lineRule="exact"/>
        <w:ind w:firstLine="480" w:firstLineChars="200"/>
        <w:rPr>
          <w:rFonts w:hint="eastAsia" w:ascii="宋体" w:hAnsi="宋体" w:eastAsia="宋体" w:cs="宋体"/>
          <w:color w:val="auto"/>
          <w:sz w:val="24"/>
          <w:szCs w:val="24"/>
          <w:highlight w:val="none"/>
          <w:lang w:eastAsia="zh-CN"/>
        </w:rPr>
        <w:sectPr>
          <w:headerReference r:id="rId4" w:type="default"/>
          <w:pgSz w:w="11906" w:h="16839"/>
          <w:pgMar w:top="1118" w:right="1716" w:bottom="0" w:left="1785" w:header="878" w:footer="879" w:gutter="0"/>
          <w:cols w:space="720" w:num="1"/>
        </w:sectPr>
      </w:pPr>
    </w:p>
    <w:p>
      <w:pPr>
        <w:spacing w:line="520" w:lineRule="exact"/>
        <w:rPr>
          <w:rFonts w:hint="eastAsia" w:ascii="宋体" w:hAnsi="宋体" w:eastAsia="宋体" w:cs="宋体"/>
          <w:color w:val="auto"/>
          <w:sz w:val="24"/>
          <w:szCs w:val="24"/>
          <w:highlight w:val="none"/>
        </w:rPr>
      </w:pPr>
      <w:bookmarkStart w:id="195" w:name="_Toc120614281"/>
    </w:p>
    <w:p>
      <w:pPr>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第五章  评标方法与评标标准</w:t>
      </w:r>
    </w:p>
    <w:p>
      <w:pPr>
        <w:rPr>
          <w:rFonts w:hint="eastAsia" w:ascii="宋体" w:hAnsi="宋体" w:eastAsia="宋体" w:cs="宋体"/>
          <w:color w:val="auto"/>
          <w:highlight w:val="none"/>
        </w:rPr>
      </w:pPr>
    </w:p>
    <w:p>
      <w:pPr>
        <w:spacing w:line="520" w:lineRule="exact"/>
        <w:ind w:firstLine="753" w:firstLineChars="31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w:t>
      </w:r>
      <w:r>
        <w:rPr>
          <w:rFonts w:hint="eastAsia" w:ascii="宋体" w:hAnsi="宋体" w:eastAsia="宋体" w:cs="宋体"/>
          <w:color w:val="auto"/>
          <w:sz w:val="24"/>
          <w:szCs w:val="24"/>
          <w:highlight w:val="none"/>
          <w:lang w:val="en-US" w:eastAsia="zh-CN"/>
        </w:rPr>
        <w:t>采用综合评分法，评标结果按评审后得分由高到低顺序排列。</w:t>
      </w:r>
      <w:r>
        <w:rPr>
          <w:rFonts w:hint="eastAsia" w:ascii="宋体" w:hAnsi="宋体" w:eastAsia="宋体" w:cs="宋体"/>
          <w:color w:val="auto"/>
          <w:sz w:val="24"/>
          <w:szCs w:val="24"/>
          <w:highlight w:val="none"/>
        </w:rPr>
        <w:t>得分相同的，由评标委员会确定中标候选人。投标文件满足招标文件全部实质性要求，且按照评审因素的量化指标评审得分最高的前五名投标人作为中标候选人，得分排名第一的投标人承保第1</w:t>
      </w:r>
      <w:r>
        <w:rPr>
          <w:rFonts w:hint="eastAsia" w:ascii="宋体" w:hAnsi="宋体" w:cs="宋体"/>
          <w:color w:val="auto"/>
          <w:sz w:val="24"/>
          <w:szCs w:val="24"/>
          <w:highlight w:val="none"/>
          <w:lang w:val="en-US" w:eastAsia="zh-CN"/>
        </w:rPr>
        <w:t>区域</w:t>
      </w:r>
      <w:r>
        <w:rPr>
          <w:rFonts w:hint="eastAsia" w:ascii="宋体" w:hAnsi="宋体" w:eastAsia="宋体" w:cs="宋体"/>
          <w:color w:val="auto"/>
          <w:sz w:val="24"/>
          <w:szCs w:val="24"/>
          <w:highlight w:val="none"/>
        </w:rPr>
        <w:t>，以此类推。</w:t>
      </w:r>
    </w:p>
    <w:p>
      <w:pPr>
        <w:spacing w:line="52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二、政府采购政策功能落实</w:t>
      </w:r>
    </w:p>
    <w:p>
      <w:pPr>
        <w:spacing w:line="520" w:lineRule="exact"/>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促进中小企业发展</w:t>
      </w:r>
      <w:r>
        <w:rPr>
          <w:rFonts w:hint="eastAsia" w:ascii="宋体" w:hAnsi="宋体" w:eastAsia="宋体" w:cs="宋体"/>
          <w:color w:val="auto"/>
          <w:sz w:val="24"/>
          <w:szCs w:val="24"/>
          <w:highlight w:val="none"/>
        </w:rPr>
        <w:t>政策</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pPr>
        <w:spacing w:line="52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①本项目对小型和微型企业产品给予20%的扣除价格，用扣除后的价格参与评审。</w:t>
      </w:r>
    </w:p>
    <w:p>
      <w:pPr>
        <w:spacing w:line="52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②供应商需按照采购文件的要求提供相应的《小微企业声明函》。</w:t>
      </w:r>
    </w:p>
    <w:p>
      <w:pPr>
        <w:spacing w:line="52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③企业标准请参照《关于印发中小企业划型标准规定的通知》（工信部联企业[2011]300号）文件规定自行填写。</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pPr>
        <w:spacing w:line="52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①本项目对残疾人福利性单位视同小型、微型企业，给予20%的价格扣除，用扣除后的价格参与评审。</w:t>
      </w:r>
    </w:p>
    <w:p>
      <w:pPr>
        <w:spacing w:line="52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②残疾人福利单位需按照采购文件的要求提供《残疾人福利性单位声明函》。</w:t>
      </w:r>
    </w:p>
    <w:p>
      <w:pPr>
        <w:spacing w:line="52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③残疾人福利单位标准请参照《关于促进残疾人就业政府采购政策的通知》（财库〔2017〕141号）。</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pPr>
        <w:spacing w:line="52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①本项目对监狱和戒毒企业（简称监狱企业）视同小型、微型企业，给予20%的价格扣除，用扣除后的价格参与评审。</w:t>
      </w:r>
    </w:p>
    <w:p>
      <w:pPr>
        <w:spacing w:line="52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②监狱企业参加政府采购活动时，需提供由省级以上监狱管理局、戒毒管理局(含新疆生产建设兵团)出具的属于监狱企业的证明文件。供应商如不提供上述证明文件，价格将不做相应扣除。</w:t>
      </w:r>
    </w:p>
    <w:p>
      <w:pPr>
        <w:spacing w:line="520" w:lineRule="exact"/>
        <w:ind w:firstLine="2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③监狱企业标准请参照《关于政府采购支持监狱企业发展有关问题的通知》（财库[2014]68号）。</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p>
    <w:p>
      <w:pPr>
        <w:spacing w:line="52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（6）联合体各方均为小型、微型企业（残疾人福利单位、监狱企业）的，联合体享受20%价格扣除，用扣除后的价格参与评审。</w:t>
      </w:r>
    </w:p>
    <w:p>
      <w:pPr>
        <w:spacing w:line="52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三</w:t>
      </w:r>
      <w:r>
        <w:rPr>
          <w:rFonts w:hint="eastAsia" w:ascii="宋体" w:hAnsi="宋体" w:eastAsia="宋体" w:cs="宋体"/>
          <w:b/>
          <w:bCs/>
          <w:color w:val="auto"/>
          <w:sz w:val="28"/>
          <w:szCs w:val="28"/>
          <w:highlight w:val="none"/>
        </w:rPr>
        <w:t>、评审方法与评审标准</w:t>
      </w:r>
    </w:p>
    <w:tbl>
      <w:tblPr>
        <w:tblStyle w:val="34"/>
        <w:tblW w:w="925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752"/>
        <w:gridCol w:w="1200"/>
        <w:gridCol w:w="6770"/>
        <w:gridCol w:w="53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10" w:hRule="atLeast"/>
          <w:jc w:val="center"/>
        </w:trPr>
        <w:tc>
          <w:tcPr>
            <w:tcW w:w="752"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评审项目</w:t>
            </w:r>
          </w:p>
        </w:tc>
        <w:tc>
          <w:tcPr>
            <w:tcW w:w="1200"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评审内容</w:t>
            </w:r>
          </w:p>
        </w:tc>
        <w:tc>
          <w:tcPr>
            <w:tcW w:w="6770"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评审依据</w:t>
            </w:r>
          </w:p>
        </w:tc>
        <w:tc>
          <w:tcPr>
            <w:tcW w:w="531"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b/>
                <w:bCs/>
                <w:color w:val="auto"/>
                <w:kern w:val="0"/>
                <w:sz w:val="21"/>
                <w:szCs w:val="21"/>
                <w:highlight w:val="none"/>
              </w:rPr>
            </w:pPr>
            <w:r>
              <w:rPr>
                <w:rFonts w:hint="eastAsia" w:ascii="宋体" w:hAnsi="宋体" w:eastAsia="宋体" w:cs="宋体"/>
                <w:b/>
                <w:bCs/>
                <w:color w:val="auto"/>
                <w:kern w:val="0"/>
                <w:sz w:val="21"/>
                <w:szCs w:val="21"/>
                <w:highlight w:val="none"/>
              </w:rPr>
              <w:t>分值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12" w:hRule="atLeast"/>
          <w:jc w:val="center"/>
        </w:trPr>
        <w:tc>
          <w:tcPr>
            <w:tcW w:w="752" w:type="dxa"/>
            <w:vMerge w:val="continue"/>
            <w:noWrap w:val="0"/>
            <w:tcMar>
              <w:top w:w="12" w:type="dxa"/>
              <w:left w:w="12" w:type="dxa"/>
              <w:right w:w="12" w:type="dxa"/>
            </w:tcMar>
            <w:vAlign w:val="center"/>
          </w:tcPr>
          <w:p>
            <w:pPr>
              <w:jc w:val="center"/>
              <w:rPr>
                <w:rFonts w:hint="eastAsia" w:ascii="宋体" w:hAnsi="宋体" w:eastAsia="宋体" w:cs="宋体"/>
                <w:color w:val="auto"/>
                <w:kern w:val="0"/>
                <w:sz w:val="21"/>
                <w:szCs w:val="21"/>
                <w:highlight w:val="none"/>
              </w:rPr>
            </w:pPr>
          </w:p>
        </w:tc>
        <w:tc>
          <w:tcPr>
            <w:tcW w:w="1200" w:type="dxa"/>
            <w:vMerge w:val="continue"/>
            <w:noWrap w:val="0"/>
            <w:tcMar>
              <w:top w:w="12" w:type="dxa"/>
              <w:left w:w="12" w:type="dxa"/>
              <w:right w:w="12" w:type="dxa"/>
            </w:tcMar>
            <w:vAlign w:val="center"/>
          </w:tcPr>
          <w:p>
            <w:pPr>
              <w:jc w:val="center"/>
              <w:rPr>
                <w:rFonts w:hint="eastAsia" w:ascii="宋体" w:hAnsi="宋体" w:eastAsia="宋体" w:cs="宋体"/>
                <w:color w:val="auto"/>
                <w:kern w:val="0"/>
                <w:sz w:val="21"/>
                <w:szCs w:val="21"/>
                <w:highlight w:val="none"/>
              </w:rPr>
            </w:pPr>
          </w:p>
        </w:tc>
        <w:tc>
          <w:tcPr>
            <w:tcW w:w="6770" w:type="dxa"/>
            <w:vMerge w:val="continue"/>
            <w:noWrap w:val="0"/>
            <w:tcMar>
              <w:top w:w="12" w:type="dxa"/>
              <w:left w:w="12" w:type="dxa"/>
              <w:right w:w="12" w:type="dxa"/>
            </w:tcMar>
            <w:vAlign w:val="center"/>
          </w:tcPr>
          <w:p>
            <w:pPr>
              <w:jc w:val="center"/>
              <w:rPr>
                <w:rFonts w:hint="eastAsia" w:ascii="宋体" w:hAnsi="宋体" w:eastAsia="宋体" w:cs="宋体"/>
                <w:color w:val="auto"/>
                <w:kern w:val="0"/>
                <w:sz w:val="21"/>
                <w:szCs w:val="21"/>
                <w:highlight w:val="none"/>
              </w:rPr>
            </w:pPr>
          </w:p>
        </w:tc>
        <w:tc>
          <w:tcPr>
            <w:tcW w:w="531" w:type="dxa"/>
            <w:vMerge w:val="continue"/>
            <w:noWrap w:val="0"/>
            <w:tcMar>
              <w:top w:w="12" w:type="dxa"/>
              <w:left w:w="12" w:type="dxa"/>
              <w:right w:w="12" w:type="dxa"/>
            </w:tcMar>
            <w:vAlign w:val="center"/>
          </w:tcPr>
          <w:p>
            <w:pPr>
              <w:jc w:val="center"/>
              <w:rPr>
                <w:rFonts w:hint="eastAsia" w:ascii="宋体" w:hAnsi="宋体" w:eastAsia="宋体" w:cs="宋体"/>
                <w:color w:val="auto"/>
                <w:kern w:val="0"/>
                <w:sz w:val="21"/>
                <w:szCs w:val="21"/>
                <w:highlight w:val="none"/>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67" w:hRule="atLeast"/>
          <w:jc w:val="center"/>
        </w:trPr>
        <w:tc>
          <w:tcPr>
            <w:tcW w:w="752"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服务能力（</w:t>
            </w:r>
            <w:r>
              <w:rPr>
                <w:rFonts w:hint="eastAsia" w:ascii="宋体" w:hAnsi="宋体" w:cs="宋体"/>
                <w:color w:val="auto"/>
                <w:kern w:val="0"/>
                <w:sz w:val="24"/>
                <w:szCs w:val="24"/>
                <w:highlight w:val="none"/>
                <w:lang w:val="en-US" w:eastAsia="zh-CN"/>
              </w:rPr>
              <w:t>39</w:t>
            </w:r>
            <w:r>
              <w:rPr>
                <w:rFonts w:hint="eastAsia" w:ascii="宋体" w:hAnsi="宋体" w:eastAsia="宋体" w:cs="宋体"/>
                <w:color w:val="auto"/>
                <w:kern w:val="0"/>
                <w:sz w:val="24"/>
                <w:szCs w:val="24"/>
                <w:highlight w:val="none"/>
              </w:rPr>
              <w:t>分）</w:t>
            </w:r>
          </w:p>
        </w:tc>
        <w:tc>
          <w:tcPr>
            <w:tcW w:w="1200"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偿付能力充足率</w:t>
            </w: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投标人或其总公司综合偿付能力充足率在200% (含)以上得 4 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200%- 1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0%（含）得3分，1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0%以下不得分（投标人提供总公司经审计的202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年偿付能力报告原件扫描并加盖投标人电子签章，报告内容需清晰体现综合偿付能力充足率，未提供或提供的内容不能反映上述要求不得分）</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65" w:hRule="atLeast"/>
          <w:jc w:val="center"/>
        </w:trPr>
        <w:tc>
          <w:tcPr>
            <w:tcW w:w="752" w:type="dxa"/>
            <w:vMerge w:val="continue"/>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tc>
        <w:tc>
          <w:tcPr>
            <w:tcW w:w="1200"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风险综合评级</w:t>
            </w:r>
          </w:p>
        </w:tc>
        <w:tc>
          <w:tcPr>
            <w:tcW w:w="6770" w:type="dxa"/>
            <w:noWrap w:val="0"/>
            <w:tcMar>
              <w:top w:w="12" w:type="dxa"/>
              <w:left w:w="12" w:type="dxa"/>
              <w:right w:w="12" w:type="dxa"/>
            </w:tcMar>
            <w:vAlign w:val="center"/>
          </w:tcPr>
          <w:p>
            <w:pPr>
              <w:pStyle w:val="319"/>
              <w:spacing w:before="65" w:line="268" w:lineRule="auto"/>
              <w:ind w:left="22" w:right="6"/>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val="en-US" w:eastAsia="zh-CN" w:bidi="ar-SA"/>
              </w:rPr>
              <w:t>投标人或其总公司风险综合评级（分类监管），A-AAA 类及以上得 3分,B-BBB 类得 2 分，C 类及以下不得分（提供2022年度末的审计报告或保险监管机构偿二代监管信息系统截图和对应网站链接）</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cs="宋体"/>
                <w:color w:val="auto"/>
                <w:kern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vMerge w:val="continue"/>
            <w:noWrap w:val="0"/>
            <w:tcMar>
              <w:top w:w="12" w:type="dxa"/>
              <w:left w:w="12" w:type="dxa"/>
              <w:right w:w="12" w:type="dxa"/>
            </w:tcMar>
            <w:vAlign w:val="center"/>
          </w:tcPr>
          <w:p>
            <w:pPr>
              <w:jc w:val="center"/>
              <w:rPr>
                <w:rFonts w:hint="eastAsia" w:ascii="宋体" w:hAnsi="宋体" w:eastAsia="宋体" w:cs="宋体"/>
                <w:color w:val="auto"/>
                <w:kern w:val="0"/>
                <w:sz w:val="24"/>
                <w:szCs w:val="24"/>
                <w:highlight w:val="none"/>
              </w:rPr>
            </w:pPr>
          </w:p>
        </w:tc>
        <w:tc>
          <w:tcPr>
            <w:tcW w:w="1200"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风险管控</w:t>
            </w: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评</w:t>
            </w:r>
            <w:r>
              <w:rPr>
                <w:rFonts w:hint="eastAsia" w:ascii="宋体" w:hAnsi="宋体" w:eastAsia="宋体" w:cs="宋体"/>
                <w:color w:val="auto"/>
                <w:spacing w:val="9"/>
                <w:sz w:val="24"/>
                <w:szCs w:val="24"/>
                <w:highlight w:val="none"/>
              </w:rPr>
              <w:t>评委根据投标人提供的上级公司（省公司或总公司）重大灾害风险应急管</w:t>
            </w:r>
            <w:r>
              <w:rPr>
                <w:rFonts w:hint="eastAsia" w:ascii="宋体" w:hAnsi="宋体" w:eastAsia="宋体" w:cs="宋体"/>
                <w:color w:val="auto"/>
                <w:spacing w:val="8"/>
                <w:sz w:val="24"/>
                <w:szCs w:val="24"/>
                <w:highlight w:val="none"/>
              </w:rPr>
              <w:t>理预案综合评分。内容需包含：工作原则、组织体系及职责分工；大</w:t>
            </w:r>
            <w:r>
              <w:rPr>
                <w:rFonts w:hint="eastAsia" w:ascii="宋体" w:hAnsi="宋体" w:eastAsia="宋体" w:cs="宋体"/>
                <w:color w:val="auto"/>
                <w:spacing w:val="7"/>
                <w:sz w:val="24"/>
                <w:szCs w:val="24"/>
                <w:highlight w:val="none"/>
              </w:rPr>
              <w:t>灾分</w:t>
            </w:r>
            <w:r>
              <w:rPr>
                <w:rFonts w:hint="eastAsia" w:ascii="宋体" w:hAnsi="宋体" w:eastAsia="宋体" w:cs="宋体"/>
                <w:color w:val="auto"/>
                <w:spacing w:val="9"/>
                <w:sz w:val="24"/>
                <w:szCs w:val="24"/>
                <w:highlight w:val="none"/>
              </w:rPr>
              <w:t>级、应急准备；应急处置及预警、理</w:t>
            </w:r>
            <w:r>
              <w:rPr>
                <w:rFonts w:hint="eastAsia" w:ascii="宋体" w:hAnsi="宋体" w:eastAsia="宋体" w:cs="宋体"/>
                <w:color w:val="auto"/>
                <w:spacing w:val="8"/>
                <w:sz w:val="24"/>
                <w:szCs w:val="24"/>
                <w:highlight w:val="none"/>
              </w:rPr>
              <w:t>赔及后期处置等应对预案。</w:t>
            </w:r>
            <w:r>
              <w:rPr>
                <w:rFonts w:hint="eastAsia" w:ascii="宋体" w:hAnsi="宋体" w:eastAsia="宋体" w:cs="宋体"/>
                <w:color w:val="auto"/>
                <w:kern w:val="0"/>
                <w:sz w:val="24"/>
                <w:szCs w:val="24"/>
                <w:highlight w:val="none"/>
                <w:lang w:val="en-US" w:eastAsia="zh-CN"/>
              </w:rPr>
              <w:t>方案</w:t>
            </w:r>
            <w:r>
              <w:rPr>
                <w:rFonts w:hint="eastAsia" w:ascii="宋体" w:hAnsi="宋体" w:eastAsia="宋体" w:cs="宋体"/>
                <w:color w:val="auto"/>
                <w:kern w:val="0"/>
                <w:sz w:val="24"/>
                <w:szCs w:val="24"/>
                <w:highlight w:val="none"/>
              </w:rPr>
              <w:t>内容详细完整、</w:t>
            </w:r>
            <w:r>
              <w:rPr>
                <w:rFonts w:hint="eastAsia" w:ascii="宋体" w:hAnsi="宋体" w:eastAsia="宋体" w:cs="宋体"/>
                <w:color w:val="auto"/>
                <w:kern w:val="0"/>
                <w:sz w:val="24"/>
                <w:szCs w:val="24"/>
                <w:highlight w:val="none"/>
                <w:lang w:eastAsia="zh-CN"/>
              </w:rPr>
              <w:t>科学合理的，</w:t>
            </w:r>
            <w:r>
              <w:rPr>
                <w:rFonts w:hint="eastAsia" w:ascii="宋体" w:hAnsi="宋体" w:eastAsia="宋体" w:cs="宋体"/>
                <w:color w:val="auto"/>
                <w:kern w:val="0"/>
                <w:sz w:val="24"/>
                <w:szCs w:val="24"/>
                <w:highlight w:val="none"/>
                <w:lang w:val="en-US" w:eastAsia="zh-CN"/>
              </w:rPr>
              <w:t>可操作性强的</w:t>
            </w:r>
            <w:r>
              <w:rPr>
                <w:rFonts w:hint="eastAsia" w:ascii="宋体" w:hAnsi="宋体" w:eastAsia="宋体" w:cs="宋体"/>
                <w:color w:val="auto"/>
                <w:kern w:val="0"/>
                <w:sz w:val="24"/>
                <w:szCs w:val="24"/>
                <w:highlight w:val="none"/>
              </w:rPr>
              <w:t>得</w:t>
            </w:r>
            <w:r>
              <w:rPr>
                <w:rFonts w:hint="eastAsia" w:ascii="宋体" w:hAnsi="宋体" w:eastAsia="宋体" w:cs="宋体"/>
                <w:color w:val="auto"/>
                <w:kern w:val="0"/>
                <w:sz w:val="24"/>
                <w:szCs w:val="24"/>
                <w:highlight w:val="none"/>
                <w:lang w:val="en-US" w:eastAsia="zh-CN"/>
              </w:rPr>
              <w:t>10-7</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val="en-US" w:eastAsia="zh-CN"/>
              </w:rPr>
              <w:t>方案</w:t>
            </w:r>
            <w:r>
              <w:rPr>
                <w:rFonts w:hint="eastAsia" w:ascii="宋体" w:hAnsi="宋体" w:eastAsia="宋体" w:cs="宋体"/>
                <w:color w:val="auto"/>
                <w:kern w:val="0"/>
                <w:sz w:val="24"/>
                <w:szCs w:val="24"/>
                <w:highlight w:val="none"/>
                <w:lang w:eastAsia="zh-CN"/>
              </w:rPr>
              <w:t>内容</w:t>
            </w:r>
            <w:r>
              <w:rPr>
                <w:rFonts w:hint="eastAsia" w:ascii="宋体" w:hAnsi="宋体" w:eastAsia="宋体" w:cs="宋体"/>
                <w:color w:val="auto"/>
                <w:kern w:val="0"/>
                <w:sz w:val="24"/>
                <w:szCs w:val="24"/>
                <w:highlight w:val="none"/>
              </w:rPr>
              <w:t>较</w:t>
            </w:r>
            <w:r>
              <w:rPr>
                <w:rFonts w:hint="eastAsia" w:ascii="宋体" w:hAnsi="宋体" w:eastAsia="宋体" w:cs="宋体"/>
                <w:color w:val="auto"/>
                <w:kern w:val="0"/>
                <w:sz w:val="24"/>
                <w:szCs w:val="24"/>
                <w:highlight w:val="none"/>
                <w:lang w:eastAsia="zh-CN"/>
              </w:rPr>
              <w:t>详细</w:t>
            </w:r>
            <w:r>
              <w:rPr>
                <w:rFonts w:hint="eastAsia" w:ascii="宋体" w:hAnsi="宋体" w:eastAsia="宋体" w:cs="宋体"/>
                <w:color w:val="auto"/>
                <w:kern w:val="0"/>
                <w:sz w:val="24"/>
                <w:szCs w:val="24"/>
                <w:highlight w:val="none"/>
              </w:rPr>
              <w:t>，较科学合理</w:t>
            </w:r>
            <w:r>
              <w:rPr>
                <w:rFonts w:hint="eastAsia" w:ascii="宋体" w:hAnsi="宋体" w:eastAsia="宋体" w:cs="宋体"/>
                <w:color w:val="auto"/>
                <w:kern w:val="0"/>
                <w:sz w:val="24"/>
                <w:szCs w:val="24"/>
                <w:highlight w:val="none"/>
                <w:lang w:eastAsia="zh-CN"/>
              </w:rPr>
              <w:t>的，</w:t>
            </w:r>
            <w:r>
              <w:rPr>
                <w:rFonts w:hint="eastAsia" w:ascii="宋体" w:hAnsi="宋体" w:eastAsia="宋体" w:cs="宋体"/>
                <w:color w:val="auto"/>
                <w:kern w:val="0"/>
                <w:sz w:val="24"/>
                <w:szCs w:val="24"/>
                <w:highlight w:val="none"/>
                <w:lang w:val="en-US" w:eastAsia="zh-CN"/>
              </w:rPr>
              <w:t>可操作的得6-4分；方案内容基本清晰，基本科学合理的，基本可操的得3-1分；不提供不得分。</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37" w:hRule="atLeast"/>
          <w:jc w:val="center"/>
        </w:trPr>
        <w:tc>
          <w:tcPr>
            <w:tcW w:w="752" w:type="dxa"/>
            <w:vMerge w:val="continue"/>
            <w:noWrap w:val="0"/>
            <w:tcMar>
              <w:top w:w="12" w:type="dxa"/>
              <w:left w:w="12" w:type="dxa"/>
              <w:right w:w="12" w:type="dxa"/>
            </w:tcMar>
            <w:vAlign w:val="center"/>
          </w:tcPr>
          <w:p>
            <w:pPr>
              <w:jc w:val="center"/>
              <w:rPr>
                <w:rFonts w:hint="eastAsia" w:ascii="宋体" w:hAnsi="宋体" w:eastAsia="宋体" w:cs="宋体"/>
                <w:color w:val="auto"/>
                <w:kern w:val="0"/>
                <w:sz w:val="24"/>
                <w:szCs w:val="24"/>
                <w:highlight w:val="none"/>
              </w:rPr>
            </w:pPr>
          </w:p>
        </w:tc>
        <w:tc>
          <w:tcPr>
            <w:tcW w:w="1200" w:type="dxa"/>
            <w:vMerge w:val="continue"/>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tc>
        <w:tc>
          <w:tcPr>
            <w:tcW w:w="6770" w:type="dxa"/>
            <w:noWrap w:val="0"/>
            <w:tcMar>
              <w:top w:w="12" w:type="dxa"/>
              <w:left w:w="12" w:type="dxa"/>
              <w:right w:w="12" w:type="dxa"/>
            </w:tcMar>
            <w:vAlign w:val="center"/>
          </w:tcPr>
          <w:p>
            <w:pPr>
              <w:widowControl/>
              <w:numPr>
                <w:ilvl w:val="0"/>
                <w:numId w:val="5"/>
              </w:numPr>
              <w:jc w:val="left"/>
              <w:textAlignment w:val="center"/>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按照财政部《农业保险大灾风险准备金管理办法》（财金〔2013〕129号）计提202</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年农业大灾风险准备金并提供提取记录的得4分，不能提供提取记录的不得分</w:t>
            </w:r>
            <w:r>
              <w:rPr>
                <w:rFonts w:hint="eastAsia" w:ascii="宋体" w:hAnsi="宋体" w:eastAsia="宋体" w:cs="宋体"/>
                <w:b/>
                <w:bCs/>
                <w:color w:val="auto"/>
                <w:kern w:val="0"/>
                <w:sz w:val="24"/>
                <w:szCs w:val="24"/>
                <w:highlight w:val="none"/>
              </w:rPr>
              <w:t>（提供原件扫描并加盖投标人电子签章）</w:t>
            </w:r>
            <w:r>
              <w:rPr>
                <w:rFonts w:hint="eastAsia" w:ascii="宋体" w:hAnsi="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rPr>
              <w:t xml:space="preserve">               </w:t>
            </w:r>
          </w:p>
          <w:p>
            <w:pPr>
              <w:widowControl/>
              <w:numPr>
                <w:ilvl w:val="0"/>
                <w:numId w:val="0"/>
              </w:numPr>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b/>
                <w:bCs/>
                <w:color w:val="auto"/>
                <w:kern w:val="0"/>
                <w:sz w:val="24"/>
                <w:szCs w:val="24"/>
                <w:highlight w:val="none"/>
              </w:rPr>
              <w:t>2、</w:t>
            </w:r>
            <w:r>
              <w:rPr>
                <w:rFonts w:hint="eastAsia" w:ascii="宋体" w:hAnsi="宋体" w:eastAsia="宋体" w:cs="宋体"/>
                <w:color w:val="auto"/>
                <w:kern w:val="0"/>
                <w:sz w:val="24"/>
                <w:szCs w:val="24"/>
                <w:highlight w:val="none"/>
              </w:rPr>
              <w:t>投标人总公司与中国农再签署当期有效</w:t>
            </w:r>
            <w:r>
              <w:rPr>
                <w:rFonts w:hint="eastAsia" w:ascii="宋体" w:hAnsi="宋体" w:eastAsia="宋体" w:cs="宋体"/>
                <w:color w:val="auto"/>
                <w:spacing w:val="7"/>
                <w:sz w:val="24"/>
                <w:szCs w:val="24"/>
                <w:highlight w:val="none"/>
              </w:rPr>
              <w:t>的</w:t>
            </w:r>
            <w:r>
              <w:rPr>
                <w:rFonts w:hint="eastAsia" w:ascii="宋体" w:hAnsi="宋体" w:eastAsia="宋体" w:cs="宋体"/>
                <w:color w:val="auto"/>
                <w:kern w:val="0"/>
                <w:sz w:val="24"/>
                <w:szCs w:val="24"/>
                <w:highlight w:val="none"/>
              </w:rPr>
              <w:t>《政策性农业保险再保险标准协议》得1分，不提供不得分</w:t>
            </w:r>
            <w:r>
              <w:rPr>
                <w:rFonts w:hint="eastAsia" w:ascii="宋体" w:hAnsi="宋体" w:eastAsia="宋体" w:cs="宋体"/>
                <w:b/>
                <w:bCs/>
                <w:color w:val="auto"/>
                <w:kern w:val="0"/>
                <w:sz w:val="24"/>
                <w:szCs w:val="24"/>
                <w:highlight w:val="none"/>
              </w:rPr>
              <w:t>（</w:t>
            </w:r>
            <w:r>
              <w:rPr>
                <w:rFonts w:hint="eastAsia" w:ascii="宋体" w:hAnsi="宋体" w:eastAsia="宋体" w:cs="宋体"/>
                <w:b/>
                <w:bCs/>
                <w:color w:val="auto"/>
                <w:kern w:val="0"/>
                <w:sz w:val="24"/>
                <w:szCs w:val="24"/>
                <w:highlight w:val="none"/>
                <w:lang w:val="en-US" w:eastAsia="zh-CN"/>
              </w:rPr>
              <w:t>如2024年还未签订，可提供2023年度</w:t>
            </w:r>
            <w:r>
              <w:rPr>
                <w:rFonts w:hint="eastAsia" w:ascii="宋体" w:hAnsi="宋体" w:eastAsia="宋体" w:cs="宋体"/>
                <w:b/>
                <w:bCs/>
                <w:color w:val="auto"/>
                <w:kern w:val="0"/>
                <w:sz w:val="24"/>
                <w:szCs w:val="24"/>
                <w:highlight w:val="none"/>
              </w:rPr>
              <w:t>原件扫描并加盖投标人电子签章）</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vMerge w:val="continue"/>
            <w:noWrap w:val="0"/>
            <w:tcMar>
              <w:top w:w="12" w:type="dxa"/>
              <w:left w:w="12" w:type="dxa"/>
              <w:right w:w="12" w:type="dxa"/>
            </w:tcMar>
            <w:vAlign w:val="center"/>
          </w:tcPr>
          <w:p>
            <w:pPr>
              <w:jc w:val="center"/>
              <w:rPr>
                <w:rFonts w:hint="eastAsia" w:ascii="宋体" w:hAnsi="宋体" w:eastAsia="宋体" w:cs="宋体"/>
                <w:color w:val="auto"/>
                <w:kern w:val="0"/>
                <w:sz w:val="24"/>
                <w:szCs w:val="24"/>
                <w:highlight w:val="none"/>
              </w:rPr>
            </w:pPr>
          </w:p>
        </w:tc>
        <w:tc>
          <w:tcPr>
            <w:tcW w:w="1200"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科技赋能</w:t>
            </w: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sz w:val="24"/>
                <w:szCs w:val="24"/>
                <w:highlight w:val="none"/>
              </w:rPr>
              <w:t>利用卫星、网络、移动端开展农业保险线上化精准承保理赔服务，具有保险标的定位、保险标的数量识别、理赔处理、保单查询</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rPr>
              <w:t>4项能力，每项能力得 1 分</w:t>
            </w:r>
            <w:r>
              <w:rPr>
                <w:rFonts w:hint="eastAsia" w:ascii="宋体" w:hAnsi="宋体" w:eastAsia="宋体" w:cs="宋体"/>
                <w:b/>
                <w:bCs/>
                <w:color w:val="auto"/>
                <w:sz w:val="24"/>
                <w:szCs w:val="24"/>
                <w:highlight w:val="none"/>
              </w:rPr>
              <w:t>（提供相关工具照片和能够显示保险标的位置、保险标的数量、查勘理赔处理、保单查询结果的证明材料等）</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vMerge w:val="continue"/>
            <w:noWrap w:val="0"/>
            <w:tcMar>
              <w:top w:w="12" w:type="dxa"/>
              <w:left w:w="12" w:type="dxa"/>
              <w:right w:w="12" w:type="dxa"/>
            </w:tcMar>
            <w:vAlign w:val="center"/>
          </w:tcPr>
          <w:p>
            <w:pPr>
              <w:jc w:val="center"/>
              <w:rPr>
                <w:rFonts w:hint="eastAsia" w:ascii="宋体" w:hAnsi="宋体" w:eastAsia="宋体" w:cs="宋体"/>
                <w:color w:val="auto"/>
                <w:kern w:val="0"/>
                <w:sz w:val="24"/>
                <w:szCs w:val="24"/>
                <w:highlight w:val="none"/>
              </w:rPr>
            </w:pPr>
          </w:p>
        </w:tc>
        <w:tc>
          <w:tcPr>
            <w:tcW w:w="120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服务经验</w:t>
            </w: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pacing w:val="9"/>
                <w:sz w:val="24"/>
                <w:szCs w:val="24"/>
                <w:highlight w:val="none"/>
              </w:rPr>
              <w:t>投标人与县（区）级政府或有关农业保险管理部门、专门办公室签订的农业保险协议合同，具有政策性农业保险主保经验每一份得</w:t>
            </w:r>
            <w:r>
              <w:rPr>
                <w:rFonts w:hint="eastAsia" w:ascii="宋体" w:hAnsi="宋体" w:eastAsia="宋体" w:cs="宋体"/>
                <w:color w:val="auto"/>
                <w:spacing w:val="9"/>
                <w:sz w:val="24"/>
                <w:szCs w:val="24"/>
                <w:highlight w:val="none"/>
                <w:lang w:val="en-US" w:eastAsia="zh-CN"/>
              </w:rPr>
              <w:t>2</w:t>
            </w:r>
            <w:r>
              <w:rPr>
                <w:rFonts w:hint="eastAsia" w:ascii="宋体" w:hAnsi="宋体" w:eastAsia="宋体" w:cs="宋体"/>
                <w:color w:val="auto"/>
                <w:spacing w:val="9"/>
                <w:sz w:val="24"/>
                <w:szCs w:val="24"/>
                <w:highlight w:val="none"/>
              </w:rPr>
              <w:t>分，具有政策性农业保险从保经验每一份得</w:t>
            </w:r>
            <w:r>
              <w:rPr>
                <w:rFonts w:hint="eastAsia" w:ascii="宋体" w:hAnsi="宋体" w:eastAsia="宋体" w:cs="宋体"/>
                <w:color w:val="auto"/>
                <w:spacing w:val="9"/>
                <w:sz w:val="24"/>
                <w:szCs w:val="24"/>
                <w:highlight w:val="none"/>
                <w:lang w:val="en-US" w:eastAsia="zh-CN"/>
              </w:rPr>
              <w:t>1</w:t>
            </w:r>
            <w:r>
              <w:rPr>
                <w:rFonts w:hint="eastAsia" w:ascii="宋体" w:hAnsi="宋体" w:eastAsia="宋体" w:cs="宋体"/>
                <w:color w:val="auto"/>
                <w:spacing w:val="9"/>
                <w:sz w:val="24"/>
                <w:szCs w:val="24"/>
                <w:highlight w:val="none"/>
              </w:rPr>
              <w:t>分，本项最高得10分（提供合同、协议等原件扫描并加盖投标人电子签章）</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vMerge w:val="continue"/>
            <w:noWrap w:val="0"/>
            <w:tcMar>
              <w:top w:w="12" w:type="dxa"/>
              <w:left w:w="12" w:type="dxa"/>
              <w:right w:w="12" w:type="dxa"/>
            </w:tcMar>
            <w:vAlign w:val="center"/>
          </w:tcPr>
          <w:p>
            <w:pPr>
              <w:jc w:val="center"/>
              <w:rPr>
                <w:rFonts w:hint="eastAsia" w:ascii="宋体" w:hAnsi="宋体" w:eastAsia="宋体" w:cs="宋体"/>
                <w:color w:val="auto"/>
                <w:kern w:val="0"/>
                <w:sz w:val="24"/>
                <w:szCs w:val="24"/>
                <w:highlight w:val="none"/>
              </w:rPr>
            </w:pPr>
          </w:p>
        </w:tc>
        <w:tc>
          <w:tcPr>
            <w:tcW w:w="120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合规经营</w:t>
            </w: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自 2021 年 1 月 1 日以来，农险工作没有被银保监局处罚的得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 xml:space="preserve"> 分，查询到有一项处罚扣 1 分，扣完为止</w:t>
            </w:r>
            <w:r>
              <w:rPr>
                <w:rFonts w:hint="eastAsia" w:ascii="宋体" w:hAnsi="宋体" w:cs="宋体"/>
                <w:color w:val="auto"/>
                <w:kern w:val="0"/>
                <w:sz w:val="24"/>
                <w:szCs w:val="24"/>
                <w:highlight w:val="none"/>
                <w:lang w:eastAsia="zh-CN"/>
              </w:rPr>
              <w:t>。</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28" w:hRule="atLeast"/>
          <w:jc w:val="center"/>
        </w:trPr>
        <w:tc>
          <w:tcPr>
            <w:tcW w:w="752"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服务保障（</w:t>
            </w:r>
            <w:r>
              <w:rPr>
                <w:rFonts w:hint="eastAsia" w:ascii="宋体" w:hAnsi="宋体" w:eastAsia="宋体" w:cs="宋体"/>
                <w:color w:val="auto"/>
                <w:kern w:val="0"/>
                <w:sz w:val="24"/>
                <w:szCs w:val="24"/>
                <w:highlight w:val="none"/>
                <w:lang w:val="en-US" w:eastAsia="zh-CN"/>
              </w:rPr>
              <w:t>29</w:t>
            </w:r>
            <w:r>
              <w:rPr>
                <w:rFonts w:hint="eastAsia" w:ascii="宋体" w:hAnsi="宋体" w:eastAsia="宋体" w:cs="宋体"/>
                <w:color w:val="auto"/>
                <w:kern w:val="0"/>
                <w:sz w:val="24"/>
                <w:szCs w:val="24"/>
                <w:highlight w:val="none"/>
              </w:rPr>
              <w:t>分）</w:t>
            </w:r>
          </w:p>
        </w:tc>
        <w:tc>
          <w:tcPr>
            <w:tcW w:w="1200"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机构设置</w:t>
            </w: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投标人在投标区域内已建成农业保险分支机构的得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承诺中标后在投标区域建立</w:t>
            </w:r>
            <w:r>
              <w:rPr>
                <w:rFonts w:hint="eastAsia" w:ascii="宋体" w:hAnsi="宋体" w:eastAsia="宋体" w:cs="宋体"/>
                <w:color w:val="auto"/>
                <w:kern w:val="0"/>
                <w:sz w:val="24"/>
                <w:szCs w:val="24"/>
                <w:highlight w:val="none"/>
              </w:rPr>
              <w:t>农业保险分支机构</w:t>
            </w:r>
            <w:r>
              <w:rPr>
                <w:rFonts w:hint="eastAsia" w:ascii="宋体" w:hAnsi="宋体" w:eastAsia="宋体" w:cs="宋体"/>
                <w:color w:val="auto"/>
                <w:kern w:val="0"/>
                <w:sz w:val="24"/>
                <w:szCs w:val="24"/>
                <w:highlight w:val="none"/>
                <w:lang w:val="en-US" w:eastAsia="zh-CN"/>
              </w:rPr>
              <w:t>得2分，本项最多得3分</w:t>
            </w:r>
            <w:r>
              <w:rPr>
                <w:rFonts w:hint="eastAsia" w:ascii="宋体" w:hAnsi="宋体" w:eastAsia="宋体" w:cs="宋体"/>
                <w:b/>
                <w:bCs/>
                <w:color w:val="auto"/>
                <w:kern w:val="0"/>
                <w:sz w:val="24"/>
                <w:szCs w:val="24"/>
                <w:highlight w:val="none"/>
              </w:rPr>
              <w:t>（提供由保险监管部门颁发的经营保险业务许可证、营业执照原件扫描或复印件加盖章</w:t>
            </w:r>
            <w:r>
              <w:rPr>
                <w:rFonts w:hint="eastAsia" w:ascii="宋体" w:hAnsi="宋体" w:eastAsia="宋体" w:cs="宋体"/>
                <w:b/>
                <w:bCs/>
                <w:color w:val="auto"/>
                <w:kern w:val="0"/>
                <w:sz w:val="24"/>
                <w:szCs w:val="24"/>
                <w:highlight w:val="none"/>
                <w:lang w:eastAsia="zh-CN"/>
              </w:rPr>
              <w:t>，</w:t>
            </w:r>
            <w:r>
              <w:rPr>
                <w:rFonts w:hint="eastAsia" w:ascii="宋体" w:hAnsi="宋体" w:eastAsia="宋体" w:cs="宋体"/>
                <w:b/>
                <w:bCs/>
                <w:color w:val="auto"/>
                <w:kern w:val="0"/>
                <w:sz w:val="24"/>
                <w:szCs w:val="24"/>
                <w:highlight w:val="none"/>
                <w:lang w:val="en-US" w:eastAsia="zh-CN"/>
              </w:rPr>
              <w:t>或提供承诺书</w:t>
            </w:r>
            <w:r>
              <w:rPr>
                <w:rFonts w:hint="eastAsia" w:ascii="宋体" w:hAnsi="宋体" w:eastAsia="宋体" w:cs="宋体"/>
                <w:b/>
                <w:bCs/>
                <w:color w:val="auto"/>
                <w:kern w:val="0"/>
                <w:sz w:val="24"/>
                <w:szCs w:val="24"/>
                <w:highlight w:val="none"/>
              </w:rPr>
              <w:t>）</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276" w:hRule="atLeast"/>
          <w:jc w:val="center"/>
        </w:trPr>
        <w:tc>
          <w:tcPr>
            <w:tcW w:w="752" w:type="dxa"/>
            <w:vMerge w:val="continue"/>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tc>
        <w:tc>
          <w:tcPr>
            <w:tcW w:w="1200" w:type="dxa"/>
            <w:vMerge w:val="continue"/>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p>
        </w:tc>
        <w:tc>
          <w:tcPr>
            <w:tcW w:w="6770" w:type="dxa"/>
            <w:noWrap w:val="0"/>
            <w:tcMar>
              <w:top w:w="12" w:type="dxa"/>
              <w:left w:w="12" w:type="dxa"/>
              <w:right w:w="12" w:type="dxa"/>
            </w:tcMar>
            <w:vAlign w:val="center"/>
          </w:tcPr>
          <w:p>
            <w:pPr>
              <w:widowControl/>
              <w:numPr>
                <w:ilvl w:val="0"/>
                <w:numId w:val="6"/>
              </w:numPr>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投标人在遴选区域内设有农业保险镇级服务机构的，每设置1 个得 </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 xml:space="preserve"> 分，在遴选区域内设有</w:t>
            </w:r>
            <w:r>
              <w:rPr>
                <w:rFonts w:hint="eastAsia" w:ascii="宋体" w:hAnsi="宋体" w:eastAsia="宋体" w:cs="宋体"/>
                <w:color w:val="auto"/>
                <w:kern w:val="0"/>
                <w:sz w:val="24"/>
                <w:szCs w:val="24"/>
                <w:highlight w:val="none"/>
                <w:lang w:val="en-US" w:eastAsia="zh-CN"/>
              </w:rPr>
              <w:t>镇</w:t>
            </w:r>
            <w:r>
              <w:rPr>
                <w:rFonts w:hint="eastAsia" w:ascii="宋体" w:hAnsi="宋体" w:eastAsia="宋体" w:cs="宋体"/>
                <w:color w:val="auto"/>
                <w:kern w:val="0"/>
                <w:sz w:val="24"/>
                <w:szCs w:val="24"/>
                <w:highlight w:val="none"/>
              </w:rPr>
              <w:t>级服务站</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每设置 1个</w:t>
            </w:r>
            <w:r>
              <w:rPr>
                <w:rFonts w:hint="eastAsia" w:ascii="宋体" w:hAnsi="宋体" w:cs="宋体"/>
                <w:color w:val="auto"/>
                <w:kern w:val="0"/>
                <w:sz w:val="24"/>
                <w:szCs w:val="24"/>
                <w:highlight w:val="none"/>
                <w:lang w:val="en-US" w:eastAsia="zh-CN"/>
              </w:rPr>
              <w:t>得</w:t>
            </w:r>
            <w:r>
              <w:rPr>
                <w:rFonts w:hint="eastAsia" w:ascii="宋体" w:hAnsi="宋体" w:eastAsia="宋体" w:cs="宋体"/>
                <w:color w:val="auto"/>
                <w:kern w:val="0"/>
                <w:sz w:val="24"/>
                <w:szCs w:val="24"/>
                <w:highlight w:val="none"/>
                <w:lang w:val="en-US" w:eastAsia="zh-CN"/>
              </w:rPr>
              <w:t>2</w:t>
            </w:r>
            <w:r>
              <w:rPr>
                <w:rFonts w:hint="eastAsia" w:ascii="宋体" w:hAnsi="宋体" w:cs="宋体"/>
                <w:color w:val="auto"/>
                <w:kern w:val="0"/>
                <w:sz w:val="24"/>
                <w:szCs w:val="24"/>
                <w:highlight w:val="none"/>
                <w:lang w:val="en-US" w:eastAsia="zh-CN"/>
              </w:rPr>
              <w:t>分</w:t>
            </w:r>
            <w:r>
              <w:rPr>
                <w:rFonts w:hint="eastAsia" w:ascii="宋体" w:hAnsi="宋体" w:eastAsia="宋体" w:cs="宋体"/>
                <w:color w:val="auto"/>
                <w:kern w:val="0"/>
                <w:sz w:val="24"/>
                <w:szCs w:val="24"/>
                <w:highlight w:val="none"/>
                <w:lang w:val="en-US" w:eastAsia="zh-CN"/>
              </w:rPr>
              <w:t>，本项</w:t>
            </w:r>
            <w:r>
              <w:rPr>
                <w:rFonts w:hint="eastAsia" w:ascii="宋体" w:hAnsi="宋体" w:eastAsia="宋体" w:cs="宋体"/>
                <w:color w:val="auto"/>
                <w:kern w:val="0"/>
                <w:sz w:val="24"/>
                <w:szCs w:val="24"/>
                <w:highlight w:val="none"/>
              </w:rPr>
              <w:t>最高得</w:t>
            </w:r>
            <w:r>
              <w:rPr>
                <w:rFonts w:hint="eastAsia" w:ascii="宋体" w:hAnsi="宋体" w:eastAsia="宋体" w:cs="宋体"/>
                <w:color w:val="auto"/>
                <w:kern w:val="0"/>
                <w:sz w:val="24"/>
                <w:szCs w:val="24"/>
                <w:highlight w:val="none"/>
                <w:lang w:val="en-US" w:eastAsia="zh-CN"/>
              </w:rPr>
              <w:t>10</w:t>
            </w:r>
            <w:r>
              <w:rPr>
                <w:rFonts w:hint="eastAsia" w:ascii="宋体" w:hAnsi="宋体" w:eastAsia="宋体" w:cs="宋体"/>
                <w:color w:val="auto"/>
                <w:kern w:val="0"/>
                <w:sz w:val="24"/>
                <w:szCs w:val="24"/>
                <w:highlight w:val="none"/>
              </w:rPr>
              <w:t xml:space="preserve"> 分，未设不得分。共保体共同经营的，共保人可以放弃独立身份，按照 202</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年共保比例和主承保人得分折算得分，得分=（共保比例/主承保人共保比例）×主承保人得分。（镇级服务机构需提供营业执照、经营保险业务许可证等原件扫描或复印件加盖公章，共保体共同经营的提供能显示共保比例的共保协议，原件扫描上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镇</w:t>
            </w:r>
            <w:r>
              <w:rPr>
                <w:rFonts w:hint="eastAsia" w:ascii="宋体" w:hAnsi="宋体" w:eastAsia="宋体" w:cs="宋体"/>
                <w:color w:val="auto"/>
                <w:kern w:val="0"/>
                <w:sz w:val="24"/>
                <w:szCs w:val="24"/>
                <w:highlight w:val="none"/>
              </w:rPr>
              <w:t>级服务站需提供内外影像，服务站外部必须高挂醒目牌匾，站内必须有相应的基础办公设施，共保体共同经营的提供能显示共保比例的共保协议，原件扫描上传）</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813" w:hRule="atLeast"/>
          <w:jc w:val="center"/>
        </w:trPr>
        <w:tc>
          <w:tcPr>
            <w:tcW w:w="752" w:type="dxa"/>
            <w:vMerge w:val="continue"/>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tc>
        <w:tc>
          <w:tcPr>
            <w:tcW w:w="1200"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人员配备</w:t>
            </w: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1、配备协保人员并覆盖</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rPr>
              <w:t>个镇街的（每个镇街至少有二名协保员）得6分，人员配备不足</w:t>
            </w:r>
            <w:r>
              <w:rPr>
                <w:rFonts w:hint="eastAsia" w:ascii="宋体" w:hAnsi="宋体" w:eastAsia="宋体" w:cs="宋体"/>
                <w:color w:val="auto"/>
                <w:kern w:val="0"/>
                <w:sz w:val="24"/>
                <w:szCs w:val="24"/>
                <w:highlight w:val="none"/>
                <w:lang w:val="en-US" w:eastAsia="zh-CN"/>
              </w:rPr>
              <w:t>6</w:t>
            </w:r>
            <w:r>
              <w:rPr>
                <w:rFonts w:hint="eastAsia" w:ascii="宋体" w:hAnsi="宋体" w:eastAsia="宋体" w:cs="宋体"/>
                <w:color w:val="auto"/>
                <w:kern w:val="0"/>
                <w:sz w:val="24"/>
                <w:szCs w:val="24"/>
                <w:highlight w:val="none"/>
              </w:rPr>
              <w:t>（含）人的得3分，</w:t>
            </w:r>
            <w:r>
              <w:rPr>
                <w:rFonts w:hint="eastAsia" w:ascii="宋体" w:hAnsi="宋体" w:eastAsia="宋体" w:cs="宋体"/>
                <w:color w:val="auto"/>
                <w:kern w:val="0"/>
                <w:sz w:val="24"/>
                <w:szCs w:val="24"/>
                <w:highlight w:val="none"/>
                <w:lang w:val="en-US" w:eastAsia="zh-CN"/>
              </w:rPr>
              <w:t>本项最多得6分，</w:t>
            </w:r>
            <w:r>
              <w:rPr>
                <w:rFonts w:hint="eastAsia" w:ascii="宋体" w:hAnsi="宋体" w:eastAsia="宋体" w:cs="宋体"/>
                <w:color w:val="auto"/>
                <w:kern w:val="0"/>
                <w:sz w:val="24"/>
                <w:szCs w:val="24"/>
                <w:highlight w:val="none"/>
              </w:rPr>
              <w:t>未配备不得分（配备相关协保人员的人员名单、相关协议）</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vMerge w:val="continue"/>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tc>
        <w:tc>
          <w:tcPr>
            <w:tcW w:w="1200" w:type="dxa"/>
            <w:vMerge w:val="continue"/>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投标人聘用农业专家团队</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rPr>
              <w:t>（含）人以上的得6分，</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（含）人得4分，2（含）人得2分，</w:t>
            </w:r>
            <w:r>
              <w:rPr>
                <w:rFonts w:hint="eastAsia" w:ascii="宋体" w:hAnsi="宋体" w:eastAsia="宋体" w:cs="宋体"/>
                <w:color w:val="auto"/>
                <w:kern w:val="0"/>
                <w:sz w:val="24"/>
                <w:szCs w:val="24"/>
                <w:highlight w:val="none"/>
                <w:lang w:val="en-US" w:eastAsia="zh-CN"/>
              </w:rPr>
              <w:t>1人</w:t>
            </w:r>
            <w:r>
              <w:rPr>
                <w:rFonts w:hint="eastAsia" w:ascii="宋体" w:hAnsi="宋体" w:cs="宋体"/>
                <w:color w:val="auto"/>
                <w:kern w:val="0"/>
                <w:sz w:val="24"/>
                <w:szCs w:val="24"/>
                <w:highlight w:val="none"/>
                <w:lang w:val="en-US" w:eastAsia="zh-CN"/>
              </w:rPr>
              <w:t>的</w:t>
            </w:r>
            <w:r>
              <w:rPr>
                <w:rFonts w:hint="eastAsia" w:ascii="宋体" w:hAnsi="宋体" w:eastAsia="宋体" w:cs="宋体"/>
                <w:color w:val="auto"/>
                <w:kern w:val="0"/>
                <w:sz w:val="24"/>
                <w:szCs w:val="24"/>
                <w:highlight w:val="none"/>
                <w:lang w:val="en-US" w:eastAsia="zh-CN"/>
              </w:rPr>
              <w:t>得1分，</w:t>
            </w:r>
            <w:r>
              <w:rPr>
                <w:rFonts w:hint="eastAsia" w:ascii="宋体" w:hAnsi="宋体" w:eastAsia="宋体" w:cs="宋体"/>
                <w:color w:val="auto"/>
                <w:kern w:val="0"/>
                <w:sz w:val="24"/>
                <w:szCs w:val="24"/>
                <w:highlight w:val="none"/>
              </w:rPr>
              <w:t>未聘用不得分（提供招标公告发布之日前聘用农业专家相关资质证书以及与专家签订的合同、聘书等材料，不提供不得分）</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vMerge w:val="continue"/>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tc>
        <w:tc>
          <w:tcPr>
            <w:tcW w:w="1200"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设备配置</w:t>
            </w: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1、投标人配备农险查勘车辆总数为10辆及以上，且承诺在中标后其中用于投标区域农险查勘车辆不低于</w:t>
            </w: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辆的，得2分</w:t>
            </w:r>
            <w:r>
              <w:rPr>
                <w:rFonts w:hint="eastAsia" w:ascii="宋体" w:hAnsi="宋体" w:eastAsia="宋体" w:cs="宋体"/>
                <w:b/>
                <w:bCs/>
                <w:color w:val="auto"/>
                <w:kern w:val="0"/>
                <w:sz w:val="24"/>
                <w:szCs w:val="24"/>
                <w:highlight w:val="none"/>
              </w:rPr>
              <w:t>（投标人在投标文件中提供配备车辆所有权人为投标人或其分支机构的机动车行驶证原件扫描或复印件加盖公章，低于标准或未承诺不得分）</w:t>
            </w:r>
          </w:p>
          <w:p>
            <w:pPr>
              <w:widowControl/>
              <w:jc w:val="left"/>
              <w:textAlignment w:val="center"/>
              <w:rPr>
                <w:rFonts w:hint="eastAsia" w:ascii="宋体" w:hAnsi="宋体" w:eastAsia="宋体" w:cs="宋体"/>
                <w:b/>
                <w:bCs/>
                <w:color w:val="auto"/>
                <w:kern w:val="0"/>
                <w:sz w:val="24"/>
                <w:szCs w:val="24"/>
                <w:highlight w:val="none"/>
              </w:rPr>
            </w:pPr>
            <w:r>
              <w:rPr>
                <w:rFonts w:hint="eastAsia" w:ascii="宋体" w:hAnsi="宋体" w:eastAsia="宋体" w:cs="宋体"/>
                <w:color w:val="auto"/>
                <w:kern w:val="0"/>
                <w:sz w:val="24"/>
                <w:szCs w:val="24"/>
                <w:highlight w:val="none"/>
              </w:rPr>
              <w:t>2、投标人配备无人机总数2架及以上的得2分。</w:t>
            </w:r>
            <w:r>
              <w:rPr>
                <w:rFonts w:hint="eastAsia" w:ascii="宋体" w:hAnsi="宋体" w:eastAsia="宋体" w:cs="宋体"/>
                <w:b/>
                <w:bCs/>
                <w:color w:val="auto"/>
                <w:kern w:val="0"/>
                <w:sz w:val="24"/>
                <w:szCs w:val="24"/>
                <w:highlight w:val="none"/>
              </w:rPr>
              <w:t>（投标人在投标文件中提供无人机所有权人为投标人或其分支机构的购买发票原件扫描复印件加盖公章，低于标准或未承诺不得分）</w:t>
            </w:r>
          </w:p>
          <w:p>
            <w:pPr>
              <w:widowControl/>
              <w:jc w:val="left"/>
              <w:textAlignment w:val="center"/>
              <w:rPr>
                <w:rFonts w:hint="eastAsia" w:ascii="宋体" w:hAnsi="宋体" w:eastAsia="宋体" w:cs="宋体"/>
                <w:b/>
                <w:bCs/>
                <w:color w:val="auto"/>
                <w:sz w:val="24"/>
                <w:szCs w:val="24"/>
                <w:highlight w:val="none"/>
              </w:rPr>
            </w:pPr>
            <w:r>
              <w:rPr>
                <w:rFonts w:hint="eastAsia" w:ascii="宋体" w:hAnsi="宋体" w:eastAsia="宋体" w:cs="宋体"/>
                <w:b/>
                <w:bCs/>
                <w:color w:val="auto"/>
                <w:kern w:val="0"/>
                <w:sz w:val="24"/>
                <w:szCs w:val="24"/>
                <w:highlight w:val="none"/>
              </w:rPr>
              <w:t>注：以上两项如为投标人上级机构购买的，提供授予使用的相关证明材料，否则不予认可。</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vMerge w:val="restart"/>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服务机制（</w:t>
            </w:r>
            <w:r>
              <w:rPr>
                <w:rFonts w:hint="eastAsia" w:ascii="宋体" w:hAnsi="宋体" w:eastAsia="宋体" w:cs="宋体"/>
                <w:color w:val="auto"/>
                <w:kern w:val="0"/>
                <w:sz w:val="24"/>
                <w:szCs w:val="24"/>
                <w:highlight w:val="none"/>
                <w:lang w:val="en-US" w:eastAsia="zh-CN"/>
              </w:rPr>
              <w:t>2</w:t>
            </w:r>
            <w:r>
              <w:rPr>
                <w:rFonts w:hint="eastAsia" w:ascii="宋体" w:hAnsi="宋体" w:cs="宋体"/>
                <w:color w:val="auto"/>
                <w:kern w:val="0"/>
                <w:sz w:val="24"/>
                <w:szCs w:val="24"/>
                <w:highlight w:val="none"/>
                <w:lang w:val="en-US" w:eastAsia="zh-CN"/>
              </w:rPr>
              <w:t>9</w:t>
            </w:r>
            <w:r>
              <w:rPr>
                <w:rFonts w:hint="eastAsia" w:ascii="宋体" w:hAnsi="宋体" w:eastAsia="宋体" w:cs="宋体"/>
                <w:color w:val="auto"/>
                <w:kern w:val="0"/>
                <w:sz w:val="24"/>
                <w:szCs w:val="24"/>
                <w:highlight w:val="none"/>
              </w:rPr>
              <w:t>分）</w:t>
            </w:r>
          </w:p>
        </w:tc>
        <w:tc>
          <w:tcPr>
            <w:tcW w:w="1200"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信息化建设及共享</w:t>
            </w:r>
          </w:p>
        </w:tc>
        <w:tc>
          <w:tcPr>
            <w:tcW w:w="6770" w:type="dxa"/>
            <w:noWrap w:val="0"/>
            <w:tcMar>
              <w:top w:w="12" w:type="dxa"/>
              <w:left w:w="12" w:type="dxa"/>
              <w:right w:w="12" w:type="dxa"/>
            </w:tcMar>
            <w:vAlign w:val="center"/>
          </w:tcPr>
          <w:p>
            <w:pPr>
              <w:widowControl/>
              <w:numPr>
                <w:ilvl w:val="0"/>
                <w:numId w:val="7"/>
              </w:numPr>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提供投标人农险业务信息系统与其他保险业务分开管理，单独核算损益的证明，能够按要求与中国农业再保险股份有限公司约定分保业务信息系统对接得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分；否则不得分。</w:t>
            </w:r>
            <w:r>
              <w:rPr>
                <w:rFonts w:hint="eastAsia" w:ascii="宋体" w:hAnsi="宋体" w:eastAsia="宋体" w:cs="宋体"/>
                <w:b/>
                <w:bCs/>
                <w:color w:val="auto"/>
                <w:sz w:val="24"/>
                <w:szCs w:val="24"/>
                <w:highlight w:val="none"/>
              </w:rPr>
              <w:t>（提供农业保险信息系统有关功能截图）</w:t>
            </w:r>
          </w:p>
          <w:p>
            <w:pPr>
              <w:widowControl/>
              <w:numPr>
                <w:ilvl w:val="0"/>
                <w:numId w:val="7"/>
              </w:numPr>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具备相对独立、功能完善的农业保险信息管理系统，具备数据管理和统计分析功能、能够直接导出承保、理赔、批改等数据的得</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分；否则不得分。</w:t>
            </w:r>
            <w:r>
              <w:rPr>
                <w:rFonts w:hint="eastAsia" w:ascii="宋体" w:hAnsi="宋体" w:eastAsia="宋体" w:cs="宋体"/>
                <w:b/>
                <w:bCs/>
                <w:color w:val="auto"/>
                <w:kern w:val="0"/>
                <w:sz w:val="24"/>
                <w:szCs w:val="24"/>
                <w:highlight w:val="none"/>
              </w:rPr>
              <w:t>（提供农业保险信息系统有关功能截图）</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6</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vMerge w:val="continue"/>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tc>
        <w:tc>
          <w:tcPr>
            <w:tcW w:w="1200"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内控制度</w:t>
            </w: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pacing w:val="9"/>
                <w:sz w:val="24"/>
                <w:szCs w:val="24"/>
                <w:highlight w:val="none"/>
              </w:rPr>
              <w:t>投标人具有明确合理的职责分工制度、健全的会计和企业管理制度、有效的内部审计制度、档案管理和客户回访制度、报表制度等。</w:t>
            </w:r>
            <w:r>
              <w:rPr>
                <w:rFonts w:hint="eastAsia" w:ascii="宋体" w:hAnsi="宋体" w:eastAsia="宋体" w:cs="宋体"/>
                <w:color w:val="auto"/>
                <w:kern w:val="0"/>
                <w:sz w:val="24"/>
                <w:szCs w:val="24"/>
                <w:highlight w:val="none"/>
                <w:lang w:val="en-US" w:eastAsia="zh-CN"/>
              </w:rPr>
              <w:t>方案</w:t>
            </w:r>
            <w:r>
              <w:rPr>
                <w:rFonts w:hint="eastAsia" w:ascii="宋体" w:hAnsi="宋体" w:eastAsia="宋体" w:cs="宋体"/>
                <w:color w:val="auto"/>
                <w:kern w:val="0"/>
                <w:sz w:val="24"/>
                <w:szCs w:val="24"/>
                <w:highlight w:val="none"/>
              </w:rPr>
              <w:t>内容详细完整、</w:t>
            </w:r>
            <w:r>
              <w:rPr>
                <w:rFonts w:hint="eastAsia" w:ascii="宋体" w:hAnsi="宋体" w:eastAsia="宋体" w:cs="宋体"/>
                <w:color w:val="auto"/>
                <w:kern w:val="0"/>
                <w:sz w:val="24"/>
                <w:szCs w:val="24"/>
                <w:highlight w:val="none"/>
                <w:lang w:eastAsia="zh-CN"/>
              </w:rPr>
              <w:t>科学合理的，</w:t>
            </w:r>
            <w:r>
              <w:rPr>
                <w:rFonts w:hint="eastAsia" w:ascii="宋体" w:hAnsi="宋体" w:eastAsia="宋体" w:cs="宋体"/>
                <w:color w:val="auto"/>
                <w:kern w:val="0"/>
                <w:sz w:val="24"/>
                <w:szCs w:val="24"/>
                <w:highlight w:val="none"/>
                <w:lang w:val="en-US" w:eastAsia="zh-CN"/>
              </w:rPr>
              <w:t>可操作性强的</w:t>
            </w:r>
            <w:r>
              <w:rPr>
                <w:rFonts w:hint="eastAsia" w:ascii="宋体" w:hAnsi="宋体" w:eastAsia="宋体" w:cs="宋体"/>
                <w:color w:val="auto"/>
                <w:kern w:val="0"/>
                <w:sz w:val="24"/>
                <w:szCs w:val="24"/>
                <w:highlight w:val="none"/>
              </w:rPr>
              <w:t>得</w:t>
            </w:r>
            <w:r>
              <w:rPr>
                <w:rFonts w:hint="eastAsia" w:ascii="宋体" w:hAnsi="宋体" w:eastAsia="宋体" w:cs="宋体"/>
                <w:color w:val="auto"/>
                <w:kern w:val="0"/>
                <w:sz w:val="24"/>
                <w:szCs w:val="24"/>
                <w:highlight w:val="none"/>
                <w:lang w:val="en-US" w:eastAsia="zh-CN"/>
              </w:rPr>
              <w:t>10-7</w:t>
            </w:r>
            <w:r>
              <w:rPr>
                <w:rFonts w:hint="eastAsia" w:ascii="宋体" w:hAnsi="宋体" w:eastAsia="宋体" w:cs="宋体"/>
                <w:color w:val="auto"/>
                <w:kern w:val="0"/>
                <w:sz w:val="24"/>
                <w:szCs w:val="24"/>
                <w:highlight w:val="none"/>
              </w:rPr>
              <w:t>分；</w:t>
            </w:r>
            <w:r>
              <w:rPr>
                <w:rFonts w:hint="eastAsia" w:ascii="宋体" w:hAnsi="宋体" w:eastAsia="宋体" w:cs="宋体"/>
                <w:color w:val="auto"/>
                <w:kern w:val="0"/>
                <w:sz w:val="24"/>
                <w:szCs w:val="24"/>
                <w:highlight w:val="none"/>
                <w:lang w:val="en-US" w:eastAsia="zh-CN"/>
              </w:rPr>
              <w:t>方案</w:t>
            </w:r>
            <w:r>
              <w:rPr>
                <w:rFonts w:hint="eastAsia" w:ascii="宋体" w:hAnsi="宋体" w:eastAsia="宋体" w:cs="宋体"/>
                <w:color w:val="auto"/>
                <w:kern w:val="0"/>
                <w:sz w:val="24"/>
                <w:szCs w:val="24"/>
                <w:highlight w:val="none"/>
                <w:lang w:eastAsia="zh-CN"/>
              </w:rPr>
              <w:t>内容</w:t>
            </w:r>
            <w:r>
              <w:rPr>
                <w:rFonts w:hint="eastAsia" w:ascii="宋体" w:hAnsi="宋体" w:eastAsia="宋体" w:cs="宋体"/>
                <w:color w:val="auto"/>
                <w:kern w:val="0"/>
                <w:sz w:val="24"/>
                <w:szCs w:val="24"/>
                <w:highlight w:val="none"/>
              </w:rPr>
              <w:t>较</w:t>
            </w:r>
            <w:r>
              <w:rPr>
                <w:rFonts w:hint="eastAsia" w:ascii="宋体" w:hAnsi="宋体" w:eastAsia="宋体" w:cs="宋体"/>
                <w:color w:val="auto"/>
                <w:kern w:val="0"/>
                <w:sz w:val="24"/>
                <w:szCs w:val="24"/>
                <w:highlight w:val="none"/>
                <w:lang w:eastAsia="zh-CN"/>
              </w:rPr>
              <w:t>详细</w:t>
            </w:r>
            <w:r>
              <w:rPr>
                <w:rFonts w:hint="eastAsia" w:ascii="宋体" w:hAnsi="宋体" w:eastAsia="宋体" w:cs="宋体"/>
                <w:color w:val="auto"/>
                <w:kern w:val="0"/>
                <w:sz w:val="24"/>
                <w:szCs w:val="24"/>
                <w:highlight w:val="none"/>
              </w:rPr>
              <w:t>，较科学合理</w:t>
            </w:r>
            <w:r>
              <w:rPr>
                <w:rFonts w:hint="eastAsia" w:ascii="宋体" w:hAnsi="宋体" w:eastAsia="宋体" w:cs="宋体"/>
                <w:color w:val="auto"/>
                <w:kern w:val="0"/>
                <w:sz w:val="24"/>
                <w:szCs w:val="24"/>
                <w:highlight w:val="none"/>
                <w:lang w:eastAsia="zh-CN"/>
              </w:rPr>
              <w:t>的，</w:t>
            </w:r>
            <w:r>
              <w:rPr>
                <w:rFonts w:hint="eastAsia" w:ascii="宋体" w:hAnsi="宋体" w:eastAsia="宋体" w:cs="宋体"/>
                <w:color w:val="auto"/>
                <w:kern w:val="0"/>
                <w:sz w:val="24"/>
                <w:szCs w:val="24"/>
                <w:highlight w:val="none"/>
                <w:lang w:val="en-US" w:eastAsia="zh-CN"/>
              </w:rPr>
              <w:t>可操作的得6-4分；方案内容基本清晰，基本科学合理的，基本可操的得3-1分；不提供不得分。</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10</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vMerge w:val="continue"/>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p>
        </w:tc>
        <w:tc>
          <w:tcPr>
            <w:tcW w:w="1200"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工作方案</w:t>
            </w:r>
          </w:p>
        </w:tc>
        <w:tc>
          <w:tcPr>
            <w:tcW w:w="6770" w:type="dxa"/>
            <w:noWrap w:val="0"/>
            <w:tcMar>
              <w:top w:w="12" w:type="dxa"/>
              <w:left w:w="12" w:type="dxa"/>
              <w:right w:w="12" w:type="dxa"/>
            </w:tcMar>
            <w:vAlign w:val="center"/>
          </w:tcPr>
          <w:p>
            <w:pPr>
              <w:widowControl/>
              <w:numPr>
                <w:ilvl w:val="0"/>
                <w:numId w:val="8"/>
              </w:numPr>
              <w:jc w:val="left"/>
              <w:textAlignment w:val="center"/>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宣传推动方案（</w:t>
            </w:r>
            <w:r>
              <w:rPr>
                <w:rFonts w:hint="eastAsia" w:ascii="宋体" w:hAnsi="宋体" w:cs="宋体"/>
                <w:color w:val="auto"/>
                <w:spacing w:val="9"/>
                <w:sz w:val="24"/>
                <w:szCs w:val="24"/>
                <w:highlight w:val="none"/>
                <w:lang w:val="en-US" w:eastAsia="zh-CN"/>
              </w:rPr>
              <w:t>4</w:t>
            </w:r>
            <w:r>
              <w:rPr>
                <w:rFonts w:hint="eastAsia" w:ascii="宋体" w:hAnsi="宋体" w:eastAsia="宋体" w:cs="宋体"/>
                <w:color w:val="auto"/>
                <w:spacing w:val="9"/>
                <w:sz w:val="24"/>
                <w:szCs w:val="24"/>
                <w:highlight w:val="none"/>
                <w:lang w:val="en-US" w:eastAsia="zh-CN"/>
              </w:rPr>
              <w:t>分）</w:t>
            </w:r>
          </w:p>
          <w:p>
            <w:pPr>
              <w:widowControl/>
              <w:numPr>
                <w:ilvl w:val="0"/>
                <w:numId w:val="0"/>
              </w:numPr>
              <w:jc w:val="left"/>
              <w:textAlignment w:val="center"/>
              <w:rPr>
                <w:rFonts w:hint="eastAsia"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供应</w:t>
            </w:r>
            <w:r>
              <w:rPr>
                <w:rFonts w:hint="eastAsia" w:ascii="宋体" w:hAnsi="宋体" w:eastAsia="宋体" w:cs="宋体"/>
                <w:color w:val="auto"/>
                <w:spacing w:val="9"/>
                <w:kern w:val="0"/>
                <w:sz w:val="24"/>
                <w:szCs w:val="24"/>
                <w:highlight w:val="none"/>
                <w:lang w:val="en-US" w:eastAsia="zh-CN" w:bidi="ar-SA"/>
              </w:rPr>
              <w:t>商结合遴选区域实际，拟定农业</w:t>
            </w:r>
            <w:r>
              <w:rPr>
                <w:rFonts w:hint="eastAsia" w:ascii="宋体" w:hAnsi="宋体" w:eastAsia="宋体" w:cs="宋体"/>
                <w:color w:val="auto"/>
                <w:spacing w:val="9"/>
                <w:sz w:val="24"/>
                <w:szCs w:val="24"/>
                <w:highlight w:val="none"/>
                <w:lang w:val="en-US" w:eastAsia="zh-CN"/>
              </w:rPr>
              <w:t>保险政策宣传推动方案，评审专家根据方案的针对性(0-1 分)、可行性(0-1分)、预期效果 (0-</w:t>
            </w:r>
            <w:r>
              <w:rPr>
                <w:rFonts w:hint="eastAsia" w:ascii="宋体" w:hAnsi="宋体" w:cs="宋体"/>
                <w:color w:val="auto"/>
                <w:spacing w:val="9"/>
                <w:sz w:val="24"/>
                <w:szCs w:val="24"/>
                <w:highlight w:val="none"/>
                <w:lang w:val="en-US" w:eastAsia="zh-CN"/>
              </w:rPr>
              <w:t>2</w:t>
            </w:r>
            <w:r>
              <w:rPr>
                <w:rFonts w:hint="eastAsia" w:ascii="宋体" w:hAnsi="宋体" w:eastAsia="宋体" w:cs="宋体"/>
                <w:color w:val="auto"/>
                <w:spacing w:val="9"/>
                <w:sz w:val="24"/>
                <w:szCs w:val="24"/>
                <w:highlight w:val="none"/>
                <w:lang w:val="en-US" w:eastAsia="zh-CN"/>
              </w:rPr>
              <w:t>分)，综合评分。</w:t>
            </w:r>
          </w:p>
          <w:p>
            <w:pPr>
              <w:widowControl/>
              <w:jc w:val="left"/>
              <w:textAlignment w:val="center"/>
              <w:rPr>
                <w:rFonts w:hint="default"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2、承保理赔方案（4分）</w:t>
            </w:r>
          </w:p>
          <w:p>
            <w:pPr>
              <w:widowControl/>
              <w:jc w:val="left"/>
              <w:textAlignment w:val="center"/>
              <w:rPr>
                <w:rFonts w:hint="default" w:ascii="宋体" w:hAnsi="宋体" w:eastAsia="宋体" w:cs="宋体"/>
                <w:color w:val="auto"/>
                <w:spacing w:val="9"/>
                <w:sz w:val="24"/>
                <w:szCs w:val="24"/>
                <w:highlight w:val="none"/>
                <w:lang w:val="en-US" w:eastAsia="zh-CN"/>
              </w:rPr>
            </w:pPr>
            <w:r>
              <w:rPr>
                <w:rFonts w:hint="default" w:ascii="宋体" w:hAnsi="宋体" w:eastAsia="宋体" w:cs="宋体"/>
                <w:color w:val="auto"/>
                <w:spacing w:val="9"/>
                <w:sz w:val="24"/>
                <w:szCs w:val="24"/>
                <w:highlight w:val="none"/>
                <w:lang w:val="en-US" w:eastAsia="zh-CN"/>
              </w:rPr>
              <w:t>供应商结合</w:t>
            </w:r>
            <w:r>
              <w:rPr>
                <w:rFonts w:hint="eastAsia" w:ascii="宋体" w:hAnsi="宋体" w:eastAsia="宋体" w:cs="宋体"/>
                <w:color w:val="auto"/>
                <w:spacing w:val="9"/>
                <w:kern w:val="0"/>
                <w:sz w:val="24"/>
                <w:szCs w:val="24"/>
                <w:highlight w:val="none"/>
                <w:lang w:val="en-US" w:eastAsia="zh-CN" w:bidi="ar-SA"/>
              </w:rPr>
              <w:t>遴选</w:t>
            </w:r>
            <w:r>
              <w:rPr>
                <w:rFonts w:hint="default" w:ascii="宋体" w:hAnsi="宋体" w:eastAsia="宋体" w:cs="宋体"/>
                <w:color w:val="auto"/>
                <w:spacing w:val="9"/>
                <w:sz w:val="24"/>
                <w:szCs w:val="24"/>
                <w:highlight w:val="none"/>
                <w:lang w:val="en-US" w:eastAsia="zh-CN"/>
              </w:rPr>
              <w:t>区域实际，拟定农业保险承保理赔方案评审专家根据方案的完整性(0-1分)、合规性(0-1分)综合评分 (0-2 分)。</w:t>
            </w:r>
          </w:p>
          <w:p>
            <w:pPr>
              <w:widowControl/>
              <w:jc w:val="left"/>
              <w:textAlignment w:val="center"/>
              <w:rPr>
                <w:rFonts w:hint="default" w:ascii="宋体" w:hAnsi="宋体" w:eastAsia="宋体" w:cs="宋体"/>
                <w:color w:val="auto"/>
                <w:spacing w:val="9"/>
                <w:sz w:val="24"/>
                <w:szCs w:val="24"/>
                <w:highlight w:val="none"/>
                <w:lang w:val="en-US" w:eastAsia="zh-CN"/>
              </w:rPr>
            </w:pPr>
            <w:r>
              <w:rPr>
                <w:rFonts w:hint="eastAsia" w:ascii="宋体" w:hAnsi="宋体" w:eastAsia="宋体" w:cs="宋体"/>
                <w:color w:val="auto"/>
                <w:spacing w:val="9"/>
                <w:sz w:val="24"/>
                <w:szCs w:val="24"/>
                <w:highlight w:val="none"/>
                <w:lang w:val="en-US" w:eastAsia="zh-CN"/>
              </w:rPr>
              <w:t>3、服务创新方案（</w:t>
            </w:r>
            <w:r>
              <w:rPr>
                <w:rFonts w:hint="eastAsia" w:ascii="宋体" w:hAnsi="宋体" w:cs="宋体"/>
                <w:color w:val="auto"/>
                <w:spacing w:val="9"/>
                <w:sz w:val="24"/>
                <w:szCs w:val="24"/>
                <w:highlight w:val="none"/>
                <w:lang w:val="en-US" w:eastAsia="zh-CN"/>
              </w:rPr>
              <w:t>5</w:t>
            </w:r>
            <w:r>
              <w:rPr>
                <w:rFonts w:hint="eastAsia" w:ascii="宋体" w:hAnsi="宋体" w:eastAsia="宋体" w:cs="宋体"/>
                <w:color w:val="auto"/>
                <w:spacing w:val="9"/>
                <w:sz w:val="24"/>
                <w:szCs w:val="24"/>
                <w:highlight w:val="none"/>
                <w:lang w:val="en-US" w:eastAsia="zh-CN"/>
              </w:rPr>
              <w:t>分）</w:t>
            </w:r>
          </w:p>
          <w:p>
            <w:pPr>
              <w:widowControl/>
              <w:jc w:val="left"/>
              <w:textAlignment w:val="center"/>
              <w:rPr>
                <w:rFonts w:hint="default"/>
                <w:lang w:val="en-US" w:eastAsia="zh-CN"/>
              </w:rPr>
            </w:pPr>
            <w:r>
              <w:rPr>
                <w:rFonts w:hint="default" w:ascii="宋体" w:hAnsi="宋体" w:eastAsia="宋体" w:cs="宋体"/>
                <w:color w:val="auto"/>
                <w:spacing w:val="9"/>
                <w:sz w:val="24"/>
                <w:szCs w:val="24"/>
                <w:highlight w:val="none"/>
                <w:lang w:val="en-US" w:eastAsia="zh-CN"/>
              </w:rPr>
              <w:t>供应商结合</w:t>
            </w:r>
            <w:r>
              <w:rPr>
                <w:rFonts w:hint="eastAsia" w:ascii="宋体" w:hAnsi="宋体" w:eastAsia="宋体" w:cs="宋体"/>
                <w:color w:val="auto"/>
                <w:spacing w:val="9"/>
                <w:kern w:val="0"/>
                <w:sz w:val="24"/>
                <w:szCs w:val="24"/>
                <w:highlight w:val="none"/>
                <w:lang w:val="en-US" w:eastAsia="zh-CN" w:bidi="ar-SA"/>
              </w:rPr>
              <w:t>遴选</w:t>
            </w:r>
            <w:r>
              <w:rPr>
                <w:rFonts w:hint="default" w:ascii="宋体" w:hAnsi="宋体" w:eastAsia="宋体" w:cs="宋体"/>
                <w:color w:val="auto"/>
                <w:spacing w:val="9"/>
                <w:sz w:val="24"/>
                <w:szCs w:val="24"/>
                <w:highlight w:val="none"/>
                <w:lang w:val="en-US" w:eastAsia="zh-CN"/>
              </w:rPr>
              <w:t>区域实际和公司服务能力实际拟定服务创新方案，评审专家根据方案的创新性 (0-</w:t>
            </w:r>
            <w:r>
              <w:rPr>
                <w:rFonts w:hint="eastAsia" w:ascii="宋体" w:hAnsi="宋体" w:eastAsia="宋体" w:cs="宋体"/>
                <w:color w:val="auto"/>
                <w:spacing w:val="9"/>
                <w:sz w:val="24"/>
                <w:szCs w:val="24"/>
                <w:highlight w:val="none"/>
                <w:lang w:val="en-US" w:eastAsia="zh-CN"/>
              </w:rPr>
              <w:t>1</w:t>
            </w:r>
            <w:r>
              <w:rPr>
                <w:rFonts w:hint="default" w:ascii="宋体" w:hAnsi="宋体" w:eastAsia="宋体" w:cs="宋体"/>
                <w:color w:val="auto"/>
                <w:spacing w:val="9"/>
                <w:sz w:val="24"/>
                <w:szCs w:val="24"/>
                <w:highlight w:val="none"/>
                <w:lang w:val="en-US" w:eastAsia="zh-CN"/>
              </w:rPr>
              <w:t>分) 、可行性 (0-2分)、预期效果 (0-</w:t>
            </w:r>
            <w:r>
              <w:rPr>
                <w:rFonts w:hint="eastAsia" w:ascii="宋体" w:hAnsi="宋体" w:cs="宋体"/>
                <w:color w:val="auto"/>
                <w:spacing w:val="9"/>
                <w:sz w:val="24"/>
                <w:szCs w:val="24"/>
                <w:highlight w:val="none"/>
                <w:lang w:val="en-US" w:eastAsia="zh-CN"/>
              </w:rPr>
              <w:t>2</w:t>
            </w:r>
            <w:r>
              <w:rPr>
                <w:rFonts w:hint="default" w:ascii="宋体" w:hAnsi="宋体" w:eastAsia="宋体" w:cs="宋体"/>
                <w:color w:val="auto"/>
                <w:spacing w:val="9"/>
                <w:sz w:val="24"/>
                <w:szCs w:val="24"/>
                <w:highlight w:val="none"/>
                <w:lang w:val="en-US" w:eastAsia="zh-CN"/>
              </w:rPr>
              <w:t>分)，综合评分。</w:t>
            </w:r>
          </w:p>
        </w:tc>
        <w:tc>
          <w:tcPr>
            <w:tcW w:w="531"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w:t>
            </w:r>
            <w:r>
              <w:rPr>
                <w:rFonts w:hint="eastAsia" w:ascii="宋体" w:hAnsi="宋体" w:cs="宋体"/>
                <w:color w:val="auto"/>
                <w:kern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90" w:hRule="atLeast"/>
          <w:jc w:val="center"/>
        </w:trPr>
        <w:tc>
          <w:tcPr>
            <w:tcW w:w="752" w:type="dxa"/>
            <w:tcBorders>
              <w:top w:val="single" w:color="auto" w:sz="4" w:space="0"/>
            </w:tcBorders>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服务承诺</w:t>
            </w:r>
          </w:p>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分）</w:t>
            </w:r>
          </w:p>
        </w:tc>
        <w:tc>
          <w:tcPr>
            <w:tcW w:w="1200" w:type="dxa"/>
            <w:noWrap w:val="0"/>
            <w:tcMar>
              <w:top w:w="12" w:type="dxa"/>
              <w:left w:w="12" w:type="dxa"/>
              <w:right w:w="12" w:type="dxa"/>
            </w:tcMar>
            <w:vAlign w:val="center"/>
          </w:tcPr>
          <w:p>
            <w:pPr>
              <w:widowControl/>
              <w:jc w:val="center"/>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绩效承诺</w:t>
            </w:r>
          </w:p>
          <w:p>
            <w:pPr>
              <w:widowControl/>
              <w:jc w:val="left"/>
              <w:textAlignment w:val="center"/>
              <w:rPr>
                <w:rFonts w:hint="eastAsia" w:ascii="宋体" w:hAnsi="宋体" w:eastAsia="宋体" w:cs="宋体"/>
                <w:color w:val="auto"/>
                <w:kern w:val="0"/>
                <w:sz w:val="24"/>
                <w:szCs w:val="24"/>
                <w:highlight w:val="none"/>
              </w:rPr>
            </w:pPr>
          </w:p>
        </w:tc>
        <w:tc>
          <w:tcPr>
            <w:tcW w:w="6770" w:type="dxa"/>
            <w:noWrap w:val="0"/>
            <w:tcMar>
              <w:top w:w="12" w:type="dxa"/>
              <w:left w:w="12" w:type="dxa"/>
              <w:right w:w="12" w:type="dxa"/>
            </w:tcMar>
            <w:vAlign w:val="center"/>
          </w:tcPr>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投标人承诺：</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1、</w:t>
            </w:r>
            <w:r>
              <w:rPr>
                <w:rFonts w:hint="eastAsia" w:ascii="宋体" w:hAnsi="宋体" w:eastAsia="宋体" w:cs="宋体"/>
                <w:color w:val="auto"/>
                <w:sz w:val="24"/>
                <w:szCs w:val="24"/>
                <w:highlight w:val="none"/>
              </w:rPr>
              <w:t>完成三大粮食作物种植面积承保率、育肥猪承保率等达到省市区下达的指标任务,（1 分）</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2、严格遵守农业保险有关法律法规以及规章制度，做好承保理赔以及其他各项服务工作；承保机构服务评价等级不低于良好,（1 分）。</w:t>
            </w:r>
          </w:p>
          <w:p>
            <w:pPr>
              <w:widowControl/>
              <w:jc w:val="left"/>
              <w:textAlignment w:val="center"/>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3、农业保险保费规模、农业保险保障总额不低于上年（</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分）。</w:t>
            </w:r>
          </w:p>
        </w:tc>
        <w:tc>
          <w:tcPr>
            <w:tcW w:w="531" w:type="dxa"/>
            <w:tcBorders>
              <w:bottom w:val="single" w:color="auto" w:sz="4" w:space="0"/>
            </w:tcBorders>
            <w:noWrap w:val="0"/>
            <w:tcMar>
              <w:top w:w="12" w:type="dxa"/>
              <w:left w:w="12" w:type="dxa"/>
              <w:right w:w="12" w:type="dxa"/>
            </w:tcMar>
            <w:vAlign w:val="center"/>
          </w:tcPr>
          <w:p>
            <w:pPr>
              <w:widowControl/>
              <w:ind w:firstLine="240" w:firstLineChars="100"/>
              <w:jc w:val="left"/>
              <w:textAlignment w:val="center"/>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3</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317" w:hRule="atLeast"/>
          <w:jc w:val="center"/>
        </w:trPr>
        <w:tc>
          <w:tcPr>
            <w:tcW w:w="9253" w:type="dxa"/>
            <w:gridSpan w:val="4"/>
            <w:noWrap w:val="0"/>
            <w:tcMar>
              <w:top w:w="12" w:type="dxa"/>
              <w:left w:w="12" w:type="dxa"/>
              <w:right w:w="12" w:type="dxa"/>
            </w:tcMar>
            <w:vAlign w:val="center"/>
          </w:tcPr>
          <w:p>
            <w:pPr>
              <w:pStyle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注：1、以上须提供的证件、证明原件、承诺书扫描加盖电子签章上传到电子投标文件中。</w:t>
            </w:r>
          </w:p>
          <w:p>
            <w:pPr>
              <w:pStyle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2、以上须提供的各项方案加盖电子签章上传到电子投标文件中。</w:t>
            </w:r>
          </w:p>
          <w:p>
            <w:pPr>
              <w:pStyle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3、涉及人员、业绩、设备须统一列表，人员信息、业绩、设备清单内容填写完整。</w:t>
            </w:r>
          </w:p>
          <w:p>
            <w:pPr>
              <w:pStyle w:val="2"/>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4、未按以上要求提供材料的或提供的材料内容不全、过期、无效、涂改、不清晰的将不作计分。</w:t>
            </w:r>
          </w:p>
          <w:p>
            <w:pPr>
              <w:pStyle w:val="2"/>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5、以上各项方案请各投标人按要求、顺序提供，关键字部分加粗，否则可能影响评分。</w:t>
            </w:r>
          </w:p>
        </w:tc>
      </w:tr>
    </w:tbl>
    <w:p>
      <w:pPr>
        <w:pStyle w:val="202"/>
        <w:jc w:val="center"/>
        <w:rPr>
          <w:rFonts w:hint="eastAsia" w:ascii="宋体" w:hAnsi="宋体" w:eastAsia="宋体" w:cs="宋体"/>
          <w:bCs/>
          <w:color w:val="auto"/>
          <w:sz w:val="44"/>
          <w:highlight w:val="none"/>
        </w:rPr>
      </w:pPr>
      <w:r>
        <w:rPr>
          <w:rFonts w:hint="eastAsia" w:ascii="宋体" w:hAnsi="宋体" w:eastAsia="宋体" w:cs="宋体"/>
          <w:bCs/>
          <w:color w:val="auto"/>
          <w:sz w:val="44"/>
          <w:highlight w:val="none"/>
        </w:rPr>
        <w:t>第六章  投标</w:t>
      </w:r>
      <w:bookmarkEnd w:id="193"/>
      <w:bookmarkEnd w:id="194"/>
      <w:bookmarkEnd w:id="195"/>
      <w:r>
        <w:rPr>
          <w:rFonts w:hint="eastAsia" w:ascii="宋体" w:hAnsi="宋体" w:eastAsia="宋体" w:cs="宋体"/>
          <w:bCs/>
          <w:color w:val="auto"/>
          <w:sz w:val="44"/>
          <w:highlight w:val="none"/>
        </w:rPr>
        <w:t>文件格式</w:t>
      </w:r>
    </w:p>
    <w:p>
      <w:pPr>
        <w:jc w:val="center"/>
        <w:rPr>
          <w:rFonts w:hint="eastAsia" w:ascii="宋体" w:hAnsi="宋体" w:eastAsia="宋体" w:cs="宋体"/>
          <w:b/>
          <w:color w:val="auto"/>
          <w:sz w:val="72"/>
          <w:highlight w:val="none"/>
        </w:rPr>
      </w:pPr>
      <w:bookmarkStart w:id="196" w:name="_Hlt26955039"/>
      <w:bookmarkEnd w:id="196"/>
      <w:bookmarkStart w:id="197" w:name="_Hlt26671244"/>
      <w:bookmarkEnd w:id="197"/>
      <w:bookmarkStart w:id="198" w:name="_Toc26554094"/>
      <w:bookmarkStart w:id="199" w:name="_Toc120614282"/>
      <w:bookmarkStart w:id="200" w:name="_Toc49090576"/>
    </w:p>
    <w:p>
      <w:pPr>
        <w:jc w:val="center"/>
        <w:rPr>
          <w:rFonts w:hint="eastAsia" w:ascii="宋体" w:hAnsi="宋体" w:eastAsia="宋体" w:cs="宋体"/>
          <w:b/>
          <w:color w:val="auto"/>
          <w:sz w:val="72"/>
          <w:highlight w:val="none"/>
        </w:rPr>
      </w:pPr>
      <w:r>
        <w:rPr>
          <w:rFonts w:hint="eastAsia" w:ascii="宋体" w:hAnsi="宋体" w:eastAsia="宋体" w:cs="宋体"/>
          <w:b/>
          <w:color w:val="auto"/>
          <w:sz w:val="72"/>
          <w:highlight w:val="none"/>
        </w:rPr>
        <w:t>投  标  文  件</w:t>
      </w:r>
    </w:p>
    <w:p>
      <w:pPr>
        <w:jc w:val="center"/>
        <w:rPr>
          <w:rFonts w:hint="eastAsia" w:ascii="宋体" w:hAnsi="宋体" w:eastAsia="宋体" w:cs="宋体"/>
          <w:b/>
          <w:color w:val="auto"/>
          <w:sz w:val="72"/>
          <w:highlight w:val="none"/>
        </w:rPr>
      </w:pPr>
    </w:p>
    <w:p>
      <w:pPr>
        <w:jc w:val="center"/>
        <w:rPr>
          <w:rFonts w:hint="eastAsia" w:ascii="宋体" w:hAnsi="宋体" w:eastAsia="宋体" w:cs="宋体"/>
          <w:b/>
          <w:color w:val="auto"/>
          <w:sz w:val="72"/>
          <w:highlight w:val="none"/>
        </w:rPr>
      </w:pPr>
    </w:p>
    <w:p>
      <w:pPr>
        <w:jc w:val="center"/>
        <w:rPr>
          <w:rFonts w:hint="eastAsia" w:ascii="宋体" w:hAnsi="宋体" w:eastAsia="宋体" w:cs="宋体"/>
          <w:b/>
          <w:color w:val="auto"/>
          <w:sz w:val="36"/>
          <w:highlight w:val="none"/>
        </w:rPr>
      </w:pPr>
    </w:p>
    <w:p>
      <w:pPr>
        <w:jc w:val="center"/>
        <w:rPr>
          <w:rFonts w:hint="eastAsia" w:ascii="宋体" w:hAnsi="宋体" w:eastAsia="宋体" w:cs="宋体"/>
          <w:b/>
          <w:color w:val="auto"/>
          <w:sz w:val="36"/>
          <w:highlight w:val="none"/>
        </w:rPr>
      </w:pPr>
    </w:p>
    <w:p>
      <w:pPr>
        <w:jc w:val="center"/>
        <w:rPr>
          <w:rFonts w:hint="eastAsia" w:ascii="宋体" w:hAnsi="宋体" w:eastAsia="宋体" w:cs="宋体"/>
          <w:b/>
          <w:color w:val="auto"/>
          <w:sz w:val="36"/>
          <w:highlight w:val="none"/>
        </w:rPr>
      </w:pPr>
    </w:p>
    <w:p>
      <w:pPr>
        <w:ind w:firstLine="1084"/>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r>
        <w:rPr>
          <w:rFonts w:hint="eastAsia" w:ascii="宋体" w:hAnsi="宋体" w:eastAsia="宋体" w:cs="宋体"/>
          <w:b/>
          <w:color w:val="auto"/>
          <w:sz w:val="36"/>
          <w:highlight w:val="none"/>
          <w:u w:val="single"/>
        </w:rPr>
        <w:t xml:space="preserve">               </w:t>
      </w:r>
    </w:p>
    <w:p>
      <w:pPr>
        <w:ind w:firstLine="1084"/>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r>
        <w:rPr>
          <w:rFonts w:hint="eastAsia" w:ascii="宋体" w:hAnsi="宋体" w:eastAsia="宋体" w:cs="宋体"/>
          <w:b/>
          <w:color w:val="auto"/>
          <w:sz w:val="36"/>
          <w:highlight w:val="none"/>
          <w:u w:val="single"/>
        </w:rPr>
        <w:t xml:space="preserve">               </w:t>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投标人名称 ：</w:t>
      </w:r>
      <w:r>
        <w:rPr>
          <w:rFonts w:hint="eastAsia" w:ascii="宋体" w:hAnsi="宋体" w:eastAsia="宋体" w:cs="宋体"/>
          <w:b/>
          <w:color w:val="auto"/>
          <w:sz w:val="36"/>
          <w:highlight w:val="none"/>
          <w:u w:val="single"/>
        </w:rPr>
        <w:t>（加盖CA电子公章）</w:t>
      </w:r>
    </w:p>
    <w:p>
      <w:pPr>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p>
    <w:p>
      <w:pPr>
        <w:spacing w:line="440" w:lineRule="exact"/>
        <w:jc w:val="center"/>
        <w:rPr>
          <w:rFonts w:hint="eastAsia" w:ascii="宋体" w:hAnsi="宋体" w:eastAsia="宋体" w:cs="宋体"/>
          <w:b/>
          <w:bCs/>
          <w:color w:val="auto"/>
          <w:sz w:val="32"/>
          <w:szCs w:val="32"/>
          <w:highlight w:val="none"/>
        </w:rPr>
      </w:pPr>
    </w:p>
    <w:p>
      <w:pPr>
        <w:spacing w:line="440" w:lineRule="exact"/>
        <w:rPr>
          <w:rFonts w:hint="eastAsia" w:ascii="宋体" w:hAnsi="宋体" w:eastAsia="宋体" w:cs="宋体"/>
          <w:color w:val="auto"/>
          <w:highlight w:val="none"/>
        </w:rPr>
      </w:pPr>
    </w:p>
    <w:p>
      <w:pPr>
        <w:ind w:firstLine="1084"/>
        <w:rPr>
          <w:rFonts w:hint="eastAsia" w:ascii="宋体" w:hAnsi="宋体" w:eastAsia="宋体" w:cs="宋体"/>
          <w:b/>
          <w:bCs/>
          <w:color w:val="auto"/>
          <w:sz w:val="32"/>
          <w:szCs w:val="32"/>
          <w:highlight w:val="none"/>
        </w:rPr>
      </w:pPr>
      <w:r>
        <w:rPr>
          <w:rFonts w:hint="eastAsia" w:ascii="宋体" w:hAnsi="宋体" w:eastAsia="宋体" w:cs="宋体"/>
          <w:b/>
          <w:color w:val="auto"/>
          <w:sz w:val="36"/>
          <w:highlight w:val="none"/>
          <w:u w:val="single"/>
        </w:rPr>
        <w:br w:type="page" w:clear="all"/>
      </w:r>
    </w:p>
    <w:p>
      <w:pPr>
        <w:spacing w:line="440" w:lineRule="exact"/>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投标文件目录</w:t>
      </w:r>
    </w:p>
    <w:p>
      <w:pPr>
        <w:pBdr>
          <w:top w:val="none" w:color="000000" w:sz="0" w:space="0"/>
          <w:left w:val="none" w:color="000000" w:sz="0" w:space="0"/>
          <w:bottom w:val="none" w:color="000000" w:sz="0" w:space="0"/>
          <w:right w:val="none" w:color="000000" w:sz="0" w:space="0"/>
        </w:pBdr>
        <w:spacing w:before="0" w:after="0" w:line="519" w:lineRule="atLeast"/>
        <w:ind w:left="0" w:right="0" w:firstLine="562" w:firstLineChars="200"/>
        <w:rPr>
          <w:rFonts w:hint="eastAsia" w:eastAsia="仿宋"/>
          <w:highlight w:val="none"/>
          <w:lang w:eastAsia="zh-CN"/>
        </w:rPr>
      </w:pPr>
      <w:r>
        <w:rPr>
          <w:rFonts w:hint="eastAsia" w:ascii="仿宋" w:hAnsi="仿宋" w:eastAsia="仿宋" w:cs="Times New Roman"/>
          <w:b/>
          <w:bCs/>
          <w:color w:val="000000"/>
          <w:sz w:val="28"/>
          <w:szCs w:val="28"/>
          <w:highlight w:val="none"/>
        </w:rPr>
        <w:t>一、</w:t>
      </w:r>
      <w:r>
        <w:rPr>
          <w:rFonts w:hint="eastAsia" w:ascii="仿宋" w:hAnsi="仿宋" w:eastAsia="仿宋" w:cs="Times New Roman"/>
          <w:b/>
          <w:bCs/>
          <w:color w:val="000000"/>
          <w:sz w:val="28"/>
          <w:szCs w:val="28"/>
          <w:highlight w:val="none"/>
          <w:lang w:val="en-US" w:eastAsia="zh-CN"/>
        </w:rPr>
        <w:t>投标函</w:t>
      </w:r>
    </w:p>
    <w:p>
      <w:pPr>
        <w:keepNext w:val="0"/>
        <w:keepLines w:val="0"/>
        <w:pageBreakBefore w:val="0"/>
        <w:widowControl w:val="0"/>
        <w:numPr>
          <w:ilvl w:val="0"/>
          <w:numId w:val="0"/>
        </w:numPr>
        <w:spacing w:line="520" w:lineRule="exact"/>
        <w:ind w:firstLine="562"/>
        <w:rPr>
          <w:rFonts w:hint="default" w:ascii="仿宋" w:hAnsi="仿宋" w:eastAsia="仿宋" w:cs="Times New Roman"/>
          <w:b/>
          <w:bCs/>
          <w:color w:val="000000"/>
          <w:sz w:val="28"/>
          <w:szCs w:val="28"/>
          <w:highlight w:val="none"/>
          <w:lang w:val="en-US" w:eastAsia="zh-CN"/>
        </w:rPr>
      </w:pPr>
      <w:r>
        <w:rPr>
          <w:rFonts w:hint="eastAsia" w:ascii="仿宋" w:hAnsi="仿宋" w:eastAsia="仿宋" w:cs="Times New Roman"/>
          <w:b/>
          <w:bCs/>
          <w:color w:val="000000"/>
          <w:sz w:val="28"/>
          <w:szCs w:val="28"/>
          <w:highlight w:val="none"/>
          <w:lang w:eastAsia="zh-CN"/>
        </w:rPr>
        <w:t>二</w:t>
      </w:r>
      <w:r>
        <w:rPr>
          <w:rFonts w:hint="eastAsia" w:ascii="仿宋" w:hAnsi="仿宋" w:eastAsia="仿宋" w:cs="Times New Roman"/>
          <w:b/>
          <w:bCs/>
          <w:color w:val="000000"/>
          <w:sz w:val="28"/>
          <w:szCs w:val="28"/>
          <w:highlight w:val="none"/>
        </w:rPr>
        <w:t>、</w:t>
      </w:r>
      <w:r>
        <w:rPr>
          <w:rFonts w:hint="eastAsia" w:ascii="仿宋" w:hAnsi="仿宋" w:eastAsia="仿宋" w:cs="Times New Roman"/>
          <w:b/>
          <w:bCs/>
          <w:color w:val="000000"/>
          <w:sz w:val="28"/>
          <w:szCs w:val="28"/>
          <w:highlight w:val="none"/>
          <w:lang w:val="en-US" w:eastAsia="zh-CN"/>
        </w:rPr>
        <w:t>开标一览表</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lang w:val="en-US" w:eastAsia="zh-CN"/>
        </w:rPr>
      </w:pPr>
      <w:r>
        <w:rPr>
          <w:rFonts w:hint="eastAsia" w:ascii="仿宋" w:hAnsi="仿宋" w:eastAsia="仿宋" w:cs="Times New Roman"/>
          <w:b/>
          <w:bCs/>
          <w:color w:val="000000"/>
          <w:sz w:val="28"/>
          <w:szCs w:val="28"/>
          <w:highlight w:val="none"/>
          <w:lang w:val="en-US" w:eastAsia="zh-CN"/>
        </w:rPr>
        <w:t>三、</w:t>
      </w:r>
      <w:r>
        <w:rPr>
          <w:rFonts w:hint="eastAsia" w:ascii="仿宋" w:hAnsi="仿宋" w:eastAsia="仿宋" w:cs="Times New Roman"/>
          <w:b/>
          <w:bCs/>
          <w:color w:val="000000"/>
          <w:sz w:val="28"/>
          <w:szCs w:val="28"/>
          <w:highlight w:val="none"/>
        </w:rPr>
        <w:t>人员配备表</w:t>
      </w:r>
    </w:p>
    <w:p>
      <w:pPr>
        <w:keepNext w:val="0"/>
        <w:keepLines w:val="0"/>
        <w:pageBreakBefore w:val="0"/>
        <w:widowControl w:val="0"/>
        <w:numPr>
          <w:ilvl w:val="0"/>
          <w:numId w:val="0"/>
        </w:numPr>
        <w:spacing w:line="520" w:lineRule="exact"/>
        <w:ind w:firstLine="562"/>
        <w:rPr>
          <w:rFonts w:hint="default" w:ascii="仿宋" w:hAnsi="仿宋" w:eastAsia="仿宋" w:cs="Times New Roman"/>
          <w:b/>
          <w:bCs/>
          <w:color w:val="000000"/>
          <w:sz w:val="28"/>
          <w:szCs w:val="28"/>
          <w:highlight w:val="none"/>
          <w:lang w:val="en-US" w:eastAsia="zh-CN"/>
        </w:rPr>
      </w:pPr>
      <w:r>
        <w:rPr>
          <w:rFonts w:hint="eastAsia" w:ascii="仿宋" w:hAnsi="仿宋" w:eastAsia="仿宋" w:cs="Times New Roman"/>
          <w:b/>
          <w:bCs/>
          <w:color w:val="000000"/>
          <w:sz w:val="28"/>
          <w:szCs w:val="28"/>
          <w:highlight w:val="none"/>
          <w:lang w:eastAsia="zh-CN"/>
        </w:rPr>
        <w:t>四</w:t>
      </w:r>
      <w:r>
        <w:rPr>
          <w:rFonts w:hint="eastAsia" w:ascii="仿宋" w:hAnsi="仿宋" w:eastAsia="仿宋" w:cs="Times New Roman"/>
          <w:b/>
          <w:bCs/>
          <w:color w:val="000000"/>
          <w:sz w:val="28"/>
          <w:szCs w:val="28"/>
          <w:highlight w:val="none"/>
        </w:rPr>
        <w:t>、</w:t>
      </w:r>
      <w:r>
        <w:rPr>
          <w:rFonts w:hint="eastAsia" w:ascii="仿宋" w:hAnsi="仿宋" w:eastAsia="仿宋" w:cs="Times New Roman"/>
          <w:b/>
          <w:bCs/>
          <w:color w:val="000000"/>
          <w:sz w:val="28"/>
          <w:szCs w:val="28"/>
          <w:highlight w:val="none"/>
          <w:lang w:val="en-US" w:eastAsia="zh-CN"/>
        </w:rPr>
        <w:t>服务承诺</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eastAsia="zh-CN"/>
        </w:rPr>
        <w:t>五</w:t>
      </w:r>
      <w:r>
        <w:rPr>
          <w:rFonts w:hint="eastAsia" w:ascii="仿宋" w:hAnsi="仿宋" w:eastAsia="仿宋" w:cs="Times New Roman"/>
          <w:b/>
          <w:bCs/>
          <w:color w:val="000000"/>
          <w:sz w:val="28"/>
          <w:szCs w:val="28"/>
          <w:highlight w:val="none"/>
        </w:rPr>
        <w:t>、</w:t>
      </w:r>
      <w:r>
        <w:rPr>
          <w:rFonts w:hint="eastAsia" w:ascii="仿宋" w:hAnsi="仿宋" w:eastAsia="仿宋" w:cs="Times New Roman"/>
          <w:b/>
          <w:bCs/>
          <w:color w:val="000000"/>
          <w:sz w:val="28"/>
          <w:szCs w:val="28"/>
          <w:highlight w:val="none"/>
          <w:lang w:val="en-US" w:eastAsia="zh-CN"/>
        </w:rPr>
        <w:t>资质审查时投标人必须提供的资格证明文件</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eastAsia="zh-CN"/>
        </w:rPr>
        <w:t>六</w:t>
      </w:r>
      <w:r>
        <w:rPr>
          <w:rFonts w:hint="eastAsia" w:ascii="仿宋" w:hAnsi="仿宋" w:eastAsia="仿宋" w:cs="Times New Roman"/>
          <w:b/>
          <w:bCs/>
          <w:color w:val="000000"/>
          <w:sz w:val="28"/>
          <w:szCs w:val="28"/>
          <w:highlight w:val="none"/>
        </w:rPr>
        <w:t>、</w:t>
      </w:r>
      <w:r>
        <w:rPr>
          <w:rFonts w:hint="eastAsia" w:ascii="仿宋" w:hAnsi="仿宋" w:eastAsia="仿宋" w:cs="Times New Roman"/>
          <w:b/>
          <w:bCs/>
          <w:color w:val="000000"/>
          <w:sz w:val="28"/>
          <w:szCs w:val="28"/>
          <w:highlight w:val="none"/>
          <w:lang w:val="en-US" w:eastAsia="zh-CN"/>
        </w:rPr>
        <w:t>综合评分时投标人需提供的证明文件</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lang w:val="en-US" w:eastAsia="zh-CN"/>
        </w:rPr>
      </w:pPr>
      <w:r>
        <w:rPr>
          <w:rFonts w:hint="eastAsia" w:ascii="仿宋" w:hAnsi="仿宋" w:eastAsia="仿宋" w:cs="Times New Roman"/>
          <w:b/>
          <w:bCs/>
          <w:color w:val="000000"/>
          <w:sz w:val="28"/>
          <w:szCs w:val="28"/>
          <w:highlight w:val="none"/>
          <w:lang w:val="en-US" w:eastAsia="zh-CN"/>
        </w:rPr>
        <w:t>七、投标人认为有必要提供并说明的其它资料</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lang w:val="en-US" w:eastAsia="zh-CN"/>
        </w:rPr>
      </w:pPr>
      <w:r>
        <w:rPr>
          <w:rFonts w:hint="eastAsia" w:ascii="仿宋" w:hAnsi="仿宋" w:eastAsia="仿宋" w:cs="Times New Roman"/>
          <w:b/>
          <w:bCs/>
          <w:color w:val="000000"/>
          <w:sz w:val="28"/>
          <w:szCs w:val="28"/>
          <w:highlight w:val="none"/>
          <w:lang w:val="en-US" w:eastAsia="zh-CN"/>
        </w:rPr>
        <w:t>八、法人授权书</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lang w:val="en-US" w:eastAsia="zh-CN"/>
        </w:rPr>
      </w:pPr>
      <w:r>
        <w:rPr>
          <w:rFonts w:hint="eastAsia" w:ascii="仿宋" w:hAnsi="仿宋" w:eastAsia="仿宋" w:cs="Times New Roman"/>
          <w:b/>
          <w:bCs/>
          <w:color w:val="000000"/>
          <w:sz w:val="28"/>
          <w:szCs w:val="28"/>
          <w:highlight w:val="none"/>
          <w:lang w:val="en-US" w:eastAsia="zh-CN"/>
        </w:rPr>
        <w:t>九、符合《政府采购法》第二十二条规定条件的声明函</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lang w:val="en-US" w:eastAsia="zh-CN"/>
        </w:rPr>
      </w:pPr>
      <w:r>
        <w:rPr>
          <w:rFonts w:hint="eastAsia" w:ascii="仿宋" w:hAnsi="仿宋" w:eastAsia="仿宋" w:cs="Times New Roman"/>
          <w:b/>
          <w:bCs/>
          <w:color w:val="000000"/>
          <w:sz w:val="28"/>
          <w:szCs w:val="28"/>
          <w:highlight w:val="none"/>
          <w:lang w:val="en-US" w:eastAsia="zh-CN"/>
        </w:rPr>
        <w:t>十、</w:t>
      </w:r>
      <w:r>
        <w:rPr>
          <w:rFonts w:hint="eastAsia" w:ascii="宋体" w:hAnsi="宋体" w:eastAsia="宋体" w:cs="宋体"/>
          <w:b/>
          <w:color w:val="auto"/>
          <w:sz w:val="32"/>
          <w:szCs w:val="32"/>
          <w:highlight w:val="none"/>
        </w:rPr>
        <w:t>小微企业声明函（服务）</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val="en-US" w:eastAsia="zh-CN"/>
        </w:rPr>
        <w:t>十一、</w:t>
      </w:r>
      <w:r>
        <w:rPr>
          <w:rFonts w:hint="eastAsia" w:ascii="仿宋" w:hAnsi="仿宋" w:eastAsia="仿宋" w:cs="Times New Roman"/>
          <w:b/>
          <w:bCs/>
          <w:color w:val="000000"/>
          <w:sz w:val="28"/>
          <w:szCs w:val="28"/>
          <w:highlight w:val="none"/>
        </w:rPr>
        <w:t>残疾人福利性单位声明函</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rPr>
      </w:pPr>
      <w:r>
        <w:rPr>
          <w:rFonts w:hint="eastAsia" w:ascii="仿宋" w:hAnsi="仿宋" w:eastAsia="仿宋" w:cs="Times New Roman"/>
          <w:b/>
          <w:bCs/>
          <w:color w:val="000000"/>
          <w:sz w:val="28"/>
          <w:szCs w:val="28"/>
          <w:highlight w:val="none"/>
          <w:lang w:val="en-US" w:eastAsia="zh-CN"/>
        </w:rPr>
        <w:t>十二</w:t>
      </w:r>
      <w:r>
        <w:rPr>
          <w:rFonts w:hint="eastAsia" w:ascii="仿宋" w:hAnsi="仿宋" w:eastAsia="仿宋" w:cs="Times New Roman"/>
          <w:b/>
          <w:bCs/>
          <w:color w:val="000000"/>
          <w:sz w:val="28"/>
          <w:szCs w:val="28"/>
          <w:highlight w:val="none"/>
        </w:rPr>
        <w:t>、联合体协议</w:t>
      </w:r>
    </w:p>
    <w:p>
      <w:pPr>
        <w:keepNext w:val="0"/>
        <w:keepLines w:val="0"/>
        <w:pageBreakBefore w:val="0"/>
        <w:widowControl w:val="0"/>
        <w:numPr>
          <w:ilvl w:val="0"/>
          <w:numId w:val="0"/>
        </w:numPr>
        <w:spacing w:line="520" w:lineRule="exact"/>
        <w:ind w:firstLine="562"/>
        <w:rPr>
          <w:rFonts w:hint="eastAsia" w:ascii="仿宋" w:hAnsi="仿宋" w:eastAsia="仿宋" w:cs="Times New Roman"/>
          <w:b/>
          <w:bCs/>
          <w:color w:val="000000"/>
          <w:sz w:val="28"/>
          <w:szCs w:val="28"/>
          <w:highlight w:val="none"/>
        </w:rPr>
      </w:pPr>
    </w:p>
    <w:p>
      <w:pPr>
        <w:spacing w:line="440" w:lineRule="exact"/>
        <w:ind w:firstLine="560"/>
        <w:rPr>
          <w:rFonts w:hint="eastAsia" w:ascii="仿宋" w:hAnsi="仿宋" w:eastAsia="仿宋" w:cs="仿宋"/>
          <w:sz w:val="28"/>
          <w:szCs w:val="28"/>
          <w:highlight w:val="none"/>
        </w:rPr>
      </w:pPr>
    </w:p>
    <w:p>
      <w:pPr>
        <w:spacing w:line="440" w:lineRule="exact"/>
        <w:jc w:val="center"/>
        <w:rPr>
          <w:rFonts w:hint="eastAsia" w:ascii="宋体" w:hAnsi="宋体" w:eastAsia="宋体" w:cs="宋体"/>
          <w:b/>
          <w:bCs/>
          <w:color w:val="auto"/>
          <w:sz w:val="32"/>
          <w:szCs w:val="32"/>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spacing w:line="440" w:lineRule="exact"/>
        <w:ind w:firstLine="480"/>
        <w:rPr>
          <w:rFonts w:hint="eastAsia" w:ascii="宋体" w:hAnsi="宋体" w:eastAsia="宋体" w:cs="宋体"/>
          <w:color w:val="auto"/>
          <w:sz w:val="24"/>
          <w:highlight w:val="none"/>
        </w:rPr>
      </w:pPr>
    </w:p>
    <w:p>
      <w:pPr>
        <w:pStyle w:val="33"/>
        <w:rPr>
          <w:rFonts w:hint="eastAsia" w:ascii="宋体" w:hAnsi="宋体" w:eastAsia="宋体" w:cs="宋体"/>
          <w:color w:val="auto"/>
          <w:sz w:val="24"/>
          <w:highlight w:val="none"/>
        </w:rPr>
      </w:pPr>
    </w:p>
    <w:p>
      <w:pPr>
        <w:pStyle w:val="33"/>
        <w:ind w:left="0" w:leftChars="0" w:firstLine="0" w:firstLineChars="0"/>
        <w:rPr>
          <w:rFonts w:hint="eastAsia" w:ascii="宋体" w:hAnsi="宋体" w:eastAsia="宋体" w:cs="宋体"/>
          <w:color w:val="auto"/>
          <w:sz w:val="24"/>
          <w:highlight w:val="none"/>
        </w:rPr>
      </w:pPr>
    </w:p>
    <w:p>
      <w:pPr>
        <w:pStyle w:val="203"/>
        <w:jc w:val="center"/>
        <w:rPr>
          <w:rFonts w:hint="eastAsia" w:ascii="宋体" w:hAnsi="宋体" w:eastAsia="宋体" w:cs="宋体"/>
          <w:bCs w:val="0"/>
          <w:i/>
          <w:color w:val="auto"/>
          <w:sz w:val="32"/>
          <w:szCs w:val="32"/>
          <w:highlight w:val="none"/>
          <w:u w:val="single"/>
        </w:rPr>
      </w:pPr>
      <w:r>
        <w:rPr>
          <w:rFonts w:hint="eastAsia" w:ascii="宋体" w:hAnsi="宋体" w:eastAsia="宋体" w:cs="宋体"/>
          <w:bCs w:val="0"/>
          <w:i/>
          <w:color w:val="auto"/>
          <w:sz w:val="32"/>
          <w:szCs w:val="32"/>
          <w:highlight w:val="none"/>
          <w:u w:val="single"/>
          <w:lang w:val="en-US" w:eastAsia="zh-CN"/>
        </w:rPr>
        <w:t>一</w:t>
      </w:r>
      <w:r>
        <w:rPr>
          <w:rFonts w:hint="eastAsia" w:ascii="宋体" w:hAnsi="宋体" w:eastAsia="宋体" w:cs="宋体"/>
          <w:bCs w:val="0"/>
          <w:i/>
          <w:color w:val="auto"/>
          <w:sz w:val="32"/>
          <w:szCs w:val="32"/>
          <w:highlight w:val="none"/>
          <w:u w:val="single"/>
        </w:rPr>
        <w:t>、投标函</w:t>
      </w:r>
    </w:p>
    <w:p>
      <w:pPr>
        <w:pStyle w:val="287"/>
        <w:spacing w:before="0" w:after="0" w:line="420" w:lineRule="exact"/>
        <w:ind w:firstLine="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致：</w:t>
      </w:r>
      <w:r>
        <w:rPr>
          <w:rFonts w:hint="eastAsia" w:ascii="宋体" w:hAnsi="宋体" w:eastAsia="宋体" w:cs="宋体"/>
          <w:color w:val="auto"/>
          <w:szCs w:val="21"/>
          <w:highlight w:val="none"/>
          <w:lang w:eastAsia="zh-CN"/>
        </w:rPr>
        <w:t>淮安江益工程项目管理咨询有限公司</w:t>
      </w:r>
    </w:p>
    <w:p>
      <w:pPr>
        <w:pStyle w:val="28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根据贵方的</w:t>
      </w:r>
      <w:r>
        <w:rPr>
          <w:rFonts w:hint="eastAsia" w:ascii="宋体" w:hAnsi="宋体" w:eastAsia="宋体" w:cs="宋体"/>
          <w:color w:val="auto"/>
          <w:highlight w:val="none"/>
        </w:rPr>
        <w:t>（</w:t>
      </w:r>
      <w:r>
        <w:rPr>
          <w:rFonts w:hint="eastAsia" w:ascii="宋体" w:hAnsi="宋体" w:eastAsia="宋体" w:cs="宋体"/>
          <w:color w:val="auto"/>
          <w:highlight w:val="none"/>
          <w:u w:val="single"/>
        </w:rPr>
        <w:t xml:space="preserve">项目编号）        </w:t>
      </w:r>
      <w:r>
        <w:rPr>
          <w:rFonts w:hint="eastAsia" w:ascii="宋体" w:hAnsi="宋体" w:eastAsia="宋体" w:cs="宋体"/>
          <w:color w:val="auto"/>
          <w:szCs w:val="21"/>
          <w:highlight w:val="none"/>
        </w:rPr>
        <w:t>号招标文件，正式授权下述签字人______(姓名)代表我方______________（投标人的名称），全权处理本次项目投标的有关事宜。</w:t>
      </w:r>
    </w:p>
    <w:p>
      <w:pPr>
        <w:pStyle w:val="28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据此函，__________签字人兹宣布同意如下：</w:t>
      </w:r>
    </w:p>
    <w:p>
      <w:pPr>
        <w:pStyle w:val="28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1.按招标文件规定的各项要求，向买方提供所需服务（包含与服务相关的货物）。</w:t>
      </w:r>
    </w:p>
    <w:p>
      <w:pPr>
        <w:pStyle w:val="28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2.我们完全理解贵方不一定将合同授予最低报价的投标人。</w:t>
      </w:r>
    </w:p>
    <w:p>
      <w:pPr>
        <w:pStyle w:val="28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3.我们已详细审核全部招标文件及其有效补充文件，我们知道必须放弃提出含糊不清或误解问题的权利。</w:t>
      </w:r>
    </w:p>
    <w:p>
      <w:pPr>
        <w:pStyle w:val="28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4.我们同意从规定的开标日期起遵循本投标文件，并在规定的投标有效期期满之前均具有约束力。</w:t>
      </w:r>
    </w:p>
    <w:p>
      <w:pPr>
        <w:pStyle w:val="28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5.同意向贵方提供贵方可能另外要求的与投标有关的任何证据或资料，并保证我方已提供和将要提供的文件是真实的、准确的。</w:t>
      </w:r>
    </w:p>
    <w:p>
      <w:pPr>
        <w:pStyle w:val="28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6.一旦我方中标,我方将根据招标文件的规定，严格履行合同的责任和义务,并保证在招标文件规定的时间完成项目，交付买方验收、使用。</w:t>
      </w:r>
    </w:p>
    <w:p>
      <w:pPr>
        <w:pStyle w:val="287"/>
        <w:spacing w:before="0" w:after="0" w:line="42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7.与本投标有关的正式通讯地址为：</w:t>
      </w:r>
    </w:p>
    <w:p>
      <w:pPr>
        <w:pStyle w:val="287"/>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地          址：</w:t>
      </w:r>
    </w:p>
    <w:p>
      <w:pPr>
        <w:pStyle w:val="287"/>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邮          编：</w:t>
      </w:r>
    </w:p>
    <w:p>
      <w:pPr>
        <w:pStyle w:val="287"/>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电          话：</w:t>
      </w:r>
    </w:p>
    <w:p>
      <w:pPr>
        <w:pStyle w:val="287"/>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传          真：</w:t>
      </w:r>
    </w:p>
    <w:p>
      <w:pPr>
        <w:pStyle w:val="287"/>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投标人开户行：</w:t>
      </w:r>
    </w:p>
    <w:p>
      <w:pPr>
        <w:pStyle w:val="287"/>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账          号： </w:t>
      </w:r>
    </w:p>
    <w:p>
      <w:pPr>
        <w:pStyle w:val="287"/>
        <w:spacing w:before="0" w:after="0" w:line="420" w:lineRule="exact"/>
        <w:ind w:left="420"/>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期：________年____月____日</w:t>
      </w:r>
    </w:p>
    <w:p>
      <w:pPr>
        <w:spacing w:line="560" w:lineRule="exact"/>
        <w:ind w:firstLine="240"/>
        <w:jc w:val="center"/>
        <w:rPr>
          <w:rFonts w:hint="eastAsia" w:ascii="宋体" w:hAnsi="宋体" w:eastAsia="宋体" w:cs="宋体"/>
          <w:bCs/>
          <w:color w:val="auto"/>
          <w:sz w:val="24"/>
          <w:highlight w:val="none"/>
        </w:rPr>
      </w:pPr>
    </w:p>
    <w:p>
      <w:pPr>
        <w:pStyle w:val="33"/>
        <w:rPr>
          <w:rFonts w:hint="eastAsia" w:ascii="宋体" w:hAnsi="宋体" w:eastAsia="宋体" w:cs="宋体"/>
          <w:color w:val="auto"/>
          <w:sz w:val="24"/>
          <w:highlight w:val="none"/>
        </w:rPr>
      </w:pPr>
    </w:p>
    <w:bookmarkEnd w:id="198"/>
    <w:bookmarkEnd w:id="199"/>
    <w:bookmarkEnd w:id="200"/>
    <w:p>
      <w:pPr>
        <w:spacing w:line="460" w:lineRule="exact"/>
        <w:rPr>
          <w:rFonts w:hint="eastAsia" w:ascii="宋体" w:hAnsi="宋体" w:eastAsia="宋体" w:cs="宋体"/>
          <w:bCs/>
          <w:color w:val="auto"/>
          <w:sz w:val="24"/>
          <w:highlight w:val="none"/>
        </w:rPr>
      </w:pPr>
      <w:bookmarkStart w:id="201" w:name="_Toc120614284"/>
    </w:p>
    <w:p>
      <w:pPr>
        <w:pStyle w:val="2"/>
        <w:rPr>
          <w:rFonts w:hint="eastAsia" w:ascii="宋体" w:hAnsi="宋体" w:eastAsia="宋体" w:cs="宋体"/>
          <w:bCs/>
          <w:color w:val="auto"/>
          <w:sz w:val="24"/>
          <w:highlight w:val="none"/>
        </w:rPr>
      </w:pPr>
    </w:p>
    <w:p>
      <w:pPr>
        <w:rPr>
          <w:rFonts w:hint="eastAsia" w:ascii="宋体" w:hAnsi="宋体" w:eastAsia="宋体" w:cs="宋体"/>
          <w:bCs/>
          <w:color w:val="auto"/>
          <w:sz w:val="24"/>
          <w:highlight w:val="none"/>
        </w:rPr>
      </w:pPr>
    </w:p>
    <w:p>
      <w:pPr>
        <w:pStyle w:val="2"/>
        <w:rPr>
          <w:rFonts w:hint="eastAsia" w:ascii="宋体" w:hAnsi="宋体" w:eastAsia="宋体" w:cs="宋体"/>
          <w:bCs/>
          <w:color w:val="auto"/>
          <w:sz w:val="24"/>
          <w:highlight w:val="none"/>
        </w:rPr>
      </w:pPr>
    </w:p>
    <w:p>
      <w:pPr>
        <w:rPr>
          <w:rFonts w:hint="eastAsia" w:ascii="宋体" w:hAnsi="宋体" w:eastAsia="宋体" w:cs="宋体"/>
          <w:bCs/>
          <w:color w:val="auto"/>
          <w:sz w:val="24"/>
          <w:highlight w:val="none"/>
        </w:rPr>
      </w:pPr>
    </w:p>
    <w:p>
      <w:pPr>
        <w:pStyle w:val="2"/>
        <w:rPr>
          <w:rFonts w:hint="eastAsia" w:ascii="宋体" w:hAnsi="宋体" w:eastAsia="宋体" w:cs="宋体"/>
          <w:bCs/>
          <w:color w:val="auto"/>
          <w:sz w:val="24"/>
          <w:highlight w:val="none"/>
        </w:rPr>
      </w:pPr>
    </w:p>
    <w:p>
      <w:pPr>
        <w:rPr>
          <w:rFonts w:hint="eastAsia" w:ascii="宋体" w:hAnsi="宋体" w:eastAsia="宋体" w:cs="宋体"/>
          <w:bCs/>
          <w:color w:val="auto"/>
          <w:sz w:val="24"/>
          <w:highlight w:val="none"/>
        </w:rPr>
      </w:pPr>
    </w:p>
    <w:p>
      <w:pPr>
        <w:jc w:val="center"/>
        <w:rPr>
          <w:rFonts w:hint="eastAsia" w:ascii="宋体" w:hAnsi="宋体" w:eastAsia="宋体" w:cs="宋体"/>
          <w:color w:val="auto"/>
          <w:sz w:val="24"/>
          <w:szCs w:val="20"/>
          <w:highlight w:val="none"/>
        </w:rPr>
      </w:pPr>
      <w:r>
        <w:rPr>
          <w:rFonts w:hint="eastAsia" w:ascii="宋体" w:hAnsi="宋体" w:eastAsia="宋体" w:cs="宋体"/>
          <w:b/>
          <w:color w:val="auto"/>
          <w:sz w:val="32"/>
          <w:szCs w:val="32"/>
          <w:highlight w:val="none"/>
          <w:u w:val="single"/>
          <w:lang w:val="en-US" w:eastAsia="zh-CN"/>
        </w:rPr>
        <w:t>二</w:t>
      </w:r>
      <w:r>
        <w:rPr>
          <w:rFonts w:hint="eastAsia" w:ascii="宋体" w:hAnsi="宋体" w:eastAsia="宋体" w:cs="宋体"/>
          <w:b/>
          <w:i/>
          <w:color w:val="auto"/>
          <w:sz w:val="32"/>
          <w:szCs w:val="32"/>
          <w:highlight w:val="none"/>
          <w:u w:val="single"/>
        </w:rPr>
        <w:t>、开标一览表</w:t>
      </w: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投标人全称（加盖CA电子签章）：</w:t>
      </w:r>
    </w:p>
    <w:p>
      <w:pPr>
        <w:ind w:firstLine="480"/>
        <w:rPr>
          <w:rFonts w:hint="eastAsia" w:ascii="宋体" w:hAnsi="宋体" w:eastAsia="宋体" w:cs="宋体"/>
          <w:color w:val="auto"/>
          <w:sz w:val="24"/>
          <w:szCs w:val="24"/>
          <w:highlight w:val="none"/>
        </w:rPr>
      </w:pPr>
    </w:p>
    <w:tbl>
      <w:tblPr>
        <w:tblStyle w:val="320"/>
        <w:tblW w:w="8824"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637"/>
        <w:gridCol w:w="4187"/>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4637" w:type="dxa"/>
            <w:vAlign w:val="top"/>
          </w:tcPr>
          <w:p>
            <w:pPr>
              <w:pStyle w:val="319"/>
              <w:spacing w:before="235" w:line="225" w:lineRule="auto"/>
              <w:ind w:left="122"/>
              <w:rPr>
                <w:rFonts w:hint="eastAsia" w:ascii="宋体" w:hAnsi="宋体" w:eastAsia="宋体" w:cs="宋体"/>
                <w:color w:val="auto"/>
                <w:sz w:val="22"/>
                <w:szCs w:val="22"/>
                <w:highlight w:val="none"/>
              </w:rPr>
            </w:pPr>
            <w:r>
              <w:rPr>
                <w:rFonts w:hint="eastAsia" w:ascii="宋体" w:hAnsi="宋体" w:eastAsia="宋体" w:cs="宋体"/>
                <w:color w:val="auto"/>
                <w:spacing w:val="-4"/>
                <w:sz w:val="22"/>
                <w:szCs w:val="22"/>
                <w:highlight w:val="none"/>
              </w:rPr>
              <w:t>项目编号</w:t>
            </w:r>
          </w:p>
        </w:tc>
        <w:tc>
          <w:tcPr>
            <w:tcW w:w="4187" w:type="dxa"/>
            <w:vAlign w:val="top"/>
          </w:tcPr>
          <w:p>
            <w:pPr>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4637" w:type="dxa"/>
            <w:vAlign w:val="top"/>
          </w:tcPr>
          <w:p>
            <w:pPr>
              <w:pStyle w:val="319"/>
              <w:spacing w:before="232" w:line="222" w:lineRule="auto"/>
              <w:ind w:left="122"/>
              <w:rPr>
                <w:rFonts w:hint="eastAsia" w:ascii="宋体" w:hAnsi="宋体" w:eastAsia="宋体" w:cs="宋体"/>
                <w:color w:val="auto"/>
                <w:sz w:val="22"/>
                <w:szCs w:val="22"/>
                <w:highlight w:val="none"/>
              </w:rPr>
            </w:pPr>
            <w:r>
              <w:rPr>
                <w:rFonts w:hint="eastAsia" w:ascii="宋体" w:hAnsi="宋体" w:eastAsia="宋体" w:cs="宋体"/>
                <w:color w:val="auto"/>
                <w:spacing w:val="-4"/>
                <w:sz w:val="22"/>
                <w:szCs w:val="22"/>
                <w:highlight w:val="none"/>
              </w:rPr>
              <w:t>项目名称</w:t>
            </w:r>
          </w:p>
        </w:tc>
        <w:tc>
          <w:tcPr>
            <w:tcW w:w="4187" w:type="dxa"/>
            <w:vAlign w:val="top"/>
          </w:tcPr>
          <w:p>
            <w:pPr>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0" w:hRule="atLeast"/>
        </w:trPr>
        <w:tc>
          <w:tcPr>
            <w:tcW w:w="4637" w:type="dxa"/>
            <w:vAlign w:val="top"/>
          </w:tcPr>
          <w:p>
            <w:pPr>
              <w:pStyle w:val="319"/>
              <w:spacing w:before="234" w:line="223" w:lineRule="auto"/>
              <w:ind w:left="120"/>
              <w:rPr>
                <w:rFonts w:hint="eastAsia" w:ascii="宋体" w:hAnsi="宋体" w:eastAsia="宋体" w:cs="宋体"/>
                <w:color w:val="auto"/>
                <w:sz w:val="22"/>
                <w:szCs w:val="22"/>
                <w:highlight w:val="none"/>
              </w:rPr>
            </w:pPr>
            <w:r>
              <w:rPr>
                <w:rFonts w:hint="eastAsia" w:ascii="宋体" w:hAnsi="宋体" w:eastAsia="宋体" w:cs="宋体"/>
                <w:color w:val="auto"/>
                <w:spacing w:val="-4"/>
                <w:sz w:val="22"/>
                <w:szCs w:val="22"/>
                <w:highlight w:val="none"/>
              </w:rPr>
              <w:t>投标报价</w:t>
            </w:r>
          </w:p>
        </w:tc>
        <w:tc>
          <w:tcPr>
            <w:tcW w:w="4187" w:type="dxa"/>
            <w:vAlign w:val="top"/>
          </w:tcPr>
          <w:p>
            <w:pPr>
              <w:pStyle w:val="319"/>
              <w:spacing w:before="233" w:line="222" w:lineRule="auto"/>
              <w:ind w:left="1003"/>
              <w:rPr>
                <w:rFonts w:hint="eastAsia" w:ascii="宋体" w:hAnsi="宋体" w:eastAsia="宋体" w:cs="宋体"/>
                <w:color w:val="auto"/>
                <w:sz w:val="22"/>
                <w:szCs w:val="22"/>
                <w:highlight w:val="none"/>
              </w:rPr>
            </w:pPr>
            <w:r>
              <w:rPr>
                <w:rFonts w:hint="eastAsia" w:ascii="宋体" w:hAnsi="宋体" w:eastAsia="宋体" w:cs="宋体"/>
                <w:color w:val="auto"/>
                <w:spacing w:val="-2"/>
                <w:sz w:val="22"/>
                <w:szCs w:val="22"/>
                <w:highlight w:val="none"/>
              </w:rPr>
              <w:t>执行国家统一定价标准</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6" w:hRule="atLeast"/>
        </w:trPr>
        <w:tc>
          <w:tcPr>
            <w:tcW w:w="4637" w:type="dxa"/>
            <w:vAlign w:val="top"/>
          </w:tcPr>
          <w:p>
            <w:pPr>
              <w:pStyle w:val="319"/>
              <w:spacing w:before="294" w:line="222" w:lineRule="auto"/>
              <w:ind w:left="122"/>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是否响应招标文件的保险服务要求</w:t>
            </w:r>
          </w:p>
        </w:tc>
        <w:tc>
          <w:tcPr>
            <w:tcW w:w="4187" w:type="dxa"/>
            <w:vAlign w:val="top"/>
          </w:tcPr>
          <w:p>
            <w:pPr>
              <w:rPr>
                <w:rFonts w:hint="eastAsia" w:ascii="宋体" w:hAnsi="宋体" w:eastAsia="宋体" w:cs="宋体"/>
                <w:color w:val="auto"/>
                <w:sz w:val="21"/>
                <w:highlight w:val="none"/>
              </w:rPr>
            </w:pP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5" w:hRule="atLeast"/>
        </w:trPr>
        <w:tc>
          <w:tcPr>
            <w:tcW w:w="4637" w:type="dxa"/>
            <w:vAlign w:val="top"/>
          </w:tcPr>
          <w:p>
            <w:pPr>
              <w:spacing w:line="243" w:lineRule="auto"/>
              <w:rPr>
                <w:rFonts w:hint="eastAsia" w:ascii="宋体" w:hAnsi="宋体" w:eastAsia="宋体" w:cs="宋体"/>
                <w:color w:val="auto"/>
                <w:sz w:val="21"/>
                <w:highlight w:val="none"/>
              </w:rPr>
            </w:pPr>
          </w:p>
          <w:p>
            <w:pPr>
              <w:pStyle w:val="319"/>
              <w:spacing w:before="72" w:line="221" w:lineRule="auto"/>
              <w:ind w:left="122"/>
              <w:rPr>
                <w:rFonts w:hint="eastAsia" w:ascii="宋体" w:hAnsi="宋体" w:eastAsia="宋体" w:cs="宋体"/>
                <w:color w:val="auto"/>
                <w:sz w:val="22"/>
                <w:szCs w:val="22"/>
                <w:highlight w:val="none"/>
              </w:rPr>
            </w:pPr>
            <w:r>
              <w:rPr>
                <w:rFonts w:hint="eastAsia" w:ascii="宋体" w:hAnsi="宋体" w:eastAsia="宋体" w:cs="宋体"/>
                <w:color w:val="auto"/>
                <w:spacing w:val="-1"/>
                <w:sz w:val="22"/>
                <w:szCs w:val="22"/>
                <w:highlight w:val="none"/>
              </w:rPr>
              <w:t>是否按招标文件审核项提供齐全相关材料</w:t>
            </w:r>
          </w:p>
        </w:tc>
        <w:tc>
          <w:tcPr>
            <w:tcW w:w="4187" w:type="dxa"/>
            <w:vAlign w:val="top"/>
          </w:tcPr>
          <w:p>
            <w:pPr>
              <w:rPr>
                <w:rFonts w:hint="eastAsia" w:ascii="宋体" w:hAnsi="宋体" w:eastAsia="宋体" w:cs="宋体"/>
                <w:color w:val="auto"/>
                <w:sz w:val="21"/>
                <w:highlight w:val="none"/>
              </w:rPr>
            </w:pPr>
          </w:p>
        </w:tc>
      </w:tr>
    </w:tbl>
    <w:p>
      <w:pPr>
        <w:rPr>
          <w:rFonts w:hint="eastAsia" w:ascii="宋体" w:hAnsi="宋体" w:eastAsia="宋体" w:cs="宋体"/>
          <w:b/>
          <w:bCs/>
          <w:color w:val="auto"/>
          <w:sz w:val="24"/>
          <w:szCs w:val="24"/>
          <w:highlight w:val="none"/>
        </w:rPr>
      </w:pPr>
    </w:p>
    <w:p>
      <w:pPr>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ind w:firstLine="48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pPr>
        <w:ind w:firstLine="480"/>
        <w:rPr>
          <w:rFonts w:hint="eastAsia" w:ascii="宋体" w:hAnsi="宋体" w:eastAsia="宋体" w:cs="宋体"/>
          <w:color w:val="auto"/>
          <w:sz w:val="24"/>
          <w:szCs w:val="24"/>
          <w:highlight w:val="none"/>
        </w:rPr>
      </w:pPr>
    </w:p>
    <w:p>
      <w:pPr>
        <w:pStyle w:val="2"/>
        <w:rPr>
          <w:rFonts w:hint="eastAsia"/>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b/>
          <w:i/>
          <w:color w:val="auto"/>
          <w:sz w:val="32"/>
          <w:szCs w:val="32"/>
          <w:highlight w:val="none"/>
          <w:u w:val="single"/>
          <w:lang w:val="en-US" w:eastAsia="zh-CN"/>
        </w:rPr>
      </w:pPr>
      <w:r>
        <w:rPr>
          <w:rFonts w:hint="eastAsia" w:ascii="宋体" w:hAnsi="宋体" w:eastAsia="宋体" w:cs="宋体"/>
          <w:b/>
          <w:i/>
          <w:color w:val="auto"/>
          <w:sz w:val="32"/>
          <w:szCs w:val="32"/>
          <w:highlight w:val="none"/>
          <w:u w:val="single"/>
          <w:lang w:val="en-US" w:eastAsia="zh-CN"/>
        </w:rPr>
        <w:t>三、人员配备表</w:t>
      </w:r>
    </w:p>
    <w:tbl>
      <w:tblPr>
        <w:tblStyle w:val="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970"/>
        <w:gridCol w:w="1020"/>
        <w:gridCol w:w="923"/>
        <w:gridCol w:w="1323"/>
        <w:gridCol w:w="1148"/>
        <w:gridCol w:w="1405"/>
        <w:gridCol w:w="894"/>
        <w:gridCol w:w="89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7" w:hRule="atLeast"/>
          <w:jc w:val="center"/>
        </w:trPr>
        <w:tc>
          <w:tcPr>
            <w:tcW w:w="703" w:type="dxa"/>
            <w:noWrap w:val="0"/>
            <w:vAlign w:val="center"/>
          </w:tcPr>
          <w:p>
            <w:pPr>
              <w:spacing w:line="400" w:lineRule="exact"/>
              <w:jc w:val="center"/>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en-US" w:bidi="ar-SA"/>
              </w:rPr>
              <w:t>序号</w:t>
            </w:r>
          </w:p>
        </w:tc>
        <w:tc>
          <w:tcPr>
            <w:tcW w:w="970" w:type="dxa"/>
            <w:noWrap w:val="0"/>
            <w:vAlign w:val="center"/>
          </w:tcPr>
          <w:p>
            <w:pPr>
              <w:spacing w:line="400" w:lineRule="exact"/>
              <w:jc w:val="center"/>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en-US" w:bidi="ar-SA"/>
              </w:rPr>
              <w:t>姓名</w:t>
            </w:r>
          </w:p>
        </w:tc>
        <w:tc>
          <w:tcPr>
            <w:tcW w:w="1020" w:type="dxa"/>
            <w:noWrap w:val="0"/>
            <w:vAlign w:val="center"/>
          </w:tcPr>
          <w:p>
            <w:pPr>
              <w:spacing w:line="400" w:lineRule="exact"/>
              <w:jc w:val="center"/>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en-US" w:bidi="ar-SA"/>
              </w:rPr>
              <w:t>性别</w:t>
            </w:r>
          </w:p>
        </w:tc>
        <w:tc>
          <w:tcPr>
            <w:tcW w:w="923" w:type="dxa"/>
            <w:noWrap w:val="0"/>
            <w:vAlign w:val="center"/>
          </w:tcPr>
          <w:p>
            <w:pPr>
              <w:spacing w:line="400" w:lineRule="exact"/>
              <w:jc w:val="center"/>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en-US" w:bidi="ar-SA"/>
              </w:rPr>
              <w:t>年龄</w:t>
            </w:r>
          </w:p>
        </w:tc>
        <w:tc>
          <w:tcPr>
            <w:tcW w:w="1323" w:type="dxa"/>
            <w:noWrap w:val="0"/>
            <w:vAlign w:val="center"/>
          </w:tcPr>
          <w:p>
            <w:pPr>
              <w:spacing w:line="400" w:lineRule="exact"/>
              <w:ind w:firstLine="140"/>
              <w:jc w:val="center"/>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en-US" w:bidi="ar-SA"/>
              </w:rPr>
              <w:t>学历</w:t>
            </w:r>
          </w:p>
        </w:tc>
        <w:tc>
          <w:tcPr>
            <w:tcW w:w="1148" w:type="dxa"/>
            <w:noWrap w:val="0"/>
            <w:vAlign w:val="center"/>
          </w:tcPr>
          <w:p>
            <w:pPr>
              <w:spacing w:line="400" w:lineRule="exact"/>
              <w:ind w:firstLine="131"/>
              <w:jc w:val="center"/>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en-US" w:bidi="ar-SA"/>
              </w:rPr>
              <w:t>专业</w:t>
            </w:r>
          </w:p>
        </w:tc>
        <w:tc>
          <w:tcPr>
            <w:tcW w:w="1405" w:type="dxa"/>
            <w:noWrap w:val="0"/>
            <w:vAlign w:val="center"/>
          </w:tcPr>
          <w:p>
            <w:pPr>
              <w:spacing w:line="400" w:lineRule="exact"/>
              <w:jc w:val="center"/>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en-US" w:bidi="ar-SA"/>
              </w:rPr>
              <w:t>职称</w:t>
            </w:r>
          </w:p>
        </w:tc>
        <w:tc>
          <w:tcPr>
            <w:tcW w:w="894" w:type="dxa"/>
            <w:noWrap w:val="0"/>
            <w:vAlign w:val="center"/>
          </w:tcPr>
          <w:p>
            <w:pPr>
              <w:spacing w:line="400" w:lineRule="exact"/>
              <w:jc w:val="center"/>
              <w:rPr>
                <w:rFonts w:hint="eastAsia" w:ascii="宋体" w:hAnsi="宋体" w:eastAsia="宋体" w:cs="宋体"/>
                <w:color w:val="auto"/>
                <w:spacing w:val="-1"/>
                <w:sz w:val="22"/>
                <w:szCs w:val="22"/>
                <w:highlight w:val="none"/>
                <w:lang w:val="en-US" w:eastAsia="en-US" w:bidi="ar-SA"/>
              </w:rPr>
            </w:pPr>
            <w:r>
              <w:rPr>
                <w:rFonts w:hint="eastAsia" w:ascii="宋体" w:hAnsi="宋体" w:eastAsia="宋体" w:cs="宋体"/>
                <w:color w:val="auto"/>
                <w:spacing w:val="-1"/>
                <w:sz w:val="22"/>
                <w:szCs w:val="22"/>
                <w:highlight w:val="none"/>
                <w:lang w:val="en-US" w:eastAsia="en-US" w:bidi="ar-SA"/>
              </w:rPr>
              <w:t>相关</w:t>
            </w:r>
          </w:p>
          <w:p>
            <w:pPr>
              <w:spacing w:line="400" w:lineRule="exact"/>
              <w:jc w:val="center"/>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en-US" w:bidi="ar-SA"/>
              </w:rPr>
              <w:t>证书</w:t>
            </w:r>
          </w:p>
        </w:tc>
        <w:tc>
          <w:tcPr>
            <w:tcW w:w="894" w:type="dxa"/>
            <w:noWrap w:val="0"/>
            <w:vAlign w:val="center"/>
          </w:tcPr>
          <w:p>
            <w:pPr>
              <w:spacing w:line="400" w:lineRule="exact"/>
              <w:jc w:val="center"/>
              <w:rPr>
                <w:rFonts w:hint="eastAsia" w:ascii="宋体" w:hAnsi="宋体" w:eastAsia="宋体" w:cs="宋体"/>
                <w:color w:val="auto"/>
                <w:spacing w:val="-1"/>
                <w:sz w:val="22"/>
                <w:szCs w:val="22"/>
                <w:highlight w:val="none"/>
                <w:lang w:val="en-US" w:eastAsia="en-US" w:bidi="ar-SA"/>
              </w:rPr>
            </w:pPr>
            <w:r>
              <w:rPr>
                <w:rFonts w:hint="eastAsia" w:ascii="宋体" w:hAnsi="宋体" w:eastAsia="宋体" w:cs="宋体"/>
                <w:color w:val="auto"/>
                <w:spacing w:val="-1"/>
                <w:sz w:val="22"/>
                <w:szCs w:val="22"/>
                <w:highlight w:val="none"/>
                <w:lang w:val="en-US" w:eastAsia="en-US" w:bidi="ar-SA"/>
              </w:rPr>
              <w:t>拟任</w:t>
            </w:r>
          </w:p>
          <w:p>
            <w:pPr>
              <w:spacing w:line="400" w:lineRule="exact"/>
              <w:jc w:val="center"/>
              <w:rPr>
                <w:rFonts w:hint="eastAsia" w:ascii="宋体" w:hAnsi="宋体" w:eastAsia="宋体" w:cs="宋体"/>
                <w:color w:val="auto"/>
                <w:spacing w:val="-1"/>
                <w:sz w:val="22"/>
                <w:szCs w:val="22"/>
                <w:highlight w:val="none"/>
                <w:lang w:val="en-US" w:eastAsia="zh-CN" w:bidi="ar-SA"/>
              </w:rPr>
            </w:pPr>
            <w:r>
              <w:rPr>
                <w:rFonts w:hint="eastAsia" w:ascii="宋体" w:hAnsi="宋体" w:eastAsia="宋体" w:cs="宋体"/>
                <w:color w:val="auto"/>
                <w:spacing w:val="-1"/>
                <w:sz w:val="22"/>
                <w:szCs w:val="22"/>
                <w:highlight w:val="none"/>
                <w:lang w:val="en-US" w:eastAsia="en-US" w:bidi="ar-SA"/>
              </w:rPr>
              <w:t>岗位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51"/>
              <w:keepNext w:val="0"/>
              <w:keepLines w:val="0"/>
              <w:pageBreakBefore w:val="0"/>
              <w:spacing w:before="0" w:after="0" w:line="480" w:lineRule="exact"/>
              <w:ind w:firstLine="0"/>
              <w:jc w:val="center"/>
              <w:rPr>
                <w:rFonts w:hint="eastAsia" w:ascii="宋体" w:hAnsi="宋体" w:eastAsia="宋体" w:cs="宋体"/>
                <w:color w:val="auto"/>
                <w:spacing w:val="-1"/>
                <w:kern w:val="0"/>
                <w:sz w:val="22"/>
                <w:szCs w:val="22"/>
                <w:highlight w:val="none"/>
                <w:lang w:val="en-US" w:eastAsia="en-US" w:bidi="ar-SA"/>
              </w:rPr>
            </w:pPr>
            <w:r>
              <w:rPr>
                <w:rFonts w:hint="eastAsia" w:ascii="宋体" w:hAnsi="宋体" w:eastAsia="宋体" w:cs="宋体"/>
                <w:color w:val="auto"/>
                <w:spacing w:val="-1"/>
                <w:kern w:val="0"/>
                <w:sz w:val="22"/>
                <w:szCs w:val="22"/>
                <w:highlight w:val="none"/>
                <w:lang w:val="en-US" w:eastAsia="en-US" w:bidi="ar-SA"/>
              </w:rPr>
              <w:t>1</w:t>
            </w:r>
          </w:p>
        </w:tc>
        <w:tc>
          <w:tcPr>
            <w:tcW w:w="97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02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923" w:type="dxa"/>
            <w:noWrap w:val="0"/>
            <w:vAlign w:val="center"/>
          </w:tcPr>
          <w:p>
            <w:pPr>
              <w:pStyle w:val="51"/>
              <w:keepNext w:val="0"/>
              <w:keepLines w:val="0"/>
              <w:pageBreakBefore w:val="0"/>
              <w:spacing w:before="0" w:after="0" w:line="480" w:lineRule="exact"/>
              <w:ind w:firstLine="482"/>
              <w:jc w:val="both"/>
              <w:rPr>
                <w:rFonts w:hint="eastAsia" w:ascii="宋体" w:hAnsi="宋体" w:eastAsia="宋体" w:cs="宋体"/>
                <w:color w:val="auto"/>
                <w:spacing w:val="-1"/>
                <w:kern w:val="0"/>
                <w:sz w:val="22"/>
                <w:szCs w:val="22"/>
                <w:highlight w:val="none"/>
                <w:lang w:val="en-US" w:eastAsia="en-US" w:bidi="ar-SA"/>
              </w:rPr>
            </w:pPr>
          </w:p>
        </w:tc>
        <w:tc>
          <w:tcPr>
            <w:tcW w:w="1323"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1148"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1405"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51"/>
              <w:keepNext w:val="0"/>
              <w:keepLines w:val="0"/>
              <w:pageBreakBefore w:val="0"/>
              <w:spacing w:before="0" w:after="0" w:line="480" w:lineRule="exact"/>
              <w:ind w:firstLine="0"/>
              <w:jc w:val="center"/>
              <w:rPr>
                <w:rFonts w:hint="eastAsia" w:ascii="宋体" w:hAnsi="宋体" w:eastAsia="宋体" w:cs="宋体"/>
                <w:color w:val="auto"/>
                <w:spacing w:val="-1"/>
                <w:kern w:val="0"/>
                <w:sz w:val="22"/>
                <w:szCs w:val="22"/>
                <w:highlight w:val="none"/>
                <w:lang w:val="en-US" w:eastAsia="en-US" w:bidi="ar-SA"/>
              </w:rPr>
            </w:pPr>
            <w:r>
              <w:rPr>
                <w:rFonts w:hint="eastAsia" w:ascii="宋体" w:hAnsi="宋体" w:eastAsia="宋体" w:cs="宋体"/>
                <w:color w:val="auto"/>
                <w:spacing w:val="-1"/>
                <w:kern w:val="0"/>
                <w:sz w:val="22"/>
                <w:szCs w:val="22"/>
                <w:highlight w:val="none"/>
                <w:lang w:val="en-US" w:eastAsia="en-US" w:bidi="ar-SA"/>
              </w:rPr>
              <w:t>2</w:t>
            </w:r>
          </w:p>
        </w:tc>
        <w:tc>
          <w:tcPr>
            <w:tcW w:w="97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02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923"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323"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1148"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1405"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51"/>
              <w:keepNext w:val="0"/>
              <w:keepLines w:val="0"/>
              <w:pageBreakBefore w:val="0"/>
              <w:spacing w:before="0" w:after="0" w:line="480" w:lineRule="exact"/>
              <w:ind w:firstLine="0"/>
              <w:jc w:val="center"/>
              <w:rPr>
                <w:rFonts w:hint="eastAsia" w:ascii="宋体" w:hAnsi="宋体" w:eastAsia="宋体" w:cs="宋体"/>
                <w:color w:val="auto"/>
                <w:spacing w:val="-1"/>
                <w:kern w:val="0"/>
                <w:sz w:val="22"/>
                <w:szCs w:val="22"/>
                <w:highlight w:val="none"/>
                <w:lang w:val="en-US" w:eastAsia="en-US" w:bidi="ar-SA"/>
              </w:rPr>
            </w:pPr>
            <w:r>
              <w:rPr>
                <w:rFonts w:hint="eastAsia" w:ascii="宋体" w:hAnsi="宋体" w:eastAsia="宋体" w:cs="宋体"/>
                <w:color w:val="auto"/>
                <w:spacing w:val="-1"/>
                <w:kern w:val="0"/>
                <w:sz w:val="22"/>
                <w:szCs w:val="22"/>
                <w:highlight w:val="none"/>
                <w:lang w:val="en-US" w:eastAsia="en-US" w:bidi="ar-SA"/>
              </w:rPr>
              <w:t>3</w:t>
            </w:r>
          </w:p>
        </w:tc>
        <w:tc>
          <w:tcPr>
            <w:tcW w:w="97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02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923"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323"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1148"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1405"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51"/>
              <w:keepNext w:val="0"/>
              <w:keepLines w:val="0"/>
              <w:pageBreakBefore w:val="0"/>
              <w:spacing w:before="0" w:after="0" w:line="480" w:lineRule="exact"/>
              <w:ind w:firstLine="0"/>
              <w:jc w:val="center"/>
              <w:rPr>
                <w:rFonts w:hint="eastAsia" w:ascii="宋体" w:hAnsi="宋体" w:eastAsia="宋体" w:cs="宋体"/>
                <w:color w:val="auto"/>
                <w:spacing w:val="-1"/>
                <w:kern w:val="0"/>
                <w:sz w:val="22"/>
                <w:szCs w:val="22"/>
                <w:highlight w:val="none"/>
                <w:lang w:val="en-US" w:eastAsia="en-US" w:bidi="ar-SA"/>
              </w:rPr>
            </w:pPr>
          </w:p>
        </w:tc>
        <w:tc>
          <w:tcPr>
            <w:tcW w:w="97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02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923"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323"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1148"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1405"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51"/>
              <w:keepNext w:val="0"/>
              <w:keepLines w:val="0"/>
              <w:pageBreakBefore w:val="0"/>
              <w:spacing w:before="0" w:after="0" w:line="480" w:lineRule="exact"/>
              <w:ind w:firstLine="0"/>
              <w:jc w:val="center"/>
              <w:rPr>
                <w:rFonts w:hint="eastAsia" w:ascii="宋体" w:hAnsi="宋体" w:eastAsia="宋体" w:cs="宋体"/>
                <w:color w:val="auto"/>
                <w:spacing w:val="-1"/>
                <w:kern w:val="0"/>
                <w:sz w:val="22"/>
                <w:szCs w:val="22"/>
                <w:highlight w:val="none"/>
                <w:lang w:val="en-US" w:eastAsia="en-US" w:bidi="ar-SA"/>
              </w:rPr>
            </w:pPr>
          </w:p>
        </w:tc>
        <w:tc>
          <w:tcPr>
            <w:tcW w:w="97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02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923"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323"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1148"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1405"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4" w:hRule="atLeast"/>
          <w:jc w:val="center"/>
        </w:trPr>
        <w:tc>
          <w:tcPr>
            <w:tcW w:w="703" w:type="dxa"/>
            <w:noWrap w:val="0"/>
            <w:vAlign w:val="center"/>
          </w:tcPr>
          <w:p>
            <w:pPr>
              <w:pStyle w:val="51"/>
              <w:keepNext w:val="0"/>
              <w:keepLines w:val="0"/>
              <w:pageBreakBefore w:val="0"/>
              <w:spacing w:before="0" w:after="0" w:line="480" w:lineRule="exact"/>
              <w:ind w:firstLine="0"/>
              <w:jc w:val="center"/>
              <w:rPr>
                <w:rFonts w:hint="eastAsia" w:ascii="宋体" w:hAnsi="宋体" w:eastAsia="宋体" w:cs="宋体"/>
                <w:color w:val="auto"/>
                <w:spacing w:val="-1"/>
                <w:kern w:val="0"/>
                <w:sz w:val="22"/>
                <w:szCs w:val="22"/>
                <w:highlight w:val="none"/>
                <w:lang w:val="en-US" w:eastAsia="en-US" w:bidi="ar-SA"/>
              </w:rPr>
            </w:pPr>
          </w:p>
        </w:tc>
        <w:tc>
          <w:tcPr>
            <w:tcW w:w="97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02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923"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323"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1148"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1405"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9" w:hRule="atLeast"/>
          <w:jc w:val="center"/>
        </w:trPr>
        <w:tc>
          <w:tcPr>
            <w:tcW w:w="703" w:type="dxa"/>
            <w:noWrap w:val="0"/>
            <w:vAlign w:val="center"/>
          </w:tcPr>
          <w:p>
            <w:pPr>
              <w:pStyle w:val="51"/>
              <w:keepNext w:val="0"/>
              <w:keepLines w:val="0"/>
              <w:pageBreakBefore w:val="0"/>
              <w:spacing w:before="0" w:after="0" w:line="480" w:lineRule="exact"/>
              <w:ind w:left="0" w:firstLine="0"/>
              <w:jc w:val="center"/>
              <w:rPr>
                <w:rFonts w:hint="eastAsia" w:ascii="宋体" w:hAnsi="宋体" w:eastAsia="宋体" w:cs="宋体"/>
                <w:color w:val="auto"/>
                <w:spacing w:val="-1"/>
                <w:kern w:val="0"/>
                <w:sz w:val="22"/>
                <w:szCs w:val="22"/>
                <w:highlight w:val="none"/>
                <w:lang w:val="en-US" w:eastAsia="en-US" w:bidi="ar-SA"/>
              </w:rPr>
            </w:pPr>
            <w:r>
              <w:rPr>
                <w:rFonts w:hint="eastAsia" w:ascii="宋体" w:hAnsi="宋体" w:eastAsia="宋体" w:cs="宋体"/>
                <w:color w:val="auto"/>
                <w:spacing w:val="-1"/>
                <w:kern w:val="0"/>
                <w:sz w:val="22"/>
                <w:szCs w:val="22"/>
                <w:highlight w:val="none"/>
                <w:lang w:val="en-US" w:eastAsia="en-US" w:bidi="ar-SA"/>
              </w:rPr>
              <w:t>…</w:t>
            </w:r>
          </w:p>
        </w:tc>
        <w:tc>
          <w:tcPr>
            <w:tcW w:w="97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020"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923" w:type="dxa"/>
            <w:noWrap w:val="0"/>
            <w:vAlign w:val="center"/>
          </w:tcPr>
          <w:p>
            <w:pPr>
              <w:pStyle w:val="51"/>
              <w:keepNext w:val="0"/>
              <w:keepLines w:val="0"/>
              <w:pageBreakBefore w:val="0"/>
              <w:spacing w:before="0" w:after="0" w:line="480" w:lineRule="exact"/>
              <w:ind w:firstLine="482"/>
              <w:jc w:val="center"/>
              <w:rPr>
                <w:rFonts w:hint="eastAsia" w:ascii="宋体" w:hAnsi="宋体" w:eastAsia="宋体" w:cs="宋体"/>
                <w:color w:val="auto"/>
                <w:spacing w:val="-1"/>
                <w:kern w:val="0"/>
                <w:sz w:val="22"/>
                <w:szCs w:val="22"/>
                <w:highlight w:val="none"/>
                <w:lang w:val="en-US" w:eastAsia="en-US" w:bidi="ar-SA"/>
              </w:rPr>
            </w:pPr>
          </w:p>
        </w:tc>
        <w:tc>
          <w:tcPr>
            <w:tcW w:w="1323"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1148"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1405"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spacing w:before="0" w:after="0" w:line="480" w:lineRule="exact"/>
              <w:ind w:left="709" w:leftChars="0" w:firstLine="436" w:firstLineChars="200"/>
              <w:jc w:val="center"/>
              <w:rPr>
                <w:rFonts w:hint="eastAsia" w:ascii="宋体" w:hAnsi="宋体" w:eastAsia="宋体" w:cs="宋体"/>
                <w:color w:val="auto"/>
                <w:spacing w:val="-1"/>
                <w:kern w:val="0"/>
                <w:sz w:val="22"/>
                <w:szCs w:val="22"/>
                <w:highlight w:val="none"/>
                <w:lang w:val="en-US" w:eastAsia="en-US" w:bidi="ar-SA"/>
              </w:rPr>
            </w:pPr>
          </w:p>
        </w:tc>
        <w:tc>
          <w:tcPr>
            <w:tcW w:w="894" w:type="dxa"/>
            <w:noWrap w:val="0"/>
            <w:vAlign w:val="center"/>
          </w:tcPr>
          <w:p>
            <w:pPr>
              <w:pStyle w:val="51"/>
              <w:keepNext w:val="0"/>
              <w:keepLines w:val="0"/>
              <w:pageBreakBefore w:val="0"/>
              <w:numPr>
                <w:ilvl w:val="0"/>
                <w:numId w:val="0"/>
              </w:numPr>
              <w:tabs>
                <w:tab w:val="clear" w:pos="709"/>
              </w:tabs>
              <w:spacing w:before="0" w:after="0" w:line="480" w:lineRule="exact"/>
              <w:ind w:left="420" w:leftChars="200" w:firstLine="0" w:firstLineChars="0"/>
              <w:jc w:val="both"/>
              <w:rPr>
                <w:rFonts w:hint="eastAsia" w:ascii="宋体" w:hAnsi="宋体" w:eastAsia="宋体" w:cs="宋体"/>
                <w:color w:val="auto"/>
                <w:spacing w:val="-1"/>
                <w:kern w:val="0"/>
                <w:sz w:val="22"/>
                <w:szCs w:val="22"/>
                <w:highlight w:val="none"/>
                <w:lang w:val="en-US" w:eastAsia="en-US" w:bidi="ar-SA"/>
              </w:rPr>
            </w:pPr>
          </w:p>
        </w:tc>
      </w:tr>
    </w:tbl>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投标人全称（加盖CA电子公章）：</w:t>
      </w:r>
    </w:p>
    <w:p>
      <w:pPr>
        <w:keepNext w:val="0"/>
        <w:keepLines w:val="0"/>
        <w:pageBreakBefore w:val="0"/>
        <w:widowControl w:val="0"/>
        <w:numPr>
          <w:ilvl w:val="0"/>
          <w:numId w:val="0"/>
        </w:num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日  期：</w:t>
      </w: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b/>
          <w:i/>
          <w:color w:val="auto"/>
          <w:sz w:val="32"/>
          <w:szCs w:val="32"/>
          <w:highlight w:val="none"/>
          <w:u w:val="single"/>
          <w:lang w:val="en-US" w:eastAsia="zh-CN"/>
        </w:rPr>
      </w:pPr>
      <w:r>
        <w:rPr>
          <w:rFonts w:hint="eastAsia" w:ascii="宋体" w:hAnsi="宋体" w:cs="宋体"/>
          <w:b/>
          <w:i/>
          <w:color w:val="auto"/>
          <w:sz w:val="32"/>
          <w:szCs w:val="32"/>
          <w:highlight w:val="none"/>
          <w:u w:val="single"/>
          <w:lang w:val="en-US" w:eastAsia="zh-CN"/>
        </w:rPr>
        <w:t>四、</w:t>
      </w:r>
      <w:r>
        <w:rPr>
          <w:rFonts w:hint="eastAsia" w:ascii="宋体" w:hAnsi="宋体" w:eastAsia="宋体" w:cs="宋体"/>
          <w:b/>
          <w:i/>
          <w:color w:val="auto"/>
          <w:sz w:val="32"/>
          <w:szCs w:val="32"/>
          <w:highlight w:val="none"/>
          <w:u w:val="single"/>
          <w:lang w:val="en-US" w:eastAsia="zh-CN"/>
        </w:rPr>
        <w:t>服务承诺</w:t>
      </w:r>
    </w:p>
    <w:p>
      <w:pPr>
        <w:pStyle w:val="2"/>
        <w:numPr>
          <w:ilvl w:val="0"/>
          <w:numId w:val="0"/>
        </w:numPr>
        <w:ind w:leftChars="0" w:right="0" w:rightChars="0"/>
        <w:jc w:val="center"/>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（格式由投标人自定，加盖投标人电子签章）</w:t>
      </w: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default" w:ascii="宋体" w:hAnsi="宋体" w:cs="宋体"/>
          <w:i/>
          <w:color w:val="auto"/>
          <w:sz w:val="32"/>
          <w:szCs w:val="32"/>
          <w:highlight w:val="none"/>
          <w:u w:val="single"/>
          <w:lang w:val="en-US" w:eastAsia="zh-CN"/>
        </w:rPr>
      </w:pPr>
      <w:r>
        <w:rPr>
          <w:rFonts w:hint="eastAsia" w:ascii="宋体" w:hAnsi="宋体" w:cs="宋体"/>
          <w:i/>
          <w:color w:val="auto"/>
          <w:sz w:val="32"/>
          <w:szCs w:val="32"/>
          <w:highlight w:val="none"/>
          <w:u w:val="single"/>
          <w:lang w:val="en-US" w:eastAsia="zh-CN"/>
        </w:rPr>
        <w:t>五、资质审查时投标人必须提供的资格证明文件</w:t>
      </w:r>
    </w:p>
    <w:p>
      <w:pPr>
        <w:jc w:val="both"/>
        <w:rPr>
          <w:rFonts w:hint="eastAsia" w:ascii="宋体" w:hAnsi="宋体" w:eastAsia="宋体" w:cs="宋体"/>
          <w:i/>
          <w:color w:val="auto"/>
          <w:sz w:val="32"/>
          <w:szCs w:val="32"/>
          <w:highlight w:val="none"/>
          <w:u w:val="single"/>
        </w:rPr>
      </w:pP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投标人</w:t>
      </w:r>
      <w:r>
        <w:rPr>
          <w:rFonts w:hint="eastAsia" w:ascii="仿宋" w:hAnsi="仿宋" w:eastAsia="仿宋" w:cs="仿宋"/>
          <w:sz w:val="24"/>
          <w:szCs w:val="24"/>
        </w:rPr>
        <w:t>提供下列材料之一:</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（1）提供</w:t>
      </w:r>
      <w:r>
        <w:rPr>
          <w:rFonts w:hint="eastAsia" w:ascii="仿宋" w:hAnsi="仿宋" w:eastAsia="仿宋" w:cs="仿宋"/>
          <w:bCs/>
          <w:sz w:val="24"/>
          <w:szCs w:val="24"/>
        </w:rPr>
        <w:t>法定代表人资格证明</w:t>
      </w:r>
      <w:r>
        <w:rPr>
          <w:rFonts w:hint="eastAsia" w:ascii="仿宋" w:hAnsi="仿宋" w:eastAsia="仿宋" w:cs="仿宋"/>
          <w:sz w:val="24"/>
          <w:szCs w:val="24"/>
        </w:rPr>
        <w:t>和</w:t>
      </w:r>
      <w:r>
        <w:rPr>
          <w:rFonts w:hint="eastAsia" w:ascii="仿宋" w:hAnsi="仿宋" w:eastAsia="仿宋" w:cs="仿宋"/>
          <w:bCs/>
          <w:sz w:val="24"/>
          <w:szCs w:val="24"/>
        </w:rPr>
        <w:t>法定代表人身份证</w:t>
      </w:r>
      <w:r>
        <w:rPr>
          <w:rFonts w:hint="eastAsia" w:ascii="仿宋" w:hAnsi="仿宋" w:eastAsia="仿宋" w:cs="仿宋"/>
          <w:b/>
          <w:bCs/>
          <w:sz w:val="24"/>
          <w:szCs w:val="24"/>
        </w:rPr>
        <w:t>（原件扫描件加盖</w:t>
      </w:r>
      <w:r>
        <w:rPr>
          <w:rFonts w:hint="eastAsia" w:ascii="仿宋" w:hAnsi="仿宋" w:eastAsia="仿宋" w:cs="仿宋"/>
          <w:b/>
          <w:bCs/>
          <w:sz w:val="24"/>
          <w:szCs w:val="24"/>
          <w:lang w:val="en-US" w:eastAsia="zh-CN"/>
        </w:rPr>
        <w:t>投标人</w:t>
      </w:r>
      <w:r>
        <w:rPr>
          <w:rFonts w:hint="eastAsia" w:ascii="仿宋" w:hAnsi="仿宋" w:eastAsia="仿宋" w:cs="仿宋"/>
          <w:b/>
          <w:sz w:val="24"/>
          <w:szCs w:val="24"/>
        </w:rPr>
        <w:t>电子签</w:t>
      </w:r>
      <w:r>
        <w:rPr>
          <w:rFonts w:hint="eastAsia" w:ascii="仿宋" w:hAnsi="仿宋" w:eastAsia="仿宋" w:cs="仿宋"/>
          <w:b/>
          <w:bCs/>
          <w:sz w:val="24"/>
          <w:szCs w:val="24"/>
        </w:rPr>
        <w:t>章）</w:t>
      </w:r>
      <w:r>
        <w:rPr>
          <w:rFonts w:hint="eastAsia" w:ascii="仿宋" w:hAnsi="仿宋" w:eastAsia="仿宋" w:cs="仿宋"/>
          <w:sz w:val="24"/>
          <w:szCs w:val="24"/>
        </w:rPr>
        <w:t>；</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（2）提供授权委托书和</w:t>
      </w:r>
      <w:r>
        <w:rPr>
          <w:rFonts w:hint="eastAsia" w:ascii="仿宋" w:hAnsi="仿宋" w:eastAsia="仿宋" w:cs="仿宋"/>
          <w:bCs/>
          <w:sz w:val="24"/>
          <w:szCs w:val="24"/>
        </w:rPr>
        <w:t>受托人身份证</w:t>
      </w:r>
      <w:r>
        <w:rPr>
          <w:rFonts w:hint="eastAsia" w:ascii="仿宋" w:hAnsi="仿宋" w:eastAsia="仿宋" w:cs="仿宋"/>
          <w:b/>
          <w:bCs/>
          <w:sz w:val="24"/>
          <w:szCs w:val="24"/>
        </w:rPr>
        <w:t>（原件扫描件加盖</w:t>
      </w:r>
      <w:r>
        <w:rPr>
          <w:rFonts w:hint="eastAsia" w:ascii="仿宋" w:hAnsi="仿宋" w:eastAsia="仿宋" w:cs="仿宋"/>
          <w:b/>
          <w:bCs/>
          <w:sz w:val="24"/>
          <w:szCs w:val="24"/>
          <w:lang w:val="en-US" w:eastAsia="zh-CN"/>
        </w:rPr>
        <w:t>投标人</w:t>
      </w:r>
      <w:r>
        <w:rPr>
          <w:rFonts w:hint="eastAsia" w:ascii="仿宋" w:hAnsi="仿宋" w:eastAsia="仿宋" w:cs="仿宋"/>
          <w:b/>
          <w:sz w:val="24"/>
          <w:szCs w:val="24"/>
        </w:rPr>
        <w:t>电子签</w:t>
      </w:r>
      <w:r>
        <w:rPr>
          <w:rFonts w:hint="eastAsia" w:ascii="仿宋" w:hAnsi="仿宋" w:eastAsia="仿宋" w:cs="仿宋"/>
          <w:b/>
          <w:bCs/>
          <w:sz w:val="24"/>
          <w:szCs w:val="24"/>
        </w:rPr>
        <w:t>章）</w:t>
      </w:r>
      <w:r>
        <w:rPr>
          <w:rFonts w:hint="eastAsia" w:ascii="仿宋" w:hAnsi="仿宋" w:eastAsia="仿宋" w:cs="仿宋"/>
          <w:sz w:val="24"/>
          <w:szCs w:val="24"/>
        </w:rPr>
        <w:t>。</w:t>
      </w:r>
    </w:p>
    <w:p>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2、</w:t>
      </w:r>
      <w:r>
        <w:rPr>
          <w:rFonts w:hint="eastAsia" w:ascii="仿宋" w:hAnsi="仿宋" w:eastAsia="仿宋" w:cs="仿宋"/>
          <w:sz w:val="24"/>
          <w:szCs w:val="24"/>
          <w:lang w:val="en-US" w:eastAsia="zh-CN"/>
        </w:rPr>
        <w:t>投标人</w:t>
      </w:r>
      <w:r>
        <w:rPr>
          <w:rFonts w:hint="eastAsia" w:ascii="仿宋" w:hAnsi="仿宋" w:eastAsia="仿宋" w:cs="仿宋"/>
          <w:sz w:val="24"/>
          <w:szCs w:val="24"/>
        </w:rPr>
        <w:t>提供下列材料之一:</w:t>
      </w:r>
    </w:p>
    <w:p>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A.供应商为企业的:</w:t>
      </w:r>
    </w:p>
    <w:p>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（1）提供营业执照（三证合一）</w:t>
      </w:r>
      <w:r>
        <w:rPr>
          <w:rFonts w:hint="eastAsia" w:ascii="仿宋" w:hAnsi="仿宋" w:eastAsia="仿宋" w:cs="仿宋"/>
          <w:b/>
          <w:sz w:val="24"/>
          <w:szCs w:val="24"/>
        </w:rPr>
        <w:t>（原件扫描件</w:t>
      </w:r>
      <w:r>
        <w:rPr>
          <w:rFonts w:hint="eastAsia" w:ascii="仿宋" w:hAnsi="仿宋" w:eastAsia="仿宋" w:cs="仿宋"/>
          <w:b/>
          <w:bCs/>
          <w:sz w:val="24"/>
          <w:szCs w:val="24"/>
        </w:rPr>
        <w:t>加盖</w:t>
      </w:r>
      <w:r>
        <w:rPr>
          <w:rFonts w:hint="eastAsia" w:ascii="仿宋" w:hAnsi="仿宋" w:eastAsia="仿宋" w:cs="仿宋"/>
          <w:b/>
          <w:bCs/>
          <w:sz w:val="24"/>
          <w:szCs w:val="24"/>
          <w:lang w:val="en-US" w:eastAsia="zh-CN"/>
        </w:rPr>
        <w:t>投标人</w:t>
      </w:r>
      <w:r>
        <w:rPr>
          <w:rFonts w:hint="eastAsia" w:ascii="仿宋" w:hAnsi="仿宋" w:eastAsia="仿宋" w:cs="仿宋"/>
          <w:b/>
          <w:bCs/>
          <w:sz w:val="24"/>
          <w:szCs w:val="24"/>
        </w:rPr>
        <w:t>电子签章，必须提供）</w:t>
      </w:r>
      <w:r>
        <w:rPr>
          <w:rFonts w:hint="eastAsia" w:ascii="仿宋" w:hAnsi="仿宋" w:eastAsia="仿宋" w:cs="仿宋"/>
          <w:bCs/>
          <w:sz w:val="24"/>
          <w:szCs w:val="24"/>
        </w:rPr>
        <w:t>。</w:t>
      </w:r>
    </w:p>
    <w:p>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rPr>
        <w:t>B.供应商为事业单位的:</w:t>
      </w:r>
    </w:p>
    <w:p>
      <w:pPr>
        <w:spacing w:line="360" w:lineRule="auto"/>
        <w:ind w:firstLine="480" w:firstLineChars="200"/>
        <w:rPr>
          <w:rFonts w:hint="eastAsia" w:ascii="仿宋" w:hAnsi="仿宋" w:eastAsia="仿宋" w:cs="仿宋"/>
          <w:b/>
          <w:sz w:val="24"/>
          <w:szCs w:val="24"/>
        </w:rPr>
      </w:pPr>
      <w:r>
        <w:rPr>
          <w:rFonts w:hint="eastAsia" w:ascii="仿宋" w:hAnsi="仿宋" w:eastAsia="仿宋" w:cs="仿宋"/>
          <w:bCs/>
          <w:sz w:val="24"/>
          <w:szCs w:val="24"/>
        </w:rPr>
        <w:t>（1）提供事业法人证书</w:t>
      </w:r>
      <w:r>
        <w:rPr>
          <w:rFonts w:hint="eastAsia" w:ascii="仿宋" w:hAnsi="仿宋" w:eastAsia="仿宋" w:cs="仿宋"/>
          <w:b/>
          <w:bCs/>
          <w:sz w:val="24"/>
          <w:szCs w:val="24"/>
        </w:rPr>
        <w:t>（原件扫描件加盖</w:t>
      </w:r>
      <w:r>
        <w:rPr>
          <w:rFonts w:hint="eastAsia" w:ascii="仿宋" w:hAnsi="仿宋" w:eastAsia="仿宋" w:cs="仿宋"/>
          <w:b/>
          <w:bCs/>
          <w:sz w:val="24"/>
          <w:szCs w:val="24"/>
          <w:lang w:val="en-US" w:eastAsia="zh-CN"/>
        </w:rPr>
        <w:t>投标人</w:t>
      </w:r>
      <w:r>
        <w:rPr>
          <w:rFonts w:hint="eastAsia" w:ascii="仿宋" w:hAnsi="仿宋" w:eastAsia="仿宋" w:cs="仿宋"/>
          <w:b/>
          <w:bCs/>
          <w:sz w:val="24"/>
          <w:szCs w:val="24"/>
        </w:rPr>
        <w:t>电子签章，必须提供）</w:t>
      </w:r>
      <w:r>
        <w:rPr>
          <w:rFonts w:hint="eastAsia" w:ascii="仿宋" w:hAnsi="仿宋" w:eastAsia="仿宋" w:cs="仿宋"/>
          <w:bCs/>
          <w:sz w:val="24"/>
          <w:szCs w:val="24"/>
        </w:rPr>
        <w:t>。</w:t>
      </w:r>
    </w:p>
    <w:p>
      <w:pPr>
        <w:spacing w:line="360" w:lineRule="auto"/>
        <w:ind w:firstLine="480" w:firstLineChars="200"/>
        <w:rPr>
          <w:rFonts w:hint="eastAsia" w:ascii="宋体" w:hAnsi="宋体" w:eastAsia="宋体" w:cs="宋体"/>
          <w:i/>
          <w:color w:val="auto"/>
          <w:sz w:val="32"/>
          <w:szCs w:val="32"/>
          <w:highlight w:val="none"/>
          <w:u w:val="single"/>
        </w:rPr>
      </w:pPr>
      <w:r>
        <w:rPr>
          <w:rFonts w:hint="eastAsia" w:ascii="仿宋" w:hAnsi="仿宋" w:eastAsia="仿宋" w:cs="仿宋"/>
          <w:sz w:val="24"/>
          <w:szCs w:val="24"/>
        </w:rPr>
        <w:t>3、</w:t>
      </w:r>
      <w:r>
        <w:rPr>
          <w:rFonts w:hint="eastAsia" w:ascii="仿宋" w:hAnsi="仿宋" w:eastAsia="仿宋" w:cs="仿宋"/>
          <w:sz w:val="24"/>
          <w:szCs w:val="24"/>
          <w:lang w:val="en-US" w:eastAsia="zh-CN"/>
        </w:rPr>
        <w:t>投标人</w:t>
      </w:r>
      <w:r>
        <w:rPr>
          <w:rFonts w:hint="eastAsia" w:ascii="仿宋" w:hAnsi="仿宋" w:eastAsia="仿宋" w:cs="仿宋"/>
          <w:sz w:val="24"/>
          <w:szCs w:val="24"/>
        </w:rPr>
        <w:t>符合《政府采购法》第二十二条规定条件的承诺函；</w:t>
      </w:r>
      <w:r>
        <w:rPr>
          <w:rFonts w:hint="eastAsia" w:ascii="仿宋" w:hAnsi="仿宋" w:eastAsia="仿宋" w:cs="仿宋"/>
          <w:b/>
          <w:sz w:val="24"/>
          <w:szCs w:val="24"/>
        </w:rPr>
        <w:t>（承诺书加盖</w:t>
      </w:r>
      <w:r>
        <w:rPr>
          <w:rFonts w:hint="eastAsia" w:ascii="仿宋" w:hAnsi="仿宋" w:eastAsia="仿宋" w:cs="仿宋"/>
          <w:b/>
          <w:bCs/>
          <w:sz w:val="24"/>
          <w:szCs w:val="24"/>
          <w:lang w:val="en-US" w:eastAsia="zh-CN"/>
        </w:rPr>
        <w:t>投标人</w:t>
      </w:r>
      <w:r>
        <w:rPr>
          <w:rFonts w:hint="eastAsia" w:ascii="仿宋" w:hAnsi="仿宋" w:eastAsia="仿宋" w:cs="仿宋"/>
          <w:b/>
          <w:sz w:val="24"/>
          <w:szCs w:val="24"/>
        </w:rPr>
        <w:t>电子签章，必须提供）</w:t>
      </w:r>
      <w:r>
        <w:rPr>
          <w:rFonts w:hint="eastAsia" w:ascii="仿宋" w:hAnsi="仿宋" w:eastAsia="仿宋" w:cs="仿宋"/>
          <w:sz w:val="24"/>
          <w:szCs w:val="24"/>
        </w:rPr>
        <w:t xml:space="preserve"> </w:t>
      </w:r>
    </w:p>
    <w:p>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val="en-US" w:eastAsia="zh-CN"/>
        </w:rPr>
        <w:t>4、</w:t>
      </w:r>
      <w:r>
        <w:rPr>
          <w:rFonts w:hint="eastAsia" w:ascii="仿宋" w:hAnsi="仿宋" w:eastAsia="仿宋" w:cs="仿宋"/>
          <w:bCs/>
          <w:sz w:val="24"/>
          <w:szCs w:val="24"/>
          <w:lang w:eastAsia="zh-CN"/>
        </w:rPr>
        <w:t>本项目的特定资格要求:</w:t>
      </w:r>
    </w:p>
    <w:p>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eastAsia="zh-CN"/>
        </w:rPr>
        <w:t>（1）投标人具有《经营保险业务许可证》。</w:t>
      </w:r>
      <w:r>
        <w:rPr>
          <w:rFonts w:hint="eastAsia" w:ascii="仿宋" w:hAnsi="仿宋" w:eastAsia="仿宋" w:cs="仿宋"/>
          <w:b/>
          <w:bCs/>
          <w:sz w:val="24"/>
          <w:szCs w:val="24"/>
        </w:rPr>
        <w:t>（原件扫描件加盖</w:t>
      </w:r>
      <w:r>
        <w:rPr>
          <w:rFonts w:hint="eastAsia" w:ascii="仿宋" w:hAnsi="仿宋" w:eastAsia="仿宋" w:cs="仿宋"/>
          <w:b/>
          <w:bCs/>
          <w:sz w:val="24"/>
          <w:szCs w:val="24"/>
          <w:lang w:val="en-US" w:eastAsia="zh-CN"/>
        </w:rPr>
        <w:t>投标人</w:t>
      </w:r>
      <w:r>
        <w:rPr>
          <w:rFonts w:hint="eastAsia" w:ascii="仿宋" w:hAnsi="仿宋" w:eastAsia="仿宋" w:cs="仿宋"/>
          <w:b/>
          <w:sz w:val="24"/>
          <w:szCs w:val="24"/>
        </w:rPr>
        <w:t>电子签</w:t>
      </w:r>
      <w:r>
        <w:rPr>
          <w:rFonts w:hint="eastAsia" w:ascii="仿宋" w:hAnsi="仿宋" w:eastAsia="仿宋" w:cs="仿宋"/>
          <w:b/>
          <w:bCs/>
          <w:sz w:val="24"/>
          <w:szCs w:val="24"/>
        </w:rPr>
        <w:t>章）</w:t>
      </w:r>
    </w:p>
    <w:p>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eastAsia="zh-CN"/>
        </w:rPr>
        <w:t>（2）投标人总公司或省级公司具有国家保险监督管理机关批准开展农业保险业务的经营资质或者公布的具有符合规定的经营条件。</w:t>
      </w:r>
      <w:r>
        <w:rPr>
          <w:rFonts w:hint="eastAsia" w:ascii="仿宋" w:hAnsi="仿宋" w:eastAsia="仿宋" w:cs="仿宋"/>
          <w:b/>
          <w:bCs/>
          <w:sz w:val="24"/>
          <w:szCs w:val="24"/>
        </w:rPr>
        <w:t>（原件扫描件加盖</w:t>
      </w:r>
      <w:r>
        <w:rPr>
          <w:rFonts w:hint="eastAsia" w:ascii="仿宋" w:hAnsi="仿宋" w:eastAsia="仿宋" w:cs="仿宋"/>
          <w:b/>
          <w:bCs/>
          <w:sz w:val="24"/>
          <w:szCs w:val="24"/>
          <w:lang w:val="en-US" w:eastAsia="zh-CN"/>
        </w:rPr>
        <w:t>投标人</w:t>
      </w:r>
      <w:r>
        <w:rPr>
          <w:rFonts w:hint="eastAsia" w:ascii="仿宋" w:hAnsi="仿宋" w:eastAsia="仿宋" w:cs="仿宋"/>
          <w:b/>
          <w:sz w:val="24"/>
          <w:szCs w:val="24"/>
        </w:rPr>
        <w:t>电子签</w:t>
      </w:r>
      <w:r>
        <w:rPr>
          <w:rFonts w:hint="eastAsia" w:ascii="仿宋" w:hAnsi="仿宋" w:eastAsia="仿宋" w:cs="仿宋"/>
          <w:b/>
          <w:bCs/>
          <w:sz w:val="24"/>
          <w:szCs w:val="24"/>
        </w:rPr>
        <w:t>章）</w:t>
      </w:r>
    </w:p>
    <w:p>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eastAsia="zh-CN"/>
        </w:rPr>
        <w:t>（3）投标人可以是总公司、省公司或经省公司或总公司授权参与本次招标活动。</w:t>
      </w:r>
    </w:p>
    <w:p>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eastAsia="zh-CN"/>
        </w:rPr>
        <w:t>（4）投标人必须符合《关于加强政策性农业保险承保机构遴选管理工作的通知》（财金〔2020〕128号）和《江苏省财政厅江苏省农业农村厅关于做好政策性农业保险承保机构遴选工作的通知》</w:t>
      </w:r>
      <w:bookmarkStart w:id="205" w:name="_GoBack"/>
      <w:bookmarkEnd w:id="205"/>
      <w:r>
        <w:rPr>
          <w:rFonts w:hint="eastAsia" w:ascii="仿宋" w:hAnsi="仿宋" w:eastAsia="仿宋" w:cs="仿宋"/>
          <w:bCs/>
          <w:sz w:val="24"/>
          <w:szCs w:val="24"/>
          <w:lang w:eastAsia="zh-CN"/>
        </w:rPr>
        <w:t>（苏财金〔2021〕42号）对于承保机构的要求。</w:t>
      </w:r>
    </w:p>
    <w:p>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eastAsia="zh-CN"/>
        </w:rPr>
        <w:t>（5）投标人不是联合体、外资保险公司</w:t>
      </w:r>
    </w:p>
    <w:p>
      <w:pPr>
        <w:spacing w:line="360" w:lineRule="auto"/>
        <w:ind w:firstLine="480" w:firstLineChars="200"/>
        <w:rPr>
          <w:rFonts w:hint="default" w:ascii="仿宋" w:hAnsi="仿宋" w:eastAsia="仿宋" w:cs="仿宋"/>
          <w:bCs/>
          <w:sz w:val="24"/>
          <w:szCs w:val="24"/>
          <w:lang w:val="en-US" w:eastAsia="zh-CN"/>
        </w:rPr>
      </w:pPr>
      <w:r>
        <w:rPr>
          <w:rFonts w:hint="eastAsia" w:ascii="仿宋" w:hAnsi="仿宋" w:eastAsia="仿宋" w:cs="仿宋"/>
          <w:bCs/>
          <w:sz w:val="24"/>
          <w:szCs w:val="24"/>
          <w:lang w:val="en-US" w:eastAsia="zh-CN"/>
        </w:rPr>
        <w:t>5、</w:t>
      </w:r>
      <w:r>
        <w:rPr>
          <w:rFonts w:hint="eastAsia" w:ascii="仿宋" w:hAnsi="仿宋" w:eastAsia="仿宋" w:cs="仿宋"/>
          <w:bCs/>
          <w:sz w:val="24"/>
          <w:szCs w:val="24"/>
          <w:lang w:eastAsia="zh-CN"/>
        </w:rPr>
        <w:t>拒绝</w:t>
      </w:r>
      <w:r>
        <w:rPr>
          <w:rFonts w:hint="eastAsia" w:ascii="仿宋" w:hAnsi="仿宋" w:eastAsia="仿宋" w:cs="仿宋"/>
          <w:bCs/>
          <w:sz w:val="24"/>
          <w:szCs w:val="24"/>
          <w:lang w:val="en-US" w:eastAsia="zh-CN"/>
        </w:rPr>
        <w:t>下述条件的投标人</w:t>
      </w:r>
      <w:r>
        <w:rPr>
          <w:rFonts w:hint="eastAsia" w:ascii="仿宋" w:hAnsi="仿宋" w:eastAsia="仿宋" w:cs="仿宋"/>
          <w:bCs/>
          <w:sz w:val="24"/>
          <w:szCs w:val="24"/>
          <w:lang w:eastAsia="zh-CN"/>
        </w:rPr>
        <w:t>参加本次采购活动：（</w:t>
      </w:r>
      <w:r>
        <w:rPr>
          <w:rFonts w:hint="eastAsia" w:ascii="仿宋" w:hAnsi="仿宋" w:eastAsia="仿宋" w:cs="仿宋"/>
          <w:bCs/>
          <w:sz w:val="24"/>
          <w:szCs w:val="24"/>
          <w:lang w:val="en-US" w:eastAsia="zh-CN"/>
        </w:rPr>
        <w:t>提供下列（1）-（3）承诺书加盖投标人</w:t>
      </w:r>
      <w:r>
        <w:rPr>
          <w:rFonts w:hint="eastAsia" w:ascii="仿宋" w:hAnsi="仿宋" w:eastAsia="仿宋" w:cs="仿宋"/>
          <w:bCs/>
          <w:sz w:val="24"/>
          <w:szCs w:val="24"/>
          <w:lang w:eastAsia="zh-CN"/>
        </w:rPr>
        <w:t>电子签章</w:t>
      </w:r>
      <w:r>
        <w:rPr>
          <w:rFonts w:hint="eastAsia" w:ascii="仿宋" w:hAnsi="仿宋" w:eastAsia="仿宋" w:cs="仿宋"/>
          <w:bCs/>
          <w:sz w:val="24"/>
          <w:szCs w:val="24"/>
          <w:lang w:val="en-US" w:eastAsia="zh-CN"/>
        </w:rPr>
        <w:t>，格式自拟</w:t>
      </w:r>
      <w:r>
        <w:rPr>
          <w:rFonts w:hint="eastAsia" w:ascii="仿宋" w:hAnsi="仿宋" w:eastAsia="仿宋" w:cs="仿宋"/>
          <w:bCs/>
          <w:sz w:val="24"/>
          <w:szCs w:val="24"/>
          <w:lang w:eastAsia="zh-CN"/>
        </w:rPr>
        <w:t>）</w:t>
      </w:r>
    </w:p>
    <w:p>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1）投标人</w:t>
      </w:r>
      <w:r>
        <w:rPr>
          <w:rFonts w:hint="eastAsia" w:ascii="仿宋" w:hAnsi="仿宋" w:eastAsia="仿宋" w:cs="仿宋"/>
          <w:bCs/>
          <w:sz w:val="24"/>
          <w:szCs w:val="24"/>
          <w:lang w:eastAsia="zh-CN"/>
        </w:rPr>
        <w:t>单位负责人为同一人或者存在直接控股、管理关系的不同</w:t>
      </w:r>
      <w:r>
        <w:rPr>
          <w:rFonts w:hint="eastAsia" w:ascii="仿宋" w:hAnsi="仿宋" w:eastAsia="仿宋" w:cs="仿宋"/>
          <w:bCs/>
          <w:sz w:val="24"/>
          <w:szCs w:val="24"/>
          <w:lang w:val="en-US" w:eastAsia="zh-CN"/>
        </w:rPr>
        <w:t>投标人</w:t>
      </w:r>
      <w:r>
        <w:rPr>
          <w:rFonts w:hint="eastAsia" w:ascii="仿宋" w:hAnsi="仿宋" w:eastAsia="仿宋" w:cs="仿宋"/>
          <w:bCs/>
          <w:sz w:val="24"/>
          <w:szCs w:val="24"/>
          <w:lang w:eastAsia="zh-CN"/>
        </w:rPr>
        <w:t>，不得同时参加同一合同项下的政府采购活动。</w:t>
      </w:r>
    </w:p>
    <w:p>
      <w:pPr>
        <w:spacing w:line="360" w:lineRule="auto"/>
        <w:ind w:firstLine="480" w:firstLineChars="200"/>
        <w:rPr>
          <w:rFonts w:hint="eastAsia" w:ascii="仿宋" w:hAnsi="仿宋" w:eastAsia="仿宋" w:cs="仿宋"/>
          <w:bCs/>
          <w:sz w:val="24"/>
          <w:szCs w:val="24"/>
          <w:lang w:eastAsia="zh-CN"/>
        </w:rPr>
      </w:pP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2）</w:t>
      </w:r>
      <w:r>
        <w:rPr>
          <w:rFonts w:hint="eastAsia" w:ascii="仿宋" w:hAnsi="仿宋" w:eastAsia="仿宋" w:cs="仿宋"/>
          <w:bCs/>
          <w:sz w:val="24"/>
          <w:szCs w:val="24"/>
          <w:lang w:eastAsia="zh-CN"/>
        </w:rPr>
        <w:t>凡为采购项目提供整体设计、规范编制或者项目管理、监理、检测等服务的</w:t>
      </w:r>
      <w:r>
        <w:rPr>
          <w:rFonts w:hint="eastAsia" w:ascii="仿宋" w:hAnsi="仿宋" w:eastAsia="仿宋" w:cs="仿宋"/>
          <w:bCs/>
          <w:sz w:val="24"/>
          <w:szCs w:val="24"/>
          <w:lang w:val="en-US" w:eastAsia="zh-CN"/>
        </w:rPr>
        <w:t>投标人</w:t>
      </w:r>
      <w:r>
        <w:rPr>
          <w:rFonts w:hint="eastAsia" w:ascii="仿宋" w:hAnsi="仿宋" w:eastAsia="仿宋" w:cs="仿宋"/>
          <w:bCs/>
          <w:sz w:val="24"/>
          <w:szCs w:val="24"/>
          <w:lang w:eastAsia="zh-CN"/>
        </w:rPr>
        <w:t>，不得再参加本项目的采购活动。</w:t>
      </w:r>
    </w:p>
    <w:p>
      <w:pPr>
        <w:spacing w:line="360" w:lineRule="auto"/>
        <w:ind w:firstLine="480" w:firstLineChars="200"/>
        <w:rPr>
          <w:rFonts w:hint="eastAsia" w:ascii="仿宋" w:hAnsi="仿宋" w:eastAsia="仿宋" w:cs="仿宋"/>
          <w:bCs/>
          <w:sz w:val="24"/>
          <w:szCs w:val="24"/>
        </w:rPr>
      </w:pPr>
      <w:r>
        <w:rPr>
          <w:rFonts w:hint="eastAsia" w:ascii="仿宋" w:hAnsi="仿宋" w:eastAsia="仿宋" w:cs="仿宋"/>
          <w:bCs/>
          <w:sz w:val="24"/>
          <w:szCs w:val="24"/>
          <w:lang w:eastAsia="zh-CN"/>
        </w:rPr>
        <w:t>（</w:t>
      </w:r>
      <w:r>
        <w:rPr>
          <w:rFonts w:hint="eastAsia" w:ascii="仿宋" w:hAnsi="仿宋" w:eastAsia="仿宋" w:cs="仿宋"/>
          <w:bCs/>
          <w:sz w:val="24"/>
          <w:szCs w:val="24"/>
          <w:lang w:val="en-US" w:eastAsia="zh-CN"/>
        </w:rPr>
        <w:t>3）投标人</w:t>
      </w:r>
      <w:r>
        <w:rPr>
          <w:rFonts w:hint="eastAsia" w:ascii="仿宋" w:hAnsi="仿宋" w:eastAsia="仿宋" w:cs="仿宋"/>
          <w:bCs/>
          <w:sz w:val="24"/>
          <w:szCs w:val="24"/>
          <w:lang w:eastAsia="zh-CN"/>
        </w:rPr>
        <w:t>被“信用中国”网站、“中国政府采购网”列入失信被执行人、重大税收违法案件当事人名单、政府采购严重违法失信行为记录名单。</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注:</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1、上述是</w:t>
      </w:r>
      <w:r>
        <w:rPr>
          <w:rFonts w:hint="eastAsia" w:ascii="仿宋" w:hAnsi="仿宋" w:eastAsia="仿宋" w:cs="仿宋"/>
          <w:sz w:val="24"/>
          <w:szCs w:val="24"/>
          <w:lang w:val="en-US" w:eastAsia="zh-CN"/>
        </w:rPr>
        <w:t>投标人</w:t>
      </w:r>
      <w:r>
        <w:rPr>
          <w:rFonts w:hint="eastAsia" w:ascii="仿宋" w:hAnsi="仿宋" w:eastAsia="仿宋" w:cs="仿宋"/>
          <w:sz w:val="24"/>
          <w:szCs w:val="24"/>
        </w:rPr>
        <w:t>必须提供的资格证明文件，如</w:t>
      </w:r>
      <w:r>
        <w:rPr>
          <w:rFonts w:hint="eastAsia" w:ascii="仿宋" w:hAnsi="仿宋" w:eastAsia="仿宋" w:cs="仿宋"/>
          <w:sz w:val="24"/>
          <w:szCs w:val="24"/>
          <w:lang w:val="en-US" w:eastAsia="zh-CN"/>
        </w:rPr>
        <w:t>投标人</w:t>
      </w:r>
      <w:r>
        <w:rPr>
          <w:rFonts w:hint="eastAsia" w:ascii="仿宋" w:hAnsi="仿宋" w:eastAsia="仿宋" w:cs="仿宋"/>
          <w:sz w:val="24"/>
          <w:szCs w:val="24"/>
        </w:rPr>
        <w:t>未能提供上述资格证明文件以及</w:t>
      </w:r>
      <w:r>
        <w:rPr>
          <w:rFonts w:hint="eastAsia" w:ascii="仿宋" w:hAnsi="仿宋" w:eastAsia="仿宋" w:cs="仿宋"/>
          <w:sz w:val="24"/>
          <w:szCs w:val="24"/>
          <w:lang w:val="en-US" w:eastAsia="zh-CN"/>
        </w:rPr>
        <w:t>投标人</w:t>
      </w:r>
      <w:r>
        <w:rPr>
          <w:rFonts w:hint="eastAsia" w:ascii="仿宋" w:hAnsi="仿宋" w:eastAsia="仿宋" w:cs="仿宋"/>
          <w:sz w:val="24"/>
          <w:szCs w:val="24"/>
        </w:rPr>
        <w:t>资质条件不符合</w:t>
      </w:r>
      <w:r>
        <w:rPr>
          <w:rFonts w:hint="eastAsia" w:ascii="仿宋" w:hAnsi="仿宋" w:eastAsia="仿宋" w:cs="仿宋"/>
          <w:sz w:val="24"/>
          <w:szCs w:val="24"/>
          <w:lang w:val="en-US" w:eastAsia="zh-CN"/>
        </w:rPr>
        <w:t>招标</w:t>
      </w:r>
      <w:r>
        <w:rPr>
          <w:rFonts w:hint="eastAsia" w:ascii="仿宋" w:hAnsi="仿宋" w:eastAsia="仿宋" w:cs="仿宋"/>
          <w:sz w:val="24"/>
          <w:szCs w:val="24"/>
        </w:rPr>
        <w:t>文件要求的将取消其继续参加</w:t>
      </w:r>
      <w:r>
        <w:rPr>
          <w:rFonts w:hint="eastAsia" w:ascii="仿宋" w:hAnsi="仿宋" w:eastAsia="仿宋" w:cs="仿宋"/>
          <w:sz w:val="24"/>
          <w:szCs w:val="24"/>
          <w:lang w:val="en-US" w:eastAsia="zh-CN"/>
        </w:rPr>
        <w:t>评审</w:t>
      </w:r>
      <w:r>
        <w:rPr>
          <w:rFonts w:hint="eastAsia" w:ascii="仿宋" w:hAnsi="仿宋" w:eastAsia="仿宋" w:cs="仿宋"/>
          <w:sz w:val="24"/>
          <w:szCs w:val="24"/>
        </w:rPr>
        <w:t>的资格。</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bCs/>
          <w:sz w:val="24"/>
          <w:szCs w:val="24"/>
        </w:rPr>
        <w:t>3、</w:t>
      </w:r>
      <w:r>
        <w:rPr>
          <w:rFonts w:hint="eastAsia" w:ascii="仿宋" w:hAnsi="仿宋" w:eastAsia="仿宋" w:cs="仿宋"/>
          <w:bCs/>
          <w:sz w:val="24"/>
          <w:szCs w:val="24"/>
          <w:lang w:val="en-US" w:eastAsia="zh-CN"/>
        </w:rPr>
        <w:t>投标人</w:t>
      </w:r>
      <w:r>
        <w:rPr>
          <w:rFonts w:hint="eastAsia" w:ascii="仿宋" w:hAnsi="仿宋" w:eastAsia="仿宋" w:cs="仿宋"/>
          <w:bCs/>
          <w:sz w:val="24"/>
          <w:szCs w:val="24"/>
        </w:rPr>
        <w:t>所提供的资格证明材料应真实、有效，</w:t>
      </w:r>
      <w:r>
        <w:rPr>
          <w:rFonts w:hint="eastAsia" w:ascii="仿宋" w:hAnsi="仿宋" w:eastAsia="仿宋" w:cs="仿宋"/>
          <w:bCs/>
          <w:sz w:val="24"/>
          <w:szCs w:val="24"/>
          <w:lang w:eastAsia="zh-CN"/>
        </w:rPr>
        <w:t>淮安江益工程项目管理咨询有限公司</w:t>
      </w:r>
      <w:r>
        <w:rPr>
          <w:rFonts w:hint="eastAsia" w:ascii="仿宋" w:hAnsi="仿宋" w:eastAsia="仿宋" w:cs="仿宋"/>
          <w:bCs/>
          <w:sz w:val="24"/>
          <w:szCs w:val="24"/>
        </w:rPr>
        <w:t>及采购人保留对</w:t>
      </w:r>
      <w:r>
        <w:rPr>
          <w:rFonts w:hint="eastAsia" w:ascii="仿宋" w:hAnsi="仿宋" w:eastAsia="仿宋" w:cs="仿宋"/>
          <w:bCs/>
          <w:sz w:val="24"/>
          <w:szCs w:val="24"/>
          <w:lang w:val="en-US" w:eastAsia="zh-CN"/>
        </w:rPr>
        <w:t>投标人</w:t>
      </w:r>
      <w:r>
        <w:rPr>
          <w:rFonts w:hint="eastAsia" w:ascii="仿宋" w:hAnsi="仿宋" w:eastAsia="仿宋" w:cs="仿宋"/>
          <w:bCs/>
          <w:sz w:val="24"/>
          <w:szCs w:val="24"/>
        </w:rPr>
        <w:t>提供的资格证明材料进行核查的权利。如发现供应商提供虚假资格证明材料，</w:t>
      </w:r>
      <w:r>
        <w:rPr>
          <w:rFonts w:hint="eastAsia" w:ascii="仿宋" w:hAnsi="仿宋" w:eastAsia="仿宋" w:cs="仿宋"/>
          <w:bCs/>
          <w:sz w:val="24"/>
          <w:szCs w:val="24"/>
          <w:lang w:eastAsia="zh-CN"/>
        </w:rPr>
        <w:t>淮安江益工程项目管理咨询有限公司</w:t>
      </w:r>
      <w:r>
        <w:rPr>
          <w:rFonts w:hint="eastAsia" w:ascii="仿宋" w:hAnsi="仿宋" w:eastAsia="仿宋" w:cs="仿宋"/>
          <w:bCs/>
          <w:sz w:val="24"/>
          <w:szCs w:val="24"/>
        </w:rPr>
        <w:t>将对其进行严肃处理。</w:t>
      </w:r>
    </w:p>
    <w:p>
      <w:pPr>
        <w:spacing w:line="360" w:lineRule="auto"/>
        <w:ind w:firstLine="480" w:firstLineChars="200"/>
        <w:rPr>
          <w:rFonts w:hint="eastAsia" w:ascii="仿宋" w:hAnsi="仿宋" w:eastAsia="仿宋" w:cs="仿宋"/>
          <w:bCs/>
          <w:sz w:val="24"/>
          <w:szCs w:val="24"/>
        </w:rPr>
      </w:pPr>
    </w:p>
    <w:p>
      <w:pPr>
        <w:spacing w:line="360" w:lineRule="auto"/>
        <w:ind w:firstLine="480" w:firstLineChars="200"/>
        <w:rPr>
          <w:rFonts w:hint="eastAsia" w:ascii="仿宋" w:hAnsi="仿宋" w:eastAsia="仿宋" w:cs="仿宋"/>
          <w:bCs/>
          <w:sz w:val="24"/>
          <w:szCs w:val="24"/>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both"/>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cs="宋体"/>
          <w:i/>
          <w:color w:val="auto"/>
          <w:sz w:val="32"/>
          <w:szCs w:val="32"/>
          <w:highlight w:val="none"/>
          <w:u w:val="single"/>
          <w:lang w:val="en-US" w:eastAsia="zh-CN"/>
        </w:rPr>
      </w:pPr>
      <w:r>
        <w:rPr>
          <w:rFonts w:hint="eastAsia" w:ascii="宋体" w:hAnsi="宋体" w:cs="宋体"/>
          <w:i/>
          <w:color w:val="auto"/>
          <w:sz w:val="32"/>
          <w:szCs w:val="32"/>
          <w:highlight w:val="none"/>
          <w:u w:val="single"/>
          <w:lang w:val="en-US" w:eastAsia="zh-CN"/>
        </w:rPr>
        <w:t>六、综合评分时投标人需提供的证明文件</w:t>
      </w:r>
    </w:p>
    <w:p>
      <w:pPr>
        <w:spacing w:line="360" w:lineRule="auto"/>
        <w:ind w:firstLine="480" w:firstLineChars="200"/>
        <w:jc w:val="center"/>
        <w:rPr>
          <w:rFonts w:hint="eastAsia" w:ascii="仿宋" w:hAnsi="仿宋" w:eastAsia="仿宋" w:cs="仿宋"/>
          <w:bCs/>
          <w:sz w:val="24"/>
          <w:szCs w:val="24"/>
          <w:lang w:eastAsia="zh-CN"/>
        </w:rPr>
      </w:pPr>
      <w:r>
        <w:rPr>
          <w:rFonts w:hint="eastAsia" w:ascii="仿宋" w:hAnsi="仿宋" w:eastAsia="仿宋" w:cs="仿宋"/>
          <w:bCs/>
          <w:sz w:val="24"/>
          <w:szCs w:val="24"/>
          <w:lang w:eastAsia="zh-CN"/>
        </w:rPr>
        <w:t>（由</w:t>
      </w:r>
      <w:r>
        <w:rPr>
          <w:rFonts w:hint="eastAsia" w:ascii="仿宋" w:hAnsi="仿宋" w:eastAsia="仿宋" w:cs="仿宋"/>
          <w:bCs/>
          <w:sz w:val="24"/>
          <w:szCs w:val="24"/>
          <w:lang w:val="en-US" w:eastAsia="zh-CN"/>
        </w:rPr>
        <w:t>投标人</w:t>
      </w:r>
      <w:r>
        <w:rPr>
          <w:rFonts w:hint="eastAsia" w:ascii="仿宋" w:hAnsi="仿宋" w:eastAsia="仿宋" w:cs="仿宋"/>
          <w:bCs/>
          <w:sz w:val="24"/>
          <w:szCs w:val="24"/>
          <w:lang w:eastAsia="zh-CN"/>
        </w:rPr>
        <w:t>依据评分标准，自行准备。）</w:t>
      </w:r>
    </w:p>
    <w:p>
      <w:pPr>
        <w:jc w:val="center"/>
        <w:rPr>
          <w:rFonts w:hint="eastAsia" w:ascii="宋体" w:hAnsi="宋体" w:cs="宋体"/>
          <w:i/>
          <w:color w:val="auto"/>
          <w:sz w:val="32"/>
          <w:szCs w:val="32"/>
          <w:highlight w:val="none"/>
          <w:u w:val="single"/>
          <w:lang w:val="en-US" w:eastAsia="zh-CN"/>
        </w:rPr>
      </w:pPr>
      <w:r>
        <w:rPr>
          <w:rFonts w:hint="eastAsia" w:ascii="宋体" w:hAnsi="宋体" w:cs="宋体"/>
          <w:i/>
          <w:color w:val="auto"/>
          <w:sz w:val="32"/>
          <w:szCs w:val="32"/>
          <w:highlight w:val="none"/>
          <w:u w:val="single"/>
          <w:lang w:val="en-US" w:eastAsia="zh-CN"/>
        </w:rPr>
        <w:t>七、投标人认为有必要提供并说明的其它资料</w:t>
      </w:r>
    </w:p>
    <w:p>
      <w:pPr>
        <w:spacing w:line="360" w:lineRule="auto"/>
        <w:ind w:firstLine="480" w:firstLineChars="200"/>
        <w:jc w:val="center"/>
        <w:rPr>
          <w:rFonts w:hint="eastAsia" w:ascii="仿宋" w:hAnsi="仿宋" w:eastAsia="仿宋" w:cs="仿宋"/>
          <w:bCs/>
          <w:sz w:val="24"/>
          <w:szCs w:val="24"/>
          <w:lang w:eastAsia="zh-CN"/>
        </w:rPr>
      </w:pPr>
      <w:r>
        <w:rPr>
          <w:rFonts w:hint="eastAsia" w:ascii="仿宋" w:hAnsi="仿宋" w:eastAsia="仿宋" w:cs="仿宋"/>
          <w:bCs/>
          <w:sz w:val="24"/>
          <w:szCs w:val="24"/>
          <w:lang w:eastAsia="zh-CN"/>
        </w:rPr>
        <w:t>（格式由</w:t>
      </w:r>
      <w:r>
        <w:rPr>
          <w:rFonts w:hint="eastAsia" w:ascii="仿宋" w:hAnsi="仿宋" w:eastAsia="仿宋" w:cs="仿宋"/>
          <w:bCs/>
          <w:sz w:val="24"/>
          <w:szCs w:val="24"/>
          <w:lang w:val="en-US" w:eastAsia="zh-CN"/>
        </w:rPr>
        <w:t>投标人</w:t>
      </w:r>
      <w:r>
        <w:rPr>
          <w:rFonts w:hint="eastAsia" w:ascii="仿宋" w:hAnsi="仿宋" w:eastAsia="仿宋" w:cs="仿宋"/>
          <w:bCs/>
          <w:sz w:val="24"/>
          <w:szCs w:val="24"/>
          <w:lang w:eastAsia="zh-CN"/>
        </w:rPr>
        <w:t>自定，加盖供应商电子签章。）</w:t>
      </w: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eastAsia="宋体" w:cs="宋体"/>
          <w:i/>
          <w:color w:val="auto"/>
          <w:sz w:val="32"/>
          <w:szCs w:val="32"/>
          <w:highlight w:val="none"/>
          <w:u w:val="single"/>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both"/>
        <w:rPr>
          <w:rFonts w:hint="eastAsia" w:ascii="宋体" w:hAnsi="宋体" w:cs="宋体"/>
          <w:i/>
          <w:color w:val="auto"/>
          <w:sz w:val="32"/>
          <w:szCs w:val="32"/>
          <w:highlight w:val="none"/>
          <w:u w:val="single"/>
          <w:lang w:val="en-US" w:eastAsia="zh-CN"/>
        </w:rPr>
      </w:pPr>
    </w:p>
    <w:p>
      <w:pPr>
        <w:jc w:val="center"/>
        <w:rPr>
          <w:rFonts w:hint="eastAsia" w:ascii="宋体" w:hAnsi="宋体" w:cs="宋体"/>
          <w:i/>
          <w:color w:val="auto"/>
          <w:sz w:val="32"/>
          <w:szCs w:val="32"/>
          <w:highlight w:val="none"/>
          <w:u w:val="single"/>
          <w:lang w:val="en-US" w:eastAsia="zh-CN"/>
        </w:rPr>
      </w:pPr>
    </w:p>
    <w:p>
      <w:pPr>
        <w:jc w:val="center"/>
        <w:rPr>
          <w:rFonts w:hint="eastAsia" w:ascii="宋体" w:hAnsi="宋体" w:eastAsia="宋体" w:cs="宋体"/>
          <w:i/>
          <w:color w:val="auto"/>
          <w:sz w:val="32"/>
          <w:szCs w:val="32"/>
          <w:highlight w:val="none"/>
          <w:u w:val="single"/>
        </w:rPr>
      </w:pPr>
      <w:r>
        <w:rPr>
          <w:rFonts w:hint="eastAsia" w:ascii="宋体" w:hAnsi="宋体" w:cs="宋体"/>
          <w:i/>
          <w:color w:val="auto"/>
          <w:sz w:val="32"/>
          <w:szCs w:val="32"/>
          <w:highlight w:val="none"/>
          <w:u w:val="single"/>
          <w:lang w:val="en-US" w:eastAsia="zh-CN"/>
        </w:rPr>
        <w:t>八</w:t>
      </w:r>
      <w:r>
        <w:rPr>
          <w:rFonts w:hint="eastAsia" w:ascii="宋体" w:hAnsi="宋体" w:eastAsia="宋体" w:cs="宋体"/>
          <w:i/>
          <w:color w:val="auto"/>
          <w:sz w:val="32"/>
          <w:szCs w:val="32"/>
          <w:highlight w:val="none"/>
          <w:u w:val="single"/>
        </w:rPr>
        <w:t>、法人授权书</w:t>
      </w:r>
    </w:p>
    <w:p>
      <w:pPr>
        <w:pStyle w:val="28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本授权书声明：____________（投标人名称）授权________________（被授权人的姓名）为我方就（</w:t>
      </w:r>
      <w:r>
        <w:rPr>
          <w:rFonts w:hint="eastAsia" w:ascii="宋体" w:hAnsi="宋体" w:eastAsia="宋体" w:cs="宋体"/>
          <w:color w:val="auto"/>
          <w:sz w:val="24"/>
          <w:szCs w:val="24"/>
          <w:highlight w:val="none"/>
          <w:u w:val="single"/>
        </w:rPr>
        <w:t xml:space="preserve">项目编号）        </w:t>
      </w:r>
      <w:r>
        <w:rPr>
          <w:rFonts w:hint="eastAsia" w:ascii="宋体" w:hAnsi="宋体" w:eastAsia="宋体" w:cs="宋体"/>
          <w:color w:val="auto"/>
          <w:sz w:val="24"/>
          <w:szCs w:val="24"/>
          <w:highlight w:val="none"/>
        </w:rPr>
        <w:t>号项目采购活动的合法代理人，以本单位名义全权处理一切与该项目采购有关的事务。</w:t>
      </w:r>
    </w:p>
    <w:p>
      <w:pPr>
        <w:pStyle w:val="28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本授权书于______年____月____日起生效，特此声明。</w:t>
      </w:r>
    </w:p>
    <w:p>
      <w:pPr>
        <w:pStyle w:val="285"/>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被授权人身份证号码：</w:t>
      </w:r>
      <w:r>
        <w:rPr>
          <w:rFonts w:hint="eastAsia" w:ascii="宋体" w:hAnsi="宋体" w:eastAsia="宋体" w:cs="宋体"/>
          <w:color w:val="auto"/>
          <w:sz w:val="24"/>
          <w:szCs w:val="24"/>
          <w:highlight w:val="none"/>
          <w:u w:val="single"/>
        </w:rPr>
        <w:t xml:space="preserve">                              </w:t>
      </w:r>
    </w:p>
    <w:p>
      <w:pPr>
        <w:pStyle w:val="285"/>
        <w:ind w:firstLine="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被授权人联系电话：（手机）</w:t>
      </w:r>
      <w:r>
        <w:rPr>
          <w:rFonts w:hint="eastAsia" w:ascii="宋体" w:hAnsi="宋体" w:eastAsia="宋体" w:cs="宋体"/>
          <w:color w:val="auto"/>
          <w:sz w:val="24"/>
          <w:szCs w:val="24"/>
          <w:highlight w:val="none"/>
          <w:u w:val="single"/>
        </w:rPr>
        <w:t xml:space="preserve">                          </w:t>
      </w:r>
    </w:p>
    <w:p>
      <w:pPr>
        <w:pStyle w:val="285"/>
        <w:ind w:firstLine="1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授权单位名称：</w:t>
      </w:r>
      <w:r>
        <w:rPr>
          <w:rFonts w:hint="eastAsia" w:ascii="宋体" w:hAnsi="宋体" w:eastAsia="宋体" w:cs="宋体"/>
          <w:color w:val="auto"/>
          <w:sz w:val="24"/>
          <w:szCs w:val="24"/>
          <w:highlight w:val="none"/>
          <w:u w:val="single"/>
        </w:rPr>
        <w:t>（加盖CA电子公章）</w:t>
      </w:r>
    </w:p>
    <w:p>
      <w:pPr>
        <w:pStyle w:val="285"/>
        <w:ind w:firstLine="48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      单位地址：</w:t>
      </w:r>
      <w:r>
        <w:rPr>
          <w:rFonts w:hint="eastAsia" w:ascii="宋体" w:hAnsi="宋体" w:eastAsia="宋体" w:cs="宋体"/>
          <w:color w:val="auto"/>
          <w:sz w:val="24"/>
          <w:szCs w:val="24"/>
          <w:highlight w:val="none"/>
          <w:u w:val="single"/>
        </w:rPr>
        <w:t xml:space="preserve">                                         </w:t>
      </w:r>
    </w:p>
    <w:p>
      <w:pPr>
        <w:pStyle w:val="285"/>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日期：</w:t>
      </w:r>
      <w:bookmarkStart w:id="202" w:name="_Hlt26955070"/>
      <w:bookmarkEnd w:id="202"/>
      <w:bookmarkStart w:id="203" w:name="_Hlt26671380"/>
      <w:bookmarkEnd w:id="203"/>
      <w:bookmarkStart w:id="204" w:name="_格式3__银行出具的资信证明"/>
      <w:bookmarkEnd w:id="204"/>
      <w:r>
        <w:rPr>
          <w:rFonts w:hint="eastAsia" w:ascii="宋体" w:hAnsi="宋体" w:eastAsia="宋体" w:cs="宋体"/>
          <w:color w:val="auto"/>
          <w:sz w:val="24"/>
          <w:szCs w:val="24"/>
          <w:highlight w:val="none"/>
          <w:u w:val="single"/>
        </w:rPr>
        <w:t xml:space="preserve">                                         </w:t>
      </w:r>
    </w:p>
    <w:p>
      <w:pPr>
        <w:spacing w:line="560" w:lineRule="exact"/>
        <w:ind w:firstLine="240"/>
        <w:jc w:val="center"/>
        <w:rPr>
          <w:rFonts w:hint="eastAsia" w:ascii="宋体" w:hAnsi="宋体" w:eastAsia="宋体" w:cs="宋体"/>
          <w:bCs/>
          <w:color w:val="auto"/>
          <w:sz w:val="24"/>
          <w:highlight w:val="none"/>
        </w:rPr>
      </w:pPr>
    </w:p>
    <w:p>
      <w:pPr>
        <w:spacing w:line="560" w:lineRule="exact"/>
        <w:ind w:firstLine="240"/>
        <w:jc w:val="center"/>
        <w:rPr>
          <w:rFonts w:hint="eastAsia" w:ascii="宋体" w:hAnsi="宋体" w:eastAsia="宋体" w:cs="宋体"/>
          <w:bCs/>
          <w:color w:val="auto"/>
          <w:sz w:val="24"/>
          <w:highlight w:val="none"/>
        </w:rPr>
      </w:pPr>
    </w:p>
    <w:p>
      <w:pPr>
        <w:spacing w:line="560" w:lineRule="exact"/>
        <w:ind w:firstLine="240"/>
        <w:jc w:val="center"/>
        <w:rPr>
          <w:rFonts w:hint="eastAsia" w:ascii="宋体" w:hAnsi="宋体" w:eastAsia="宋体" w:cs="宋体"/>
          <w:bCs/>
          <w:color w:val="auto"/>
          <w:sz w:val="24"/>
          <w:highlight w:val="none"/>
        </w:rPr>
      </w:pPr>
    </w:p>
    <w:p>
      <w:pPr>
        <w:spacing w:line="560" w:lineRule="exact"/>
        <w:ind w:firstLine="240"/>
        <w:jc w:val="center"/>
        <w:rPr>
          <w:rFonts w:hint="eastAsia" w:ascii="宋体" w:hAnsi="宋体" w:eastAsia="宋体" w:cs="宋体"/>
          <w:bCs/>
          <w:color w:val="auto"/>
          <w:sz w:val="24"/>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pStyle w:val="2"/>
        <w:rPr>
          <w:rFonts w:hint="eastAsia"/>
        </w:rPr>
      </w:pPr>
    </w:p>
    <w:p>
      <w:pPr>
        <w:keepNext w:val="0"/>
        <w:keepLines w:val="0"/>
        <w:pageBreakBefore w:val="0"/>
        <w:widowControl w:val="0"/>
        <w:spacing w:line="540" w:lineRule="exact"/>
        <w:jc w:val="center"/>
        <w:rPr>
          <w:rFonts w:hint="eastAsia" w:ascii="仿宋" w:hAnsi="仿宋" w:eastAsia="仿宋"/>
          <w:b/>
          <w:bCs/>
          <w:sz w:val="28"/>
          <w:szCs w:val="22"/>
          <w:highlight w:val="none"/>
          <w:lang w:val="en-US" w:eastAsia="zh-CN"/>
        </w:rPr>
      </w:pPr>
    </w:p>
    <w:p>
      <w:pPr>
        <w:keepNext w:val="0"/>
        <w:keepLines w:val="0"/>
        <w:pageBreakBefore w:val="0"/>
        <w:widowControl w:val="0"/>
        <w:spacing w:line="540" w:lineRule="exact"/>
        <w:jc w:val="center"/>
        <w:rPr>
          <w:rFonts w:hint="eastAsia" w:ascii="仿宋" w:hAnsi="仿宋" w:eastAsia="仿宋"/>
          <w:b/>
          <w:bCs/>
          <w:sz w:val="28"/>
          <w:szCs w:val="22"/>
          <w:highlight w:val="none"/>
        </w:rPr>
      </w:pPr>
      <w:r>
        <w:rPr>
          <w:rFonts w:hint="eastAsia" w:ascii="宋体" w:hAnsi="宋体" w:eastAsia="宋体" w:cs="宋体"/>
          <w:i/>
          <w:color w:val="auto"/>
          <w:sz w:val="32"/>
          <w:szCs w:val="32"/>
          <w:highlight w:val="none"/>
          <w:u w:val="single"/>
          <w:lang w:val="en-US" w:eastAsia="zh-CN"/>
        </w:rPr>
        <w:t>九、</w:t>
      </w:r>
      <w:r>
        <w:rPr>
          <w:rFonts w:hint="eastAsia" w:ascii="宋体" w:hAnsi="宋体" w:eastAsia="宋体" w:cs="宋体"/>
          <w:i/>
          <w:color w:val="auto"/>
          <w:sz w:val="32"/>
          <w:szCs w:val="32"/>
          <w:highlight w:val="none"/>
          <w:u w:val="single"/>
        </w:rPr>
        <w:t>符合《政府采购法》第二十二条规定条件的声明函</w:t>
      </w:r>
    </w:p>
    <w:p>
      <w:pPr>
        <w:pStyle w:val="204"/>
        <w:spacing w:line="600" w:lineRule="exact"/>
        <w:ind w:left="0" w:firstLine="0"/>
        <w:rPr>
          <w:rFonts w:hint="eastAsia" w:ascii="宋体" w:hAnsi="宋体" w:eastAsia="宋体" w:cs="宋体"/>
          <w:color w:val="auto"/>
          <w:sz w:val="24"/>
          <w:szCs w:val="24"/>
          <w:highlight w:val="none"/>
          <w:lang w:val="en-US" w:eastAsia="zh-CN" w:bidi="ar-SA"/>
        </w:rPr>
      </w:pPr>
    </w:p>
    <w:p>
      <w:pPr>
        <w:pStyle w:val="204"/>
        <w:spacing w:line="600" w:lineRule="exact"/>
        <w:ind w:left="0" w:firstLine="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致:淮安江益工程项目管理咨询有限公司</w:t>
      </w:r>
    </w:p>
    <w:p>
      <w:pPr>
        <w:pStyle w:val="204"/>
        <w:spacing w:line="600" w:lineRule="exact"/>
        <w:ind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我公司参加贵单位组织实施的（项目编号:                  ）    采购项目的政府采购活动。针对《中华人民共和国政府采购法》第二十二条规定作出如下声明:</w:t>
      </w:r>
    </w:p>
    <w:p>
      <w:pPr>
        <w:pStyle w:val="204"/>
        <w:spacing w:line="600" w:lineRule="exact"/>
        <w:ind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1、我公司具有独立承担民事责任的能力；</w:t>
      </w:r>
    </w:p>
    <w:p>
      <w:pPr>
        <w:pStyle w:val="204"/>
        <w:spacing w:line="600" w:lineRule="exact"/>
        <w:ind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2、我公司具有良好的商业信誉和健全的财务会计制度；</w:t>
      </w:r>
    </w:p>
    <w:p>
      <w:pPr>
        <w:pStyle w:val="204"/>
        <w:spacing w:line="600" w:lineRule="exact"/>
        <w:ind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3、我公司具有履行合同所必需的设备和专业技术能力；</w:t>
      </w:r>
    </w:p>
    <w:p>
      <w:pPr>
        <w:pStyle w:val="204"/>
        <w:spacing w:line="600" w:lineRule="exact"/>
        <w:ind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4、我公司有依法缴纳税收和社会保障资金的良好记录；</w:t>
      </w:r>
    </w:p>
    <w:p>
      <w:pPr>
        <w:pStyle w:val="204"/>
        <w:spacing w:line="600" w:lineRule="exact"/>
        <w:ind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5、参加本次政府采购活动前三年内，我公司在经营活动中没有因违法经营受到刑事处罚或者责令停产停业、吊销许可证或者执照、较大数额罚款等行政处罚。 </w:t>
      </w:r>
    </w:p>
    <w:p>
      <w:pPr>
        <w:pStyle w:val="204"/>
        <w:spacing w:line="600" w:lineRule="exact"/>
        <w:ind w:firstLine="56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6、我公司满足法律、行政法规规定的其他条件。</w:t>
      </w:r>
    </w:p>
    <w:p>
      <w:pPr>
        <w:spacing w:line="520" w:lineRule="exact"/>
        <w:rPr>
          <w:rFonts w:hint="eastAsia" w:ascii="宋体" w:hAnsi="宋体" w:eastAsia="宋体" w:cs="宋体"/>
          <w:color w:val="auto"/>
          <w:sz w:val="24"/>
          <w:szCs w:val="24"/>
          <w:highlight w:val="none"/>
          <w:lang w:val="en-US" w:eastAsia="zh-CN" w:bidi="ar-SA"/>
        </w:rPr>
      </w:pPr>
    </w:p>
    <w:p>
      <w:pPr>
        <w:spacing w:line="520" w:lineRule="exact"/>
        <w:rPr>
          <w:rFonts w:hint="eastAsia" w:ascii="宋体" w:hAnsi="宋体" w:eastAsia="宋体" w:cs="宋体"/>
          <w:color w:val="auto"/>
          <w:sz w:val="24"/>
          <w:szCs w:val="24"/>
          <w:highlight w:val="none"/>
          <w:lang w:val="en-US" w:eastAsia="zh-CN" w:bidi="ar-SA"/>
        </w:rPr>
      </w:pPr>
    </w:p>
    <w:p>
      <w:pPr>
        <w:spacing w:line="640" w:lineRule="exact"/>
        <w:ind w:firstLine="4760"/>
        <w:jc w:val="both"/>
        <w:rPr>
          <w:rFonts w:hint="eastAsia" w:ascii="宋体" w:hAnsi="宋体" w:eastAsia="宋体" w:cs="宋体"/>
          <w:sz w:val="28"/>
          <w:szCs w:val="28"/>
          <w:highlight w:val="none"/>
          <w:u w:val="single"/>
          <w:lang w:val="zh-CN"/>
        </w:rPr>
      </w:pPr>
      <w:r>
        <w:rPr>
          <w:rFonts w:hint="eastAsia" w:ascii="宋体" w:hAnsi="宋体" w:eastAsia="宋体" w:cs="宋体"/>
          <w:color w:val="000000"/>
          <w:sz w:val="28"/>
          <w:szCs w:val="28"/>
          <w:highlight w:val="none"/>
        </w:rPr>
        <w:t>承诺人</w:t>
      </w:r>
      <w:r>
        <w:rPr>
          <w:rFonts w:hint="eastAsia" w:ascii="宋体" w:hAnsi="宋体" w:eastAsia="宋体" w:cs="宋体"/>
          <w:sz w:val="28"/>
          <w:szCs w:val="28"/>
          <w:highlight w:val="none"/>
          <w:lang w:val="zh-CN"/>
        </w:rPr>
        <w:t>:</w:t>
      </w:r>
      <w:r>
        <w:rPr>
          <w:rFonts w:hint="eastAsia" w:ascii="宋体" w:hAnsi="宋体" w:eastAsia="宋体" w:cs="宋体"/>
          <w:sz w:val="28"/>
          <w:szCs w:val="28"/>
          <w:highlight w:val="none"/>
          <w:u w:val="single"/>
          <w:lang w:val="zh-CN"/>
        </w:rPr>
        <w:t>（加盖CA电子公章）</w:t>
      </w:r>
    </w:p>
    <w:p>
      <w:pPr>
        <w:spacing w:line="520" w:lineRule="exact"/>
        <w:rPr>
          <w:rFonts w:hint="eastAsia" w:ascii="宋体" w:hAnsi="宋体" w:eastAsia="宋体" w:cs="宋体"/>
          <w:sz w:val="28"/>
          <w:szCs w:val="28"/>
          <w:highlight w:val="none"/>
          <w:lang w:val="zh-CN"/>
        </w:rPr>
      </w:pPr>
      <w:r>
        <w:rPr>
          <w:rFonts w:hint="eastAsia" w:ascii="宋体" w:hAnsi="宋体" w:eastAsia="宋体" w:cs="宋体"/>
          <w:color w:val="000000"/>
          <w:sz w:val="28"/>
          <w:szCs w:val="28"/>
          <w:highlight w:val="none"/>
        </w:rPr>
        <w:t xml:space="preserve">                                </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sz w:val="28"/>
          <w:szCs w:val="28"/>
          <w:highlight w:val="none"/>
          <w:lang w:val="zh-CN"/>
        </w:rPr>
        <w:t>日期:</w:t>
      </w:r>
      <w:r>
        <w:rPr>
          <w:rFonts w:hint="eastAsia" w:ascii="宋体" w:hAnsi="宋体" w:eastAsia="宋体" w:cs="宋体"/>
          <w:sz w:val="28"/>
          <w:szCs w:val="28"/>
          <w:highlight w:val="none"/>
          <w:u w:val="single"/>
          <w:lang w:val="zh-CN"/>
        </w:rPr>
        <w:t xml:space="preserve">       </w:t>
      </w:r>
      <w:r>
        <w:rPr>
          <w:rFonts w:hint="eastAsia" w:ascii="宋体" w:hAnsi="宋体" w:eastAsia="宋体" w:cs="宋体"/>
          <w:sz w:val="28"/>
          <w:szCs w:val="28"/>
          <w:highlight w:val="none"/>
          <w:lang w:val="zh-CN"/>
        </w:rPr>
        <w:t xml:space="preserve">年 </w:t>
      </w:r>
      <w:r>
        <w:rPr>
          <w:rFonts w:hint="eastAsia" w:ascii="宋体" w:hAnsi="宋体" w:eastAsia="宋体" w:cs="宋体"/>
          <w:sz w:val="28"/>
          <w:szCs w:val="28"/>
          <w:highlight w:val="none"/>
          <w:u w:val="single"/>
          <w:lang w:val="zh-CN"/>
        </w:rPr>
        <w:t xml:space="preserve">     </w:t>
      </w:r>
      <w:r>
        <w:rPr>
          <w:rFonts w:hint="eastAsia" w:ascii="宋体" w:hAnsi="宋体" w:eastAsia="宋体" w:cs="宋体"/>
          <w:sz w:val="28"/>
          <w:szCs w:val="28"/>
          <w:highlight w:val="none"/>
          <w:lang w:val="zh-CN"/>
        </w:rPr>
        <w:t>月</w:t>
      </w:r>
      <w:r>
        <w:rPr>
          <w:rFonts w:hint="eastAsia" w:ascii="宋体" w:hAnsi="宋体" w:eastAsia="宋体" w:cs="宋体"/>
          <w:sz w:val="28"/>
          <w:szCs w:val="28"/>
          <w:highlight w:val="none"/>
          <w:u w:val="single"/>
          <w:lang w:val="zh-CN"/>
        </w:rPr>
        <w:t xml:space="preserve">      </w:t>
      </w:r>
      <w:r>
        <w:rPr>
          <w:rFonts w:hint="eastAsia" w:ascii="宋体" w:hAnsi="宋体" w:eastAsia="宋体" w:cs="宋体"/>
          <w:sz w:val="28"/>
          <w:szCs w:val="28"/>
          <w:highlight w:val="none"/>
          <w:lang w:val="zh-CN"/>
        </w:rPr>
        <w:t>日</w:t>
      </w: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b/>
          <w:color w:val="auto"/>
          <w:sz w:val="32"/>
          <w:szCs w:val="32"/>
          <w:highlight w:val="none"/>
        </w:rPr>
      </w:pPr>
    </w:p>
    <w:p>
      <w:pPr>
        <w:keepNext w:val="0"/>
        <w:keepLines w:val="0"/>
        <w:pageBreakBefore w:val="0"/>
        <w:widowControl w:val="0"/>
        <w:spacing w:line="540" w:lineRule="exact"/>
        <w:jc w:val="center"/>
        <w:rPr>
          <w:rFonts w:hint="eastAsia" w:ascii="宋体" w:hAnsi="宋体" w:eastAsia="宋体" w:cs="宋体"/>
          <w:i/>
          <w:color w:val="auto"/>
          <w:sz w:val="32"/>
          <w:szCs w:val="32"/>
          <w:highlight w:val="none"/>
          <w:u w:val="single"/>
          <w:lang w:val="en-US" w:eastAsia="zh-CN"/>
        </w:rPr>
      </w:pPr>
    </w:p>
    <w:p>
      <w:pPr>
        <w:keepNext w:val="0"/>
        <w:keepLines w:val="0"/>
        <w:pageBreakBefore w:val="0"/>
        <w:widowControl w:val="0"/>
        <w:spacing w:line="540" w:lineRule="exact"/>
        <w:jc w:val="center"/>
        <w:rPr>
          <w:rFonts w:hint="eastAsia" w:ascii="宋体" w:hAnsi="宋体" w:eastAsia="宋体" w:cs="宋体"/>
          <w:i/>
          <w:color w:val="auto"/>
          <w:sz w:val="32"/>
          <w:szCs w:val="32"/>
          <w:highlight w:val="none"/>
          <w:u w:val="single"/>
          <w:lang w:val="en-US" w:eastAsia="zh-CN"/>
        </w:rPr>
      </w:pPr>
    </w:p>
    <w:p>
      <w:pPr>
        <w:keepNext w:val="0"/>
        <w:keepLines w:val="0"/>
        <w:pageBreakBefore w:val="0"/>
        <w:widowControl w:val="0"/>
        <w:spacing w:line="540" w:lineRule="exact"/>
        <w:jc w:val="center"/>
        <w:rPr>
          <w:rFonts w:hint="eastAsia" w:ascii="宋体" w:hAnsi="宋体" w:eastAsia="宋体" w:cs="宋体"/>
          <w:i/>
          <w:color w:val="auto"/>
          <w:sz w:val="32"/>
          <w:szCs w:val="32"/>
          <w:highlight w:val="none"/>
          <w:u w:val="single"/>
          <w:lang w:val="en-US" w:eastAsia="zh-CN"/>
        </w:rPr>
      </w:pPr>
    </w:p>
    <w:p>
      <w:pPr>
        <w:keepNext w:val="0"/>
        <w:keepLines w:val="0"/>
        <w:pageBreakBefore w:val="0"/>
        <w:widowControl w:val="0"/>
        <w:spacing w:line="540" w:lineRule="exact"/>
        <w:jc w:val="center"/>
        <w:rPr>
          <w:rFonts w:hint="eastAsia" w:ascii="宋体" w:hAnsi="宋体" w:eastAsia="宋体" w:cs="宋体"/>
          <w:i/>
          <w:color w:val="auto"/>
          <w:sz w:val="32"/>
          <w:szCs w:val="32"/>
          <w:highlight w:val="none"/>
          <w:u w:val="single"/>
          <w:lang w:val="en-US" w:eastAsia="zh-CN"/>
        </w:rPr>
      </w:pPr>
    </w:p>
    <w:p>
      <w:pPr>
        <w:keepNext w:val="0"/>
        <w:keepLines w:val="0"/>
        <w:pageBreakBefore w:val="0"/>
        <w:widowControl w:val="0"/>
        <w:spacing w:line="540" w:lineRule="exact"/>
        <w:jc w:val="center"/>
        <w:rPr>
          <w:rFonts w:hint="eastAsia" w:ascii="宋体" w:hAnsi="宋体" w:eastAsia="宋体" w:cs="宋体"/>
          <w:i/>
          <w:color w:val="auto"/>
          <w:sz w:val="32"/>
          <w:szCs w:val="32"/>
          <w:highlight w:val="none"/>
          <w:u w:val="single"/>
          <w:lang w:val="en-US" w:eastAsia="zh-CN"/>
        </w:rPr>
      </w:pPr>
    </w:p>
    <w:p>
      <w:pPr>
        <w:keepNext w:val="0"/>
        <w:keepLines w:val="0"/>
        <w:pageBreakBefore w:val="0"/>
        <w:widowControl w:val="0"/>
        <w:spacing w:line="540" w:lineRule="exact"/>
        <w:jc w:val="center"/>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t>十、小微企业声明函（服务）</w:t>
      </w:r>
    </w:p>
    <w:p>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本公司（联合体）郑重声明，根据《政府采购促进中小企业发展管理办法》(财库[2020]46号)的规定，本公司（联合体）参加</w:t>
      </w:r>
      <w:r>
        <w:rPr>
          <w:rFonts w:hint="eastAsia" w:ascii="宋体" w:hAnsi="宋体" w:eastAsia="宋体" w:cs="宋体"/>
          <w:color w:val="auto"/>
          <w:sz w:val="24"/>
          <w:szCs w:val="24"/>
          <w:highlight w:val="none"/>
          <w:lang w:eastAsia="zh-CN"/>
        </w:rPr>
        <w:t>淮安江益工程项目管理咨询有限公司</w:t>
      </w:r>
      <w:r>
        <w:rPr>
          <w:rFonts w:hint="eastAsia" w:ascii="宋体" w:hAnsi="宋体" w:eastAsia="宋体" w:cs="宋体"/>
          <w:color w:val="auto"/>
          <w:sz w:val="24"/>
          <w:szCs w:val="24"/>
          <w:highlight w:val="none"/>
        </w:rPr>
        <w:t>组织的</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采购编号为</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（项目名称）（分包号：**）</w:t>
      </w:r>
      <w:r>
        <w:rPr>
          <w:rFonts w:hint="eastAsia" w:ascii="宋体" w:hAnsi="宋体" w:eastAsia="宋体" w:cs="宋体"/>
          <w:color w:val="auto"/>
          <w:sz w:val="24"/>
          <w:szCs w:val="24"/>
          <w:highlight w:val="none"/>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pPr>
        <w:spacing w:line="56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（小型企业、微型企业）；</w:t>
      </w:r>
    </w:p>
    <w:p>
      <w:pPr>
        <w:spacing w:line="560" w:lineRule="exact"/>
        <w:ind w:firstLine="360"/>
        <w:rPr>
          <w:rFonts w:hint="eastAsia" w:ascii="宋体" w:hAnsi="宋体" w:eastAsia="宋体" w:cs="宋体"/>
          <w:i/>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i/>
          <w:color w:val="auto"/>
          <w:sz w:val="24"/>
          <w:szCs w:val="24"/>
          <w:highlight w:val="none"/>
        </w:rPr>
        <w:t>，</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行业；承接企业为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（小型企业、微型企业）；</w:t>
      </w:r>
    </w:p>
    <w:p>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pPr>
        <w:spacing w:line="560" w:lineRule="exact"/>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pPr>
        <w:spacing w:line="560" w:lineRule="exact"/>
        <w:ind w:right="720"/>
        <w:rPr>
          <w:rFonts w:hint="eastAsia" w:ascii="宋体" w:hAnsi="宋体" w:eastAsia="宋体" w:cs="宋体"/>
          <w:color w:val="auto"/>
          <w:sz w:val="24"/>
          <w:szCs w:val="24"/>
          <w:highlight w:val="none"/>
        </w:rPr>
      </w:pPr>
    </w:p>
    <w:p>
      <w:pPr>
        <w:spacing w:line="560" w:lineRule="exact"/>
        <w:ind w:right="180" w:firstLine="36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企业名称（加盖CA电子公章）：</w:t>
      </w:r>
    </w:p>
    <w:p>
      <w:pPr>
        <w:spacing w:line="560" w:lineRule="exact"/>
        <w:ind w:right="480" w:firstLine="5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  期：</w:t>
      </w:r>
    </w:p>
    <w:p>
      <w:pPr>
        <w:spacing w:line="560" w:lineRule="exact"/>
        <w:ind w:firstLine="240"/>
        <w:rPr>
          <w:rFonts w:hint="eastAsia" w:ascii="宋体" w:hAnsi="宋体" w:eastAsia="宋体" w:cs="宋体"/>
          <w:color w:val="auto"/>
          <w:sz w:val="24"/>
          <w:szCs w:val="24"/>
          <w:highlight w:val="none"/>
        </w:rPr>
      </w:pPr>
    </w:p>
    <w:p>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备注1：从业人员、营业收入、资产总额填报上一年度数据，无上一年度数据的新成立企业可不填报。</w:t>
      </w:r>
    </w:p>
    <w:p>
      <w:pPr>
        <w:spacing w:line="56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备注2：供应商如不提供此声明函，价格将不做相应扣除。</w:t>
      </w:r>
    </w:p>
    <w:p>
      <w:pPr>
        <w:spacing w:line="460" w:lineRule="exact"/>
        <w:jc w:val="center"/>
        <w:rPr>
          <w:rFonts w:hint="eastAsia" w:ascii="宋体" w:hAnsi="宋体" w:eastAsia="宋体" w:cs="宋体"/>
          <w:i/>
          <w:color w:val="auto"/>
          <w:sz w:val="32"/>
          <w:szCs w:val="32"/>
          <w:highlight w:val="none"/>
          <w:u w:val="single"/>
          <w:lang w:val="en-US" w:eastAsia="zh-CN"/>
        </w:rPr>
      </w:pPr>
      <w:r>
        <w:rPr>
          <w:rFonts w:hint="eastAsia" w:ascii="宋体" w:hAnsi="宋体" w:eastAsia="宋体" w:cs="宋体"/>
          <w:b/>
          <w:color w:val="auto"/>
          <w:sz w:val="32"/>
          <w:szCs w:val="32"/>
          <w:highlight w:val="none"/>
        </w:rPr>
        <w:br w:type="page" w:clear="all"/>
      </w:r>
      <w:r>
        <w:rPr>
          <w:rFonts w:hint="eastAsia" w:ascii="宋体" w:hAnsi="宋体" w:eastAsia="宋体" w:cs="宋体"/>
          <w:i/>
          <w:color w:val="auto"/>
          <w:sz w:val="32"/>
          <w:szCs w:val="32"/>
          <w:highlight w:val="none"/>
          <w:u w:val="single"/>
          <w:lang w:val="en-US" w:eastAsia="zh-CN"/>
        </w:rPr>
        <w:t>十一、残疾人福利性单位声明函</w:t>
      </w:r>
    </w:p>
    <w:p>
      <w:pPr>
        <w:spacing w:line="588"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项目（分包号：**）采购活动由本单位提供服务。</w:t>
      </w:r>
    </w:p>
    <w:p>
      <w:pPr>
        <w:spacing w:line="588"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本单位对上述声明的真实性负责。如有虚假，将依法承担相应责任。</w:t>
      </w:r>
    </w:p>
    <w:p>
      <w:pPr>
        <w:spacing w:line="588" w:lineRule="exact"/>
        <w:ind w:firstLine="480"/>
        <w:rPr>
          <w:rFonts w:hint="eastAsia" w:ascii="宋体" w:hAnsi="宋体" w:eastAsia="宋体" w:cs="宋体"/>
          <w:color w:val="auto"/>
          <w:sz w:val="24"/>
          <w:highlight w:val="none"/>
        </w:rPr>
      </w:pPr>
    </w:p>
    <w:p>
      <w:pPr>
        <w:spacing w:line="588" w:lineRule="exact"/>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（备注：1、供应商如不提供此声明函，价格将不做相应扣除。2、中标人为残疾人福利单位的，此声明函将随中标结果同时公告，接受社会监督）</w:t>
      </w:r>
    </w:p>
    <w:p>
      <w:pPr>
        <w:spacing w:line="588" w:lineRule="exact"/>
        <w:ind w:firstLine="624"/>
        <w:rPr>
          <w:rFonts w:hint="eastAsia" w:ascii="宋体" w:hAnsi="宋体" w:eastAsia="宋体" w:cs="宋体"/>
          <w:color w:val="auto"/>
          <w:spacing w:val="6"/>
          <w:sz w:val="30"/>
          <w:szCs w:val="30"/>
          <w:highlight w:val="none"/>
        </w:rPr>
      </w:pPr>
    </w:p>
    <w:p>
      <w:pPr>
        <w:tabs>
          <w:tab w:val="left" w:pos="4860"/>
        </w:tabs>
        <w:spacing w:line="588" w:lineRule="exact"/>
        <w:ind w:right="1560" w:firstLine="624"/>
        <w:jc w:val="center"/>
        <w:rPr>
          <w:rFonts w:hint="eastAsia" w:ascii="宋体" w:hAnsi="宋体" w:eastAsia="宋体" w:cs="宋体"/>
          <w:color w:val="auto"/>
          <w:sz w:val="24"/>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highlight w:val="none"/>
        </w:rPr>
        <w:t xml:space="preserve">          供应商全称（加盖CA电子公章）：</w:t>
      </w:r>
    </w:p>
    <w:p>
      <w:pPr>
        <w:tabs>
          <w:tab w:val="left" w:pos="4860"/>
        </w:tabs>
        <w:spacing w:line="588" w:lineRule="exact"/>
        <w:ind w:right="1560" w:firstLine="48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  期：</w:t>
      </w: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560" w:lineRule="exact"/>
        <w:jc w:val="center"/>
        <w:rPr>
          <w:rFonts w:hint="eastAsia" w:ascii="宋体" w:hAnsi="宋体" w:eastAsia="宋体" w:cs="宋体"/>
          <w:b/>
          <w:color w:val="auto"/>
          <w:sz w:val="32"/>
          <w:szCs w:val="32"/>
          <w:highlight w:val="none"/>
        </w:rPr>
      </w:pPr>
    </w:p>
    <w:p>
      <w:pPr>
        <w:spacing w:line="460" w:lineRule="exact"/>
        <w:jc w:val="center"/>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t>十二、联合体协议（参考格式）</w:t>
      </w:r>
    </w:p>
    <w:p>
      <w:pPr>
        <w:spacing w:line="5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（联合体中各供应商全称）在此达成以下协议：</w:t>
      </w:r>
    </w:p>
    <w:p>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1、我们</w:t>
      </w:r>
      <w:r>
        <w:rPr>
          <w:rFonts w:hint="eastAsia" w:ascii="宋体" w:hAnsi="宋体" w:eastAsia="宋体" w:cs="宋体"/>
          <w:color w:val="auto"/>
          <w:sz w:val="24"/>
          <w:highlight w:val="none"/>
          <w:u w:val="single"/>
        </w:rPr>
        <w:t xml:space="preserve"> （供应商1），（供应商2） ，……</w:t>
      </w:r>
      <w:r>
        <w:rPr>
          <w:rFonts w:hint="eastAsia" w:ascii="宋体" w:hAnsi="宋体" w:eastAsia="宋体" w:cs="宋体"/>
          <w:color w:val="auto"/>
          <w:sz w:val="24"/>
          <w:highlight w:val="none"/>
        </w:rPr>
        <w:t>自愿组成联合体，参加</w:t>
      </w:r>
      <w:r>
        <w:rPr>
          <w:rFonts w:hint="eastAsia" w:ascii="宋体" w:hAnsi="宋体" w:eastAsia="宋体" w:cs="宋体"/>
          <w:color w:val="auto"/>
          <w:sz w:val="24"/>
          <w:highlight w:val="none"/>
          <w:lang w:eastAsia="zh-CN"/>
        </w:rPr>
        <w:t>淮安江益工程项目管理咨询有限公司</w:t>
      </w:r>
      <w:r>
        <w:rPr>
          <w:rFonts w:hint="eastAsia" w:ascii="宋体" w:hAnsi="宋体" w:eastAsia="宋体" w:cs="宋体"/>
          <w:color w:val="auto"/>
          <w:sz w:val="24"/>
          <w:highlight w:val="none"/>
        </w:rPr>
        <w:t>组织的采购编号为</w:t>
      </w:r>
      <w:r>
        <w:rPr>
          <w:rFonts w:hint="eastAsia" w:ascii="宋体" w:hAnsi="宋体" w:eastAsia="宋体" w:cs="宋体"/>
          <w:color w:val="auto"/>
          <w:sz w:val="24"/>
          <w:highlight w:val="none"/>
          <w:u w:val="single"/>
        </w:rPr>
        <w:t>（编号全称），（项目全称）</w:t>
      </w:r>
      <w:r>
        <w:rPr>
          <w:rFonts w:hint="eastAsia" w:ascii="宋体" w:hAnsi="宋体" w:eastAsia="宋体" w:cs="宋体"/>
          <w:color w:val="auto"/>
          <w:sz w:val="24"/>
          <w:highlight w:val="none"/>
        </w:rPr>
        <w:t>项目（分包号：**）的政府采购活动，我联合体指定</w:t>
      </w:r>
      <w:r>
        <w:rPr>
          <w:rFonts w:hint="eastAsia" w:ascii="宋体" w:hAnsi="宋体" w:eastAsia="宋体" w:cs="宋体"/>
          <w:color w:val="auto"/>
          <w:sz w:val="24"/>
          <w:highlight w:val="none"/>
          <w:u w:val="single"/>
        </w:rPr>
        <w:t>（供应商*）</w:t>
      </w:r>
      <w:r>
        <w:rPr>
          <w:rFonts w:hint="eastAsia" w:ascii="宋体" w:hAnsi="宋体" w:eastAsia="宋体" w:cs="宋体"/>
          <w:color w:val="auto"/>
          <w:sz w:val="24"/>
          <w:highlight w:val="none"/>
        </w:rPr>
        <w:t>为牵头单位（牵头单位必须为联合体成员）。</w:t>
      </w:r>
    </w:p>
    <w:p>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p>
    <w:p>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3、其中</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（小型、微型企业/残疾人福利性单位/监狱企业全称）为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（小型、微型企业/残疾人福利性单位/监狱企业）企业，且我们约定该公司/单位所承担的合同金额将占本项目合同总金额的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w:t>
      </w:r>
    </w:p>
    <w:p>
      <w:pPr>
        <w:spacing w:line="560" w:lineRule="exact"/>
        <w:ind w:firstLine="645"/>
        <w:rPr>
          <w:rFonts w:hint="eastAsia" w:ascii="宋体" w:hAnsi="宋体" w:eastAsia="宋体" w:cs="宋体"/>
          <w:color w:val="auto"/>
          <w:sz w:val="24"/>
          <w:highlight w:val="none"/>
        </w:rPr>
      </w:pPr>
    </w:p>
    <w:p>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备注：本招标文件中要求加盖CA电子签章的地方，仅需加盖牵头单位的CA电子签章。</w:t>
      </w:r>
    </w:p>
    <w:p>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spacing w:line="560" w:lineRule="exact"/>
        <w:ind w:firstLine="645"/>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联合体中各供应商全称（公章）：     </w:t>
      </w:r>
    </w:p>
    <w:p>
      <w:pPr>
        <w:spacing w:line="560" w:lineRule="exact"/>
        <w:ind w:firstLine="645"/>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p>
    <w:p>
      <w:pPr>
        <w:spacing w:line="560" w:lineRule="exact"/>
        <w:ind w:firstLine="645"/>
        <w:rPr>
          <w:rFonts w:hint="eastAsia" w:ascii="宋体" w:hAnsi="宋体" w:eastAsia="宋体" w:cs="宋体"/>
          <w:color w:val="auto"/>
          <w:sz w:val="24"/>
          <w:highlight w:val="none"/>
        </w:rPr>
      </w:pPr>
    </w:p>
    <w:p>
      <w:pPr>
        <w:spacing w:line="460" w:lineRule="exact"/>
        <w:rPr>
          <w:rFonts w:hint="eastAsia" w:ascii="宋体" w:hAnsi="宋体" w:eastAsia="宋体" w:cs="宋体"/>
          <w:bCs/>
          <w:color w:val="auto"/>
          <w:sz w:val="24"/>
          <w:highlight w:val="none"/>
        </w:rPr>
      </w:pPr>
    </w:p>
    <w:p>
      <w:pPr>
        <w:spacing w:line="460" w:lineRule="exact"/>
        <w:rPr>
          <w:rFonts w:hint="eastAsia" w:ascii="宋体" w:hAnsi="宋体" w:eastAsia="宋体" w:cs="宋体"/>
          <w:bCs/>
          <w:color w:val="auto"/>
          <w:sz w:val="24"/>
          <w:highlight w:val="none"/>
        </w:rPr>
      </w:pPr>
    </w:p>
    <w:p>
      <w:pPr>
        <w:spacing w:line="460" w:lineRule="exact"/>
        <w:rPr>
          <w:rFonts w:hint="eastAsia" w:ascii="宋体" w:hAnsi="宋体" w:eastAsia="宋体" w:cs="宋体"/>
          <w:bCs/>
          <w:color w:val="auto"/>
          <w:sz w:val="24"/>
          <w:highlight w:val="none"/>
        </w:rPr>
      </w:pPr>
    </w:p>
    <w:p>
      <w:pPr>
        <w:spacing w:line="460" w:lineRule="exact"/>
        <w:rPr>
          <w:rFonts w:hint="eastAsia" w:ascii="宋体" w:hAnsi="宋体" w:eastAsia="宋体" w:cs="宋体"/>
          <w:bCs/>
          <w:color w:val="auto"/>
          <w:sz w:val="24"/>
          <w:highlight w:val="none"/>
        </w:rPr>
      </w:pPr>
    </w:p>
    <w:p>
      <w:pPr>
        <w:spacing w:line="460" w:lineRule="exact"/>
        <w:rPr>
          <w:rFonts w:hint="eastAsia" w:ascii="宋体" w:hAnsi="宋体" w:eastAsia="宋体" w:cs="宋体"/>
          <w:bCs/>
          <w:color w:val="auto"/>
          <w:sz w:val="24"/>
          <w:highlight w:val="none"/>
        </w:rPr>
      </w:pPr>
    </w:p>
    <w:p>
      <w:pPr>
        <w:pStyle w:val="33"/>
        <w:rPr>
          <w:rFonts w:hint="eastAsia" w:ascii="宋体" w:hAnsi="宋体" w:eastAsia="宋体" w:cs="宋体"/>
          <w:bCs/>
          <w:color w:val="auto"/>
          <w:sz w:val="24"/>
          <w:highlight w:val="none"/>
        </w:rPr>
      </w:pPr>
    </w:p>
    <w:p>
      <w:pPr>
        <w:pStyle w:val="33"/>
        <w:rPr>
          <w:rFonts w:hint="eastAsia" w:ascii="宋体" w:hAnsi="宋体" w:eastAsia="宋体" w:cs="宋体"/>
          <w:bCs/>
          <w:color w:val="auto"/>
          <w:sz w:val="24"/>
          <w:highlight w:val="none"/>
        </w:rPr>
      </w:pPr>
    </w:p>
    <w:p>
      <w:pPr>
        <w:pStyle w:val="33"/>
        <w:rPr>
          <w:rFonts w:hint="eastAsia" w:ascii="宋体" w:hAnsi="宋体" w:eastAsia="宋体" w:cs="宋体"/>
          <w:bCs/>
          <w:color w:val="auto"/>
          <w:sz w:val="24"/>
          <w:highlight w:val="none"/>
        </w:rPr>
      </w:pPr>
    </w:p>
    <w:bookmarkEnd w:id="191"/>
    <w:bookmarkEnd w:id="192"/>
    <w:bookmarkEnd w:id="201"/>
    <w:p>
      <w:pPr>
        <w:rPr>
          <w:rFonts w:hint="eastAsia" w:ascii="宋体" w:hAnsi="宋体" w:eastAsia="宋体" w:cs="宋体"/>
          <w:b/>
          <w:i/>
          <w:color w:val="auto"/>
          <w:sz w:val="32"/>
          <w:szCs w:val="32"/>
          <w:highlight w:val="none"/>
          <w:u w:val="single"/>
        </w:rPr>
      </w:pPr>
    </w:p>
    <w:p>
      <w:pPr>
        <w:jc w:val="both"/>
        <w:rPr>
          <w:rFonts w:hint="eastAsia" w:ascii="宋体" w:hAnsi="宋体" w:eastAsia="宋体" w:cs="宋体"/>
          <w:b/>
          <w:bCs/>
          <w:color w:val="auto"/>
          <w:sz w:val="32"/>
          <w:szCs w:val="32"/>
          <w:highlight w:val="none"/>
        </w:rPr>
      </w:pPr>
    </w:p>
    <w:p>
      <w:pPr>
        <w:jc w:val="both"/>
        <w:rPr>
          <w:rFonts w:hint="eastAsia" w:ascii="宋体" w:hAnsi="宋体" w:eastAsia="宋体" w:cs="宋体"/>
          <w:b/>
          <w:bCs/>
          <w:color w:val="auto"/>
          <w:sz w:val="32"/>
          <w:szCs w:val="32"/>
          <w:highlight w:val="none"/>
        </w:rPr>
      </w:pP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质疑函范本</w:t>
      </w:r>
    </w:p>
    <w:p>
      <w:pPr>
        <w:spacing w:before="29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                                                                           </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质疑事项2</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pPr>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single"/>
        </w:rPr>
        <w:t xml:space="preserve">                                                                     </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pPr>
        <w:widowControl/>
        <w:spacing w:line="400" w:lineRule="exact"/>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pPr>
        <w:pStyle w:val="204"/>
        <w:rPr>
          <w:rFonts w:hint="eastAsia" w:ascii="宋体" w:hAnsi="宋体" w:eastAsia="宋体" w:cs="宋体"/>
          <w:color w:val="auto"/>
          <w:sz w:val="24"/>
          <w:szCs w:val="24"/>
          <w:highlight w:val="none"/>
        </w:rPr>
      </w:pPr>
    </w:p>
    <w:p>
      <w:pPr>
        <w:pStyle w:val="204"/>
        <w:rPr>
          <w:rFonts w:hint="eastAsia" w:ascii="宋体" w:hAnsi="宋体" w:eastAsia="宋体" w:cs="宋体"/>
          <w:color w:val="auto"/>
          <w:sz w:val="24"/>
          <w:szCs w:val="24"/>
          <w:highlight w:val="none"/>
        </w:rPr>
      </w:pPr>
    </w:p>
    <w:sectPr>
      <w:headerReference r:id="rId5" w:type="default"/>
      <w:footerReference r:id="rId6" w:type="default"/>
      <w:footerReference r:id="rId7" w:type="even"/>
      <w:pgSz w:w="11906" w:h="16838"/>
      <w:pgMar w:top="1440" w:right="1080" w:bottom="1440" w:left="1080" w:header="851" w:footer="907" w:gutter="0"/>
      <w:cols w:space="720"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60101010101"/>
    <w:charset w:val="00"/>
    <w:family w:val="auto"/>
    <w:pitch w:val="default"/>
    <w:sig w:usb0="00000000" w:usb1="00000000" w:usb2="00000000" w:usb3="00000000" w:csb0="00000000" w:csb1="00000000"/>
  </w:font>
  <w:font w:name="monospace">
    <w:altName w:val="Segoe Print"/>
    <w:panose1 w:val="00000000000000000000"/>
    <w:charset w:val="00"/>
    <w:family w:val="auto"/>
    <w:pitch w:val="default"/>
    <w:sig w:usb0="00000000" w:usb1="00000000" w:usb2="00000000" w:usb3="00000000" w:csb0="00000000" w:csb1="00000000"/>
  </w:font>
  <w:font w:name="Adobe 仿宋 Std R">
    <w:altName w:val="仿宋"/>
    <w:panose1 w:val="02020400000000000000"/>
    <w:charset w:val="86"/>
    <w:family w:val="roman"/>
    <w:pitch w:val="default"/>
    <w:sig w:usb0="00000000" w:usb1="00000000" w:usb2="00000016" w:usb3="00000000" w:csb0="00060007" w:csb1="00000000"/>
  </w:font>
  <w:font w:name="楷体_GB2312">
    <w:altName w:val="楷体"/>
    <w:panose1 w:val="02010609060101010101"/>
    <w:charset w:val="00"/>
    <w:family w:val="auto"/>
    <w:pitch w:val="default"/>
    <w:sig w:usb0="00000000" w:usb1="00000000" w:usb2="00000000" w:usb3="00000000" w:csb0="00000000"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panose1 w:val="020B0604020202020204"/>
    <w:charset w:val="86"/>
    <w:family w:val="auto"/>
    <w:pitch w:val="default"/>
    <w:sig w:usb0="FFFFFFFF" w:usb1="E9FFFFFF" w:usb2="0000003F" w:usb3="00000000" w:csb0="603F01FF" w:csb1="FFFF0000"/>
  </w:font>
  <w:font w:name="方正黑体_GBK">
    <w:altName w:val="微软雅黑"/>
    <w:panose1 w:val="020B0503020202020204"/>
    <w:charset w:val="00"/>
    <w:family w:val="auto"/>
    <w:pitch w:val="default"/>
    <w:sig w:usb0="00000000" w:usb1="00000000" w:usb2="00000000" w:usb3="00000000" w:csb0="00000000"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2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8"/>
      <w:jc w:val="center"/>
      <w:rPr>
        <w:rFonts w:hint="eastAsia"/>
        <w:b/>
        <w:i/>
      </w:rPr>
    </w:pPr>
    <w:r>
      <w:rPr>
        <w:sz w:val="20"/>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48"/>
                            <w:rPr>
                              <w:rStyle w:val="273"/>
                              <w:rFonts w:ascii="宋体" w:hAnsi="宋体"/>
                            </w:rPr>
                          </w:pPr>
                          <w:r>
                            <w:rPr>
                              <w:rFonts w:ascii="宋体" w:hAnsi="宋体"/>
                            </w:rPr>
                            <w:fldChar w:fldCharType="begin"/>
                          </w:r>
                          <w:r>
                            <w:rPr>
                              <w:rStyle w:val="273"/>
                              <w:rFonts w:ascii="宋体" w:hAnsi="宋体"/>
                            </w:rPr>
                            <w:instrText xml:space="preserve">PAGE  </w:instrText>
                          </w:r>
                          <w:r>
                            <w:rPr>
                              <w:rFonts w:ascii="宋体" w:hAnsi="宋体"/>
                            </w:rPr>
                            <w:fldChar w:fldCharType="separate"/>
                          </w:r>
                          <w:r>
                            <w:rPr>
                              <w:rStyle w:val="273"/>
                              <w:rFonts w:ascii="宋体" w:hAnsi="宋体"/>
                            </w:rPr>
                            <w:t>５４</w:t>
                          </w:r>
                          <w:r>
                            <w:rPr>
                              <w:rFonts w:ascii="宋体" w:hAnsi="宋体"/>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48"/>
                      <w:rPr>
                        <w:rStyle w:val="273"/>
                        <w:rFonts w:ascii="宋体" w:hAnsi="宋体"/>
                      </w:rPr>
                    </w:pPr>
                    <w:r>
                      <w:rPr>
                        <w:rFonts w:ascii="宋体" w:hAnsi="宋体"/>
                      </w:rPr>
                      <w:fldChar w:fldCharType="begin"/>
                    </w:r>
                    <w:r>
                      <w:rPr>
                        <w:rStyle w:val="273"/>
                        <w:rFonts w:ascii="宋体" w:hAnsi="宋体"/>
                      </w:rPr>
                      <w:instrText xml:space="preserve">PAGE  </w:instrText>
                    </w:r>
                    <w:r>
                      <w:rPr>
                        <w:rFonts w:ascii="宋体" w:hAnsi="宋体"/>
                      </w:rPr>
                      <w:fldChar w:fldCharType="separate"/>
                    </w:r>
                    <w:r>
                      <w:rPr>
                        <w:rStyle w:val="273"/>
                        <w:rFonts w:ascii="宋体" w:hAnsi="宋体"/>
                      </w:rPr>
                      <w:t>５４</w:t>
                    </w:r>
                    <w:r>
                      <w:rPr>
                        <w:rFonts w:ascii="宋体" w:hAnsi="宋体"/>
                      </w:rPr>
                      <w:fldChar w:fldCharType="end"/>
                    </w:r>
                  </w:p>
                </w:txbxContent>
              </v:textbox>
            </v:shape>
          </w:pict>
        </mc:Fallback>
      </mc:AlternateContent>
    </w:r>
    <w:r>
      <w:rPr>
        <w:b/>
        <w:i/>
        <w:sz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8"/>
      <w:framePr w:wrap="around" w:vAnchor="text" w:hAnchor="margin" w:xAlign="center" w:y="1"/>
      <w:rPr>
        <w:rStyle w:val="273"/>
      </w:rPr>
    </w:pPr>
    <w:r>
      <w:fldChar w:fldCharType="begin"/>
    </w:r>
    <w:r>
      <w:rPr>
        <w:rStyle w:val="273"/>
      </w:rPr>
      <w:instrText xml:space="preserve">PAGE  </w:instrText>
    </w:r>
    <w:r>
      <w:fldChar w:fldCharType="separate"/>
    </w:r>
    <w:r>
      <w:rPr>
        <w:rStyle w:val="273"/>
      </w:rPr>
      <w:t>1</w:t>
    </w:r>
    <w:r>
      <w:fldChar w:fldCharType="end"/>
    </w:r>
  </w:p>
  <w:p>
    <w:pPr>
      <w:pStyle w:val="24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rPr>
        <w:rFonts w:hint="eastAsia"/>
        <w:lang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50"/>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5A97EB"/>
    <w:multiLevelType w:val="singleLevel"/>
    <w:tmpl w:val="8D5A97EB"/>
    <w:lvl w:ilvl="0" w:tentative="0">
      <w:start w:val="1"/>
      <w:numFmt w:val="decimal"/>
      <w:suff w:val="nothing"/>
      <w:lvlText w:val="%1、"/>
      <w:lvlJc w:val="left"/>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黑体" w:eastAsia="黑体"/>
        <w:b w:val="0"/>
        <w:sz w:val="36"/>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A2E5D09"/>
    <w:multiLevelType w:val="singleLevel"/>
    <w:tmpl w:val="CA2E5D09"/>
    <w:lvl w:ilvl="0" w:tentative="0">
      <w:start w:val="1"/>
      <w:numFmt w:val="decimal"/>
      <w:suff w:val="nothing"/>
      <w:lvlText w:val="%1、"/>
      <w:lvlJc w:val="left"/>
    </w:lvl>
  </w:abstractNum>
  <w:abstractNum w:abstractNumId="3">
    <w:nsid w:val="CF092B84"/>
    <w:multiLevelType w:val="multilevel"/>
    <w:tmpl w:val="CF092B84"/>
    <w:lvl w:ilvl="0" w:tentative="0">
      <w:start w:val="1"/>
      <w:numFmt w:val="upperLetter"/>
      <w:pStyle w:val="28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208"/>
      <w:suff w:val="nothing"/>
      <w:lvlText w:val=""/>
      <w:lvlJc w:val="left"/>
      <w:pPr>
        <w:ind w:left="0" w:firstLine="0"/>
      </w:pPr>
      <w:rPr>
        <w:rFonts w:hint="eastAsia"/>
      </w:rPr>
    </w:lvl>
    <w:lvl w:ilvl="6" w:tentative="0">
      <w:start w:val="1"/>
      <w:numFmt w:val="decimal"/>
      <w:pStyle w:val="209"/>
      <w:suff w:val="nothing"/>
      <w:lvlText w:val=""/>
      <w:lvlJc w:val="left"/>
      <w:pPr>
        <w:ind w:left="0" w:firstLine="0"/>
      </w:pPr>
      <w:rPr>
        <w:rFonts w:hint="eastAsia"/>
      </w:rPr>
    </w:lvl>
    <w:lvl w:ilvl="7" w:tentative="0">
      <w:start w:val="1"/>
      <w:numFmt w:val="decimal"/>
      <w:pStyle w:val="210"/>
      <w:suff w:val="nothing"/>
      <w:lvlText w:val=""/>
      <w:lvlJc w:val="left"/>
      <w:pPr>
        <w:ind w:left="0" w:firstLine="0"/>
      </w:pPr>
      <w:rPr>
        <w:rFonts w:hint="eastAsia"/>
      </w:rPr>
    </w:lvl>
    <w:lvl w:ilvl="8" w:tentative="0">
      <w:start w:val="1"/>
      <w:numFmt w:val="decimal"/>
      <w:pStyle w:val="211"/>
      <w:suff w:val="nothing"/>
      <w:lvlText w:val=""/>
      <w:lvlJc w:val="left"/>
      <w:pPr>
        <w:ind w:left="0" w:firstLine="0"/>
      </w:pPr>
      <w:rPr>
        <w:rFonts w:hint="eastAsia"/>
      </w:rPr>
    </w:lvl>
  </w:abstractNum>
  <w:abstractNum w:abstractNumId="5">
    <w:nsid w:val="1C349C41"/>
    <w:multiLevelType w:val="singleLevel"/>
    <w:tmpl w:val="1C349C41"/>
    <w:lvl w:ilvl="0" w:tentative="0">
      <w:start w:val="1"/>
      <w:numFmt w:val="decimal"/>
      <w:suff w:val="nothing"/>
      <w:lvlText w:val="%1、"/>
      <w:lvlJc w:val="left"/>
    </w:lvl>
  </w:abstractNum>
  <w:abstractNum w:abstractNumId="6">
    <w:nsid w:val="59ADCABA"/>
    <w:multiLevelType w:val="multilevel"/>
    <w:tmpl w:val="59ADCABA"/>
    <w:lvl w:ilvl="0" w:tentative="0">
      <w:start w:val="1"/>
      <w:numFmt w:val="decimal"/>
      <w:pStyle w:val="52"/>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7">
    <w:nsid w:val="6CCB7BC1"/>
    <w:multiLevelType w:val="singleLevel"/>
    <w:tmpl w:val="6CCB7BC1"/>
    <w:lvl w:ilvl="0" w:tentative="0">
      <w:start w:val="1"/>
      <w:numFmt w:val="decimal"/>
      <w:suff w:val="nothing"/>
      <w:lvlText w:val="%1、"/>
      <w:lvlJc w:val="left"/>
    </w:lvl>
  </w:abstractNum>
  <w:num w:numId="1">
    <w:abstractNumId w:val="6"/>
  </w:num>
  <w:num w:numId="2">
    <w:abstractNumId w:val="4"/>
  </w:num>
  <w:num w:numId="3">
    <w:abstractNumId w:val="3"/>
  </w:num>
  <w:num w:numId="4">
    <w:abstractNumId w:val="1"/>
  </w:num>
  <w:num w:numId="5">
    <w:abstractNumId w:val="0"/>
  </w:num>
  <w:num w:numId="6">
    <w:abstractNumId w:val="2"/>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JmMGY3YTExNjZkYjExODMwMjNlMmVhNjkzYmRkYjkifQ=="/>
  </w:docVars>
  <w:rsids>
    <w:rsidRoot w:val="00000000"/>
    <w:rsid w:val="03824F9D"/>
    <w:rsid w:val="03A218DD"/>
    <w:rsid w:val="03DD088B"/>
    <w:rsid w:val="05CD31FB"/>
    <w:rsid w:val="06B31420"/>
    <w:rsid w:val="0A0F6ED4"/>
    <w:rsid w:val="0A1246B0"/>
    <w:rsid w:val="0A3E1499"/>
    <w:rsid w:val="0A892BC4"/>
    <w:rsid w:val="0CDA7707"/>
    <w:rsid w:val="0D9F625A"/>
    <w:rsid w:val="0DAD0977"/>
    <w:rsid w:val="0EC05900"/>
    <w:rsid w:val="110E3E23"/>
    <w:rsid w:val="1227686A"/>
    <w:rsid w:val="12926848"/>
    <w:rsid w:val="13B16CE7"/>
    <w:rsid w:val="146124BC"/>
    <w:rsid w:val="15026A0A"/>
    <w:rsid w:val="15806971"/>
    <w:rsid w:val="16442095"/>
    <w:rsid w:val="171B1048"/>
    <w:rsid w:val="17CB0B3C"/>
    <w:rsid w:val="195919B3"/>
    <w:rsid w:val="19FD4A34"/>
    <w:rsid w:val="1A0E1FBB"/>
    <w:rsid w:val="1A66082C"/>
    <w:rsid w:val="1AB23629"/>
    <w:rsid w:val="1D036806"/>
    <w:rsid w:val="1E9D2342"/>
    <w:rsid w:val="1EFA19BA"/>
    <w:rsid w:val="1FEF6BCD"/>
    <w:rsid w:val="21594A00"/>
    <w:rsid w:val="21AA7AC4"/>
    <w:rsid w:val="2230171F"/>
    <w:rsid w:val="22456F79"/>
    <w:rsid w:val="233B037C"/>
    <w:rsid w:val="25203CCD"/>
    <w:rsid w:val="273A45E5"/>
    <w:rsid w:val="27CC36FE"/>
    <w:rsid w:val="28711FC0"/>
    <w:rsid w:val="2A1A036D"/>
    <w:rsid w:val="2A350B4F"/>
    <w:rsid w:val="2AB95507"/>
    <w:rsid w:val="2AC670C5"/>
    <w:rsid w:val="2AFB15AC"/>
    <w:rsid w:val="2BF57C61"/>
    <w:rsid w:val="2C2D606D"/>
    <w:rsid w:val="2D2B320F"/>
    <w:rsid w:val="2DC0604D"/>
    <w:rsid w:val="2F8C268B"/>
    <w:rsid w:val="30F027A5"/>
    <w:rsid w:val="32F347CF"/>
    <w:rsid w:val="336D27D3"/>
    <w:rsid w:val="33F825EB"/>
    <w:rsid w:val="34B34A13"/>
    <w:rsid w:val="34DB0F65"/>
    <w:rsid w:val="35FB4698"/>
    <w:rsid w:val="361C403D"/>
    <w:rsid w:val="364D069A"/>
    <w:rsid w:val="36C941C4"/>
    <w:rsid w:val="36E83F1F"/>
    <w:rsid w:val="37547228"/>
    <w:rsid w:val="38911E05"/>
    <w:rsid w:val="390019F4"/>
    <w:rsid w:val="39457808"/>
    <w:rsid w:val="3A157721"/>
    <w:rsid w:val="3AB04B12"/>
    <w:rsid w:val="3BC27434"/>
    <w:rsid w:val="3C6978B0"/>
    <w:rsid w:val="3DA81B6D"/>
    <w:rsid w:val="3EE251E2"/>
    <w:rsid w:val="3F03223E"/>
    <w:rsid w:val="407A0664"/>
    <w:rsid w:val="41055DF9"/>
    <w:rsid w:val="41957568"/>
    <w:rsid w:val="42240501"/>
    <w:rsid w:val="42BF4202"/>
    <w:rsid w:val="42BF647C"/>
    <w:rsid w:val="45274552"/>
    <w:rsid w:val="48FA645F"/>
    <w:rsid w:val="49E14F29"/>
    <w:rsid w:val="4B2D6FAD"/>
    <w:rsid w:val="4CBF5C1D"/>
    <w:rsid w:val="4E30022D"/>
    <w:rsid w:val="4ED10BB7"/>
    <w:rsid w:val="4F3D3F64"/>
    <w:rsid w:val="4FF35528"/>
    <w:rsid w:val="512A7441"/>
    <w:rsid w:val="517D7C2E"/>
    <w:rsid w:val="530F5C2C"/>
    <w:rsid w:val="53B607C3"/>
    <w:rsid w:val="54B5148C"/>
    <w:rsid w:val="54B91EDA"/>
    <w:rsid w:val="5512068D"/>
    <w:rsid w:val="57342B3C"/>
    <w:rsid w:val="57C9597B"/>
    <w:rsid w:val="57D60097"/>
    <w:rsid w:val="59C77C98"/>
    <w:rsid w:val="5A706581"/>
    <w:rsid w:val="5AA656E9"/>
    <w:rsid w:val="5B306316"/>
    <w:rsid w:val="5CBD5382"/>
    <w:rsid w:val="619052E3"/>
    <w:rsid w:val="61B53144"/>
    <w:rsid w:val="61FA4982"/>
    <w:rsid w:val="628D235F"/>
    <w:rsid w:val="629E7A04"/>
    <w:rsid w:val="62DA4EE0"/>
    <w:rsid w:val="637D1D0F"/>
    <w:rsid w:val="662B5A52"/>
    <w:rsid w:val="67424E02"/>
    <w:rsid w:val="68261EFB"/>
    <w:rsid w:val="687731D1"/>
    <w:rsid w:val="6AD824C4"/>
    <w:rsid w:val="6C9E3E1F"/>
    <w:rsid w:val="6EEC7277"/>
    <w:rsid w:val="6F370FC4"/>
    <w:rsid w:val="6FAF14A2"/>
    <w:rsid w:val="6FDE3B35"/>
    <w:rsid w:val="700A492A"/>
    <w:rsid w:val="715045BF"/>
    <w:rsid w:val="720C6DE2"/>
    <w:rsid w:val="73261A7B"/>
    <w:rsid w:val="73353A6C"/>
    <w:rsid w:val="7343262D"/>
    <w:rsid w:val="73AF7CC3"/>
    <w:rsid w:val="73CA0659"/>
    <w:rsid w:val="7456013E"/>
    <w:rsid w:val="745E0948"/>
    <w:rsid w:val="759058D2"/>
    <w:rsid w:val="76E934EC"/>
    <w:rsid w:val="7789082B"/>
    <w:rsid w:val="77894387"/>
    <w:rsid w:val="78080552"/>
    <w:rsid w:val="785F14F8"/>
    <w:rsid w:val="78930D48"/>
    <w:rsid w:val="79D73ACF"/>
    <w:rsid w:val="7B1D5512"/>
    <w:rsid w:val="7BF52534"/>
    <w:rsid w:val="7CD04806"/>
    <w:rsid w:val="7DB1105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iPriority="99" w:semiHidden="0"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77"/>
    <w:autoRedefine/>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3">
    <w:name w:val="heading 1"/>
    <w:basedOn w:val="1"/>
    <w:next w:val="1"/>
    <w:link w:val="54"/>
    <w:autoRedefine/>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55"/>
    <w:autoRedefine/>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56"/>
    <w:autoRedefine/>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57"/>
    <w:autoRedefine/>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58"/>
    <w:autoRedefine/>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59"/>
    <w:autoRedefine/>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0"/>
    <w:autoRedefine/>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1"/>
    <w:autoRedefine/>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2"/>
    <w:autoRedefine/>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2">
    <w:name w:val="toc 1"/>
    <w:basedOn w:val="1"/>
    <w:next w:val="1"/>
    <w:autoRedefine/>
    <w:unhideWhenUsed/>
    <w:qFormat/>
    <w:uiPriority w:val="39"/>
    <w:pPr>
      <w:spacing w:after="57"/>
      <w:ind w:left="0" w:right="0" w:firstLine="0"/>
    </w:pPr>
  </w:style>
  <w:style w:type="paragraph" w:styleId="12">
    <w:name w:val="toc 7"/>
    <w:basedOn w:val="1"/>
    <w:next w:val="1"/>
    <w:autoRedefine/>
    <w:unhideWhenUsed/>
    <w:qFormat/>
    <w:uiPriority w:val="39"/>
    <w:pPr>
      <w:spacing w:after="57"/>
      <w:ind w:left="1701" w:right="0" w:firstLine="0"/>
    </w:pPr>
  </w:style>
  <w:style w:type="paragraph" w:styleId="13">
    <w:name w:val="caption"/>
    <w:basedOn w:val="1"/>
    <w:next w:val="1"/>
    <w:autoRedefine/>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4">
    <w:name w:val="toa heading"/>
    <w:basedOn w:val="1"/>
    <w:next w:val="1"/>
    <w:autoRedefine/>
    <w:qFormat/>
    <w:uiPriority w:val="0"/>
    <w:rPr>
      <w:rFonts w:ascii="Arial" w:hAnsi="Arial"/>
      <w:sz w:val="24"/>
    </w:rPr>
  </w:style>
  <w:style w:type="paragraph" w:styleId="15">
    <w:name w:val="Body Text"/>
    <w:basedOn w:val="1"/>
    <w:autoRedefine/>
    <w:semiHidden/>
    <w:qFormat/>
    <w:uiPriority w:val="0"/>
    <w:rPr>
      <w:rFonts w:ascii="Arial" w:hAnsi="Arial" w:eastAsia="Arial" w:cs="Arial"/>
      <w:sz w:val="21"/>
      <w:szCs w:val="21"/>
      <w:lang w:val="en-US" w:eastAsia="en-US" w:bidi="ar-SA"/>
    </w:rPr>
  </w:style>
  <w:style w:type="paragraph" w:styleId="16">
    <w:name w:val="toc 5"/>
    <w:basedOn w:val="1"/>
    <w:next w:val="1"/>
    <w:autoRedefine/>
    <w:unhideWhenUsed/>
    <w:qFormat/>
    <w:uiPriority w:val="39"/>
    <w:pPr>
      <w:spacing w:after="57"/>
      <w:ind w:left="1134" w:right="0" w:firstLine="0"/>
    </w:pPr>
  </w:style>
  <w:style w:type="paragraph" w:styleId="17">
    <w:name w:val="toc 3"/>
    <w:basedOn w:val="1"/>
    <w:next w:val="1"/>
    <w:autoRedefine/>
    <w:unhideWhenUsed/>
    <w:qFormat/>
    <w:uiPriority w:val="39"/>
    <w:pPr>
      <w:spacing w:after="57"/>
      <w:ind w:left="567" w:right="0" w:firstLine="0"/>
    </w:pPr>
  </w:style>
  <w:style w:type="paragraph" w:styleId="18">
    <w:name w:val="Plain Text"/>
    <w:basedOn w:val="1"/>
    <w:autoRedefine/>
    <w:qFormat/>
    <w:uiPriority w:val="0"/>
    <w:rPr>
      <w:rFonts w:ascii="宋体" w:hAnsi="Courier New"/>
    </w:rPr>
  </w:style>
  <w:style w:type="paragraph" w:styleId="19">
    <w:name w:val="toc 8"/>
    <w:basedOn w:val="1"/>
    <w:next w:val="1"/>
    <w:autoRedefine/>
    <w:unhideWhenUsed/>
    <w:qFormat/>
    <w:uiPriority w:val="39"/>
    <w:pPr>
      <w:spacing w:after="57"/>
      <w:ind w:left="1984" w:right="0" w:firstLine="0"/>
    </w:pPr>
  </w:style>
  <w:style w:type="paragraph" w:styleId="20">
    <w:name w:val="endnote text"/>
    <w:basedOn w:val="1"/>
    <w:link w:val="200"/>
    <w:autoRedefine/>
    <w:semiHidden/>
    <w:unhideWhenUsed/>
    <w:qFormat/>
    <w:uiPriority w:val="99"/>
    <w:pPr>
      <w:spacing w:after="0" w:line="240" w:lineRule="auto"/>
    </w:pPr>
    <w:rPr>
      <w:sz w:val="20"/>
    </w:rPr>
  </w:style>
  <w:style w:type="paragraph" w:styleId="21">
    <w:name w:val="footer"/>
    <w:basedOn w:val="1"/>
    <w:link w:val="73"/>
    <w:autoRedefine/>
    <w:unhideWhenUsed/>
    <w:qFormat/>
    <w:uiPriority w:val="99"/>
    <w:pPr>
      <w:tabs>
        <w:tab w:val="center" w:pos="7143"/>
        <w:tab w:val="right" w:pos="14287"/>
      </w:tabs>
      <w:spacing w:after="0" w:line="240" w:lineRule="auto"/>
    </w:pPr>
  </w:style>
  <w:style w:type="paragraph" w:styleId="22">
    <w:name w:val="header"/>
    <w:basedOn w:val="1"/>
    <w:link w:val="71"/>
    <w:autoRedefine/>
    <w:unhideWhenUsed/>
    <w:qFormat/>
    <w:uiPriority w:val="99"/>
    <w:pPr>
      <w:tabs>
        <w:tab w:val="center" w:pos="7143"/>
        <w:tab w:val="right" w:pos="14287"/>
      </w:tabs>
      <w:spacing w:after="0" w:line="240" w:lineRule="auto"/>
    </w:pPr>
  </w:style>
  <w:style w:type="paragraph" w:styleId="23">
    <w:name w:val="toc 4"/>
    <w:basedOn w:val="1"/>
    <w:next w:val="1"/>
    <w:autoRedefine/>
    <w:unhideWhenUsed/>
    <w:qFormat/>
    <w:uiPriority w:val="39"/>
    <w:pPr>
      <w:spacing w:after="57"/>
      <w:ind w:left="850" w:right="0" w:firstLine="0"/>
    </w:pPr>
  </w:style>
  <w:style w:type="paragraph" w:styleId="24">
    <w:name w:val="Subtitle"/>
    <w:basedOn w:val="1"/>
    <w:next w:val="1"/>
    <w:link w:val="66"/>
    <w:autoRedefine/>
    <w:qFormat/>
    <w:uiPriority w:val="11"/>
    <w:pPr>
      <w:spacing w:before="200" w:after="200"/>
    </w:pPr>
    <w:rPr>
      <w:sz w:val="24"/>
      <w:szCs w:val="24"/>
    </w:rPr>
  </w:style>
  <w:style w:type="paragraph" w:styleId="25">
    <w:name w:val="footnote text"/>
    <w:basedOn w:val="1"/>
    <w:link w:val="199"/>
    <w:autoRedefine/>
    <w:semiHidden/>
    <w:unhideWhenUsed/>
    <w:qFormat/>
    <w:uiPriority w:val="99"/>
    <w:pPr>
      <w:spacing w:after="40" w:line="240" w:lineRule="auto"/>
    </w:pPr>
    <w:rPr>
      <w:sz w:val="18"/>
    </w:rPr>
  </w:style>
  <w:style w:type="paragraph" w:styleId="26">
    <w:name w:val="toc 6"/>
    <w:basedOn w:val="1"/>
    <w:next w:val="1"/>
    <w:autoRedefine/>
    <w:unhideWhenUsed/>
    <w:qFormat/>
    <w:uiPriority w:val="39"/>
    <w:pPr>
      <w:spacing w:after="57"/>
      <w:ind w:left="1417" w:right="0" w:firstLine="0"/>
    </w:pPr>
  </w:style>
  <w:style w:type="paragraph" w:styleId="27">
    <w:name w:val="table of figures"/>
    <w:basedOn w:val="1"/>
    <w:next w:val="1"/>
    <w:autoRedefine/>
    <w:unhideWhenUsed/>
    <w:qFormat/>
    <w:uiPriority w:val="99"/>
    <w:pPr>
      <w:spacing w:after="0" w:afterAutospacing="0"/>
    </w:pPr>
  </w:style>
  <w:style w:type="paragraph" w:styleId="28">
    <w:name w:val="toc 2"/>
    <w:basedOn w:val="1"/>
    <w:next w:val="1"/>
    <w:autoRedefine/>
    <w:unhideWhenUsed/>
    <w:qFormat/>
    <w:uiPriority w:val="39"/>
    <w:pPr>
      <w:spacing w:after="57"/>
      <w:ind w:left="283" w:right="0" w:firstLine="0"/>
    </w:pPr>
  </w:style>
  <w:style w:type="paragraph" w:styleId="29">
    <w:name w:val="toc 9"/>
    <w:basedOn w:val="1"/>
    <w:next w:val="1"/>
    <w:autoRedefine/>
    <w:unhideWhenUsed/>
    <w:qFormat/>
    <w:uiPriority w:val="39"/>
    <w:pPr>
      <w:spacing w:after="57"/>
      <w:ind w:left="2268" w:right="0" w:firstLine="0"/>
    </w:pPr>
  </w:style>
  <w:style w:type="paragraph" w:styleId="30">
    <w:name w:val="Message Header"/>
    <w:basedOn w:val="1"/>
    <w:next w:val="1"/>
    <w:autoRedefine/>
    <w:unhideWhenUsed/>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line="120" w:lineRule="auto"/>
      <w:ind w:left="1080" w:leftChars="500" w:hanging="1080" w:hangingChars="500"/>
    </w:pPr>
    <w:rPr>
      <w:rFonts w:ascii="Arial" w:hAnsi="Arial" w:eastAsia="宋体" w:cs="Arial"/>
      <w:kern w:val="2"/>
      <w:sz w:val="21"/>
      <w:szCs w:val="24"/>
      <w:lang w:val="en-US" w:eastAsia="zh-CN" w:bidi="ar-SA"/>
    </w:rPr>
  </w:style>
  <w:style w:type="paragraph" w:styleId="31">
    <w:name w:val="Normal (Web)"/>
    <w:basedOn w:val="1"/>
    <w:autoRedefine/>
    <w:semiHidden/>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32">
    <w:name w:val="Title"/>
    <w:basedOn w:val="1"/>
    <w:next w:val="1"/>
    <w:link w:val="65"/>
    <w:autoRedefine/>
    <w:qFormat/>
    <w:uiPriority w:val="10"/>
    <w:pPr>
      <w:spacing w:before="300" w:after="200"/>
      <w:contextualSpacing/>
    </w:pPr>
    <w:rPr>
      <w:sz w:val="48"/>
      <w:szCs w:val="48"/>
    </w:rPr>
  </w:style>
  <w:style w:type="paragraph" w:styleId="33">
    <w:name w:val="Body Text First Indent"/>
    <w:basedOn w:val="15"/>
    <w:autoRedefine/>
    <w:qFormat/>
    <w:uiPriority w:val="0"/>
    <w:pPr>
      <w:spacing w:line="360" w:lineRule="auto"/>
      <w:ind w:firstLine="200" w:firstLineChars="200"/>
    </w:pPr>
    <w:rPr>
      <w:rFonts w:ascii="仿宋_GB2312" w:eastAsia="仿宋_GB2312"/>
      <w:sz w:val="30"/>
      <w:szCs w:val="30"/>
    </w:rPr>
  </w:style>
  <w:style w:type="table" w:styleId="35">
    <w:name w:val="Table Grid"/>
    <w:autoRedefine/>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Strong"/>
    <w:basedOn w:val="36"/>
    <w:autoRedefine/>
    <w:qFormat/>
    <w:uiPriority w:val="22"/>
  </w:style>
  <w:style w:type="character" w:styleId="38">
    <w:name w:val="endnote reference"/>
    <w:autoRedefine/>
    <w:semiHidden/>
    <w:unhideWhenUsed/>
    <w:qFormat/>
    <w:uiPriority w:val="99"/>
    <w:rPr>
      <w:vertAlign w:val="superscript"/>
    </w:rPr>
  </w:style>
  <w:style w:type="character" w:styleId="39">
    <w:name w:val="FollowedHyperlink"/>
    <w:basedOn w:val="36"/>
    <w:autoRedefine/>
    <w:semiHidden/>
    <w:unhideWhenUsed/>
    <w:qFormat/>
    <w:uiPriority w:val="99"/>
    <w:rPr>
      <w:color w:val="800080"/>
      <w:u w:val="none"/>
    </w:rPr>
  </w:style>
  <w:style w:type="character" w:styleId="40">
    <w:name w:val="Emphasis"/>
    <w:basedOn w:val="36"/>
    <w:autoRedefine/>
    <w:qFormat/>
    <w:uiPriority w:val="20"/>
  </w:style>
  <w:style w:type="character" w:styleId="41">
    <w:name w:val="HTML Definition"/>
    <w:basedOn w:val="36"/>
    <w:autoRedefine/>
    <w:semiHidden/>
    <w:unhideWhenUsed/>
    <w:qFormat/>
    <w:uiPriority w:val="99"/>
  </w:style>
  <w:style w:type="character" w:styleId="42">
    <w:name w:val="HTML Typewriter"/>
    <w:basedOn w:val="36"/>
    <w:autoRedefine/>
    <w:semiHidden/>
    <w:unhideWhenUsed/>
    <w:qFormat/>
    <w:uiPriority w:val="99"/>
    <w:rPr>
      <w:rFonts w:hint="default" w:ascii="monospace" w:hAnsi="monospace" w:eastAsia="monospace" w:cs="monospace"/>
      <w:sz w:val="20"/>
    </w:rPr>
  </w:style>
  <w:style w:type="character" w:styleId="43">
    <w:name w:val="HTML Acronym"/>
    <w:basedOn w:val="36"/>
    <w:autoRedefine/>
    <w:semiHidden/>
    <w:unhideWhenUsed/>
    <w:qFormat/>
    <w:uiPriority w:val="99"/>
  </w:style>
  <w:style w:type="character" w:styleId="44">
    <w:name w:val="HTML Variable"/>
    <w:basedOn w:val="36"/>
    <w:autoRedefine/>
    <w:semiHidden/>
    <w:unhideWhenUsed/>
    <w:qFormat/>
    <w:uiPriority w:val="99"/>
  </w:style>
  <w:style w:type="character" w:styleId="45">
    <w:name w:val="Hyperlink"/>
    <w:autoRedefine/>
    <w:unhideWhenUsed/>
    <w:qFormat/>
    <w:uiPriority w:val="99"/>
    <w:rPr>
      <w:color w:val="0000FF" w:themeColor="hyperlink"/>
      <w:u w:val="single"/>
      <w14:textFill>
        <w14:solidFill>
          <w14:schemeClr w14:val="hlink"/>
        </w14:solidFill>
      </w14:textFill>
    </w:rPr>
  </w:style>
  <w:style w:type="character" w:styleId="46">
    <w:name w:val="HTML Code"/>
    <w:basedOn w:val="36"/>
    <w:autoRedefine/>
    <w:semiHidden/>
    <w:unhideWhenUsed/>
    <w:qFormat/>
    <w:uiPriority w:val="99"/>
    <w:rPr>
      <w:rFonts w:ascii="monospace" w:hAnsi="monospace" w:eastAsia="monospace" w:cs="monospace"/>
      <w:sz w:val="20"/>
    </w:rPr>
  </w:style>
  <w:style w:type="character" w:styleId="47">
    <w:name w:val="HTML Cite"/>
    <w:basedOn w:val="36"/>
    <w:autoRedefine/>
    <w:semiHidden/>
    <w:unhideWhenUsed/>
    <w:qFormat/>
    <w:uiPriority w:val="99"/>
  </w:style>
  <w:style w:type="character" w:styleId="48">
    <w:name w:val="footnote reference"/>
    <w:autoRedefine/>
    <w:unhideWhenUsed/>
    <w:qFormat/>
    <w:uiPriority w:val="99"/>
    <w:rPr>
      <w:vertAlign w:val="superscript"/>
    </w:rPr>
  </w:style>
  <w:style w:type="character" w:styleId="49">
    <w:name w:val="HTML Keyboard"/>
    <w:basedOn w:val="36"/>
    <w:autoRedefine/>
    <w:semiHidden/>
    <w:unhideWhenUsed/>
    <w:qFormat/>
    <w:uiPriority w:val="99"/>
    <w:rPr>
      <w:rFonts w:hint="default" w:ascii="monospace" w:hAnsi="monospace" w:eastAsia="monospace" w:cs="monospace"/>
      <w:sz w:val="20"/>
    </w:rPr>
  </w:style>
  <w:style w:type="character" w:styleId="50">
    <w:name w:val="HTML Sample"/>
    <w:basedOn w:val="36"/>
    <w:autoRedefine/>
    <w:semiHidden/>
    <w:unhideWhenUsed/>
    <w:qFormat/>
    <w:uiPriority w:val="99"/>
    <w:rPr>
      <w:rFonts w:hint="default" w:ascii="monospace" w:hAnsi="monospace" w:eastAsia="monospace" w:cs="monospace"/>
    </w:rPr>
  </w:style>
  <w:style w:type="paragraph" w:customStyle="1" w:styleId="51">
    <w:name w:val="正文1"/>
    <w:basedOn w:val="52"/>
    <w:next w:val="1"/>
    <w:autoRedefine/>
    <w:qFormat/>
    <w:uiPriority w:val="0"/>
    <w:pPr>
      <w:tabs>
        <w:tab w:val="left" w:pos="709"/>
        <w:tab w:val="left" w:pos="720"/>
      </w:tabs>
      <w:adjustRightInd w:val="0"/>
      <w:spacing w:before="120" w:after="120" w:line="180" w:lineRule="auto"/>
      <w:ind w:firstLine="200" w:firstLineChars="200"/>
      <w:contextualSpacing/>
    </w:pPr>
    <w:rPr>
      <w:rFonts w:ascii="Times New Roman" w:hAnsi="Times New Roman" w:eastAsia="Adobe 仿宋 Std R" w:cs="Times New Roman"/>
      <w:kern w:val="2"/>
      <w:sz w:val="21"/>
      <w:szCs w:val="21"/>
      <w:lang w:val="en-US" w:eastAsia="zh-CN" w:bidi="ar-SA"/>
    </w:rPr>
  </w:style>
  <w:style w:type="paragraph" w:customStyle="1" w:styleId="52">
    <w:name w:val="样式1"/>
    <w:basedOn w:val="1"/>
    <w:next w:val="14"/>
    <w:autoRedefine/>
    <w:qFormat/>
    <w:uiPriority w:val="0"/>
    <w:pPr>
      <w:numPr>
        <w:ilvl w:val="0"/>
        <w:numId w:val="1"/>
      </w:numPr>
    </w:pPr>
    <w:rPr>
      <w:rFonts w:ascii="宋体" w:hAnsi="宋体"/>
    </w:rPr>
  </w:style>
  <w:style w:type="paragraph" w:customStyle="1" w:styleId="53">
    <w:name w:val="信息标题1"/>
    <w:basedOn w:val="1"/>
    <w:next w:val="1"/>
    <w:autoRedefine/>
    <w:unhideWhenUsed/>
    <w:qFormat/>
    <w:uiPriority w:val="99"/>
    <w:pPr>
      <w:pBdr>
        <w:top w:val="single" w:color="000000" w:sz="6" w:space="1"/>
        <w:left w:val="single" w:color="000000" w:sz="6" w:space="1"/>
        <w:bottom w:val="single" w:color="000000" w:sz="6" w:space="1"/>
        <w:right w:val="single" w:color="000000" w:sz="6" w:space="1"/>
      </w:pBdr>
      <w:shd w:val="clear" w:color="auto" w:fill="7F7F7F"/>
      <w:spacing w:before="100" w:beforeAutospacing="1" w:after="100" w:afterAutospacing="1" w:line="120" w:lineRule="auto"/>
      <w:ind w:left="1080" w:hanging="1080"/>
    </w:pPr>
    <w:rPr>
      <w:rFonts w:ascii="Arial" w:hAnsi="Arial" w:eastAsia="宋体" w:cs="Arial"/>
      <w:sz w:val="21"/>
      <w:szCs w:val="24"/>
      <w:lang w:val="en-US" w:eastAsia="zh-CN" w:bidi="ar-SA"/>
    </w:rPr>
  </w:style>
  <w:style w:type="character" w:customStyle="1" w:styleId="54">
    <w:name w:val="Heading 1 Char"/>
    <w:link w:val="3"/>
    <w:autoRedefine/>
    <w:qFormat/>
    <w:uiPriority w:val="9"/>
    <w:rPr>
      <w:rFonts w:ascii="Arial" w:hAnsi="Arial" w:eastAsia="Arial" w:cs="Arial"/>
      <w:sz w:val="40"/>
      <w:szCs w:val="40"/>
    </w:rPr>
  </w:style>
  <w:style w:type="character" w:customStyle="1" w:styleId="55">
    <w:name w:val="Heading 2 Char"/>
    <w:link w:val="4"/>
    <w:autoRedefine/>
    <w:qFormat/>
    <w:uiPriority w:val="9"/>
    <w:rPr>
      <w:rFonts w:ascii="Arial" w:hAnsi="Arial" w:eastAsia="Arial" w:cs="Arial"/>
      <w:sz w:val="34"/>
    </w:rPr>
  </w:style>
  <w:style w:type="character" w:customStyle="1" w:styleId="56">
    <w:name w:val="Heading 3 Char"/>
    <w:link w:val="5"/>
    <w:autoRedefine/>
    <w:qFormat/>
    <w:uiPriority w:val="9"/>
    <w:rPr>
      <w:rFonts w:ascii="Arial" w:hAnsi="Arial" w:eastAsia="Arial" w:cs="Arial"/>
      <w:sz w:val="30"/>
      <w:szCs w:val="30"/>
    </w:rPr>
  </w:style>
  <w:style w:type="character" w:customStyle="1" w:styleId="57">
    <w:name w:val="Heading 4 Char"/>
    <w:link w:val="6"/>
    <w:autoRedefine/>
    <w:qFormat/>
    <w:uiPriority w:val="9"/>
    <w:rPr>
      <w:rFonts w:ascii="Arial" w:hAnsi="Arial" w:eastAsia="Arial" w:cs="Arial"/>
      <w:b/>
      <w:bCs/>
      <w:sz w:val="26"/>
      <w:szCs w:val="26"/>
    </w:rPr>
  </w:style>
  <w:style w:type="character" w:customStyle="1" w:styleId="58">
    <w:name w:val="Heading 5 Char"/>
    <w:link w:val="7"/>
    <w:autoRedefine/>
    <w:qFormat/>
    <w:uiPriority w:val="9"/>
    <w:rPr>
      <w:rFonts w:ascii="Arial" w:hAnsi="Arial" w:eastAsia="Arial" w:cs="Arial"/>
      <w:b/>
      <w:bCs/>
      <w:sz w:val="24"/>
      <w:szCs w:val="24"/>
    </w:rPr>
  </w:style>
  <w:style w:type="character" w:customStyle="1" w:styleId="59">
    <w:name w:val="Heading 6 Char"/>
    <w:link w:val="8"/>
    <w:autoRedefine/>
    <w:qFormat/>
    <w:uiPriority w:val="9"/>
    <w:rPr>
      <w:rFonts w:ascii="Arial" w:hAnsi="Arial" w:eastAsia="Arial" w:cs="Arial"/>
      <w:b/>
      <w:bCs/>
      <w:sz w:val="22"/>
      <w:szCs w:val="22"/>
    </w:rPr>
  </w:style>
  <w:style w:type="character" w:customStyle="1" w:styleId="60">
    <w:name w:val="Heading 7 Char"/>
    <w:link w:val="9"/>
    <w:autoRedefine/>
    <w:qFormat/>
    <w:uiPriority w:val="9"/>
    <w:rPr>
      <w:rFonts w:ascii="Arial" w:hAnsi="Arial" w:eastAsia="Arial" w:cs="Arial"/>
      <w:b/>
      <w:bCs/>
      <w:i/>
      <w:iCs/>
      <w:sz w:val="22"/>
      <w:szCs w:val="22"/>
    </w:rPr>
  </w:style>
  <w:style w:type="character" w:customStyle="1" w:styleId="61">
    <w:name w:val="Heading 8 Char"/>
    <w:link w:val="10"/>
    <w:autoRedefine/>
    <w:qFormat/>
    <w:uiPriority w:val="9"/>
    <w:rPr>
      <w:rFonts w:ascii="Arial" w:hAnsi="Arial" w:eastAsia="Arial" w:cs="Arial"/>
      <w:i/>
      <w:iCs/>
      <w:sz w:val="22"/>
      <w:szCs w:val="22"/>
    </w:rPr>
  </w:style>
  <w:style w:type="character" w:customStyle="1" w:styleId="62">
    <w:name w:val="Heading 9 Char"/>
    <w:link w:val="11"/>
    <w:autoRedefine/>
    <w:qFormat/>
    <w:uiPriority w:val="9"/>
    <w:rPr>
      <w:rFonts w:ascii="Arial" w:hAnsi="Arial" w:eastAsia="Arial" w:cs="Arial"/>
      <w:i/>
      <w:iCs/>
      <w:sz w:val="21"/>
      <w:szCs w:val="21"/>
    </w:rPr>
  </w:style>
  <w:style w:type="paragraph" w:styleId="63">
    <w:name w:val="List Paragraph"/>
    <w:basedOn w:val="1"/>
    <w:autoRedefine/>
    <w:qFormat/>
    <w:uiPriority w:val="34"/>
    <w:pPr>
      <w:ind w:left="720"/>
      <w:contextualSpacing/>
    </w:pPr>
  </w:style>
  <w:style w:type="paragraph" w:styleId="64">
    <w:name w:val="No Spacing"/>
    <w:autoRedefine/>
    <w:qFormat/>
    <w:uiPriority w:val="1"/>
    <w:pPr>
      <w:spacing w:before="0" w:after="0" w:line="240" w:lineRule="auto"/>
    </w:pPr>
    <w:rPr>
      <w:rFonts w:hint="default" w:ascii="Times New Roman" w:hAnsi="Times New Roman" w:eastAsia="宋体" w:cs="Times New Roman"/>
    </w:rPr>
  </w:style>
  <w:style w:type="character" w:customStyle="1" w:styleId="65">
    <w:name w:val="Title Char"/>
    <w:link w:val="32"/>
    <w:autoRedefine/>
    <w:qFormat/>
    <w:uiPriority w:val="10"/>
    <w:rPr>
      <w:sz w:val="48"/>
      <w:szCs w:val="48"/>
    </w:rPr>
  </w:style>
  <w:style w:type="character" w:customStyle="1" w:styleId="66">
    <w:name w:val="Subtitle Char"/>
    <w:link w:val="24"/>
    <w:autoRedefine/>
    <w:qFormat/>
    <w:uiPriority w:val="11"/>
    <w:rPr>
      <w:sz w:val="24"/>
      <w:szCs w:val="24"/>
    </w:rPr>
  </w:style>
  <w:style w:type="paragraph" w:styleId="67">
    <w:name w:val="Quote"/>
    <w:basedOn w:val="1"/>
    <w:next w:val="1"/>
    <w:link w:val="68"/>
    <w:autoRedefine/>
    <w:qFormat/>
    <w:uiPriority w:val="29"/>
    <w:pPr>
      <w:ind w:left="720" w:right="720"/>
    </w:pPr>
    <w:rPr>
      <w:i/>
    </w:rPr>
  </w:style>
  <w:style w:type="character" w:customStyle="1" w:styleId="68">
    <w:name w:val="Quote Char"/>
    <w:link w:val="67"/>
    <w:autoRedefine/>
    <w:qFormat/>
    <w:uiPriority w:val="29"/>
    <w:rPr>
      <w:i/>
    </w:rPr>
  </w:style>
  <w:style w:type="paragraph" w:styleId="69">
    <w:name w:val="Intense Quote"/>
    <w:basedOn w:val="1"/>
    <w:next w:val="1"/>
    <w:link w:val="70"/>
    <w:autoRedefine/>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70">
    <w:name w:val="Intense Quote Char"/>
    <w:link w:val="69"/>
    <w:autoRedefine/>
    <w:qFormat/>
    <w:uiPriority w:val="30"/>
    <w:rPr>
      <w:i/>
    </w:rPr>
  </w:style>
  <w:style w:type="character" w:customStyle="1" w:styleId="71">
    <w:name w:val="Header Char"/>
    <w:link w:val="22"/>
    <w:autoRedefine/>
    <w:qFormat/>
    <w:uiPriority w:val="99"/>
  </w:style>
  <w:style w:type="character" w:customStyle="1" w:styleId="72">
    <w:name w:val="Footer Char"/>
    <w:link w:val="21"/>
    <w:autoRedefine/>
    <w:qFormat/>
    <w:uiPriority w:val="99"/>
  </w:style>
  <w:style w:type="character" w:customStyle="1" w:styleId="73">
    <w:name w:val="Caption Char"/>
    <w:link w:val="21"/>
    <w:autoRedefine/>
    <w:qFormat/>
    <w:uiPriority w:val="99"/>
  </w:style>
  <w:style w:type="table" w:customStyle="1" w:styleId="74">
    <w:name w:val="Table Grid Light"/>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5">
    <w:name w:val="Plain Table 1"/>
    <w:autoRedefine/>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6">
    <w:name w:val="Plain Table 2"/>
    <w:autoRedefine/>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7">
    <w:name w:val="Plain Table 3"/>
    <w:autoRedefine/>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Plain Table 4"/>
    <w:autoRedefine/>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9">
    <w:name w:val="Plain Table 5"/>
    <w:autoRedefine/>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0">
    <w:name w:val="Grid Table 1 Light"/>
    <w:autoRedefine/>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1">
    <w:name w:val="Grid Table 1 Light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2">
    <w:name w:val="Grid Table 1 Light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3">
    <w:name w:val="Grid Table 1 Light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4">
    <w:name w:val="Grid Table 1 Light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5">
    <w:name w:val="Grid Table 1 Light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6">
    <w:name w:val="Grid Table 1 Light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7">
    <w:name w:val="Grid Table 2"/>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8">
    <w:name w:val="Grid Table 2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9">
    <w:name w:val="Grid Table 2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0">
    <w:name w:val="Grid Table 2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1">
    <w:name w:val="Grid Table 2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2">
    <w:name w:val="Grid Table 2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3">
    <w:name w:val="Grid Table 2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4">
    <w:name w:val="Grid Table 3"/>
    <w:autoRedefine/>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5">
    <w:name w:val="Grid Table 3 - Accent 1"/>
    <w:autoRedefine/>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6">
    <w:name w:val="Grid Table 3 - Accent 2"/>
    <w:autoRedefine/>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7">
    <w:name w:val="Grid Table 3 - Accent 3"/>
    <w:autoRedefine/>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8">
    <w:name w:val="Grid Table 3 - Accent 4"/>
    <w:autoRedefine/>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9">
    <w:name w:val="Grid Table 3 - Accent 5"/>
    <w:autoRedefine/>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0">
    <w:name w:val="Grid Table 3 - Accent 6"/>
    <w:autoRedefine/>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1">
    <w:name w:val="Grid Table 4"/>
    <w:autoRedefine/>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2">
    <w:name w:val="Grid Table 4 - Accent 1"/>
    <w:autoRedefine/>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3">
    <w:name w:val="Grid Table 4 - Accent 2"/>
    <w:autoRedefine/>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4">
    <w:name w:val="Grid Table 4 - Accent 3"/>
    <w:autoRedefine/>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5">
    <w:name w:val="Grid Table 4 - Accent 4"/>
    <w:autoRedefine/>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6">
    <w:name w:val="Grid Table 4 - Accent 5"/>
    <w:autoRedefine/>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7">
    <w:name w:val="Grid Table 4 - Accent 6"/>
    <w:autoRedefine/>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8">
    <w:name w:val="Grid Table 5 Dark"/>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9">
    <w:name w:val="Grid Table 5 Dark- Accent 1"/>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0">
    <w:name w:val="Grid Table 5 Dark - Accent 2"/>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1">
    <w:name w:val="Grid Table 5 Dark - Accent 3"/>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2">
    <w:name w:val="Grid Table 5 Dark- Accent 4"/>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3">
    <w:name w:val="Grid Table 5 Dark - Accent 5"/>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4">
    <w:name w:val="Grid Table 5 Dark - Accent 6"/>
    <w:autoRedefine/>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5">
    <w:name w:val="Grid Table 6 Colorful"/>
    <w:autoRedefine/>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6">
    <w:name w:val="Grid Table 6 Colorful - Accent 1"/>
    <w:autoRedefine/>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7">
    <w:name w:val="Grid Table 6 Colorful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8">
    <w:name w:val="Grid Table 6 Colorful - Accent 3"/>
    <w:autoRedefine/>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9">
    <w:name w:val="Grid Table 6 Colorful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0">
    <w:name w:val="Grid Table 6 Colorful - Accent 5"/>
    <w:autoRedefine/>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1">
    <w:name w:val="Grid Table 6 Colorful - Accent 6"/>
    <w:autoRedefine/>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2">
    <w:name w:val="Grid Table 7 Colorful"/>
    <w:autoRedefine/>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3">
    <w:name w:val="Grid Table 7 Colorful - Accent 1"/>
    <w:autoRedefine/>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4">
    <w:name w:val="Grid Table 7 Colorful - Accent 2"/>
    <w:autoRedefine/>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5">
    <w:name w:val="Grid Table 7 Colorful - Accent 3"/>
    <w:autoRedefine/>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6">
    <w:name w:val="Grid Table 7 Colorful - Accent 4"/>
    <w:autoRedefine/>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7">
    <w:name w:val="Grid Table 7 Colorful - Accent 5"/>
    <w:autoRedefine/>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8">
    <w:name w:val="Grid Table 7 Colorful - Accent 6"/>
    <w:autoRedefine/>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9">
    <w:name w:val="List Table 1 Light"/>
    <w:autoRedefine/>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0">
    <w:name w:val="List Table 1 Light - Accent 1"/>
    <w:autoRedefine/>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1">
    <w:name w:val="List Table 1 Light - Accent 2"/>
    <w:autoRedefine/>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2">
    <w:name w:val="List Table 1 Light - Accent 3"/>
    <w:autoRedefine/>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3">
    <w:name w:val="List Table 1 Light - Accent 4"/>
    <w:autoRedefine/>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4">
    <w:name w:val="List Table 1 Light - Accent 5"/>
    <w:autoRedefine/>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5">
    <w:name w:val="List Table 1 Light - Accent 6"/>
    <w:autoRedefine/>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6">
    <w:name w:val="List Table 2"/>
    <w:autoRedefine/>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7">
    <w:name w:val="List Table 2 - Accent 1"/>
    <w:autoRedefine/>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8">
    <w:name w:val="List Table 2 - Accent 2"/>
    <w:autoRedefine/>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9">
    <w:name w:val="List Table 2 - Accent 3"/>
    <w:autoRedefine/>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0">
    <w:name w:val="List Table 2 - Accent 4"/>
    <w:autoRedefine/>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1">
    <w:name w:val="List Table 2 - Accent 5"/>
    <w:autoRedefine/>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2">
    <w:name w:val="List Table 2 - Accent 6"/>
    <w:autoRedefine/>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3">
    <w:name w:val="List Table 3"/>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4">
    <w:name w:val="List Table 3 - Accent 1"/>
    <w:autoRedefine/>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5">
    <w:name w:val="List Table 3 - Accent 2"/>
    <w:autoRedefine/>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6">
    <w:name w:val="List Table 3 - Accent 3"/>
    <w:autoRedefine/>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7">
    <w:name w:val="List Table 3 - Accent 4"/>
    <w:autoRedefine/>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8">
    <w:name w:val="List Table 3 - Accent 5"/>
    <w:autoRedefine/>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9">
    <w:name w:val="List Table 3 - Accent 6"/>
    <w:autoRedefine/>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0">
    <w:name w:val="List Table 4"/>
    <w:autoRedefine/>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1">
    <w:name w:val="List Table 4 - Accent 1"/>
    <w:autoRedefine/>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2">
    <w:name w:val="List Table 4 - Accent 2"/>
    <w:autoRedefine/>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3">
    <w:name w:val="List Table 4 - Accent 3"/>
    <w:autoRedefine/>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4">
    <w:name w:val="List Table 4 - Accent 4"/>
    <w:autoRedefine/>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5">
    <w:name w:val="List Table 4 - Accent 5"/>
    <w:autoRedefine/>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6">
    <w:name w:val="List Table 4 - Accent 6"/>
    <w:autoRedefine/>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7">
    <w:name w:val="List Table 5 Dark"/>
    <w:autoRedefine/>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8">
    <w:name w:val="List Table 5 Dark - Accent 1"/>
    <w:autoRedefine/>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9">
    <w:name w:val="List Table 5 Dark - Accent 2"/>
    <w:autoRedefine/>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0">
    <w:name w:val="List Table 5 Dark - Accent 3"/>
    <w:autoRedefine/>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1">
    <w:name w:val="List Table 5 Dark - Accent 4"/>
    <w:autoRedefine/>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2">
    <w:name w:val="List Table 5 Dark - Accent 5"/>
    <w:autoRedefine/>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3">
    <w:name w:val="List Table 5 Dark - Accent 6"/>
    <w:autoRedefine/>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4">
    <w:name w:val="List Table 6 Colorful"/>
    <w:autoRedefine/>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5">
    <w:name w:val="List Table 6 Colorful - Accent 1"/>
    <w:autoRedefine/>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6">
    <w:name w:val="List Table 6 Colorful - Accent 2"/>
    <w:autoRedefine/>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7">
    <w:name w:val="List Table 6 Colorful - Accent 3"/>
    <w:autoRedefine/>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8">
    <w:name w:val="List Table 6 Colorful - Accent 4"/>
    <w:autoRedefine/>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9">
    <w:name w:val="List Table 6 Colorful - Accent 5"/>
    <w:autoRedefine/>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0">
    <w:name w:val="List Table 6 Colorful - Accent 6"/>
    <w:autoRedefine/>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1">
    <w:name w:val="List Table 7 Colorful"/>
    <w:autoRedefine/>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2">
    <w:name w:val="List Table 7 Colorful - Accent 1"/>
    <w:autoRedefine/>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3">
    <w:name w:val="List Table 7 Colorful - Accent 2"/>
    <w:autoRedefine/>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4">
    <w:name w:val="List Table 7 Colorful - Accent 3"/>
    <w:autoRedefine/>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5">
    <w:name w:val="List Table 7 Colorful - Accent 4"/>
    <w:autoRedefine/>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6">
    <w:name w:val="List Table 7 Colorful - Accent 5"/>
    <w:autoRedefine/>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7">
    <w:name w:val="List Table 7 Colorful - Accent 6"/>
    <w:autoRedefine/>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8">
    <w:name w:val="Lined - Accent"/>
    <w:autoRedefine/>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9">
    <w:name w:val="Lined - Accent 1"/>
    <w:autoRedefine/>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0">
    <w:name w:val="Lined - Accent 2"/>
    <w:autoRedefine/>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1">
    <w:name w:val="Lined - Accent 3"/>
    <w:autoRedefine/>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2">
    <w:name w:val="Lined - Accent 4"/>
    <w:autoRedefine/>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3">
    <w:name w:val="Lined - Accent 5"/>
    <w:autoRedefine/>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4">
    <w:name w:val="Lined - Accent 6"/>
    <w:autoRedefine/>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5">
    <w:name w:val="Bordered &amp; Lined - Accent"/>
    <w:autoRedefine/>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6">
    <w:name w:val="Bordered &amp; Lined - Accent 1"/>
    <w:autoRedefine/>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7">
    <w:name w:val="Bordered &amp; Lined - Accent 2"/>
    <w:autoRedefine/>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8">
    <w:name w:val="Bordered &amp; Lined - Accent 3"/>
    <w:autoRedefine/>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9">
    <w:name w:val="Bordered &amp; Lined - Accent 4"/>
    <w:autoRedefine/>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0">
    <w:name w:val="Bordered &amp; Lined - Accent 5"/>
    <w:autoRedefine/>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1">
    <w:name w:val="Bordered &amp; Lined - Accent 6"/>
    <w:autoRedefine/>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2">
    <w:name w:val="Bordered"/>
    <w:autoRedefine/>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3">
    <w:name w:val="Bordered - Accent 1"/>
    <w:autoRedefine/>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4">
    <w:name w:val="Bordered - Accent 2"/>
    <w:autoRedefine/>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5">
    <w:name w:val="Bordered - Accent 3"/>
    <w:autoRedefine/>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6">
    <w:name w:val="Bordered - Accent 4"/>
    <w:autoRedefine/>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7">
    <w:name w:val="Bordered - Accent 5"/>
    <w:autoRedefine/>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8">
    <w:name w:val="Bordered - Accent 6"/>
    <w:autoRedefine/>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9">
    <w:name w:val="Footnote Text Char"/>
    <w:link w:val="25"/>
    <w:autoRedefine/>
    <w:qFormat/>
    <w:uiPriority w:val="99"/>
    <w:rPr>
      <w:sz w:val="18"/>
    </w:rPr>
  </w:style>
  <w:style w:type="character" w:customStyle="1" w:styleId="200">
    <w:name w:val="Endnote Text Char"/>
    <w:link w:val="20"/>
    <w:autoRedefine/>
    <w:qFormat/>
    <w:uiPriority w:val="99"/>
    <w:rPr>
      <w:sz w:val="20"/>
    </w:rPr>
  </w:style>
  <w:style w:type="paragraph" w:customStyle="1" w:styleId="201">
    <w:name w:val="TOC Heading"/>
    <w:autoRedefine/>
    <w:unhideWhenUsed/>
    <w:qFormat/>
    <w:uiPriority w:val="39"/>
    <w:rPr>
      <w:rFonts w:hint="default" w:ascii="Times New Roman" w:hAnsi="Times New Roman" w:eastAsia="宋体" w:cs="Times New Roman"/>
    </w:rPr>
  </w:style>
  <w:style w:type="paragraph" w:customStyle="1" w:styleId="202">
    <w:name w:val="标题 11"/>
    <w:basedOn w:val="1"/>
    <w:next w:val="1"/>
    <w:link w:val="214"/>
    <w:qFormat/>
    <w:uiPriority w:val="0"/>
    <w:pPr>
      <w:keepNext/>
      <w:jc w:val="center"/>
      <w:outlineLvl w:val="0"/>
    </w:pPr>
    <w:rPr>
      <w:rFonts w:ascii="楷体_GB2312" w:eastAsia="楷体_GB2312"/>
      <w:sz w:val="28"/>
      <w:szCs w:val="28"/>
      <w:lang w:val="en-US" w:eastAsia="en-US"/>
    </w:rPr>
  </w:style>
  <w:style w:type="paragraph" w:customStyle="1" w:styleId="203">
    <w:name w:val="标题 21"/>
    <w:basedOn w:val="1"/>
    <w:next w:val="204"/>
    <w:link w:val="215"/>
    <w:autoRedefine/>
    <w:qFormat/>
    <w:uiPriority w:val="0"/>
    <w:pPr>
      <w:keepNext/>
      <w:keepLines/>
      <w:spacing w:before="260" w:after="260" w:line="416" w:lineRule="auto"/>
      <w:jc w:val="center"/>
      <w:outlineLvl w:val="1"/>
    </w:pPr>
    <w:rPr>
      <w:rFonts w:ascii="Arial" w:hAnsi="Arial" w:eastAsia="幼圆"/>
      <w:b/>
      <w:bCs/>
      <w:sz w:val="44"/>
      <w:szCs w:val="44"/>
      <w:lang w:val="en-US" w:eastAsia="en-US"/>
    </w:rPr>
  </w:style>
  <w:style w:type="paragraph" w:customStyle="1" w:styleId="204">
    <w:name w:val="正文缩进1"/>
    <w:basedOn w:val="1"/>
    <w:link w:val="216"/>
    <w:autoRedefine/>
    <w:qFormat/>
    <w:uiPriority w:val="0"/>
    <w:pPr>
      <w:ind w:firstLine="420"/>
    </w:pPr>
    <w:rPr>
      <w:sz w:val="20"/>
      <w:lang w:val="en-US" w:eastAsia="en-US"/>
    </w:rPr>
  </w:style>
  <w:style w:type="paragraph" w:customStyle="1" w:styleId="205">
    <w:name w:val="标题 31"/>
    <w:basedOn w:val="1"/>
    <w:next w:val="204"/>
    <w:link w:val="217"/>
    <w:autoRedefine/>
    <w:qFormat/>
    <w:uiPriority w:val="0"/>
    <w:pPr>
      <w:keepNext/>
      <w:keepLines/>
      <w:spacing w:before="260" w:after="260" w:line="416" w:lineRule="auto"/>
      <w:outlineLvl w:val="2"/>
    </w:pPr>
    <w:rPr>
      <w:b/>
      <w:bCs/>
      <w:sz w:val="32"/>
      <w:szCs w:val="32"/>
      <w:lang w:val="en-US" w:eastAsia="en-US"/>
    </w:rPr>
  </w:style>
  <w:style w:type="paragraph" w:customStyle="1" w:styleId="206">
    <w:name w:val="标题 41"/>
    <w:basedOn w:val="1"/>
    <w:next w:val="204"/>
    <w:link w:val="218"/>
    <w:autoRedefine/>
    <w:qFormat/>
    <w:uiPriority w:val="0"/>
    <w:pPr>
      <w:keepNext/>
      <w:keepLines/>
      <w:spacing w:before="280" w:after="290" w:line="376" w:lineRule="auto"/>
      <w:outlineLvl w:val="3"/>
    </w:pPr>
    <w:rPr>
      <w:rFonts w:ascii="Arial" w:hAnsi="Arial" w:eastAsia="黑体"/>
      <w:b/>
      <w:bCs/>
      <w:sz w:val="28"/>
      <w:szCs w:val="28"/>
      <w:lang w:val="en-US" w:eastAsia="en-US"/>
    </w:rPr>
  </w:style>
  <w:style w:type="paragraph" w:customStyle="1" w:styleId="207">
    <w:name w:val="标题 51"/>
    <w:basedOn w:val="1"/>
    <w:next w:val="204"/>
    <w:link w:val="219"/>
    <w:autoRedefine/>
    <w:qFormat/>
    <w:uiPriority w:val="0"/>
    <w:pPr>
      <w:keepNext/>
      <w:outlineLvl w:val="4"/>
    </w:pPr>
    <w:rPr>
      <w:rFonts w:ascii="宋体"/>
      <w:color w:val="000000"/>
      <w:sz w:val="28"/>
      <w:szCs w:val="28"/>
      <w:lang w:val="en-US" w:eastAsia="en-US"/>
    </w:rPr>
  </w:style>
  <w:style w:type="paragraph" w:customStyle="1" w:styleId="208">
    <w:name w:val="标题 61"/>
    <w:basedOn w:val="1"/>
    <w:next w:val="1"/>
    <w:link w:val="220"/>
    <w:autoRedefine/>
    <w:qFormat/>
    <w:uiPriority w:val="0"/>
    <w:pPr>
      <w:keepNext/>
      <w:keepLines/>
      <w:numPr>
        <w:ilvl w:val="5"/>
        <w:numId w:val="2"/>
      </w:numPr>
      <w:spacing w:before="240" w:after="64" w:line="320" w:lineRule="auto"/>
      <w:outlineLvl w:val="5"/>
    </w:pPr>
    <w:rPr>
      <w:rFonts w:ascii="Arial" w:hAnsi="Arial" w:eastAsia="黑体"/>
      <w:b/>
      <w:bCs/>
      <w:sz w:val="24"/>
      <w:szCs w:val="24"/>
      <w:lang w:val="en-US" w:eastAsia="en-US"/>
    </w:rPr>
  </w:style>
  <w:style w:type="paragraph" w:customStyle="1" w:styleId="209">
    <w:name w:val="标题 71"/>
    <w:basedOn w:val="1"/>
    <w:next w:val="1"/>
    <w:link w:val="221"/>
    <w:autoRedefine/>
    <w:qFormat/>
    <w:uiPriority w:val="0"/>
    <w:pPr>
      <w:keepNext/>
      <w:keepLines/>
      <w:numPr>
        <w:ilvl w:val="6"/>
        <w:numId w:val="2"/>
      </w:numPr>
      <w:spacing w:before="240" w:after="64" w:line="320" w:lineRule="auto"/>
      <w:outlineLvl w:val="6"/>
    </w:pPr>
    <w:rPr>
      <w:b/>
      <w:bCs/>
      <w:sz w:val="24"/>
      <w:szCs w:val="24"/>
      <w:lang w:val="en-US" w:eastAsia="en-US"/>
    </w:rPr>
  </w:style>
  <w:style w:type="paragraph" w:customStyle="1" w:styleId="210">
    <w:name w:val="标题 81"/>
    <w:basedOn w:val="1"/>
    <w:next w:val="1"/>
    <w:link w:val="222"/>
    <w:autoRedefine/>
    <w:qFormat/>
    <w:uiPriority w:val="0"/>
    <w:pPr>
      <w:keepNext/>
      <w:keepLines/>
      <w:numPr>
        <w:ilvl w:val="7"/>
        <w:numId w:val="2"/>
      </w:numPr>
      <w:spacing w:before="240" w:after="64" w:line="320" w:lineRule="auto"/>
      <w:outlineLvl w:val="7"/>
    </w:pPr>
    <w:rPr>
      <w:rFonts w:ascii="Arial" w:hAnsi="Arial" w:eastAsia="黑体"/>
      <w:sz w:val="24"/>
      <w:szCs w:val="24"/>
      <w:lang w:val="en-US" w:eastAsia="en-US"/>
    </w:rPr>
  </w:style>
  <w:style w:type="paragraph" w:customStyle="1" w:styleId="211">
    <w:name w:val="标题 91"/>
    <w:basedOn w:val="1"/>
    <w:next w:val="1"/>
    <w:link w:val="223"/>
    <w:autoRedefine/>
    <w:qFormat/>
    <w:uiPriority w:val="0"/>
    <w:pPr>
      <w:keepNext/>
      <w:keepLines/>
      <w:numPr>
        <w:ilvl w:val="8"/>
        <w:numId w:val="2"/>
      </w:numPr>
      <w:spacing w:before="240" w:after="64" w:line="320" w:lineRule="auto"/>
      <w:outlineLvl w:val="8"/>
    </w:pPr>
    <w:rPr>
      <w:rFonts w:ascii="Arial" w:hAnsi="Arial" w:eastAsia="黑体"/>
      <w:sz w:val="20"/>
      <w:lang w:val="en-US" w:eastAsia="en-US"/>
    </w:rPr>
  </w:style>
  <w:style w:type="character" w:customStyle="1" w:styleId="212">
    <w:name w:val="默认段落字体1"/>
    <w:link w:val="1"/>
    <w:autoRedefine/>
    <w:unhideWhenUsed/>
    <w:qFormat/>
    <w:uiPriority w:val="1"/>
  </w:style>
  <w:style w:type="table" w:customStyle="1" w:styleId="213">
    <w:name w:val="普通表格1"/>
    <w:autoRedefine/>
    <w:unhideWhenUsed/>
    <w:qFormat/>
    <w:uiPriority w:val="99"/>
  </w:style>
  <w:style w:type="character" w:customStyle="1" w:styleId="214">
    <w:name w:val="标题 1 Char"/>
    <w:link w:val="202"/>
    <w:autoRedefine/>
    <w:qFormat/>
    <w:uiPriority w:val="0"/>
    <w:rPr>
      <w:rFonts w:ascii="楷体_GB2312" w:hAnsi="Times New Roman" w:eastAsia="楷体_GB2312" w:cs="Times New Roman"/>
      <w:sz w:val="28"/>
      <w:szCs w:val="28"/>
    </w:rPr>
  </w:style>
  <w:style w:type="character" w:customStyle="1" w:styleId="215">
    <w:name w:val="标题 2 Char"/>
    <w:link w:val="203"/>
    <w:autoRedefine/>
    <w:qFormat/>
    <w:uiPriority w:val="0"/>
    <w:rPr>
      <w:rFonts w:ascii="Arial" w:hAnsi="Arial" w:eastAsia="幼圆" w:cs="Arial"/>
      <w:b/>
      <w:bCs/>
      <w:sz w:val="44"/>
      <w:szCs w:val="44"/>
    </w:rPr>
  </w:style>
  <w:style w:type="character" w:customStyle="1" w:styleId="216">
    <w:name w:val="正文缩进 Char"/>
    <w:link w:val="204"/>
    <w:autoRedefine/>
    <w:qFormat/>
    <w:uiPriority w:val="0"/>
    <w:rPr>
      <w:rFonts w:ascii="Times New Roman" w:hAnsi="Times New Roman" w:eastAsia="宋体" w:cs="Times New Roman"/>
      <w:szCs w:val="21"/>
    </w:rPr>
  </w:style>
  <w:style w:type="character" w:customStyle="1" w:styleId="217">
    <w:name w:val="标题 3 Char"/>
    <w:link w:val="205"/>
    <w:autoRedefine/>
    <w:qFormat/>
    <w:uiPriority w:val="0"/>
    <w:rPr>
      <w:rFonts w:ascii="Times New Roman" w:hAnsi="Times New Roman" w:eastAsia="宋体" w:cs="Times New Roman"/>
      <w:b/>
      <w:bCs/>
      <w:sz w:val="32"/>
      <w:szCs w:val="32"/>
    </w:rPr>
  </w:style>
  <w:style w:type="character" w:customStyle="1" w:styleId="218">
    <w:name w:val="标题 4 Char"/>
    <w:link w:val="206"/>
    <w:autoRedefine/>
    <w:qFormat/>
    <w:uiPriority w:val="0"/>
    <w:rPr>
      <w:rFonts w:ascii="Arial" w:hAnsi="Arial" w:eastAsia="黑体" w:cs="Arial"/>
      <w:b/>
      <w:bCs/>
      <w:sz w:val="28"/>
      <w:szCs w:val="28"/>
    </w:rPr>
  </w:style>
  <w:style w:type="character" w:customStyle="1" w:styleId="219">
    <w:name w:val="标题 5 Char"/>
    <w:link w:val="207"/>
    <w:autoRedefine/>
    <w:qFormat/>
    <w:uiPriority w:val="0"/>
    <w:rPr>
      <w:rFonts w:ascii="宋体" w:hAnsi="Times New Roman" w:eastAsia="宋体" w:cs="Times New Roman"/>
      <w:color w:val="000000"/>
      <w:sz w:val="28"/>
      <w:szCs w:val="28"/>
    </w:rPr>
  </w:style>
  <w:style w:type="character" w:customStyle="1" w:styleId="220">
    <w:name w:val="标题 6 Char"/>
    <w:link w:val="208"/>
    <w:autoRedefine/>
    <w:qFormat/>
    <w:uiPriority w:val="0"/>
    <w:rPr>
      <w:rFonts w:ascii="Arial" w:hAnsi="Arial" w:eastAsia="黑体" w:cs="Times New Roman"/>
      <w:b/>
      <w:bCs/>
      <w:sz w:val="24"/>
      <w:szCs w:val="24"/>
    </w:rPr>
  </w:style>
  <w:style w:type="character" w:customStyle="1" w:styleId="221">
    <w:name w:val="标题 7 Char"/>
    <w:link w:val="209"/>
    <w:autoRedefine/>
    <w:qFormat/>
    <w:uiPriority w:val="0"/>
    <w:rPr>
      <w:rFonts w:ascii="Times New Roman" w:hAnsi="Times New Roman" w:eastAsia="宋体" w:cs="Times New Roman"/>
      <w:b/>
      <w:bCs/>
      <w:sz w:val="24"/>
      <w:szCs w:val="24"/>
    </w:rPr>
  </w:style>
  <w:style w:type="character" w:customStyle="1" w:styleId="222">
    <w:name w:val="标题 8 Char"/>
    <w:link w:val="210"/>
    <w:autoRedefine/>
    <w:qFormat/>
    <w:uiPriority w:val="0"/>
    <w:rPr>
      <w:rFonts w:ascii="Arial" w:hAnsi="Arial" w:eastAsia="黑体" w:cs="Times New Roman"/>
      <w:sz w:val="24"/>
      <w:szCs w:val="24"/>
    </w:rPr>
  </w:style>
  <w:style w:type="character" w:customStyle="1" w:styleId="223">
    <w:name w:val="标题 9 Char"/>
    <w:link w:val="211"/>
    <w:autoRedefine/>
    <w:qFormat/>
    <w:uiPriority w:val="0"/>
    <w:rPr>
      <w:rFonts w:ascii="Arial" w:hAnsi="Arial" w:eastAsia="黑体" w:cs="Times New Roman"/>
      <w:szCs w:val="21"/>
    </w:rPr>
  </w:style>
  <w:style w:type="paragraph" w:customStyle="1" w:styleId="224">
    <w:name w:val="列表 31"/>
    <w:basedOn w:val="1"/>
    <w:autoRedefine/>
    <w:qFormat/>
    <w:uiPriority w:val="0"/>
    <w:pPr>
      <w:ind w:left="100" w:hanging="200"/>
    </w:pPr>
  </w:style>
  <w:style w:type="paragraph" w:customStyle="1" w:styleId="225">
    <w:name w:val="目录 71"/>
    <w:basedOn w:val="1"/>
    <w:next w:val="1"/>
    <w:autoRedefine/>
    <w:semiHidden/>
    <w:qFormat/>
    <w:uiPriority w:val="0"/>
    <w:pPr>
      <w:ind w:left="1260"/>
      <w:jc w:val="left"/>
    </w:pPr>
  </w:style>
  <w:style w:type="paragraph" w:customStyle="1" w:styleId="226">
    <w:name w:val="文档结构图1"/>
    <w:basedOn w:val="1"/>
    <w:link w:val="227"/>
    <w:autoRedefine/>
    <w:semiHidden/>
    <w:qFormat/>
    <w:uiPriority w:val="0"/>
    <w:pPr>
      <w:shd w:val="clear" w:color="auto" w:fill="000080"/>
    </w:pPr>
    <w:rPr>
      <w:sz w:val="20"/>
      <w:lang w:val="en-US" w:eastAsia="en-US"/>
    </w:rPr>
  </w:style>
  <w:style w:type="character" w:customStyle="1" w:styleId="227">
    <w:name w:val="文档结构图 Char"/>
    <w:link w:val="226"/>
    <w:autoRedefine/>
    <w:semiHidden/>
    <w:qFormat/>
    <w:uiPriority w:val="0"/>
    <w:rPr>
      <w:rFonts w:ascii="Times New Roman" w:hAnsi="Times New Roman" w:eastAsia="宋体" w:cs="Times New Roman"/>
      <w:szCs w:val="21"/>
      <w:shd w:val="clear" w:color="auto" w:fill="000080"/>
    </w:rPr>
  </w:style>
  <w:style w:type="paragraph" w:customStyle="1" w:styleId="228">
    <w:name w:val="批注文字1"/>
    <w:basedOn w:val="1"/>
    <w:link w:val="229"/>
    <w:autoRedefine/>
    <w:semiHidden/>
    <w:qFormat/>
    <w:uiPriority w:val="0"/>
    <w:pPr>
      <w:jc w:val="left"/>
    </w:pPr>
    <w:rPr>
      <w:sz w:val="20"/>
      <w:lang w:val="en-US" w:eastAsia="en-US"/>
    </w:rPr>
  </w:style>
  <w:style w:type="character" w:customStyle="1" w:styleId="229">
    <w:name w:val="批注文字 Char"/>
    <w:link w:val="228"/>
    <w:autoRedefine/>
    <w:semiHidden/>
    <w:qFormat/>
    <w:uiPriority w:val="0"/>
    <w:rPr>
      <w:rFonts w:ascii="Times New Roman" w:hAnsi="Times New Roman" w:eastAsia="宋体" w:cs="Times New Roman"/>
      <w:szCs w:val="21"/>
    </w:rPr>
  </w:style>
  <w:style w:type="paragraph" w:customStyle="1" w:styleId="230">
    <w:name w:val="正文文本 31"/>
    <w:basedOn w:val="1"/>
    <w:link w:val="231"/>
    <w:autoRedefine/>
    <w:qFormat/>
    <w:uiPriority w:val="0"/>
    <w:rPr>
      <w:rFonts w:ascii="仿宋_GB2312" w:hAnsi="Arial" w:eastAsia="仿宋_GB2312"/>
      <w:sz w:val="32"/>
      <w:szCs w:val="32"/>
      <w:lang w:val="en-US" w:eastAsia="en-US"/>
    </w:rPr>
  </w:style>
  <w:style w:type="character" w:customStyle="1" w:styleId="231">
    <w:name w:val="正文文本 3 Char"/>
    <w:link w:val="230"/>
    <w:autoRedefine/>
    <w:qFormat/>
    <w:uiPriority w:val="0"/>
    <w:rPr>
      <w:rFonts w:ascii="仿宋_GB2312" w:hAnsi="Arial" w:eastAsia="仿宋_GB2312" w:cs="Times New Roman"/>
      <w:sz w:val="32"/>
      <w:szCs w:val="32"/>
    </w:rPr>
  </w:style>
  <w:style w:type="paragraph" w:customStyle="1" w:styleId="232">
    <w:name w:val="正文文本1"/>
    <w:basedOn w:val="1"/>
    <w:link w:val="233"/>
    <w:autoRedefine/>
    <w:qFormat/>
    <w:uiPriority w:val="0"/>
    <w:rPr>
      <w:rFonts w:ascii="楷体_GB2312" w:hAnsi="Arial" w:eastAsia="楷体_GB2312"/>
      <w:sz w:val="28"/>
      <w:szCs w:val="28"/>
      <w:lang w:val="en-US" w:eastAsia="en-US"/>
    </w:rPr>
  </w:style>
  <w:style w:type="character" w:customStyle="1" w:styleId="233">
    <w:name w:val="正文文本 Char"/>
    <w:link w:val="232"/>
    <w:autoRedefine/>
    <w:qFormat/>
    <w:uiPriority w:val="0"/>
    <w:rPr>
      <w:rFonts w:ascii="楷体_GB2312" w:hAnsi="Arial" w:eastAsia="楷体_GB2312" w:cs="Times New Roman"/>
      <w:sz w:val="28"/>
      <w:szCs w:val="28"/>
    </w:rPr>
  </w:style>
  <w:style w:type="paragraph" w:customStyle="1" w:styleId="234">
    <w:name w:val="正文文本缩进1"/>
    <w:basedOn w:val="1"/>
    <w:link w:val="235"/>
    <w:autoRedefine/>
    <w:qFormat/>
    <w:uiPriority w:val="0"/>
    <w:pPr>
      <w:ind w:firstLine="645"/>
    </w:pPr>
    <w:rPr>
      <w:rFonts w:ascii="楷体_GB2312" w:eastAsia="楷体_GB2312"/>
      <w:sz w:val="32"/>
      <w:szCs w:val="32"/>
      <w:lang w:val="en-US" w:eastAsia="en-US"/>
    </w:rPr>
  </w:style>
  <w:style w:type="character" w:customStyle="1" w:styleId="235">
    <w:name w:val="正文文本缩进 Char"/>
    <w:link w:val="234"/>
    <w:autoRedefine/>
    <w:qFormat/>
    <w:uiPriority w:val="0"/>
    <w:rPr>
      <w:rFonts w:ascii="楷体_GB2312" w:hAnsi="Times New Roman" w:eastAsia="楷体_GB2312" w:cs="Times New Roman"/>
      <w:sz w:val="32"/>
      <w:szCs w:val="32"/>
    </w:rPr>
  </w:style>
  <w:style w:type="paragraph" w:customStyle="1" w:styleId="236">
    <w:name w:val="列表 21"/>
    <w:basedOn w:val="1"/>
    <w:autoRedefine/>
    <w:qFormat/>
    <w:uiPriority w:val="0"/>
    <w:pPr>
      <w:ind w:left="100" w:hanging="200"/>
    </w:pPr>
  </w:style>
  <w:style w:type="paragraph" w:customStyle="1" w:styleId="237">
    <w:name w:val="目录 51"/>
    <w:basedOn w:val="1"/>
    <w:next w:val="1"/>
    <w:autoRedefine/>
    <w:semiHidden/>
    <w:qFormat/>
    <w:uiPriority w:val="0"/>
    <w:pPr>
      <w:ind w:left="840"/>
      <w:jc w:val="left"/>
    </w:pPr>
  </w:style>
  <w:style w:type="paragraph" w:customStyle="1" w:styleId="238">
    <w:name w:val="目录 31"/>
    <w:basedOn w:val="1"/>
    <w:next w:val="1"/>
    <w:autoRedefine/>
    <w:semiHidden/>
    <w:qFormat/>
    <w:uiPriority w:val="0"/>
    <w:pPr>
      <w:ind w:left="420"/>
      <w:jc w:val="left"/>
    </w:pPr>
    <w:rPr>
      <w:i/>
      <w:iCs/>
      <w:szCs w:val="24"/>
    </w:rPr>
  </w:style>
  <w:style w:type="paragraph" w:customStyle="1" w:styleId="239">
    <w:name w:val="纯文本1"/>
    <w:basedOn w:val="1"/>
    <w:link w:val="240"/>
    <w:autoRedefine/>
    <w:qFormat/>
    <w:uiPriority w:val="0"/>
    <w:rPr>
      <w:rFonts w:ascii="宋体" w:hAnsi="Courier New"/>
      <w:sz w:val="20"/>
      <w:lang w:val="en-US" w:eastAsia="en-US"/>
    </w:rPr>
  </w:style>
  <w:style w:type="character" w:customStyle="1" w:styleId="240">
    <w:name w:val="纯文本 Char"/>
    <w:link w:val="239"/>
    <w:autoRedefine/>
    <w:qFormat/>
    <w:uiPriority w:val="0"/>
    <w:rPr>
      <w:rFonts w:ascii="宋体" w:hAnsi="Courier New" w:eastAsia="宋体" w:cs="Courier New"/>
      <w:szCs w:val="21"/>
    </w:rPr>
  </w:style>
  <w:style w:type="paragraph" w:customStyle="1" w:styleId="241">
    <w:name w:val="目录 81"/>
    <w:basedOn w:val="1"/>
    <w:next w:val="1"/>
    <w:autoRedefine/>
    <w:semiHidden/>
    <w:qFormat/>
    <w:uiPriority w:val="0"/>
    <w:pPr>
      <w:ind w:left="1470"/>
      <w:jc w:val="left"/>
    </w:pPr>
  </w:style>
  <w:style w:type="paragraph" w:customStyle="1" w:styleId="242">
    <w:name w:val="日期1"/>
    <w:basedOn w:val="1"/>
    <w:next w:val="1"/>
    <w:link w:val="243"/>
    <w:autoRedefine/>
    <w:qFormat/>
    <w:uiPriority w:val="0"/>
    <w:rPr>
      <w:sz w:val="24"/>
      <w:szCs w:val="24"/>
      <w:lang w:val="en-US" w:eastAsia="en-US"/>
    </w:rPr>
  </w:style>
  <w:style w:type="character" w:customStyle="1" w:styleId="243">
    <w:name w:val="日期 Char"/>
    <w:link w:val="242"/>
    <w:autoRedefine/>
    <w:qFormat/>
    <w:uiPriority w:val="0"/>
    <w:rPr>
      <w:rFonts w:ascii="Times New Roman" w:hAnsi="Times New Roman" w:eastAsia="宋体" w:cs="Times New Roman"/>
      <w:sz w:val="24"/>
      <w:szCs w:val="24"/>
    </w:rPr>
  </w:style>
  <w:style w:type="paragraph" w:customStyle="1" w:styleId="244">
    <w:name w:val="正文文本缩进 21"/>
    <w:basedOn w:val="1"/>
    <w:link w:val="245"/>
    <w:autoRedefine/>
    <w:qFormat/>
    <w:uiPriority w:val="0"/>
    <w:pPr>
      <w:ind w:left="630" w:firstLine="645"/>
    </w:pPr>
    <w:rPr>
      <w:rFonts w:ascii="Arial" w:hAnsi="Arial" w:eastAsia="仿宋_GB2312"/>
      <w:sz w:val="32"/>
      <w:szCs w:val="32"/>
      <w:lang w:val="en-US" w:eastAsia="en-US"/>
    </w:rPr>
  </w:style>
  <w:style w:type="character" w:customStyle="1" w:styleId="245">
    <w:name w:val="正文文本缩进 2 Char"/>
    <w:link w:val="244"/>
    <w:autoRedefine/>
    <w:qFormat/>
    <w:uiPriority w:val="0"/>
    <w:rPr>
      <w:rFonts w:ascii="Arial" w:hAnsi="Arial" w:eastAsia="仿宋_GB2312" w:cs="Arial"/>
      <w:sz w:val="32"/>
      <w:szCs w:val="32"/>
    </w:rPr>
  </w:style>
  <w:style w:type="paragraph" w:customStyle="1" w:styleId="246">
    <w:name w:val="批注框文本1"/>
    <w:basedOn w:val="1"/>
    <w:link w:val="247"/>
    <w:autoRedefine/>
    <w:semiHidden/>
    <w:qFormat/>
    <w:uiPriority w:val="0"/>
    <w:rPr>
      <w:sz w:val="18"/>
      <w:szCs w:val="18"/>
      <w:lang w:val="en-US" w:eastAsia="en-US"/>
    </w:rPr>
  </w:style>
  <w:style w:type="character" w:customStyle="1" w:styleId="247">
    <w:name w:val="批注框文本 Char"/>
    <w:link w:val="246"/>
    <w:autoRedefine/>
    <w:semiHidden/>
    <w:qFormat/>
    <w:uiPriority w:val="0"/>
    <w:rPr>
      <w:rFonts w:ascii="Times New Roman" w:hAnsi="Times New Roman" w:eastAsia="宋体" w:cs="Times New Roman"/>
      <w:sz w:val="18"/>
      <w:szCs w:val="18"/>
    </w:rPr>
  </w:style>
  <w:style w:type="paragraph" w:customStyle="1" w:styleId="248">
    <w:name w:val="页脚1"/>
    <w:basedOn w:val="1"/>
    <w:link w:val="249"/>
    <w:autoRedefine/>
    <w:qFormat/>
    <w:uiPriority w:val="0"/>
    <w:pPr>
      <w:tabs>
        <w:tab w:val="center" w:pos="4153"/>
        <w:tab w:val="right" w:pos="8306"/>
      </w:tabs>
      <w:jc w:val="left"/>
    </w:pPr>
    <w:rPr>
      <w:sz w:val="18"/>
      <w:szCs w:val="18"/>
      <w:lang w:val="en-US" w:eastAsia="en-US"/>
    </w:rPr>
  </w:style>
  <w:style w:type="character" w:customStyle="1" w:styleId="249">
    <w:name w:val="页脚 Char"/>
    <w:link w:val="248"/>
    <w:autoRedefine/>
    <w:qFormat/>
    <w:uiPriority w:val="0"/>
    <w:rPr>
      <w:rFonts w:ascii="Times New Roman" w:hAnsi="Times New Roman" w:eastAsia="宋体" w:cs="Times New Roman"/>
      <w:sz w:val="18"/>
      <w:szCs w:val="18"/>
    </w:rPr>
  </w:style>
  <w:style w:type="paragraph" w:customStyle="1" w:styleId="250">
    <w:name w:val="页眉1"/>
    <w:basedOn w:val="1"/>
    <w:link w:val="251"/>
    <w:autoRedefine/>
    <w:qFormat/>
    <w:uiPriority w:val="0"/>
    <w:pPr>
      <w:pBdr>
        <w:bottom w:val="single" w:color="000000" w:sz="6" w:space="1"/>
      </w:pBdr>
      <w:tabs>
        <w:tab w:val="center" w:pos="4153"/>
        <w:tab w:val="right" w:pos="8306"/>
      </w:tabs>
      <w:jc w:val="center"/>
    </w:pPr>
    <w:rPr>
      <w:sz w:val="18"/>
      <w:szCs w:val="18"/>
      <w:lang w:val="en-US" w:eastAsia="en-US"/>
    </w:rPr>
  </w:style>
  <w:style w:type="character" w:customStyle="1" w:styleId="251">
    <w:name w:val="页眉 Char"/>
    <w:link w:val="250"/>
    <w:autoRedefine/>
    <w:qFormat/>
    <w:uiPriority w:val="0"/>
    <w:rPr>
      <w:rFonts w:ascii="Times New Roman" w:hAnsi="Times New Roman" w:eastAsia="宋体" w:cs="Times New Roman"/>
      <w:sz w:val="18"/>
      <w:szCs w:val="18"/>
    </w:rPr>
  </w:style>
  <w:style w:type="paragraph" w:customStyle="1" w:styleId="252">
    <w:name w:val="目录 11"/>
    <w:basedOn w:val="1"/>
    <w:next w:val="1"/>
    <w:autoRedefine/>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53">
    <w:name w:val="目录 41"/>
    <w:basedOn w:val="1"/>
    <w:next w:val="1"/>
    <w:autoRedefine/>
    <w:semiHidden/>
    <w:qFormat/>
    <w:uiPriority w:val="0"/>
    <w:pPr>
      <w:ind w:left="630"/>
      <w:jc w:val="left"/>
    </w:pPr>
  </w:style>
  <w:style w:type="paragraph" w:customStyle="1" w:styleId="254">
    <w:name w:val="列表1"/>
    <w:basedOn w:val="1"/>
    <w:autoRedefine/>
    <w:qFormat/>
    <w:uiPriority w:val="0"/>
    <w:pPr>
      <w:ind w:left="200" w:hanging="200"/>
    </w:pPr>
  </w:style>
  <w:style w:type="paragraph" w:customStyle="1" w:styleId="255">
    <w:name w:val="目录 61"/>
    <w:basedOn w:val="1"/>
    <w:next w:val="1"/>
    <w:autoRedefine/>
    <w:semiHidden/>
    <w:qFormat/>
    <w:uiPriority w:val="0"/>
    <w:pPr>
      <w:ind w:left="1050"/>
      <w:jc w:val="left"/>
    </w:pPr>
  </w:style>
  <w:style w:type="paragraph" w:customStyle="1" w:styleId="256">
    <w:name w:val="正文文本缩进 31"/>
    <w:basedOn w:val="1"/>
    <w:link w:val="257"/>
    <w:autoRedefine/>
    <w:qFormat/>
    <w:uiPriority w:val="0"/>
    <w:pPr>
      <w:ind w:left="645" w:firstLine="645"/>
    </w:pPr>
    <w:rPr>
      <w:rFonts w:ascii="Arial" w:hAnsi="Arial" w:eastAsia="仿宋_GB2312"/>
      <w:color w:val="FFFF00"/>
      <w:sz w:val="32"/>
      <w:szCs w:val="32"/>
      <w:lang w:val="en-US" w:eastAsia="en-US"/>
    </w:rPr>
  </w:style>
  <w:style w:type="character" w:customStyle="1" w:styleId="257">
    <w:name w:val="正文文本缩进 3 Char"/>
    <w:link w:val="256"/>
    <w:autoRedefine/>
    <w:qFormat/>
    <w:uiPriority w:val="0"/>
    <w:rPr>
      <w:rFonts w:ascii="Arial" w:hAnsi="Arial" w:eastAsia="仿宋_GB2312" w:cs="Arial"/>
      <w:color w:val="FFFF00"/>
      <w:sz w:val="32"/>
      <w:szCs w:val="32"/>
    </w:rPr>
  </w:style>
  <w:style w:type="paragraph" w:customStyle="1" w:styleId="258">
    <w:name w:val="图表目录1"/>
    <w:basedOn w:val="1"/>
    <w:next w:val="1"/>
    <w:autoRedefine/>
    <w:semiHidden/>
    <w:qFormat/>
    <w:uiPriority w:val="0"/>
    <w:pPr>
      <w:ind w:left="840" w:hanging="420"/>
    </w:pPr>
  </w:style>
  <w:style w:type="paragraph" w:customStyle="1" w:styleId="259">
    <w:name w:val="目录 21"/>
    <w:basedOn w:val="1"/>
    <w:next w:val="1"/>
    <w:autoRedefine/>
    <w:semiHidden/>
    <w:qFormat/>
    <w:uiPriority w:val="0"/>
    <w:pPr>
      <w:ind w:left="210"/>
      <w:jc w:val="left"/>
    </w:pPr>
    <w:rPr>
      <w:smallCaps/>
      <w:szCs w:val="24"/>
    </w:rPr>
  </w:style>
  <w:style w:type="paragraph" w:customStyle="1" w:styleId="260">
    <w:name w:val="目录 91"/>
    <w:basedOn w:val="1"/>
    <w:next w:val="1"/>
    <w:autoRedefine/>
    <w:semiHidden/>
    <w:qFormat/>
    <w:uiPriority w:val="0"/>
    <w:pPr>
      <w:ind w:left="1680"/>
      <w:jc w:val="left"/>
    </w:pPr>
  </w:style>
  <w:style w:type="paragraph" w:customStyle="1" w:styleId="261">
    <w:name w:val="正文文本 21"/>
    <w:basedOn w:val="1"/>
    <w:link w:val="262"/>
    <w:autoRedefine/>
    <w:qFormat/>
    <w:uiPriority w:val="0"/>
    <w:pPr>
      <w:widowControl/>
      <w:jc w:val="center"/>
    </w:pPr>
    <w:rPr>
      <w:rFonts w:ascii="楷体_GB2312" w:eastAsia="楷体_GB2312"/>
      <w:sz w:val="28"/>
      <w:szCs w:val="28"/>
      <w:lang w:val="en-US" w:eastAsia="en-US"/>
    </w:rPr>
  </w:style>
  <w:style w:type="character" w:customStyle="1" w:styleId="262">
    <w:name w:val="正文文本 2 Char"/>
    <w:link w:val="261"/>
    <w:autoRedefine/>
    <w:qFormat/>
    <w:uiPriority w:val="0"/>
    <w:rPr>
      <w:rFonts w:ascii="楷体_GB2312" w:hAnsi="Times New Roman" w:eastAsia="楷体_GB2312" w:cs="Times New Roman"/>
      <w:sz w:val="28"/>
      <w:szCs w:val="28"/>
    </w:rPr>
  </w:style>
  <w:style w:type="paragraph" w:customStyle="1" w:styleId="263">
    <w:name w:val="普通(网站)1"/>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264">
    <w:name w:val="索引 11"/>
    <w:basedOn w:val="1"/>
    <w:next w:val="1"/>
    <w:autoRedefine/>
    <w:semiHidden/>
    <w:qFormat/>
    <w:uiPriority w:val="0"/>
    <w:pPr>
      <w:spacing w:line="240" w:lineRule="atLeast"/>
    </w:pPr>
    <w:rPr>
      <w:b/>
      <w:bCs/>
    </w:rPr>
  </w:style>
  <w:style w:type="paragraph" w:customStyle="1" w:styleId="265">
    <w:name w:val="批注主题1"/>
    <w:basedOn w:val="228"/>
    <w:next w:val="228"/>
    <w:link w:val="266"/>
    <w:autoRedefine/>
    <w:semiHidden/>
    <w:qFormat/>
    <w:uiPriority w:val="0"/>
    <w:rPr>
      <w:b/>
      <w:bCs/>
    </w:rPr>
  </w:style>
  <w:style w:type="character" w:customStyle="1" w:styleId="266">
    <w:name w:val="批注主题 Char"/>
    <w:link w:val="265"/>
    <w:autoRedefine/>
    <w:semiHidden/>
    <w:qFormat/>
    <w:uiPriority w:val="0"/>
    <w:rPr>
      <w:rFonts w:ascii="Times New Roman" w:hAnsi="Times New Roman" w:eastAsia="宋体" w:cs="Times New Roman"/>
      <w:b/>
      <w:bCs/>
      <w:szCs w:val="21"/>
    </w:rPr>
  </w:style>
  <w:style w:type="paragraph" w:customStyle="1" w:styleId="267">
    <w:name w:val="正文首行缩进1"/>
    <w:basedOn w:val="1"/>
    <w:link w:val="268"/>
    <w:autoRedefine/>
    <w:qFormat/>
    <w:uiPriority w:val="0"/>
    <w:pPr>
      <w:spacing w:line="360" w:lineRule="auto"/>
      <w:ind w:firstLine="200"/>
    </w:pPr>
    <w:rPr>
      <w:rFonts w:ascii="仿宋_GB2312" w:eastAsia="仿宋_GB2312"/>
      <w:sz w:val="30"/>
      <w:szCs w:val="30"/>
      <w:lang w:val="en-US" w:eastAsia="en-US"/>
    </w:rPr>
  </w:style>
  <w:style w:type="character" w:customStyle="1" w:styleId="268">
    <w:name w:val="正文首行缩进 Char"/>
    <w:link w:val="267"/>
    <w:autoRedefine/>
    <w:qFormat/>
    <w:uiPriority w:val="0"/>
    <w:rPr>
      <w:rFonts w:ascii="仿宋_GB2312" w:hAnsi="Times New Roman" w:eastAsia="仿宋_GB2312" w:cs="Times New Roman"/>
      <w:sz w:val="30"/>
      <w:szCs w:val="30"/>
    </w:rPr>
  </w:style>
  <w:style w:type="paragraph" w:customStyle="1" w:styleId="269">
    <w:name w:val="正文首行缩进 21"/>
    <w:basedOn w:val="234"/>
    <w:link w:val="270"/>
    <w:autoRedefine/>
    <w:qFormat/>
    <w:uiPriority w:val="0"/>
    <w:pPr>
      <w:spacing w:line="360" w:lineRule="auto"/>
      <w:ind w:firstLine="420"/>
    </w:pPr>
    <w:rPr>
      <w:rFonts w:ascii="宋体" w:hAnsi="宋体" w:eastAsia="宋体"/>
      <w:szCs w:val="20"/>
    </w:rPr>
  </w:style>
  <w:style w:type="character" w:customStyle="1" w:styleId="270">
    <w:name w:val="正文首行缩进 2 Char"/>
    <w:link w:val="269"/>
    <w:autoRedefine/>
    <w:qFormat/>
    <w:uiPriority w:val="0"/>
    <w:rPr>
      <w:rFonts w:ascii="宋体" w:hAnsi="宋体" w:eastAsia="宋体" w:cs="Times New Roman"/>
      <w:sz w:val="32"/>
      <w:szCs w:val="20"/>
    </w:rPr>
  </w:style>
  <w:style w:type="table" w:customStyle="1" w:styleId="271">
    <w:name w:val="网格型1"/>
    <w:basedOn w:val="213"/>
    <w:autoRedefine/>
    <w:qFormat/>
    <w:uiPriority w:val="0"/>
    <w:pPr>
      <w:widowControl w:val="0"/>
      <w:jc w:val="both"/>
    </w:pPr>
    <w:rPr>
      <w:rFonts w:ascii="Times New Roman" w:hAnsi="Times New Roman" w:eastAsia="宋体" w:cs="Times New Roman"/>
      <w:sz w:val="20"/>
      <w:szCs w:val="20"/>
    </w:rPr>
  </w:style>
  <w:style w:type="character" w:customStyle="1" w:styleId="272">
    <w:name w:val="要点1"/>
    <w:link w:val="1"/>
    <w:autoRedefine/>
    <w:qFormat/>
    <w:uiPriority w:val="0"/>
    <w:rPr>
      <w:b/>
      <w:bCs/>
    </w:rPr>
  </w:style>
  <w:style w:type="character" w:customStyle="1" w:styleId="273">
    <w:name w:val="页码1"/>
    <w:link w:val="1"/>
    <w:autoRedefine/>
    <w:qFormat/>
    <w:uiPriority w:val="0"/>
  </w:style>
  <w:style w:type="character" w:customStyle="1" w:styleId="274">
    <w:name w:val="访问过的超链接"/>
    <w:link w:val="1"/>
    <w:autoRedefine/>
    <w:qFormat/>
    <w:uiPriority w:val="0"/>
    <w:rPr>
      <w:color w:val="800080"/>
      <w:u w:val="single"/>
    </w:rPr>
  </w:style>
  <w:style w:type="character" w:customStyle="1" w:styleId="275">
    <w:name w:val="超链接1"/>
    <w:link w:val="1"/>
    <w:autoRedefine/>
    <w:qFormat/>
    <w:uiPriority w:val="0"/>
    <w:rPr>
      <w:color w:val="0000FF"/>
      <w:u w:val="single"/>
    </w:rPr>
  </w:style>
  <w:style w:type="character" w:customStyle="1" w:styleId="276">
    <w:name w:val="批注引用1"/>
    <w:link w:val="1"/>
    <w:autoRedefine/>
    <w:semiHidden/>
    <w:qFormat/>
    <w:uiPriority w:val="0"/>
    <w:rPr>
      <w:sz w:val="21"/>
      <w:szCs w:val="21"/>
    </w:rPr>
  </w:style>
  <w:style w:type="character" w:customStyle="1" w:styleId="277">
    <w:name w:val="font5 Char"/>
    <w:link w:val="1"/>
    <w:autoRedefine/>
    <w:qFormat/>
    <w:uiPriority w:val="0"/>
    <w:rPr>
      <w:rFonts w:ascii="宋体" w:hAnsi="宋体" w:eastAsia="宋体"/>
      <w:sz w:val="28"/>
      <w:szCs w:val="28"/>
      <w:lang w:val="en-US" w:eastAsia="zh-CN" w:bidi="ar-SA"/>
    </w:rPr>
  </w:style>
  <w:style w:type="character" w:customStyle="1" w:styleId="278">
    <w:name w:val="二级目录 Char"/>
    <w:link w:val="279"/>
    <w:autoRedefine/>
    <w:qFormat/>
    <w:uiPriority w:val="0"/>
    <w:rPr>
      <w:b/>
      <w:sz w:val="30"/>
      <w:szCs w:val="28"/>
      <w:lang w:val="en-US" w:eastAsia="zh-CN" w:bidi="ar-SA"/>
    </w:rPr>
  </w:style>
  <w:style w:type="paragraph" w:customStyle="1" w:styleId="279">
    <w:name w:val="二级目录"/>
    <w:next w:val="1"/>
    <w:link w:val="278"/>
    <w:autoRedefine/>
    <w:qFormat/>
    <w:uiPriority w:val="0"/>
    <w:pPr>
      <w:numPr>
        <w:ilvl w:val="0"/>
        <w:numId w:val="3"/>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80">
    <w:name w:val="列出段落 Char"/>
    <w:link w:val="281"/>
    <w:autoRedefine/>
    <w:qFormat/>
    <w:uiPriority w:val="0"/>
    <w:rPr>
      <w:rFonts w:ascii="Calibri" w:hAnsi="Calibri"/>
      <w:sz w:val="24"/>
      <w:szCs w:val="24"/>
      <w:lang w:eastAsia="en-US" w:bidi="en-US"/>
    </w:rPr>
  </w:style>
  <w:style w:type="paragraph" w:customStyle="1" w:styleId="281">
    <w:name w:val="列出段落1"/>
    <w:basedOn w:val="1"/>
    <w:link w:val="280"/>
    <w:autoRedefine/>
    <w:qFormat/>
    <w:uiPriority w:val="0"/>
    <w:pPr>
      <w:widowControl/>
      <w:ind w:left="720"/>
      <w:contextualSpacing/>
      <w:jc w:val="left"/>
    </w:pPr>
    <w:rPr>
      <w:rFonts w:ascii="Calibri" w:hAnsi="Calibri"/>
      <w:sz w:val="24"/>
      <w:szCs w:val="24"/>
      <w:lang w:val="en-US" w:eastAsia="en-US" w:bidi="en-US"/>
    </w:rPr>
  </w:style>
  <w:style w:type="paragraph" w:customStyle="1" w:styleId="282">
    <w:name w:val="Body Text(ch)"/>
    <w:basedOn w:val="1"/>
    <w:next w:val="232"/>
    <w:autoRedefine/>
    <w:qFormat/>
    <w:uiPriority w:val="0"/>
    <w:pPr>
      <w:spacing w:after="120"/>
    </w:pPr>
    <w:rPr>
      <w:rFonts w:ascii="宋体" w:hAnsi="Arial"/>
      <w:bCs/>
      <w:iCs/>
      <w:szCs w:val="24"/>
    </w:rPr>
  </w:style>
  <w:style w:type="paragraph" w:customStyle="1" w:styleId="283">
    <w:name w:val="xl27"/>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84">
    <w:name w:val="xl26"/>
    <w:basedOn w:val="1"/>
    <w:autoRedefine/>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85">
    <w:name w:val="Char"/>
    <w:basedOn w:val="1"/>
    <w:autoRedefine/>
    <w:qFormat/>
    <w:uiPriority w:val="0"/>
    <w:pPr>
      <w:tabs>
        <w:tab w:val="left" w:pos="360"/>
      </w:tabs>
      <w:ind w:firstLine="200"/>
    </w:pPr>
    <w:rPr>
      <w:sz w:val="28"/>
      <w:szCs w:val="30"/>
    </w:rPr>
  </w:style>
  <w:style w:type="paragraph" w:customStyle="1" w:styleId="286">
    <w:name w:val=" Char"/>
    <w:basedOn w:val="226"/>
    <w:autoRedefine/>
    <w:qFormat/>
    <w:uiPriority w:val="0"/>
    <w:rPr>
      <w:rFonts w:ascii="Tahoma" w:hAnsi="Tahoma"/>
      <w:sz w:val="24"/>
      <w:szCs w:val="24"/>
    </w:rPr>
  </w:style>
  <w:style w:type="paragraph" w:customStyle="1" w:styleId="287">
    <w:name w:val="普通正文"/>
    <w:basedOn w:val="1"/>
    <w:autoRedefine/>
    <w:qFormat/>
    <w:uiPriority w:val="0"/>
    <w:pPr>
      <w:spacing w:before="120" w:after="120" w:line="360" w:lineRule="auto"/>
      <w:ind w:firstLine="480"/>
      <w:jc w:val="left"/>
    </w:pPr>
    <w:rPr>
      <w:rFonts w:ascii="Arial" w:hAnsi="Arial"/>
      <w:sz w:val="24"/>
      <w:szCs w:val="24"/>
    </w:rPr>
  </w:style>
  <w:style w:type="paragraph" w:customStyle="1" w:styleId="288">
    <w:name w:val="table_lines"/>
    <w:basedOn w:val="1"/>
    <w:autoRedefine/>
    <w:qFormat/>
    <w:uiPriority w:val="0"/>
    <w:pPr>
      <w:widowControl/>
      <w:jc w:val="left"/>
    </w:pPr>
    <w:rPr>
      <w:sz w:val="20"/>
      <w:szCs w:val="20"/>
      <w:lang w:val="de-DE" w:eastAsia="de-DE"/>
    </w:rPr>
  </w:style>
  <w:style w:type="paragraph" w:customStyle="1" w:styleId="289">
    <w:name w:val="附录1"/>
    <w:autoRedefine/>
    <w:qFormat/>
    <w:uiPriority w:val="0"/>
    <w:pPr>
      <w:numPr>
        <w:ilvl w:val="0"/>
        <w:numId w:val="3"/>
      </w:numPr>
      <w:spacing w:before="240" w:line="600" w:lineRule="atLeast"/>
    </w:pPr>
    <w:rPr>
      <w:rFonts w:hint="default" w:ascii="Times New Roman" w:hAnsi="Times New Roman" w:eastAsia="宋体" w:cs="Times New Roman"/>
      <w:b/>
      <w:i/>
      <w:sz w:val="28"/>
      <w:lang w:val="en-US" w:eastAsia="zh-CN" w:bidi="ar-SA"/>
    </w:rPr>
  </w:style>
  <w:style w:type="paragraph" w:customStyle="1" w:styleId="290">
    <w:name w:val="font7"/>
    <w:basedOn w:val="1"/>
    <w:autoRedefine/>
    <w:qFormat/>
    <w:uiPriority w:val="0"/>
    <w:pPr>
      <w:widowControl/>
      <w:spacing w:before="100" w:beforeAutospacing="1" w:after="100" w:afterAutospacing="1"/>
      <w:jc w:val="left"/>
    </w:pPr>
    <w:rPr>
      <w:rFonts w:hint="eastAsia" w:ascii="宋体" w:hAnsi="宋体"/>
      <w:sz w:val="18"/>
      <w:szCs w:val="18"/>
    </w:rPr>
  </w:style>
  <w:style w:type="paragraph" w:customStyle="1" w:styleId="291">
    <w:name w:val=" Char Char Char Char"/>
    <w:basedOn w:val="226"/>
    <w:autoRedefine/>
    <w:qFormat/>
    <w:uiPriority w:val="0"/>
    <w:pPr>
      <w:spacing w:line="360" w:lineRule="auto"/>
    </w:pPr>
    <w:rPr>
      <w:rFonts w:ascii="Tahoma" w:hAnsi="Tahoma"/>
      <w:sz w:val="24"/>
      <w:szCs w:val="24"/>
    </w:rPr>
  </w:style>
  <w:style w:type="paragraph" w:customStyle="1" w:styleId="292">
    <w:name w:val="列出段落"/>
    <w:basedOn w:val="1"/>
    <w:autoRedefine/>
    <w:qFormat/>
    <w:uiPriority w:val="0"/>
    <w:pPr>
      <w:widowControl/>
      <w:ind w:left="720"/>
      <w:contextualSpacing/>
      <w:jc w:val="left"/>
    </w:pPr>
    <w:rPr>
      <w:rFonts w:ascii="Calibri" w:hAnsi="Calibri"/>
      <w:sz w:val="24"/>
      <w:szCs w:val="24"/>
      <w:lang w:eastAsia="en-US" w:bidi="en-US"/>
    </w:rPr>
  </w:style>
  <w:style w:type="paragraph" w:customStyle="1" w:styleId="293">
    <w:name w:val="4"/>
    <w:basedOn w:val="1"/>
    <w:next w:val="256"/>
    <w:autoRedefine/>
    <w:qFormat/>
    <w:uiPriority w:val="0"/>
    <w:pPr>
      <w:spacing w:line="360" w:lineRule="auto"/>
      <w:ind w:firstLine="420"/>
    </w:pPr>
    <w:rPr>
      <w:color w:val="FF0000"/>
      <w:sz w:val="24"/>
      <w:szCs w:val="24"/>
    </w:rPr>
  </w:style>
  <w:style w:type="paragraph" w:customStyle="1" w:styleId="294">
    <w:name w:val="普通 (Web)"/>
    <w:basedOn w:val="1"/>
    <w:autoRedefine/>
    <w:qFormat/>
    <w:uiPriority w:val="0"/>
    <w:pPr>
      <w:widowControl/>
      <w:spacing w:before="100" w:beforeAutospacing="1" w:after="100" w:afterAutospacing="1"/>
      <w:jc w:val="left"/>
    </w:pPr>
    <w:rPr>
      <w:rFonts w:ascii="宋体" w:hAnsi="宋体"/>
      <w:sz w:val="24"/>
      <w:szCs w:val="24"/>
    </w:rPr>
  </w:style>
  <w:style w:type="paragraph" w:customStyle="1" w:styleId="295">
    <w:name w:val=" Char Char Char Char Char Char Char Char Char Char"/>
    <w:basedOn w:val="1"/>
    <w:autoRedefine/>
    <w:qFormat/>
    <w:uiPriority w:val="0"/>
    <w:pPr>
      <w:spacing w:line="360" w:lineRule="auto"/>
    </w:pPr>
    <w:rPr>
      <w:sz w:val="24"/>
      <w:szCs w:val="20"/>
    </w:rPr>
  </w:style>
  <w:style w:type="paragraph" w:customStyle="1" w:styleId="296">
    <w:name w:val="font6"/>
    <w:basedOn w:val="1"/>
    <w:autoRedefine/>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97">
    <w:name w:val="xl25"/>
    <w:basedOn w:val="1"/>
    <w:autoRedefine/>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98">
    <w:name w:val="图标"/>
    <w:basedOn w:val="1"/>
    <w:next w:val="1"/>
    <w:autoRedefine/>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9">
    <w:name w:val="标题3"/>
    <w:basedOn w:val="1"/>
    <w:next w:val="1"/>
    <w:autoRedefine/>
    <w:qFormat/>
    <w:uiPriority w:val="0"/>
    <w:pPr>
      <w:spacing w:line="590" w:lineRule="atLeast"/>
      <w:ind w:firstLine="624"/>
    </w:pPr>
    <w:rPr>
      <w:rFonts w:ascii="方正黑体_GBK" w:eastAsia="方正黑体_GBK"/>
      <w:sz w:val="32"/>
      <w:szCs w:val="32"/>
    </w:rPr>
  </w:style>
  <w:style w:type="paragraph" w:customStyle="1" w:styleId="300">
    <w:name w:val="xl24"/>
    <w:basedOn w:val="1"/>
    <w:autoRedefine/>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301">
    <w:name w:val="xl29"/>
    <w:basedOn w:val="1"/>
    <w:autoRedefine/>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2">
    <w:name w:val="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03">
    <w:name w:val="xl28"/>
    <w:basedOn w:val="1"/>
    <w:autoRedefine/>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304">
    <w:name w:val=" Char Char Char Char Char Char Char Char"/>
    <w:basedOn w:val="1"/>
    <w:autoRedefine/>
    <w:qFormat/>
    <w:uiPriority w:val="0"/>
    <w:pPr>
      <w:widowControl/>
      <w:spacing w:after="160" w:line="240" w:lineRule="exact"/>
      <w:jc w:val="left"/>
    </w:pPr>
    <w:rPr>
      <w:rFonts w:ascii="Verdana" w:hAnsi="Verdana"/>
      <w:sz w:val="20"/>
      <w:szCs w:val="20"/>
      <w:lang w:eastAsia="en-US"/>
    </w:rPr>
  </w:style>
  <w:style w:type="paragraph" w:customStyle="1" w:styleId="305">
    <w:name w:val="xl30"/>
    <w:basedOn w:val="1"/>
    <w:autoRedefine/>
    <w:qFormat/>
    <w:uiPriority w:val="0"/>
    <w:pPr>
      <w:widowControl/>
      <w:spacing w:before="100" w:beforeAutospacing="1" w:after="100" w:afterAutospacing="1"/>
      <w:jc w:val="center"/>
    </w:pPr>
    <w:rPr>
      <w:rFonts w:ascii="宋体" w:hAnsi="宋体"/>
      <w:b/>
      <w:bCs/>
      <w:sz w:val="36"/>
      <w:szCs w:val="36"/>
    </w:rPr>
  </w:style>
  <w:style w:type="paragraph" w:customStyle="1" w:styleId="306">
    <w:name w:val="Char Char Char Char"/>
    <w:basedOn w:val="226"/>
    <w:autoRedefine/>
    <w:qFormat/>
    <w:uiPriority w:val="0"/>
    <w:pPr>
      <w:spacing w:line="360" w:lineRule="auto"/>
    </w:pPr>
    <w:rPr>
      <w:rFonts w:ascii="Tahoma" w:hAnsi="Tahoma"/>
      <w:sz w:val="24"/>
      <w:szCs w:val="24"/>
    </w:rPr>
  </w:style>
  <w:style w:type="paragraph" w:customStyle="1" w:styleId="307">
    <w:name w:val="table_1stline"/>
    <w:basedOn w:val="1"/>
    <w:autoRedefine/>
    <w:qFormat/>
    <w:uiPriority w:val="0"/>
    <w:pPr>
      <w:widowControl/>
      <w:spacing w:before="120"/>
      <w:jc w:val="left"/>
    </w:pPr>
    <w:rPr>
      <w:bCs/>
      <w:sz w:val="20"/>
      <w:szCs w:val="20"/>
      <w:lang w:val="de-DE" w:eastAsia="de-DE"/>
    </w:rPr>
  </w:style>
  <w:style w:type="paragraph" w:customStyle="1" w:styleId="308">
    <w:name w:val="font5"/>
    <w:basedOn w:val="1"/>
    <w:autoRedefine/>
    <w:qFormat/>
    <w:uiPriority w:val="0"/>
    <w:pPr>
      <w:widowControl/>
      <w:spacing w:before="100" w:beforeAutospacing="1" w:after="100" w:afterAutospacing="1"/>
      <w:jc w:val="left"/>
    </w:pPr>
    <w:rPr>
      <w:rFonts w:hint="eastAsia" w:ascii="宋体" w:hAnsi="宋体"/>
      <w:sz w:val="28"/>
      <w:szCs w:val="28"/>
    </w:rPr>
  </w:style>
  <w:style w:type="paragraph" w:customStyle="1" w:styleId="309">
    <w:name w:val="标题1"/>
    <w:basedOn w:val="1"/>
    <w:next w:val="1"/>
    <w:autoRedefine/>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10">
    <w:name w:val="修订"/>
    <w:autoRedefine/>
    <w:semiHidden/>
    <w:qFormat/>
    <w:uiPriority w:val="99"/>
    <w:rPr>
      <w:rFonts w:hint="default" w:ascii="Times New Roman" w:hAnsi="Times New Roman" w:eastAsia="宋体" w:cs="Times New Roman"/>
      <w:sz w:val="21"/>
      <w:szCs w:val="21"/>
      <w:lang w:val="en-US" w:eastAsia="zh-CN" w:bidi="ar-SA"/>
    </w:rPr>
  </w:style>
  <w:style w:type="paragraph" w:customStyle="1" w:styleId="311">
    <w:name w:val="无间隔"/>
    <w:autoRedefine/>
    <w:qFormat/>
    <w:uiPriority w:val="99"/>
    <w:pPr>
      <w:widowControl w:val="0"/>
      <w:jc w:val="both"/>
    </w:pPr>
    <w:rPr>
      <w:rFonts w:hint="default" w:ascii="Times New Roman" w:hAnsi="Times New Roman" w:eastAsia="宋体" w:cs="Times New Roman"/>
      <w:sz w:val="21"/>
      <w:szCs w:val="21"/>
      <w:lang w:val="en-US" w:eastAsia="zh-CN" w:bidi="ar-SA"/>
    </w:rPr>
  </w:style>
  <w:style w:type="character" w:customStyle="1" w:styleId="312">
    <w:name w:val="a_p_3"/>
    <w:basedOn w:val="36"/>
    <w:autoRedefine/>
    <w:qFormat/>
    <w:uiPriority w:val="0"/>
    <w:rPr>
      <w:sz w:val="27"/>
      <w:szCs w:val="27"/>
    </w:rPr>
  </w:style>
  <w:style w:type="character" w:customStyle="1" w:styleId="313">
    <w:name w:val="a_p_1"/>
    <w:basedOn w:val="36"/>
    <w:autoRedefine/>
    <w:qFormat/>
    <w:uiPriority w:val="0"/>
    <w:rPr>
      <w:sz w:val="27"/>
      <w:szCs w:val="27"/>
    </w:rPr>
  </w:style>
  <w:style w:type="character" w:customStyle="1" w:styleId="314">
    <w:name w:val="a_p_2"/>
    <w:basedOn w:val="36"/>
    <w:autoRedefine/>
    <w:qFormat/>
    <w:uiPriority w:val="0"/>
    <w:rPr>
      <w:sz w:val="27"/>
      <w:szCs w:val="27"/>
    </w:rPr>
  </w:style>
  <w:style w:type="character" w:customStyle="1" w:styleId="315">
    <w:name w:val="a_p_21"/>
    <w:basedOn w:val="36"/>
    <w:autoRedefine/>
    <w:qFormat/>
    <w:uiPriority w:val="0"/>
  </w:style>
  <w:style w:type="character" w:customStyle="1" w:styleId="316">
    <w:name w:val="ul_li_a_1"/>
    <w:basedOn w:val="36"/>
    <w:autoRedefine/>
    <w:qFormat/>
    <w:uiPriority w:val="0"/>
    <w:rPr>
      <w:b/>
      <w:bCs/>
      <w:color w:val="FFFFFF"/>
    </w:rPr>
  </w:style>
  <w:style w:type="character" w:customStyle="1" w:styleId="317">
    <w:name w:val="exap"/>
    <w:basedOn w:val="36"/>
    <w:autoRedefine/>
    <w:qFormat/>
    <w:uiPriority w:val="0"/>
    <w:rPr>
      <w:sz w:val="27"/>
      <w:szCs w:val="27"/>
    </w:rPr>
  </w:style>
  <w:style w:type="paragraph" w:customStyle="1" w:styleId="318">
    <w:name w:val="Default"/>
    <w:autoRedefine/>
    <w:qFormat/>
    <w:uiPriority w:val="0"/>
    <w:pPr>
      <w:widowControl w:val="0"/>
    </w:pPr>
    <w:rPr>
      <w:rFonts w:hint="default" w:ascii="仿宋" w:hAnsi="Times New Roman" w:eastAsia="仿宋" w:cs="仿宋"/>
      <w:color w:val="000000"/>
      <w:sz w:val="24"/>
      <w:szCs w:val="24"/>
      <w:lang w:val="en-US" w:eastAsia="zh-CN" w:bidi="ar-SA"/>
    </w:rPr>
  </w:style>
  <w:style w:type="paragraph" w:customStyle="1" w:styleId="319">
    <w:name w:val="Table Text"/>
    <w:basedOn w:val="1"/>
    <w:autoRedefine/>
    <w:semiHidden/>
    <w:qFormat/>
    <w:uiPriority w:val="0"/>
    <w:rPr>
      <w:rFonts w:ascii="仿宋" w:hAnsi="仿宋" w:eastAsia="仿宋" w:cs="仿宋"/>
      <w:sz w:val="24"/>
      <w:szCs w:val="24"/>
      <w:lang w:val="en-US" w:eastAsia="en-US" w:bidi="ar-SA"/>
    </w:rPr>
  </w:style>
  <w:style w:type="table" w:customStyle="1" w:styleId="320">
    <w:name w:val="Table Normal"/>
    <w:autoRedefine/>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TotalTime>8</TotalTime>
  <ScaleCrop>false</ScaleCrop>
  <LinksUpToDate>false</LinksUpToDate>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2023-12-26T03:29:00Z</dcterms:created>
  <dc:creator>赵国文</dc:creator>
  <cp:lastModifiedBy>Administrator</cp:lastModifiedBy>
  <cp:lastPrinted>2024-02-29T05:44:00Z</cp:lastPrinted>
  <dcterms:modified xsi:type="dcterms:W3CDTF">2024-03-05T08:37:45Z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545CA212641B450FB872282A46F6126C_13</vt:lpwstr>
  </property>
</Properties>
</file>