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hint="eastAsia" w:ascii="仿宋" w:hAnsi="仿宋" w:eastAsia="仿宋" w:cs="仿宋"/>
          <w:b/>
          <w:color w:val="000000"/>
          <w:sz w:val="72"/>
          <w:szCs w:val="72"/>
          <w:highlight w:val="none"/>
        </w:rPr>
        <w:outlineLvl w:val="0"/>
      </w:pPr>
      <w:r/>
      <w:bookmarkStart w:id="0" w:name="_Toc3861"/>
      <w:r/>
      <w:bookmarkStart w:id="1" w:name="_Toc12731"/>
      <w:r/>
      <w:bookmarkStart w:id="2" w:name="_Toc25062"/>
      <w:r/>
      <w:bookmarkStart w:id="3" w:name="_Toc25164"/>
      <w:r/>
      <w:bookmarkStart w:id="4" w:name="_Toc1714"/>
      <w:r/>
      <w:bookmarkStart w:id="5" w:name="_Toc18297"/>
      <w:r/>
      <w:bookmarkStart w:id="6" w:name="_Toc15476"/>
      <w:r/>
      <w:bookmarkStart w:id="7" w:name="_Toc11690"/>
      <w:r/>
      <w:bookmarkStart w:id="8" w:name="_Toc25347"/>
      <w:r/>
      <w:bookmarkStart w:id="9" w:name="_Toc15063"/>
      <w:r/>
      <w:bookmarkStart w:id="10" w:name="_Toc10318"/>
      <w:r/>
      <w:bookmarkStart w:id="11" w:name="_Toc9499"/>
      <w:r/>
      <w:bookmarkStart w:id="12" w:name="_Toc7312"/>
      <w:r/>
      <w:bookmarkStart w:id="13" w:name="_Toc8839"/>
      <w:r/>
      <w:r/>
    </w:p>
    <w:p>
      <w:pPr>
        <w:jc w:val="center"/>
        <w:spacing w:line="1040" w:lineRule="exact"/>
        <w:rPr>
          <w:rFonts w:hint="eastAsia" w:ascii="仿宋" w:hAnsi="仿宋" w:eastAsia="仿宋" w:cs="仿宋"/>
          <w:b/>
          <w:color w:val="000000"/>
          <w:sz w:val="72"/>
          <w:szCs w:val="72"/>
          <w:highlight w:val="none"/>
        </w:rPr>
        <w:outlineLvl w:val="0"/>
      </w:pPr>
      <w:r>
        <w:rPr>
          <w:rFonts w:hint="eastAsia" w:ascii="仿宋" w:hAnsi="仿宋" w:eastAsia="仿宋" w:cs="仿宋"/>
          <w:b/>
          <w:color w:val="000000"/>
          <w:sz w:val="72"/>
          <w:szCs w:val="72"/>
          <w:highlight w:val="none"/>
        </w:rPr>
      </w:r>
      <w:r/>
    </w:p>
    <w:p>
      <w:pPr>
        <w:jc w:val="center"/>
        <w:spacing w:line="1040" w:lineRule="exact"/>
        <w:rPr>
          <w:rFonts w:hint="eastAsia" w:ascii="仿宋" w:hAnsi="仿宋" w:eastAsia="仿宋" w:cs="仿宋"/>
          <w:b/>
          <w:color w:val="000000"/>
          <w:sz w:val="72"/>
          <w:szCs w:val="72"/>
          <w:highlight w:val="none"/>
        </w:rPr>
        <w:outlineLvl w:val="0"/>
      </w:pPr>
      <w:r>
        <w:rPr>
          <w:rFonts w:hint="eastAsia" w:ascii="仿宋" w:hAnsi="仿宋" w:eastAsia="仿宋" w:cs="仿宋"/>
          <w:b/>
          <w:color w:val="000000"/>
          <w:sz w:val="72"/>
          <w:szCs w:val="72"/>
          <w:highlight w:val="none"/>
        </w:rPr>
        <w:t xml:space="preserve">“全流程不见面交易”</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p>
      <w:pPr>
        <w:jc w:val="center"/>
        <w:spacing w:line="1040" w:lineRule="exact"/>
        <w:rPr>
          <w:rFonts w:hint="eastAsia" w:ascii="仿宋" w:hAnsi="仿宋" w:eastAsia="仿宋" w:cs="仿宋"/>
          <w:b/>
          <w:color w:val="000000"/>
          <w:sz w:val="72"/>
          <w:szCs w:val="72"/>
          <w:highlight w:val="none"/>
        </w:rPr>
        <w:outlineLvl w:val="0"/>
      </w:pPr>
      <w:r/>
      <w:bookmarkStart w:id="14" w:name="_Toc19789"/>
      <w:r/>
      <w:bookmarkStart w:id="15" w:name="_Toc31419"/>
      <w:r/>
      <w:bookmarkStart w:id="16" w:name="_Toc22255"/>
      <w:r/>
      <w:bookmarkStart w:id="17" w:name="_Toc5016"/>
      <w:r/>
      <w:bookmarkStart w:id="18" w:name="_Toc1416"/>
      <w:r/>
      <w:bookmarkStart w:id="19" w:name="_Toc27486"/>
      <w:r/>
      <w:bookmarkStart w:id="20" w:name="_Toc22513"/>
      <w:r/>
      <w:bookmarkStart w:id="21" w:name="_Toc3947"/>
      <w:r/>
      <w:bookmarkStart w:id="22" w:name="_Toc17375"/>
      <w:r/>
      <w:bookmarkStart w:id="23" w:name="_Toc7451"/>
      <w:r/>
      <w:bookmarkStart w:id="24" w:name="_Toc22599"/>
      <w:r/>
      <w:bookmarkStart w:id="25" w:name="_Toc27855"/>
      <w:r/>
      <w:bookmarkStart w:id="26" w:name="_Toc27547"/>
      <w:r/>
      <w:bookmarkStart w:id="27" w:name="_Toc24813"/>
      <w:r>
        <w:rPr>
          <w:rFonts w:hint="eastAsia" w:ascii="仿宋" w:hAnsi="仿宋" w:eastAsia="仿宋" w:cs="仿宋"/>
          <w:b/>
          <w:color w:val="000000"/>
          <w:sz w:val="72"/>
          <w:szCs w:val="72"/>
          <w:highlight w:val="none"/>
        </w:rPr>
        <w:t xml:space="preserve">公开招标文件</w:t>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
    </w:p>
    <w:p>
      <w:pPr>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jc w:val="center"/>
        <w:spacing w:before="156" w:line="1000" w:lineRule="exact"/>
        <w:rPr>
          <w:rFonts w:hint="eastAsia" w:ascii="仿宋" w:hAnsi="仿宋" w:eastAsia="仿宋" w:cs="仿宋"/>
          <w:b/>
          <w:bCs/>
          <w:color w:val="000000"/>
          <w:sz w:val="72"/>
          <w:szCs w:val="72"/>
          <w:highlight w:val="none"/>
        </w:rPr>
      </w:pPr>
      <w:r>
        <w:rPr>
          <w:rFonts w:hint="eastAsia" w:ascii="仿宋" w:hAnsi="仿宋" w:eastAsia="仿宋" w:cs="仿宋"/>
          <w:b/>
          <w:bCs/>
          <w:color w:val="000000"/>
          <w:sz w:val="72"/>
          <w:szCs w:val="7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jc w:val="left"/>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1793"/>
        <w:jc w:val="left"/>
        <w:spacing w:line="760" w:lineRule="exact"/>
        <w:rPr>
          <w:rFonts w:hint="eastAsia" w:ascii="仿宋" w:hAnsi="仿宋" w:eastAsia="仿宋" w:cs="仿宋"/>
          <w:b/>
          <w:color w:val="000000"/>
          <w:sz w:val="36"/>
          <w:szCs w:val="36"/>
          <w:highlight w:val="none"/>
        </w:rPr>
        <w:outlineLvl w:val="0"/>
      </w:pPr>
      <w:r/>
      <w:bookmarkStart w:id="28" w:name="_Toc4942"/>
      <w:r/>
      <w:bookmarkStart w:id="29" w:name="_Toc24018"/>
      <w:r/>
      <w:bookmarkStart w:id="30" w:name="_Toc9467"/>
      <w:r/>
      <w:bookmarkStart w:id="31" w:name="_Toc31049"/>
      <w:r/>
      <w:bookmarkStart w:id="32" w:name="_Toc19864"/>
      <w:r/>
      <w:bookmarkStart w:id="33" w:name="_Toc23151"/>
      <w:r/>
      <w:bookmarkStart w:id="34" w:name="_Toc2445"/>
      <w:r/>
      <w:bookmarkStart w:id="35" w:name="_Toc18809"/>
      <w:r/>
      <w:bookmarkStart w:id="36" w:name="_Toc25618"/>
      <w:r/>
      <w:bookmarkStart w:id="37" w:name="_Toc8758"/>
      <w:r/>
      <w:bookmarkStart w:id="38" w:name="_Toc439"/>
      <w:r/>
      <w:bookmarkStart w:id="39" w:name="_Toc21962"/>
      <w:r/>
      <w:bookmarkStart w:id="40" w:name="_Toc3350"/>
      <w:r/>
      <w:bookmarkStart w:id="41" w:name="_Toc14670"/>
      <w:r>
        <w:rPr>
          <w:rFonts w:hint="eastAsia" w:ascii="仿宋" w:hAnsi="仿宋" w:eastAsia="仿宋" w:cs="仿宋"/>
          <w:b/>
          <w:color w:val="000000"/>
          <w:sz w:val="36"/>
          <w:szCs w:val="36"/>
          <w:highlight w:val="none"/>
        </w:rPr>
        <w:t xml:space="preserve">项目名称: </w: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Start w:id="42" w:name="_Toc11409"/>
      <w:r/>
      <w:bookmarkStart w:id="43" w:name="_Toc12848"/>
      <w:r/>
      <w:bookmarkStart w:id="44" w:name="_Toc14064"/>
      <w:r/>
      <w:bookmarkStart w:id="45" w:name="_Toc24777"/>
      <w:r/>
      <w:bookmarkStart w:id="46" w:name="_Toc31512"/>
      <w:r/>
      <w:bookmarkStart w:id="47" w:name="_Toc30442"/>
      <w:r/>
      <w:bookmarkStart w:id="48" w:name="_Toc28392"/>
      <w:r/>
      <w:bookmarkStart w:id="49" w:name="_Toc18217"/>
      <w:r/>
      <w:bookmarkStart w:id="50" w:name="_Toc10653"/>
      <w:r/>
      <w:bookmarkStart w:id="51" w:name="_Toc17820"/>
      <w:r/>
      <w:bookmarkStart w:id="52" w:name="_Toc9270"/>
      <w:r/>
      <w:bookmarkStart w:id="53" w:name="_Toc31527"/>
      <w:r/>
      <w:bookmarkStart w:id="54" w:name="_Toc13980"/>
      <w:r>
        <w:rPr>
          <w:rFonts w:hint="eastAsia" w:ascii="仿宋" w:hAnsi="仿宋" w:eastAsia="仿宋" w:cs="仿宋"/>
          <w:b/>
          <w:color w:val="000000"/>
          <w:sz w:val="36"/>
          <w:szCs w:val="36"/>
          <w:highlight w:val="none"/>
        </w:rPr>
        <w:t xml:space="preserve">淮安区城市排水设施更新一期工程-淮安区城市生命线安全工程</w:t>
      </w:r>
      <w:bookmarkEnd w:id="41"/>
      <w:r>
        <w:rPr>
          <w:rFonts w:hint="eastAsia" w:ascii="仿宋" w:hAnsi="仿宋" w:eastAsia="仿宋" w:cs="仿宋"/>
          <w:b/>
          <w:color w:val="000000"/>
          <w:sz w:val="36"/>
          <w:szCs w:val="36"/>
          <w:highlight w:val="none"/>
        </w:rPr>
        <w:t xml:space="preserve"> </w:t>
      </w:r>
      <w:r/>
    </w:p>
    <w:p>
      <w:pPr>
        <w:ind w:firstLine="1793"/>
        <w:jc w:val="left"/>
        <w:spacing w:line="760" w:lineRule="exact"/>
        <w:rPr>
          <w:rFonts w:hint="eastAsia" w:ascii="仿宋" w:hAnsi="仿宋" w:eastAsia="仿宋" w:cs="仿宋"/>
          <w:b/>
          <w:color w:val="auto"/>
          <w:sz w:val="36"/>
          <w:highlight w:val="none"/>
        </w:rPr>
        <w:outlineLvl w:val="0"/>
      </w:pPr>
      <w:r/>
      <w:bookmarkStart w:id="55" w:name="_Toc16106"/>
      <w:r>
        <w:rPr>
          <w:rFonts w:hint="eastAsia" w:ascii="仿宋" w:hAnsi="仿宋" w:eastAsia="仿宋" w:cs="仿宋"/>
          <w:b/>
          <w:color w:val="auto"/>
          <w:sz w:val="36"/>
          <w:highlight w:val="none"/>
        </w:rPr>
        <w:t xml:space="preserve">项目编号:</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rFonts w:hint="eastAsia" w:ascii="仿宋" w:hAnsi="仿宋" w:eastAsia="仿宋" w:cs="仿宋"/>
          <w:b/>
          <w:color w:val="auto"/>
          <w:sz w:val="36"/>
          <w:highlight w:val="none"/>
        </w:rPr>
        <w:t xml:space="preserve">JSZC-320803-HAJY-G2025-0018</w:t>
      </w:r>
      <w:r/>
    </w:p>
    <w:p>
      <w:pPr>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spacing w:line="760" w:lineRule="exact"/>
        <w:tabs>
          <w:tab w:val="left" w:pos="3678" w:leader="none"/>
        </w:tabs>
        <w:rPr>
          <w:rFonts w:hint="eastAsia" w:ascii="仿宋" w:hAnsi="仿宋" w:eastAsia="仿宋" w:cs="仿宋"/>
          <w:b/>
          <w:color w:val="000000"/>
          <w:sz w:val="36"/>
          <w:szCs w:val="36"/>
          <w:highlight w:val="none"/>
        </w:rPr>
        <w:outlineLvl w:val="0"/>
      </w:pPr>
      <w:r/>
      <w:bookmarkStart w:id="56" w:name="_Toc11210"/>
      <w:r/>
      <w:bookmarkStart w:id="57" w:name="_Toc4954"/>
      <w:r/>
      <w:bookmarkStart w:id="58" w:name="_Toc28794"/>
      <w:r/>
      <w:bookmarkEnd w:id="56"/>
      <w:r/>
      <w:bookmarkEnd w:id="57"/>
      <w:r/>
      <w:bookmarkEnd w:id="58"/>
      <w:r/>
      <w:r/>
    </w:p>
    <w:p>
      <w:pPr>
        <w:jc w:val="center"/>
        <w:spacing w:line="760" w:lineRule="exact"/>
        <w:tabs>
          <w:tab w:val="left" w:pos="3678" w:leader="none"/>
        </w:tabs>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r>
      <w:r/>
    </w:p>
    <w:p>
      <w:pPr>
        <w:jc w:val="center"/>
        <w:spacing w:line="760" w:lineRule="exact"/>
        <w:tabs>
          <w:tab w:val="left" w:pos="3678" w:leader="none"/>
        </w:tabs>
        <w:rPr>
          <w:rFonts w:hint="eastAsia" w:ascii="仿宋" w:hAnsi="仿宋" w:eastAsia="仿宋" w:cs="仿宋"/>
          <w:b/>
          <w:color w:val="000000"/>
          <w:sz w:val="36"/>
          <w:szCs w:val="36"/>
          <w:highlight w:val="none"/>
        </w:rPr>
        <w:outlineLvl w:val="0"/>
      </w:pPr>
      <w:r/>
      <w:bookmarkStart w:id="59" w:name="_Toc11003"/>
      <w:r/>
      <w:bookmarkStart w:id="60" w:name="_Toc9636"/>
      <w:r/>
      <w:bookmarkStart w:id="61" w:name="_Toc3824"/>
      <w:r>
        <w:rPr>
          <w:rFonts w:hint="eastAsia" w:ascii="仿宋" w:hAnsi="仿宋" w:eastAsia="仿宋" w:cs="仿宋"/>
          <w:b/>
          <w:color w:val="000000"/>
          <w:sz w:val="36"/>
          <w:szCs w:val="36"/>
          <w:highlight w:val="none"/>
        </w:rPr>
        <w:t xml:space="preserve">淮安江益工程项目管理咨询有限公司</w:t>
      </w:r>
      <w:bookmarkEnd w:id="59"/>
      <w:r/>
      <w:r/>
    </w:p>
    <w:p>
      <w:pPr>
        <w:jc w:val="center"/>
        <w:spacing w:line="760" w:lineRule="exact"/>
        <w:tabs>
          <w:tab w:val="left" w:pos="3678" w:leader="none"/>
        </w:tabs>
        <w:rPr>
          <w:rFonts w:hint="eastAsia" w:ascii="仿宋" w:hAnsi="仿宋" w:eastAsia="仿宋" w:cs="仿宋"/>
          <w:b/>
          <w:bCs/>
          <w:color w:val="000000"/>
          <w:spacing w:val="-6"/>
          <w:sz w:val="36"/>
          <w:szCs w:val="36"/>
          <w:highlight w:val="none"/>
        </w:rPr>
        <w:sectPr>
          <w:headerReference w:type="default" r:id="rId9"/>
          <w:headerReference w:type="first" r:id="rId10"/>
          <w:footnotePr/>
          <w:endnotePr/>
          <w:type w:val="nextPage"/>
          <w:pgSz w:w="11906" w:h="16838" w:orient="portrait"/>
          <w:pgMar w:top="1174" w:right="947" w:bottom="1174" w:left="947" w:header="737" w:footer="992" w:gutter="0"/>
          <w:pgNumType w:start="1"/>
          <w:cols w:num="1" w:sep="0" w:space="1701" w:equalWidth="1"/>
          <w:docGrid w:linePitch="360"/>
          <w:titlePg/>
        </w:sectPr>
        <w:outlineLvl w:val="0"/>
      </w:pPr>
      <w:r/>
      <w:bookmarkStart w:id="62" w:name="_Toc30096"/>
      <w:r>
        <w:rPr>
          <w:rFonts w:hint="eastAsia" w:ascii="仿宋" w:hAnsi="仿宋" w:eastAsia="仿宋" w:cs="仿宋"/>
          <w:b/>
          <w:color w:val="000000"/>
          <w:sz w:val="36"/>
          <w:szCs w:val="36"/>
          <w:highlight w:val="none"/>
        </w:rPr>
        <w:t xml:space="preserve">二〇二五年</w:t>
      </w:r>
      <w:bookmarkEnd w:id="60"/>
      <w:r/>
      <w:bookmarkEnd w:id="61"/>
      <w:r>
        <w:rPr>
          <w:rFonts w:hint="eastAsia" w:ascii="仿宋" w:hAnsi="仿宋" w:eastAsia="仿宋" w:cs="仿宋"/>
          <w:b/>
          <w:color w:val="000000"/>
          <w:sz w:val="36"/>
          <w:szCs w:val="36"/>
          <w:highlight w:val="none"/>
        </w:rPr>
        <w:t xml:space="preserve">十</w:t>
      </w:r>
      <w:r>
        <w:rPr>
          <w:rFonts w:hint="eastAsia" w:ascii="仿宋" w:hAnsi="仿宋" w:eastAsia="仿宋" w:cs="仿宋"/>
          <w:b/>
          <w:color w:val="000000"/>
          <w:sz w:val="36"/>
          <w:szCs w:val="36"/>
          <w:highlight w:val="none"/>
          <w:lang w:val="en-US" w:eastAsia="zh-CN"/>
        </w:rPr>
        <w:t xml:space="preserve">一</w:t>
      </w:r>
      <w:r>
        <w:rPr>
          <w:rFonts w:hint="eastAsia" w:ascii="仿宋" w:hAnsi="仿宋" w:eastAsia="仿宋" w:cs="仿宋"/>
          <w:b/>
          <w:color w:val="000000"/>
          <w:sz w:val="36"/>
          <w:szCs w:val="36"/>
          <w:highlight w:val="none"/>
        </w:rPr>
        <w:t xml:space="preserve">月</w:t>
      </w:r>
      <w:bookmarkEnd w:id="62"/>
      <w:r/>
      <w:r/>
    </w:p>
    <w:p>
      <w:pPr>
        <w:pStyle w:val="986"/>
        <w:ind w:firstLine="0"/>
        <w:jc w:val="center"/>
        <w:rPr>
          <w:rFonts w:hint="eastAsia" w:ascii="仿宋" w:hAnsi="仿宋" w:eastAsia="仿宋" w:cs="仿宋"/>
          <w:color w:val="000000"/>
          <w:highlight w:val="none"/>
        </w:rPr>
      </w:pPr>
      <w:r/>
      <w:bookmarkStart w:id="63" w:name="_Toc10681"/>
      <w:r/>
      <w:bookmarkStart w:id="64" w:name="_Toc23767"/>
      <w:r/>
      <w:bookmarkStart w:id="65" w:name="_Toc18317"/>
      <w:r/>
      <w:bookmarkStart w:id="66" w:name="_Toc28229"/>
      <w:r/>
      <w:bookmarkStart w:id="67" w:name="_Toc23616"/>
      <w:r/>
      <w:bookmarkStart w:id="68" w:name="_Toc16175"/>
      <w:r/>
      <w:bookmarkStart w:id="69" w:name="_Toc13912"/>
      <w:r/>
      <w:bookmarkStart w:id="70" w:name="_Toc30377"/>
      <w:r/>
      <w:bookmarkStart w:id="71" w:name="_Toc8676"/>
      <w:r/>
      <w:bookmarkStart w:id="72" w:name="_Toc7503"/>
      <w:r/>
      <w:bookmarkStart w:id="73" w:name="_Toc27830"/>
      <w:r/>
      <w:bookmarkStart w:id="74" w:name="_Toc14044"/>
      <w:r/>
      <w:bookmarkStart w:id="75" w:name="_Toc7016"/>
      <w:r/>
      <w:bookmarkStart w:id="76" w:name="_Toc14165"/>
      <w:r>
        <w:rPr>
          <w:rFonts w:hint="eastAsia" w:ascii="仿宋" w:hAnsi="仿宋" w:eastAsia="仿宋" w:cs="仿宋"/>
          <w:b/>
          <w:bCs/>
          <w:color w:val="000000"/>
          <w:sz w:val="36"/>
          <w:highlight w:val="none"/>
        </w:rPr>
        <w:t xml:space="preserve">总  目  录</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TOC \o "1-1" \h \u </w:instrText>
      </w:r>
      <w:r>
        <w:rPr>
          <w:rFonts w:hint="eastAsia" w:ascii="仿宋" w:hAnsi="仿宋" w:eastAsia="仿宋" w:cs="仿宋"/>
          <w:color w:val="000000"/>
          <w:highlight w:val="none"/>
        </w:rPr>
        <w:fldChar w:fldCharType="separate"/>
      </w:r>
      <w:r/>
    </w:p>
    <w:p>
      <w:pPr>
        <w:pStyle w:val="787"/>
        <w:spacing w:line="480" w:lineRule="auto"/>
        <w:tabs>
          <w:tab w:val="right" w:pos="10012"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"_Toc6439" </w:instrText>
      </w:r>
      <w:r>
        <w:rPr>
          <w:highlight w:val="none"/>
        </w:rPr>
        <w:fldChar w:fldCharType="separate"/>
      </w:r>
      <w:r>
        <w:rPr>
          <w:rFonts w:hint="eastAsia" w:ascii="仿宋" w:hAnsi="仿宋" w:eastAsia="仿宋" w:cs="仿宋"/>
          <w:bCs/>
          <w:sz w:val="28"/>
          <w:szCs w:val="28"/>
          <w:highlight w:val="none"/>
        </w:rPr>
        <w:t xml:space="preserve">第一章  投标邀请</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_Toc6439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87"/>
        <w:spacing w:line="480" w:lineRule="auto"/>
        <w:tabs>
          <w:tab w:val="right" w:pos="10012"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"_Toc21836" </w:instrText>
      </w:r>
      <w:r>
        <w:rPr>
          <w:highlight w:val="none"/>
        </w:rPr>
        <w:fldChar w:fldCharType="separate"/>
      </w:r>
      <w:r>
        <w:rPr>
          <w:rFonts w:hint="eastAsia" w:ascii="仿宋" w:hAnsi="仿宋" w:eastAsia="仿宋" w:cs="仿宋"/>
          <w:sz w:val="28"/>
          <w:szCs w:val="28"/>
          <w:highlight w:val="none"/>
        </w:rPr>
        <w:t xml:space="preserve">第二章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_Toc21836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5</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87"/>
        <w:spacing w:line="480" w:lineRule="auto"/>
        <w:tabs>
          <w:tab w:val="right" w:pos="10012"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"_Toc22863" </w:instrText>
      </w:r>
      <w:r>
        <w:rPr>
          <w:highlight w:val="none"/>
        </w:rPr>
        <w:fldChar w:fldCharType="separate"/>
      </w:r>
      <w:r>
        <w:rPr>
          <w:rFonts w:hint="eastAsia" w:ascii="仿宋" w:hAnsi="仿宋" w:eastAsia="仿宋" w:cs="仿宋"/>
          <w:bCs/>
          <w:sz w:val="28"/>
          <w:szCs w:val="28"/>
          <w:highlight w:val="none"/>
        </w:rPr>
        <w:t xml:space="preserve">第三章 </w:t>
      </w:r>
      <w:r>
        <w:rPr>
          <w:rFonts w:hint="eastAsia" w:ascii="仿宋" w:hAnsi="仿宋" w:eastAsia="仿宋" w:cs="仿宋"/>
          <w:sz w:val="28"/>
          <w:szCs w:val="28"/>
          <w:highlight w:val="none"/>
        </w:rPr>
        <w:t xml:space="preserve"> 合同格式及条款</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_Toc22863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19</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787"/>
        <w:spacing w:line="480" w:lineRule="auto"/>
        <w:tabs>
          <w:tab w:val="right" w:pos="10012" w:leader="dot"/>
        </w:tabs>
        <w:rPr>
          <w:rFonts w:hint="eastAsia" w:ascii="仿宋" w:hAnsi="仿宋" w:eastAsia="仿宋" w:cs="仿宋"/>
          <w:sz w:val="28"/>
          <w:szCs w:val="28"/>
          <w:highlight w:val="none"/>
          <w:lang w:val="en-US" w:eastAsia="zh-CN"/>
        </w:rPr>
      </w:pPr>
      <w:r>
        <w:rPr>
          <w:highlight w:val="none"/>
        </w:rPr>
        <w:fldChar w:fldCharType="begin"/>
      </w:r>
      <w:r>
        <w:rPr>
          <w:highlight w:val="none"/>
        </w:rPr>
        <w:instrText xml:space="preserve"> HYPERLINK \l "_Toc23644" </w:instrText>
      </w:r>
      <w:r>
        <w:rPr>
          <w:highlight w:val="none"/>
        </w:rPr>
        <w:fldChar w:fldCharType="separate"/>
      </w:r>
      <w:r>
        <w:rPr>
          <w:rFonts w:hint="eastAsia" w:ascii="仿宋" w:hAnsi="仿宋" w:eastAsia="仿宋" w:cs="仿宋"/>
          <w:bCs/>
          <w:sz w:val="28"/>
          <w:szCs w:val="28"/>
          <w:highlight w:val="none"/>
        </w:rPr>
        <w:t xml:space="preserve">第四章 项目采购需求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lang w:val="en-US" w:eastAsia="zh-CN"/>
        </w:rPr>
        <w:t xml:space="preserve">8</w:t>
      </w:r>
      <w:r/>
    </w:p>
    <w:p>
      <w:pPr>
        <w:pStyle w:val="787"/>
        <w:spacing w:line="480" w:lineRule="auto"/>
        <w:tabs>
          <w:tab w:val="right" w:pos="10012" w:leader="dot"/>
        </w:tabs>
        <w:rPr>
          <w:rFonts w:hint="eastAsia" w:ascii="仿宋" w:hAnsi="仿宋" w:eastAsia="仿宋" w:cs="仿宋"/>
          <w:sz w:val="28"/>
          <w:szCs w:val="28"/>
          <w:highlight w:val="none"/>
          <w:lang w:val="en-US" w:eastAsia="zh-CN"/>
        </w:rPr>
      </w:pPr>
      <w:r>
        <w:rPr>
          <w:highlight w:val="none"/>
        </w:rPr>
        <w:fldChar w:fldCharType="begin"/>
      </w:r>
      <w:r>
        <w:rPr>
          <w:highlight w:val="none"/>
        </w:rPr>
        <w:instrText xml:space="preserve"> HYPERLINK \l "_Toc15524" </w:instrText>
      </w:r>
      <w:r>
        <w:rPr>
          <w:highlight w:val="none"/>
        </w:rPr>
        <w:fldChar w:fldCharType="separate"/>
      </w:r>
      <w:r>
        <w:rPr>
          <w:rFonts w:hint="eastAsia" w:ascii="仿宋" w:hAnsi="仿宋" w:eastAsia="仿宋" w:cs="仿宋"/>
          <w:bCs/>
          <w:sz w:val="28"/>
          <w:szCs w:val="28"/>
          <w:highlight w:val="none"/>
        </w:rPr>
        <w:t xml:space="preserve">第五章 评标方法与评标标准</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lang w:val="en-US" w:eastAsia="zh-CN"/>
        </w:rPr>
        <w:t xml:space="preserve">1</w:t>
      </w:r>
      <w:r/>
    </w:p>
    <w:p>
      <w:pPr>
        <w:pStyle w:val="787"/>
        <w:spacing w:line="480" w:lineRule="auto"/>
        <w:tabs>
          <w:tab w:val="right" w:pos="10012" w:leader="dot"/>
        </w:tabs>
        <w:rPr>
          <w:rFonts w:hint="eastAsia" w:ascii="仿宋" w:hAnsi="仿宋" w:eastAsia="仿宋" w:cs="仿宋"/>
          <w:sz w:val="28"/>
          <w:szCs w:val="28"/>
          <w:highlight w:val="none"/>
          <w:lang w:val="en-US" w:eastAsia="zh-CN"/>
        </w:rPr>
      </w:pPr>
      <w:r>
        <w:rPr>
          <w:highlight w:val="none"/>
        </w:rPr>
        <w:fldChar w:fldCharType="begin"/>
      </w:r>
      <w:r>
        <w:rPr>
          <w:highlight w:val="none"/>
        </w:rPr>
        <w:instrText xml:space="preserve"> HYPERLINK \l "_Toc23409" </w:instrText>
      </w:r>
      <w:r>
        <w:rPr>
          <w:highlight w:val="none"/>
        </w:rPr>
        <w:fldChar w:fldCharType="separate"/>
      </w:r>
      <w:r>
        <w:rPr>
          <w:rFonts w:hint="eastAsia" w:ascii="仿宋" w:hAnsi="仿宋" w:eastAsia="仿宋" w:cs="仿宋"/>
          <w:bCs/>
          <w:sz w:val="28"/>
          <w:szCs w:val="28"/>
          <w:highlight w:val="none"/>
        </w:rPr>
        <w:t xml:space="preserve">第六章 投标文件</w:t>
      </w:r>
      <w:r>
        <w:rPr>
          <w:rFonts w:hint="eastAsia" w:ascii="仿宋" w:hAnsi="仿宋" w:eastAsia="仿宋" w:cs="仿宋"/>
          <w:sz w:val="28"/>
          <w:szCs w:val="28"/>
          <w:highlight w:val="none"/>
        </w:rPr>
        <w:tab/>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lang w:val="en-US" w:eastAsia="zh-CN"/>
        </w:rPr>
        <w:t xml:space="preserve">5</w:t>
      </w:r>
      <w:r/>
    </w:p>
    <w:p>
      <w:pPr>
        <w:jc w:val="center"/>
        <w:spacing w:line="920" w:lineRule="exact"/>
        <w:rPr>
          <w:rFonts w:hint="eastAsia" w:ascii="仿宋" w:hAnsi="仿宋" w:eastAsia="仿宋" w:cs="仿宋"/>
          <w:color w:val="000000"/>
          <w:highlight w:val="none"/>
        </w:rPr>
        <w:outlineLvl w:val="0"/>
      </w:pPr>
      <w:r>
        <w:rPr>
          <w:rFonts w:hint="eastAsia" w:ascii="仿宋" w:hAnsi="仿宋" w:eastAsia="仿宋" w:cs="仿宋"/>
          <w:color w:val="000000"/>
          <w:highlight w:val="none"/>
        </w:rPr>
        <w:fldChar w:fldCharType="end"/>
      </w:r>
      <w:r/>
    </w:p>
    <w:p>
      <w:pPr>
        <w:pStyle w:val="1166"/>
        <w:tabs>
          <w:tab w:val="right" w:pos="10012" w:leader="dot"/>
        </w:tabs>
        <w:rPr>
          <w:rFonts w:hint="eastAsia" w:ascii="仿宋" w:hAnsi="仿宋" w:eastAsia="仿宋" w:cs="仿宋"/>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TOC \o "1-1" \h \u </w:instrText>
      </w:r>
      <w:r>
        <w:rPr>
          <w:rFonts w:hint="eastAsia" w:ascii="仿宋" w:hAnsi="仿宋" w:eastAsia="仿宋" w:cs="仿宋"/>
          <w:color w:val="000000"/>
          <w:highlight w:val="none"/>
        </w:rPr>
        <w:fldChar w:fldCharType="separate"/>
      </w:r>
      <w:r/>
    </w:p>
    <w:p>
      <w:pPr>
        <w:pStyle w:val="1166"/>
        <w:tabs>
          <w:tab w:val="right" w:pos="10012" w:leader="dot"/>
        </w:tabs>
        <w:rPr>
          <w:rFonts w:hint="eastAsia" w:ascii="仿宋" w:hAnsi="仿宋" w:eastAsia="仿宋" w:cs="仿宋"/>
          <w:highlight w:val="none"/>
        </w:rPr>
      </w:pPr>
      <w:r>
        <w:rPr>
          <w:rFonts w:hint="eastAsia" w:ascii="仿宋" w:hAnsi="仿宋" w:eastAsia="仿宋" w:cs="仿宋"/>
          <w:highlight w:val="none"/>
        </w:rPr>
      </w:r>
      <w:r/>
    </w:p>
    <w:p>
      <w:pPr>
        <w:pStyle w:val="986"/>
        <w:ind w:firstLine="0"/>
        <w:rPr>
          <w:rFonts w:hint="eastAsia" w:ascii="仿宋" w:hAnsi="仿宋" w:eastAsia="仿宋" w:cs="仿宋"/>
          <w:color w:val="000000"/>
          <w:highlight w:val="none"/>
        </w:rPr>
      </w:pPr>
      <w:r>
        <w:rPr>
          <w:rFonts w:hint="eastAsia" w:ascii="仿宋" w:hAnsi="仿宋" w:eastAsia="仿宋" w:cs="仿宋"/>
          <w:color w:val="000000"/>
          <w:highlight w:val="none"/>
        </w:rPr>
        <w:fldChar w:fldCharType="end"/>
      </w:r>
      <w:r/>
    </w:p>
    <w:p>
      <w:pPr>
        <w:pStyle w:val="986"/>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6"/>
        <w:ind w:firstLine="0"/>
        <w:rPr>
          <w:rFonts w:hint="eastAsia" w:ascii="仿宋" w:hAnsi="仿宋" w:eastAsia="仿宋" w:cs="仿宋"/>
          <w:color w:val="000000"/>
          <w:highlight w:val="none"/>
        </w:rPr>
        <w:sectPr>
          <w:footerReference w:type="default" r:id="rId12"/>
          <w:footnotePr/>
          <w:endnotePr/>
          <w:type w:val="nextPage"/>
          <w:pgSz w:w="11906" w:h="16838" w:orient="portrait"/>
          <w:pgMar w:top="1174" w:right="947" w:bottom="1174" w:left="947" w:header="737" w:footer="1191" w:gutter="0"/>
          <w:pgNumType w:start="1"/>
          <w:cols w:num="1" w:sep="0" w:space="1701" w:equalWidth="1"/>
          <w:docGrid w:linePitch="360"/>
        </w:sectPr>
      </w:pPr>
      <w:r>
        <w:rPr>
          <w:rFonts w:hint="eastAsia" w:ascii="仿宋" w:hAnsi="仿宋" w:eastAsia="仿宋" w:cs="仿宋"/>
          <w:color w:val="000000"/>
          <w:highlight w:val="none"/>
        </w:rPr>
      </w:r>
      <w:r/>
    </w:p>
    <w:p>
      <w:pPr>
        <w:jc w:val="center"/>
        <w:spacing w:line="480" w:lineRule="exact"/>
        <w:rPr>
          <w:rFonts w:hint="eastAsia" w:ascii="仿宋" w:hAnsi="仿宋" w:eastAsia="仿宋" w:cs="仿宋"/>
          <w:b/>
          <w:bCs/>
          <w:color w:val="000000"/>
          <w:sz w:val="36"/>
          <w:szCs w:val="36"/>
          <w:highlight w:val="none"/>
        </w:rPr>
        <w:outlineLvl w:val="0"/>
      </w:pPr>
      <w:r/>
      <w:bookmarkStart w:id="77" w:name="_Toc19924"/>
      <w:r/>
      <w:bookmarkStart w:id="78" w:name="_Toc20328"/>
      <w:r/>
      <w:bookmarkStart w:id="79" w:name="_Toc11756"/>
      <w:r/>
      <w:bookmarkStart w:id="80" w:name="_Toc6197"/>
      <w:r/>
      <w:bookmarkStart w:id="81" w:name="_Toc12681"/>
      <w:r/>
      <w:bookmarkStart w:id="82" w:name="_Toc7805"/>
      <w:r/>
      <w:bookmarkStart w:id="83" w:name="_Toc1772"/>
      <w:r/>
      <w:bookmarkStart w:id="84" w:name="_Toc21313"/>
      <w:r/>
      <w:bookmarkStart w:id="85" w:name="_Toc29609"/>
      <w:r/>
      <w:bookmarkStart w:id="86" w:name="_Toc16880"/>
      <w:r/>
      <w:bookmarkStart w:id="87" w:name="_Toc23629"/>
      <w:r/>
      <w:bookmarkStart w:id="88" w:name="_Toc26202"/>
      <w:r/>
      <w:bookmarkStart w:id="89" w:name="_Toc14810"/>
      <w:r/>
      <w:bookmarkStart w:id="90" w:name="_Toc6439"/>
      <w:r>
        <w:rPr>
          <w:rFonts w:hint="eastAsia" w:ascii="仿宋" w:hAnsi="仿宋" w:eastAsia="仿宋" w:cs="仿宋"/>
          <w:b/>
          <w:bCs/>
          <w:color w:val="000000"/>
          <w:sz w:val="36"/>
          <w:szCs w:val="36"/>
          <w:highlight w:val="none"/>
        </w:rPr>
        <w:t xml:space="preserve">第一章  投标邀请</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受淮安市淮安区住房和城乡建设局的委托，淮安江益工程项目管理咨询有限公司就淮安区城市排水设施更新</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期工程-淮安区城市生命线安全工程进行公开招标采购，现邀请符合条件的供应商参加投标。</w:t>
      </w:r>
      <w:r/>
    </w:p>
    <w:p>
      <w:pPr>
        <w:spacing w:line="500" w:lineRule="exact"/>
        <w:rPr>
          <w:rFonts w:hint="eastAsia"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rPr>
        <w:t xml:space="preserve">项目概况</w:t>
      </w:r>
      <w:r/>
    </w:p>
    <w:p>
      <w:pPr>
        <w:ind w:firstLine="840"/>
        <w:spacing w:line="500" w:lineRule="exact"/>
        <w:rPr>
          <w:rFonts w:hint="eastAsia" w:ascii="仿宋" w:hAnsi="仿宋" w:eastAsia="仿宋" w:cs="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8"/>
          <w:szCs w:val="28"/>
          <w:highlight w:val="none"/>
          <w:u w:val="single"/>
        </w:rPr>
        <w:t xml:space="preserve">淮安区城市排水设施更新一期工程-淮安区城市生命线安全工程 </w:t>
      </w:r>
      <w:r>
        <w:rPr>
          <w:rFonts w:hint="eastAsia" w:ascii="仿宋" w:hAnsi="仿宋" w:eastAsia="仿宋" w:cs="仿宋"/>
          <w:color w:val="auto"/>
          <w:sz w:val="28"/>
          <w:szCs w:val="28"/>
          <w:highlight w:val="none"/>
        </w:rPr>
        <w:t xml:space="preserve">的潜在供应商可在</w:t>
      </w:r>
      <w:bookmarkStart w:id="91" w:name="OLE_LINK65"/>
      <w:r>
        <w:rPr>
          <w:rFonts w:hint="eastAsia" w:ascii="仿宋" w:hAnsi="仿宋" w:eastAsia="仿宋" w:cs="仿宋"/>
          <w:color w:val="auto"/>
          <w:sz w:val="28"/>
          <w:szCs w:val="28"/>
          <w:highlight w:val="none"/>
        </w:rPr>
        <w:t xml:space="preserve">“淮安市政府采购网” （http://czj.huaian.gov.cn/col/13924_326175/indeX.html）、“淮安市公共资源交易网” （http://ggzy.huaian.gov.cn/）</w:t>
      </w:r>
      <w:bookmarkEnd w:id="91"/>
      <w:r>
        <w:rPr>
          <w:rFonts w:hint="eastAsia" w:ascii="仿宋" w:hAnsi="仿宋" w:eastAsia="仿宋" w:cs="仿宋"/>
          <w:color w:val="auto"/>
          <w:sz w:val="28"/>
          <w:szCs w:val="28"/>
          <w:highlight w:val="none"/>
        </w:rPr>
        <w:t xml:space="preserve">自行下载招标文件，并于</w:t>
      </w:r>
      <w:r>
        <w:rPr>
          <w:rFonts w:hint="eastAsia" w:ascii="仿宋" w:hAnsi="仿宋" w:eastAsia="仿宋" w:cs="仿宋"/>
          <w:b/>
          <w:bCs/>
          <w:color w:val="auto"/>
          <w:sz w:val="28"/>
          <w:szCs w:val="28"/>
          <w:highlight w:val="none"/>
          <w:u w:val="single"/>
        </w:rPr>
        <w:t xml:space="preserve">2025年1</w:t>
      </w:r>
      <w:r>
        <w:rPr>
          <w:rFonts w:hint="eastAsia" w:ascii="仿宋" w:hAnsi="仿宋" w:eastAsia="仿宋" w:cs="仿宋"/>
          <w:b/>
          <w:bCs/>
          <w:color w:val="auto"/>
          <w:sz w:val="28"/>
          <w:szCs w:val="28"/>
          <w:highlight w:val="none"/>
          <w:u w:val="single"/>
          <w:lang w:val="en-US" w:eastAsia="zh-CN"/>
        </w:rPr>
        <w:t xml:space="preserve">2</w:t>
      </w:r>
      <w:r>
        <w:rPr>
          <w:rFonts w:hint="eastAsia" w:ascii="仿宋" w:hAnsi="仿宋" w:eastAsia="仿宋" w:cs="仿宋"/>
          <w:b/>
          <w:bCs/>
          <w:color w:val="auto"/>
          <w:sz w:val="28"/>
          <w:szCs w:val="28"/>
          <w:highlight w:val="none"/>
          <w:u w:val="single"/>
        </w:rPr>
        <w:t xml:space="preserve">月</w:t>
      </w:r>
      <w:r>
        <w:rPr>
          <w:rFonts w:hint="eastAsia" w:ascii="仿宋" w:hAnsi="仿宋" w:eastAsia="仿宋" w:cs="仿宋"/>
          <w:b/>
          <w:bCs/>
          <w:color w:val="auto"/>
          <w:sz w:val="28"/>
          <w:szCs w:val="28"/>
          <w:highlight w:val="none"/>
          <w:u w:val="single"/>
          <w:lang w:val="en-US" w:eastAsia="zh-CN"/>
        </w:rPr>
        <w:t xml:space="preserve">15</w:t>
      </w:r>
      <w:r>
        <w:rPr>
          <w:rFonts w:hint="eastAsia" w:ascii="仿宋" w:hAnsi="仿宋" w:eastAsia="仿宋" w:cs="仿宋"/>
          <w:b/>
          <w:bCs/>
          <w:color w:val="auto"/>
          <w:sz w:val="28"/>
          <w:szCs w:val="28"/>
          <w:highlight w:val="none"/>
          <w:u w:val="single"/>
        </w:rPr>
        <w:t xml:space="preserve">日</w:t>
      </w:r>
      <w:r>
        <w:rPr>
          <w:rFonts w:hint="eastAsia" w:ascii="仿宋" w:hAnsi="仿宋" w:eastAsia="仿宋" w:cs="仿宋"/>
          <w:b/>
          <w:bCs/>
          <w:color w:val="auto"/>
          <w:sz w:val="28"/>
          <w:szCs w:val="28"/>
          <w:highlight w:val="none"/>
          <w:u w:val="single"/>
          <w:lang w:val="en-US" w:eastAsia="zh-CN"/>
        </w:rPr>
        <w:t xml:space="preserve">14时</w:t>
      </w:r>
      <w:r>
        <w:rPr>
          <w:rFonts w:hint="eastAsia" w:ascii="仿宋" w:hAnsi="仿宋" w:eastAsia="仿宋" w:cs="仿宋"/>
          <w:b/>
          <w:bCs/>
          <w:color w:val="auto"/>
          <w:sz w:val="28"/>
          <w:szCs w:val="28"/>
          <w:highlight w:val="none"/>
          <w:u w:val="single"/>
        </w:rPr>
        <w:t xml:space="preserve">00分</w:t>
      </w:r>
      <w:r>
        <w:rPr>
          <w:rFonts w:hint="eastAsia" w:ascii="仿宋" w:hAnsi="仿宋" w:eastAsia="仿宋" w:cs="仿宋"/>
          <w:color w:val="auto"/>
          <w:sz w:val="28"/>
          <w:szCs w:val="28"/>
          <w:highlight w:val="none"/>
        </w:rPr>
        <w:t xml:space="preserve">（北京时间）前递交投标文件。</w:t>
      </w:r>
      <w:r/>
    </w:p>
    <w:p>
      <w:pPr>
        <w:ind w:firstLine="560"/>
        <w:spacing w:line="500" w:lineRule="exact"/>
        <w:rPr>
          <w:rFonts w:hint="eastAsia" w:ascii="仿宋" w:hAnsi="仿宋" w:eastAsia="仿宋" w:cs="仿宋"/>
          <w:color w:val="auto"/>
          <w:sz w:val="28"/>
          <w:szCs w:val="28"/>
          <w:highlight w:val="none"/>
        </w:rPr>
      </w:pPr>
      <w:r/>
      <w:bookmarkStart w:id="92" w:name="_Toc35393629"/>
      <w:r/>
      <w:bookmarkStart w:id="93" w:name="_Toc28359012"/>
      <w:r/>
      <w:bookmarkStart w:id="94" w:name="_Toc35393798"/>
      <w:r/>
      <w:bookmarkStart w:id="95" w:name="_Toc28359089"/>
      <w:r>
        <w:rPr>
          <w:rFonts w:hint="eastAsia" w:ascii="仿宋" w:hAnsi="仿宋" w:eastAsia="仿宋" w:cs="仿宋"/>
          <w:color w:val="auto"/>
          <w:sz w:val="28"/>
          <w:szCs w:val="28"/>
          <w:highlight w:val="none"/>
        </w:rPr>
        <w:t xml:space="preserve">一、项目基本情况</w:t>
      </w:r>
      <w:bookmarkEnd w:id="92"/>
      <w:r/>
      <w:bookmarkEnd w:id="93"/>
      <w:r/>
      <w:bookmarkEnd w:id="94"/>
      <w:r/>
      <w:bookmarkEnd w:id="95"/>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（一）项目编号：JSZC-320803-HAJY-G2025-0018</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（二）项目名称：淮安区城市排水设施更新一期工程-淮安区城市生命线安全工程</w:t>
      </w:r>
      <w:r/>
    </w:p>
    <w:p>
      <w:pPr>
        <w:ind w:firstLine="560"/>
        <w:spacing w:line="500" w:lineRule="exact"/>
        <w:rPr>
          <w:rFonts w:hint="eastAsia" w:ascii="仿宋" w:hAnsi="仿宋" w:eastAsia="仿宋" w:cs="仿宋"/>
          <w:color w:val="auto"/>
          <w:sz w:val="28"/>
          <w:szCs w:val="28"/>
          <w:highlight w:val="none"/>
        </w:rPr>
      </w:pPr>
      <w:r/>
      <w:bookmarkStart w:id="96" w:name="OLE_LINK76"/>
      <w:r>
        <w:rPr>
          <w:rFonts w:hint="eastAsia" w:ascii="仿宋" w:hAnsi="仿宋" w:eastAsia="仿宋" w:cs="仿宋"/>
          <w:color w:val="auto"/>
          <w:sz w:val="28"/>
          <w:szCs w:val="28"/>
          <w:highlight w:val="none"/>
        </w:rPr>
        <w:t xml:space="preserve">（三）采购方式：公开招标</w:t>
      </w:r>
      <w:bookmarkEnd w:id="96"/>
      <w:r>
        <w:rPr>
          <w:rFonts w:hint="eastAsia" w:ascii="仿宋" w:hAnsi="仿宋" w:eastAsia="仿宋" w:cs="仿宋"/>
          <w:color w:val="auto"/>
          <w:sz w:val="28"/>
          <w:szCs w:val="28"/>
          <w:highlight w:val="none"/>
        </w:rPr>
        <w:t xml:space="preserve"> </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w:t>
      </w:r>
      <w:bookmarkStart w:id="97" w:name="OLE_LINK66"/>
      <w:r>
        <w:rPr>
          <w:rFonts w:hint="eastAsia" w:ascii="仿宋" w:hAnsi="仿宋" w:eastAsia="仿宋" w:cs="仿宋"/>
          <w:color w:val="auto"/>
          <w:sz w:val="28"/>
          <w:szCs w:val="28"/>
          <w:highlight w:val="none"/>
        </w:rPr>
        <w:t xml:space="preserve">预算金额：</w:t>
      </w:r>
      <w:bookmarkStart w:id="98" w:name="OLE_LINK69"/>
      <w:r>
        <w:rPr>
          <w:rFonts w:hint="eastAsia" w:ascii="仿宋" w:hAnsi="仿宋" w:eastAsia="仿宋" w:cs="仿宋"/>
          <w:color w:val="auto"/>
          <w:sz w:val="28"/>
          <w:szCs w:val="28"/>
          <w:highlight w:val="none"/>
        </w:rPr>
        <w:t xml:space="preserve">人民币</w:t>
      </w:r>
      <w:r>
        <w:rPr>
          <w:rFonts w:hint="eastAsia" w:ascii="仿宋" w:hAnsi="仿宋" w:eastAsia="仿宋" w:cs="仿宋"/>
          <w:color w:val="auto"/>
          <w:sz w:val="28"/>
          <w:szCs w:val="28"/>
          <w:highlight w:val="none"/>
          <w:lang w:val="en-US" w:eastAsia="zh-CN"/>
        </w:rPr>
        <w:t xml:space="preserve">1493.46</w:t>
      </w:r>
      <w:r>
        <w:rPr>
          <w:rFonts w:hint="eastAsia" w:ascii="仿宋" w:hAnsi="仿宋" w:eastAsia="仿宋" w:cs="仿宋"/>
          <w:color w:val="auto"/>
          <w:sz w:val="28"/>
          <w:szCs w:val="28"/>
          <w:highlight w:val="none"/>
        </w:rPr>
        <w:t xml:space="preserve">万元</w:t>
      </w:r>
      <w:bookmarkEnd w:id="97"/>
      <w:r/>
      <w:bookmarkEnd w:id="98"/>
      <w:r/>
      <w:bookmarkStart w:id="99" w:name="OLE_LINK3"/>
      <w:r>
        <w:rPr>
          <w:rFonts w:hint="eastAsia" w:ascii="仿宋" w:hAnsi="仿宋" w:eastAsia="仿宋" w:cs="仿宋"/>
          <w:color w:val="auto"/>
          <w:sz w:val="28"/>
          <w:szCs w:val="28"/>
          <w:highlight w:val="none"/>
          <w:lang w:val="zh-CN"/>
        </w:rPr>
        <w:t xml:space="preserve">。</w:t>
      </w:r>
      <w:bookmarkEnd w:id="99"/>
      <w:r/>
      <w:r/>
    </w:p>
    <w:p>
      <w:pPr>
        <w:ind w:firstLine="56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（五）</w:t>
      </w:r>
      <w:bookmarkStart w:id="100" w:name="OLE_LINK37"/>
      <w:r/>
      <w:bookmarkStart w:id="101" w:name="OLE_LINK83"/>
      <w:r>
        <w:rPr>
          <w:rFonts w:hint="eastAsia" w:ascii="仿宋" w:hAnsi="仿宋" w:eastAsia="仿宋" w:cs="仿宋"/>
          <w:color w:val="auto"/>
          <w:sz w:val="28"/>
          <w:szCs w:val="28"/>
          <w:highlight w:val="none"/>
        </w:rPr>
        <w:t xml:space="preserve">最高限价：</w:t>
      </w:r>
      <w:bookmarkEnd w:id="100"/>
      <w:r/>
      <w:bookmarkEnd w:id="101"/>
      <w:r>
        <w:rPr>
          <w:rFonts w:hint="eastAsia" w:ascii="仿宋" w:hAnsi="仿宋" w:eastAsia="仿宋" w:cs="仿宋"/>
          <w:color w:val="auto"/>
          <w:sz w:val="28"/>
          <w:szCs w:val="28"/>
          <w:highlight w:val="none"/>
        </w:rPr>
        <w:t xml:space="preserve">人民币</w:t>
      </w:r>
      <w:r>
        <w:rPr>
          <w:rFonts w:hint="eastAsia" w:ascii="仿宋" w:hAnsi="仿宋" w:eastAsia="仿宋" w:cs="仿宋"/>
          <w:color w:val="auto"/>
          <w:sz w:val="28"/>
          <w:szCs w:val="28"/>
          <w:highlight w:val="none"/>
          <w:lang w:val="en-US" w:eastAsia="zh-CN"/>
        </w:rPr>
        <w:t xml:space="preserve">1350</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lang w:val="zh-CN"/>
        </w:rPr>
        <w:t xml:space="preserve">。</w:t>
      </w:r>
      <w:r/>
    </w:p>
    <w:p>
      <w:pPr>
        <w:ind w:firstLine="560"/>
        <w:spacing w:line="500" w:lineRule="exact"/>
        <w:rPr>
          <w:rFonts w:hint="eastAsia" w:ascii="仿宋" w:hAnsi="仿宋" w:eastAsia="仿宋" w:cs="仿宋"/>
          <w:sz w:val="28"/>
          <w:szCs w:val="28"/>
          <w:highlight w:val="none"/>
          <w:u w:val="single"/>
        </w:rPr>
      </w:pPr>
      <w:r>
        <w:rPr>
          <w:rFonts w:hint="eastAsia" w:ascii="仿宋" w:hAnsi="仿宋" w:eastAsia="仿宋" w:cs="仿宋"/>
          <w:color w:val="000000"/>
          <w:sz w:val="28"/>
          <w:szCs w:val="28"/>
          <w:highlight w:val="none"/>
        </w:rPr>
        <w:t xml:space="preserve">（六）采购需求：淮安区城市生命线安全工程，具体详见采购需求。</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（七）服务期限：</w:t>
      </w:r>
      <w:bookmarkStart w:id="102" w:name="OLE_LINK72"/>
      <w:r>
        <w:rPr>
          <w:rFonts w:hint="eastAsia" w:ascii="仿宋" w:hAnsi="仿宋" w:eastAsia="仿宋" w:cs="仿宋"/>
          <w:b w:val="0"/>
          <w:bCs w:val="0"/>
          <w:sz w:val="28"/>
          <w:szCs w:val="28"/>
          <w:highlight w:val="none"/>
        </w:rPr>
        <w:t xml:space="preserve">自合同签订起1年，服务质保期：5年。</w:t>
      </w:r>
      <w:bookmarkEnd w:id="102"/>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（八）本项目（</w:t>
      </w:r>
      <w:r>
        <w:rPr>
          <w:rFonts w:ascii="Wingdings" w:hAnsi="Wingdings" w:eastAsia="Wingdings" w:cs="Wingdings"/>
          <w:color w:val="000000"/>
          <w:sz w:val="28"/>
          <w:szCs w:val="28"/>
          <w:highlight w:val="none"/>
        </w:rPr>
        <w:t xml:space="preserve">¨</w:t>
      </w:r>
      <w:r>
        <w:rPr>
          <w:rFonts w:hint="eastAsia" w:ascii="仿宋" w:hAnsi="仿宋" w:eastAsia="仿宋" w:cs="仿宋"/>
          <w:color w:val="000000"/>
          <w:sz w:val="28"/>
          <w:szCs w:val="28"/>
          <w:highlight w:val="none"/>
        </w:rPr>
        <w:t xml:space="preserve">是☑否）接受联合体投标。</w:t>
      </w:r>
      <w:r/>
    </w:p>
    <w:p>
      <w:pPr>
        <w:ind w:firstLine="560"/>
        <w:spacing w:line="500" w:lineRule="exact"/>
        <w:rPr>
          <w:rFonts w:hint="eastAsia" w:ascii="仿宋" w:hAnsi="仿宋" w:eastAsia="仿宋" w:cs="仿宋"/>
          <w:color w:val="000000"/>
          <w:sz w:val="28"/>
          <w:szCs w:val="28"/>
          <w:highlight w:val="none"/>
        </w:rPr>
      </w:pPr>
      <w:r/>
      <w:bookmarkStart w:id="103" w:name="OLE_LINK75"/>
      <w:r>
        <w:rPr>
          <w:rFonts w:hint="eastAsia" w:ascii="仿宋" w:hAnsi="仿宋" w:eastAsia="仿宋" w:cs="仿宋"/>
          <w:color w:val="000000"/>
          <w:sz w:val="28"/>
          <w:szCs w:val="28"/>
          <w:highlight w:val="none"/>
        </w:rPr>
        <w:t xml:space="preserve">（九）本项目采购标的对应的中小企业划分标准所属行业为</w:t>
      </w:r>
      <w:r>
        <w:rPr>
          <w:rFonts w:hint="eastAsia" w:ascii="仿宋" w:hAnsi="仿宋" w:eastAsia="仿宋" w:cs="仿宋"/>
          <w:color w:val="000000"/>
          <w:sz w:val="28"/>
          <w:szCs w:val="28"/>
          <w:highlight w:val="none"/>
          <w:u w:val="single"/>
        </w:rPr>
        <w:t xml:space="preserve">软件和信息技术服务业</w:t>
      </w:r>
      <w:r>
        <w:rPr>
          <w:rFonts w:hint="eastAsia" w:ascii="仿宋" w:hAnsi="仿宋" w:eastAsia="仿宋" w:cs="仿宋"/>
          <w:color w:val="000000"/>
          <w:sz w:val="28"/>
          <w:szCs w:val="28"/>
          <w:highlight w:val="none"/>
        </w:rPr>
        <w:t xml:space="preserve">。</w:t>
      </w:r>
      <w:bookmarkEnd w:id="103"/>
      <w:r/>
      <w:r/>
    </w:p>
    <w:p>
      <w:pPr>
        <w:ind w:firstLine="560"/>
        <w:spacing w:line="500" w:lineRule="exact"/>
        <w:rPr>
          <w:rFonts w:hint="eastAsia" w:ascii="仿宋" w:hAnsi="仿宋" w:eastAsia="仿宋" w:cs="仿宋"/>
          <w:color w:val="000000"/>
          <w:sz w:val="28"/>
          <w:szCs w:val="28"/>
          <w:highlight w:val="none"/>
        </w:rPr>
      </w:pPr>
      <w:r/>
      <w:bookmarkStart w:id="104" w:name="_Toc28359013"/>
      <w:r/>
      <w:bookmarkStart w:id="105" w:name="_Toc28359090"/>
      <w:r/>
      <w:bookmarkStart w:id="106" w:name="_Toc35393630"/>
      <w:r/>
      <w:bookmarkStart w:id="107" w:name="_Toc35393799"/>
      <w:r>
        <w:rPr>
          <w:rFonts w:hint="eastAsia" w:ascii="仿宋" w:hAnsi="仿宋" w:eastAsia="仿宋" w:cs="仿宋"/>
          <w:color w:val="000000"/>
          <w:sz w:val="28"/>
          <w:szCs w:val="28"/>
          <w:highlight w:val="none"/>
        </w:rPr>
        <w:t xml:space="preserve">二、申请人的资格要求</w:t>
      </w:r>
      <w:bookmarkEnd w:id="104"/>
      <w:r/>
      <w:bookmarkEnd w:id="105"/>
      <w:r/>
      <w:bookmarkEnd w:id="106"/>
      <w:r/>
      <w:bookmarkEnd w:id="107"/>
      <w:r/>
      <w:r/>
    </w:p>
    <w:p>
      <w:pPr>
        <w:ind w:firstLine="560"/>
        <w:spacing w:line="500" w:lineRule="exact"/>
        <w:tabs>
          <w:tab w:val="left" w:pos="0" w:leader="none"/>
        </w:tabs>
        <w:rPr>
          <w:rFonts w:hint="eastAsia" w:ascii="仿宋" w:hAnsi="仿宋" w:eastAsia="仿宋" w:cs="仿宋"/>
          <w:color w:val="000000"/>
          <w:sz w:val="28"/>
          <w:szCs w:val="28"/>
          <w:highlight w:val="none"/>
        </w:rPr>
      </w:pPr>
      <w:r/>
      <w:bookmarkStart w:id="108" w:name="OLE_LINK78"/>
      <w:r>
        <w:rPr>
          <w:rFonts w:hint="eastAsia" w:ascii="仿宋" w:hAnsi="仿宋" w:eastAsia="仿宋" w:cs="仿宋"/>
          <w:color w:val="000000"/>
          <w:sz w:val="28"/>
          <w:szCs w:val="28"/>
          <w:highlight w:val="none"/>
        </w:rPr>
        <w:t xml:space="preserve">（一）符合《中华人民共和国政府采购法》第二十二条规定；</w:t>
      </w:r>
      <w:bookmarkEnd w:id="108"/>
      <w:r/>
      <w:r/>
    </w:p>
    <w:p>
      <w:pPr>
        <w:ind w:firstLine="562"/>
        <w:spacing w:line="500" w:lineRule="exact"/>
        <w:rPr>
          <w:rFonts w:hint="eastAsia" w:ascii="仿宋" w:hAnsi="仿宋" w:eastAsia="仿宋" w:cs="仿宋"/>
          <w:color w:val="000000"/>
          <w:sz w:val="28"/>
          <w:szCs w:val="28"/>
          <w:highlight w:val="none"/>
        </w:rPr>
      </w:pPr>
      <w:r/>
      <w:bookmarkStart w:id="109" w:name="OLE_LINK81"/>
      <w:r/>
      <w:bookmarkStart w:id="110" w:name="OLE_LINK82"/>
      <w:r>
        <w:rPr>
          <w:rFonts w:hint="eastAsia" w:ascii="仿宋" w:hAnsi="仿宋" w:eastAsia="仿宋" w:cs="仿宋"/>
          <w:b/>
          <w:bCs/>
          <w:color w:val="000000"/>
          <w:sz w:val="28"/>
          <w:szCs w:val="28"/>
          <w:highlight w:val="none"/>
        </w:rPr>
        <w:t xml:space="preserve">（二）落实政府采购政策需满足的资格要求:</w:t>
      </w:r>
      <w:r/>
    </w:p>
    <w:p>
      <w:pPr>
        <w:ind w:firstLine="560"/>
        <w:spacing w:line="500" w:lineRule="exact"/>
        <w:rPr>
          <w:rFonts w:hint="eastAsia" w:ascii="仿宋" w:hAnsi="仿宋" w:eastAsia="仿宋" w:cs="仿宋"/>
          <w:color w:val="000000"/>
          <w:sz w:val="28"/>
          <w:szCs w:val="28"/>
          <w:highlight w:val="none"/>
        </w:rPr>
      </w:pPr>
      <w:r/>
      <w:bookmarkStart w:id="111" w:name="OLE_LINK94"/>
      <w:r>
        <w:rPr>
          <w:rFonts w:hint="eastAsia" w:ascii="仿宋" w:hAnsi="仿宋" w:eastAsia="仿宋" w:cs="仿宋"/>
          <w:color w:val="000000"/>
          <w:sz w:val="28"/>
          <w:szCs w:val="28"/>
          <w:highlight w:val="none"/>
        </w:rPr>
        <w:t xml:space="preserve">本项目按照以下第</w:t>
      </w:r>
      <w:r>
        <w:rPr>
          <w:rFonts w:hint="eastAsia" w:ascii="仿宋" w:hAnsi="仿宋" w:eastAsia="仿宋" w:cs="仿宋"/>
          <w:color w:val="000000"/>
          <w:sz w:val="28"/>
          <w:szCs w:val="28"/>
          <w:highlight w:val="none"/>
          <w:u w:val="single"/>
        </w:rPr>
        <w:t xml:space="preserve">3</w:t>
      </w:r>
      <w:r>
        <w:rPr>
          <w:rFonts w:hint="eastAsia" w:ascii="仿宋" w:hAnsi="仿宋" w:eastAsia="仿宋" w:cs="仿宋"/>
          <w:color w:val="000000"/>
          <w:sz w:val="28"/>
          <w:szCs w:val="28"/>
          <w:highlight w:val="none"/>
        </w:rPr>
        <w:t xml:space="preserve">种方式落实政府采购促进中小企业发展的要求：</w:t>
      </w:r>
      <w:bookmarkEnd w:id="109"/>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1.本项目为专门面向中小企业采购的项目。</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2.本项目通过以下第（）种方式预留部分采购份额采购中小企业服务：</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（1）本项目要求供应商以联合体形式参加，中小企业合同金额应当达到的比例为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%（两项比例均应符合《政府采购促进中小企业发展管理办法》第八条规定）。</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（2）本项目要求供应商进行合同分包，中小企业合同金额应当达到的比例为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%（两项比例均应符合《政府采购促进中小企业发展管理办法》第八条规定）。</w:t>
      </w:r>
      <w:bookmarkEnd w:id="111"/>
      <w:r/>
      <w:r/>
    </w:p>
    <w:p>
      <w:pPr>
        <w:ind w:firstLine="560"/>
        <w:spacing w:line="50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3、本项目为非预留份额的采购项目，</w:t>
      </w:r>
      <w:r>
        <w:rPr>
          <w:rFonts w:hint="eastAsia" w:ascii="仿宋" w:hAnsi="仿宋" w:eastAsia="仿宋" w:cs="仿宋"/>
          <w:sz w:val="28"/>
          <w:szCs w:val="28"/>
          <w:highlight w:val="none"/>
        </w:rPr>
        <w:t xml:space="preserve">对小微企业报价给予扣除，用扣除后的价格参加评审，具体详见第二章“</w:t>
      </w:r>
      <w:r>
        <w:rPr>
          <w:rFonts w:hint="eastAsia" w:ascii="仿宋" w:hAnsi="仿宋" w:eastAsia="仿宋" w:cs="仿宋"/>
          <w:color w:val="000000"/>
          <w:sz w:val="28"/>
          <w:szCs w:val="28"/>
          <w:highlight w:val="none"/>
        </w:rPr>
        <w:t xml:space="preserve">供应商须知”第33.1项</w:t>
      </w:r>
      <w:r>
        <w:rPr>
          <w:rFonts w:hint="eastAsia" w:ascii="仿宋" w:hAnsi="仿宋" w:eastAsia="仿宋" w:cs="仿宋"/>
          <w:color w:val="000000"/>
          <w:sz w:val="28"/>
          <w:szCs w:val="28"/>
          <w:highlight w:val="none"/>
          <w:lang w:val="zh-CN"/>
        </w:rPr>
        <w:t xml:space="preserve">。</w:t>
      </w:r>
      <w:r/>
    </w:p>
    <w:p>
      <w:pPr>
        <w:ind w:firstLine="560"/>
        <w:spacing w:line="50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4"/>
        </w:numPr>
        <w:ind w:left="1959" w:hanging="140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t xml:space="preserve">本项目的特定资格要求：</w:t>
      </w:r>
      <w:bookmarkEnd w:id="110"/>
      <w:r>
        <w:rPr>
          <w:rFonts w:hint="eastAsia" w:ascii="仿宋" w:hAnsi="仿宋" w:eastAsia="仿宋" w:cs="仿宋"/>
          <w:color w:val="000000"/>
          <w:sz w:val="28"/>
          <w:szCs w:val="28"/>
          <w:highlight w:val="none"/>
          <w:u w:val="single"/>
        </w:rPr>
        <w:t xml:space="preserve">/</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（四）拒绝下述条件的供应商参加本次采购活动:</w:t>
      </w:r>
      <w:r/>
    </w:p>
    <w:p>
      <w:pPr>
        <w:ind w:firstLine="560"/>
        <w:spacing w:line="500" w:lineRule="exact"/>
        <w:rPr>
          <w:rFonts w:hint="eastAsia" w:ascii="仿宋" w:hAnsi="仿宋" w:eastAsia="仿宋" w:cs="仿宋"/>
          <w:color w:val="000000"/>
          <w:sz w:val="28"/>
          <w:szCs w:val="28"/>
          <w:highlight w:val="none"/>
        </w:rPr>
      </w:pPr>
      <w:r/>
      <w:bookmarkStart w:id="112" w:name="_Toc28359014"/>
      <w:r/>
      <w:bookmarkStart w:id="113" w:name="_Toc35393800"/>
      <w:r/>
      <w:bookmarkStart w:id="114" w:name="_Toc28359091"/>
      <w:r/>
      <w:bookmarkStart w:id="115" w:name="_Toc35393631"/>
      <w:r>
        <w:rPr>
          <w:rFonts w:hint="eastAsia" w:ascii="仿宋" w:hAnsi="仿宋" w:eastAsia="仿宋" w:cs="仿宋"/>
          <w:color w:val="000000"/>
          <w:sz w:val="28"/>
          <w:szCs w:val="28"/>
          <w:highlight w:val="none"/>
        </w:rPr>
        <w:t xml:space="preserve">1.供应商单位负责人为同一人或者存在直接控股、管理关系的不同供应商，不得同时参加同一合同项下的政府采购活动。</w:t>
      </w:r>
      <w:r/>
    </w:p>
    <w:p>
      <w:pPr>
        <w:ind w:firstLine="560"/>
        <w:spacing w:line="500" w:lineRule="exact"/>
        <w:rPr>
          <w:rFonts w:hint="eastAsia" w:ascii="仿宋" w:hAnsi="仿宋" w:eastAsia="仿宋" w:cs="仿宋"/>
          <w:b/>
          <w:i/>
          <w:color w:val="000000"/>
          <w:sz w:val="28"/>
          <w:szCs w:val="28"/>
          <w:highlight w:val="none"/>
        </w:rPr>
      </w:pPr>
      <w:r>
        <w:rPr>
          <w:rFonts w:hint="eastAsia" w:ascii="仿宋" w:hAnsi="仿宋" w:eastAsia="仿宋" w:cs="仿宋"/>
          <w:color w:val="000000"/>
          <w:sz w:val="28"/>
          <w:szCs w:val="28"/>
          <w:highlight w:val="none"/>
        </w:rPr>
        <w:t xml:space="preserve">2.凡为采购项目提供整体设计、规范编制或者项目管理、监理、检测等服务的供应商，不得再参加本项目的采购活动。</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3.供应商被“信用中国”网站、“中国政府采购网”列入失信被执行人、重大税收违法案件当事人名单、政府采购严重违法失信行为记录名单。</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三、获取招标文件</w:t>
      </w:r>
      <w:bookmarkEnd w:id="112"/>
      <w:r/>
      <w:bookmarkEnd w:id="113"/>
      <w:r/>
      <w:bookmarkEnd w:id="114"/>
      <w:r/>
      <w:bookmarkEnd w:id="115"/>
      <w:r/>
      <w:r/>
    </w:p>
    <w:p>
      <w:pPr>
        <w:ind w:firstLine="560"/>
        <w:spacing w:line="500" w:lineRule="exact"/>
        <w:rPr>
          <w:rFonts w:hint="eastAsia" w:ascii="仿宋" w:hAnsi="仿宋" w:eastAsia="仿宋" w:cs="仿宋"/>
          <w:color w:val="000000"/>
          <w:sz w:val="28"/>
          <w:szCs w:val="28"/>
          <w:highlight w:val="none"/>
        </w:rPr>
      </w:pPr>
      <w:r/>
      <w:bookmarkStart w:id="116" w:name="_Toc28359019"/>
      <w:r/>
      <w:bookmarkStart w:id="117" w:name="_Toc28359096"/>
      <w:r/>
      <w:bookmarkStart w:id="118" w:name="_Toc35393637"/>
      <w:r/>
      <w:bookmarkStart w:id="119" w:name="_Toc35393806"/>
      <w:r>
        <w:rPr>
          <w:rFonts w:hint="eastAsia" w:ascii="仿宋" w:hAnsi="仿宋" w:eastAsia="仿宋" w:cs="仿宋"/>
          <w:color w:val="000000"/>
          <w:sz w:val="28"/>
          <w:szCs w:val="28"/>
          <w:highlight w:val="none"/>
        </w:rPr>
        <w:t xml:space="preserve">1.时间:自招标公告发布之日起五个工作日。</w:t>
      </w:r>
      <w:r/>
    </w:p>
    <w:p>
      <w:pPr>
        <w:ind w:firstLine="565"/>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8"/>
          <w:szCs w:val="28"/>
          <w:highlight w:val="none"/>
        </w:rPr>
        <w:t xml:space="preserve">2.获取方式:供应商登陆江苏政府采购网或者淮安市政府采购网，在网站首页点击“苏采云”→使用CA锁登陆系统（新用户需进行“平台用户注册”）→“项目参与”进行登记，在“可参与项目”中选择“我要参与”，参与成功后到“已参与项目”界面中找到该项目下载文件并进行操作。</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w:t>
      </w:r>
      <w:bookmarkStart w:id="120" w:name="_Toc28359093"/>
      <w:r/>
      <w:bookmarkStart w:id="121" w:name="_Toc35393633"/>
      <w:r/>
      <w:bookmarkStart w:id="122" w:name="_Toc35393802"/>
      <w:r/>
      <w:bookmarkStart w:id="123" w:name="_Toc28359016"/>
      <w:r>
        <w:rPr>
          <w:rFonts w:hint="eastAsia" w:ascii="仿宋" w:hAnsi="仿宋" w:eastAsia="仿宋" w:cs="仿宋"/>
          <w:color w:val="000000"/>
          <w:sz w:val="28"/>
          <w:szCs w:val="28"/>
          <w:highlight w:val="none"/>
        </w:rPr>
        <w:t xml:space="preserve">提交投标文件截止时间、开标时间和地点</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（一）电子投标文件提交截止时间及开标时间:</w:t>
      </w:r>
      <w:r>
        <w:rPr>
          <w:rFonts w:hint="eastAsia" w:ascii="仿宋" w:hAnsi="仿宋" w:eastAsia="仿宋" w:cs="仿宋"/>
          <w:b/>
          <w:bCs/>
          <w:color w:val="auto"/>
          <w:sz w:val="28"/>
          <w:szCs w:val="28"/>
          <w:highlight w:val="none"/>
        </w:rPr>
        <w:t xml:space="preserve">2025年1</w:t>
      </w: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月</w:t>
      </w:r>
      <w:r>
        <w:rPr>
          <w:rFonts w:hint="eastAsia" w:ascii="仿宋" w:hAnsi="仿宋" w:eastAsia="仿宋" w:cs="仿宋"/>
          <w:b/>
          <w:bCs/>
          <w:color w:val="auto"/>
          <w:sz w:val="28"/>
          <w:szCs w:val="28"/>
          <w:highlight w:val="none"/>
          <w:lang w:val="en-US" w:eastAsia="zh-CN"/>
        </w:rPr>
        <w:t xml:space="preserve">15</w:t>
      </w:r>
      <w:r>
        <w:rPr>
          <w:rFonts w:hint="eastAsia" w:ascii="仿宋" w:hAnsi="仿宋" w:eastAsia="仿宋" w:cs="仿宋"/>
          <w:b/>
          <w:bCs/>
          <w:color w:val="auto"/>
          <w:sz w:val="28"/>
          <w:szCs w:val="28"/>
          <w:highlight w:val="none"/>
        </w:rPr>
        <w:t xml:space="preserve">日</w:t>
      </w:r>
      <w:r>
        <w:rPr>
          <w:rFonts w:hint="eastAsia" w:ascii="仿宋" w:hAnsi="仿宋" w:eastAsia="仿宋" w:cs="仿宋"/>
          <w:b/>
          <w:bCs/>
          <w:color w:val="auto"/>
          <w:sz w:val="28"/>
          <w:szCs w:val="28"/>
          <w:highlight w:val="none"/>
          <w:lang w:val="en-US" w:eastAsia="zh-CN"/>
        </w:rPr>
        <w:t xml:space="preserve">14</w:t>
      </w:r>
      <w:bookmarkStart w:id="326" w:name="_GoBack"/>
      <w:r/>
      <w:bookmarkEnd w:id="326"/>
      <w:r>
        <w:rPr>
          <w:rFonts w:hint="eastAsia" w:ascii="仿宋" w:hAnsi="仿宋" w:eastAsia="仿宋" w:cs="仿宋"/>
          <w:b/>
          <w:bCs/>
          <w:color w:val="auto"/>
          <w:sz w:val="28"/>
          <w:szCs w:val="28"/>
          <w:highlight w:val="none"/>
          <w:lang w:val="en-US" w:eastAsia="zh-CN"/>
        </w:rPr>
        <w:t xml:space="preserve">时</w:t>
      </w:r>
      <w:r>
        <w:rPr>
          <w:rFonts w:hint="eastAsia" w:ascii="仿宋" w:hAnsi="仿宋" w:eastAsia="仿宋" w:cs="仿宋"/>
          <w:b/>
          <w:bCs/>
          <w:color w:val="auto"/>
          <w:sz w:val="28"/>
          <w:szCs w:val="28"/>
          <w:highlight w:val="none"/>
        </w:rPr>
        <w:t xml:space="preserve">00分。</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（二）开标地点：</w:t>
      </w:r>
      <w:bookmarkStart w:id="124" w:name="OLE_LINK84"/>
      <w:r>
        <w:rPr>
          <w:rFonts w:hint="eastAsia" w:ascii="仿宋" w:hAnsi="仿宋" w:eastAsia="仿宋" w:cs="仿宋"/>
          <w:color w:val="000000"/>
          <w:sz w:val="28"/>
          <w:szCs w:val="28"/>
          <w:highlight w:val="none"/>
        </w:rPr>
        <w:t xml:space="preserve">“苏采云”政府采购交易系统网上开标大厅。</w:t>
      </w:r>
      <w:bookmarkEnd w:id="124"/>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w:t>
      </w:r>
      <w:bookmarkEnd w:id="120"/>
      <w:r/>
      <w:bookmarkEnd w:id="121"/>
      <w:r/>
      <w:bookmarkEnd w:id="122"/>
      <w:r/>
      <w:bookmarkEnd w:id="123"/>
      <w:r/>
      <w:bookmarkStart w:id="125" w:name="_Toc35393634"/>
      <w:r/>
      <w:bookmarkStart w:id="126" w:name="_Toc35393803"/>
      <w:r/>
      <w:bookmarkStart w:id="127" w:name="_Toc28359094"/>
      <w:r/>
      <w:bookmarkStart w:id="128" w:name="_Toc28359017"/>
      <w:r>
        <w:rPr>
          <w:rFonts w:hint="eastAsia" w:ascii="仿宋" w:hAnsi="仿宋" w:eastAsia="仿宋" w:cs="仿宋"/>
          <w:color w:val="000000"/>
          <w:sz w:val="28"/>
          <w:szCs w:val="28"/>
          <w:highlight w:val="none"/>
        </w:rPr>
        <w:t xml:space="preserve">、公告期限</w:t>
      </w:r>
      <w:bookmarkEnd w:id="125"/>
      <w:r/>
      <w:bookmarkEnd w:id="126"/>
      <w:r/>
      <w:bookmarkEnd w:id="127"/>
      <w:r/>
      <w:bookmarkEnd w:id="128"/>
      <w:r/>
      <w:r/>
    </w:p>
    <w:p>
      <w:pPr>
        <w:ind w:firstLine="560"/>
        <w:spacing w:line="500" w:lineRule="exact"/>
        <w:rPr>
          <w:rFonts w:hint="eastAsia" w:ascii="仿宋" w:hAnsi="仿宋" w:eastAsia="仿宋" w:cs="仿宋"/>
          <w:color w:val="000000"/>
          <w:sz w:val="28"/>
          <w:szCs w:val="28"/>
          <w:highlight w:val="none"/>
        </w:rPr>
      </w:pPr>
      <w:r/>
      <w:bookmarkStart w:id="129" w:name="_Toc35393804"/>
      <w:r/>
      <w:bookmarkStart w:id="130" w:name="_Toc35393635"/>
      <w:r>
        <w:rPr>
          <w:rFonts w:hint="eastAsia" w:ascii="仿宋" w:hAnsi="仿宋" w:eastAsia="仿宋" w:cs="仿宋"/>
          <w:color w:val="000000"/>
          <w:sz w:val="28"/>
          <w:szCs w:val="28"/>
          <w:highlight w:val="none"/>
        </w:rPr>
        <w:t xml:space="preserve">招标文件公告期限为自本公告发布之日起5个工作日。</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六、其他补充事宜</w:t>
      </w:r>
      <w:bookmarkEnd w:id="129"/>
      <w:r/>
      <w:bookmarkEnd w:id="130"/>
      <w:r/>
      <w:r/>
    </w:p>
    <w:p>
      <w:pPr>
        <w:ind w:firstLine="560"/>
        <w:spacing w:line="500" w:lineRule="exact"/>
        <w:rPr>
          <w:rFonts w:hint="eastAsia" w:ascii="仿宋" w:hAnsi="仿宋" w:eastAsia="仿宋" w:cs="仿宋"/>
          <w:color w:val="000000"/>
          <w:sz w:val="28"/>
          <w:szCs w:val="28"/>
          <w:highlight w:val="none"/>
        </w:rPr>
      </w:pPr>
      <w:r/>
      <w:bookmarkStart w:id="131" w:name="OLE_LINK85"/>
      <w:r/>
      <w:bookmarkStart w:id="132" w:name="_Toc35393636"/>
      <w:r/>
      <w:bookmarkStart w:id="133" w:name="_Toc28359018"/>
      <w:r/>
      <w:bookmarkStart w:id="134" w:name="_Toc35393805"/>
      <w:r/>
      <w:bookmarkStart w:id="135" w:name="_Toc28359095"/>
      <w:r>
        <w:rPr>
          <w:rFonts w:hint="eastAsia" w:ascii="仿宋" w:hAnsi="仿宋" w:eastAsia="仿宋" w:cs="仿宋"/>
          <w:color w:val="000000"/>
          <w:sz w:val="28"/>
          <w:szCs w:val="28"/>
          <w:highlight w:val="none"/>
        </w:rPr>
        <w:t xml:space="preserve"> 1.投标保证金:根据苏财购〔2020〕52号文件要求，为进一步降低供应商投标成本，本项目不收取投标保证金。</w:t>
      </w:r>
      <w:bookmarkEnd w:id="131"/>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七、对本次招标提出询问，请按以下方式联系。</w:t>
      </w:r>
      <w:bookmarkEnd w:id="132"/>
      <w:r/>
      <w:bookmarkEnd w:id="133"/>
      <w:r/>
      <w:bookmarkEnd w:id="134"/>
      <w:r/>
      <w:bookmarkEnd w:id="135"/>
      <w:r/>
      <w:r/>
    </w:p>
    <w:p>
      <w:pPr>
        <w:ind w:firstLine="560"/>
        <w:spacing w:line="500" w:lineRule="exact"/>
        <w:rPr>
          <w:rFonts w:hint="eastAsia" w:ascii="仿宋" w:hAnsi="仿宋" w:eastAsia="仿宋" w:cs="仿宋"/>
          <w:color w:val="000000"/>
          <w:sz w:val="28"/>
          <w:szCs w:val="28"/>
          <w:highlight w:val="none"/>
        </w:rPr>
      </w:pPr>
      <w:r/>
      <w:bookmarkStart w:id="136" w:name="OLE_LINK56"/>
      <w:r>
        <w:rPr>
          <w:rFonts w:hint="eastAsia" w:ascii="仿宋" w:hAnsi="仿宋" w:eastAsia="仿宋" w:cs="仿宋"/>
          <w:color w:val="000000"/>
          <w:sz w:val="28"/>
          <w:szCs w:val="28"/>
          <w:highlight w:val="none"/>
        </w:rPr>
        <w:t xml:space="preserve">1.采购单位信息</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bookmarkStart w:id="137" w:name="OLE_LINK87"/>
      <w:r>
        <w:rPr>
          <w:rFonts w:hint="eastAsia" w:ascii="仿宋" w:hAnsi="仿宋" w:eastAsia="仿宋" w:cs="仿宋"/>
          <w:color w:val="000000"/>
          <w:sz w:val="28"/>
          <w:szCs w:val="28"/>
          <w:highlight w:val="none"/>
        </w:rPr>
        <w:t xml:space="preserve">淮安市淮安区住房和城乡建设局 </w:t>
      </w:r>
      <w:bookmarkEnd w:id="137"/>
      <w:r>
        <w:rPr>
          <w:rFonts w:hint="eastAsia" w:ascii="仿宋" w:hAnsi="仿宋" w:eastAsia="仿宋" w:cs="仿宋"/>
          <w:color w:val="000000"/>
          <w:sz w:val="28"/>
          <w:szCs w:val="28"/>
          <w:highlight w:val="none"/>
        </w:rPr>
        <w:t xml:space="preserve">　　　　　　　　　　　　</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eastAsia="zh-CN"/>
        </w:rPr>
        <w:t xml:space="preserve">江苏省淮安市淮安区西长街417号</w:t>
      </w:r>
      <w:r>
        <w:rPr>
          <w:rFonts w:hint="eastAsia" w:ascii="仿宋" w:hAnsi="仿宋" w:eastAsia="仿宋" w:cs="仿宋"/>
          <w:color w:val="000000"/>
          <w:sz w:val="28"/>
          <w:szCs w:val="28"/>
          <w:highlight w:val="none"/>
        </w:rPr>
        <w:t xml:space="preserve"> 　　　　　　　　　　　　</w:t>
      </w:r>
      <w:r/>
    </w:p>
    <w:p>
      <w:pPr>
        <w:ind w:firstLine="560"/>
        <w:spacing w:line="500" w:lineRule="exact"/>
        <w:rPr>
          <w:rFonts w:hint="eastAsia" w:ascii="仿宋" w:hAnsi="仿宋" w:eastAsia="仿宋" w:cs="仿宋"/>
          <w:color w:val="000000"/>
          <w:sz w:val="28"/>
          <w:szCs w:val="28"/>
          <w:highlight w:val="none"/>
        </w:rPr>
      </w:pPr>
      <w:r/>
      <w:bookmarkStart w:id="138" w:name="OLE_LINK89"/>
      <w:r>
        <w:rPr>
          <w:rFonts w:hint="eastAsia" w:ascii="仿宋" w:hAnsi="仿宋" w:eastAsia="仿宋" w:cs="仿宋"/>
          <w:color w:val="000000"/>
          <w:sz w:val="28"/>
          <w:szCs w:val="28"/>
          <w:highlight w:val="none"/>
        </w:rPr>
        <w:t xml:space="preserve">联系人：贺向军       电话：0517-80822068</w:t>
      </w:r>
      <w:bookmarkEnd w:id="116"/>
      <w:r/>
      <w:bookmarkEnd w:id="117"/>
      <w:r/>
      <w:bookmarkEnd w:id="118"/>
      <w:r/>
      <w:bookmarkEnd w:id="119"/>
      <w:r/>
      <w:bookmarkEnd w:id="138"/>
      <w:r/>
      <w:r/>
    </w:p>
    <w:p>
      <w:pPr>
        <w:ind w:firstLine="560"/>
        <w:spacing w:line="500" w:lineRule="exact"/>
        <w:rPr>
          <w:rFonts w:hint="eastAsia" w:ascii="仿宋" w:hAnsi="仿宋" w:eastAsia="仿宋" w:cs="仿宋"/>
          <w:color w:val="000000"/>
          <w:sz w:val="28"/>
          <w:szCs w:val="28"/>
          <w:highlight w:val="none"/>
        </w:rPr>
      </w:pPr>
      <w:r/>
      <w:bookmarkStart w:id="139" w:name="OLE_LINK92"/>
      <w:r>
        <w:rPr>
          <w:rFonts w:hint="eastAsia" w:ascii="仿宋" w:hAnsi="仿宋" w:eastAsia="仿宋" w:cs="仿宋"/>
          <w:color w:val="000000"/>
          <w:sz w:val="28"/>
          <w:szCs w:val="28"/>
          <w:highlight w:val="none"/>
        </w:rPr>
        <w:t xml:space="preserve">2.代理公司</w:t>
      </w:r>
      <w:bookmarkEnd w:id="139"/>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名称：淮安江益工程项目管理咨询有限公司</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地址：淮安市淮阴区中业慧谷B27-2</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 葛工      0517-84933011</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3.项目联系方式</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项目联系人:葛工 </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电话:0517-84933011</w:t>
      </w:r>
      <w:bookmarkEnd w:id="136"/>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八、其他</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供应商通过苏采云系统参与政府采购项目，需要CA数字证书和电子签章。</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p>
    <w:p>
      <w:pPr>
        <w:ind w:firstLine="560"/>
        <w:spacing w:line="500" w:lineRule="exact"/>
        <w:rPr>
          <w:rFonts w:hint="eastAsia" w:ascii="仿宋" w:hAnsi="仿宋" w:eastAsia="仿宋" w:cs="仿宋"/>
          <w:b/>
          <w:color w:val="000000"/>
          <w:sz w:val="36"/>
          <w:szCs w:val="36"/>
          <w:highlight w:val="none"/>
        </w:rPr>
      </w:pPr>
      <w:r>
        <w:rPr>
          <w:rFonts w:hint="eastAsia" w:ascii="仿宋" w:hAnsi="仿宋" w:eastAsia="仿宋" w:cs="仿宋"/>
          <w:color w:val="000000"/>
          <w:sz w:val="28"/>
          <w:szCs w:val="28"/>
          <w:highlight w:val="none"/>
        </w:rPr>
        <w:t xml:space="preserve">2.有关本次招标的事项若存在变动或修改，敬请及时关注淮安江益工程项目管理咨询有限公司在“淮安市政府采购网”、“淮安市公共资源交易网”发布的更正公告。</w:t>
      </w:r>
      <w:bookmarkStart w:id="140" w:name="_Toc29072"/>
      <w:r/>
      <w:bookmarkStart w:id="141" w:name="_Toc29528"/>
      <w:r/>
      <w:bookmarkStart w:id="142" w:name="_Toc2249"/>
      <w:r/>
      <w:bookmarkStart w:id="143" w:name="_Toc12498"/>
      <w:r/>
      <w:bookmarkStart w:id="144" w:name="_Toc18484"/>
      <w:r/>
      <w:bookmarkStart w:id="145" w:name="_Toc25306"/>
      <w:r/>
      <w:bookmarkStart w:id="146" w:name="_Toc15926"/>
      <w:r/>
      <w:bookmarkStart w:id="147" w:name="_Toc15250"/>
      <w:r/>
      <w:bookmarkStart w:id="148" w:name="_Toc20219"/>
      <w:r/>
      <w:bookmarkStart w:id="149" w:name="_Toc24839"/>
      <w:r/>
      <w:bookmarkStart w:id="150" w:name="_Toc25262"/>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spacing w:line="400" w:lineRule="exact"/>
        <w:rPr>
          <w:rFonts w:hint="eastAsia" w:ascii="仿宋" w:hAnsi="仿宋" w:eastAsia="仿宋" w:cs="仿宋"/>
          <w:b/>
          <w:color w:val="000000"/>
          <w:sz w:val="36"/>
          <w:szCs w:val="36"/>
          <w:highlight w:val="none"/>
        </w:rPr>
      </w:pPr>
      <w:r/>
      <w:bookmarkStart w:id="151" w:name="_Toc19309"/>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40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rPr>
          <w:rFonts w:hint="eastAsia" w:ascii="仿宋" w:hAnsi="仿宋" w:eastAsia="仿宋" w:cs="仿宋"/>
          <w:b/>
          <w:color w:val="000000"/>
          <w:sz w:val="36"/>
          <w:szCs w:val="36"/>
          <w:highlight w:val="none"/>
        </w:rPr>
      </w:pPr>
      <w:r/>
      <w:bookmarkStart w:id="152" w:name="_Toc23110"/>
      <w:r>
        <w:rPr>
          <w:rFonts w:hint="eastAsia" w:ascii="仿宋" w:hAnsi="仿宋" w:eastAsia="仿宋" w:cs="仿宋"/>
          <w:b/>
          <w:color w:val="000000"/>
          <w:sz w:val="36"/>
          <w:szCs w:val="36"/>
          <w:highlight w:val="none"/>
        </w:rPr>
        <w:br w:type="page" w:clear="all"/>
      </w:r>
      <w:r/>
    </w:p>
    <w:p>
      <w:pPr>
        <w:jc w:val="center"/>
        <w:spacing w:line="400" w:lineRule="exact"/>
        <w:rPr>
          <w:rFonts w:hint="eastAsia" w:ascii="仿宋" w:hAnsi="仿宋" w:eastAsia="仿宋" w:cs="仿宋"/>
          <w:b/>
          <w:color w:val="000000"/>
          <w:sz w:val="36"/>
          <w:szCs w:val="36"/>
          <w:highlight w:val="none"/>
        </w:rPr>
        <w:outlineLvl w:val="0"/>
      </w:pPr>
      <w:r/>
      <w:bookmarkStart w:id="153" w:name="_Toc21836"/>
      <w:r>
        <w:rPr>
          <w:rFonts w:hint="eastAsia" w:ascii="仿宋" w:hAnsi="仿宋" w:eastAsia="仿宋" w:cs="仿宋"/>
          <w:b/>
          <w:color w:val="000000"/>
          <w:sz w:val="36"/>
          <w:szCs w:val="36"/>
          <w:highlight w:val="none"/>
        </w:rPr>
        <w:t xml:space="preserve">第二章  供应商须知</w:t>
      </w:r>
      <w:bookmarkEnd w:id="140"/>
      <w:r/>
      <w:bookmarkEnd w:id="141"/>
      <w:r/>
      <w:bookmarkEnd w:id="142"/>
      <w:r/>
      <w:bookmarkEnd w:id="143"/>
      <w:r/>
      <w:bookmarkEnd w:id="151"/>
      <w:r/>
      <w:bookmarkEnd w:id="152"/>
      <w:r/>
      <w:bookmarkEnd w:id="153"/>
      <w:r/>
      <w:r/>
    </w:p>
    <w:p>
      <w:pPr>
        <w:spacing w:line="4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一、总则</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1.适用范围</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本招标文件仅适用于本次招标所述项目的采购。</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2.合格的供应商</w:t>
      </w:r>
      <w:r/>
    </w:p>
    <w:p>
      <w:pPr>
        <w:ind w:firstLine="555"/>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 满足第一章招标公告中供应商资格要求的规定。 </w:t>
      </w:r>
      <w:r/>
    </w:p>
    <w:p>
      <w:pPr>
        <w:ind w:firstLine="555"/>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满足招标文件中实质性条款的规定。</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3.适用法律</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 《中华人民共和国政府采购法》、《中华人民共和国政府采购法实施条例》、《政府采购货物和服务招标投标管理办法》等有关法律、规章和规定等。</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4.投标费用</w:t>
      </w:r>
      <w:r/>
    </w:p>
    <w:p>
      <w:pPr>
        <w:ind w:firstLine="555"/>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供应商应自行承担所有与参加投标有关的费用。不论投标的结果如何，淮安江益工程项目管理咨询有限公司（以下简称采购代理机构）及淮安市淮安区住房和城乡建设局（以下简称采购单位）在任何情况下均无义务和责任承担这些费用。</w:t>
      </w:r>
      <w:r/>
    </w:p>
    <w:p>
      <w:pPr>
        <w:ind w:firstLine="555"/>
        <w:spacing w:line="400" w:lineRule="exact"/>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4.2本项目代理服务费按柒万</w:t>
      </w:r>
      <w:r>
        <w:rPr>
          <w:rFonts w:hint="eastAsia" w:ascii="仿宋" w:hAnsi="仿宋" w:eastAsia="仿宋" w:cs="仿宋"/>
          <w:sz w:val="28"/>
          <w:szCs w:val="28"/>
          <w:highlight w:val="none"/>
          <w:lang w:val="en-US" w:eastAsia="zh-CN"/>
        </w:rPr>
        <w:t xml:space="preserve">伍仟</w:t>
      </w:r>
      <w:r>
        <w:rPr>
          <w:rFonts w:hint="eastAsia" w:ascii="仿宋" w:hAnsi="仿宋" w:eastAsia="仿宋" w:cs="仿宋"/>
          <w:sz w:val="28"/>
          <w:szCs w:val="28"/>
          <w:highlight w:val="none"/>
        </w:rPr>
        <w:t xml:space="preserve">元收取。</w:t>
      </w:r>
      <w:r>
        <w:rPr>
          <w:rFonts w:hint="eastAsia" w:ascii="仿宋" w:hAnsi="仿宋" w:eastAsia="仿宋" w:cs="仿宋"/>
          <w:color w:val="000000"/>
          <w:sz w:val="28"/>
          <w:szCs w:val="28"/>
          <w:highlight w:val="none"/>
        </w:rPr>
        <w:t xml:space="preserve">中标人必须在中标通知书发出前向淮安江益工程项目管理咨询有限公司交纳代理服务费，此费用须包含在报价中，但无须单独列项计取。中标人在领取中标通知书时，递交三份系统打印的投标文件至淮安江益工程项目管理咨询有限公司。</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5.招标文件的约束力</w:t>
      </w:r>
      <w:r/>
    </w:p>
    <w:p>
      <w:pPr>
        <w:ind w:firstLine="555"/>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 供应商一旦参加本项目采购活动，即被认为接受了本招标文件的规定和约束。</w:t>
      </w:r>
      <w:r/>
    </w:p>
    <w:p>
      <w:pPr>
        <w:spacing w:line="400" w:lineRule="exact"/>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rPr>
        <w:t xml:space="preserve">二、招标文件</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6.招标文件由以下部分组成:</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 招标文件由以下部分组成：</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（1）招标公告</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（2）供应商须知</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（3）合同文本</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（4）采购需求</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（5）评标方法与评标标准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（6）投标文件格式</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请仔细检查招标文件是否齐全，如有缺漏请立即与淮安江益工程项目管理咨询有限公司联系。</w:t>
      </w:r>
      <w:r/>
    </w:p>
    <w:p>
      <w:pPr>
        <w:ind w:firstLine="560"/>
        <w:spacing w:line="400" w:lineRule="exact"/>
        <w:rPr>
          <w:rFonts w:hint="eastAsia" w:ascii="仿宋" w:hAnsi="仿宋" w:eastAsia="仿宋" w:cs="仿宋"/>
          <w:color w:val="000000"/>
          <w:highlight w:val="none"/>
        </w:rPr>
      </w:pPr>
      <w:r>
        <w:rPr>
          <w:rFonts w:hint="eastAsia" w:ascii="仿宋" w:hAnsi="仿宋" w:eastAsia="仿宋" w:cs="仿宋"/>
          <w:color w:val="000000"/>
          <w:sz w:val="28"/>
          <w:szCs w:val="28"/>
          <w:highlight w:val="none"/>
        </w:rPr>
        <w:t xml:space="preserve">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7.招标文件的澄清</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7.1任何要求对招标文件进行澄清的供应商，应在投标截止日期十日前按招标公告中的通讯地址，以书面形式通知采购单位或采购代理机构。</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8.招标文件的修改</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8.1在投标截止时间前，采购单位或采购代理机构可以对招标文件进行修改。</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8.2采购单位有权按照法定的要求推迟投标截止日期和开标日期。</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8.3招标文件的修改将在“淮安市政府采购网”</w:t>
      </w:r>
      <w:r>
        <w:rPr>
          <w:rFonts w:hint="eastAsia" w:ascii="仿宋" w:hAnsi="仿宋" w:eastAsia="仿宋" w:cs="仿宋"/>
          <w:color w:val="000000"/>
          <w:highlight w:val="none"/>
        </w:rPr>
        <w:t xml:space="preserve"> </w:t>
      </w:r>
      <w:r>
        <w:rPr>
          <w:rFonts w:hint="eastAsia" w:ascii="仿宋" w:hAnsi="仿宋" w:eastAsia="仿宋" w:cs="仿宋"/>
          <w:color w:val="000000"/>
          <w:sz w:val="28"/>
          <w:szCs w:val="28"/>
          <w:highlight w:val="none"/>
        </w:rPr>
        <w:t xml:space="preserve">“淮安市公共资源交易网”公布，补充文件将作为招标文件的组成部分，并对供应商具有约束力。</w:t>
      </w:r>
      <w:r/>
    </w:p>
    <w:p>
      <w:pPr>
        <w:spacing w:line="4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三、投标文件的编制</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9.投标文件的语言及度量衡单位</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9.1供应商提交的投标文件以及供应商与采购单位或采购代理机构就有关投标的所有来往通知、函件和文件均应使用简体中文。</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9.2除技术性能另有规定外，投标文件所使用的度量衡单位，均须采用国家法定计量单位。</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10.投标文件构成</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10.1供应商编写的投标文件应包括资格证明文件、符合性证明文件、投标分项报价表、其他证明文件、投标函、开标一览表等部分。</w:t>
      </w:r>
      <w:r/>
    </w:p>
    <w:p>
      <w:pPr>
        <w:ind w:firstLine="560"/>
        <w:spacing w:line="400" w:lineRule="exact"/>
        <w:rPr>
          <w:rFonts w:hint="eastAsia" w:ascii="仿宋" w:hAnsi="仿宋" w:eastAsia="仿宋" w:cs="仿宋"/>
          <w:color w:val="000000"/>
          <w:highlight w:val="none"/>
        </w:rPr>
      </w:pPr>
      <w:r>
        <w:rPr>
          <w:rFonts w:hint="eastAsia" w:ascii="仿宋" w:hAnsi="仿宋" w:eastAsia="仿宋" w:cs="仿宋"/>
          <w:color w:val="000000"/>
          <w:sz w:val="28"/>
          <w:szCs w:val="28"/>
          <w:highlight w:val="none"/>
        </w:rPr>
        <w:t xml:space="preserve">10.2如标书制作工具中格式和内容与“淮安市政府采购网”</w:t>
      </w:r>
      <w:r>
        <w:rPr>
          <w:rFonts w:hint="eastAsia" w:ascii="仿宋" w:hAnsi="仿宋" w:eastAsia="仿宋" w:cs="仿宋"/>
          <w:color w:val="000000"/>
          <w:highlight w:val="none"/>
        </w:rPr>
        <w:t xml:space="preserve"> </w:t>
      </w:r>
      <w:r>
        <w:rPr>
          <w:rFonts w:hint="eastAsia" w:ascii="仿宋" w:hAnsi="仿宋" w:eastAsia="仿宋" w:cs="仿宋"/>
          <w:color w:val="000000"/>
          <w:sz w:val="28"/>
          <w:szCs w:val="28"/>
          <w:highlight w:val="none"/>
        </w:rPr>
        <w:t xml:space="preserve">“淮安市公共资源交易网”发布的招标文件不一致，请以“淮安市政府采购网”发布的招标文件为准。</w:t>
      </w:r>
      <w:r/>
    </w:p>
    <w:p>
      <w:pPr>
        <w:spacing w:line="400" w:lineRule="exact"/>
        <w:rPr>
          <w:rFonts w:hint="eastAsia" w:ascii="仿宋" w:hAnsi="仿宋" w:eastAsia="仿宋" w:cs="仿宋"/>
          <w:color w:val="000000"/>
          <w:sz w:val="28"/>
          <w:szCs w:val="28"/>
          <w:highlight w:val="none"/>
        </w:rPr>
      </w:pPr>
      <w:r/>
      <w:bookmarkStart w:id="154" w:name="_Toc14577355"/>
      <w:r/>
      <w:bookmarkStart w:id="155" w:name="_Toc49090508"/>
      <w:r>
        <w:rPr>
          <w:rFonts w:hint="eastAsia" w:ascii="仿宋" w:hAnsi="仿宋" w:eastAsia="仿宋" w:cs="仿宋"/>
          <w:color w:val="000000"/>
          <w:sz w:val="28"/>
          <w:szCs w:val="28"/>
          <w:highlight w:val="none"/>
        </w:rPr>
        <w:t xml:space="preserve">11.证明供应商及投标标的符合招标文件规定的文件</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11.1供应商应按照招标文件要求提交证明文件，证明其及投标标的符合招标文件规定。</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11.2招标文件对证明文件无明确形式要求的，证明文件可以以文字资料、图纸和数据等形式提交。</w:t>
      </w:r>
      <w:bookmarkEnd w:id="154"/>
      <w:r/>
      <w:bookmarkEnd w:id="155"/>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12.投标分项报价表</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12.1供应商应按照招标文件规定格式填报投标分项报价表。</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12.2投标货币。投标文件中的单价和总价无特殊规定的采用人民币报价，以元为单位标注。招标文件中另有规定的按规定执行。</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13.技术要求响应及偏离表、商务要求响应及偏离表（如有）</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13.1供应商需对招标文件中的技术要求与商务要求逐项作出响应或偏离，并说明原因。</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13.2 供应商可在投标文件中提供认为需要的其他技术文件或说明。</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14.投标函和开标一览表</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14.1供应商应按照招标文件中提供的格式完整、正确填写投标函、开标一览表。</w:t>
      </w:r>
      <w:r/>
    </w:p>
    <w:p>
      <w:pPr>
        <w:ind w:firstLine="560"/>
        <w:spacing w:line="40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14.2开标一览表中的投标报价应与投标分项报价表中的投标报价一致，如不一致，不作为无效投标处理，但评标时按开标一览表中价格为准。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14.3本项目投标报价应包括服务期限内完成本项目所需的所有费用：包括人工费（包括人员工资、社会保险费用、福利费、加班费、值班费、人身意外伤害险等）、设备费、</w:t>
      </w:r>
      <w:r>
        <w:rPr>
          <w:rFonts w:hint="eastAsia" w:ascii="仿宋" w:hAnsi="仿宋" w:eastAsia="仿宋" w:cs="仿宋"/>
          <w:color w:val="000000"/>
          <w:sz w:val="28"/>
          <w:szCs w:val="28"/>
          <w:highlight w:val="none"/>
          <w:lang w:val="en-US" w:eastAsia="zh-CN"/>
        </w:rPr>
        <w:t xml:space="preserve">土建费、安装费、</w:t>
      </w:r>
      <w:r>
        <w:rPr>
          <w:rFonts w:hint="eastAsia" w:ascii="仿宋" w:hAnsi="仿宋" w:eastAsia="仿宋" w:cs="仿宋"/>
          <w:color w:val="000000"/>
          <w:sz w:val="28"/>
          <w:szCs w:val="28"/>
          <w:highlight w:val="none"/>
        </w:rPr>
        <w:t xml:space="preserve">工具费、服务费、作业费、差旅费、通讯费、编制费（含印刷费）、耗材费、风险费、利润、税费及政策性文件规定和合同所包含的所有风险、责任等各项应有费用。</w:t>
      </w:r>
      <w:r/>
    </w:p>
    <w:p>
      <w:pPr>
        <w:contextualSpacing/>
        <w:ind w:firstLine="198"/>
        <w:jc w:val="left"/>
        <w:spacing w:before="120" w:after="120"/>
        <w:widowControl/>
        <w:rPr>
          <w:rFonts w:hint="eastAsia" w:ascii="仿宋" w:hAnsi="仿宋" w:eastAsia="仿宋" w:cs="仿宋"/>
          <w:color w:val="000000"/>
          <w:szCs w:val="21"/>
          <w:highlight w:val="none"/>
        </w:rPr>
      </w:pPr>
      <w:r>
        <w:rPr>
          <w:rFonts w:hint="eastAsia" w:ascii="仿宋" w:hAnsi="仿宋" w:eastAsia="仿宋" w:cs="仿宋"/>
          <w:color w:val="000000"/>
          <w:sz w:val="28"/>
          <w:szCs w:val="28"/>
          <w:highlight w:val="none"/>
        </w:rPr>
        <w:t xml:space="preserve">注：投标报价高于预算价或低于成本价的作无效报价处理。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14.4供应商的任何错漏、优惠、竞争性报价不得作为减轻责任、减少服务、增加收费、降低质量的理由。</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14.5采购单位不接受备选的方案或有选择的报价。</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14.6投标报价应以人民币为货币单位。</w:t>
      </w:r>
      <w:r/>
    </w:p>
    <w:p>
      <w:pPr>
        <w:ind w:firstLine="560"/>
        <w:spacing w:line="40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14.7供应商报价折扣率，保留两位小数。</w:t>
      </w:r>
      <w:r>
        <w:rPr>
          <w:rFonts w:hint="eastAsia" w:ascii="仿宋" w:hAnsi="仿宋" w:eastAsia="仿宋" w:cs="仿宋"/>
          <w:b/>
          <w:bCs/>
          <w:color w:val="000000"/>
          <w:sz w:val="28"/>
          <w:szCs w:val="28"/>
          <w:highlight w:val="none"/>
        </w:rPr>
        <w:t xml:space="preserve"> </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15.投标有效期</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15.1投标有效期为开标之日六十天。投标有效期比规定短的将被视为未实质性响应招标文件而予以拒绝。</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16.投标有效期的延长</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在特殊情况下，采购单位或采购代理机构于原投标有效期满之前，可向供应商提出延长投标有效期的要求。这种要求与答复均应采用书面形式。供应商可以拒绝采购单位的这一要求而放弃投标，同意延长投标有效期的供应商既不能要求也不允许修改其投标文件。受投标有效期约束的所有权利与义务均延长至新的有效期。 </w:t>
      </w:r>
      <w:r/>
    </w:p>
    <w:p>
      <w:pPr>
        <w:spacing w:line="4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四、投标文件上传</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17.投标文件的上传</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17.1 电子投标文件的递交</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供应商应当按照《操作手册》规定，在投标截止时间前制作并上传电子投标文件。</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中标人在领取中标通知书之前，必须提供叁份与电子投标文件一致的纸质打印投标文件并且加盖供应商公章</w:t>
      </w:r>
      <w:r>
        <w:rPr>
          <w:rFonts w:hint="eastAsia" w:ascii="仿宋" w:hAnsi="仿宋" w:eastAsia="仿宋" w:cs="仿宋"/>
          <w:color w:val="000000"/>
          <w:sz w:val="28"/>
          <w:szCs w:val="28"/>
          <w:highlight w:val="none"/>
        </w:rPr>
        <w:t xml:space="preserve">。</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18.投标截止时间</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 供应商上传电子投标文件的时间不得迟于招标公告中规定的投标截止时间。</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供应商应充分考虑到网络环境、网络带宽等风险因素，如因供应商中标人原因造成的电子投标文件上传不成功的按照本招标文件第二章第26.1.2条规定作无效投标处理。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18.2 采购单位可以按照规定，通过修改招标文件酌情延长投标截止时间，在此情况下，供应商的所有权利和义务以及供应商受制的截止时间均应以延长后新的截止时间为准。</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19.投标文件的拒收</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19.1采购单位拒绝接收在其规定的投标截止时间后上传的任何投标文件。</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20.投标文件的撤回和修改</w:t>
      </w:r>
      <w:r/>
    </w:p>
    <w:p>
      <w:pPr>
        <w:ind w:firstLine="560"/>
        <w:spacing w:line="400" w:lineRule="exact"/>
        <w:rPr>
          <w:rFonts w:hint="eastAsia" w:ascii="仿宋" w:hAnsi="仿宋" w:eastAsia="仿宋" w:cs="仿宋"/>
          <w:color w:val="000000"/>
          <w:sz w:val="28"/>
          <w:szCs w:val="28"/>
          <w:highlight w:val="none"/>
        </w:rPr>
      </w:pPr>
      <w:r/>
      <w:bookmarkStart w:id="156" w:name="_Toc162083530"/>
      <w:r>
        <w:rPr>
          <w:rFonts w:hint="eastAsia" w:ascii="仿宋" w:hAnsi="仿宋" w:eastAsia="仿宋" w:cs="仿宋"/>
          <w:color w:val="000000"/>
          <w:sz w:val="28"/>
          <w:szCs w:val="28"/>
          <w:highlight w:val="none"/>
        </w:rPr>
        <w:t xml:space="preserve">20.1 投标文件的撤回</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20.1.1 电子投标文件的撤回</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供应商可在投标截止时间前，撤回其电子投标文件，具体操作方法见《操作手册》。</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20.1.2 供应商撤回电子投标文件，则认为其不再参与本项目投标活动。</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20.2 投标文件的修改</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20.2.1供应商可在投标截止时间前，对其电子投标文件进行修改，具体操作方法见《操作手册》。</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20.2.2在投标截止时间之后，供应商不得对其电子投标文件作任何修改。</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20.3在投标截止时间至招标文件中规定的投标有效期满之间的这段时间内，供应商不得撤回其投标。</w:t>
      </w:r>
      <w:r/>
    </w:p>
    <w:p>
      <w:pPr>
        <w:spacing w:line="4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五、开标及评标</w:t>
      </w:r>
      <w:bookmarkEnd w:id="156"/>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21.开标</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21.1 采购单位将在招标公告中规定的时间和地点组织公开开标。供应商应当按照《操作手册》规定，参加开标活动和在苏采云系统规定的时间内对投标文件进行解密。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21.2开标仪式由采购单位组织。苏采云系统将自动对项目进行开标，并宣布各供应商名称和投标价格。</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21.3供应商在开标过程中涉及的投标文件解密、开标结果确认等工作，应按照《操作手册》规定执行。</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21.4供应商如果对开标过程和开标记录有疑义，应当根据《操作手册》规定提出，如苏采云系统中《开标记录表》宣布后5分钟内未提出的，视同认可开标结果。</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21.5全流程不见面交易采购”说明</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21.5.1由于“苏采云政府采购一体化平台”中标人原因导致项目不能正常进行的，项目作废标处理。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21.5.2本项目的下载文件、上传投标文件均通过互联网操作，请供应商充分考虑网络拥堵及平台操作所需时间等因素。因供应商中标人原因导致操作失败的，其责任自负。</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21.5.3本项目投标文件的编制使用“苏采云政府采购一体化平台”客户端，投标文件的编制和上传，应按照招标文件的规定进行。如未按招标文件要求编制、上传电子投标文件，将可能作无效投标文件处理，其后果由供应商自负。</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21.5.4“全流程不见面交易”活动当日，供应商不必抵达现场，仅需在电子投标文件上传截止时间前，在任意地点通过登录“苏采云政府采购一体化平台”选择可参与项目参与开标。在规定时间内填写《确认函》并进行电子签章，未在规定时间内登录的或未能填写《确认函》并进行电子签章的，视为放弃交互和放弃对活动全过程提疑的权利，并承担由此导致的一切后果。具体操作详见《操作手册》，技术问题咨询0517-83638013。</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21.5.5因供应商网络与电源不稳定、未按《操作手册》要求配置软硬件、解密CA锁发生故障或用错、故意不在要求时限内完成解密等中标人原因，导致投标文件在规定时间内未能解密、解密失败或解密超时，作无效投标文件处理。因“苏采云政府采购一体化平台”发生故障，导致无法按时完成投标文件解密，可根据实际情况相应延迟解密时间。本项目在限定的解密时间内，只要有任一家供应商解密成功，即视为“苏采云政府采购一体化平台”运行无故障。</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21.5.6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21.5.7为顺利实现本项目交易活动组织的远程交互，建议供应商配置相关软硬件设施，具体要求见《操作手册》。</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21.5.7.1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21.5.8供应商在制作上传电子投标文件、观看活动组织、投标文件解密等技术方面遇到问题时，请与软件公司技术人员咨询，联系电话: 0517-83638013。</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22.评标委员会</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22.1开标后，采购单位将立即组织评标委员会（以下简称评委会）进行评标。</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22.2评委会由采购单位代表和有关技术、经济等方面的专家组成，且人员构成符合政府采购有关规定。</w:t>
      </w:r>
      <w:r/>
    </w:p>
    <w:p>
      <w:pPr>
        <w:ind w:left="559"/>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22.3评委会独立工作，负责评审所有投标文件并确定中标候选人。</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23.评标过程的保密与公正</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23.1凡是与审查、澄清、评价和比较投标的有关资料以及授标建议等，采购单位、采购代理机构和评标委员会均不得向供应商或与评标无关的其他人员透露。</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23.2在评标过程中，供应商不得以任何行为影响评标过程，否则其投标文件将被作为无效投标文件。</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23.3 采购单位、采购代理机构和评标委员会不向未中标的供应商解释未中标原因，也不公布评标过程中的相关细节。</w:t>
      </w:r>
      <w:r/>
    </w:p>
    <w:p>
      <w:pPr>
        <w:ind w:firstLine="560"/>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23.4 采用综合评分法的项目，未中标的供应商可于中标结果公告期限届满之日起通过苏采云系统查看自己的评审得分及排序情况。</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24.投标文件的澄清</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24.1评标期间，评委会对投标文件中含义不明确、同类问题表述不一致或者有明显文字和计算错误的内容，有权要求供应商作出必要的澄清、说明或者补正。</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供应商的澄清、说明或者补正不得超出投标文件的范围或者改变投标文件的实质性内容。</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评标委员会并非对每个供应商都做澄清要求。</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24.3接到评委会澄清、说明和补正要求的供应商如未按规定作出澄清、说明和补正，其风险由供应商自行承担。</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25.对投标文件的初审</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25.1投标文件初审分为资格审查和符合性审查。</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25.1.1资格审查：依据法律法规和招标文件的规定，由采购单位对投标文件中的资格证明文件进行审查。资格审查的结论，采购单位以书面形式向评委会进行反馈。</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采购单位在进行资格性审查的同时，将在“信用中国”网站查询供应商的信用记录，以确定供应商是否具备投标资格,查询结果留存并归档。</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25.1.2符合性审查：依据招标文件的规定，由评委会从投标文件的有效性、完整性和对招标文件的响应程度进行审查，以确定是否对招标文件的实质性要求作出响应。</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25.1.3未通过资格审查或符合性审查的供应商，采购单位或采购代理机构将在苏采云系统中告知未通过资格审查或符合性审查的原因，评标结束后，采购单位或采购代理机构将不再告知未通过资格审查和符合性审查的原因。</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招标文件规定的实质性要求存在负偏离，或者在实质上与招标文件不一致，而且限制了合同中买方和采购单位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25.3如果投标文件实质上没有响应招标文件的要求，评委会将予以拒绝，供应商不得通过修改或撤销不合要求的偏离或保留而使其投标成为实质性响应的投标。</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25.4评委会将对确定为实质性响应的投标进行进一步审核，确定其是否有计算上或累加上的算术错误，修正错误的原则如下：</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（1）投标文件中开标一览表内容与投标文件中相应内容不一致的，以开标一览表为准。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（2）大写金额和小写金额不一致的，以大写金额为准。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（3）单价金额小数点或者百分比有明显错位的，以开标一览表的总价为准，并修改单价。</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（4）总价金额与按单价汇总金额不一致的，以单价金额计算结果为准。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同时出现两种以上错误的，按照前款规定的顺序修正。</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25.6供应商在开、评标全过程中应保持通讯畅通，及时登录苏采云系统查阅、答复相关信息，并安排专人与采购单位及评标委员会联系。</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26.无效投标条款和废标条款</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26.1无效投标条款</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26.1.1供应商在苏采云系统规定的时间内未成功解密电子投标文件的。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26.1.2供应商未按照招标文件要求上传电子投标文件的。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26.1.3同一供应商提交两个（含两个）以上不同的投标报价的。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26.1.4供应商不具备招标文件中规定资格要求的。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26.1.5供应商的报价超过了采购预算或最高限价的。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26.1.6未通过符合性审查的。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26.1.8评标委员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标委员会应当将其作为无效投标处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26.1.9投标文件含有采购单位不能接受的附加条件的。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26.1.10 投标文件未按照招标文件要求加盖CA电子公章的。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26.1.11其他法律、法规及本招标文件规定的属无效投标的情形。</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26.2废标条款</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26.2.1符合专业条件的供应商或者对招标文件作实质响应的供应商不足三家的。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26.2.2出现影响采购公正的违法、违规行为的。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26.2.3因重大变故，采购任务取消的。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26.2.4评标委员会认定招标文件存在歧义、重大缺陷导致评审工作无法进行。</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26.2.5因苏采云系统故障原因造成开标不成功的。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26.3投标截止时间结束后参加投标的供应商不足三家的处理：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26.3.1如出现投标截止时间结束后参加投标的供应商或者在评标期间对招标文件做出实质响应的供应商不足三家情况，按政府采购相关规定执行。</w:t>
      </w:r>
      <w:r/>
    </w:p>
    <w:p>
      <w:pPr>
        <w:spacing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六、定标</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27.确定中标单位</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27.1中标候选人的选取原则和数量见招标文件第五章规定。 </w:t>
      </w:r>
      <w:r/>
    </w:p>
    <w:p>
      <w:pPr>
        <w:ind w:firstLine="560"/>
        <w:spacing w:line="40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27.2</w:t>
      </w:r>
      <w:r>
        <w:rPr>
          <w:rFonts w:hint="eastAsia" w:ascii="仿宋" w:hAnsi="仿宋" w:eastAsia="仿宋" w:cs="仿宋"/>
          <w:b/>
          <w:bCs/>
          <w:color w:val="000000"/>
          <w:sz w:val="28"/>
          <w:szCs w:val="28"/>
          <w:highlight w:val="none"/>
        </w:rPr>
        <w:t xml:space="preserve">采购单位应当自收到评标报告之日起5个工作日内，在评标报告确定的中标候选人名单中按顺序确定中标人。采购单位应根据评委会推荐的中标候选人确定1名中标人。</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27.3采购单位（采购代理机构）将在“淮安市政府采购网”发布中标公告，公告期限为1个工作日。</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27.4若有充分证据证明，中标人出现下列情况之一的，一经查实，将被取消中标资格：</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27.4.1提供虚假材料谋取中标的。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27.4.2向采购单位、采购代理机构行贿或者提供其他不正当利益的。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27.4.3属于本文件规定的无效条件，但在评标过程中又未被评委会发现的。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27.4.4与采购单位或者其他供应商恶意串通的。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27.4.5采取不正当手段诋毁、排挤其他供应商的。</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 有下列情形之一的，视为供应商串通投标，投标无效：</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27.5.1不同供应商的投标文件由同一单位或者个人编制。</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27.5.2不同供应商委托同一单位或者个人办理投标事宜。</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27.5.3不同供应商的投标文件载明的项目管理成员或者联系人员为同一人。</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27.5.4不同供应商的投标文件异常一致或者投标报价呈规律性差异。</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28.质疑处理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28.1供应商认为采购文件、采购过程和中标结果使自己的权益受到损害的，可以在知道或者应知其权益受到损害之日起七个工作日内，以书面形式向采购人提出质疑。非书面形式、七个工作日之外以及匿名的质疑将不予受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28.2上述应知其权益受到损害之日是指:</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（1）对招标文件提出质疑的，为采购文件公告期限届满之日起计算；</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（2）对采购过程提出质疑的，为各采购程序环节结束之日起计算；</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（3）对中标结果提出质疑的，为中标结果公告期限届满之日起计算。</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28.3质疑供应商是指直接参加本次投标活动的供应商，未参加投标活动的供应商或在投标活动中自身权益未受到损害的供应商所提出的质疑不予受理。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28.4质疑供应商在法定质疑期内应当一次性针对同一采购环节提出质疑。</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28.5质疑函应当包括以下主要内容，附上相关证明材料。否则，采购单位不予受理。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（1）质疑供应商的名称、地址、邮编、联系人及联系电话；</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（2）质疑项目的名称、编号；</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（3）具体、明确的质疑事项和与质疑事实相关的请求；</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（4）事实依据；</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（5）必要的法律依据；</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（6）提起质疑的日期。</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28.6采购单位收到质疑函后，将对质疑的形式和内容进行审查，如质疑函内容、格式不符合规定，采购单位将告知质疑人进行补正。质疑人应当在法定质疑期限内进行补正并重新提交质疑函，拒不补正或者超过法定期限后未重新提交质疑函的，为无效质疑，采购单位有权不予受理。</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28.7对于内容、格式符合规定的质疑函，采购单位将在五个工作日内以电子文件的形式作出答复，但质疑答复的内容不涉及商业秘密。如果质疑供应商还需要纸质形式回复函的，需主动与采购单位联系索取，或者在质疑函中明确提出该要求。</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28.8供应商提出的质疑必须有理、有据，不得恶意质疑或提交虚假质疑。否则，一经查实，采购单位有权依据政府采购的有关规定，报请淮安市财政局政府采购管理处对该供应商列入失信行为或不良行为记录名单，进行相应的行政处罚。</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29.中标通知书</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l中标结果确定后，采购单位（采购代理机构）将向中标人发出中标通知书。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29.2中标通知书将是合同的一个组成部分。对采购单位和中标人均具有法律效力。中标通知书发出后，采购单位改变中标结果的，或者中标人放弃中标项目的，应当依法承担法律责任。</w:t>
      </w:r>
      <w:r/>
    </w:p>
    <w:p>
      <w:pPr>
        <w:spacing w:line="4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七、授予合同</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30.签订合同</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30.l中标人应当在中标通知书发出之日起12日内，按照招标文件确定的事项与采购单位签订政府采购合同。</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30.2招标文件、中标人的投标文件及招标过程中有关澄清、承诺文件均应作为合同附件。</w:t>
      </w:r>
      <w:r/>
    </w:p>
    <w:p>
      <w:pPr>
        <w:ind w:firstLine="560"/>
        <w:spacing w:line="4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30.3签订合同后，中标人不得将合同标的进行转包。中标人将合同价内不低于</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0%采购内容分包给中小企业，分包造成采购单位损失的，中标人应承担相应赔偿责任。</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31.履约保证金</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31.1为保证合同的顺利执行，合同签订前，中标人应向采购单位缴纳</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%履约保证金。如中标人未能履行合同规定的义务，采购单位有权从履约保证金中取得补偿。</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31.2缴纳方式：中标人提供的履约保证金采用银行本票、支票或银行保函、担保公司的保证担保或保险公司的保证保险等多种形式。（货币以人民币的形式，原则上采用电子保函形式）</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中标人选取银行保函、担保公司的保证担保或保险公司的保证保险等形式向采购单位缴纳的，如保函（担保、保险等）的约定期到期但中标人履约仍未结束的，中标人须进行续保。</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31.3履约保证金退还时间及条件（针对以人民币形式提交的情况）：履约保证金在项目验收合格后无息退还。</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31.4履约保证金在合同约定期间内不予退还，约定期间届满之日起5个工作日内，采购单位应将履约保证金退还中标人；逾期退还的，按中国人民银行同期贷款基准利率上浮20%后的利率支付超期资金占用费，但因中标人中标人原因导致无法及时退还的除外。（针对以人民币形式提交的情况）</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32.服务（包含与服务相关的货物）的减少或追加</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32.1采购结束后，采购单位若由于各种客观原因，必须对采购项目所牵涉的货物和服务进行适当的减少时，在双方协商一致的前提下，可以按照采购时的价格水平做相应的调减，并据此签订补充合同。</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32.2政府采购合同履行中，采购单位需追加与合同标的相同的服务（包含与服务相关的货物），在不改变合同其他条款的前提下，可以与中标人协商签订补充合同，但所有补充合同的采购金额不超过原合同金额的10%。</w:t>
      </w:r>
      <w:r/>
    </w:p>
    <w:p>
      <w:pPr>
        <w:spacing w:line="50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rPr>
        <w:t xml:space="preserve">八、政府采购政策功能落实</w:t>
      </w:r>
      <w:r/>
    </w:p>
    <w:p>
      <w:pPr>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w:t>
      </w:r>
      <w:r>
        <w:rPr>
          <w:rFonts w:hint="eastAsia" w:ascii="仿宋" w:hAnsi="仿宋" w:eastAsia="仿宋" w:cs="仿宋"/>
          <w:color w:val="000000"/>
          <w:sz w:val="28"/>
          <w:szCs w:val="28"/>
          <w:highlight w:val="none"/>
          <w:lang w:val="zh-CN"/>
        </w:rPr>
        <w:t xml:space="preserve">促进中小企业发展</w:t>
      </w:r>
      <w:r>
        <w:rPr>
          <w:rFonts w:hint="eastAsia" w:ascii="仿宋" w:hAnsi="仿宋" w:eastAsia="仿宋" w:cs="仿宋"/>
          <w:color w:val="000000"/>
          <w:sz w:val="28"/>
          <w:szCs w:val="28"/>
          <w:highlight w:val="none"/>
        </w:rPr>
        <w:t xml:space="preserve">政策</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33.1小微型企业价格扣除</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33.1.1</w:t>
      </w:r>
      <w:r>
        <w:rPr>
          <w:rFonts w:hint="eastAsia" w:ascii="仿宋" w:hAnsi="仿宋" w:eastAsia="仿宋" w:cs="仿宋"/>
          <w:color w:val="000000"/>
          <w:sz w:val="28"/>
          <w:szCs w:val="28"/>
          <w:highlight w:val="none"/>
          <w:lang w:val="zh-CN"/>
        </w:rPr>
        <w:t xml:space="preserve">对于未专门面向中小企业或者未预留份额专门面向中小企业采购的采购项目，供应商提供的</w:t>
      </w:r>
      <w:r>
        <w:rPr>
          <w:rFonts w:hint="eastAsia" w:ascii="仿宋" w:hAnsi="仿宋" w:eastAsia="仿宋" w:cs="仿宋"/>
          <w:color w:val="000000"/>
          <w:sz w:val="28"/>
          <w:szCs w:val="28"/>
          <w:highlight w:val="none"/>
        </w:rPr>
        <w:t xml:space="preserve">货物</w:t>
      </w:r>
      <w:r>
        <w:rPr>
          <w:rFonts w:hint="eastAsia" w:ascii="仿宋" w:hAnsi="仿宋" w:eastAsia="仿宋" w:cs="仿宋"/>
          <w:color w:val="000000"/>
          <w:sz w:val="28"/>
          <w:szCs w:val="28"/>
          <w:highlight w:val="none"/>
          <w:lang w:val="zh-CN"/>
        </w:rPr>
        <w:t xml:space="preserve">或者服务</w:t>
      </w:r>
      <w:r>
        <w:rPr>
          <w:rFonts w:hint="eastAsia" w:ascii="仿宋" w:hAnsi="仿宋" w:eastAsia="仿宋" w:cs="仿宋"/>
          <w:color w:val="000000"/>
          <w:sz w:val="28"/>
          <w:szCs w:val="28"/>
          <w:highlight w:val="none"/>
        </w:rPr>
        <w:t xml:space="preserve">符合下列情形的，享受本办法规定的中小企业扶持政策给予</w:t>
      </w:r>
      <w:r>
        <w:rPr>
          <w:rFonts w:hint="eastAsia" w:ascii="仿宋" w:hAnsi="仿宋" w:eastAsia="仿宋" w:cs="仿宋"/>
          <w:b/>
          <w:bCs/>
          <w:color w:val="000000"/>
          <w:sz w:val="28"/>
          <w:szCs w:val="28"/>
          <w:highlight w:val="none"/>
          <w:u w:val="single"/>
        </w:rPr>
        <w:t xml:space="preserve">小微企业报价</w:t>
      </w:r>
      <w:r>
        <w:rPr>
          <w:rFonts w:hint="eastAsia" w:ascii="仿宋" w:hAnsi="仿宋" w:eastAsia="仿宋" w:cs="仿宋"/>
          <w:b/>
          <w:bCs/>
          <w:color w:val="000000"/>
          <w:sz w:val="28"/>
          <w:szCs w:val="28"/>
          <w:highlight w:val="none"/>
          <w:u w:val="single"/>
          <w:lang w:val="en-US" w:eastAsia="zh-CN"/>
        </w:rPr>
        <w:t xml:space="preserve">10</w:t>
      </w:r>
      <w:r>
        <w:rPr>
          <w:rFonts w:hint="eastAsia" w:ascii="仿宋" w:hAnsi="仿宋" w:eastAsia="仿宋" w:cs="仿宋"/>
          <w:b/>
          <w:bCs/>
          <w:color w:val="000000"/>
          <w:sz w:val="28"/>
          <w:szCs w:val="28"/>
          <w:highlight w:val="none"/>
          <w:u w:val="single"/>
        </w:rPr>
        <w:t xml:space="preserve">%的扣除</w:t>
      </w:r>
      <w:r>
        <w:rPr>
          <w:rFonts w:hint="eastAsia" w:ascii="仿宋" w:hAnsi="仿宋" w:eastAsia="仿宋" w:cs="仿宋"/>
          <w:color w:val="000000"/>
          <w:sz w:val="28"/>
          <w:szCs w:val="28"/>
          <w:highlight w:val="none"/>
        </w:rPr>
        <w:t xml:space="preserve">，用扣除后的价格参与评审：</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（1）在服务采购项目中，服务由中小企业制造，即服务由中小企业生产且使用该中小企业商号或者注册商标；</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33.1.2在服务采购项目中，供应商提供的服务既有中小企业制造服务，也有大型企业制造服务的，不享受本办法规定的中小企业扶持政策。</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33.2联合体及分包</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33.2.2享受扶持政策获得政府采购合同的，小微企业不得将合同分包给大中型企业，中型企业不得将合同分包给大型企业。</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33.3小微型企业</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（1）供应商须按照招标文件的要求提供相应的《企业声明函》，详见招标文件第六章示范格式。</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（2）企业标准请参照《政府采购促进中小企业发展管理办法》（财库【2020】46号）文件规定自行填写。</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33.4残疾人福利单位</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（1）残疾人福利单位需按照招标文件的要求提供《残疾人福利性单位声明函》，详见招标文件第六章示范格式。</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（2）残疾人福利单位标准请参照《关于促进残疾人就业政府采购政策的通知》（财库〔2017〕141号）。</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33.5监狱和戒毒企业</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（2）监狱企业标准请参照《关于政府采购支持监狱企业发展有关问题的通知》（财库[2014]68号）。</w:t>
      </w:r>
      <w:r/>
    </w:p>
    <w:p>
      <w:pPr>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 节能、环保政策</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34.1根据《财政部 发展改革委 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34.2节能产品（本项目不涉及）</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 (采购产品)被列入“节能产品品目清单”的，实行（优先采购/强制采购）。</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34.3环保产品（本项目不涉及）</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 (采购产品)被列入“环境标志产品品目清单”的，实行优先采购。</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五章</w:t>
      </w:r>
      <w:r>
        <w:rPr>
          <w:rFonts w:hint="eastAsia" w:ascii="仿宋" w:hAnsi="仿宋" w:eastAsia="仿宋" w:cs="仿宋"/>
          <w:bCs/>
          <w:sz w:val="28"/>
          <w:szCs w:val="28"/>
          <w:highlight w:val="none"/>
        </w:rPr>
        <w:t xml:space="preserve">评标方法与评标标准</w:t>
      </w:r>
      <w:r>
        <w:rPr>
          <w:rFonts w:hint="eastAsia" w:ascii="仿宋" w:hAnsi="仿宋" w:eastAsia="仿宋" w:cs="仿宋"/>
          <w:color w:val="000000"/>
          <w:sz w:val="28"/>
          <w:szCs w:val="28"/>
          <w:highlight w:val="none"/>
        </w:rPr>
        <w:t xml:space="preserve">）。</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35.政府绿色采购</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根据《江苏省财政厅关于加强政府绿色采购有关事项的通知》（苏财购〔2023〕65号）的要求，落实政府绿色采购相关政策，具体如下：</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35.1本项目为服务类采购项目的，所提供的产品需综合考虑节能环保、节水、循环再生、低碳、有机等因素；本项目为物业、合同能源管理等服务类采购项目的，应在服务中加强绿色低碳管理。</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p>
    <w:p>
      <w:pPr>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 履约资金扶持政策</w:t>
      </w:r>
      <w:r/>
    </w:p>
    <w:p>
      <w:pPr>
        <w:ind w:firstLine="560"/>
        <w:spacing w:line="5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00" w:lineRule="exact"/>
        <w:rPr>
          <w:rFonts w:hint="eastAsia" w:ascii="仿宋" w:hAnsi="仿宋" w:eastAsia="仿宋" w:cs="仿宋"/>
          <w:b/>
          <w:bCs/>
          <w:color w:val="000000"/>
          <w:sz w:val="32"/>
          <w:szCs w:val="32"/>
          <w:highlight w:val="none"/>
        </w:rPr>
      </w:pPr>
      <w:r>
        <w:rPr>
          <w:rFonts w:hint="eastAsia" w:ascii="仿宋" w:hAnsi="仿宋" w:eastAsia="仿宋" w:cs="仿宋"/>
          <w:color w:val="000000"/>
          <w:sz w:val="28"/>
          <w:szCs w:val="28"/>
          <w:highlight w:val="none"/>
        </w:rPr>
        <w:t xml:space="preserve">36.2有融资贷款需求的中标人，与采购人在苏采云【合同在线签订】模块中进行合同在线签订时，【账户信息完善】的“是否融资”一栏中需选择“是”，同时完善收款账号信息和合同补充协议（融资账号）。</w:t>
      </w:r>
      <w:r/>
    </w:p>
    <w:p>
      <w:pPr>
        <w:rPr>
          <w:rFonts w:hint="eastAsia" w:ascii="仿宋" w:hAnsi="仿宋" w:eastAsia="仿宋" w:cs="仿宋"/>
          <w:b/>
          <w:bCs/>
          <w:color w:val="000000"/>
          <w:sz w:val="36"/>
          <w:szCs w:val="36"/>
          <w:highlight w:val="none"/>
        </w:rPr>
      </w:pPr>
      <w:r/>
      <w:bookmarkStart w:id="157" w:name="_Toc23469"/>
      <w:r/>
      <w:bookmarkStart w:id="158" w:name="_Toc27250"/>
      <w:r/>
      <w:bookmarkStart w:id="159" w:name="_Toc10321"/>
      <w:r/>
      <w:bookmarkStart w:id="160" w:name="_Toc31563"/>
      <w:r/>
      <w:bookmarkStart w:id="161" w:name="_Toc18465"/>
      <w:r/>
      <w:bookmarkStart w:id="162" w:name="_Toc8912"/>
      <w:r>
        <w:rPr>
          <w:rFonts w:hint="eastAsia" w:ascii="仿宋" w:hAnsi="仿宋" w:eastAsia="仿宋" w:cs="仿宋"/>
          <w:b/>
          <w:bCs/>
          <w:color w:val="000000"/>
          <w:sz w:val="36"/>
          <w:szCs w:val="36"/>
          <w:highlight w:val="none"/>
        </w:rPr>
        <w:br w:type="page" w:clear="all"/>
      </w:r>
      <w:r/>
    </w:p>
    <w:p>
      <w:pPr>
        <w:jc w:val="center"/>
        <w:spacing w:line="520" w:lineRule="exact"/>
        <w:tabs>
          <w:tab w:val="left" w:pos="180" w:leader="none"/>
        </w:tabs>
        <w:rPr>
          <w:rFonts w:hint="eastAsia" w:ascii="仿宋" w:hAnsi="仿宋" w:eastAsia="仿宋" w:cs="仿宋"/>
          <w:b/>
          <w:color w:val="000000"/>
          <w:sz w:val="36"/>
          <w:szCs w:val="36"/>
          <w:highlight w:val="none"/>
        </w:rPr>
        <w:outlineLvl w:val="0"/>
      </w:pPr>
      <w:r/>
      <w:bookmarkStart w:id="163" w:name="_Toc22863"/>
      <w:r>
        <w:rPr>
          <w:rFonts w:hint="eastAsia" w:ascii="仿宋" w:hAnsi="仿宋" w:eastAsia="仿宋" w:cs="仿宋"/>
          <w:b/>
          <w:bCs/>
          <w:color w:val="000000"/>
          <w:sz w:val="36"/>
          <w:szCs w:val="36"/>
          <w:highlight w:val="none"/>
        </w:rPr>
        <w:t xml:space="preserve">第三章</w:t>
      </w:r>
      <w:r>
        <w:rPr>
          <w:rFonts w:hint="eastAsia" w:ascii="仿宋" w:hAnsi="仿宋" w:eastAsia="仿宋" w:cs="仿宋"/>
          <w:b/>
          <w:bCs/>
          <w:color w:val="000000"/>
          <w:sz w:val="32"/>
          <w:szCs w:val="32"/>
          <w:highlight w:val="none"/>
        </w:rPr>
        <w:t xml:space="preserve"> </w:t>
      </w:r>
      <w:r>
        <w:rPr>
          <w:rFonts w:hint="eastAsia" w:ascii="仿宋" w:hAnsi="仿宋" w:eastAsia="仿宋" w:cs="仿宋"/>
          <w:b/>
          <w:color w:val="000000"/>
          <w:sz w:val="36"/>
          <w:szCs w:val="36"/>
          <w:highlight w:val="none"/>
        </w:rPr>
        <w:t xml:space="preserve"> 合同格式及条款</w:t>
      </w:r>
      <w:bookmarkEnd w:id="144"/>
      <w:r/>
      <w:bookmarkEnd w:id="145"/>
      <w:r/>
      <w:bookmarkEnd w:id="146"/>
      <w:r/>
      <w:bookmarkEnd w:id="147"/>
      <w:r/>
      <w:bookmarkEnd w:id="148"/>
      <w:r/>
      <w:bookmarkEnd w:id="149"/>
      <w:r/>
      <w:bookmarkEnd w:id="150"/>
      <w:r/>
      <w:bookmarkEnd w:id="157"/>
      <w:r/>
      <w:bookmarkEnd w:id="158"/>
      <w:r/>
      <w:bookmarkEnd w:id="159"/>
      <w:r/>
      <w:bookmarkEnd w:id="160"/>
      <w:r/>
      <w:bookmarkEnd w:id="161"/>
      <w:r/>
      <w:bookmarkEnd w:id="162"/>
      <w:r/>
      <w:bookmarkEnd w:id="163"/>
      <w:r/>
      <w:r/>
    </w:p>
    <w:p>
      <w:pPr>
        <w:ind w:firstLine="552"/>
        <w:spacing w:line="520" w:lineRule="exact"/>
        <w:rPr>
          <w:rFonts w:hint="eastAsia" w:ascii="仿宋" w:hAnsi="仿宋" w:eastAsia="仿宋" w:cs="仿宋"/>
          <w:b/>
          <w:color w:val="000000"/>
          <w:sz w:val="28"/>
          <w:szCs w:val="28"/>
          <w:highlight w:val="none"/>
        </w:rPr>
      </w:pPr>
      <w:r/>
      <w:bookmarkStart w:id="164" w:name="_Toc8174"/>
      <w:r>
        <w:rPr>
          <w:rFonts w:hint="eastAsia" w:ascii="仿宋" w:hAnsi="仿宋" w:eastAsia="仿宋" w:cs="仿宋"/>
          <w:b/>
          <w:color w:val="000000"/>
          <w:sz w:val="28"/>
          <w:szCs w:val="28"/>
          <w:highlight w:val="none"/>
        </w:rPr>
        <w:t xml:space="preserve">注:以下为采购单位提出成交后签订本项目合同的条款，供应商必须实质性响应，成交供应商不得提出实质性的修改，关于专用条款将由采购单位与成交供应商结合本项目具体情况协商后签订。</w:t>
      </w:r>
      <w:r/>
    </w:p>
    <w:p>
      <w:pPr>
        <w:jc w:val="lef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甲方：（买方）_________</w:t>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乙方：（卖方）_________</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甲、乙双方根据</w:t>
      </w:r>
      <w:r>
        <w:rPr>
          <w:rFonts w:hint="eastAsia" w:ascii="仿宋" w:hAnsi="仿宋" w:eastAsia="仿宋" w:cs="仿宋"/>
          <w:sz w:val="28"/>
          <w:szCs w:val="28"/>
          <w:highlight w:val="none"/>
          <w:lang w:val="en-US" w:eastAsia="zh-CN"/>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w:t>
      </w:r>
      <w:r>
        <w:rPr>
          <w:rFonts w:hint="eastAsia" w:ascii="仿宋" w:hAnsi="仿宋" w:eastAsia="仿宋" w:cs="仿宋"/>
          <w:sz w:val="28"/>
          <w:szCs w:val="28"/>
          <w:highlight w:val="none"/>
        </w:rPr>
        <w:t xml:space="preserve">项目（项目编号：）公开招标的结果，签订本合同。</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一、合同内容</w:t>
      </w:r>
      <w:r/>
    </w:p>
    <w:p>
      <w:pPr>
        <w:ind w:firstLine="560"/>
        <w:jc w:val="left"/>
        <w:spacing w:line="36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1.1 服务内容：</w:t>
      </w:r>
      <w:r>
        <w:rPr>
          <w:rFonts w:hint="eastAsia" w:ascii="仿宋" w:hAnsi="仿宋" w:eastAsia="仿宋" w:cs="仿宋"/>
          <w:sz w:val="28"/>
          <w:szCs w:val="28"/>
          <w:highlight w:val="none"/>
          <w:u w:val="single"/>
        </w:rPr>
        <w:t xml:space="preserve">淮安区城市生命线安全工程，具体详见采购需求。</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 服务要求：</w:t>
      </w:r>
      <w:r>
        <w:rPr>
          <w:rFonts w:hint="eastAsia" w:ascii="仿宋" w:hAnsi="仿宋" w:eastAsia="仿宋" w:cs="仿宋"/>
          <w:sz w:val="28"/>
          <w:szCs w:val="28"/>
          <w:highlight w:val="none"/>
          <w:u w:val="single"/>
          <w:lang w:val="en-US" w:eastAsia="zh-CN"/>
        </w:rPr>
        <w:t xml:space="preserve">符合招标文件采购需求要求</w:t>
      </w:r>
      <w:r>
        <w:rPr>
          <w:rFonts w:hint="eastAsia" w:ascii="仿宋" w:hAnsi="仿宋" w:eastAsia="仿宋" w:cs="仿宋"/>
          <w:sz w:val="28"/>
          <w:szCs w:val="28"/>
          <w:highlight w:val="none"/>
        </w:rPr>
        <w:t xml:space="preserve">。</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 服务标准：</w:t>
      </w:r>
      <w:r>
        <w:rPr>
          <w:rFonts w:hint="eastAsia" w:ascii="仿宋" w:hAnsi="仿宋" w:eastAsia="仿宋" w:cs="仿宋"/>
          <w:sz w:val="28"/>
          <w:szCs w:val="28"/>
          <w:highlight w:val="none"/>
          <w:u w:val="single"/>
          <w:lang w:val="en-US" w:eastAsia="zh-CN"/>
        </w:rPr>
        <w:t xml:space="preserve">符合招标文件采购需求及合同要求</w:t>
      </w:r>
      <w:r>
        <w:rPr>
          <w:rFonts w:hint="eastAsia" w:ascii="仿宋" w:hAnsi="仿宋" w:eastAsia="仿宋" w:cs="仿宋"/>
          <w:sz w:val="28"/>
          <w:szCs w:val="28"/>
          <w:highlight w:val="none"/>
        </w:rPr>
        <w:t xml:space="preserve">。</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1.4补充条款：_________。</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二、合同金额</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 本合同金额为人民币（大写）：_________元（¥    ）。</w:t>
      </w:r>
      <w:r/>
    </w:p>
    <w:p>
      <w:pPr>
        <w:ind w:firstLine="480"/>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w:t>
      </w:r>
      <w:r>
        <w:rPr>
          <w:rFonts w:hint="eastAsia" w:ascii="仿宋" w:hAnsi="仿宋" w:eastAsia="仿宋" w:cs="仿宋"/>
          <w:b/>
          <w:bCs/>
          <w:color w:val="auto"/>
          <w:sz w:val="28"/>
          <w:szCs w:val="28"/>
          <w:highlight w:val="none"/>
        </w:rPr>
        <w:t xml:space="preserve">本合同价款包含所有乙方提供合同约定产品和服务的报酬及乙方提供合同中产品和服务所支出的所有费用，甲方在上述合同价款之外不再向乙方支付其他任何费用</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包括人工费（包括人员工资、社会保险费用、福利费、加班费、值班费、人身意外伤害险等）、设备费、</w:t>
      </w:r>
      <w:r>
        <w:rPr>
          <w:rFonts w:hint="eastAsia" w:ascii="仿宋" w:hAnsi="仿宋" w:eastAsia="仿宋" w:cs="仿宋"/>
          <w:b/>
          <w:bCs/>
          <w:color w:val="auto"/>
          <w:sz w:val="28"/>
          <w:szCs w:val="28"/>
          <w:highlight w:val="none"/>
          <w:lang w:val="en-US" w:eastAsia="zh-CN"/>
        </w:rPr>
        <w:t xml:space="preserve">土建费、安装费、</w:t>
      </w:r>
      <w:r>
        <w:rPr>
          <w:rFonts w:hint="eastAsia" w:ascii="仿宋" w:hAnsi="仿宋" w:eastAsia="仿宋" w:cs="仿宋"/>
          <w:b/>
          <w:bCs/>
          <w:color w:val="auto"/>
          <w:sz w:val="28"/>
          <w:szCs w:val="28"/>
          <w:highlight w:val="none"/>
        </w:rPr>
        <w:t xml:space="preserve">工具费、服务费、作业费、差旅费、通讯费、编制费（含印刷费）、耗材费、风险费、利润、税费及政策性文件规定和合同所包含的所有风险、责任等各项应有费用。</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三、技术资料</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 乙方应按招标文件规定的时间向甲方提供有关技术资料。</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四、知识产权</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五、产权担保</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 乙方保证所交付标的的所有权完全属于乙方且无任何抵押、查封等产权瑕疵。</w:t>
      </w:r>
      <w:r/>
    </w:p>
    <w:p>
      <w:pPr>
        <w:ind w:firstLine="482"/>
        <w:jc w:val="left"/>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六、履约保证金</w:t>
      </w:r>
      <w:r/>
    </w:p>
    <w:p>
      <w:pPr>
        <w:pStyle w:val="1180"/>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6.1乙方交纳人民币</w:t>
      </w:r>
      <w:r>
        <w:rPr>
          <w:rFonts w:hint="eastAsia" w:ascii="仿宋" w:hAnsi="仿宋" w:eastAsia="仿宋" w:cs="仿宋"/>
          <w:color w:val="ff0000"/>
          <w:sz w:val="28"/>
          <w:szCs w:val="28"/>
          <w:highlight w:val="none"/>
          <w:u w:val="single"/>
        </w:rPr>
        <w:t xml:space="preserve">合同金额的1%</w:t>
      </w:r>
      <w:r>
        <w:rPr>
          <w:rFonts w:hint="eastAsia" w:ascii="仿宋" w:hAnsi="仿宋" w:eastAsia="仿宋" w:cs="仿宋"/>
          <w:sz w:val="28"/>
          <w:szCs w:val="28"/>
          <w:highlight w:val="none"/>
        </w:rPr>
        <w:t xml:space="preserve">作为本合同的履约保证金。</w:t>
      </w:r>
      <w:r/>
    </w:p>
    <w:p>
      <w:pPr>
        <w:pStyle w:val="1180"/>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6.2乙方提供的履约保证金可以是人民币形式（银行本票、汇票、支票、电汇），或银行保函、担保公司的保证担保或保险公司的保证保险等多种形式。</w:t>
      </w:r>
      <w:r/>
    </w:p>
    <w:p>
      <w:pPr>
        <w:pStyle w:val="1180"/>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6.3乙方选取银行保函、担保公司的保证担保或保险公司的保证保险等形式的向采购人缴纳的，如保函（担保、保险等）的约定期到期但乙方履约仍未结束的，乙方须进行续保。</w:t>
      </w:r>
      <w:r/>
    </w:p>
    <w:p>
      <w:pPr>
        <w:pStyle w:val="1180"/>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1180"/>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6.5如乙方未能履行合同规定的义务，甲方有权从履约保证金中取得补偿。</w:t>
      </w:r>
      <w:r/>
    </w:p>
    <w:p>
      <w:pPr>
        <w:pStyle w:val="1180"/>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pStyle w:val="1180"/>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6.7履约保证金在合同约定期间内不予退还或者完全有效，履约保证金在项目验收合格后无息退还给乙方。</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七、合同转包或分包</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 签订合同后，中标人不得将合同标的进行转包。中标人将合同价内不低于</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0%采购内容分包给中小企业，分包造成采购单位损失的，中标人应承担相应赔偿责任。</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 如有转让和未经甲方同意的分包行为，甲方有权终止合同。</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八、服务时间</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 服务时间：_________。</w:t>
      </w:r>
      <w:r/>
    </w:p>
    <w:p>
      <w:pPr>
        <w:ind w:firstLine="480"/>
        <w:jc w:val="left"/>
        <w:spacing w:line="360" w:lineRule="auto"/>
        <w:rPr>
          <w:rFonts w:hint="eastAsia" w:ascii="仿宋" w:hAnsi="仿宋" w:eastAsia="仿宋" w:cs="仿宋"/>
          <w:sz w:val="28"/>
          <w:szCs w:val="28"/>
          <w:highlight w:val="none"/>
        </w:rPr>
      </w:pPr>
      <w:r/>
      <w:bookmarkStart w:id="165" w:name="_Toc312677484"/>
      <w:r/>
      <w:bookmarkStart w:id="166" w:name="_Toc304295546"/>
      <w:r/>
      <w:bookmarkStart w:id="167" w:name="_Toc300934968"/>
      <w:r/>
      <w:bookmarkStart w:id="168" w:name="_Toc303539125"/>
      <w:r/>
      <w:bookmarkStart w:id="169" w:name="_Toc297216175"/>
      <w:r/>
      <w:bookmarkStart w:id="170" w:name="_Toc312678010"/>
      <w:r/>
      <w:bookmarkStart w:id="171" w:name="_Toc297123516"/>
      <w:r>
        <w:rPr>
          <w:rFonts w:hint="eastAsia" w:ascii="仿宋" w:hAnsi="仿宋" w:eastAsia="仿宋" w:cs="仿宋"/>
          <w:sz w:val="28"/>
          <w:szCs w:val="28"/>
          <w:highlight w:val="none"/>
        </w:rPr>
        <w:t xml:space="preserve">8.2服务期延误</w:t>
      </w:r>
      <w:bookmarkEnd w:id="165"/>
      <w:r/>
      <w:bookmarkEnd w:id="166"/>
      <w:r/>
      <w:bookmarkEnd w:id="167"/>
      <w:r/>
      <w:bookmarkEnd w:id="168"/>
      <w:r/>
      <w:bookmarkEnd w:id="169"/>
      <w:r/>
      <w:bookmarkEnd w:id="170"/>
      <w:r/>
      <w:bookmarkEnd w:id="171"/>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8.2.1因甲方原因导致服务期延误</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（1）因甲方原因导致服务期延误的其他情形：如因政策性法律、法规调整或征地及服务期调整，服务期顺延，费用不增加 。</w:t>
      </w:r>
      <w:r/>
    </w:p>
    <w:p>
      <w:pPr>
        <w:ind w:firstLine="480"/>
        <w:jc w:val="left"/>
        <w:spacing w:line="360" w:lineRule="auto"/>
        <w:rPr>
          <w:rFonts w:hint="eastAsia" w:ascii="仿宋" w:hAnsi="仿宋" w:eastAsia="仿宋" w:cs="仿宋"/>
          <w:sz w:val="28"/>
          <w:szCs w:val="28"/>
          <w:highlight w:val="none"/>
        </w:rPr>
      </w:pPr>
      <w:r/>
      <w:bookmarkStart w:id="172" w:name="_Toc318581169"/>
      <w:r/>
      <w:bookmarkStart w:id="173" w:name="_Toc304295548"/>
      <w:r/>
      <w:bookmarkStart w:id="174" w:name="_Toc297216177"/>
      <w:r/>
      <w:bookmarkStart w:id="175" w:name="_Toc297123518"/>
      <w:r/>
      <w:bookmarkStart w:id="176" w:name="_Toc312678012"/>
      <w:r/>
      <w:bookmarkStart w:id="177" w:name="_Toc300934970"/>
      <w:r/>
      <w:bookmarkStart w:id="178" w:name="_Toc312677486"/>
      <w:r/>
      <w:bookmarkStart w:id="179" w:name="_Toc303539127"/>
      <w:r>
        <w:rPr>
          <w:rFonts w:hint="eastAsia" w:ascii="仿宋" w:hAnsi="仿宋" w:eastAsia="仿宋" w:cs="仿宋"/>
          <w:sz w:val="28"/>
          <w:szCs w:val="28"/>
          <w:highlight w:val="none"/>
        </w:rPr>
        <w:t xml:space="preserve">8.2.2 因乙方原因导致服务期延误</w:t>
      </w:r>
      <w:bookmarkEnd w:id="172"/>
      <w:r/>
      <w:bookmarkEnd w:id="173"/>
      <w:r/>
      <w:bookmarkEnd w:id="174"/>
      <w:r/>
      <w:bookmarkEnd w:id="175"/>
      <w:r/>
      <w:bookmarkEnd w:id="176"/>
      <w:r/>
      <w:bookmarkEnd w:id="177"/>
      <w:r/>
      <w:bookmarkEnd w:id="178"/>
      <w:r/>
      <w:bookmarkEnd w:id="179"/>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因乙方原因不能按照协议书约定的日期验收交付，乙方承担违约责任。</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当乙方不能按照已批准的进度计划实现节点目标，而又无切实有效措施保证竣工目标，经现场监理及跟踪审计确认后（如有），甲方有权将乙方承包范围内的部分本项目量进行切割，交由其他单位实施，费用由乙方承担，乙方应无条件服从并给予配合。</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不能按期竣工，视为乙方违约，乙方须按1万元/天向甲方支付违约金；对乙方不能按期竣工的，且拖延服务期达到一定期限的，除支付约定违约金外，甲方有权解除合同，乙方应按甲方要求退场，并承担甲方的实际损失。</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因乙方原因造成服务期延误，逾期竣工违约金的上限：合同价10%，乙方支付逾期竣工违约金后，不免除乙方继续完成本项目及修补缺陷的义务。</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九、交付期、交付方式及交付地点</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 交付期：_________。</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交付方式：_________。</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9.3 交付地点：_________。</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十、合同款支付</w:t>
      </w:r>
      <w:r/>
    </w:p>
    <w:p>
      <w:pPr>
        <w:ind w:left="0" w:right="0" w:firstLine="480"/>
        <w:jc w:val="left"/>
        <w:keepLines w:val="0"/>
        <w:keepNext w:val="0"/>
        <w:pageBreakBefore w:val="0"/>
        <w:spacing w:line="360" w:lineRule="auto"/>
        <w:widowControl w:val="off"/>
        <w:rPr>
          <w:rFonts w:hint="eastAsia" w:ascii="仿宋" w:hAnsi="仿宋" w:eastAsia="仿宋" w:cs="仿宋"/>
          <w:b/>
          <w:bCs/>
          <w:i w:val="0"/>
          <w:iCs w:val="0"/>
          <w:color w:val="auto"/>
          <w:sz w:val="28"/>
          <w:szCs w:val="28"/>
          <w:highlight w:val="none"/>
          <w:u w:val="single"/>
          <w:lang w:eastAsia="zh-CN"/>
        </w:rPr>
      </w:pPr>
      <w:r>
        <w:rPr>
          <w:rFonts w:hint="eastAsia" w:ascii="仿宋" w:hAnsi="仿宋" w:eastAsia="仿宋" w:cs="仿宋"/>
          <w:b/>
          <w:bCs/>
          <w:i w:val="0"/>
          <w:iCs w:val="0"/>
          <w:color w:val="auto"/>
          <w:sz w:val="28"/>
          <w:szCs w:val="28"/>
          <w:highlight w:val="none"/>
        </w:rPr>
        <w:t xml:space="preserve">10.1 付款方式：</w:t>
      </w:r>
      <w:r>
        <w:rPr>
          <w:rFonts w:hint="eastAsia" w:ascii="仿宋" w:hAnsi="仿宋" w:eastAsia="仿宋" w:cs="仿宋"/>
          <w:b/>
          <w:bCs/>
          <w:i w:val="0"/>
          <w:iCs w:val="0"/>
          <w:color w:val="auto"/>
          <w:sz w:val="28"/>
          <w:szCs w:val="28"/>
          <w:highlight w:val="none"/>
          <w:u w:val="single"/>
        </w:rPr>
        <w:t xml:space="preserve">合同签订后，</w:t>
      </w:r>
      <w:r>
        <w:rPr>
          <w:rFonts w:hint="eastAsia" w:ascii="仿宋" w:hAnsi="仿宋" w:eastAsia="仿宋" w:cs="仿宋"/>
          <w:b/>
          <w:bCs/>
          <w:i w:val="0"/>
          <w:iCs w:val="0"/>
          <w:color w:val="auto"/>
          <w:sz w:val="28"/>
          <w:szCs w:val="28"/>
          <w:highlight w:val="none"/>
          <w:u w:val="single"/>
          <w:lang w:val="en-US" w:eastAsia="zh-CN"/>
        </w:rPr>
        <w:t xml:space="preserve">预付合同价的30%，工程按月计量、付至已完工程量</w:t>
      </w:r>
      <w:r>
        <w:rPr>
          <w:rFonts w:hint="eastAsia" w:ascii="仿宋" w:hAnsi="仿宋" w:eastAsia="仿宋" w:cs="仿宋"/>
          <w:b/>
          <w:bCs/>
          <w:i w:val="0"/>
          <w:iCs w:val="0"/>
          <w:color w:val="auto"/>
          <w:sz w:val="28"/>
          <w:szCs w:val="28"/>
          <w:highlight w:val="none"/>
          <w:u w:val="single"/>
        </w:rPr>
        <w:t xml:space="preserve">的</w:t>
      </w:r>
      <w:r>
        <w:rPr>
          <w:rFonts w:hint="eastAsia" w:ascii="仿宋" w:hAnsi="仿宋" w:eastAsia="仿宋" w:cs="仿宋"/>
          <w:b/>
          <w:bCs/>
          <w:i w:val="0"/>
          <w:iCs w:val="0"/>
          <w:color w:val="auto"/>
          <w:sz w:val="28"/>
          <w:szCs w:val="28"/>
          <w:highlight w:val="none"/>
          <w:u w:val="single"/>
          <w:lang w:val="en-US" w:eastAsia="zh-CN"/>
        </w:rPr>
        <w:t xml:space="preserve">80</w:t>
      </w:r>
      <w:r>
        <w:rPr>
          <w:rFonts w:hint="eastAsia" w:ascii="仿宋" w:hAnsi="仿宋" w:eastAsia="仿宋" w:cs="仿宋"/>
          <w:b/>
          <w:bCs/>
          <w:i w:val="0"/>
          <w:iCs w:val="0"/>
          <w:color w:val="auto"/>
          <w:sz w:val="28"/>
          <w:szCs w:val="28"/>
          <w:highlight w:val="none"/>
          <w:u w:val="single"/>
        </w:rPr>
        <w:t xml:space="preserve">%</w:t>
      </w:r>
      <w:r>
        <w:rPr>
          <w:rFonts w:hint="eastAsia" w:ascii="仿宋" w:hAnsi="仿宋" w:eastAsia="仿宋" w:cs="仿宋"/>
          <w:b/>
          <w:bCs/>
          <w:i w:val="0"/>
          <w:iCs w:val="0"/>
          <w:color w:val="auto"/>
          <w:sz w:val="28"/>
          <w:szCs w:val="28"/>
          <w:highlight w:val="none"/>
          <w:u w:val="single"/>
          <w:lang w:eastAsia="zh-CN"/>
        </w:rPr>
        <w:t xml:space="preserve">，</w:t>
      </w:r>
      <w:r>
        <w:rPr>
          <w:rFonts w:hint="eastAsia" w:ascii="仿宋" w:hAnsi="仿宋" w:eastAsia="仿宋" w:cs="仿宋"/>
          <w:b/>
          <w:bCs/>
          <w:i w:val="0"/>
          <w:iCs w:val="0"/>
          <w:color w:val="auto"/>
          <w:sz w:val="28"/>
          <w:szCs w:val="28"/>
          <w:highlight w:val="none"/>
          <w:u w:val="single"/>
        </w:rPr>
        <w:t xml:space="preserve">验收合格后</w:t>
      </w:r>
      <w:r>
        <w:rPr>
          <w:rFonts w:hint="eastAsia" w:ascii="仿宋" w:hAnsi="仿宋" w:eastAsia="仿宋" w:cs="仿宋"/>
          <w:b/>
          <w:bCs/>
          <w:i w:val="0"/>
          <w:iCs w:val="0"/>
          <w:color w:val="auto"/>
          <w:sz w:val="28"/>
          <w:szCs w:val="28"/>
          <w:highlight w:val="none"/>
          <w:u w:val="single"/>
          <w:lang w:val="en-US" w:eastAsia="zh-CN"/>
        </w:rPr>
        <w:t xml:space="preserve">一次性付清</w:t>
      </w:r>
      <w:r>
        <w:rPr>
          <w:rFonts w:hint="eastAsia" w:ascii="仿宋" w:hAnsi="仿宋" w:eastAsia="仿宋" w:cs="仿宋"/>
          <w:b/>
          <w:bCs/>
          <w:i w:val="0"/>
          <w:iCs w:val="0"/>
          <w:color w:val="auto"/>
          <w:sz w:val="28"/>
          <w:szCs w:val="28"/>
          <w:highlight w:val="none"/>
          <w:u w:val="single"/>
          <w:lang w:eastAsia="zh-CN"/>
        </w:rPr>
        <w:t xml:space="preserve">。</w:t>
      </w:r>
      <w:r/>
    </w:p>
    <w:p>
      <w:pPr>
        <w:ind w:firstLine="480"/>
        <w:jc w:val="left"/>
        <w:spacing w:line="360" w:lineRule="auto"/>
        <w:rPr>
          <w:rFonts w:hint="eastAsia" w:ascii="仿宋" w:hAnsi="仿宋" w:eastAsia="仿宋" w:cs="仿宋"/>
          <w:b/>
          <w:bCs/>
          <w:sz w:val="28"/>
          <w:szCs w:val="28"/>
          <w:highlight w:val="none"/>
          <w:u w:val="single"/>
          <w:lang w:eastAsia="zh-CN"/>
        </w:rPr>
      </w:pPr>
      <w:r>
        <w:rPr>
          <w:rFonts w:hint="eastAsia" w:ascii="仿宋" w:hAnsi="仿宋" w:eastAsia="仿宋" w:cs="仿宋"/>
          <w:b/>
          <w:bCs/>
          <w:sz w:val="28"/>
          <w:szCs w:val="28"/>
          <w:highlight w:val="none"/>
          <w:u w:val="single"/>
        </w:rPr>
        <w:t xml:space="preserve">每次付款前乙方向甲方开具正规发票</w:t>
      </w:r>
      <w:r>
        <w:rPr>
          <w:rFonts w:hint="eastAsia" w:ascii="仿宋" w:hAnsi="仿宋" w:eastAsia="仿宋" w:cs="仿宋"/>
          <w:b/>
          <w:bCs/>
          <w:sz w:val="28"/>
          <w:szCs w:val="28"/>
          <w:highlight w:val="none"/>
          <w:u w:val="single"/>
          <w:lang w:eastAsia="zh-CN"/>
        </w:rPr>
        <w:t xml:space="preserve">。</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 甲方可根据项目需求调整设备的位置，当采购数量与实际使用数量不一致时，乙方应根据实际使用量提供产品和服务，合同的最终结算金额按实际使用量乘以中标单价进行计算。</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十一、税费</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 本合同执行中相关的一切税费均由乙方负担。</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十二、质量保证及售后服务</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 乙方应按招标文件规定和投标文件承诺的性能、技术要求、质量标准向甲方提供产品或服务。</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 乙方提供的产品或服务在服务期内因其本身出现质量问题，根据实际情况，经双方协商，可按以下办法处理：</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（1）更换：由乙方承担所产生的全部费用。</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（2）合同终止处理：合同终止，乙方退还甲方支付的合同款，同时承担由此产生的全部费用，甲方不承担任何产生费用。</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12.3 如在使用过程中发生质量问题，乙方在接到甲方通知后在小时内到达甲方现场。</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12.4 在服务期内，乙方应对产品或服务出现的质量及安全问题负责处理解决并承担一切费用。</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十三、项目验收</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 甲方依法组织履约验收工作。</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 对于实际使用人和甲方分离的项目，甲方邀请实际使用人参与验收。</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13.4 如有必要，甲方邀请参加本项目的其他供应商或第三方专业机构及专家参与验收，相关意见将作为验收书的参考资料。</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十四、合同内容的交付</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 使用说明书、质量检验证明书等一并提交甲方。</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14.3 乙方在合同标的交付甲方48小时前通知甲方准备接收。</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14.4 合同标的在交付甲方前发生的风险均由乙方负责。</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14.5 合同标的在规定的交付期限内由乙方送达甲方指定的地点视为交付，乙方同时需通知甲方已送达。</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十五、违约责任</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 甲方违约</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15.1.1甲方违约的情形</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甲方违约的其他情形：</w:t>
      </w:r>
      <w:r>
        <w:rPr>
          <w:rFonts w:hint="eastAsia" w:ascii="仿宋" w:hAnsi="仿宋" w:eastAsia="仿宋" w:cs="仿宋"/>
          <w:sz w:val="28"/>
          <w:szCs w:val="28"/>
          <w:highlight w:val="none"/>
          <w:u w:val="single"/>
        </w:rPr>
        <w:t xml:space="preserve">           无      </w:t>
      </w:r>
      <w:r>
        <w:rPr>
          <w:rFonts w:hint="eastAsia" w:ascii="仿宋" w:hAnsi="仿宋" w:eastAsia="仿宋" w:cs="仿宋"/>
          <w:sz w:val="28"/>
          <w:szCs w:val="28"/>
          <w:highlight w:val="none"/>
        </w:rPr>
        <w:t xml:space="preserve"> 。</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15.1.2 甲方违约的责任</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甲方违约责任的承担方式和计算方法：</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（1）因甲方原因未能在计划开工日期前7天内下达开工通知的违约责任：甲方顺延服务期。</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15.2 乙方违约</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15.2.1 乙方违约的情形</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乙方违约的其他情形：</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（1）因乙方原因，导致作业区域周边住户和单位投诉或新闻媒体负面曝光；</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（2）乙方不能按规定时间验收交付；</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（3）因乙方原因发生保险事故给甲方造成影响的；</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因任何原因，未在甲方及监理（如有）同意的情况下停工或消极怠工，均视为违约，且在接到复工通知3日内不复工的，甲方有权解除合同，已完合同内容按70%计量，且一切损失由乙方自负，或按每拖延一天罚合同总价的千分之二，按甲方要求交纳至指定账户。</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（5）乙方其他违约情形。</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15.2.2乙方违约的责任</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乙方违约责任的承担方式和计算方法：(1)乙方违反合同约定进行转包或违法分包的：按合同价的10%进行处罚，并按甲方要求交纳至指定账户，签订合同无效，由乙方承担由此产生的全部责任。</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(2)乙方违反合同约定采购和使用不合格的本项目设备的：按甲方要求进行整改，并按合同设备价款的20%进行处罚，并从合同款中直接扣除；</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(3)因乙方原因导致本项目质量不符合合同要求的：限期整改，服务期不延长； </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(4)乙方违反合同约定，未经批准，私自将已按照合同约定进入施工现场的设备撤离施工现场的：限期整改，服务期不延长； </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乙方未能按施工进度计划及时完成合同约定的工作，造成服务期延误的：每延误一天支付违约金1万元，并从本项目款中直接扣除；本项目延期超过10天的，甲方有权终止合同，更换施工单位，由此造成的一切损失并追究乙方违约责任。</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乙方在缺陷责任期及保修期内，未能在合理期限对设备缺陷进行修复，或拒绝按甲方要求进行修复的：甲方可委托其他人员修理，保修费用从质量保修金内扣除，如保修费用超过质量保证金，甲方有权向乙方进行追偿，乙方不得就维修费用提出任何异议；</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(7)乙方明确表示或者以其行为表明不履行合同主要义务的：清除出场，甲方有权从已完本项目价款中扣除；甲方有损失的，甲方有权要求乙方进行赔偿，并上报建设主管部门；</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 若因乙方原因，导致周边住户和单位投诉或新闻媒体负面曝光的，乙方需承担由此产生的一切后果和费用。每曝光一次乙方需向甲方支付10000元的违约金。</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 如乙方不能按规定时间验收交付，乙方需向甲方支付1万元/天的违约金。违约金从合同款中扣除。相关条款涉及的费用除已明确由甲方承担的，均已包含在乙方的总价中。</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 如因乙方原因发生保险事故给甲方造成影响的，乙方承担违约责任，需向甲方支付保险赔付金20％的违约金。</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 对严重违约需清除出场的乙方，甲方将其情况书面报告当地及企业所在地行政主管部门，向乙方书面提出限期清场的要求并登报公示。    </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15.2.3 因乙方违约解除合同</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于乙方违约解除合同的特别约定：在本合同履行过程中，如乙方不同意本本项目合同条件；不同意付款比例和时间；自认所报投标价格过低要求甲方调整；自认合同价款过低要求甲方调整；停工或故意拖延施工进度或影响施工质量；要挟甲方提高合同价款；要挟甲方给予某种补偿，甲方将视乙方此几种行为为严重违约，立即终止合同，乙方承担违约责任、支付违约金、赔偿甲方服务期和其他实际直接损失，乙方在现场的人员无条件退场  。</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甲方继续使用乙方在施工现场的材料、设备、临时本项目、乙方文件和由乙方或以其名义编制的其他文件的费用承担方式：  乙方在现场的设备和材料等无条件供甲方使用，甲方继续使用的行为不免除或减轻乙方应承担的违约责任  。</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15.2.4</w:t>
      </w:r>
      <w:r>
        <w:rPr>
          <w:rFonts w:hint="eastAsia" w:ascii="仿宋" w:hAnsi="仿宋" w:eastAsia="仿宋" w:cs="仿宋"/>
          <w:b/>
          <w:bCs/>
          <w:sz w:val="28"/>
          <w:szCs w:val="28"/>
          <w:highlight w:val="none"/>
        </w:rPr>
        <w:t xml:space="preserve">签订合同后被发现存在出借（挂靠）资质的行为，必须无条件接受被取消中标（承包）资格、合同解除及清除出场，一切损失自行承担。</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十六、不可抗力事件处理</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 在合同有效期内，任何一方因不可抗力事件导致不能履行合同，则合同履行期可延长，其延长期与不可抗力影响期相同。</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16.2 不可抗力事件发生后，应立即通知对方，并寄送有关权威机构出具的证明。</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16.3 不可抗力事件延续120天以上，双方应通过友好协商，确定是否继续履行合同。</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十七、解决争议的方法</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17.1 甲乙双方因合同签订、履行而发生的一切争议，应通过友好协商解决。如协商不成，按下列第</w:t>
      </w:r>
      <w:r>
        <w:rPr>
          <w:rFonts w:hint="eastAsia" w:ascii="仿宋" w:hAnsi="仿宋" w:eastAsia="仿宋" w:cs="仿宋"/>
          <w:sz w:val="28"/>
          <w:szCs w:val="28"/>
          <w:highlight w:val="none"/>
          <w:u w:val="single"/>
        </w:rPr>
        <w:t xml:space="preserve">（2）</w:t>
      </w:r>
      <w:r>
        <w:rPr>
          <w:rFonts w:hint="eastAsia" w:ascii="仿宋" w:hAnsi="仿宋" w:eastAsia="仿宋" w:cs="仿宋"/>
          <w:sz w:val="28"/>
          <w:szCs w:val="28"/>
          <w:highlight w:val="none"/>
        </w:rPr>
        <w:t xml:space="preserve">种方式解决：</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（1）向淮安仲裁委员会申请仲裁。</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（2）向合同签订地法院起诉。</w:t>
      </w:r>
      <w:r/>
    </w:p>
    <w:p>
      <w:pPr>
        <w:ind w:firstLine="482"/>
        <w:jc w:val="left"/>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十八、合同生效及其他</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 合同经双方法定代表人或授权代表签字并加盖单位公章后生效。</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18.2 本合同未尽事宜，遵照</w:t>
      </w:r>
      <w:r>
        <w:rPr>
          <w:rFonts w:hint="eastAsia" w:ascii="仿宋" w:hAnsi="仿宋" w:eastAsia="仿宋" w:cs="仿宋"/>
          <w:color w:val="000000"/>
          <w:sz w:val="28"/>
          <w:szCs w:val="28"/>
          <w:highlight w:val="none"/>
        </w:rPr>
        <w:t xml:space="preserve">《中华人民共和国民法典》</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rPr>
        <w:t xml:space="preserve">中华人民共和国</w:t>
      </w:r>
      <w:r>
        <w:rPr>
          <w:rFonts w:hint="eastAsia" w:ascii="仿宋" w:hAnsi="仿宋" w:eastAsia="仿宋" w:cs="仿宋"/>
          <w:sz w:val="28"/>
          <w:szCs w:val="28"/>
          <w:highlight w:val="none"/>
        </w:rPr>
        <w:t xml:space="preserve">政府采购法》有关条文执行。</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18.3 本合同正本一式肆份，具有同等法律效力，甲方、乙方各执贰份。</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                                     乙方：</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                                     地址：</w:t>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法定代表人或授权代表：                法定代表人或授权代表：</w:t>
      </w:r>
      <w:r/>
    </w:p>
    <w:p>
      <w:pPr>
        <w:ind w:firstLine="48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联系电话：                            联系电话：</w:t>
      </w:r>
      <w:r/>
    </w:p>
    <w:p>
      <w:pPr>
        <w:ind w:firstLine="480"/>
        <w:jc w:val="righ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签订日期：  年  月  日</w:t>
      </w:r>
      <w:r/>
    </w:p>
    <w:p>
      <w:pPr>
        <w:pStyle w:val="1023"/>
        <w:spacing w:line="520" w:lineRule="exact"/>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color w:val="000000"/>
          <w:sz w:val="28"/>
          <w:highlight w:val="none"/>
        </w:rPr>
        <w:br w:type="page" w:clear="all"/>
      </w:r>
      <w:r/>
    </w:p>
    <w:p>
      <w:pPr>
        <w:rPr>
          <w:rFonts w:hint="eastAsia" w:ascii="仿宋" w:hAnsi="仿宋" w:eastAsia="仿宋" w:cs="仿宋"/>
          <w:highlight w:val="none"/>
        </w:rPr>
      </w:pPr>
      <w:r>
        <w:rPr>
          <w:rFonts w:hint="eastAsia" w:ascii="仿宋" w:hAnsi="仿宋" w:eastAsia="仿宋" w:cs="仿宋"/>
          <w:bCs/>
          <w:color w:val="000000"/>
          <w:sz w:val="32"/>
          <w:szCs w:val="32"/>
          <w:highlight w:val="none"/>
        </w:rPr>
        <w:t xml:space="preserve">       </w:t>
      </w:r>
      <w:bookmarkStart w:id="180" w:name="_Toc7519"/>
      <w:r/>
      <w:bookmarkStart w:id="181" w:name="_Toc3814"/>
      <w:r/>
      <w:bookmarkStart w:id="182" w:name="_Toc14141"/>
      <w:r/>
      <w:bookmarkStart w:id="183" w:name="_Toc161"/>
      <w:r/>
      <w:bookmarkStart w:id="184" w:name="_Toc9968"/>
      <w:r/>
      <w:bookmarkStart w:id="185" w:name="_Toc12073"/>
      <w:r/>
      <w:bookmarkStart w:id="186" w:name="_Toc31596"/>
      <w:r/>
      <w:bookmarkStart w:id="187" w:name="_Toc15689"/>
      <w:r/>
      <w:bookmarkStart w:id="188" w:name="_Toc3441"/>
      <w:r/>
      <w:bookmarkStart w:id="189" w:name="_Toc26319"/>
      <w:r/>
      <w:r/>
    </w:p>
    <w:p>
      <w:pPr>
        <w:pStyle w:val="1010"/>
        <w:numPr>
          <w:ilvl w:val="0"/>
          <w:numId w:val="5"/>
        </w:numPr>
        <w:jc w:val="center"/>
        <w:spacing w:line="360" w:lineRule="auto"/>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t xml:space="preserve"> </w:t>
      </w:r>
      <w:bookmarkStart w:id="190" w:name="_Toc23644"/>
      <w:r/>
      <w:bookmarkStart w:id="191" w:name="_Toc24898"/>
      <w:r/>
      <w:bookmarkStart w:id="192" w:name="_Toc26996"/>
      <w:r>
        <w:rPr>
          <w:rFonts w:hint="eastAsia" w:ascii="仿宋" w:hAnsi="仿宋" w:eastAsia="仿宋" w:cs="仿宋"/>
          <w:b/>
          <w:bCs/>
          <w:color w:val="000000"/>
          <w:sz w:val="32"/>
          <w:szCs w:val="32"/>
          <w:highlight w:val="none"/>
        </w:rPr>
        <w:t xml:space="preserve">项目采购需求</w:t>
      </w:r>
      <w:bookmarkEnd w:id="164"/>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pStyle w:val="766"/>
        <w:ind w:firstLine="280"/>
        <w:spacing w:before="0" w:after="0" w:line="360" w:lineRule="exact"/>
        <w:rPr>
          <w:rFonts w:hint="eastAsia" w:ascii="仿宋" w:hAnsi="仿宋" w:eastAsia="仿宋" w:cs="仿宋"/>
          <w:sz w:val="28"/>
          <w:szCs w:val="28"/>
          <w:highlight w:val="none"/>
        </w:rPr>
      </w:pPr>
      <w:r/>
      <w:bookmarkStart w:id="193" w:name="_Toc11410"/>
      <w:r/>
      <w:bookmarkStart w:id="194" w:name="_Toc21787"/>
      <w:r/>
      <w:bookmarkStart w:id="195" w:name="_Toc2823"/>
      <w:r/>
      <w:bookmarkStart w:id="196" w:name="_Toc30539"/>
      <w:r/>
      <w:bookmarkStart w:id="197" w:name="_Toc12558"/>
      <w:r/>
      <w:bookmarkStart w:id="198" w:name="_Toc24298"/>
      <w:r/>
      <w:bookmarkStart w:id="199" w:name="_Toc11392"/>
      <w:r/>
      <w:bookmarkStart w:id="200" w:name="_Toc9375"/>
      <w:r/>
      <w:bookmarkStart w:id="201" w:name="_Toc18747"/>
      <w:r/>
      <w:bookmarkStart w:id="202" w:name="_Toc19651"/>
      <w:r/>
      <w:bookmarkStart w:id="203" w:name="_Toc32465"/>
      <w:r/>
      <w:bookmarkStart w:id="204" w:name="_Toc29419"/>
      <w:r/>
      <w:bookmarkStart w:id="205" w:name="_Toc13142"/>
      <w:r>
        <w:rPr>
          <w:rFonts w:hint="eastAsia" w:ascii="仿宋" w:hAnsi="仿宋" w:eastAsia="仿宋" w:cs="仿宋"/>
          <w:sz w:val="28"/>
          <w:szCs w:val="28"/>
          <w:highlight w:val="none"/>
        </w:rPr>
        <w:t xml:space="preserve">一、项目背景及概况</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响应国家、江苏省、淮安市对加快推进城市基础设施生命线工程建设，着力建设安全可靠的韧性城市，淮安区按照省市要求，依托“淮安市城市生命线安全监管系统”（以下简称：市级监管系统）开设账号的方式建设。在智慧监测方面，依据已完成的风险评估结果，开展排水、桥梁、道路等城市基础设施智慧监测/检测布设工作，提升智慧化监管、监测效能；在数据归集方面，开展各风险场景综合监管数据、智慧监测数据等生命线安全运行数据的归集、融合、治理及上报，满足省市监管平台数据要求。</w:t>
      </w:r>
      <w:r/>
    </w:p>
    <w:p>
      <w:pPr>
        <w:pStyle w:val="766"/>
        <w:spacing w:before="0" w:after="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二、建设目标</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淮安区城市生命线安全工程，按照“统筹规划、突出重点、</w:t>
      </w:r>
      <w:r>
        <w:rPr>
          <w:rFonts w:hint="eastAsia" w:ascii="仿宋" w:hAnsi="仿宋" w:eastAsia="仿宋" w:cs="仿宋"/>
          <w:sz w:val="28"/>
          <w:szCs w:val="28"/>
          <w:highlight w:val="none"/>
        </w:rPr>
        <w:t xml:space="preserve">分步实施”的建设原则，遵循全市统一的“智慧监测+综合监管+应急调度”思路，坚持统一标准、统一规划、统一监管，围绕日常监管、部门协同、资源共享、信息融合、智能监测等方面建立健全城市生命线安全监管工作机制，聚焦燃气爆炸、供水爆管、城市内涝、桥梁坍塌、道路塌陷等风险场景重点监测，实现与省市区三级监管系统互联互通、数据共享、业务协同，推动监管效能显著提升、设施运行高效规范、安全风险有效防控，使城市生命线安全管理从“被动应对”向“主动监管”转变，系统提升城市基础设施规范化、智慧化管理水平，全面提升城市本质安全水平。 </w:t>
      </w:r>
      <w:r/>
    </w:p>
    <w:p>
      <w:pPr>
        <w:pStyle w:val="766"/>
        <w:spacing w:before="0" w:after="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三、建设内容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1、开展数据汇聚治理</w:t>
      </w:r>
      <w:r/>
    </w:p>
    <w:p>
      <w:pPr>
        <w:ind w:firstLine="560"/>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照有关省市数据标准、数据对接规范要求，持续对淮安区各风险场景的设施基础数据、行业监管数据、动态监测数据等开展汇聚与治理工作。通过利用市级已建的专业治理工具平台进行区级数据治理，确保与市级监管系统之间的数据对接畅通无误。</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2、智慧监测</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在已完成的安全风险评估基础上，通过加大管理或工程改造的措施消除风险隐患。对于无法消除风险隐患的，明确动态监测需求，识别监测对象，布设排水、桥梁、</w:t>
      </w:r>
      <w:r>
        <w:rPr>
          <w:rFonts w:hint="eastAsia" w:ascii="仿宋" w:hAnsi="仿宋" w:eastAsia="仿宋" w:cs="仿宋"/>
          <w:sz w:val="28"/>
          <w:szCs w:val="28"/>
          <w:highlight w:val="none"/>
          <w:lang w:val="en-US" w:eastAsia="zh-CN"/>
        </w:rPr>
        <w:t xml:space="preserve">照明</w:t>
      </w:r>
      <w:r>
        <w:rPr>
          <w:rFonts w:hint="eastAsia" w:ascii="仿宋" w:hAnsi="仿宋" w:eastAsia="仿宋" w:cs="仿宋"/>
          <w:sz w:val="28"/>
          <w:szCs w:val="28"/>
          <w:highlight w:val="none"/>
        </w:rPr>
        <w:t xml:space="preserve">等城市基础设施建设物联智能感知设备，接入我区城市生命线监管平台实现对我区城市基础设施运行数据的全面感知、自动采集、监测分析、风险预警上报。</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（1）排水主要围绕内涝监测为主，在重要保障对象、排水管渠、河道等布设视频和液位等监测设备，提升城市防涝预警能力。</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（2）桥梁主要围绕华西路大桥、河下大桥、康马路桥、乌沙干渠桥共4座桥梁开展轻量化监测部署位移、应变（温度）传感器、视频等监测设备，提高对城市桥梁的健康监测。</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（3）照明主要围绕对老旧照明设施进行升级改造，改造老旧集中控制器和单灯控制器，改造老旧路灯控制柜，配套智慧照明管理平台，加强道路照明智慧化管理水平。</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（4）智慧井盖主要围绕区政府/医院周边、永怀路（纪念馆）、翔宇大道、北门大街4处路段、共计100套井盖设施进行智慧化升级，配套智慧井盖管理平台，强化窨井盖信息化、智能化管理水平。</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3、道路检测</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住建局于2023年6月对总体风险评估中的Ⅳ级风险路段（长18.446km）开展探地雷达检测。本次拟对评估结论为III级、Ⅱ级风险道路，包括杜康桥路、山阳大道、楚州大道、翔宇大道等路段剩余的共47.602公里进行探地雷达检测，精确识别出道路塌陷隐患。</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4、市政设施智能巡检</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以城市生命线安全工程为依托，通过低空技术与基础设施的融合，采购8套无人机设备，降低人工巡检成本与安全风险，推动城市管理向精细化、智能化迈进，提升市政设施运维效率。</w:t>
      </w:r>
      <w:r/>
    </w:p>
    <w:p>
      <w:pPr>
        <w:pStyle w:val="766"/>
        <w:numPr>
          <w:ilvl w:val="0"/>
          <w:numId w:val="6"/>
        </w:numPr>
        <w:spacing w:before="0" w:after="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项目建设要求</w:t>
      </w:r>
      <w:r/>
    </w:p>
    <w:p>
      <w:pPr>
        <w:pStyle w:val="767"/>
        <w:ind w:left="560" w:hanging="560"/>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1、项目服务整体要求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合淮安区实际情况，通过梳理城市生命线本信息系统现状，对现状问题进行全面分析梳理，从业务功能需求、业务量需求、信息量、信息资源需求、政务云资源需求、智慧监测/检测需求等内容予以分析并给出解决策略，进而明确淮安区城市生命线的建设目标和建设内容。</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基于对现状的分析和需求理解，从数据汇聚网络架构、数据归集流程设计、系统对接、智慧监测/检测等方面，对本次建设的总体思路进行全面分析。</w:t>
      </w:r>
      <w:r/>
    </w:p>
    <w:p>
      <w:pPr>
        <w:pStyle w:val="767"/>
        <w:ind w:left="560" w:hanging="560"/>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2、数据汇聚治理服务技术要求</w:t>
      </w:r>
      <w:r/>
    </w:p>
    <w:p>
      <w:pPr>
        <w:ind w:firstLine="480"/>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基于市级统一部署，燃气场景、供水场景、地下管线场景、大气环境监测场景相关企业、单位属于市直管，本次数据汇聚治理范围主要针对排水（防涝、污水）、桥梁、智慧照明等场景进行分析，道路、第三方施工通过填报完成数据归集工作。</w:t>
      </w:r>
      <w:r/>
    </w:p>
    <w:p>
      <w:pPr>
        <w:ind w:firstLine="48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需根据省市数据标准及对接规范提供详细的数据治理实施方案，包括数据资源梳理、数据汇聚、数据开发实施、数据资源池建设、数据服务封装实施、数据运维以及数据对接实施等，数据来源梳理要全面，数据汇聚方式要可行，数据开发、建库、封装、运维及对接要满足省级数据标准及对接规范，市区对接方案要结合淮安市、淮安区实际情况提供具有针对性的对接方案。 </w:t>
      </w:r>
      <w:r>
        <w:rPr>
          <w:rFonts w:hint="eastAsia" w:ascii="仿宋" w:hAnsi="仿宋" w:eastAsia="仿宋" w:cs="仿宋"/>
          <w:b/>
          <w:bCs/>
          <w:sz w:val="28"/>
          <w:szCs w:val="28"/>
          <w:highlight w:val="none"/>
        </w:rPr>
        <w:t xml:space="preserve">2.1数据资源梳理</w:t>
      </w:r>
      <w:r/>
    </w:p>
    <w:tbl>
      <w:tblPr>
        <w:tblStyle w:val="7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1594"/>
        <w:gridCol w:w="5812"/>
        <w:gridCol w:w="1135"/>
        <w:gridCol w:w="814"/>
      </w:tblGrid>
      <w:tr>
        <w:trPr>
          <w:jc w:val="center"/>
          <w:trHeight w:val="57"/>
          <w:tblHeader/>
        </w:trPr>
        <w:tc>
          <w:tcPr>
            <w:tcW w:w="253" w:type="pct"/>
            <w:vAlign w:val="center"/>
            <w:textDirection w:val="lrTb"/>
            <w:noWrap w:val="false"/>
          </w:tcPr>
          <w:p>
            <w:pPr>
              <w:jc w:val="center"/>
              <w:spacing w:line="360" w:lineRule="exact"/>
              <w:rPr>
                <w:rFonts w:hint="eastAsia" w:ascii="仿宋" w:hAnsi="仿宋" w:eastAsia="仿宋"/>
                <w:b/>
                <w:bCs/>
                <w:sz w:val="28"/>
                <w:szCs w:val="28"/>
                <w:highlight w:val="none"/>
              </w:rPr>
            </w:pPr>
            <w:r>
              <w:rPr>
                <w:rFonts w:ascii="仿宋" w:hAnsi="仿宋" w:eastAsia="仿宋"/>
                <w:b/>
                <w:bCs/>
                <w:sz w:val="28"/>
                <w:szCs w:val="28"/>
                <w:highlight w:val="none"/>
              </w:rPr>
              <w:t xml:space="preserve">序号</w:t>
            </w:r>
            <w:r/>
          </w:p>
        </w:tc>
        <w:tc>
          <w:tcPr>
            <w:tcW w:w="809" w:type="pct"/>
            <w:vAlign w:val="center"/>
            <w:textDirection w:val="lrTb"/>
            <w:noWrap w:val="false"/>
          </w:tcPr>
          <w:p>
            <w:pPr>
              <w:jc w:val="center"/>
              <w:spacing w:line="360" w:lineRule="exact"/>
              <w:rPr>
                <w:rFonts w:hint="eastAsia" w:ascii="仿宋" w:hAnsi="仿宋" w:eastAsia="仿宋"/>
                <w:b/>
                <w:bCs/>
                <w:sz w:val="28"/>
                <w:szCs w:val="28"/>
                <w:highlight w:val="none"/>
              </w:rPr>
            </w:pPr>
            <w:r>
              <w:rPr>
                <w:rFonts w:ascii="仿宋" w:hAnsi="仿宋" w:eastAsia="仿宋"/>
                <w:b/>
                <w:bCs/>
                <w:sz w:val="28"/>
                <w:szCs w:val="28"/>
                <w:highlight w:val="none"/>
              </w:rPr>
              <w:t xml:space="preserve">治理工艺</w:t>
            </w:r>
            <w:r/>
          </w:p>
        </w:tc>
        <w:tc>
          <w:tcPr>
            <w:tcW w:w="2949" w:type="pct"/>
            <w:vAlign w:val="center"/>
            <w:textDirection w:val="lrTb"/>
            <w:noWrap w:val="false"/>
          </w:tcPr>
          <w:p>
            <w:pPr>
              <w:jc w:val="center"/>
              <w:spacing w:line="360" w:lineRule="exact"/>
              <w:rPr>
                <w:rFonts w:hint="eastAsia" w:ascii="仿宋" w:hAnsi="仿宋" w:eastAsia="仿宋"/>
                <w:b/>
                <w:bCs/>
                <w:sz w:val="28"/>
                <w:szCs w:val="28"/>
                <w:highlight w:val="none"/>
              </w:rPr>
            </w:pPr>
            <w:r>
              <w:rPr>
                <w:rFonts w:ascii="仿宋" w:hAnsi="仿宋" w:eastAsia="仿宋"/>
                <w:b/>
                <w:bCs/>
                <w:sz w:val="28"/>
                <w:szCs w:val="28"/>
                <w:highlight w:val="none"/>
              </w:rPr>
              <w:t xml:space="preserve">工作内容</w:t>
            </w:r>
            <w:r/>
          </w:p>
        </w:tc>
        <w:tc>
          <w:tcPr>
            <w:tcW w:w="576" w:type="pct"/>
            <w:vAlign w:val="center"/>
            <w:textDirection w:val="lrTb"/>
            <w:noWrap w:val="false"/>
          </w:tcPr>
          <w:p>
            <w:pPr>
              <w:jc w:val="center"/>
              <w:spacing w:line="36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数量</w:t>
            </w:r>
            <w:r/>
          </w:p>
        </w:tc>
        <w:tc>
          <w:tcPr>
            <w:tcW w:w="413" w:type="pct"/>
            <w:vAlign w:val="center"/>
            <w:textDirection w:val="lrTb"/>
            <w:noWrap w:val="false"/>
          </w:tcPr>
          <w:p>
            <w:pPr>
              <w:jc w:val="center"/>
              <w:spacing w:line="36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单位</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1</w:t>
            </w:r>
            <w:r/>
          </w:p>
        </w:tc>
        <w:tc>
          <w:tcPr>
            <w:tcW w:w="809"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业务数据需求梳理</w:t>
            </w:r>
            <w:r/>
          </w:p>
        </w:tc>
        <w:tc>
          <w:tcPr>
            <w:tcW w:w="2949" w:type="pct"/>
            <w:vAlign w:val="center"/>
            <w:textDirection w:val="lrTb"/>
            <w:noWrap w:val="false"/>
          </w:tcPr>
          <w:p>
            <w:pP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制定业务数据需求模板分发各业务系统，各业务系统数据对接负责人通过填报的形式完成数据需求搜集任务，通过梳理、调研对接、会议评审等实施动作完成每项业务数据需求清单，最终形成监管系统业务数据需求清单。</w:t>
            </w:r>
            <w:r/>
          </w:p>
        </w:tc>
        <w:tc>
          <w:tcPr>
            <w:tcW w:w="576"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p>
        </w:tc>
        <w:tc>
          <w:tcPr>
            <w:tcW w:w="413"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2</w:t>
            </w:r>
            <w:r/>
          </w:p>
        </w:tc>
        <w:tc>
          <w:tcPr>
            <w:tcW w:w="809"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数据来源梳理</w:t>
            </w:r>
            <w:r/>
          </w:p>
        </w:tc>
        <w:tc>
          <w:tcPr>
            <w:tcW w:w="2949" w:type="pct"/>
            <w:vAlign w:val="center"/>
            <w:textDirection w:val="lrTb"/>
            <w:noWrap w:val="false"/>
          </w:tcPr>
          <w:p>
            <w:pP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根据业务数据需求清单通过电话、线上会议、走访调研形式向城市生命线对接人以及相关业务处室人员确认数据是否存在，确认数据项字段、对接方式、更新周期等形成每项业务数据来源清单。</w:t>
            </w:r>
            <w:r/>
          </w:p>
        </w:tc>
        <w:tc>
          <w:tcPr>
            <w:tcW w:w="576"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p>
        </w:tc>
        <w:tc>
          <w:tcPr>
            <w:tcW w:w="413"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3</w:t>
            </w:r>
            <w:r/>
          </w:p>
        </w:tc>
        <w:tc>
          <w:tcPr>
            <w:tcW w:w="809"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数据资源核对</w:t>
            </w:r>
            <w:r/>
          </w:p>
        </w:tc>
        <w:tc>
          <w:tcPr>
            <w:tcW w:w="2949" w:type="pct"/>
            <w:vAlign w:val="center"/>
            <w:textDirection w:val="lrTb"/>
            <w:noWrap w:val="false"/>
          </w:tcPr>
          <w:p>
            <w:pP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通过业务数据需求清单、数据来源清单进行整理梳理形成数据资源映射表，然后通过调研等形式发与各业务系统数据对接人进行数据实际情况确认（每条数据资源包含字段、更新周期、对接方式），通过会议、走访等形式进行数据资源确认拉通，业务系统方通过数据实际情况调整业务数据需求。</w:t>
            </w:r>
            <w:r/>
          </w:p>
        </w:tc>
        <w:tc>
          <w:tcPr>
            <w:tcW w:w="576"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p>
        </w:tc>
        <w:tc>
          <w:tcPr>
            <w:tcW w:w="413"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4</w:t>
            </w:r>
            <w:r/>
          </w:p>
        </w:tc>
        <w:tc>
          <w:tcPr>
            <w:tcW w:w="809"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数据资源任务下发</w:t>
            </w:r>
            <w:r/>
          </w:p>
        </w:tc>
        <w:tc>
          <w:tcPr>
            <w:tcW w:w="2949" w:type="pct"/>
            <w:vAlign w:val="center"/>
            <w:textDirection w:val="lrTb"/>
            <w:noWrap w:val="false"/>
          </w:tcPr>
          <w:p>
            <w:pP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根据数据资源核对结果，起草城市数据资源提供清单以及任务书草稿，由城市生命线项目组提交业主单位，由业务单位下发城市数据资源提供清单任务书，各专项按照任务书以及数据资源提供清单要求，定期把数据从相关业务系统（或填报形式）传输到前置机。</w:t>
            </w:r>
            <w:r/>
          </w:p>
        </w:tc>
        <w:tc>
          <w:tcPr>
            <w:tcW w:w="576"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p>
        </w:tc>
        <w:tc>
          <w:tcPr>
            <w:tcW w:w="413"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5</w:t>
            </w:r>
            <w:r/>
          </w:p>
        </w:tc>
        <w:tc>
          <w:tcPr>
            <w:tcW w:w="809"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数据资源梳理成果</w:t>
            </w:r>
            <w:r/>
          </w:p>
        </w:tc>
        <w:tc>
          <w:tcPr>
            <w:tcW w:w="2949" w:type="pct"/>
            <w:vAlign w:val="center"/>
            <w:textDirection w:val="lrTb"/>
            <w:noWrap w:val="false"/>
          </w:tcPr>
          <w:p>
            <w:pP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经过数据梳理形成如下技术成果，包括使用的行业、部门数据标准，信息系统清单，数据种类清单，针对所有数据的数据字典。</w:t>
            </w:r>
            <w:r/>
          </w:p>
        </w:tc>
        <w:tc>
          <w:tcPr>
            <w:tcW w:w="576"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p>
        </w:tc>
        <w:tc>
          <w:tcPr>
            <w:tcW w:w="413"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项</w:t>
            </w:r>
            <w:r/>
          </w:p>
        </w:tc>
      </w:tr>
    </w:tbl>
    <w:p>
      <w:pPr>
        <w:ind w:firstLine="480"/>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2.2数据汇聚</w:t>
      </w:r>
      <w:r/>
    </w:p>
    <w:tbl>
      <w:tblPr>
        <w:tblStyle w:val="7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1594"/>
        <w:gridCol w:w="5812"/>
        <w:gridCol w:w="1133"/>
        <w:gridCol w:w="816"/>
      </w:tblGrid>
      <w:tr>
        <w:trPr>
          <w:jc w:val="center"/>
          <w:trHeight w:val="397"/>
          <w:tblHeader/>
        </w:trPr>
        <w:tc>
          <w:tcPr>
            <w:tcW w:w="253"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序号</w:t>
            </w:r>
            <w:r/>
          </w:p>
        </w:tc>
        <w:tc>
          <w:tcPr>
            <w:tcW w:w="80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治理工艺</w:t>
            </w:r>
            <w:r/>
          </w:p>
        </w:tc>
        <w:tc>
          <w:tcPr>
            <w:tcW w:w="294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工作内容</w:t>
            </w:r>
            <w:r/>
          </w:p>
        </w:tc>
        <w:tc>
          <w:tcPr>
            <w:tcW w:w="575"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b/>
                <w:bCs/>
                <w:sz w:val="28"/>
                <w:szCs w:val="28"/>
                <w:highlight w:val="none"/>
              </w:rPr>
              <w:t xml:space="preserve">数量</w:t>
            </w:r>
            <w:r/>
          </w:p>
        </w:tc>
        <w:tc>
          <w:tcPr>
            <w:tcW w:w="414"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b/>
                <w:bCs/>
                <w:sz w:val="28"/>
                <w:szCs w:val="28"/>
                <w:highlight w:val="none"/>
              </w:rPr>
              <w:t xml:space="preserve">单位</w:t>
            </w:r>
            <w:r/>
          </w:p>
        </w:tc>
      </w:tr>
      <w:tr>
        <w:trPr>
          <w:jc w:val="center"/>
          <w:trHeight w:val="422"/>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1</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前置库实施</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前置库数据接入实施：根据数据资源属性，确认接入方式选择、前置库申请、前置库准备、网络接入准备、数据资源准备。将数据同步到本地前置机的前置库中，包括库表接入、消息接入、文件接入。</w:t>
            </w:r>
            <w:r/>
          </w:p>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前置库维护：为防止数据库写入和读取效率过低，对前置库性能进行监控，调整其存储策略等内容。定期对数据库安全漏洞扫描，杜绝数据泄露的风险</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sz w:val="28"/>
                <w:szCs w:val="28"/>
                <w:highlight w:val="none"/>
              </w:rPr>
              <w:t xml:space="preserve">项</w:t>
            </w:r>
            <w:r/>
          </w:p>
        </w:tc>
      </w:tr>
      <w:tr>
        <w:trPr>
          <w:jc w:val="center"/>
          <w:trHeight w:val="90"/>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2</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专项数据汇聚实施</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根据前期调研，本次项目需要完成与淮安区辖区生命线相关系统及部门的数据对接，获取生命线相关需求数据。主要包括淮安智慧水务系统(巡查养护系统、监测报警系统、考核评估系统、工单管理系统、厂网河一体化调度系统、安全管理系统、移动综合管理平台(APP)、排水管网GIS应用)、江苏省城市桥梁信息管理系统、理控OLM户外照明监控中心站软件等。针对暂无信息化系统可供对接获取数据的专项，通过开发数据表单进行填报获取，主要包括道路、第三方施工。</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sz w:val="28"/>
                <w:szCs w:val="28"/>
                <w:highlight w:val="none"/>
              </w:rPr>
              <w:t xml:space="preserve">项</w:t>
            </w:r>
            <w:r/>
          </w:p>
        </w:tc>
      </w:tr>
    </w:tbl>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2.3数据开发实施</w:t>
      </w:r>
      <w:r/>
    </w:p>
    <w:tbl>
      <w:tblPr>
        <w:tblStyle w:val="7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1594"/>
        <w:gridCol w:w="5812"/>
        <w:gridCol w:w="1133"/>
        <w:gridCol w:w="816"/>
      </w:tblGrid>
      <w:tr>
        <w:trPr>
          <w:jc w:val="center"/>
          <w:trHeight w:val="57"/>
          <w:tblHeader/>
        </w:trPr>
        <w:tc>
          <w:tcPr>
            <w:tcW w:w="253"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序号</w:t>
            </w:r>
            <w:r/>
          </w:p>
        </w:tc>
        <w:tc>
          <w:tcPr>
            <w:tcW w:w="80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治理工艺</w:t>
            </w:r>
            <w:r/>
          </w:p>
        </w:tc>
        <w:tc>
          <w:tcPr>
            <w:tcW w:w="294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工作内容</w:t>
            </w:r>
            <w:r/>
          </w:p>
        </w:tc>
        <w:tc>
          <w:tcPr>
            <w:tcW w:w="575"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b/>
                <w:bCs/>
                <w:sz w:val="28"/>
                <w:szCs w:val="28"/>
                <w:highlight w:val="none"/>
              </w:rPr>
              <w:t xml:space="preserve">数量</w:t>
            </w:r>
            <w:r/>
          </w:p>
        </w:tc>
        <w:tc>
          <w:tcPr>
            <w:tcW w:w="414"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b/>
                <w:bCs/>
                <w:sz w:val="28"/>
                <w:szCs w:val="28"/>
                <w:highlight w:val="none"/>
              </w:rPr>
              <w:t xml:space="preserve">单位</w:t>
            </w:r>
            <w:r/>
          </w:p>
        </w:tc>
      </w:tr>
      <w:tr>
        <w:trPr>
          <w:jc w:val="center"/>
          <w:trHeight w:val="57"/>
        </w:trPr>
        <w:tc>
          <w:tcPr>
            <w:tcW w:w="253"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1</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库表数据开发实施</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库表数据开发，包含数据标准梳理、参考数据设计、数据探查实施、数据标准检测、数据标准落库、数据质量规则设计、数据质量任务开发（需考虑库表和消息）、数据质量分析（需考虑库表和消息）、数据质量报告设计（需考虑库表和消息）、数据治理实施、数据融合开发。</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2</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消息数据开发实施</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消息数据开发，包含数据标准梳理、参考数据设计、数据探查实施、数据标准检测、数据标准落库、数据质量规则设计、数据质量任务开发（需考虑库表和消息）、数据质量分析（需考虑库表和消息）、数据质量报告设计（需考虑库表和消息）、数据治理实施、数据融合开发。</w:t>
            </w:r>
            <w:r/>
          </w:p>
        </w:tc>
        <w:tc>
          <w:tcPr>
            <w:tcW w:w="575"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3</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数据资产管理实施</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根据数据资源目录标准规范，结合专项应用和综合应用需求，使用数据资产目录管理工具对数据资产进行编目和管理。通过元数据梳理，采集、分析各业务系统的元数据，理清各系统间各表字段间的隐含关联关系，使用元数据管理工具进行相关元数据维护实施动作。通过数据治理中心的指标管理工具对数据治理过程中对数据资产指标进行落地实施，包括指标定义、指标建模、指标固化等工作。通过数据治理中心的指标管理工具对数据治理过程中对数据资产标签进行落地实施，包括指标定义、指标建模、指标固化等工作。</w:t>
            </w:r>
            <w:r/>
          </w:p>
        </w:tc>
        <w:tc>
          <w:tcPr>
            <w:tcW w:w="575"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bl>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2.4数据资源池建设</w:t>
      </w:r>
      <w:r/>
    </w:p>
    <w:tbl>
      <w:tblPr>
        <w:tblStyle w:val="7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1594"/>
        <w:gridCol w:w="5812"/>
        <w:gridCol w:w="1133"/>
        <w:gridCol w:w="816"/>
      </w:tblGrid>
      <w:tr>
        <w:trPr>
          <w:jc w:val="center"/>
          <w:trHeight w:val="57"/>
          <w:tblHeader/>
        </w:trPr>
        <w:tc>
          <w:tcPr>
            <w:tcW w:w="253"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序号</w:t>
            </w:r>
            <w:r/>
          </w:p>
        </w:tc>
        <w:tc>
          <w:tcPr>
            <w:tcW w:w="80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治理工艺</w:t>
            </w:r>
            <w:r/>
          </w:p>
        </w:tc>
        <w:tc>
          <w:tcPr>
            <w:tcW w:w="294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工作内容</w:t>
            </w:r>
            <w:r/>
          </w:p>
        </w:tc>
        <w:tc>
          <w:tcPr>
            <w:tcW w:w="575"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c>
          <w:tcPr>
            <w:tcW w:w="414"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单位</w:t>
            </w:r>
            <w:r/>
          </w:p>
        </w:tc>
      </w:tr>
      <w:tr>
        <w:trPr>
          <w:jc w:val="center"/>
          <w:trHeight w:val="1620"/>
        </w:trPr>
        <w:tc>
          <w:tcPr>
            <w:tcW w:w="253"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1</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归集库建设</w:t>
            </w:r>
            <w:r/>
          </w:p>
        </w:tc>
        <w:tc>
          <w:tcPr>
            <w:tcW w:w="2949"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针对离线数据，将分散在不同数据源的数据进行数据归集，保留原始业务信息，存放数据的原始形态，记录并标识来源信息。针对实时数据，将分散在不同数据源的数据进行数据归集，保留原始业务信息，存放数据的原始形态，记录并标识来源信息。归集库主要对排水、桥梁、智慧照明等基础设施数据、监管数据、监测数据等不同数据源的数据进行数据建库，保留完整的原始业务信息，存放数据的原始形态，记录并标识来源信息，为为市级监管系统主题库的建设提供全面、统一的数据源。</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305"/>
        </w:trPr>
        <w:tc>
          <w:tcPr>
            <w:tcW w:w="253"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2</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主题库建设</w:t>
            </w:r>
            <w:r/>
          </w:p>
        </w:tc>
        <w:tc>
          <w:tcPr>
            <w:tcW w:w="2949"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按照省市数据标准规范，对数据进行清洗和转换，剔除错误的不符合业务逻辑的数据，并对数据进行标准化和统一化，保证数据的完整性、一致性和有效性等，基于业务领域对象对归集库中的数据进一步治理，通过转换、统计和汇总等方式，建设生成业务专项主题库。主题库按业务专项进行分类，主要包括公共基础库、排水监管主题库、桥梁监管主题库、智慧照明主题库等，用以解决主题相关数据标准化、时效性、一致性问题。</w:t>
            </w:r>
            <w:r/>
          </w:p>
        </w:tc>
        <w:tc>
          <w:tcPr>
            <w:tcW w:w="575"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bl>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2.5数据服务封装实施</w:t>
      </w:r>
      <w:r/>
    </w:p>
    <w:tbl>
      <w:tblPr>
        <w:tblStyle w:val="7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1594"/>
        <w:gridCol w:w="5812"/>
        <w:gridCol w:w="1133"/>
        <w:gridCol w:w="816"/>
      </w:tblGrid>
      <w:tr>
        <w:trPr>
          <w:jc w:val="center"/>
          <w:trHeight w:val="375"/>
          <w:tblHeader/>
        </w:trPr>
        <w:tc>
          <w:tcPr>
            <w:tcW w:w="253"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序号</w:t>
            </w:r>
            <w:r/>
          </w:p>
        </w:tc>
        <w:tc>
          <w:tcPr>
            <w:tcW w:w="80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治理工艺</w:t>
            </w:r>
            <w:r/>
          </w:p>
        </w:tc>
        <w:tc>
          <w:tcPr>
            <w:tcW w:w="294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工作内容</w:t>
            </w:r>
            <w:r/>
          </w:p>
        </w:tc>
        <w:tc>
          <w:tcPr>
            <w:tcW w:w="575"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c>
          <w:tcPr>
            <w:tcW w:w="414"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单位</w:t>
            </w:r>
            <w:r/>
          </w:p>
        </w:tc>
      </w:tr>
      <w:tr>
        <w:trPr>
          <w:jc w:val="center"/>
          <w:trHeight w:val="810"/>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1</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数据需求调研</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调研外部系统和跨专项应用的具体数据需求，收集交互所需的数据元素，明确数据服务的数据类型、服务周期、是否涉及敏感数据，确认数据服务的对接方式，形成数据服务方案。</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385"/>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2</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数据需求定义</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定义需求中数据的描述符、消息格式、数据标签及查询条件。</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1200"/>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3</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数据需求分析</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根据数据需求的内容，对数据需求进行分析、合并、整合，并通过数据格式、查询条件等元素复用数据接口。具体数据接口分析包括：排水(防涝)数据服务接口、排水(污水)数据服务接口、桥梁数据服务接口、智慧照明服务接口。</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90"/>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4</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数据接口配置</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依托数据资产管理过程中建立的数据资产目录树，创建数据接口，配置每个数据接口的查询条件、数据提供方式。数据接口配置包括：排水(防涝)数据服务、排水(污水)数据服务、桥梁数据服务、智慧照明数据服务等接口配置。</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930"/>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5</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数据服务开发</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利用数据治理中心提供的可视化向导、脚本开发、SQL定制、代码定制等方式进行数据服务开发。数据服务开发包括：排水(防涝)数据、排水(污水)数据、桥梁数据、智慧照明数据等服务开发。</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810"/>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6</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数据服务编目</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根据项目业务专项的需求将数据服务目录化，用以支撑跨业务专项的数据资源需求，按照江苏省、淮安市、淮安区公共数据管理要求对需要对外共享数据进行数据资源编目。</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bl>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2.6数据运维</w:t>
      </w:r>
      <w:r/>
    </w:p>
    <w:tbl>
      <w:tblPr>
        <w:tblStyle w:val="7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1594"/>
        <w:gridCol w:w="5812"/>
        <w:gridCol w:w="1133"/>
        <w:gridCol w:w="816"/>
      </w:tblGrid>
      <w:tr>
        <w:trPr>
          <w:jc w:val="center"/>
          <w:trHeight w:val="57"/>
          <w:tblHeader/>
        </w:trPr>
        <w:tc>
          <w:tcPr>
            <w:tcW w:w="253"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序号</w:t>
            </w:r>
            <w:r/>
          </w:p>
        </w:tc>
        <w:tc>
          <w:tcPr>
            <w:tcW w:w="80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治理工艺</w:t>
            </w:r>
            <w:r/>
          </w:p>
        </w:tc>
        <w:tc>
          <w:tcPr>
            <w:tcW w:w="294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ascii="仿宋" w:hAnsi="仿宋" w:eastAsia="仿宋" w:cs="仿宋"/>
                <w:b/>
                <w:bCs/>
                <w:sz w:val="28"/>
                <w:szCs w:val="28"/>
                <w:highlight w:val="none"/>
              </w:rPr>
              <w:t xml:space="preserve">工作内容</w:t>
            </w:r>
            <w:r/>
          </w:p>
        </w:tc>
        <w:tc>
          <w:tcPr>
            <w:tcW w:w="575"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c>
          <w:tcPr>
            <w:tcW w:w="414"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单位</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1</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任务调度实施</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根据项目实际数据体量、硬件资源信息等各方资源进行项目整体数据流程调度设计和实施确保数据流程稳定健康运行。</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2</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数据汇聚实施监控</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对排水、桥梁、照明等各专项数据的汇聚实施任务进行监控，包括系统对接汇聚方式以及填报方式汇聚数据，对这些任务的采集方式、更新频率、连接状态等进行监控。</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3</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数据开发实施监控</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对数据探查实施任务、数据标准检测任务、数据质量稽查任务、数据融合开发任务的治理规则数量、规则频率、规则创建时间、规则使用时间进行监控，统计离线数据开发、实时数据开发涉及数据资源一周内、每天、每小时的数据更新情况，及时跟踪数据来源数据更新的整体情况。</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4</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数据资产管理实施监控</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监控元数据、指标、标签的数据情况，包括：数据表类、信息资源类、存量数据总量、更新量、数据来源、最近更新时间、同步方式等，监控当前数据库的使用情况，监控数据库的表空间大小、表空间占用率和用户连接数情况。</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5</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数据服务封装实施监控</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对库表交换服务、文件交换服务、消息交换服务、API封装服务、视频交换服务方式进行监控，包括服务压力监控、服务总线监控及服务状态监控等。</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6</w:t>
            </w:r>
            <w:r/>
          </w:p>
        </w:tc>
        <w:tc>
          <w:tcPr>
            <w:tcW w:w="809"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运维服务</w:t>
            </w:r>
            <w:r/>
          </w:p>
        </w:tc>
        <w:tc>
          <w:tcPr>
            <w:tcW w:w="2949" w:type="pct"/>
            <w:vAlign w:val="center"/>
            <w:textDirection w:val="lrTb"/>
            <w:noWrap w:val="false"/>
          </w:tcPr>
          <w:p>
            <w:pPr>
              <w:spacing w:line="360" w:lineRule="exact"/>
              <w:rPr>
                <w:rFonts w:hint="eastAsia" w:ascii="仿宋" w:hAnsi="仿宋" w:eastAsia="仿宋" w:cs="仿宋"/>
                <w:sz w:val="28"/>
                <w:szCs w:val="28"/>
                <w:highlight w:val="none"/>
              </w:rPr>
            </w:pPr>
            <w:r>
              <w:rPr>
                <w:rFonts w:ascii="仿宋" w:hAnsi="仿宋" w:eastAsia="仿宋" w:cs="仿宋"/>
                <w:sz w:val="28"/>
                <w:szCs w:val="28"/>
                <w:highlight w:val="none"/>
              </w:rPr>
              <w:t xml:space="preserve">完成排水(防涝)数据、排水(污水)数据、桥梁数据、照明数据等的上报运维，并对市级反馈的数据质量报告进行处理，跟据分析处理结果定期输出数据运维报告。</w:t>
            </w:r>
            <w:r/>
          </w:p>
        </w:tc>
        <w:tc>
          <w:tcPr>
            <w:tcW w:w="57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4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r>
    </w:tbl>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2.7数据对接实施</w:t>
      </w:r>
      <w:r/>
    </w:p>
    <w:tbl>
      <w:tblPr>
        <w:tblStyle w:val="7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1594"/>
        <w:gridCol w:w="5812"/>
        <w:gridCol w:w="1135"/>
        <w:gridCol w:w="814"/>
      </w:tblGrid>
      <w:tr>
        <w:trPr>
          <w:jc w:val="center"/>
          <w:trHeight w:val="57"/>
          <w:tblHeader/>
        </w:trPr>
        <w:tc>
          <w:tcPr>
            <w:tcW w:w="253" w:type="pct"/>
            <w:vAlign w:val="center"/>
            <w:textDirection w:val="lrTb"/>
            <w:noWrap w:val="false"/>
          </w:tcPr>
          <w:p>
            <w:pPr>
              <w:jc w:val="center"/>
              <w:spacing w:line="360" w:lineRule="exact"/>
              <w:rPr>
                <w:rFonts w:hint="eastAsia" w:ascii="仿宋" w:hAnsi="仿宋" w:eastAsia="仿宋"/>
                <w:b/>
                <w:bCs/>
                <w:sz w:val="28"/>
                <w:szCs w:val="28"/>
                <w:highlight w:val="none"/>
              </w:rPr>
            </w:pPr>
            <w:r>
              <w:rPr>
                <w:rFonts w:ascii="仿宋" w:hAnsi="仿宋" w:eastAsia="仿宋"/>
                <w:b/>
                <w:bCs/>
                <w:sz w:val="28"/>
                <w:szCs w:val="28"/>
                <w:highlight w:val="none"/>
              </w:rPr>
              <w:t xml:space="preserve">序号</w:t>
            </w:r>
            <w:r/>
          </w:p>
        </w:tc>
        <w:tc>
          <w:tcPr>
            <w:tcW w:w="809" w:type="pct"/>
            <w:vAlign w:val="center"/>
            <w:textDirection w:val="lrTb"/>
            <w:noWrap w:val="false"/>
          </w:tcPr>
          <w:p>
            <w:pPr>
              <w:jc w:val="center"/>
              <w:spacing w:line="360" w:lineRule="exact"/>
              <w:rPr>
                <w:rFonts w:hint="eastAsia" w:ascii="仿宋" w:hAnsi="仿宋" w:eastAsia="仿宋"/>
                <w:b/>
                <w:bCs/>
                <w:sz w:val="28"/>
                <w:szCs w:val="28"/>
                <w:highlight w:val="none"/>
              </w:rPr>
            </w:pPr>
            <w:r>
              <w:rPr>
                <w:rFonts w:ascii="仿宋" w:hAnsi="仿宋" w:eastAsia="仿宋"/>
                <w:b/>
                <w:bCs/>
                <w:sz w:val="28"/>
                <w:szCs w:val="28"/>
                <w:highlight w:val="none"/>
              </w:rPr>
              <w:t xml:space="preserve">治理工艺</w:t>
            </w:r>
            <w:r/>
          </w:p>
        </w:tc>
        <w:tc>
          <w:tcPr>
            <w:tcW w:w="2949" w:type="pct"/>
            <w:vAlign w:val="center"/>
            <w:textDirection w:val="lrTb"/>
            <w:noWrap w:val="false"/>
          </w:tcPr>
          <w:p>
            <w:pPr>
              <w:jc w:val="center"/>
              <w:spacing w:line="360" w:lineRule="exact"/>
              <w:rPr>
                <w:rFonts w:hint="eastAsia" w:ascii="仿宋" w:hAnsi="仿宋" w:eastAsia="仿宋"/>
                <w:b/>
                <w:bCs/>
                <w:sz w:val="28"/>
                <w:szCs w:val="28"/>
                <w:highlight w:val="none"/>
              </w:rPr>
            </w:pPr>
            <w:r>
              <w:rPr>
                <w:rFonts w:ascii="仿宋" w:hAnsi="仿宋" w:eastAsia="仿宋"/>
                <w:b/>
                <w:bCs/>
                <w:sz w:val="28"/>
                <w:szCs w:val="28"/>
                <w:highlight w:val="none"/>
              </w:rPr>
              <w:t xml:space="preserve">工作内容</w:t>
            </w:r>
            <w:r/>
          </w:p>
        </w:tc>
        <w:tc>
          <w:tcPr>
            <w:tcW w:w="576" w:type="pct"/>
            <w:vAlign w:val="center"/>
            <w:textDirection w:val="lrTb"/>
            <w:noWrap w:val="false"/>
          </w:tcPr>
          <w:p>
            <w:pPr>
              <w:jc w:val="center"/>
              <w:spacing w:line="36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数量</w:t>
            </w:r>
            <w:r/>
          </w:p>
        </w:tc>
        <w:tc>
          <w:tcPr>
            <w:tcW w:w="413" w:type="pct"/>
            <w:vAlign w:val="center"/>
            <w:textDirection w:val="lrTb"/>
            <w:noWrap w:val="false"/>
          </w:tcPr>
          <w:p>
            <w:pPr>
              <w:jc w:val="center"/>
              <w:spacing w:line="36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单位</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1</w:t>
            </w:r>
            <w:r/>
          </w:p>
        </w:tc>
        <w:tc>
          <w:tcPr>
            <w:tcW w:w="809"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库表上报</w:t>
            </w:r>
            <w:r/>
          </w:p>
        </w:tc>
        <w:tc>
          <w:tcPr>
            <w:tcW w:w="2949" w:type="pct"/>
            <w:vAlign w:val="center"/>
            <w:textDirection w:val="lrTb"/>
            <w:noWrap w:val="false"/>
          </w:tcPr>
          <w:p>
            <w:pP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对各专项结构化数据，按照市平台数据标准，将经过数据治理后的数据，通过库表接入方式将数据推送到前置库表中，由市平台从前置库中抽取数据。</w:t>
            </w:r>
            <w:r/>
          </w:p>
        </w:tc>
        <w:tc>
          <w:tcPr>
            <w:tcW w:w="576"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1</w:t>
            </w:r>
            <w:r/>
          </w:p>
        </w:tc>
        <w:tc>
          <w:tcPr>
            <w:tcW w:w="413"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2</w:t>
            </w:r>
            <w:r/>
          </w:p>
        </w:tc>
        <w:tc>
          <w:tcPr>
            <w:tcW w:w="809"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文件上报</w:t>
            </w:r>
            <w:r/>
          </w:p>
        </w:tc>
        <w:tc>
          <w:tcPr>
            <w:tcW w:w="2949" w:type="pct"/>
            <w:vAlign w:val="center"/>
            <w:textDirection w:val="lrTb"/>
            <w:noWrap w:val="false"/>
          </w:tcPr>
          <w:p>
            <w:pP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将各专项非结构化数据，文件类的数据，按照市平台数据标准，将经过数据治理后的数据，通过FTP方式将数据推送到前置机制定文件目录或制定文件路径下，由市平台从文件目录下抽取数据。</w:t>
            </w:r>
            <w:r/>
          </w:p>
        </w:tc>
        <w:tc>
          <w:tcPr>
            <w:tcW w:w="576"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1</w:t>
            </w:r>
            <w:r/>
          </w:p>
        </w:tc>
        <w:tc>
          <w:tcPr>
            <w:tcW w:w="413"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3</w:t>
            </w:r>
            <w:r/>
          </w:p>
        </w:tc>
        <w:tc>
          <w:tcPr>
            <w:tcW w:w="809"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消息上报</w:t>
            </w:r>
            <w:r/>
          </w:p>
        </w:tc>
        <w:tc>
          <w:tcPr>
            <w:tcW w:w="2949" w:type="pct"/>
            <w:vAlign w:val="center"/>
            <w:textDirection w:val="lrTb"/>
            <w:noWrap w:val="false"/>
          </w:tcPr>
          <w:p>
            <w:pP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将各专项要求高的结构化数据，监测数据、告警数据，按照市平台数据标准，将经过数据治理后的数据，通过消息队列方式将数据推送到消息队列中，由市平台从消息队列中抽取数据。</w:t>
            </w:r>
            <w:r/>
          </w:p>
        </w:tc>
        <w:tc>
          <w:tcPr>
            <w:tcW w:w="576"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1</w:t>
            </w:r>
            <w:r/>
          </w:p>
        </w:tc>
        <w:tc>
          <w:tcPr>
            <w:tcW w:w="413"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4</w:t>
            </w:r>
            <w:r/>
          </w:p>
        </w:tc>
        <w:tc>
          <w:tcPr>
            <w:tcW w:w="809"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离线拷贝</w:t>
            </w:r>
            <w:r/>
          </w:p>
        </w:tc>
        <w:tc>
          <w:tcPr>
            <w:tcW w:w="2949" w:type="pct"/>
            <w:vAlign w:val="center"/>
            <w:textDirection w:val="lrTb"/>
            <w:noWrap w:val="false"/>
          </w:tcPr>
          <w:p>
            <w:pP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将数据量大或不能通过在线传输的方式进行共享的城市生命线数据，按照市平台数据标准，将经过数据治理后的数据，通过离线拷贝方式进行数据接入。</w:t>
            </w:r>
            <w:r/>
          </w:p>
        </w:tc>
        <w:tc>
          <w:tcPr>
            <w:tcW w:w="576"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1</w:t>
            </w:r>
            <w:r/>
          </w:p>
        </w:tc>
        <w:tc>
          <w:tcPr>
            <w:tcW w:w="413"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项</w:t>
            </w:r>
            <w:r/>
          </w:p>
        </w:tc>
      </w:tr>
      <w:tr>
        <w:trPr>
          <w:jc w:val="center"/>
          <w:trHeight w:val="57"/>
        </w:trPr>
        <w:tc>
          <w:tcPr>
            <w:tcW w:w="253"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5</w:t>
            </w:r>
            <w:r/>
          </w:p>
        </w:tc>
        <w:tc>
          <w:tcPr>
            <w:tcW w:w="809" w:type="pct"/>
            <w:vAlign w:val="center"/>
            <w:textDirection w:val="lrTb"/>
            <w:noWrap w:val="false"/>
          </w:tcPr>
          <w:p>
            <w:pPr>
              <w:jc w:val="cente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视频流上报</w:t>
            </w:r>
            <w:r/>
          </w:p>
        </w:tc>
        <w:tc>
          <w:tcPr>
            <w:tcW w:w="2949" w:type="pct"/>
            <w:vAlign w:val="center"/>
            <w:textDirection w:val="lrTb"/>
            <w:noWrap w:val="false"/>
          </w:tcPr>
          <w:p>
            <w:pPr>
              <w:spacing w:line="360" w:lineRule="exact"/>
              <w:rPr>
                <w:rFonts w:hint="eastAsia" w:ascii="仿宋" w:hAnsi="仿宋" w:eastAsia="仿宋"/>
                <w:sz w:val="28"/>
                <w:szCs w:val="28"/>
                <w:highlight w:val="none"/>
              </w:rPr>
            </w:pPr>
            <w:r>
              <w:rPr>
                <w:rFonts w:ascii="仿宋" w:hAnsi="仿宋" w:eastAsia="仿宋"/>
                <w:sz w:val="28"/>
                <w:szCs w:val="28"/>
                <w:highlight w:val="none"/>
              </w:rPr>
              <w:t xml:space="preserve">整合各专项视频监控系统，按照市平台数据标准，通过视频流方式将视频监控数据与市平台进行对接。</w:t>
            </w:r>
            <w:r/>
          </w:p>
        </w:tc>
        <w:tc>
          <w:tcPr>
            <w:tcW w:w="576"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1</w:t>
            </w:r>
            <w:r/>
          </w:p>
        </w:tc>
        <w:tc>
          <w:tcPr>
            <w:tcW w:w="413" w:type="pct"/>
            <w:vAlign w:val="center"/>
            <w:textDirection w:val="lrTb"/>
            <w:noWrap w:val="false"/>
          </w:tcPr>
          <w:p>
            <w:pPr>
              <w:jc w:val="center"/>
              <w:spacing w:line="360" w:lineRule="exact"/>
              <w:rPr>
                <w:rFonts w:hint="eastAsia" w:ascii="仿宋" w:hAnsi="仿宋" w:eastAsia="仿宋"/>
                <w:sz w:val="28"/>
                <w:szCs w:val="28"/>
                <w:highlight w:val="none"/>
              </w:rPr>
            </w:pPr>
            <w:r>
              <w:rPr>
                <w:rFonts w:hint="eastAsia" w:ascii="仿宋" w:hAnsi="仿宋" w:eastAsia="仿宋" w:cs="仿宋"/>
                <w:sz w:val="28"/>
                <w:szCs w:val="28"/>
                <w:highlight w:val="none"/>
              </w:rPr>
              <w:t xml:space="preserve">项</w:t>
            </w:r>
            <w:r/>
          </w:p>
        </w:tc>
      </w:tr>
    </w:tbl>
    <w:p>
      <w:pPr>
        <w:rPr>
          <w:highlight w:val="none"/>
        </w:rPr>
      </w:pPr>
      <w:r>
        <w:rPr>
          <w:highlight w:val="none"/>
        </w:rPr>
      </w:r>
      <w:r/>
    </w:p>
    <w:p>
      <w:pPr>
        <w:rPr>
          <w:highlight w:val="none"/>
        </w:rPr>
      </w:pPr>
      <w:r>
        <w:rPr>
          <w:highlight w:val="none"/>
        </w:rPr>
      </w:r>
      <w:r/>
    </w:p>
    <w:p>
      <w:pPr>
        <w:pStyle w:val="767"/>
        <w:ind w:left="560" w:hanging="560"/>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3、道路塌陷检测服务技术要求</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3.1检测范围</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2023年6月区里已完成范围内约18.45km的IV级风险道路塌陷隐患探测工作，本次根据风险评估结论并结合管理部门实际求，将剩余的II级、III级路段纳入检测范围，共涉及46条城市道路，共</w:t>
      </w:r>
      <w:bookmarkStart w:id="206" w:name="OLE_LINK9"/>
      <w:r/>
      <w:bookmarkStart w:id="207" w:name="OLE_LINK10"/>
      <w:r>
        <w:rPr>
          <w:rFonts w:hint="eastAsia" w:ascii="仿宋" w:hAnsi="仿宋" w:eastAsia="仿宋" w:cs="仿宋"/>
          <w:sz w:val="28"/>
          <w:szCs w:val="28"/>
          <w:highlight w:val="none"/>
        </w:rPr>
        <w:t xml:space="preserve">47.602km</w:t>
      </w:r>
      <w:bookmarkEnd w:id="206"/>
      <w:r/>
      <w:bookmarkEnd w:id="207"/>
      <w:r>
        <w:rPr>
          <w:rFonts w:hint="eastAsia" w:ascii="仿宋" w:hAnsi="仿宋" w:eastAsia="仿宋" w:cs="仿宋"/>
          <w:sz w:val="28"/>
          <w:szCs w:val="28"/>
          <w:highlight w:val="none"/>
        </w:rPr>
        <w:t xml:space="preserve">。具体检测清单如下：</w:t>
      </w:r>
      <w:r/>
    </w:p>
    <w:tbl>
      <w:tblPr>
        <w:tblStyle w:val="77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97"/>
        <w:gridCol w:w="2151"/>
        <w:gridCol w:w="3841"/>
        <w:gridCol w:w="2265"/>
      </w:tblGrid>
      <w:tr>
        <w:trPr>
          <w:tblHeade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起终点</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道路长度（km）</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府前路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沈坤路~海棠路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杜康桥路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边寿民路~G233</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0.721</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渔滨路~楚州大道</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1091"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楚州大道</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海棠大道~东门大街</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0.871</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东门大街~文府路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文府路~南门大街</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p>
        </w:tc>
        <w:tc>
          <w:tcPr>
            <w:tcBorders>
              <w:top w:val="single" w:color="000000" w:sz="4" w:space="0"/>
              <w:left w:val="single" w:color="000000" w:sz="4" w:space="0"/>
              <w:bottom w:val="single" w:color="000000" w:sz="4" w:space="0"/>
              <w:right w:val="single" w:color="000000" w:sz="4" w:space="0"/>
            </w:tcBorders>
            <w:tcW w:w="1091"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梁红玉路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广州路~承恩大道</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海棠大道~樱桃园路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樱桃园路~南巽路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p>
        </w:tc>
        <w:tc>
          <w:tcPr>
            <w:tcBorders>
              <w:top w:val="single" w:color="000000" w:sz="4" w:space="0"/>
              <w:left w:val="single" w:color="000000" w:sz="4" w:space="0"/>
              <w:bottom w:val="single" w:color="000000" w:sz="4" w:space="0"/>
              <w:right w:val="single" w:color="000000" w:sz="4" w:space="0"/>
            </w:tcBorders>
            <w:tcW w:w="1091"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沈坤路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海棠大道~樱桃园路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樱桃园路~南巽路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北门大街</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长安路~翔宇大道</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1.25</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昌平桥路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莲花路~长安路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0.5</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p>
        </w:tc>
        <w:tc>
          <w:tcPr>
            <w:tcBorders>
              <w:top w:val="single" w:color="000000" w:sz="4" w:space="0"/>
              <w:left w:val="single" w:color="000000" w:sz="4" w:space="0"/>
              <w:bottom w:val="single" w:color="000000" w:sz="4" w:space="0"/>
              <w:right w:val="single" w:color="000000" w:sz="4" w:space="0"/>
            </w:tcBorders>
            <w:tcW w:w="1091"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城西干道</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南巽路~一品梅路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一品梅路~井神路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井神路~榷关路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0.9</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翔宇大道~承恩大道</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东长街</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南巽路~永怀路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1.854</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关天培路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楚州大道~沈坤路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韩信路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东西门大街~永怀路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0.53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怀恩路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翔宇大道~ 山阳大道</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井神路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城西干道~大运河东堤</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w:t>
            </w:r>
            <w:r/>
          </w:p>
        </w:tc>
        <w:tc>
          <w:tcPr>
            <w:tcBorders>
              <w:top w:val="single" w:color="000000" w:sz="4" w:space="0"/>
              <w:left w:val="single" w:color="000000" w:sz="4" w:space="0"/>
              <w:bottom w:val="single" w:color="000000" w:sz="4" w:space="0"/>
              <w:right w:val="single" w:color="000000" w:sz="4" w:space="0"/>
            </w:tcBorders>
            <w:tcW w:w="1091"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翔宇大道</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海天路~城西干道</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城西干道~关口路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关口路~梁红玉路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梁红玉路~铁云路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铁云路~边寿民路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0.94</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边寿民路~刘伶台路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1.164</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樱桃园路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铁云路~沈坤路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长安路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北门大街~楚州大道</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0.983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竹巷街</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北门大街~城河街</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0.57</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规划四路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东方雅居~南巽路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0.21</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电大北路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西长街~清安河</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0.313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w:t>
            </w:r>
            <w:r/>
          </w:p>
        </w:tc>
        <w:tc>
          <w:tcPr>
            <w:tcBorders>
              <w:top w:val="single" w:color="000000" w:sz="4" w:space="0"/>
              <w:left w:val="single" w:color="000000" w:sz="4" w:space="0"/>
              <w:bottom w:val="single" w:color="000000" w:sz="4" w:space="0"/>
              <w:right w:val="single" w:color="000000" w:sz="4" w:space="0"/>
            </w:tcBorders>
            <w:tcW w:w="1091"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承恩大道</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铁云路~梁红玉路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梁红玉路~经五路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w:t>
            </w:r>
            <w:r/>
          </w:p>
        </w:tc>
        <w:tc>
          <w:tcPr>
            <w:tcBorders>
              <w:top w:val="single" w:color="000000" w:sz="4" w:space="0"/>
              <w:left w:val="single" w:color="000000" w:sz="4" w:space="0"/>
              <w:bottom w:val="single" w:color="000000" w:sz="4" w:space="0"/>
              <w:right w:val="single" w:color="000000" w:sz="4" w:space="0"/>
            </w:tcBorders>
            <w:tcW w:w="1091"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经五路~康马路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0.7</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37</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公园路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前进路~碱厂</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0.486</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38</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南巽路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楚州大道~沈坤路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1.997</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39</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北门大街</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东西门大街~长安路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40</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莲花路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楚州大道~北门大街</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0.733</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一品梅路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黄码大桥~人民桥</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0.688</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规划五路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关天培路~南巽路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0.67</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43</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经四路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翔宇大道~承恩大道</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1.65</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44</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天成路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纱厂路改友谊路~清安路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0.162</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45</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前进路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公园路~井神路</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0.54</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46</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海棠路</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杜康桥路~翔宇大道</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47</w:t>
            </w:r>
            <w:r/>
          </w:p>
        </w:tc>
        <w:tc>
          <w:tcPr>
            <w:gridSpan w:val="2"/>
            <w:tcBorders>
              <w:top w:val="single" w:color="000000" w:sz="4" w:space="0"/>
              <w:left w:val="single" w:color="000000" w:sz="4" w:space="0"/>
              <w:bottom w:val="single" w:color="000000" w:sz="4" w:space="0"/>
              <w:right w:val="single" w:color="000000" w:sz="4" w:space="0"/>
            </w:tcBorders>
            <w:tcW w:w="3039" w:type="pct"/>
            <w:vAlign w:val="center"/>
            <w:textDirection w:val="lrTb"/>
            <w:noWrap w:val="false"/>
          </w:tcPr>
          <w:p>
            <w:pPr>
              <w:jc w:val="left"/>
              <w:spacing w:line="36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根据实际需求</w:t>
            </w:r>
            <w:r>
              <w:rPr>
                <w:rFonts w:hint="eastAsia" w:ascii="仿宋" w:hAnsi="仿宋" w:eastAsia="仿宋" w:cs="仿宋"/>
                <w:sz w:val="28"/>
                <w:szCs w:val="28"/>
                <w:highlight w:val="none"/>
              </w:rPr>
              <w:t xml:space="preserve">对风险等级为Ⅲ级及以上道路进行检测</w:t>
            </w:r>
            <w:r>
              <w:rPr>
                <w:rFonts w:hint="eastAsia" w:ascii="仿宋" w:hAnsi="仿宋" w:eastAsia="仿宋" w:cs="仿宋"/>
                <w:sz w:val="28"/>
                <w:szCs w:val="28"/>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50</w:t>
            </w:r>
            <w:r/>
          </w:p>
        </w:tc>
      </w:tr>
      <w:tr>
        <w:trPr/>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94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single" w:color="000000" w:sz="4" w:space="0"/>
              <w:left w:val="single" w:color="000000" w:sz="4" w:space="0"/>
              <w:bottom w:val="single" w:color="000000" w:sz="4" w:space="0"/>
              <w:right w:val="single" w:color="000000" w:sz="4" w:space="0"/>
            </w:tcBorders>
            <w:tcW w:w="114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97</w:t>
            </w:r>
            <w:r>
              <w:rPr>
                <w:rFonts w:hint="eastAsia" w:ascii="仿宋" w:hAnsi="仿宋" w:eastAsia="仿宋" w:cs="仿宋"/>
                <w:sz w:val="28"/>
                <w:szCs w:val="28"/>
                <w:highlight w:val="none"/>
              </w:rPr>
              <w:t xml:space="preserve">.602</w:t>
            </w:r>
            <w:r/>
          </w:p>
        </w:tc>
      </w:tr>
    </w:tbl>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注：最终实施以甲方实际需求为主。</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3.2道路检测工作要求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对城市道路进行道路塌陷隐患地质雷达检测，对检测出的隐患位置及范围进行确定，并评定风险等级,为整治、维修提供科学依据。</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（1）检测工作应至少包含下列内容：</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 现场踏勘与资料收集；</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 制定切实可行的检测方案；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 数据采集及解译；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 疑似点定位与复测；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 成果钻探验证；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 成因分析及处置建议；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⑦ 对其他异常情况进行检测；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⑧ 具有资质的检测单位出具的检测报告。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（2）检测工作基本要求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 该项目采用地质雷达检测方法为主，其他检测方法作为辅助手段；采用地质雷达检测道路下方5米范围内是否存在塌陷隐患，如脱空、空洞、疏松体和富水体等；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 中标人必须对检测道路红线内范围进行全面覆盖，重点检测区域或普查异常区域应加密测线布设或交叉布设；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 在检测过程中如查明已形成严重塌陷风险的隐患时，立即以电话与书面形式通知采购人，并配合进行应急处置；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 中标人须每周上报项目实施情况，并对采购人就检测成果提出的质疑进行复测或解答；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 形成检测结果（判明检测道路存在的基础疏松和空洞等塌陷隐患情况，探测隐患大小和埋深，并对隐患的位置进行定位测量，对隐患严重区域配以影像资料，对形成原因进行初步分析）； </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 分析现存隐患可能产生的影响程度，提出相应的处理和维修方案，对道路土体不良地质进行验证，配合采购人采取有效处理措施消除安全隐患，确保道路安全运行。</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⑦ 道路塌陷隐患探测成果信息表</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为满足城市生命线安全工程建设风险评估工作需求，探测结果需包含以下</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exact"/>
        <w:rPr>
          <w:highlight w:val="none"/>
        </w:rPr>
      </w:pPr>
      <w:r>
        <w:rPr>
          <w:rFonts w:hint="eastAsia" w:ascii="仿宋" w:hAnsi="仿宋" w:eastAsia="仿宋" w:cs="仿宋"/>
          <w:sz w:val="28"/>
          <w:szCs w:val="28"/>
          <w:highlight w:val="none"/>
        </w:rPr>
        <w:t xml:space="preserve">信息：</w:t>
      </w:r>
      <w:r/>
    </w:p>
    <w:p>
      <w:pPr>
        <w:rPr>
          <w:highlight w:val="none"/>
        </w:rPr>
      </w:pPr>
      <w:r>
        <w:rPr>
          <w:rFonts w:hint="eastAsia" w:ascii="仿宋" w:hAnsi="仿宋" w:eastAsia="仿宋" w:cs="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47625</wp:posOffset>
                </wp:positionH>
                <wp:positionV relativeFrom="page">
                  <wp:posOffset>2063115</wp:posOffset>
                </wp:positionV>
                <wp:extent cx="5038090" cy="2724785"/>
                <wp:effectExtent l="0" t="0" r="10160" b="18415"/>
                <wp:wrapTight wrapText="bothSides">
                  <wp:wrapPolygon edited="1">
                    <wp:start x="21592" y="-2"/>
                    <wp:lineTo x="0" y="0"/>
                    <wp:lineTo x="0" y="21600"/>
                    <wp:lineTo x="21592" y="21602"/>
                    <wp:lineTo x="8" y="21602"/>
                    <wp:lineTo x="21600" y="21600"/>
                    <wp:lineTo x="21600" y="0"/>
                    <wp:lineTo x="8" y="-2"/>
                    <wp:lineTo x="21592" y="-2"/>
                  </wp:wrapPolygon>
                </wp:wrapTight>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r/>
                      </pic:nvPicPr>
                      <pic:blipFill>
                        <a:blip r:embed="rId16"/>
                        <a:srcRect l="3093" t="8411" r="0" b="1"/>
                        <a:stretch/>
                      </pic:blipFill>
                      <pic:spPr bwMode="auto">
                        <a:xfrm>
                          <a:off x="0" y="0"/>
                          <a:ext cx="5038090" cy="272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3.8pt;mso-position-horizontal:absolute;mso-position-vertical-relative:page;margin-top:162.4pt;mso-position-vertical:absolute;width:396.7pt;height:214.5pt;mso-wrap-distance-left:9.0pt;mso-wrap-distance-top:0.0pt;mso-wrap-distance-right:9.0pt;mso-wrap-distance-bottom:0.0pt;" wrapcoords="99963 -8 0 0 0 100000 99963 100009 37 100009 100000 100000 100000 0 37 -8 99963 -8" stroked="f">
                <v:path textboxrect="0,0,0,0"/>
                <w10:wrap type="tight"/>
                <v:imagedata r:id="rId16" o:title=""/>
              </v:shape>
            </w:pict>
          </mc:Fallback>
        </mc:AlternateContent>
      </w:r>
      <w:r/>
    </w:p>
    <w:p>
      <w:pPr>
        <w:rPr>
          <w:highlight w:val="none"/>
        </w:rPr>
      </w:pPr>
      <w:r>
        <w:rPr>
          <w:highlight w:val="none"/>
        </w:rPr>
      </w:r>
      <w:r/>
    </w:p>
    <w:p>
      <w:pPr>
        <w:rPr>
          <w:highlight w:val="none"/>
        </w:rPr>
      </w:pPr>
      <w:r>
        <w:rPr>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3.3成果要求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塌陷隐患检测成果报告必须由具有资质的检测单位出具，且报告应具体包含下列内容：</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 项目概况、检测工作的技术依据、目的和要求；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 检测区域概况；</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 已有资料的收集和利用情况；</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 技术方案及安全专项方案；</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 检测成果；</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 成果钻探验证；</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⑦ 隐患成因初步分析；</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⑧ 结论及处置建议；</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⑨ 质量保障措施及服务承诺；</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⑩ 相关附图和附表。</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3.4其他服务要求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①塌陷隐患检测应遵循解译正确、定位准确、科学有据、结论明确、易于处置的原则。检测结果必须与检测数据相互印证，其中关于隐患疑似点的排除要理由充分，且有足够证据支撑。</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 为满足城市生命线安全工程建设风险评估工作需求，根据塌陷隐患检测结果动态更新总体风险评估成果。为淮安区城市道路塌陷防控计划和道路塌陷数据建设提供充足依据。</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③提供道路塌陷隐患检测报告文本，文本需由具有资质的检测单位盖章确认。</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④除提供上述46条城市道路，共47.602km道路塌陷检测服务外，中标人需根据甲方实际需求及更新后的总体风险评估成果，</w:t>
      </w:r>
      <w:r>
        <w:rPr>
          <w:rFonts w:hint="eastAsia" w:ascii="仿宋" w:hAnsi="仿宋" w:eastAsia="仿宋" w:cs="仿宋"/>
          <w:sz w:val="28"/>
          <w:szCs w:val="28"/>
          <w:highlight w:val="none"/>
          <w:lang w:val="en-US" w:eastAsia="zh-CN"/>
        </w:rPr>
        <w:t xml:space="preserve">根据实际需求</w:t>
      </w:r>
      <w:r>
        <w:rPr>
          <w:rFonts w:hint="eastAsia" w:ascii="仿宋" w:hAnsi="仿宋" w:eastAsia="仿宋" w:cs="仿宋"/>
          <w:sz w:val="28"/>
          <w:szCs w:val="28"/>
          <w:highlight w:val="none"/>
        </w:rPr>
        <w:t xml:space="preserve">对风险等级为Ⅲ级及以上道路进行检测，</w:t>
      </w:r>
      <w:r>
        <w:rPr>
          <w:rFonts w:hint="eastAsia" w:ascii="仿宋" w:hAnsi="仿宋" w:eastAsia="仿宋" w:cs="仿宋"/>
          <w:sz w:val="28"/>
          <w:szCs w:val="28"/>
          <w:highlight w:val="none"/>
          <w:lang w:val="en-US" w:eastAsia="zh-CN"/>
        </w:rPr>
        <w:t xml:space="preserve">约50</w:t>
      </w:r>
      <w:r>
        <w:rPr>
          <w:rFonts w:hint="eastAsia" w:ascii="仿宋" w:hAnsi="仿宋" w:eastAsia="仿宋" w:cs="仿宋"/>
          <w:sz w:val="28"/>
          <w:szCs w:val="28"/>
          <w:highlight w:val="none"/>
        </w:rPr>
        <w:t xml:space="preserve">km。</w:t>
      </w:r>
      <w:r/>
    </w:p>
    <w:p>
      <w:pPr>
        <w:pStyle w:val="767"/>
        <w:ind w:left="560" w:hanging="560"/>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4、智慧监测（排水防涝）服务技术要求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根据《江苏省城市生命线安全工程排水防涝智慧监测技术指南（试行）》文件要求，淮安区排水防涝场景监测对象主要包括31处重要保障对象、10条重要河道、22处排水管渠关键节点。</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4.1布点位置及设备数量</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1、重点保障对象</w:t>
      </w:r>
      <w:r/>
    </w:p>
    <w:tbl>
      <w:tblPr>
        <w:tblStyle w:val="7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96"/>
        <w:gridCol w:w="2984"/>
        <w:gridCol w:w="808"/>
        <w:gridCol w:w="3064"/>
      </w:tblGrid>
      <w:tr>
        <w:trPr>
          <w:trHeight w:val="23"/>
          <w:tblHeader/>
        </w:trPr>
        <w:tc>
          <w:tcPr>
            <w:tcW w:w="405" w:type="pct"/>
            <w:vAlign w:val="center"/>
            <w:textDirection w:val="lrTb"/>
            <w:noWrap w:val="false"/>
          </w:tcPr>
          <w:p>
            <w:pPr>
              <w:jc w:val="center"/>
              <w:spacing w:line="360" w:lineRule="exact"/>
              <w:rPr>
                <w:rFonts w:hint="eastAsia" w:ascii="仿宋" w:hAnsi="仿宋" w:eastAsia="仿宋" w:cs="仿宋"/>
                <w:b/>
                <w:bCs/>
                <w:sz w:val="28"/>
                <w:szCs w:val="28"/>
                <w:highlight w:val="none"/>
              </w:rPr>
            </w:pPr>
            <w:r/>
            <w:bookmarkStart w:id="208" w:name="OLE_LINK12"/>
            <w:r/>
            <w:bookmarkStart w:id="209" w:name="OLE_LINK11"/>
            <w:r>
              <w:rPr>
                <w:rFonts w:hint="eastAsia" w:ascii="仿宋" w:hAnsi="仿宋" w:eastAsia="仿宋" w:cs="仿宋"/>
                <w:b/>
                <w:bCs/>
                <w:sz w:val="28"/>
                <w:szCs w:val="28"/>
                <w:highlight w:val="none"/>
              </w:rPr>
              <w:t xml:space="preserve">序号</w:t>
            </w:r>
            <w:r/>
          </w:p>
        </w:tc>
        <w:tc>
          <w:tcPr>
            <w:tcW w:w="1114"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重要保障对象</w:t>
            </w:r>
            <w:r/>
          </w:p>
        </w:tc>
        <w:tc>
          <w:tcPr>
            <w:tcW w:w="1514"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监测指标</w:t>
            </w:r>
            <w:r/>
          </w:p>
        </w:tc>
        <w:tc>
          <w:tcPr>
            <w:tcW w:w="410"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c>
          <w:tcPr>
            <w:tcW w:w="1554"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位置</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淮安区政府</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区政府门前</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周恩来红军小学北校区</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小学正门</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周恩来红军小学北门</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翔宇大道上</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有轨电车古末口站</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有轨电车古末口站</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淮安中学</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杜康桥路27号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淮安区应急管理局</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经六路1号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淮安区第二人民医院</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怀恩路39号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淮安医院新院</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山阳大道19号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周恩来红军小区西校区</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经五路与山阳大道交叉口</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周恩来红军中学北校区</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经五路与山阳大道交叉口</w:t>
            </w:r>
            <w:r/>
          </w:p>
        </w:tc>
      </w:tr>
      <w:tr>
        <w:trPr>
          <w:trHeight w:val="23"/>
        </w:trPr>
        <w:tc>
          <w:tcPr>
            <w:tcW w:w="405"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p>
        </w:tc>
        <w:tc>
          <w:tcPr>
            <w:tcW w:w="1114"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下穿通道</w:t>
            </w:r>
            <w:r/>
          </w:p>
        </w:tc>
        <w:tc>
          <w:tcPr>
            <w:tcW w:w="1514"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梁红玉路与新长铁路交叉口；</w:t>
            </w:r>
            <w:r/>
          </w:p>
        </w:tc>
      </w:tr>
      <w:tr>
        <w:trPr>
          <w:trHeight w:val="23"/>
        </w:trPr>
        <w:tc>
          <w:tcPr>
            <w:tcW w:w="405"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14"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14"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410"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山阳大道与新长铁路下穿</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新安小学新区分校</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经二路1号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淮安生物工程职校</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湖心寺路18号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楚州实验中学</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城西北路97号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新安小学河西分校</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公园路南侧、河西大道西侧</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淮阴工学院萧湖校区</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竹巷街114号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淮安吴承恩中学</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北门大街500号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淮安外国语学校</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楚州大道199号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文通中学</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西门大街40号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新安小学</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西长街169号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淮安市中小学生综合实践学校</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淮安区西十路8号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淮安区开放大学</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淮安区西十路1号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恩来干部学院</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翔宇大道1898号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周恩来红军中学东校区</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镇海路45号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淮安区开发区医院</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铁云路13号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周恩来红军中学南校区</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东长街6-1号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江苏淮安经济开发区管委会</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迎宾大道8号‌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淮安市楚州中学</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楚州大道108号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新世纪商贸城(南门大街店)</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南门大街516号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淮安市楚州中医院</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楚州大道47号</w:t>
            </w:r>
            <w:r/>
          </w:p>
        </w:tc>
      </w:tr>
      <w:tr>
        <w:trPr>
          <w:trHeight w:val="23"/>
        </w:trPr>
        <w:tc>
          <w:tcPr>
            <w:tcW w:w="40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w:t>
            </w:r>
            <w:r/>
          </w:p>
        </w:tc>
        <w:tc>
          <w:tcPr>
            <w:tcW w:w="11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淮安市淮安区行政学校</w:t>
            </w:r>
            <w:r/>
          </w:p>
        </w:tc>
        <w:tc>
          <w:tcPr>
            <w:tcW w:w="151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积水深度监测和视频监控</w:t>
            </w:r>
            <w:r/>
          </w:p>
        </w:tc>
        <w:tc>
          <w:tcPr>
            <w:tcW w:w="41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55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城西北路29号</w:t>
            </w:r>
            <w:bookmarkEnd w:id="208"/>
            <w:r/>
            <w:bookmarkEnd w:id="209"/>
            <w:r/>
            <w:r/>
          </w:p>
        </w:tc>
      </w:tr>
    </w:tbl>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2、重要河道</w:t>
      </w:r>
      <w:r/>
    </w:p>
    <w:tbl>
      <w:tblPr>
        <w:tblStyle w:val="77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2136"/>
        <w:gridCol w:w="3122"/>
        <w:gridCol w:w="1021"/>
        <w:gridCol w:w="2712"/>
      </w:tblGrid>
      <w:tr>
        <w:trPr>
          <w:jc w:val="center"/>
          <w:tblHeader/>
        </w:trPr>
        <w:tc>
          <w:tcPr>
            <w:tcW w:w="436" w:type="pct"/>
            <w:vAlign w:val="center"/>
            <w:textDirection w:val="lrTb"/>
            <w:noWrap w:val="false"/>
          </w:tcPr>
          <w:p>
            <w:pPr>
              <w:jc w:val="center"/>
              <w:spacing w:line="360" w:lineRule="exact"/>
              <w:rPr>
                <w:rFonts w:hint="eastAsia" w:ascii="仿宋" w:hAnsi="仿宋" w:eastAsia="仿宋" w:cs="仿宋"/>
                <w:b/>
                <w:bCs/>
                <w:sz w:val="28"/>
                <w:szCs w:val="28"/>
                <w:highlight w:val="none"/>
              </w:rPr>
            </w:pPr>
            <w:r/>
            <w:bookmarkStart w:id="210" w:name="OLE_LINK14"/>
            <w:r/>
            <w:bookmarkStart w:id="211" w:name="OLE_LINK13"/>
            <w:r>
              <w:rPr>
                <w:rFonts w:hint="eastAsia" w:ascii="仿宋" w:hAnsi="仿宋" w:eastAsia="仿宋" w:cs="仿宋"/>
                <w:b/>
                <w:bCs/>
                <w:sz w:val="28"/>
                <w:szCs w:val="28"/>
                <w:highlight w:val="none"/>
              </w:rPr>
              <w:t xml:space="preserve">序号</w:t>
            </w:r>
            <w:r/>
          </w:p>
        </w:tc>
        <w:tc>
          <w:tcPr>
            <w:tcW w:w="1084"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重要河道</w:t>
            </w:r>
            <w:r/>
          </w:p>
        </w:tc>
        <w:tc>
          <w:tcPr>
            <w:tcW w:w="1584"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监测指标</w:t>
            </w:r>
            <w:r/>
          </w:p>
        </w:tc>
        <w:tc>
          <w:tcPr>
            <w:tcW w:w="518"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c>
          <w:tcPr>
            <w:tcW w:w="1376" w:type="pct"/>
            <w:vAlign w:val="center"/>
            <w:textDirection w:val="lrTb"/>
            <w:noWrap w:val="false"/>
          </w:tcPr>
          <w:p>
            <w:pPr>
              <w:jc w:val="center"/>
              <w:spacing w:line="36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位置</w:t>
            </w:r>
            <w:r/>
          </w:p>
        </w:tc>
      </w:tr>
      <w:tr>
        <w:trPr>
          <w:jc w:val="center"/>
        </w:trPr>
        <w:tc>
          <w:tcPr>
            <w:tcW w:w="43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0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纬三河</w:t>
            </w:r>
            <w:r/>
          </w:p>
        </w:tc>
        <w:tc>
          <w:tcPr>
            <w:tcW w:w="15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水位深度监测和视频监控</w:t>
            </w:r>
            <w:r/>
          </w:p>
        </w:tc>
        <w:tc>
          <w:tcPr>
            <w:tcW w:w="51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37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消防大队</w:t>
            </w:r>
            <w:r/>
          </w:p>
        </w:tc>
      </w:tr>
      <w:tr>
        <w:trPr>
          <w:jc w:val="center"/>
        </w:trPr>
        <w:tc>
          <w:tcPr>
            <w:tcW w:w="43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0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纬八河</w:t>
            </w:r>
            <w:r/>
          </w:p>
        </w:tc>
        <w:tc>
          <w:tcPr>
            <w:tcW w:w="15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水位深度监测和视频监控</w:t>
            </w:r>
            <w:r/>
          </w:p>
        </w:tc>
        <w:tc>
          <w:tcPr>
            <w:tcW w:w="51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37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沈坤路处</w:t>
            </w:r>
            <w:r/>
          </w:p>
        </w:tc>
      </w:tr>
      <w:tr>
        <w:trPr>
          <w:jc w:val="center"/>
        </w:trPr>
        <w:tc>
          <w:tcPr>
            <w:tcW w:w="43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1084" w:type="pct"/>
            <w:vAlign w:val="center"/>
            <w:vMerge w:val="restart"/>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新涧河</w:t>
            </w:r>
            <w:r/>
          </w:p>
        </w:tc>
        <w:tc>
          <w:tcPr>
            <w:tcW w:w="15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水位深度监测和视频监控</w:t>
            </w:r>
            <w:r/>
          </w:p>
        </w:tc>
        <w:tc>
          <w:tcPr>
            <w:tcW w:w="51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37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纬三河汇入处</w:t>
            </w:r>
            <w:r/>
          </w:p>
        </w:tc>
      </w:tr>
      <w:tr>
        <w:trPr>
          <w:jc w:val="center"/>
        </w:trPr>
        <w:tc>
          <w:tcPr>
            <w:tcW w:w="43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W w:w="1084"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水位深度监测和视频监控</w:t>
            </w:r>
            <w:r/>
          </w:p>
        </w:tc>
        <w:tc>
          <w:tcPr>
            <w:tcW w:w="51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37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纬八河汇入处</w:t>
            </w:r>
            <w:r/>
          </w:p>
        </w:tc>
      </w:tr>
      <w:tr>
        <w:trPr>
          <w:jc w:val="center"/>
        </w:trPr>
        <w:tc>
          <w:tcPr>
            <w:tcW w:w="43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W w:w="1084"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水位深度监测和视频监控</w:t>
            </w:r>
            <w:r/>
          </w:p>
        </w:tc>
        <w:tc>
          <w:tcPr>
            <w:tcW w:w="51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37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老涧河汇入处</w:t>
            </w:r>
            <w:r/>
          </w:p>
        </w:tc>
      </w:tr>
      <w:tr>
        <w:trPr>
          <w:jc w:val="center"/>
        </w:trPr>
        <w:tc>
          <w:tcPr>
            <w:tcW w:w="43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W w:w="1084" w:type="pct"/>
            <w:vAlign w:val="center"/>
            <w:vMerge w:val="continue"/>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5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水位深度监测和视频监控</w:t>
            </w:r>
            <w:r/>
          </w:p>
        </w:tc>
        <w:tc>
          <w:tcPr>
            <w:tcW w:w="51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37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新泗河汇入处</w:t>
            </w:r>
            <w:r/>
          </w:p>
        </w:tc>
      </w:tr>
      <w:tr>
        <w:trPr>
          <w:jc w:val="center"/>
        </w:trPr>
        <w:tc>
          <w:tcPr>
            <w:tcW w:w="43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p>
        </w:tc>
        <w:tc>
          <w:tcPr>
            <w:tcW w:w="10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五中沟</w:t>
            </w:r>
            <w:r/>
          </w:p>
        </w:tc>
        <w:tc>
          <w:tcPr>
            <w:tcW w:w="15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水位深度监测和视频监控</w:t>
            </w:r>
            <w:r/>
          </w:p>
        </w:tc>
        <w:tc>
          <w:tcPr>
            <w:tcW w:w="51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37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永怀东路处</w:t>
            </w:r>
            <w:r/>
          </w:p>
        </w:tc>
      </w:tr>
      <w:tr>
        <w:trPr>
          <w:jc w:val="center"/>
        </w:trPr>
        <w:tc>
          <w:tcPr>
            <w:tcW w:w="43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p>
        </w:tc>
        <w:tc>
          <w:tcPr>
            <w:tcW w:w="10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新一支大沟</w:t>
            </w:r>
            <w:r/>
          </w:p>
        </w:tc>
        <w:tc>
          <w:tcPr>
            <w:tcW w:w="15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水位深度监测和视频监控</w:t>
            </w:r>
            <w:r/>
          </w:p>
        </w:tc>
        <w:tc>
          <w:tcPr>
            <w:tcW w:w="51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37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海棠大道处</w:t>
            </w:r>
            <w:r/>
          </w:p>
        </w:tc>
      </w:tr>
      <w:tr>
        <w:trPr>
          <w:jc w:val="center"/>
        </w:trPr>
        <w:tc>
          <w:tcPr>
            <w:tcW w:w="43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p>
        </w:tc>
        <w:tc>
          <w:tcPr>
            <w:tcW w:w="10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刘伶泵站引河</w:t>
            </w:r>
            <w:r/>
          </w:p>
        </w:tc>
        <w:tc>
          <w:tcPr>
            <w:tcW w:w="15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水位深度监测和视频监控</w:t>
            </w:r>
            <w:r/>
          </w:p>
        </w:tc>
        <w:tc>
          <w:tcPr>
            <w:tcW w:w="51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37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泵前河道处</w:t>
            </w:r>
            <w:r/>
          </w:p>
        </w:tc>
      </w:tr>
      <w:tr>
        <w:trPr>
          <w:jc w:val="center"/>
        </w:trPr>
        <w:tc>
          <w:tcPr>
            <w:tcW w:w="43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p>
        </w:tc>
        <w:tc>
          <w:tcPr>
            <w:tcW w:w="10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老涧河</w:t>
            </w:r>
            <w:r/>
          </w:p>
        </w:tc>
        <w:tc>
          <w:tcPr>
            <w:tcW w:w="15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水位深度监测和视频监控</w:t>
            </w:r>
            <w:r/>
          </w:p>
        </w:tc>
        <w:tc>
          <w:tcPr>
            <w:tcW w:w="51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37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边寿民路处</w:t>
            </w:r>
            <w:bookmarkEnd w:id="210"/>
            <w:r/>
            <w:bookmarkEnd w:id="211"/>
            <w:r/>
            <w:r/>
          </w:p>
        </w:tc>
      </w:tr>
    </w:tbl>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3、排水管渠</w:t>
      </w:r>
      <w:r/>
    </w:p>
    <w:tbl>
      <w:tblPr>
        <w:tblStyle w:val="775"/>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842"/>
        <w:gridCol w:w="2241"/>
        <w:gridCol w:w="1525"/>
        <w:gridCol w:w="867"/>
        <w:gridCol w:w="4375"/>
      </w:tblGrid>
      <w:tr>
        <w:trPr>
          <w:trHeight w:val="288"/>
          <w:tblHeader/>
        </w:trPr>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b/>
                <w:sz w:val="28"/>
                <w:szCs w:val="28"/>
                <w:highlight w:val="none"/>
              </w:rPr>
            </w:pPr>
            <w:r/>
            <w:bookmarkStart w:id="212" w:name="OLE_LINK16"/>
            <w:r/>
            <w:bookmarkStart w:id="213" w:name="OLE_LINK15"/>
            <w:r>
              <w:rPr>
                <w:rFonts w:hint="eastAsia" w:ascii="仿宋" w:hAnsi="仿宋" w:eastAsia="仿宋" w:cs="仿宋"/>
                <w:b/>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1136" w:type="pct"/>
            <w:vAlign w:val="center"/>
            <w:textDirection w:val="lrTb"/>
            <w:noWrap/>
          </w:tcPr>
          <w:p>
            <w:pPr>
              <w:jc w:val="center"/>
              <w:spacing w:line="36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监测对象</w:t>
            </w:r>
            <w:r/>
          </w:p>
        </w:tc>
        <w:tc>
          <w:tcPr>
            <w:tcBorders>
              <w:top w:val="single" w:color="auto"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监测指标</w:t>
            </w:r>
            <w:r/>
          </w:p>
        </w:tc>
        <w:tc>
          <w:tcPr>
            <w:tcBorders>
              <w:top w:val="single" w:color="auto"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数量</w:t>
            </w:r>
            <w:r/>
          </w:p>
        </w:tc>
        <w:tc>
          <w:tcPr>
            <w:tcBorders>
              <w:top w:val="single" w:color="auto" w:sz="4" w:space="0"/>
              <w:left w:val="none" w:color="000000" w:sz="4" w:space="0"/>
              <w:bottom w:val="single" w:color="auto" w:sz="4" w:space="0"/>
              <w:right w:val="single" w:color="auto" w:sz="4" w:space="0"/>
            </w:tcBorders>
            <w:tcW w:w="2220" w:type="pct"/>
            <w:vAlign w:val="center"/>
            <w:textDirection w:val="lrTb"/>
            <w:noWrap/>
          </w:tcPr>
          <w:p>
            <w:pPr>
              <w:jc w:val="center"/>
              <w:spacing w:line="36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具体位置</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single" w:color="auto" w:sz="4" w:space="0"/>
              <w:bottom w:val="single" w:color="auto" w:sz="4" w:space="0"/>
              <w:right w:val="single" w:color="auto" w:sz="4" w:space="0"/>
            </w:tcBorders>
            <w:tcW w:w="1136" w:type="pct"/>
            <w:vAlign w:val="center"/>
            <w:vMerge w:val="restart"/>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w:t>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山阳大道与康马路交叉口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山阳大道与同心路交叉口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山阳大道与楚州大道交叉口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山阳大道与梁红玉路交叉口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山阳大道与沈坤路交叉口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Borders>
              <w:top w:val="none" w:color="000000" w:sz="4" w:space="0"/>
              <w:left w:val="single" w:color="auto" w:sz="4" w:space="0"/>
              <w:bottom w:val="single" w:color="auto" w:sz="4" w:space="0"/>
              <w:right w:val="single" w:color="auto" w:sz="4" w:space="0"/>
            </w:tcBorders>
            <w:tcW w:w="1136" w:type="pct"/>
            <w:vAlign w:val="center"/>
            <w:vMerge w:val="restart"/>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杜康桥路</w:t>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杜康桥路与淮安人家小区门口交界处</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杜康桥路与海东路交叉口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杜康桥路与康马路交叉口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p>
        </w:tc>
        <w:tc>
          <w:tcPr>
            <w:tcBorders>
              <w:top w:val="none" w:color="000000" w:sz="4" w:space="0"/>
              <w:left w:val="single" w:color="auto" w:sz="4" w:space="0"/>
              <w:bottom w:val="single" w:color="auto" w:sz="4" w:space="0"/>
              <w:right w:val="single" w:color="auto" w:sz="4" w:space="0"/>
            </w:tcBorders>
            <w:tcW w:w="1136" w:type="pct"/>
            <w:vAlign w:val="center"/>
            <w:vMerge w:val="restart"/>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府前路</w:t>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府前路与新民路交叉口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府前路与翔宇大道交叉口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府前路与莲花路交叉口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府前路与香郁花城交叉口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府前路与镇海路（红军小学）交叉口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府前路与望亭镇交叉口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w:t>
            </w:r>
            <w:r/>
          </w:p>
        </w:tc>
        <w:tc>
          <w:tcPr>
            <w:tcBorders>
              <w:top w:val="none" w:color="000000" w:sz="4" w:space="0"/>
              <w:left w:val="none" w:color="000000" w:sz="4" w:space="0"/>
              <w:bottom w:val="single" w:color="auto" w:sz="4" w:space="0"/>
              <w:right w:val="single" w:color="auto" w:sz="4" w:space="0"/>
            </w:tcBorders>
            <w:tcW w:w="113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长安路</w:t>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长安路与同心路交叉口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w:t>
            </w:r>
            <w:r/>
          </w:p>
        </w:tc>
        <w:tc>
          <w:tcPr>
            <w:tcBorders>
              <w:top w:val="none" w:color="000000" w:sz="4" w:space="0"/>
              <w:left w:val="single" w:color="auto" w:sz="4" w:space="0"/>
              <w:bottom w:val="single" w:color="auto" w:sz="4" w:space="0"/>
              <w:right w:val="single" w:color="auto" w:sz="4" w:space="0"/>
            </w:tcBorders>
            <w:tcW w:w="1136" w:type="pct"/>
            <w:vAlign w:val="center"/>
            <w:vMerge w:val="restart"/>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井神路</w:t>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井神路与公园路交叉口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井神路与河西大道交叉口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w:t>
            </w:r>
            <w:r/>
          </w:p>
        </w:tc>
        <w:tc>
          <w:tcPr>
            <w:tcBorders>
              <w:top w:val="none" w:color="000000" w:sz="4" w:space="0"/>
              <w:left w:val="single" w:color="auto" w:sz="4" w:space="0"/>
              <w:bottom w:val="single" w:color="auto" w:sz="4" w:space="0"/>
              <w:right w:val="single" w:color="auto" w:sz="4" w:space="0"/>
            </w:tcBorders>
            <w:tcW w:w="1136" w:type="pct"/>
            <w:vAlign w:val="center"/>
            <w:vMerge w:val="restart"/>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樱桃园路</w:t>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樱桃园路与边寿民交叉口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w:t>
            </w:r>
            <w:r/>
          </w:p>
        </w:tc>
        <w:tc>
          <w:tcPr>
            <w:tcBorders>
              <w:top w:val="none" w:color="000000" w:sz="4" w:space="0"/>
              <w:left w:val="single" w:color="auto" w:sz="4" w:space="0"/>
              <w:bottom w:val="single" w:color="auto" w:sz="4" w:space="0"/>
              <w:right w:val="single" w:color="auto" w:sz="4" w:space="0"/>
            </w:tcBorders>
            <w:tcW w:w="1136" w:type="pct"/>
            <w:vAlign w:val="center"/>
            <w:vMerge w:val="continue"/>
            <w:textDirection w:val="lrTb"/>
            <w:noWrap w:val="false"/>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樱桃园路与刘伶台路交叉口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w:t>
            </w:r>
            <w:r/>
          </w:p>
        </w:tc>
        <w:tc>
          <w:tcPr>
            <w:tcBorders>
              <w:top w:val="none" w:color="000000" w:sz="4" w:space="0"/>
              <w:left w:val="none" w:color="000000" w:sz="4" w:space="0"/>
              <w:bottom w:val="single" w:color="auto" w:sz="4" w:space="0"/>
              <w:right w:val="single" w:color="auto" w:sz="4" w:space="0"/>
            </w:tcBorders>
            <w:tcW w:w="113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康马路</w:t>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康马路与淮安人家小区门口交界处</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w:t>
            </w:r>
            <w:r/>
          </w:p>
        </w:tc>
        <w:tc>
          <w:tcPr>
            <w:tcBorders>
              <w:top w:val="none" w:color="000000" w:sz="4" w:space="0"/>
              <w:left w:val="none" w:color="000000" w:sz="4" w:space="0"/>
              <w:bottom w:val="single" w:color="auto" w:sz="4" w:space="0"/>
              <w:right w:val="single" w:color="auto" w:sz="4" w:space="0"/>
            </w:tcBorders>
            <w:tcW w:w="113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跃进路</w:t>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跃进路与西长街交叉口</w:t>
            </w:r>
            <w:r/>
          </w:p>
        </w:tc>
      </w:tr>
      <w:tr>
        <w:trPr>
          <w:trHeight w:val="288"/>
        </w:trPr>
        <w:tc>
          <w:tcPr>
            <w:tcBorders>
              <w:top w:val="none" w:color="000000" w:sz="4" w:space="0"/>
              <w:left w:val="single" w:color="auto" w:sz="4" w:space="0"/>
              <w:bottom w:val="single" w:color="auto" w:sz="4" w:space="0"/>
              <w:right w:val="single" w:color="auto" w:sz="4" w:space="0"/>
            </w:tcBorders>
            <w:tcW w:w="42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w:t>
            </w:r>
            <w:r/>
          </w:p>
        </w:tc>
        <w:tc>
          <w:tcPr>
            <w:tcBorders>
              <w:top w:val="none" w:color="000000" w:sz="4" w:space="0"/>
              <w:left w:val="none" w:color="000000" w:sz="4" w:space="0"/>
              <w:bottom w:val="single" w:color="auto" w:sz="4" w:space="0"/>
              <w:right w:val="single" w:color="auto" w:sz="4" w:space="0"/>
            </w:tcBorders>
            <w:tcW w:w="113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吴鞠通路</w:t>
            </w:r>
            <w:r/>
          </w:p>
        </w:tc>
        <w:tc>
          <w:tcPr>
            <w:tcBorders>
              <w:top w:val="none" w:color="000000" w:sz="4" w:space="0"/>
              <w:left w:val="none" w:color="000000" w:sz="4" w:space="0"/>
              <w:bottom w:val="single" w:color="auto" w:sz="4" w:space="0"/>
              <w:right w:val="single" w:color="auto" w:sz="4" w:space="0"/>
            </w:tcBorders>
            <w:tcW w:w="7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管道液位</w:t>
            </w:r>
            <w:r/>
          </w:p>
        </w:tc>
        <w:tc>
          <w:tcPr>
            <w:tcBorders>
              <w:top w:val="none" w:color="000000" w:sz="4" w:space="0"/>
              <w:left w:val="none" w:color="000000" w:sz="4" w:space="0"/>
              <w:bottom w:val="single" w:color="auto" w:sz="4" w:space="0"/>
              <w:right w:val="single" w:color="auto"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2220" w:type="pct"/>
            <w:vAlign w:val="center"/>
            <w:textDirection w:val="lrTb"/>
            <w:noWrap/>
          </w:tcPr>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吴鞠通路与区政府门前道路交叉口</w:t>
            </w:r>
            <w:bookmarkEnd w:id="212"/>
            <w:r/>
            <w:bookmarkEnd w:id="213"/>
            <w:r/>
            <w:r/>
          </w:p>
        </w:tc>
      </w:tr>
    </w:tbl>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4.2设备参数要求</w:t>
      </w:r>
      <w:r/>
    </w:p>
    <w:tbl>
      <w:tblPr>
        <w:tblStyle w:val="7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976"/>
        <w:gridCol w:w="5477"/>
        <w:gridCol w:w="814"/>
        <w:gridCol w:w="841"/>
      </w:tblGrid>
      <w:tr>
        <w:trPr>
          <w:trHeight w:val="23"/>
          <w:tblHeader/>
        </w:trPr>
        <w:tc>
          <w:tcPr>
            <w:tcW w:w="377"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序号</w:t>
            </w:r>
            <w:r/>
          </w:p>
        </w:tc>
        <w:tc>
          <w:tcPr>
            <w:tcW w:w="1003"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设备名称及应用场景</w:t>
            </w:r>
            <w:r/>
          </w:p>
        </w:tc>
        <w:tc>
          <w:tcPr>
            <w:tcW w:w="2780"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主要技术参数</w:t>
            </w:r>
            <w:r/>
          </w:p>
        </w:tc>
        <w:tc>
          <w:tcPr>
            <w:tcW w:w="413"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单位</w:t>
            </w:r>
            <w:r/>
          </w:p>
        </w:tc>
        <w:tc>
          <w:tcPr>
            <w:tcW w:w="427"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r>
      <w:tr>
        <w:trPr>
          <w:trHeight w:val="23"/>
        </w:trPr>
        <w:tc>
          <w:tcPr>
            <w:tcW w:w="37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100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视频雷达水位球，应用场景：</w:t>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重点保障对象、河道</w:t>
            </w:r>
            <w:r/>
          </w:p>
        </w:tc>
        <w:tc>
          <w:tcPr>
            <w:tcW w:w="2780" w:type="pct"/>
            <w:textDirection w:val="lrTb"/>
            <w:noWrap w:val="false"/>
          </w:tcPr>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1、内置400万像素摄像头及高精度毫米波雷达，采用平面微带阵列天线配合透镜天线技术实现了超窄波束测距；</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2、产品基于调频连续波（FMCW）雷达测距原理，最大扫频范围76-81GHz，精度高、功耗低、抗干扰能力强，不受温度、气压、雨雪天气、泥沙、灰尘及河流污染物影响，支持水位检测；</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3、设备开启雷达联动AIOP功能，雷达探测到有水位报警时，可联动细节摄像机进行视频验证，复核是否存在其他漂浮物影响雷达报警；</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4、设备内置不少于2个镜头、CMOS靶面尺寸均为1/1.8英寸，1个GPU/CPU/NPU一体化芯片、1个姿态感知传感器、1个雷达模块；</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▲5、测量范围0.15-40m，水位分辨力：0.001m，符合GB/T 15966-2017标准要求，水位测量准确度：在0m～10.0m测量范围内，准确度等级1级，符合GB/T 15966-2017标准要求；（提供具有CMA认证的检测机构出具的检测报告复印件加盖</w:t>
            </w:r>
            <w:r>
              <w:rPr>
                <w:rFonts w:hint="eastAsia" w:ascii="仿宋" w:hAnsi="仿宋" w:eastAsia="仿宋" w:cs="仿宋"/>
                <w:color w:val="000000"/>
                <w:sz w:val="28"/>
                <w:szCs w:val="28"/>
                <w:highlight w:val="none"/>
                <w:lang w:eastAsia="zh-CN" w:bidi="ar"/>
              </w:rPr>
              <w:t xml:space="preserve">供应商</w:t>
            </w:r>
            <w:r>
              <w:rPr>
                <w:rFonts w:hint="eastAsia" w:ascii="仿宋" w:hAnsi="仿宋" w:eastAsia="仿宋" w:cs="仿宋"/>
                <w:color w:val="000000"/>
                <w:sz w:val="28"/>
                <w:szCs w:val="28"/>
                <w:highlight w:val="none"/>
                <w:lang w:bidi="ar"/>
              </w:rPr>
              <w:t xml:space="preserve">电子签章）</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6、支持4mm定焦F1.0大光圈，最低照度彩色：≤0.0005lx，实现全天全彩；</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7、支持H.265编码，实现超低码流传输；</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8、内置30米白光灯补光，支持水平方向0-340°旋转，垂直方向-20°～90°；</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9、设备可配置低功耗模式，低功耗模式下每10秒上次1次数据，功率≤1W，设备正常上电，雷达上传数据，摄像机开启工作，电机不工作，功率≤5W，设备正常上电，雷达上传数据，摄像机开启工作，电机不工作，补光灯开启工作，功率≤10W；（提供具有CMA认证的检测机构出具的检测报告复印件加盖</w:t>
            </w:r>
            <w:r>
              <w:rPr>
                <w:rFonts w:hint="eastAsia" w:ascii="仿宋" w:hAnsi="仿宋" w:eastAsia="仿宋" w:cs="仿宋"/>
                <w:color w:val="000000"/>
                <w:sz w:val="28"/>
                <w:szCs w:val="28"/>
                <w:highlight w:val="none"/>
                <w:lang w:eastAsia="zh-CN" w:bidi="ar"/>
              </w:rPr>
              <w:t xml:space="preserve">供应商</w:t>
            </w:r>
            <w:r>
              <w:rPr>
                <w:rFonts w:hint="eastAsia" w:ascii="仿宋" w:hAnsi="仿宋" w:eastAsia="仿宋" w:cs="仿宋"/>
                <w:color w:val="000000"/>
                <w:sz w:val="28"/>
                <w:szCs w:val="28"/>
                <w:highlight w:val="none"/>
                <w:lang w:bidi="ar"/>
              </w:rPr>
              <w:t xml:space="preserve">电子签章）</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10、支持1路音频输入和1路音频输出，支持单北斗定位；</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11、设备支持4G网络传输、以太网和RS485；</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12、设备内置姿态感知传感器,当设备姿态发生倾斜时可联动报警并抓图，开启雷达联动AIOP功能，雷达探测到有水位报警时，可联动细节摄像机进行视频验证，复核是否存在其他漂浮物影响雷达报警，在定时休眠状态下，可通过下发的指令被唤醒，并进行视频预览及抓图；（提供具有CMA认证的检测机构出具的检测报告复印件加盖</w:t>
            </w:r>
            <w:r>
              <w:rPr>
                <w:rFonts w:hint="eastAsia" w:ascii="仿宋" w:hAnsi="仿宋" w:eastAsia="仿宋" w:cs="仿宋"/>
                <w:color w:val="000000"/>
                <w:sz w:val="28"/>
                <w:szCs w:val="28"/>
                <w:highlight w:val="none"/>
                <w:lang w:eastAsia="zh-CN" w:bidi="ar"/>
              </w:rPr>
              <w:t xml:space="preserve">供应商</w:t>
            </w:r>
            <w:r>
              <w:rPr>
                <w:rFonts w:hint="eastAsia" w:ascii="仿宋" w:hAnsi="仿宋" w:eastAsia="仿宋" w:cs="仿宋"/>
                <w:color w:val="000000"/>
                <w:sz w:val="28"/>
                <w:szCs w:val="28"/>
                <w:highlight w:val="none"/>
                <w:lang w:bidi="ar"/>
              </w:rPr>
              <w:t xml:space="preserve">电子签章）</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13、可通过浏览器设置高低报警水位，数据上传间隔（5～1440min可设）。当报警触发后，可联动抓拍图片上传，可设置抓拍细节图或全景图或细节图+全景图；（提供具有CMA认证的检测机构出具的检测报告复印件加盖</w:t>
            </w:r>
            <w:r>
              <w:rPr>
                <w:rFonts w:hint="eastAsia" w:ascii="仿宋" w:hAnsi="仿宋" w:eastAsia="仿宋" w:cs="仿宋"/>
                <w:color w:val="000000"/>
                <w:sz w:val="28"/>
                <w:szCs w:val="28"/>
                <w:highlight w:val="none"/>
                <w:lang w:eastAsia="zh-CN" w:bidi="ar"/>
              </w:rPr>
              <w:t xml:space="preserve">供应商</w:t>
            </w:r>
            <w:r>
              <w:rPr>
                <w:rFonts w:hint="eastAsia" w:ascii="仿宋" w:hAnsi="仿宋" w:eastAsia="仿宋" w:cs="仿宋"/>
                <w:color w:val="000000"/>
                <w:sz w:val="28"/>
                <w:szCs w:val="28"/>
                <w:highlight w:val="none"/>
                <w:lang w:bidi="ar"/>
              </w:rPr>
              <w:t xml:space="preserve">电子签章）</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14、内置32GB eMMC存储芯片，保证关键数据不丢失；</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15、防护：IP67; 6000V 防雷、防浪涌、防突波，符合GB/T17626.2/3/4/5/6四级标准。</w:t>
            </w:r>
            <w:r/>
          </w:p>
        </w:tc>
        <w:tc>
          <w:tcPr>
            <w:tcW w:w="41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W w:w="42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w:t>
            </w:r>
            <w:r/>
          </w:p>
        </w:tc>
      </w:tr>
      <w:tr>
        <w:trPr>
          <w:trHeight w:val="23"/>
        </w:trPr>
        <w:tc>
          <w:tcPr>
            <w:tcW w:w="37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100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6米监测杆件，应用场景：重点保障对象</w:t>
            </w:r>
            <w:r/>
          </w:p>
        </w:tc>
        <w:tc>
          <w:tcPr>
            <w:tcW w:w="2780" w:type="pct"/>
            <w:textDirection w:val="lrTb"/>
            <w:noWrap w:val="false"/>
          </w:tcPr>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6+1.5米监控杆，立杆：φ140*3*6000mm</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横臂：φ60*2*1500mm</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杆件热镀锌喷塑、含地笼及基础</w:t>
            </w:r>
            <w:r/>
          </w:p>
        </w:tc>
        <w:tc>
          <w:tcPr>
            <w:tcW w:w="41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W w:w="42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w:t>
            </w:r>
            <w:r/>
          </w:p>
        </w:tc>
      </w:tr>
      <w:tr>
        <w:trPr>
          <w:trHeight w:val="23"/>
        </w:trPr>
        <w:tc>
          <w:tcPr>
            <w:tcW w:w="37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100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5米监测杆件，应用场景：河道</w:t>
            </w:r>
            <w:r/>
          </w:p>
        </w:tc>
        <w:tc>
          <w:tcPr>
            <w:tcW w:w="2780" w:type="pct"/>
            <w:textDirection w:val="lrTb"/>
            <w:noWrap w:val="false"/>
          </w:tcPr>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5+3米监控杆，立杆：φ140*3*5000mm</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横臂：φ76*3*3000mm</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杆件热镀锌喷塑、含地笼及基础</w:t>
            </w:r>
            <w:r/>
          </w:p>
        </w:tc>
        <w:tc>
          <w:tcPr>
            <w:tcW w:w="41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W w:w="42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p>
        </w:tc>
      </w:tr>
      <w:tr>
        <w:trPr>
          <w:trHeight w:val="23"/>
        </w:trPr>
        <w:tc>
          <w:tcPr>
            <w:tcW w:w="37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W w:w="100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光伏供电系统，应用场景：</w:t>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重点保障对象、河道</w:t>
            </w:r>
            <w:r/>
          </w:p>
        </w:tc>
        <w:tc>
          <w:tcPr>
            <w:tcW w:w="2780" w:type="pct"/>
            <w:textDirection w:val="lrTb"/>
            <w:noWrap w:val="false"/>
          </w:tcPr>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1、太阳能电池板:发电功率≥300W；</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2、蓄电池:锂离子电池；</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3、容量：≥160AH；</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4、工作电压：9.3V-12.6V；</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5、支持标准充电模式、锂电池专用充电模式；</w:t>
            </w:r>
            <w:r/>
          </w:p>
        </w:tc>
        <w:tc>
          <w:tcPr>
            <w:tcW w:w="41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W w:w="42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w:t>
            </w:r>
            <w:r/>
          </w:p>
        </w:tc>
      </w:tr>
      <w:tr>
        <w:trPr>
          <w:trHeight w:val="23"/>
        </w:trPr>
        <w:tc>
          <w:tcPr>
            <w:tcW w:w="37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W w:w="100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窨井液位计，应用场景：排水管渠</w:t>
            </w:r>
            <w:r/>
          </w:p>
        </w:tc>
        <w:tc>
          <w:tcPr>
            <w:tcW w:w="2780" w:type="pct"/>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1、功能：采用雷达+压力双水位测量技术，实现窨井水位无盲区测量；同时具有图像采集功能，实现管网可视化辅助诊断；</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具有指杀灯、雷达液位传感器、压力式液位传感器、蓝牙模块、倾角模块、定位模块、4G无线物联网模块及电池等模块，支持定位信息、倾斜角度、水位信息等数据展示，支持显示流量计、液位、水质等传感器采集的数据；（提供具有CMA认证的检测机构出具的检测报告复印件加盖</w:t>
            </w:r>
            <w:r>
              <w:rPr>
                <w:rFonts w:hint="eastAsia" w:ascii="仿宋" w:hAnsi="仿宋" w:eastAsia="仿宋" w:cs="仿宋"/>
                <w:sz w:val="28"/>
                <w:szCs w:val="28"/>
                <w:highlight w:val="none"/>
                <w:lang w:eastAsia="zh-CN"/>
              </w:rPr>
              <w:t xml:space="preserve">供应商</w:t>
            </w:r>
            <w:r>
              <w:rPr>
                <w:rFonts w:hint="eastAsia" w:ascii="仿宋" w:hAnsi="仿宋" w:eastAsia="仿宋" w:cs="仿宋"/>
                <w:color w:val="000000"/>
                <w:sz w:val="28"/>
                <w:szCs w:val="28"/>
                <w:highlight w:val="none"/>
                <w:lang w:bidi="ar"/>
              </w:rPr>
              <w:t xml:space="preserve">电子签章</w:t>
            </w:r>
            <w:r>
              <w:rPr>
                <w:rFonts w:hint="eastAsia" w:ascii="仿宋" w:hAnsi="仿宋" w:eastAsia="仿宋" w:cs="仿宋"/>
                <w:sz w:val="28"/>
                <w:szCs w:val="28"/>
                <w:highlight w:val="none"/>
              </w:rPr>
              <w:t xml:space="preserve">）</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3、水位量程：0~10m，水位分辨率：1mm，水位精度：≤±3mm；</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4、内置大容量一次性锂电池，低功耗设计，可续航3年以上</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5、图像分辨率：≥200W像素（1920*1080），支持定时抓拍、数据报警联动抓拍，平台远程抓拍；</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6、一体化设计：主机内置雷达水位传感器、压力水位传感器、图像传感器、补光灯模组；</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7、通讯方式：4G数据传输、蓝牙近场参数配置、远程升级；</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▲8、磁吸功能：具有磁吸唤醒功能,可通过磁吸唤醒设备；（提供具有CMA认证的检测机构出具的检测报告复印件加盖</w:t>
            </w:r>
            <w:r>
              <w:rPr>
                <w:rFonts w:hint="eastAsia" w:ascii="仿宋" w:hAnsi="仿宋" w:eastAsia="仿宋" w:cs="仿宋"/>
                <w:sz w:val="28"/>
                <w:szCs w:val="28"/>
                <w:highlight w:val="none"/>
                <w:lang w:eastAsia="zh-CN"/>
              </w:rPr>
              <w:t xml:space="preserve">供应商</w:t>
            </w:r>
            <w:r>
              <w:rPr>
                <w:rFonts w:hint="eastAsia" w:ascii="仿宋" w:hAnsi="仿宋" w:eastAsia="仿宋" w:cs="仿宋"/>
                <w:color w:val="000000"/>
                <w:sz w:val="28"/>
                <w:szCs w:val="28"/>
                <w:highlight w:val="none"/>
                <w:lang w:bidi="ar"/>
              </w:rPr>
              <w:t xml:space="preserve">电子签章</w:t>
            </w:r>
            <w:r>
              <w:rPr>
                <w:rFonts w:hint="eastAsia" w:ascii="仿宋" w:hAnsi="仿宋" w:eastAsia="仿宋" w:cs="仿宋"/>
                <w:sz w:val="28"/>
                <w:szCs w:val="28"/>
                <w:highlight w:val="none"/>
              </w:rPr>
              <w:t xml:space="preserve">）</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9、工作模式：低功耗设计，根据监测周期启动休眠、工作模式；采集、传输频率可设置，可根据报警阀值自动调整上报频率，可设置两级报警；</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▲10、数据存储：设备与平台间网络中断时，支持测量数据本地存储，网络恢复后可将本地数据上传至平台，本地存储数据量≥8000条；（提供具有CMA认证的检测机构出具的检测报告复印件加盖</w:t>
            </w:r>
            <w:r>
              <w:rPr>
                <w:rFonts w:hint="eastAsia" w:ascii="仿宋" w:hAnsi="仿宋" w:eastAsia="仿宋" w:cs="仿宋"/>
                <w:sz w:val="28"/>
                <w:szCs w:val="28"/>
                <w:highlight w:val="none"/>
                <w:lang w:eastAsia="zh-CN"/>
              </w:rPr>
              <w:t xml:space="preserve">供应商</w:t>
            </w:r>
            <w:r>
              <w:rPr>
                <w:rFonts w:hint="eastAsia" w:ascii="仿宋" w:hAnsi="仿宋" w:eastAsia="仿宋" w:cs="仿宋"/>
                <w:color w:val="000000"/>
                <w:sz w:val="28"/>
                <w:szCs w:val="28"/>
                <w:highlight w:val="none"/>
                <w:lang w:bidi="ar"/>
              </w:rPr>
              <w:t xml:space="preserve">电子签章</w:t>
            </w:r>
            <w:r>
              <w:rPr>
                <w:rFonts w:hint="eastAsia" w:ascii="仿宋" w:hAnsi="仿宋" w:eastAsia="仿宋" w:cs="仿宋"/>
                <w:sz w:val="28"/>
                <w:szCs w:val="28"/>
                <w:highlight w:val="none"/>
              </w:rPr>
              <w:t xml:space="preserve">）</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11、数据传输：支持一站多发，同时支持4个中心上报，TCP/MQTT协议；</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12、供电：主机内置锂电池；</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13、防护等级:IP68，测试时间≥7天；</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14、防腐：盐雾测试，测试时间≥7天；</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15、防气体腐蚀：满足《流动混合气体腐蚀试验》标准，测试时间≥12天；</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16、工作温度：-30~+70℃；</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17、电气安全：通过防反接保护、绝缘电阻、绝缘强度测试；</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18、防爆等级：防爆标志不低于Ex ia IIC T6 Ga等级。</w:t>
            </w:r>
            <w:r/>
          </w:p>
        </w:tc>
        <w:tc>
          <w:tcPr>
            <w:tcW w:w="41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W w:w="42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w:t>
            </w:r>
            <w:r/>
          </w:p>
        </w:tc>
      </w:tr>
      <w:tr>
        <w:trPr>
          <w:trHeight w:val="23"/>
        </w:trPr>
        <w:tc>
          <w:tcPr>
            <w:tcW w:w="37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W w:w="100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硬盘录像机及硬盘</w:t>
            </w:r>
            <w:r/>
          </w:p>
        </w:tc>
        <w:tc>
          <w:tcPr>
            <w:tcW w:w="2780" w:type="pct"/>
            <w:textDirection w:val="lrTb"/>
            <w:noWrap w:val="false"/>
          </w:tcPr>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1、设备具有不少于2个VGA接口、2个HDMI接口、16个SATA接口</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2、支持提供主动注册服务，前端相机支持以主动注册方式添加到设备上</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3、支持不少于64路视频输入及16个硬盘槽位，支持不少于8T硬盘接入，本次配置不少于10块8T硬盘；</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▲4、设备支持独立的文搜应用模块，可通过文字语义描述，快速检索设备功能。通过输入用户所需功能，可生成与该功能相关的软件界面连接列表，并根据算法计算出的相似度进行优先排序; （提供具有CMA认证的检测机构出具的检测报告复印件加盖</w:t>
            </w:r>
            <w:r>
              <w:rPr>
                <w:rFonts w:hint="eastAsia" w:ascii="仿宋" w:hAnsi="仿宋" w:eastAsia="仿宋" w:cs="仿宋"/>
                <w:color w:val="000000"/>
                <w:sz w:val="28"/>
                <w:szCs w:val="28"/>
                <w:highlight w:val="none"/>
                <w:lang w:eastAsia="zh-CN" w:bidi="ar"/>
              </w:rPr>
              <w:t xml:space="preserve">供应商</w:t>
            </w:r>
            <w:r>
              <w:rPr>
                <w:rFonts w:hint="eastAsia" w:ascii="仿宋" w:hAnsi="仿宋" w:eastAsia="仿宋" w:cs="仿宋"/>
                <w:color w:val="000000"/>
                <w:sz w:val="28"/>
                <w:szCs w:val="28"/>
                <w:highlight w:val="none"/>
                <w:lang w:bidi="ar"/>
              </w:rPr>
              <w:t xml:space="preserve">电子签章）</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▲5、设备智能文搜应用模块可同时支持软键盘和硬键盘的文本输入，输入法支持连词和联想输入（提供具有CMA认证的检测机构出具的检测报告复印件加盖</w:t>
            </w:r>
            <w:r>
              <w:rPr>
                <w:rFonts w:hint="eastAsia" w:ascii="仿宋" w:hAnsi="仿宋" w:eastAsia="仿宋" w:cs="仿宋"/>
                <w:color w:val="000000"/>
                <w:sz w:val="28"/>
                <w:szCs w:val="28"/>
                <w:highlight w:val="none"/>
                <w:lang w:eastAsia="zh-CN" w:bidi="ar"/>
              </w:rPr>
              <w:t xml:space="preserve">供应商</w:t>
            </w:r>
            <w:r>
              <w:rPr>
                <w:rFonts w:hint="eastAsia" w:ascii="仿宋" w:hAnsi="仿宋" w:eastAsia="仿宋" w:cs="仿宋"/>
                <w:color w:val="000000"/>
                <w:sz w:val="28"/>
                <w:szCs w:val="28"/>
                <w:highlight w:val="none"/>
                <w:lang w:bidi="ar"/>
              </w:rPr>
              <w:t xml:space="preserve">电子签章）</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6、支持文本布控功能，可通过文字语义描述，布控目标对象或内容；支持对基础事件进行检测并报警。触发报警时，可联动录像、抓图、蜂鸣报警、轮巡、云台联动以及日志记录（提供具有CMA认证的检测机构出具的检测报告复印件加盖</w:t>
            </w:r>
            <w:r>
              <w:rPr>
                <w:rFonts w:hint="eastAsia" w:ascii="仿宋" w:hAnsi="仿宋" w:eastAsia="仿宋" w:cs="仿宋"/>
                <w:color w:val="000000"/>
                <w:sz w:val="28"/>
                <w:szCs w:val="28"/>
                <w:highlight w:val="none"/>
                <w:lang w:eastAsia="zh-CN" w:bidi="ar"/>
              </w:rPr>
              <w:t xml:space="preserve">供应商</w:t>
            </w:r>
            <w:r>
              <w:rPr>
                <w:rFonts w:hint="eastAsia" w:ascii="仿宋" w:hAnsi="仿宋" w:eastAsia="仿宋" w:cs="仿宋"/>
                <w:color w:val="000000"/>
                <w:sz w:val="28"/>
                <w:szCs w:val="28"/>
                <w:highlight w:val="none"/>
                <w:lang w:bidi="ar"/>
              </w:rPr>
              <w:t xml:space="preserve">电子签章）</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▲7、支持独立智能引擎，可切换工作模式，默认为文搜模式，可通过文字描述快速检索目标对象或内容；切换为智能模式后，通用智能路数可进行扩展（提供具有CMA认证的检测机构出具的检测报告复印件加盖</w:t>
            </w:r>
            <w:r>
              <w:rPr>
                <w:rFonts w:hint="eastAsia" w:ascii="仿宋" w:hAnsi="仿宋" w:eastAsia="仿宋" w:cs="仿宋"/>
                <w:color w:val="000000"/>
                <w:sz w:val="28"/>
                <w:szCs w:val="28"/>
                <w:highlight w:val="none"/>
                <w:lang w:eastAsia="zh-CN" w:bidi="ar"/>
              </w:rPr>
              <w:t xml:space="preserve">供应商</w:t>
            </w:r>
            <w:r>
              <w:rPr>
                <w:rFonts w:hint="eastAsia" w:ascii="仿宋" w:hAnsi="仿宋" w:eastAsia="仿宋" w:cs="仿宋"/>
                <w:color w:val="000000"/>
                <w:sz w:val="28"/>
                <w:szCs w:val="28"/>
                <w:highlight w:val="none"/>
                <w:lang w:bidi="ar"/>
              </w:rPr>
              <w:t xml:space="preserve">电子签章）</w:t>
            </w:r>
            <w:r/>
          </w:p>
        </w:tc>
        <w:tc>
          <w:tcPr>
            <w:tcW w:w="41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w:t>
            </w:r>
            <w:r/>
          </w:p>
        </w:tc>
        <w:tc>
          <w:tcPr>
            <w:tcW w:w="42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23"/>
        </w:trPr>
        <w:tc>
          <w:tcPr>
            <w:tcW w:w="377" w:type="pct"/>
            <w:vAlign w:val="center"/>
            <w:textDirection w:val="lrTb"/>
            <w:noWrap w:val="false"/>
          </w:tcPr>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7</w:t>
            </w:r>
            <w:r/>
          </w:p>
        </w:tc>
        <w:tc>
          <w:tcPr>
            <w:tcW w:w="100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智能物联主机</w:t>
            </w:r>
            <w:r/>
          </w:p>
        </w:tc>
        <w:tc>
          <w:tcPr>
            <w:tcW w:w="2780" w:type="pct"/>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1、采用自主可控的操作系统，内置2颗加密芯片，加密芯片支持SM1、SM2、SM3、SM4国密算法</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▲2、设备支持1个SATA硬盘接口，单盘最大支持20T；硬盘装配采用橡胶垫减震托盘，可提高硬盘使用安全性（提供具有CMA认证的检测机构出具的检测报告复印件加盖供应商</w:t>
            </w:r>
            <w:r>
              <w:rPr>
                <w:rFonts w:hint="eastAsia" w:ascii="仿宋" w:hAnsi="仿宋" w:eastAsia="仿宋" w:cs="仿宋"/>
                <w:color w:val="000000"/>
                <w:sz w:val="28"/>
                <w:szCs w:val="28"/>
                <w:highlight w:val="none"/>
                <w:lang w:bidi="ar"/>
              </w:rPr>
              <w:t xml:space="preserve">电子签章</w:t>
            </w:r>
            <w:r>
              <w:rPr>
                <w:rFonts w:hint="eastAsia" w:ascii="仿宋" w:hAnsi="仿宋" w:eastAsia="仿宋" w:cs="仿宋"/>
                <w:sz w:val="28"/>
                <w:szCs w:val="28"/>
                <w:highlight w:val="none"/>
              </w:rPr>
              <w:t xml:space="preserve">）</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3、最大32路网络视频接入，网络性能384Mbps接入、384Mbps储存、384Mbps转发</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IOT数据采集与转发业务和视频监控业务采用双板双控系统。IOT板出现硬件损坏或系统故障不会对视频监控板业务产生直接影响，而视频监控板硬件损坏或系统故障也不会对IOT板业务产生直接影响。（提供具有CMA认证的检测机构出具的检测报告复印件加盖供应商</w:t>
            </w:r>
            <w:r>
              <w:rPr>
                <w:rFonts w:hint="eastAsia" w:ascii="仿宋" w:hAnsi="仿宋" w:eastAsia="仿宋" w:cs="仿宋"/>
                <w:color w:val="000000"/>
                <w:sz w:val="28"/>
                <w:szCs w:val="28"/>
                <w:highlight w:val="none"/>
                <w:lang w:bidi="ar"/>
              </w:rPr>
              <w:t xml:space="preserve">电子签章</w:t>
            </w:r>
            <w:r>
              <w:rPr>
                <w:rFonts w:hint="eastAsia" w:ascii="仿宋" w:hAnsi="仿宋" w:eastAsia="仿宋" w:cs="仿宋"/>
                <w:sz w:val="28"/>
                <w:szCs w:val="28"/>
                <w:highlight w:val="none"/>
              </w:rPr>
              <w:t xml:space="preserve">）</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5、支持自定义控制数据叠加效果，包括显示、隐藏、一键展开、一键折叠</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▲6、支持在任一预览窗口叠加传感器数据或接收前端IPC传输的带数据叠加的视频，叠加后的画面会在预览和回放中显示（提供具有CMA认证的检测机构出具的检测报告复印件加盖供应商</w:t>
            </w:r>
            <w:r>
              <w:rPr>
                <w:rFonts w:hint="eastAsia" w:ascii="仿宋" w:hAnsi="仿宋" w:eastAsia="仿宋" w:cs="仿宋"/>
                <w:color w:val="000000"/>
                <w:sz w:val="28"/>
                <w:szCs w:val="28"/>
                <w:highlight w:val="none"/>
                <w:lang w:bidi="ar"/>
              </w:rPr>
              <w:t xml:space="preserve">电子签章</w:t>
            </w:r>
            <w:r>
              <w:rPr>
                <w:rFonts w:hint="eastAsia" w:ascii="仿宋" w:hAnsi="仿宋" w:eastAsia="仿宋" w:cs="仿宋"/>
                <w:sz w:val="28"/>
                <w:szCs w:val="28"/>
                <w:highlight w:val="none"/>
              </w:rPr>
              <w:t xml:space="preserve">）</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▲7、可采集的数据包括：传感器数据、现场视频数据，数据采集频率可达到秒级（提供具有CMA认证的检测机构出具的检测报告复印件加盖供应商</w:t>
            </w:r>
            <w:r>
              <w:rPr>
                <w:rFonts w:hint="eastAsia" w:ascii="仿宋" w:hAnsi="仿宋" w:eastAsia="仿宋" w:cs="仿宋"/>
                <w:color w:val="000000"/>
                <w:sz w:val="28"/>
                <w:szCs w:val="28"/>
                <w:highlight w:val="none"/>
                <w:lang w:bidi="ar"/>
              </w:rPr>
              <w:t xml:space="preserve">电子签章</w:t>
            </w:r>
            <w:r>
              <w:rPr>
                <w:rFonts w:hint="eastAsia" w:ascii="仿宋" w:hAnsi="仿宋" w:eastAsia="仿宋" w:cs="仿宋"/>
                <w:sz w:val="28"/>
                <w:szCs w:val="28"/>
                <w:highlight w:val="none"/>
              </w:rPr>
              <w:t xml:space="preserve">）</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8、支持根据报警类型设置不同的报警阈值，包括低低限、低限、高限、高高限。当超过对应阈值时触发报警</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9、支持宽温-40℃～+70℃</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sz w:val="28"/>
                <w:szCs w:val="28"/>
                <w:highlight w:val="none"/>
              </w:rPr>
              <w:t xml:space="preserve">10、电源电压在DC12V-DC53V范围内变化时，设备应能正常工作</w:t>
            </w:r>
            <w:r/>
          </w:p>
        </w:tc>
        <w:tc>
          <w:tcPr>
            <w:tcW w:w="41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台</w:t>
            </w:r>
            <w:r/>
          </w:p>
        </w:tc>
        <w:tc>
          <w:tcPr>
            <w:tcW w:w="427" w:type="pct"/>
            <w:vAlign w:val="center"/>
            <w:textDirection w:val="lrTb"/>
            <w:noWrap w:val="false"/>
          </w:tcPr>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p>
            <w:pPr>
              <w:jc w:val="center"/>
              <w:spacing w:line="36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p>
        </w:tc>
      </w:tr>
      <w:tr>
        <w:trPr>
          <w:trHeight w:val="23"/>
        </w:trPr>
        <w:tc>
          <w:tcPr>
            <w:tcW w:w="377" w:type="pct"/>
            <w:vAlign w:val="center"/>
            <w:textDirection w:val="lrTb"/>
            <w:noWrap w:val="false"/>
          </w:tcPr>
          <w:p>
            <w:pPr>
              <w:jc w:val="center"/>
              <w:spacing w:line="360" w:lineRule="exact"/>
              <w:widowControl/>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8</w:t>
            </w:r>
            <w:r/>
          </w:p>
        </w:tc>
        <w:tc>
          <w:tcPr>
            <w:tcW w:w="100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通信租赁</w:t>
            </w:r>
            <w:r/>
          </w:p>
        </w:tc>
        <w:tc>
          <w:tcPr>
            <w:tcW w:w="2780" w:type="pct"/>
            <w:textDirection w:val="lrTb"/>
            <w:noWrap w:val="false"/>
          </w:tcPr>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通信租赁费用，租赁5年</w:t>
            </w:r>
            <w:r/>
          </w:p>
        </w:tc>
        <w:tc>
          <w:tcPr>
            <w:tcW w:w="413"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处</w:t>
            </w:r>
            <w:r/>
          </w:p>
        </w:tc>
        <w:tc>
          <w:tcPr>
            <w:tcW w:w="427"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64</w:t>
            </w:r>
            <w:r/>
          </w:p>
        </w:tc>
      </w:tr>
    </w:tbl>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4.3设备安装要求</w:t>
      </w:r>
      <w:r/>
    </w:p>
    <w:p>
      <w:pPr>
        <w:ind w:firstLine="560"/>
        <w:jc w:val="left"/>
        <w:spacing w:line="360" w:lineRule="exact"/>
        <w:rPr>
          <w:rFonts w:hint="eastAsia" w:ascii="仿宋" w:hAnsi="仿宋" w:eastAsia="仿宋" w:cs="仿宋"/>
          <w:sz w:val="28"/>
          <w:szCs w:val="28"/>
          <w:highlight w:val="none"/>
        </w:rPr>
      </w:pPr>
      <w:r/>
      <w:bookmarkStart w:id="214" w:name="_Hlk186213156"/>
      <w:r>
        <w:rPr>
          <w:rFonts w:hint="eastAsia" w:ascii="仿宋" w:hAnsi="仿宋" w:eastAsia="仿宋" w:cs="仿宋"/>
          <w:sz w:val="28"/>
          <w:szCs w:val="28"/>
          <w:highlight w:val="none"/>
        </w:rPr>
        <w:t xml:space="preserve">1、安装前应进行现场确认，对不满足安装条件的监测点位应基于监测需求选择替代点位并经采购人确认。</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2、在线监测设备安装的位置应避开振动、高温、温度变化剧烈、易受机械损伤、有强电磁场干扰的位置。</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3、设备安装时应按设计文件要求核对位号、型号、规格、材质和附件。</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4、在线监测设备安装过程中应避免敲击、振动。安装应牢固、平正。安装支架应受力均匀，不应承受非正常的外力，不应影响相关设施的正常安全运行。</w:t>
      </w:r>
      <w:bookmarkEnd w:id="214"/>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5、对于重点保障对象及河道点位周边无取电条件，需配套安装光伏电板，光伏电板需满足至少连续7天阴雨天气的监测设备供电要求。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6、中标人承担智慧监测（排水防涝）设备实施过程中的运输、安装、修复、辅材、调试、五年通讯、五年质保等费用。</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4.4设备调试及测量要求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1、中标人应严格按照时间节点保证标准化的安装、调试和联网接入。在所有设备安装调试完成后，中标人应组织人力对设备进行全面的联网调试，使设备能够达到接入系统并稳定运行的目标。</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2、中标人应按照省、市要求完成黄海高层测量，确保测量的水位高程与实际高程数据保持一致。</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3、排水防涝监测数据需经过专业的统计分析，形成月度、半年度、年度等不同维度的监测报告。。</w:t>
      </w:r>
      <w:r/>
    </w:p>
    <w:p>
      <w:pPr>
        <w:pStyle w:val="767"/>
        <w:ind w:left="560" w:hanging="560"/>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5、智慧监测（桥梁）服务技术要求</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5.1布点位置及设备数量</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结合淮安区桥梁养护类别、重要性程度、主管部门的意见等因素综合考虑，对华西路大桥、河下大桥、乌沙干渠大桥、康马路桥进行轻量化监测。具体监测布点如下：</w:t>
      </w:r>
      <w:r/>
    </w:p>
    <w:tbl>
      <w:tblPr>
        <w:tblStyle w:val="77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035"/>
        <w:gridCol w:w="2271"/>
        <w:gridCol w:w="1629"/>
        <w:gridCol w:w="3724"/>
      </w:tblGrid>
      <w:tr>
        <w:trPr>
          <w:jc w:val="center"/>
          <w:trHeight w:val="446"/>
          <w:tblHeader/>
        </w:trPr>
        <w:tc>
          <w:tcPr>
            <w:tcW w:w="105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bookmarkStart w:id="215" w:name="_Hlk209961215"/>
            <w:r>
              <w:rPr>
                <w:rFonts w:hint="eastAsia" w:ascii="仿宋" w:hAnsi="仿宋" w:eastAsia="仿宋" w:cs="仿宋"/>
                <w:sz w:val="28"/>
                <w:szCs w:val="28"/>
                <w:highlight w:val="none"/>
              </w:rPr>
              <w:t xml:space="preserve">桥梁名称</w:t>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设备</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教量</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监测截面</w:t>
            </w:r>
            <w:r/>
          </w:p>
        </w:tc>
      </w:tr>
      <w:tr>
        <w:trPr>
          <w:jc w:val="center"/>
          <w:trHeight w:val="445"/>
        </w:trPr>
        <w:tc>
          <w:tcPr>
            <w:tcW w:w="1053" w:type="pct"/>
            <w:vAlign w:val="center"/>
            <w:vMerge w:val="restart"/>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华西路大桥</w:t>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光电挠度仪</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2台</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1#墩顶</w:t>
            </w:r>
            <w:r/>
          </w:p>
        </w:tc>
      </w:tr>
      <w:tr>
        <w:trPr>
          <w:jc w:val="center"/>
          <w:trHeight w:val="446"/>
        </w:trPr>
        <w:tc>
          <w:tcPr>
            <w:tcW w:w="1053" w:type="pct"/>
            <w:vAlign w:val="center"/>
            <w:vMerge w:val="continue"/>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标靶</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24个</w:t>
            </w:r>
            <w:r/>
          </w:p>
        </w:tc>
        <w:tc>
          <w:tcPr>
            <w:tcMar>
              <w:left w:w="20" w:type="dxa"/>
              <w:top w:w="20" w:type="dxa"/>
              <w:right w:w="20" w:type="dxa"/>
              <w:bottom w:w="72" w:type="dxa"/>
            </w:tcMar>
            <w:tcW w:w="1927" w:type="pct"/>
            <w:vAlign w:val="center"/>
            <w:textDirection w:val="lrTb"/>
            <w:noWrap w:val="false"/>
          </w:tcPr>
          <w:p>
            <w:pPr>
              <w:ind w:firstLine="420"/>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跨中、四分点、</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2#墩顶（基准点）</w:t>
            </w:r>
            <w:r/>
          </w:p>
        </w:tc>
      </w:tr>
      <w:tr>
        <w:trPr>
          <w:jc w:val="center"/>
          <w:trHeight w:val="446"/>
        </w:trPr>
        <w:tc>
          <w:tcPr>
            <w:tcW w:w="1053" w:type="pct"/>
            <w:vAlign w:val="center"/>
            <w:vMerge w:val="continue"/>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位移计</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2套</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1#、2#墩顶</w:t>
            </w:r>
            <w:r/>
          </w:p>
        </w:tc>
      </w:tr>
      <w:tr>
        <w:trPr>
          <w:jc w:val="center"/>
          <w:trHeight w:val="446"/>
        </w:trPr>
        <w:tc>
          <w:tcPr>
            <w:tcW w:w="1053" w:type="pct"/>
            <w:vAlign w:val="center"/>
            <w:vMerge w:val="continue"/>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应变计</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8处</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跨中</w:t>
            </w:r>
            <w:r/>
          </w:p>
        </w:tc>
      </w:tr>
      <w:tr>
        <w:trPr>
          <w:jc w:val="center"/>
          <w:trHeight w:val="336"/>
        </w:trPr>
        <w:tc>
          <w:tcPr>
            <w:tcW w:w="1053" w:type="pct"/>
            <w:vAlign w:val="center"/>
            <w:vMerge w:val="continue"/>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高清摄像机</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2台</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高清摄像头</w:t>
            </w:r>
            <w:r/>
          </w:p>
        </w:tc>
      </w:tr>
      <w:tr>
        <w:trPr>
          <w:jc w:val="center"/>
          <w:trHeight w:val="445"/>
        </w:trPr>
        <w:tc>
          <w:tcPr>
            <w:tcW w:w="1053" w:type="pct"/>
            <w:vAlign w:val="center"/>
            <w:vMerge w:val="restart"/>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河下大桥</w:t>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光电挠度仪</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2台</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2#墩顶</w:t>
            </w:r>
            <w:r/>
          </w:p>
        </w:tc>
      </w:tr>
      <w:tr>
        <w:trPr>
          <w:jc w:val="center"/>
          <w:trHeight w:val="446"/>
        </w:trPr>
        <w:tc>
          <w:tcPr>
            <w:tcW w:w="1053" w:type="pct"/>
            <w:vAlign w:val="center"/>
            <w:vMerge w:val="continue"/>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标靶</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12个</w:t>
            </w:r>
            <w:r/>
          </w:p>
        </w:tc>
        <w:tc>
          <w:tcPr>
            <w:tcMar>
              <w:left w:w="20" w:type="dxa"/>
              <w:top w:w="20" w:type="dxa"/>
              <w:right w:w="20" w:type="dxa"/>
              <w:bottom w:w="72" w:type="dxa"/>
            </w:tcMar>
            <w:tcW w:w="1927" w:type="pct"/>
            <w:vAlign w:val="center"/>
            <w:textDirection w:val="lrTb"/>
            <w:noWrap w:val="false"/>
          </w:tcPr>
          <w:p>
            <w:pPr>
              <w:ind w:firstLine="420"/>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跨中、四分点、</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3#墩顶（基准点）</w:t>
            </w:r>
            <w:r/>
          </w:p>
        </w:tc>
      </w:tr>
      <w:tr>
        <w:trPr>
          <w:jc w:val="center"/>
          <w:trHeight w:val="446"/>
        </w:trPr>
        <w:tc>
          <w:tcPr>
            <w:tcW w:w="1053" w:type="pct"/>
            <w:vAlign w:val="center"/>
            <w:vMerge w:val="continue"/>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位移计</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2套</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2#、3#墩顶</w:t>
            </w:r>
            <w:r/>
          </w:p>
        </w:tc>
      </w:tr>
      <w:tr>
        <w:trPr>
          <w:jc w:val="center"/>
          <w:trHeight w:val="446"/>
        </w:trPr>
        <w:tc>
          <w:tcPr>
            <w:tcW w:w="1053" w:type="pct"/>
            <w:vAlign w:val="center"/>
            <w:vMerge w:val="continue"/>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应变计</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8处</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跨中</w:t>
            </w:r>
            <w:r/>
          </w:p>
        </w:tc>
      </w:tr>
      <w:tr>
        <w:trPr>
          <w:jc w:val="center"/>
          <w:trHeight w:val="489"/>
        </w:trPr>
        <w:tc>
          <w:tcPr>
            <w:tcW w:w="1053" w:type="pct"/>
            <w:vAlign w:val="center"/>
            <w:vMerge w:val="continue"/>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高清摄像机</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2台</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高清摄像头</w:t>
            </w:r>
            <w:r/>
          </w:p>
        </w:tc>
      </w:tr>
      <w:tr>
        <w:trPr>
          <w:jc w:val="center"/>
          <w:trHeight w:val="489"/>
        </w:trPr>
        <w:tc>
          <w:tcPr>
            <w:tcW w:w="1053" w:type="pct"/>
            <w:vAlign w:val="center"/>
            <w:vMerge w:val="restart"/>
            <w:textDirection w:val="lrTb"/>
            <w:noWrap w:val="false"/>
          </w:tcPr>
          <w:p>
            <w:pPr>
              <w:jc w:val="left"/>
              <w:spacing w:line="360" w:lineRule="exact"/>
              <w:widowControl/>
              <w:rPr>
                <w:rFonts w:hint="eastAsia" w:ascii="仿宋" w:hAnsi="仿宋" w:eastAsia="仿宋" w:cs="仿宋"/>
                <w:color w:val="ffffff" w:themeColor="background1"/>
                <w:sz w:val="28"/>
                <w:szCs w:val="28"/>
                <w:highlight w:val="none"/>
                <w14:textFill>
                  <w14:solidFill>
                    <w14:schemeClr w14:val="bg1"/>
                  </w14:solidFill>
                </w14:textFill>
              </w:rPr>
            </w:pPr>
            <w:r>
              <w:rPr>
                <w:rFonts w:hint="eastAsia" w:ascii="仿宋" w:hAnsi="仿宋" w:eastAsia="仿宋" w:cs="仿宋"/>
                <w:color w:val="ffffff" w:themeColor="background1"/>
                <w:sz w:val="28"/>
                <w:szCs w:val="28"/>
                <w:highlight w:val="none"/>
                <w14:textFill>
                  <w14:solidFill>
                    <w14:schemeClr w14:val="bg1"/>
                  </w14:solidFill>
                </w14:textFill>
              </w:rPr>
              <w:t xml:space="preserve">乌沙干渠大桥</w:t>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光电挠度仪</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2台</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4#墩顶</w:t>
            </w:r>
            <w:r/>
          </w:p>
        </w:tc>
      </w:tr>
      <w:tr>
        <w:trPr>
          <w:jc w:val="center"/>
          <w:trHeight w:val="489"/>
        </w:trPr>
        <w:tc>
          <w:tcPr>
            <w:tcW w:w="1053" w:type="pct"/>
            <w:vAlign w:val="center"/>
            <w:vMerge w:val="continue"/>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标靶</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16个</w:t>
            </w:r>
            <w:r/>
          </w:p>
        </w:tc>
        <w:tc>
          <w:tcPr>
            <w:tcMar>
              <w:left w:w="20" w:type="dxa"/>
              <w:top w:w="20" w:type="dxa"/>
              <w:right w:w="20" w:type="dxa"/>
              <w:bottom w:w="72" w:type="dxa"/>
            </w:tcMar>
            <w:tcW w:w="1927" w:type="pct"/>
            <w:vAlign w:val="center"/>
            <w:textDirection w:val="lrTb"/>
            <w:noWrap w:val="false"/>
          </w:tcPr>
          <w:p>
            <w:pPr>
              <w:ind w:firstLine="420"/>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跨中、四分点、</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5#墩顶（基准点）</w:t>
            </w:r>
            <w:r/>
          </w:p>
        </w:tc>
      </w:tr>
      <w:tr>
        <w:trPr>
          <w:jc w:val="center"/>
          <w:trHeight w:val="489"/>
        </w:trPr>
        <w:tc>
          <w:tcPr>
            <w:tcW w:w="1053" w:type="pct"/>
            <w:vAlign w:val="center"/>
            <w:vMerge w:val="continue"/>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位移计</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2套</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3#、6#墩顶</w:t>
            </w:r>
            <w:r/>
          </w:p>
        </w:tc>
      </w:tr>
      <w:tr>
        <w:trPr>
          <w:jc w:val="center"/>
          <w:trHeight w:val="489"/>
        </w:trPr>
        <w:tc>
          <w:tcPr>
            <w:tcW w:w="1053" w:type="pct"/>
            <w:vAlign w:val="center"/>
            <w:vMerge w:val="continue"/>
            <w:textDirection w:val="lrTb"/>
            <w:noWrap w:val="false"/>
          </w:tcPr>
          <w:p>
            <w:pPr>
              <w:ind w:right="280"/>
              <w:jc w:val="center"/>
              <w:spacing w:line="360" w:lineRule="exact"/>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应变计</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10处</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跨中</w:t>
            </w:r>
            <w:r/>
          </w:p>
        </w:tc>
      </w:tr>
      <w:tr>
        <w:trPr>
          <w:jc w:val="center"/>
          <w:trHeight w:val="489"/>
        </w:trPr>
        <w:tc>
          <w:tcPr>
            <w:tcW w:w="1053" w:type="pct"/>
            <w:vAlign w:val="center"/>
            <w:vMerge w:val="continue"/>
            <w:textDirection w:val="lrTb"/>
            <w:noWrap w:val="false"/>
          </w:tcPr>
          <w:p>
            <w:pPr>
              <w:ind w:right="280"/>
              <w:jc w:val="center"/>
              <w:spacing w:line="360" w:lineRule="exact"/>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高清摄像机</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2台</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高清摄像头</w:t>
            </w:r>
            <w:r/>
          </w:p>
        </w:tc>
      </w:tr>
      <w:tr>
        <w:trPr>
          <w:jc w:val="center"/>
          <w:trHeight w:val="489"/>
        </w:trPr>
        <w:tc>
          <w:tcPr>
            <w:tcW w:w="1053" w:type="pct"/>
            <w:vAlign w:val="center"/>
            <w:vMerge w:val="restart"/>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康马路桥</w:t>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光电挠度仪</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2台</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1#墩顶</w:t>
            </w:r>
            <w:r/>
          </w:p>
        </w:tc>
      </w:tr>
      <w:tr>
        <w:trPr>
          <w:jc w:val="center"/>
          <w:trHeight w:val="489"/>
        </w:trPr>
        <w:tc>
          <w:tcPr>
            <w:tcW w:w="1053" w:type="pct"/>
            <w:vAlign w:val="center"/>
            <w:vMerge w:val="continue"/>
            <w:textDirection w:val="lrTb"/>
            <w:noWrap w:val="false"/>
          </w:tcPr>
          <w:p>
            <w:pPr>
              <w:ind w:right="280"/>
              <w:jc w:val="center"/>
              <w:spacing w:line="360" w:lineRule="exact"/>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标靶</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12个</w:t>
            </w:r>
            <w:r/>
          </w:p>
        </w:tc>
        <w:tc>
          <w:tcPr>
            <w:tcMar>
              <w:left w:w="20" w:type="dxa"/>
              <w:top w:w="20" w:type="dxa"/>
              <w:right w:w="20" w:type="dxa"/>
              <w:bottom w:w="72" w:type="dxa"/>
            </w:tcMar>
            <w:tcW w:w="1927" w:type="pct"/>
            <w:vAlign w:val="center"/>
            <w:textDirection w:val="lrTb"/>
            <w:noWrap w:val="false"/>
          </w:tcPr>
          <w:p>
            <w:pPr>
              <w:ind w:firstLine="420"/>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跨中、四分点、</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2#墩顶（基准点）</w:t>
            </w:r>
            <w:r/>
          </w:p>
        </w:tc>
      </w:tr>
      <w:tr>
        <w:trPr>
          <w:jc w:val="center"/>
          <w:trHeight w:val="489"/>
        </w:trPr>
        <w:tc>
          <w:tcPr>
            <w:tcW w:w="1053" w:type="pct"/>
            <w:vAlign w:val="center"/>
            <w:vMerge w:val="continue"/>
            <w:textDirection w:val="lrTb"/>
            <w:noWrap w:val="false"/>
          </w:tcPr>
          <w:p>
            <w:pPr>
              <w:ind w:right="280"/>
              <w:jc w:val="center"/>
              <w:spacing w:line="360" w:lineRule="exact"/>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位移计</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2套</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1#、2#墩顶</w:t>
            </w:r>
            <w:r/>
          </w:p>
        </w:tc>
      </w:tr>
      <w:tr>
        <w:trPr>
          <w:jc w:val="center"/>
          <w:trHeight w:val="489"/>
        </w:trPr>
        <w:tc>
          <w:tcPr>
            <w:tcW w:w="1053" w:type="pct"/>
            <w:vAlign w:val="center"/>
            <w:vMerge w:val="continue"/>
            <w:textDirection w:val="lrTb"/>
            <w:noWrap w:val="false"/>
          </w:tcPr>
          <w:p>
            <w:pPr>
              <w:ind w:right="280"/>
              <w:jc w:val="center"/>
              <w:spacing w:line="360" w:lineRule="exact"/>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应变计</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8处</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跨中</w:t>
            </w:r>
            <w:r/>
          </w:p>
        </w:tc>
      </w:tr>
      <w:tr>
        <w:trPr>
          <w:jc w:val="center"/>
          <w:trHeight w:val="489"/>
        </w:trPr>
        <w:tc>
          <w:tcPr>
            <w:tcW w:w="1053" w:type="pct"/>
            <w:vAlign w:val="center"/>
            <w:vMerge w:val="continue"/>
            <w:textDirection w:val="lrTb"/>
            <w:noWrap w:val="false"/>
          </w:tcPr>
          <w:p>
            <w:pPr>
              <w:ind w:right="280"/>
              <w:jc w:val="center"/>
              <w:spacing w:line="360" w:lineRule="exact"/>
              <w:rPr>
                <w:rFonts w:hint="eastAsia" w:ascii="仿宋" w:hAnsi="仿宋" w:eastAsia="仿宋" w:cs="仿宋"/>
                <w:bCs/>
                <w:sz w:val="28"/>
                <w:szCs w:val="28"/>
                <w:highlight w:val="none"/>
                <w:lang w:bidi="ar"/>
              </w:rPr>
            </w:pPr>
            <w:r>
              <w:rPr>
                <w:rFonts w:hint="eastAsia" w:ascii="仿宋" w:hAnsi="仿宋" w:eastAsia="仿宋" w:cs="仿宋"/>
                <w:bCs/>
                <w:sz w:val="28"/>
                <w:szCs w:val="28"/>
                <w:highlight w:val="none"/>
                <w:lang w:bidi="ar"/>
              </w:rPr>
            </w:r>
            <w:r/>
          </w:p>
        </w:tc>
        <w:tc>
          <w:tcPr>
            <w:tcMar>
              <w:left w:w="20" w:type="dxa"/>
              <w:top w:w="20" w:type="dxa"/>
              <w:right w:w="20" w:type="dxa"/>
              <w:bottom w:w="72" w:type="dxa"/>
            </w:tcMar>
            <w:tcW w:w="1175"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高清摄像机</w:t>
            </w:r>
            <w:r/>
          </w:p>
        </w:tc>
        <w:tc>
          <w:tcPr>
            <w:tcMar>
              <w:left w:w="20" w:type="dxa"/>
              <w:top w:w="20" w:type="dxa"/>
              <w:right w:w="20" w:type="dxa"/>
              <w:bottom w:w="72" w:type="dxa"/>
            </w:tcMar>
            <w:tcW w:w="843"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2台</w:t>
            </w:r>
            <w:r/>
          </w:p>
        </w:tc>
        <w:tc>
          <w:tcPr>
            <w:tcMar>
              <w:left w:w="20" w:type="dxa"/>
              <w:top w:w="20" w:type="dxa"/>
              <w:right w:w="20" w:type="dxa"/>
              <w:bottom w:w="72" w:type="dxa"/>
            </w:tcMar>
            <w:tcW w:w="1927" w:type="pct"/>
            <w:vAlign w:val="center"/>
            <w:textDirection w:val="lrTb"/>
            <w:noWrap w:val="false"/>
          </w:tcPr>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高清摄像头</w:t>
            </w:r>
            <w:bookmarkEnd w:id="215"/>
            <w:r/>
            <w:r/>
          </w:p>
        </w:tc>
      </w:tr>
    </w:tbl>
    <w:p>
      <w:pPr>
        <w:pStyle w:val="768"/>
        <w:spacing w:before="20" w:after="20" w:line="360" w:lineRule="exact"/>
        <w:rPr>
          <w:rFonts w:hint="eastAsia" w:ascii="仿宋" w:hAnsi="仿宋" w:eastAsia="仿宋" w:cs="仿宋"/>
          <w:highlight w:val="none"/>
        </w:rPr>
      </w:pPr>
      <w:r>
        <w:rPr>
          <w:rFonts w:hint="eastAsia" w:ascii="仿宋" w:hAnsi="仿宋" w:eastAsia="仿宋" w:cs="仿宋"/>
          <w:highlight w:val="none"/>
        </w:rPr>
        <w:t xml:space="preserve">5.2设备参数要求</w:t>
      </w:r>
      <w:r/>
    </w:p>
    <w:tbl>
      <w:tblPr>
        <w:tblStyle w:val="7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602"/>
        <w:gridCol w:w="5804"/>
        <w:gridCol w:w="839"/>
        <w:gridCol w:w="839"/>
      </w:tblGrid>
      <w:tr>
        <w:trPr>
          <w:trHeight w:val="23"/>
          <w:tblHeader/>
        </w:trPr>
        <w:tc>
          <w:tcPr>
            <w:tcW w:w="389"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序号</w:t>
            </w:r>
            <w:r/>
          </w:p>
        </w:tc>
        <w:tc>
          <w:tcPr>
            <w:tcW w:w="813"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设备名称</w:t>
            </w:r>
            <w:r/>
          </w:p>
        </w:tc>
        <w:tc>
          <w:tcPr>
            <w:tcW w:w="2946"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主要技术参数</w:t>
            </w:r>
            <w:r/>
          </w:p>
        </w:tc>
        <w:tc>
          <w:tcPr>
            <w:tcW w:w="426"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单位</w:t>
            </w:r>
            <w:r/>
          </w:p>
        </w:tc>
        <w:tc>
          <w:tcPr>
            <w:tcW w:w="426"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数量</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1</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光电挠度仪</w:t>
            </w:r>
            <w:r/>
          </w:p>
        </w:tc>
        <w:tc>
          <w:tcPr>
            <w:tcW w:w="2946" w:type="pct"/>
            <w:textDirection w:val="lrTb"/>
            <w:noWrap w:val="false"/>
          </w:tcPr>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1、测量距离：1~200m（可定制）；</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2、位移分辨率：测量视场范围的十万分之一；</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3、测量精度：室内10m，≤0.05mm；室外50m，≤0.5mm（测点距离每增加10米，精度下降0.1mm）；</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4、靶标类型：15W、30W；</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5、目标个数：10个测点(距离超过50米需使用30W靶标)；</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6、相机采用频率：GIGE网口相机最高18Hz，USB3.0相机最高56Hz；</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7、视场角：D 16.99° H 14.01° V  9.38°；</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8、工控机供电方式：AC 220V；</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9、靶标供电方式：DC 12V-30V；</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10、工作温度：-10℃~50℃；</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11、工作湿度：0~95%（非凝露）；</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12、防护等级：IP66(摄像头外壳)。</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13、主机支持本地数据存储，具备断网数据续传功能；</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14、具备优秀的抗扰能力，通过静电放电抗扰度试验。</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台</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8</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2</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标靶</w:t>
            </w:r>
            <w:r/>
          </w:p>
        </w:tc>
        <w:tc>
          <w:tcPr>
            <w:tcW w:w="2946" w:type="pct"/>
            <w:textDirection w:val="lrTb"/>
            <w:noWrap w:val="false"/>
          </w:tcPr>
          <w:p>
            <w:pPr>
              <w:jc w:val="left"/>
              <w:spacing w:line="360" w:lineRule="exact"/>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1、功耗：15W、30W、60W ；</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2、输入电压：DC12V~30V；</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3、防护等级：IP66。</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个</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64</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3</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磁致位移计</w:t>
            </w:r>
            <w:r/>
          </w:p>
        </w:tc>
        <w:tc>
          <w:tcPr>
            <w:tcW w:w="2946" w:type="pct"/>
            <w:vAlign w:val="center"/>
            <w:textDirection w:val="lrTb"/>
            <w:noWrap w:val="false"/>
          </w:tcPr>
          <w:p>
            <w:pPr>
              <w:numPr>
                <w:ilvl w:val="3"/>
                <w:numId w:val="2"/>
              </w:num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量程：100mm/200mm；</w:t>
            </w:r>
            <w:r/>
          </w:p>
          <w:p>
            <w:pPr>
              <w:numPr>
                <w:ilvl w:val="3"/>
                <w:numId w:val="2"/>
              </w:num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精度：0.1mm；</w:t>
            </w:r>
            <w:r/>
          </w:p>
          <w:p>
            <w:pPr>
              <w:pStyle w:val="1054"/>
              <w:numPr>
                <w:ilvl w:val="3"/>
                <w:numId w:val="2"/>
              </w:numPr>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分辨率：0.001mm；</w:t>
            </w:r>
            <w:r/>
          </w:p>
          <w:p>
            <w:pPr>
              <w:pStyle w:val="1054"/>
              <w:numPr>
                <w:ilvl w:val="3"/>
                <w:numId w:val="2"/>
              </w:numPr>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通讯方式：RS485；</w:t>
            </w:r>
            <w:r/>
          </w:p>
          <w:p>
            <w:pPr>
              <w:pStyle w:val="1054"/>
              <w:numPr>
                <w:ilvl w:val="3"/>
                <w:numId w:val="2"/>
              </w:numPr>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工作电压:DC 10V-35V；</w:t>
            </w:r>
            <w:r/>
          </w:p>
          <w:p>
            <w:pPr>
              <w:pStyle w:val="1054"/>
              <w:numPr>
                <w:ilvl w:val="3"/>
                <w:numId w:val="2"/>
              </w:numPr>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功耗：0.8W；</w:t>
            </w:r>
            <w:r/>
          </w:p>
          <w:p>
            <w:pPr>
              <w:pStyle w:val="1054"/>
              <w:numPr>
                <w:ilvl w:val="3"/>
                <w:numId w:val="2"/>
              </w:numPr>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工作温度：-20℃~60℃；</w:t>
            </w:r>
            <w:r/>
          </w:p>
          <w:p>
            <w:pPr>
              <w:pStyle w:val="1054"/>
              <w:numPr>
                <w:ilvl w:val="0"/>
                <w:numId w:val="0"/>
              </w:numPr>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8、工作湿度：0~95%（非凝露）；</w:t>
            </w:r>
            <w:r/>
          </w:p>
          <w:p>
            <w:pPr>
              <w:jc w:val="left"/>
              <w:spacing w:line="360" w:lineRule="exact"/>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防护等级：IP66。</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套</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8</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4</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应变（温度）计</w:t>
            </w:r>
            <w:r/>
          </w:p>
        </w:tc>
        <w:tc>
          <w:tcPr>
            <w:tcW w:w="2946" w:type="pct"/>
            <w:textDirection w:val="lrTb"/>
            <w:noWrap w:val="false"/>
          </w:tcPr>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1、压缩：1500με；</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2、拉伸1500με；</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3、分辨率：≤0.02%F·S；</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4、灵敏度：≤0.5με；</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5、温度测量范围：-40～+80℃；</w:t>
            </w:r>
            <w:r/>
          </w:p>
          <w:p>
            <w:pPr>
              <w:jc w:val="left"/>
              <w:spacing w:line="360" w:lineRule="exact"/>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温度灵敏度：±0.1℃。</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套</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34</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5</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高清摄像机</w:t>
            </w:r>
            <w:r/>
          </w:p>
        </w:tc>
        <w:tc>
          <w:tcPr>
            <w:tcW w:w="2946" w:type="pct"/>
            <w:textDirection w:val="lrTb"/>
            <w:noWrap w:val="false"/>
          </w:tcPr>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1、像素：≥400万</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2、帧率：≥25 FPS</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3、动态范围：≥55dB</w:t>
            </w:r>
            <w:r/>
          </w:p>
          <w:p>
            <w:pPr>
              <w:jc w:val="left"/>
              <w:spacing w:line="360" w:lineRule="exact"/>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4、具备自动光圈、变焦镜头、昼/夜自动转换功能、防护罩</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台</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8</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6</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综合采集站-智能机柜</w:t>
            </w:r>
            <w:r/>
          </w:p>
        </w:tc>
        <w:tc>
          <w:tcPr>
            <w:tcW w:w="2946" w:type="pct"/>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1、钢型材机柜，尺寸定制；</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2、装配件包括：机柜主体、气流管理单元、线缆管理单元、电力分配单元、安装固定配件等；</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3、户外防水，具有温控系统。</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台</w:t>
            </w:r>
            <w:r/>
          </w:p>
        </w:tc>
        <w:tc>
          <w:tcPr>
            <w:tcW w:w="426"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7</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综合采集站-电源模块</w:t>
            </w:r>
            <w:r/>
          </w:p>
        </w:tc>
        <w:tc>
          <w:tcPr>
            <w:tcW w:w="2946" w:type="pct"/>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1、额定容量：1kVA </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2、电池电压：24VDC </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3、输出额定电压：208Vac/220Vac/230Vac/240Vac </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4、输出电压稳压精度：±1% </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5、输出电流峰值系数：3:1 </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6、运行温度：0~40℃ </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7、相对湿度：0%~95%（无冷凝）</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台</w:t>
            </w:r>
            <w:r/>
          </w:p>
        </w:tc>
        <w:tc>
          <w:tcPr>
            <w:tcW w:w="426"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8</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综合采集站-通讯模块</w:t>
            </w:r>
            <w:r/>
          </w:p>
        </w:tc>
        <w:tc>
          <w:tcPr>
            <w:tcW w:w="2946" w:type="pct"/>
            <w:textDirection w:val="lrTb"/>
            <w:noWrap w:val="false"/>
          </w:tcPr>
          <w:p>
            <w:pPr>
              <w:jc w:val="left"/>
              <w:spacing w:line="360" w:lineRule="exact"/>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1、传输速率：10/100/1000Mbps</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2、产品内存：内存DRAM：不小于128MB</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3、闪存：不小于64MB</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4、在温度环境:-40~85℃通电工作2小时存储转发速率100%；</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5、交换方式：存储-转发；</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6、IP40防护等级。</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台</w:t>
            </w:r>
            <w:r/>
          </w:p>
        </w:tc>
        <w:tc>
          <w:tcPr>
            <w:tcW w:w="426"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9</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综合采集站-主控模块</w:t>
            </w:r>
            <w:r/>
          </w:p>
        </w:tc>
        <w:tc>
          <w:tcPr>
            <w:tcW w:w="2946" w:type="pct"/>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1、CPU：PM2.8G</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2、内存：DDR8G</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3、硬盘：MT146G</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4、网口：10/100M</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5、前置的USB及键盘接口</w:t>
            </w:r>
            <w:r>
              <w:rPr>
                <w:rFonts w:hint="eastAsia" w:ascii="仿宋" w:hAnsi="仿宋" w:eastAsia="仿宋" w:cs="仿宋"/>
                <w:color w:val="000000"/>
                <w:sz w:val="28"/>
                <w:szCs w:val="28"/>
                <w:highlight w:val="none"/>
                <w:lang w:bidi="ar"/>
              </w:rPr>
              <w:br/>
            </w:r>
            <w:r>
              <w:rPr>
                <w:rFonts w:hint="eastAsia" w:ascii="仿宋" w:hAnsi="仿宋" w:eastAsia="仿宋" w:cs="仿宋"/>
                <w:color w:val="000000"/>
                <w:sz w:val="28"/>
                <w:szCs w:val="28"/>
                <w:highlight w:val="none"/>
                <w:lang w:bidi="ar"/>
              </w:rPr>
              <w:t xml:space="preserve">6、工作湿度：10～85%无凝霜</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台</w:t>
            </w:r>
            <w:r/>
          </w:p>
        </w:tc>
        <w:tc>
          <w:tcPr>
            <w:tcW w:w="426"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10</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综合采集站-综合采集模块</w:t>
            </w:r>
            <w:r/>
          </w:p>
        </w:tc>
        <w:tc>
          <w:tcPr>
            <w:tcW w:w="2946" w:type="pct"/>
            <w:textDirection w:val="lrTb"/>
            <w:noWrap w:val="false"/>
          </w:tcPr>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1、负载数量：≤32个传感器或采集模块；</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2、外部存储Flash:8万条数据；</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3、直流输出：1路 12V/24V(默认输出24V)；</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4、通讯方式：4G CAT1，RS485/RS232(可选)；</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5、工作电压：DC 15-32V；</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6、功耗：1.5W；</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7、工作温度：-20℃~60℃；</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8、工作湿度：0~95%（非凝露）；</w:t>
            </w:r>
            <w:r/>
          </w:p>
          <w:p>
            <w:pPr>
              <w:jc w:val="left"/>
              <w:spacing w:line="360" w:lineRule="exact"/>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9、防护等级：IP64。；</w:t>
            </w:r>
            <w:r/>
          </w:p>
          <w:p>
            <w:pPr>
              <w:jc w:val="left"/>
              <w:spacing w:line="360" w:lineRule="exact"/>
              <w:rPr>
                <w:rFonts w:hint="default"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10、</w:t>
            </w:r>
            <w:r>
              <w:rPr>
                <w:rFonts w:hint="eastAsia" w:ascii="仿宋" w:hAnsi="仿宋" w:eastAsia="仿宋" w:cs="仿宋"/>
                <w:color w:val="000000"/>
                <w:sz w:val="28"/>
                <w:szCs w:val="28"/>
                <w:highlight w:val="none"/>
                <w:lang w:bidi="ar"/>
              </w:rPr>
              <w:t xml:space="preserve">具备优秀的抗扰能力，通过静电放电抗扰度试验。</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套</w:t>
            </w:r>
            <w:r/>
          </w:p>
        </w:tc>
        <w:tc>
          <w:tcPr>
            <w:tcW w:w="426"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11</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健康监测软件</w:t>
            </w:r>
            <w:r/>
          </w:p>
        </w:tc>
        <w:tc>
          <w:tcPr>
            <w:tcW w:w="2946"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设备管理、对接管理、阈值配置等</w:t>
            </w:r>
            <w:r/>
          </w:p>
        </w:tc>
        <w:tc>
          <w:tcPr>
            <w:tcW w:w="426" w:type="pct"/>
            <w:vAlign w:val="center"/>
            <w:textDirection w:val="lrTb"/>
            <w:noWrap w:val="false"/>
          </w:tcPr>
          <w:p>
            <w:pPr>
              <w:jc w:val="center"/>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套</w:t>
            </w:r>
            <w:r/>
          </w:p>
        </w:tc>
        <w:tc>
          <w:tcPr>
            <w:tcW w:w="426"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w:t>
            </w:r>
            <w:r/>
          </w:p>
        </w:tc>
      </w:tr>
      <w:tr>
        <w:trPr>
          <w:trHeight w:val="23"/>
        </w:trPr>
        <w:tc>
          <w:tcPr>
            <w:tcW w:w="389"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12</w:t>
            </w:r>
            <w:r/>
          </w:p>
        </w:tc>
        <w:tc>
          <w:tcPr>
            <w:tcW w:w="813"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通信租赁</w:t>
            </w:r>
            <w:r/>
          </w:p>
        </w:tc>
        <w:tc>
          <w:tcPr>
            <w:tcW w:w="2946"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通信租赁费用，租赁5年</w:t>
            </w:r>
            <w:r/>
          </w:p>
        </w:tc>
        <w:tc>
          <w:tcPr>
            <w:tcW w:w="426"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处</w:t>
            </w:r>
            <w:r/>
          </w:p>
        </w:tc>
        <w:tc>
          <w:tcPr>
            <w:tcW w:w="426" w:type="pct"/>
            <w:vAlign w:val="center"/>
            <w:textDirection w:val="lrTb"/>
            <w:noWrap w:val="false"/>
          </w:tcPr>
          <w:p>
            <w:pPr>
              <w:jc w:val="center"/>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4</w:t>
            </w:r>
            <w:r/>
          </w:p>
        </w:tc>
      </w:tr>
    </w:tbl>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5.3设备安装要求</w:t>
      </w:r>
      <w:r/>
    </w:p>
    <w:p>
      <w:pPr>
        <w:ind w:firstLine="560"/>
        <w:jc w:val="righ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1、安装前应进行现场确认，对不满足安装条件的监测点位应基于监测需求选择替代点位并经采购人确认。</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2、在线监测设备安装的位置应避开振动、高温、温度变化剧烈、易受机械损伤、有强电磁场干扰的位置。</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3、设备安装时应按设计文件要求核对位号、型号、规格、材质和附件。</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4、在线监测设备安装过程中应避免敲击、振动。安装应牢固、平正。安装支架应受力均匀，不应承受非正常的外力，不应影响相关设施的正常安全运行。</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5、供电可采取开户挂表方案。若不具备开户挂表条件，可选择从就近路灯控制柜中施工布线取电，但需经过采购人同意。</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6、中标人承担智慧监测（桥梁）设备实施过程中的运输、安装、修复、辅材、调试、五年通讯、五年质保等费用。</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5.4设备调试及测量要求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1、中标人应严格按照时间节点保证标准化的安装、调试和联网接入。在所有设备安装调试完成后，中标人应组织人力对设备进行全面的联网调试，使设备能够达到接入系统并稳定运行的目标。</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2、桥梁监测数据需经过专业的统计分析，形成月度、半年度、年度等不同维度的监测报告。</w:t>
      </w:r>
      <w:r/>
    </w:p>
    <w:p>
      <w:pPr>
        <w:pStyle w:val="767"/>
        <w:numPr>
          <w:ilvl w:val="0"/>
          <w:numId w:val="7"/>
        </w:numPr>
        <w:ind w:left="560" w:hanging="560"/>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智慧监测（照明）服务技术要求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本次对淮安区老旧集中控制器、老旧单灯控制器、老旧照明信息化管理平台以及老旧控制柜柜体进行针对性改造。</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6.1改造位置及设备数量</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1、集中控制器</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根据调研，淮安区共有277套集中控制器存在老化严重、漏电情形，本次对277套进行整体更新，并配置23套作为备件，合计300套。具体位置及数量如下：</w:t>
      </w:r>
      <w:r/>
    </w:p>
    <w:tbl>
      <w:tblPr>
        <w:tblStyle w:val="77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03"/>
        <w:gridCol w:w="1943"/>
        <w:gridCol w:w="5189"/>
        <w:gridCol w:w="970"/>
        <w:gridCol w:w="849"/>
      </w:tblGrid>
      <w:tr>
        <w:trPr>
          <w:trHeight w:val="36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控制站点编号</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控制站点名称</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数量</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经十九路/与广州路交叉口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经十九高岗小区200米</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经十一路新政府东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南巺西路（唐子巷大桥）</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南巽路中（西长街路口）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电大西路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大237省道新长铁路桥南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大237省道江苏飞强包装厂前</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大237省道+纬七东路 津利来汽配门前</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大237省道灌溉总渠桥北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大237省道匝道</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马甸1号箱桥头</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马甸2号箱桥南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1014-淮城镇城郊路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马甸4号箱收费站北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1016-友谊西路（天成路南）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马甸5号箱收费站</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1018-府前东路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马甸3号箱路西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1020-小S237/交警大队</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1021-小S237/中段</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1022-小S237/淮安食品物流中心大门右边</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1023-海棠大道公安局对面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1024-海棠大道公司旁边</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1025-海棠大道/井源宾馆西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1026-海棠大道铁云路东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1027-经九路/铁路高架桥北面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1028-经九路/与纬四路交叉口东北角</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1029-经九路/淮安人家北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1030-纬四路/金榜凯旋城</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1031-纬七路/与经九路交叉口东南角</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1032-纬七路/中国邮政对面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1033-关天培路/翔宇小区对面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1034-铁云路北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1035-铁云路南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1036文府路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1037-新二中门口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1038-纬八路/圆通快递</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1039-纬八路/纺织厂十字路口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1040-楚涟路/御景城小区对面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1041-楚涟路/农贸市场</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楚州大道南入口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1043-经十路/与翔宇大道/+镇海红军小学</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1044-韩信北路/苏果东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1045-韩信北路/苏果西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1046-韩信南路/供水公司路东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1047-韩信南路/供水公司门口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1048-东西门大街/楚城浴室门口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1049-东西门大街/楚城与对面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1050-东西门大街/烈士林园门口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1051-东西门大街/金山电脑对面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1052-农校南门</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1053-东长街/计生委门口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1054-东长街/知音琴行门前</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1055-樱桃园路（翔宇小区北门对面）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1056-经八路/翔宇小区西北角</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1057-友谊路/财政局门口K3景观</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1058-井神路（公园小区门口)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1059-风光带/钓鱼台</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1060-风光带/御码头</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1061-北门大街南段/西侧</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1062-北门大街南段/东侧</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北门大街城北小学西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北门大街城北小学东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北门大街河湖星城西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北门大街河湖星城东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1067-康马路南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1068-康马路/都市花园</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1069-海天路/九龙湾西北角</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1070-国际商城/天艺移门门口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1071-城西干道/河下大桥桥头</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1072-城西干道/华亭加油站对面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1073-城西干道/华庭</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1074-纬二路/与经四路交叉口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1075-纬二路/与楚州大道交叉口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1076-纬二路/与沈坤路交叉口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1077-承恩大道/苏垦连锁门口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1078-承恩大道/涟水席桥边</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1079-镇淮楼东路/人力资源市场门口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1080-镇淮楼东路/中国银行</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1081-韩信路公园</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1082-翔宇大道/与梁玉红路交叉口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1083-纬四路西/瑞康花园</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1084-镇淮楼西路/与西长街交叉口南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1085-镇淮楼西路/西长街交叉口九灵芝药房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1086-云门南路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1087-一品梅路/人民桥工商银行门口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1088-一品梅路/中国烟草门口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1089恩来干部学院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1090-风光带/码头大酒店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1091-府前路/经六路十字路口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1092-风光带/运河家园旁</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1093-风光带/最南端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1094-风光带/新安西门</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1095-莲花路/与经六路交叉口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1096-城西干道北（河下小区北）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1097-新看守所</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1098-南门大街/楚州宾馆对面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1099-南门大街/大观园门口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1100-红军小学北校区</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1101-南巽路/四中西南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1102-翔宇大道/边寿民路交叉口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1103-翔宇大道/东方康桥西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1104-梁红玉路（御庭园小区门口）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1105规划四路（东方雅居东）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1106-关天培路（普金酒店对面）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1107-梁红玉路南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1108-纬八路（世纪佳缘东）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1109城西南路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1110农校北门</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1111-长安路（周恩来纪念馆后门）</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1112-经四路（淮城镇北）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1113-城河街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1114-经二路与杜康桥路（九龙湾后面）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1115-经四路（阳光现代城西）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1116-西长街(路西灯建设局)</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1117-西长街246号（路东灯医药公司对面）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1118-西长街（刘鄂故居）</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1119-西长街向西（新安小学广告牌）</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1120廉政园路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1121-兴文街（跨下桥）</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1122-鱼市派出所</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1123-东长街与仓桥南巺</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1124-经十一路（华丰职业学校路口）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1125张庄厕所旁</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1126承恩大道东（铁路桥下面）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1127-经十一路北（中南售楼）</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1128-西长街（运河小区）</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1129-东长街南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1130-西长街（兴文街西南)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1131经八路北五星幼儿园北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1132新荣路云河湾北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1133边寿民路（红军中学门口）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国信纬二路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1135-金汤洗浴</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1136-育才路（二中、打线巷）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1137-皮革厂（人民桥）</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38-文通巷（文通中学旁）</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1139-夹城菜场</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1140-上坂街（牌坊后）龙窝巷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1141-驸马巷（K2景观）</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国信大数据东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国信井神储气</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海棠大道新区花园西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海棠大道收费站</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1146-太清观街（交通局）</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经十路南(南窑小区)</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1148慈善大楼</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1149-估衣街（公厕旁）</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1150黄码大桥</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1151-岳庙东街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1152-县东街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经二十三路北1号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经二十三路北2号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藏军洞路（淮中北墙）</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1156-翔宇大道（阿波罗广场）</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1157-翔宇大道（淮安农村商业银行）</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经二十三路3号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经二十三路南4号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1160-纪念馆南岸亮化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1161-古城墙</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1162-漕运门头西大箱</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1163-府衙广场</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1164-翔宇大道国际商城</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1165-友谊桥</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1166-河下大桥亮化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1167-人民大桥亮化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1168-经十路富士小区对面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1169经十路汽车站北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1170经十路（纬四路口）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1171经十路北（纬二路口）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1172-水产大楼后面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1173-涧河南街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1174镇海西路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1175-老电大</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1176-闸口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关口路首创</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1178唐子巷大桥西堤</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1179-商业学校</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1180-康乐5弄</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1181-楚州大道中金陵名府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1182-楚州大道永怀路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1183-楚州大道国税局</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1184-楚州大道巺关</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1185-楚州大道中医院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1186-经五路（都市花园旁）</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1187-经五路（淮城医院对面）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1188-新城东长街（翔宇大道农行旁）</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1189公园路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河西大道</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山阳大道边寿民</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山阳大文善电子东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山阳大路双环齿轮</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山阳大路经二十一</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山阳大路经二十三</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藏军洞路文府家园北（首创）</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井神南首创</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海棠大道新区花园东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双语学校</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1200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建淮幸福路2号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1202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建淮交通八队</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1203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新世纪广场亮化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1204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经十八路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1205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学院路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1206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咏怀路树亮化东长街路口</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1207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永怀路市民广场</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1208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广州路西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1209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广州路东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纬三路（经十九--经二十）</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刘聆台镇淮公司南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甘露游园</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金夏学府游园</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支一路玉兰湾西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纪念馆西门</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西五路共创草坪东门</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南宝大道北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南宝大道南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经十八路南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藏军洞路淮中西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广州路支路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经十九中山阳大道西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经二十一</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罗桥小区三期西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开发区刘伶台(中通快递)</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开发区刘伶台（翔宇大道）</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开发区刘伶台（电梯厂）</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1304-汪廷珍北路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1305-经十九南赵倚楼</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1306西十路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1307-汪廷珍南路（苏食后面）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1308-镇海东路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经十四南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233省道6号箱北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233省道7号箱路西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233省道8号箱</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233省道9号箱</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233省道10号箱南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杜康桥路东233省道</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经十九北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经十九席桥</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杜康桥路干部学院北门</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3001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腾飞路1号箱南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3002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腾飞路2号箱</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3003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腾飞路3号箱北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3004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北环路1号箱东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3005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北环路2号箱西</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淮安府署亮化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漕运博物馆西亮化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漕运博物馆东亮化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漕运广场门头亮化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镇淮楼上亮化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镇淮楼游园亮化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吴承恩 故居亮化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吴承恩 故居集散中心亮化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吴承恩 故居东面亮化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2009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吴承恩 故居停车场亮化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状元府亮化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里运河亮化文旅办公室东</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里运河亮化（里运河文化馆）</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里运河亮化（爱乐乐团）</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龙光阁亮化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2015</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古城墙游园亮化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2016</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河下古镇亮化1号楼</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2017</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河下古镇亮化2号楼</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2018</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河下古镇亮化5号楼</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2019</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河下古镇亮化8号楼</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2020</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河下古镇亮化20号楼</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2021</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沈坤公园亮化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269</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2022</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里运河亮化乌沙船厂</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270</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2023</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区政府对面公园东南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2024</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区政府对面公园西北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东伍路</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铁云路北亮化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274</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铁云路南亮化</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275</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新路斗渠</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276</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县东街</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277</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文通巷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278</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26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备品、备件</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w:t>
            </w:r>
            <w:r/>
          </w:p>
        </w:tc>
      </w:tr>
    </w:tbl>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2、单灯控制器</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淮安区共有27套双路单灯控制器，分布于永怀路（北门大街至楚州大道），本次对27套单灯控制器进行改造更换。</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3、照明控制柜</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根据调研，淮安区共有78套照明控制柜柜体老旧、氧化、漏水，本次对78套进行整体更新，并配置2套作为备件，合计80套。具体位置及数量如下：</w:t>
      </w:r>
      <w:r/>
    </w:p>
    <w:tbl>
      <w:tblPr>
        <w:tblStyle w:val="775"/>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924"/>
        <w:gridCol w:w="1921"/>
        <w:gridCol w:w="5171"/>
        <w:gridCol w:w="910"/>
        <w:gridCol w:w="924"/>
      </w:tblGrid>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控制站点编号</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控制站点名称</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数量</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1007</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大237省道新长铁路桥南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1008</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大237省道江苏飞强包装厂前</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1009</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大237省道+纬七东路 津利来汽配门前</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1010</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大237省道灌溉总渠桥北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1011</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大237省道匝道</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1014</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1014-淮城镇城郊路</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1020</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1020-小S237/交警大队</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1021</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1021-小S237/中段</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1022-小S237/淮安食品物流中心大门右边</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1023</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1023-海棠大道公安局对面</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1024</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1024-海棠大道公司旁边</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1025</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1025-海棠大道/井源宾馆西</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1026</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1026-海棠大道铁云路东</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1030</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1030-纬四路/金榜凯旋城</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1031</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1031-纬七路/与经九路交叉口东南角</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1038</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1038-纬八路/圆通快递</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1039</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1039-纬八路/纺织厂十字路口</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1040</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1040-楚涟路/御景城小区对面</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1041</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1041-楚涟路/农贸市场</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1042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楚州大道南入口</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1052-农校南门</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1067</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1067-康马路南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1068</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1068-康马路/都市花园</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1074</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1074-纬二路/与经四路交叉口</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1075</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1075-纬二路/与楚州大道交叉口</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1076</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1076-纬二路/与沈坤路交叉口</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1077</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1077-承恩大道/苏垦连锁门口</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1078</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1078-承恩大道/涟水席桥边</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1081</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1081-韩信路公园</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1092-风光带/运河家园旁</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1093</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1093-风光带/最南端</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1094</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1094-风光带/新安西门</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1096</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1096-城西干道北（河下小区北）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34</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1105</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1105规划四路（东方雅居东）</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1106</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1106-关天培路（普金酒店对面）</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1107</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1107-梁红玉路南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37</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1108</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1108-纬八路（世纪佳缘东）</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38</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1112-经四路（淮城镇北）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39</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1121</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1121-兴文街（跨下桥）</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40</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1122-鱼市派出所</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1123</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1123-东长街与仓桥南巺</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1125</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1125张庄厕所旁</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43</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1128</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1128-西长街（运河小区）</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44</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1129</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1129-东长街南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45</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1130</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1130-西长街（兴文街西南)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46</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1135</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1135-金汤洗浴</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47</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1136</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1136-育才路（二中、打线巷）</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48</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1138</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38-文通巷（文通中学旁）</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49</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1139</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1139-夹城菜场</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50</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1140</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1140-上坂街（牌坊后）龙窝巷</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1141</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1141-驸马巷（K2景观）</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52</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国信大数据东</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53</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1143</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国信井神储气</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54</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1144</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海棠大道新区花园西</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55</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1145</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海棠大道收费站</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56</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1146</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1146-太清观街（交通局）</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57</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1149</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1149-估衣街（公厕旁）</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58</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1151</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1151-岳庙东街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59</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1152-县东街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60</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1165</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1165-友谊桥</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1166</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1166-河下大桥亮化</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62</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1167</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1167-人民大桥亮化</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63</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1172-水产大楼后面</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64</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1173</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1173-涧河南街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65</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1176</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1176-闸口</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66</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1179</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1179-商业学校</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67</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1180</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1180-康乐5弄</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68</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1181</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1181-楚州大道中金陵名府</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69</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1191</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山阳大道边寿民</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70</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山阳大文善电子东</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1193</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山阳大路双环齿轮</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1194</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山阳大路经二十一</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1195</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山阳大路经二十三</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74</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1302</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开发区刘伶台（翔宇大道）</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75</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1303</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开发区刘伶台（电梯厂）</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76</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1304</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1304-汪廷珍北路</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77</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县东街</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78</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文通巷</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312"/>
        </w:trPr>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79</w:t>
            </w:r>
            <w:r/>
          </w:p>
        </w:tc>
        <w:tc>
          <w:tcPr>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备品、备件</w:t>
            </w:r>
            <w:r/>
          </w:p>
        </w:tc>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r>
    </w:tbl>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4、智慧照明管理平台</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配套建设智慧照明管理子平台，平台至少包括：gis一张图、设备资产管理、遥控开关灯、用户权限管理、各类数据统计分析、电气安全监管等功能模块。</w:t>
      </w:r>
      <w:r/>
    </w:p>
    <w:p>
      <w:pPr>
        <w:pStyle w:val="768"/>
        <w:spacing w:before="20" w:after="20" w:line="3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6.2设备参数要求</w:t>
      </w:r>
      <w:r/>
    </w:p>
    <w:tbl>
      <w:tblPr>
        <w:tblStyle w:val="77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87"/>
        <w:gridCol w:w="2456"/>
        <w:gridCol w:w="5037"/>
        <w:gridCol w:w="786"/>
        <w:gridCol w:w="784"/>
      </w:tblGrid>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性能参数</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w:t>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集中控制器</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1、供电范围: 应能在AC 85V~265V、50Hz±2.5Hz范围正常工作；</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2、受控回路：</w:t>
            </w:r>
            <w:r>
              <w:rPr>
                <w:rFonts w:hint="eastAsia" w:ascii="仿宋" w:hAnsi="仿宋" w:eastAsia="仿宋" w:cs="仿宋"/>
                <w:sz w:val="28"/>
                <w:szCs w:val="28"/>
                <w:highlight w:val="none"/>
                <w:lang w:bidi="en-US"/>
              </w:rPr>
              <w:t xml:space="preserve">具备</w:t>
            </w:r>
            <w:r>
              <w:rPr>
                <w:rFonts w:ascii="仿宋" w:hAnsi="仿宋" w:eastAsia="仿宋" w:cs="仿宋"/>
                <w:sz w:val="28"/>
                <w:szCs w:val="28"/>
                <w:highlight w:val="none"/>
                <w:lang w:bidi="en-US"/>
              </w:rPr>
              <w:t xml:space="preserve">4</w:t>
            </w:r>
            <w:r>
              <w:rPr>
                <w:rFonts w:hint="eastAsia" w:ascii="仿宋" w:hAnsi="仿宋" w:eastAsia="仿宋" w:cs="仿宋"/>
                <w:sz w:val="28"/>
                <w:szCs w:val="28"/>
                <w:highlight w:val="none"/>
                <w:lang w:bidi="en-US"/>
              </w:rPr>
              <w:t xml:space="preserve">路独立开关量输入与</w:t>
            </w:r>
            <w:r>
              <w:rPr>
                <w:rFonts w:ascii="仿宋" w:hAnsi="仿宋" w:eastAsia="仿宋" w:cs="仿宋"/>
                <w:sz w:val="28"/>
                <w:szCs w:val="28"/>
                <w:highlight w:val="none"/>
                <w:lang w:bidi="en-US"/>
              </w:rPr>
              <w:t xml:space="preserve">4</w:t>
            </w:r>
            <w:r>
              <w:rPr>
                <w:rFonts w:hint="eastAsia" w:ascii="仿宋" w:hAnsi="仿宋" w:eastAsia="仿宋" w:cs="仿宋"/>
                <w:sz w:val="28"/>
                <w:szCs w:val="28"/>
                <w:highlight w:val="none"/>
                <w:lang w:bidi="en-US"/>
              </w:rPr>
              <w:t xml:space="preserve">路独立开关量输出,并支持快速扩展功能。</w:t>
            </w:r>
            <w:r>
              <w:rPr>
                <w:rFonts w:hint="eastAsia" w:ascii="仿宋" w:hAnsi="仿宋" w:eastAsia="仿宋" w:cs="仿宋"/>
                <w:sz w:val="28"/>
                <w:szCs w:val="28"/>
                <w:highlight w:val="none"/>
              </w:rPr>
              <w:t xml:space="preserve">具备按照预设场景模式和按位开关灯功能,可远程对路灯进行开关灯控制；具备多种开灯的场景模式，可分时段、分组开关灯支持全夜灯、半夜灯模式。</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3、可实时检测三相或单相的电压、电流、有功、无功、功率因素、能耗等电参数；</w:t>
            </w:r>
            <w:r/>
          </w:p>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4、设备具备</w:t>
            </w:r>
            <w:r>
              <w:rPr>
                <w:rFonts w:ascii="仿宋" w:hAnsi="仿宋" w:eastAsia="仿宋" w:cs="仿宋"/>
                <w:sz w:val="28"/>
                <w:szCs w:val="28"/>
                <w:highlight w:val="none"/>
              </w:rPr>
              <w:t xml:space="preserve">UPS</w:t>
            </w:r>
            <w:r>
              <w:rPr>
                <w:rFonts w:hint="eastAsia" w:ascii="仿宋" w:hAnsi="仿宋" w:eastAsia="仿宋" w:cs="仿宋"/>
                <w:sz w:val="28"/>
                <w:szCs w:val="28"/>
                <w:highlight w:val="none"/>
              </w:rPr>
              <w:t xml:space="preserve">后备电源，停电后可正常运行</w:t>
            </w:r>
            <w:r>
              <w:rPr>
                <w:rFonts w:ascii="仿宋" w:hAnsi="仿宋" w:eastAsia="仿宋" w:cs="仿宋"/>
                <w:sz w:val="28"/>
                <w:szCs w:val="28"/>
                <w:highlight w:val="none"/>
              </w:rPr>
              <w:t xml:space="preserve">12</w:t>
            </w:r>
            <w:r>
              <w:rPr>
                <w:rFonts w:hint="eastAsia" w:ascii="仿宋" w:hAnsi="仿宋" w:eastAsia="仿宋" w:cs="仿宋"/>
                <w:sz w:val="28"/>
                <w:szCs w:val="28"/>
                <w:highlight w:val="none"/>
              </w:rPr>
              <w:t xml:space="preserve">小时；</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5、静功率消耗：≤0.4W；</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6、最大功耗：≤6W；</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7、通讯端口：通过RS-485接口与电表对接可实现远程抄表功能；    </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8、显示：设备自带彩色显示屏,可实现设备运行参数显示功能；         </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9、手动按键：≥4键按键编程；              </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10、扩展功能：支持快速扩展控制回路功能；            </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11、扩展功能：支持快速扩展监测回路功能；</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12、远程方式：4G全网通无线网络；支持插卡式；支持sim卡号回传功能；</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13、具备远程升级功能，升级过程异常中断后系统软件仍能正常工作；</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14、支持GPS/北斗双重定位功能；</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300</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单灯控制器</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1、工作电压：应能在AC 85V~265V、50Hz±2.5Hz范围正常工作；</w:t>
            </w:r>
            <w:r/>
          </w:p>
          <w:p>
            <w:pP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2、电参数监测：可实时远程监测路灯的运行状态并记录和上传给路灯控制平台。包括：电压、电流、有功功率、无功功率、功率因素、开灯灯状态、信号强度、 </w:t>
            </w:r>
            <w:r>
              <w:rPr>
                <w:rFonts w:ascii="仿宋" w:hAnsi="仿宋" w:eastAsia="仿宋" w:cs="仿宋"/>
                <w:sz w:val="28"/>
                <w:szCs w:val="28"/>
                <w:highlight w:val="none"/>
              </w:rPr>
              <w:t xml:space="preserve">GIS</w:t>
            </w:r>
            <w:r>
              <w:rPr>
                <w:rFonts w:hint="eastAsia" w:ascii="仿宋" w:hAnsi="仿宋" w:eastAsia="仿宋" w:cs="仿宋"/>
                <w:sz w:val="28"/>
                <w:szCs w:val="28"/>
                <w:highlight w:val="none"/>
              </w:rPr>
              <w:t xml:space="preserve">坐标信息 、灯杆倾斜角度、运行时长、每小时能耗、每天能耗、总能耗等数据；</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3、具备自主故障检测功能，可主动上报重大故障；</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4、调光方式：支持 PWM 和 0V-10V 无极调光 ；</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5、运行指示：设备具备运行状态指示灯，具备电源、运行、网络状态、开关量及工作状态指示功能；</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6、调光范围：0‐100%；</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7、通信方式：4G全网通无线网络；支持sim卡号回传功能；</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8、工作环境温度：‐40℃ 到 +80℃ ；  </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9、储存环境温度： ‐45℃ 到 +85℃；  </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10、单灯控制器主要功能：</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内置1-</w:t>
            </w:r>
            <w:r>
              <w:rPr>
                <w:rFonts w:ascii="仿宋" w:hAnsi="仿宋" w:eastAsia="仿宋" w:cs="仿宋"/>
                <w:sz w:val="28"/>
                <w:szCs w:val="28"/>
                <w:highlight w:val="none"/>
              </w:rPr>
              <w:t xml:space="preserve">2</w:t>
            </w:r>
            <w:r>
              <w:rPr>
                <w:rFonts w:hint="eastAsia" w:ascii="仿宋" w:hAnsi="仿宋" w:eastAsia="仿宋" w:cs="仿宋"/>
                <w:sz w:val="28"/>
                <w:szCs w:val="28"/>
                <w:highlight w:val="none"/>
              </w:rPr>
              <w:t xml:space="preserve">路10A-16A大电流继电器，可支持1-2路路灯的开关控制；支持</w:t>
            </w:r>
            <w:r>
              <w:rPr>
                <w:rFonts w:ascii="仿宋" w:hAnsi="仿宋" w:eastAsia="仿宋" w:cs="仿宋"/>
                <w:sz w:val="28"/>
                <w:szCs w:val="28"/>
                <w:highlight w:val="none"/>
              </w:rPr>
              <w:t xml:space="preserve">1~2</w:t>
            </w:r>
            <w:r>
              <w:rPr>
                <w:rFonts w:hint="eastAsia" w:ascii="仿宋" w:hAnsi="仿宋" w:eastAsia="仿宋" w:cs="仿宋"/>
                <w:sz w:val="28"/>
                <w:szCs w:val="28"/>
                <w:highlight w:val="none"/>
              </w:rPr>
              <w:t xml:space="preserve">路灯杆灯头的无极调光，具有</w:t>
            </w:r>
            <w:r>
              <w:rPr>
                <w:rFonts w:ascii="仿宋" w:hAnsi="仿宋" w:eastAsia="仿宋" w:cs="仿宋"/>
                <w:sz w:val="28"/>
                <w:szCs w:val="28"/>
                <w:highlight w:val="none"/>
              </w:rPr>
              <w:t xml:space="preserve">0-10V</w:t>
            </w:r>
            <w:r>
              <w:rPr>
                <w:rFonts w:hint="eastAsia" w:ascii="仿宋" w:hAnsi="仿宋" w:eastAsia="仿宋" w:cs="仿宋"/>
                <w:sz w:val="28"/>
                <w:szCs w:val="28"/>
                <w:highlight w:val="none"/>
              </w:rPr>
              <w:t xml:space="preserve">及</w:t>
            </w:r>
            <w:r>
              <w:rPr>
                <w:rFonts w:ascii="仿宋" w:hAnsi="仿宋" w:eastAsia="仿宋" w:cs="仿宋"/>
                <w:sz w:val="28"/>
                <w:szCs w:val="28"/>
                <w:highlight w:val="none"/>
              </w:rPr>
              <w:t xml:space="preserve">PWM</w:t>
            </w:r>
            <w:r>
              <w:rPr>
                <w:rFonts w:hint="eastAsia" w:ascii="仿宋" w:hAnsi="仿宋" w:eastAsia="仿宋" w:cs="仿宋"/>
                <w:sz w:val="28"/>
                <w:szCs w:val="28"/>
                <w:highlight w:val="none"/>
              </w:rPr>
              <w:t xml:space="preserve">调光同时输出或</w:t>
            </w:r>
            <w:r>
              <w:rPr>
                <w:rFonts w:ascii="仿宋" w:hAnsi="仿宋" w:eastAsia="仿宋" w:cs="仿宋"/>
                <w:sz w:val="28"/>
                <w:szCs w:val="28"/>
                <w:highlight w:val="none"/>
              </w:rPr>
              <w:t xml:space="preserve">DALL</w:t>
            </w:r>
            <w:r>
              <w:rPr>
                <w:rFonts w:hint="eastAsia" w:ascii="仿宋" w:hAnsi="仿宋" w:eastAsia="仿宋" w:cs="仿宋"/>
                <w:sz w:val="28"/>
                <w:szCs w:val="28"/>
                <w:highlight w:val="none"/>
              </w:rPr>
              <w:t xml:space="preserve">数字调光输出。调光误差不超过</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rPr>
              <w:t xml:space="preserve">1%，调光响应时间&lt;1S；具有路灯灯头及灯杆线路的漏电流监测及保护功能、可监测灯杆与地线之间漏电压实现漏电压监测及保护功能；</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11、不低于IP68 防水等级。  </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照明控制柜</w:t>
            </w:r>
            <w:r/>
          </w:p>
        </w:tc>
        <w:tc>
          <w:tcPr>
            <w:tcBorders>
              <w:top w:val="single" w:color="000000" w:sz="4" w:space="0"/>
              <w:left w:val="single" w:color="000000" w:sz="4" w:space="0"/>
              <w:bottom w:val="single" w:color="000000" w:sz="4" w:space="0"/>
              <w:right w:val="single" w:color="000000" w:sz="4" w:space="0"/>
            </w:tcBorders>
            <w:tcW w:w="2623"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1、采用优质冷轧钢板、不锈钢。</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2、钢板厚度不小于1.5mm-2.0mm，应有足够的机械强度和刚度，确保不变形。</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3、柜体需经过除油、除锈、磷化、喷塑等处理，涂层厚度均匀，附着力强，耐腐蚀、抗紫外线。防护等级IP54及以上要求。</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4、额定工作电压：AC 380V / 220V，三相五线制。</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5、额定绝缘电压：≥500V。</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6、额定频率：≥50Hz。</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7、额定电流：根据路灯负载计算确定，并留有适当余量。</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8、工作温度范围：-25℃ ~ +55℃。</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9、规范的电气设计、优质元器件和完善的安全保护（接地、防雷、漏电保护）。</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80</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r>
      <w:tr>
        <w:trPr>
          <w:trHeight w:val="2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智慧照明管理平台</w:t>
            </w:r>
            <w:r/>
          </w:p>
        </w:tc>
        <w:tc>
          <w:tcPr>
            <w:shd w:val="clear" w:color="auto" w:fill="ffffff"/>
            <w:tcBorders>
              <w:top w:val="single" w:color="000000" w:sz="4" w:space="0"/>
              <w:left w:val="single" w:color="000000" w:sz="4" w:space="0"/>
              <w:bottom w:val="single" w:color="000000" w:sz="4" w:space="0"/>
              <w:right w:val="single" w:color="000000" w:sz="4" w:space="0"/>
            </w:tcBorders>
            <w:tcW w:w="2623"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1、系统架构：</w:t>
            </w:r>
            <w:r>
              <w:rPr>
                <w:rFonts w:hint="eastAsia" w:ascii="仿宋" w:hAnsi="仿宋" w:eastAsia="仿宋" w:cs="仿宋"/>
                <w:bCs/>
                <w:sz w:val="28"/>
                <w:szCs w:val="28"/>
                <w:highlight w:val="none"/>
              </w:rPr>
              <w:t xml:space="preserve">系统采用B/S结构（浏览器/服务器方式），无需客户端软件，通过浏览器就可直接接入，同时提供手机终端访问功能；系统采用模块化设计的思路，采用分布式可集群化的架构方式实现远程云平台控制；同时系统支持</w:t>
            </w:r>
            <w:r>
              <w:rPr>
                <w:rFonts w:ascii="仿宋" w:hAnsi="仿宋" w:eastAsia="仿宋" w:cs="仿宋"/>
                <w:bCs/>
                <w:sz w:val="28"/>
                <w:szCs w:val="28"/>
                <w:highlight w:val="none"/>
              </w:rPr>
              <w:t xml:space="preserve">SDK</w:t>
            </w:r>
            <w:r>
              <w:rPr>
                <w:rFonts w:hint="eastAsia" w:ascii="仿宋" w:hAnsi="仿宋" w:eastAsia="仿宋" w:cs="仿宋"/>
                <w:bCs/>
                <w:sz w:val="28"/>
                <w:szCs w:val="28"/>
                <w:highlight w:val="none"/>
              </w:rPr>
              <w:t xml:space="preserve">包、</w:t>
            </w:r>
            <w:r>
              <w:rPr>
                <w:rFonts w:ascii="仿宋" w:hAnsi="仿宋" w:eastAsia="仿宋" w:cs="仿宋"/>
                <w:bCs/>
                <w:sz w:val="28"/>
                <w:szCs w:val="28"/>
                <w:highlight w:val="none"/>
              </w:rPr>
              <w:t xml:space="preserve">API</w:t>
            </w:r>
            <w:r>
              <w:rPr>
                <w:rFonts w:hint="eastAsia" w:ascii="仿宋" w:hAnsi="仿宋" w:eastAsia="仿宋" w:cs="仿宋"/>
                <w:bCs/>
                <w:sz w:val="28"/>
                <w:szCs w:val="28"/>
                <w:highlight w:val="none"/>
              </w:rPr>
              <w:t xml:space="preserve">接口等多种接口，软件管理平台和监控终端的通信接口协议标准化，具有开放性，即可兼容其他照明平台，也可以接入上级智慧城市平台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br/>
            </w:r>
            <w:r>
              <w:rPr>
                <w:rFonts w:hint="eastAsia" w:ascii="仿宋" w:hAnsi="仿宋" w:eastAsia="仿宋" w:cs="仿宋"/>
                <w:sz w:val="28"/>
                <w:szCs w:val="28"/>
                <w:highlight w:val="none"/>
              </w:rPr>
              <w:t xml:space="preserve">2、智慧照明管理</w:t>
            </w:r>
            <w:r>
              <w:rPr>
                <w:rFonts w:hint="eastAsia" w:ascii="仿宋" w:hAnsi="仿宋" w:eastAsia="仿宋" w:cs="仿宋"/>
                <w:sz w:val="28"/>
                <w:szCs w:val="28"/>
                <w:highlight w:val="none"/>
              </w:rPr>
              <w:br/>
            </w:r>
            <w:r>
              <w:rPr>
                <w:rFonts w:hint="eastAsia" w:ascii="仿宋" w:hAnsi="仿宋" w:eastAsia="仿宋" w:cs="仿宋"/>
                <w:sz w:val="28"/>
                <w:szCs w:val="28"/>
                <w:highlight w:val="none"/>
              </w:rPr>
              <w:t xml:space="preserve">对</w:t>
            </w:r>
            <w:r>
              <w:rPr>
                <w:rFonts w:ascii="仿宋" w:hAnsi="仿宋" w:eastAsia="仿宋" w:cs="仿宋"/>
                <w:bCs/>
                <w:sz w:val="28"/>
                <w:szCs w:val="28"/>
                <w:highlight w:val="none"/>
              </w:rPr>
              <w:t xml:space="preserve">终端开关灯与单灯调光控制：可实现按配电柜、按回路、按单灯开关灯和调光，即可单控也可组控和群控</w:t>
            </w:r>
            <w:r>
              <w:rPr>
                <w:rFonts w:hint="eastAsia" w:ascii="仿宋" w:hAnsi="仿宋" w:eastAsia="仿宋" w:cs="仿宋"/>
                <w:bCs/>
                <w:sz w:val="28"/>
                <w:szCs w:val="28"/>
                <w:highlight w:val="none"/>
              </w:rPr>
              <w:t xml:space="preserve">；</w:t>
            </w:r>
            <w:r>
              <w:rPr>
                <w:rFonts w:ascii="仿宋" w:hAnsi="仿宋" w:eastAsia="仿宋" w:cs="仿宋"/>
                <w:bCs/>
                <w:sz w:val="28"/>
                <w:szCs w:val="28"/>
                <w:highlight w:val="none"/>
              </w:rPr>
              <w:t xml:space="preserve">可进行定时巡测也可随时手动巡测，可查询当前光照度、配电柜和回路的信息包括：电压、电流、功率因素、功率、温度、总能耗和开关灯状态，信号强度</w:t>
            </w:r>
            <w:r>
              <w:rPr>
                <w:rFonts w:hint="eastAsia" w:ascii="仿宋" w:hAnsi="仿宋" w:eastAsia="仿宋" w:cs="仿宋"/>
                <w:bCs/>
                <w:sz w:val="28"/>
                <w:szCs w:val="28"/>
                <w:highlight w:val="none"/>
              </w:rPr>
              <w:t xml:space="preserve">；</w:t>
            </w:r>
            <w:r>
              <w:rPr>
                <w:rFonts w:ascii="仿宋" w:hAnsi="仿宋" w:eastAsia="仿宋" w:cs="仿宋"/>
                <w:bCs/>
                <w:sz w:val="28"/>
                <w:szCs w:val="28"/>
                <w:highlight w:val="none"/>
              </w:rPr>
              <w:t xml:space="preserve">系统可查询任意回路和单灯开关状态、告警状态、通信和控制设备的在线和离线状态等</w:t>
            </w:r>
            <w:r>
              <w:rPr>
                <w:rFonts w:hint="eastAsia" w:ascii="仿宋" w:hAnsi="仿宋" w:eastAsia="仿宋" w:cs="仿宋"/>
                <w:bCs/>
                <w:sz w:val="28"/>
                <w:szCs w:val="28"/>
                <w:highlight w:val="none"/>
              </w:rPr>
              <w:t xml:space="preserve">；</w:t>
            </w:r>
            <w:r>
              <w:rPr>
                <w:rFonts w:ascii="仿宋" w:hAnsi="仿宋" w:eastAsia="仿宋" w:cs="仿宋"/>
                <w:bCs/>
                <w:sz w:val="28"/>
                <w:szCs w:val="28"/>
                <w:highlight w:val="none"/>
              </w:rPr>
              <w:t xml:space="preserve">城市照明监控设备（照明监控终端、单灯控制器、照度检测器、摄像头等）统一落图显示在照明监控系统的地图中，并支持以2D/3D方式显示</w:t>
            </w:r>
            <w:r>
              <w:rPr>
                <w:rFonts w:hint="eastAsia" w:ascii="仿宋" w:hAnsi="仿宋" w:eastAsia="仿宋" w:cs="仿宋"/>
                <w:bCs/>
                <w:sz w:val="28"/>
                <w:szCs w:val="28"/>
                <w:highlight w:val="none"/>
              </w:rPr>
              <w:t xml:space="preserve">；</w:t>
            </w:r>
            <w:r>
              <w:rPr>
                <w:rFonts w:ascii="仿宋" w:hAnsi="仿宋" w:eastAsia="仿宋" w:cs="仿宋"/>
                <w:bCs/>
                <w:sz w:val="28"/>
                <w:szCs w:val="28"/>
                <w:highlight w:val="none"/>
              </w:rPr>
              <w:t xml:space="preserve">可显示当前照度、计划开关灯时间、可按照路段、分组、配电柜、回路数展示所属设备并能在页面内添加、修改、删除设备。</w:t>
            </w:r>
            <w:r>
              <w:rPr>
                <w:rFonts w:hint="eastAsia" w:ascii="仿宋" w:hAnsi="仿宋" w:eastAsia="仿宋" w:cs="仿宋"/>
                <w:sz w:val="28"/>
                <w:szCs w:val="28"/>
                <w:highlight w:val="none"/>
              </w:rPr>
              <w:br/>
            </w:r>
            <w:r>
              <w:rPr>
                <w:rFonts w:hint="eastAsia" w:ascii="仿宋" w:hAnsi="仿宋" w:eastAsia="仿宋" w:cs="仿宋"/>
                <w:sz w:val="28"/>
                <w:szCs w:val="28"/>
                <w:highlight w:val="none"/>
              </w:rPr>
              <w:t xml:space="preserve">3、路灯设施资产管理：</w:t>
            </w:r>
            <w:r>
              <w:rPr>
                <w:rFonts w:hint="eastAsia" w:ascii="仿宋" w:hAnsi="仿宋" w:eastAsia="仿宋" w:cs="仿宋"/>
                <w:bCs/>
                <w:sz w:val="28"/>
                <w:szCs w:val="28"/>
                <w:highlight w:val="none"/>
                <w:lang w:bidi="en-US"/>
              </w:rPr>
              <w:t xml:space="preserve">资产库支持将城市照明资产录入到平台中，录入的资产信息可按列表和地图的形式在平台软件中展示，列表和地图模式可相互跳转；平台中资产数据分为动资产和静资产，动资产在资产管理系统中与照明监控的实时数据联动；静资产主要通过平台赋予的资产属性展示资产的相关信息。包括：设备材质、生产厂家、新建日期、使用年限等，资产属性用户可自定义；可通过录入的点资产生成路灯线资产，展示路灯线缆、管线等线路信息；支持资产的增加、修改、删除、设备迁移等功能，并对资产生成唯一数据标识，支持路灯资产标识牌生成功能。</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r>
    </w:tbl>
    <w:p>
      <w:pPr>
        <w:rPr>
          <w:rFonts w:hint="eastAsia"/>
          <w:highlight w:val="none"/>
        </w:rPr>
      </w:pPr>
      <w:r>
        <w:rPr>
          <w:rFonts w:hint="eastAsia"/>
          <w:highlight w:val="none"/>
        </w:rPr>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6.3设备安装要求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1、安装前应进行现场确认，对不满足安装条件的监测点位应基于监测需求选择替代点位并经采购人确认。</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2、在线监测设备安装的位置应避开振动、高温、温度变化剧烈、易受机械损伤、有强电磁场干扰的位置。</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3、设备安装时应按设计文件要求核对位号、型号、规格、材质和附件。</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4、在线监测设备安装过程中应避免敲击、振动。安装应牢固、平正。安装支架应受力均匀，不应承受非正常的外力，不应影响相关设施的正常安全运行。</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5、中标人采购的软、硬件设备必须保证与淮安区照明路灯完美适配。</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6、中标人承担智慧监测（照明）设备实施过程中的运输、安装、修复、辅材、调试、五年通讯、五年质保等费用。</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6.4设备调试及测量要求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中标人应严格按照时间节点保证标准化的安装、调试和联网接入。在所有设备安装调试完成后，中标人应组织人力对设备进行全面的联网调试，使设备能够达到接入系统并稳定运行的目标。</w:t>
      </w:r>
      <w:r/>
    </w:p>
    <w:p>
      <w:pPr>
        <w:pStyle w:val="767"/>
        <w:numPr>
          <w:ilvl w:val="0"/>
          <w:numId w:val="7"/>
        </w:numPr>
        <w:ind w:left="560" w:hanging="560"/>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智慧监测（井盖）服务技术要求</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7.1布点位置及设备数量</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合淮安区实际管理需求，对区政府/医院周边、永怀路（纪念馆）、翔宇大道、北门大街，4处路段预计100套井盖设施进行升级改造，主要监测项：倾斜、丢失、浸水告警等，配套建设智慧井盖管理子平台。具体点位由采购人最终明确。</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7.2设备参数要求</w:t>
      </w:r>
      <w:r/>
    </w:p>
    <w:tbl>
      <w:tblPr>
        <w:tblStyle w:val="775"/>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868"/>
        <w:gridCol w:w="1352"/>
        <w:gridCol w:w="6125"/>
        <w:gridCol w:w="745"/>
        <w:gridCol w:w="760"/>
      </w:tblGrid>
      <w:tr>
        <w:trPr>
          <w:trHeight w:val="422"/>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性能参数</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w:t>
            </w:r>
            <w:r/>
          </w:p>
        </w:tc>
      </w:tr>
      <w:tr>
        <w:trPr>
          <w:trHeight w:val="23"/>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智慧井盖</w:t>
            </w:r>
            <w:r/>
          </w:p>
        </w:tc>
        <w:tc>
          <w:tcPr>
            <w:shd w:val="clear" w:color="auto" w:fill="ffffff"/>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1、井盖智能终端支持连接国内运营商的NB网络；</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、平均待机功耗 ≤12uA，最大功耗&lt;100mW，支持远程OTA升级；</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、异动报警：1°-180°可调节，防丢失：BD+GLNS+GPS+基站定位，定位精度：2m，接触式浸水告警</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、供电方式：提供多种不同供电电量选择，最大电量支持12000mAH；</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、井盖智能终端支持井盖状态、终端运行状态、联网状态、电池状态的异常检测，检测到异常时可输出故障提示信息；</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、监测数据可定时上报NB平台，定时间隔可设置，范围在1分钟到48小时；</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、井盖智能终端应具备浸水检测，设备处于浸水环境中时，可实时上传溢水信息；</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、结合平台应用时，设备应具有参数可配置功能，如定时上报间隔、井盖报警角度、其他报警阀值等；</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、井盖智能终端应具备运行状态定时上报功能，如设备布防状态、电量、信号强度、电压强度等；</w:t>
            </w:r>
            <w:r/>
          </w:p>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0</w:t>
            </w:r>
            <w:r>
              <w:rPr>
                <w:rFonts w:hint="eastAsia" w:ascii="仿宋" w:hAnsi="仿宋" w:eastAsia="仿宋" w:cs="仿宋"/>
                <w:sz w:val="28"/>
                <w:szCs w:val="28"/>
                <w:highlight w:val="none"/>
              </w:rPr>
              <w:t xml:space="preserve">、井盖智能终端防护等级应满足《外壳防护等级（IP代码）》（GB/T 4208-2017）中IP68要求，工作温度：-20 ~ +70℃。</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w:t>
            </w:r>
            <w:r/>
          </w:p>
        </w:tc>
      </w:tr>
      <w:tr>
        <w:trPr>
          <w:trHeight w:val="23"/>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智慧井盖管理子平台</w:t>
            </w:r>
            <w:r/>
          </w:p>
        </w:tc>
        <w:tc>
          <w:tcPr>
            <w:shd w:val="clear" w:color="auto" w:fill="ffffff"/>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1、井盖资产管理。对井盖的基本信息进行管理，包括井盖编号、经纬度、所在道路、标志物图片等；</w:t>
            </w:r>
            <w:r>
              <w:rPr>
                <w:rFonts w:hint="eastAsia" w:ascii="仿宋" w:hAnsi="仿宋" w:eastAsia="仿宋" w:cs="仿宋"/>
                <w:sz w:val="28"/>
                <w:szCs w:val="28"/>
                <w:highlight w:val="none"/>
              </w:rPr>
              <w:br/>
            </w:r>
            <w:r>
              <w:rPr>
                <w:rFonts w:hint="eastAsia" w:ascii="仿宋" w:hAnsi="仿宋" w:eastAsia="仿宋" w:cs="仿宋"/>
                <w:sz w:val="28"/>
                <w:szCs w:val="28"/>
                <w:highlight w:val="none"/>
              </w:rPr>
              <w:t xml:space="preserve">2、状态异常告警。当井盖状态异常，根据预先设定报警规则，平台和app端会发出告警，也可以结合短信网关，采用短信方式告警；</w:t>
            </w:r>
            <w:r>
              <w:rPr>
                <w:rFonts w:hint="eastAsia" w:ascii="仿宋" w:hAnsi="仿宋" w:eastAsia="仿宋" w:cs="仿宋"/>
                <w:sz w:val="28"/>
                <w:szCs w:val="28"/>
                <w:highlight w:val="none"/>
              </w:rPr>
              <w:br/>
            </w:r>
            <w:r>
              <w:rPr>
                <w:rFonts w:hint="eastAsia" w:ascii="仿宋" w:hAnsi="仿宋" w:eastAsia="仿宋" w:cs="仿宋"/>
                <w:sz w:val="28"/>
                <w:szCs w:val="28"/>
                <w:highlight w:val="none"/>
              </w:rPr>
              <w:t xml:space="preserve">3、工单管理。每当井盖按照设定的报警规则告警，后台自动生成工单，自动派发给负责维护的工程人员；</w:t>
            </w:r>
            <w:r>
              <w:rPr>
                <w:rFonts w:hint="eastAsia" w:ascii="仿宋" w:hAnsi="仿宋" w:eastAsia="仿宋" w:cs="仿宋"/>
                <w:sz w:val="28"/>
                <w:szCs w:val="28"/>
                <w:highlight w:val="none"/>
              </w:rPr>
              <w:br/>
            </w:r>
            <w:r>
              <w:rPr>
                <w:rFonts w:hint="eastAsia" w:ascii="仿宋" w:hAnsi="仿宋" w:eastAsia="仿宋" w:cs="仿宋"/>
                <w:sz w:val="28"/>
                <w:szCs w:val="28"/>
                <w:highlight w:val="none"/>
              </w:rPr>
              <w:t xml:space="preserve">4、数据分析。通过对系统中大量的数据进行深度挖掘，从不同角度、不同维度、不同需要等对各种数据进行重组、汇总及对比分析，挖掘出更有利于提升市政管理水平和效率的有价值数据；</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r>
      <w:tr>
        <w:trPr>
          <w:trHeight w:val="660"/>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通信租赁</w:t>
            </w:r>
            <w:r/>
          </w:p>
        </w:tc>
        <w:tc>
          <w:tcPr>
            <w:tcBorders>
              <w:top w:val="single" w:color="000000" w:sz="4" w:space="0"/>
              <w:left w:val="single" w:color="000000" w:sz="4" w:space="0"/>
              <w:bottom w:val="single" w:color="000000" w:sz="4" w:space="0"/>
              <w:right w:val="single" w:color="000000" w:sz="4" w:space="0"/>
            </w:tcBorders>
            <w:tcW w:w="3107" w:type="pct"/>
            <w:vAlign w:val="center"/>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流量卡，租赁5年，共100处</w:t>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处</w:t>
            </w:r>
            <w:r/>
          </w:p>
        </w:tc>
        <w:tc>
          <w:tcPr>
            <w:tcBorders>
              <w:top w:val="single" w:color="000000" w:sz="4" w:space="0"/>
              <w:left w:val="single" w:color="000000" w:sz="4" w:space="0"/>
              <w:bottom w:val="single" w:color="000000" w:sz="4" w:space="0"/>
              <w:right w:val="single" w:color="000000" w:sz="4" w:space="0"/>
            </w:tcBorders>
            <w:tcW w:w="386" w:type="pct"/>
            <w:vAlign w:val="bottom"/>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100</w:t>
            </w:r>
            <w:r/>
          </w:p>
        </w:tc>
      </w:tr>
    </w:tbl>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7.3设备安装要求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1、安装前应进行现场确认，对不满足安装条件的监测点位应基于监测需求选择替代点位并经采购人确认。</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2、在线监测设备安装的位置应避开振动、高温、温度变化剧烈、易受机械损伤、有强电磁场干扰的位置。</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3、设备安装时应按设计文件要求核对位号、型号、规格、材质和附件。</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4、在线监测设备安装过程中应避免敲击、振动。安装应牢固、平正。安装支架应受力均匀，不应承受非正常的外力，不应影响相关设施的正常安全运行。</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5、中标人承担智慧监测（井盖）设备实施过程中的运输、安装、修复、辅材、调试、五年通讯、五年质保等费用。</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7.4设备调试及测量要求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中标人应严格按照时间节点保证标准化的安装、调试和联网接入。在所有设备安装调试完成后，中标人应组织人力对设备进行全面的联网调试，使设备能够达到接入系统并稳定运行的目标。</w:t>
      </w:r>
      <w:r/>
    </w:p>
    <w:p>
      <w:pPr>
        <w:pStyle w:val="767"/>
        <w:numPr>
          <w:ilvl w:val="0"/>
          <w:numId w:val="7"/>
        </w:numPr>
        <w:ind w:left="560" w:hanging="560"/>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市政设施智能巡检服务技术要求</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8.1布点位置及设备数量</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结合淮安区实际管理需求，采购8套市政设施巡检无人机设备。</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8.2设备参数要求</w:t>
      </w:r>
      <w:r/>
    </w:p>
    <w:tbl>
      <w:tblPr>
        <w:tblStyle w:val="775"/>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952"/>
        <w:gridCol w:w="2193"/>
        <w:gridCol w:w="5071"/>
        <w:gridCol w:w="818"/>
        <w:gridCol w:w="816"/>
      </w:tblGrid>
      <w:tr>
        <w:trPr>
          <w:trHeight w:val="580"/>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2572" w:type="pct"/>
            <w:vAlign w:val="center"/>
            <w:textDirection w:val="lrTb"/>
            <w:noWrap w:val="false"/>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性能参数</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spacing w:line="36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bidi="ar"/>
              </w:rPr>
              <w:t xml:space="preserve">单位</w:t>
            </w:r>
            <w:r/>
          </w:p>
        </w:tc>
      </w:tr>
      <w:tr>
        <w:trPr>
          <w:trHeight w:val="435"/>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1112"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市政巡检无人机</w:t>
            </w:r>
            <w:r/>
          </w:p>
        </w:tc>
        <w:tc>
          <w:tcPr>
            <w:shd w:val="clear" w:color="auto" w:fill="ffffff"/>
            <w:tcBorders>
              <w:top w:val="single" w:color="000000" w:sz="4" w:space="0"/>
              <w:left w:val="single" w:color="000000" w:sz="4" w:space="0"/>
              <w:bottom w:val="single" w:color="000000" w:sz="4" w:space="0"/>
              <w:right w:val="single" w:color="000000" w:sz="4" w:space="0"/>
            </w:tcBorders>
            <w:tcW w:w="2572" w:type="pct"/>
            <w:vAlign w:val="center"/>
            <w:textDirection w:val="lrTb"/>
            <w:noWrap w:val="false"/>
          </w:tcPr>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一、飞行器</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1.起飞重量：≤1250 g</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2.最大起飞重量：≤1450 g</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.对角线轴距：≤440 mm</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.最大信号有效距离（无干扰、无遮挡）：≥25km；</w:t>
            </w:r>
            <w:r>
              <w:rPr>
                <w:rFonts w:hint="eastAsia" w:ascii="仿宋" w:hAnsi="仿宋" w:eastAsia="仿宋" w:cs="仿宋"/>
                <w:sz w:val="28"/>
                <w:szCs w:val="28"/>
                <w:highlight w:val="none"/>
              </w:rPr>
              <w:t xml:space="preserve"> </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.最大可抗风速：≥12m/s</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.全向感知系统：飞行器的前、后、左、右、上均具备双目视觉避障传感器，下方具备三维红外传感器，能够在探测到障碍物时在App上进行提醒，并自动减速刹车或绕行</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.RTK定位悬停精度：垂直≤0.1 m，水平≤0.1 m</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.最大上升速度：≥10 m/s</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.最大下降速度：≥8 m/s </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.最大水平飞行速度：≥18m/s</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.最大飞行海拔高度：≥6000 米</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.图传加密：为保证数据安全，图传链路需通过AES-256技术进行加密，图传支持多频段，具备抗干扰能力</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.低电量自动返航：具备低电量自动返航功能</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.信号丢失自动返航：具备信号丢失自动返航功能</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二、云台相机</w:t>
            </w:r>
            <w:r/>
          </w:p>
          <w:p>
            <w:pPr>
              <w:jc w:val="left"/>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.相机类型：具有长焦可见光、中长焦可见光、广角可见光和红外热成像相机</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16</w:t>
            </w:r>
            <w:r>
              <w:rPr>
                <w:rFonts w:hint="eastAsia" w:ascii="仿宋" w:hAnsi="仿宋" w:eastAsia="仿宋" w:cs="仿宋"/>
                <w:color w:val="000000"/>
                <w:sz w:val="28"/>
                <w:szCs w:val="28"/>
                <w:highlight w:val="none"/>
              </w:rPr>
              <w:t xml:space="preserve">.广角相机CMOS：1/1.3英寸</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17</w:t>
            </w:r>
            <w:r>
              <w:rPr>
                <w:rFonts w:hint="eastAsia" w:ascii="仿宋" w:hAnsi="仿宋" w:eastAsia="仿宋" w:cs="仿宋"/>
                <w:color w:val="000000"/>
                <w:sz w:val="28"/>
                <w:szCs w:val="28"/>
                <w:highlight w:val="none"/>
              </w:rPr>
              <w:t xml:space="preserve">.广角相机像素：具备广角相机，有效像素不低于4800万</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18</w:t>
            </w:r>
            <w:r>
              <w:rPr>
                <w:rFonts w:hint="eastAsia" w:ascii="仿宋" w:hAnsi="仿宋" w:eastAsia="仿宋" w:cs="仿宋"/>
                <w:color w:val="000000"/>
                <w:sz w:val="28"/>
                <w:szCs w:val="28"/>
                <w:highlight w:val="none"/>
              </w:rPr>
              <w:t xml:space="preserve">.中长焦相机CMOS：具备中长焦相机，相机CMOS不低于1/1.3英寸</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rPr>
              <w:t xml:space="preserve">.中长焦相机像素：像素数不低于4800万</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.长焦相机CMOS：具备长焦相机，相机CMOS不低于1/1.5英寸</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.长焦相机像素：像素数不低于4800万</w:t>
            </w:r>
            <w:r/>
          </w:p>
          <w:p>
            <w:pPr>
              <w:jc w:val="left"/>
              <w:spacing w:line="3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.红外热成像测温方式：支持点测温和区域测温</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套</w:t>
            </w:r>
            <w:r/>
          </w:p>
        </w:tc>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p>
        </w:tc>
      </w:tr>
    </w:tbl>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8.3设备安装要求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1、设备服务期应按设计文件要求核对位号、型号、规格、材质和附件。</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2、市政巡检无人机需配套电池、遥控器、充电器、喊话器、探照灯等设备。</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3、配合完成每套一人的无人机飞行执照服务，合计8套。</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4、中标人承担市政巡检无人机采购过程中的运输、安装、修复、辅材，且满足五年质保等费用。</w:t>
      </w:r>
      <w:r/>
    </w:p>
    <w:p>
      <w:pPr>
        <w:pStyle w:val="768"/>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8.4设备调试及测量要求</w:t>
      </w:r>
      <w:r/>
    </w:p>
    <w:p>
      <w:pPr>
        <w:ind w:firstLine="560"/>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中标人应严格按照时间节点保证标准化的安装、调试，在所有设备安装调试完成并稳定运行后再移交至采购人。</w:t>
      </w:r>
      <w:r/>
    </w:p>
    <w:p>
      <w:pPr>
        <w:pStyle w:val="767"/>
        <w:numPr>
          <w:ilvl w:val="0"/>
          <w:numId w:val="7"/>
        </w:numPr>
        <w:ind w:left="560" w:hanging="560"/>
        <w:spacing w:before="20" w:after="20"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拟投入服务人员要求</w:t>
      </w:r>
      <w:r/>
    </w:p>
    <w:tbl>
      <w:tblPr>
        <w:tblStyle w:val="775"/>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3260"/>
        <w:gridCol w:w="4536"/>
        <w:gridCol w:w="957"/>
      </w:tblGrid>
      <w:tr>
        <w:trPr/>
        <w:tc>
          <w:tcPr>
            <w:tcW w:w="851"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3260"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服务内容</w:t>
            </w:r>
            <w:r/>
          </w:p>
        </w:tc>
        <w:tc>
          <w:tcPr>
            <w:tcW w:w="4536"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人员要求</w:t>
            </w:r>
            <w:r/>
          </w:p>
        </w:tc>
        <w:tc>
          <w:tcPr>
            <w:tcW w:w="957"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c>
          <w:tcPr>
            <w:tcW w:w="851"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p>
        </w:tc>
        <w:tc>
          <w:tcPr>
            <w:tcW w:w="3260"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整体项目</w:t>
            </w:r>
            <w:r/>
          </w:p>
        </w:tc>
        <w:tc>
          <w:tcPr>
            <w:tcW w:w="4536"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项目负责人1人</w:t>
            </w:r>
            <w:r/>
          </w:p>
        </w:tc>
        <w:tc>
          <w:tcPr>
            <w:tcW w:w="957"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c>
          <w:tcPr>
            <w:tcW w:w="851"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p>
        </w:tc>
        <w:tc>
          <w:tcPr>
            <w:tcW w:w="3260"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数据汇聚治理</w:t>
            </w:r>
            <w:r/>
          </w:p>
        </w:tc>
        <w:tc>
          <w:tcPr>
            <w:tcW w:w="4536"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软件工程师4人</w:t>
            </w:r>
            <w:r/>
          </w:p>
        </w:tc>
        <w:tc>
          <w:tcPr>
            <w:tcW w:w="957"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c>
          <w:tcPr>
            <w:tcW w:w="851"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p>
        </w:tc>
        <w:tc>
          <w:tcPr>
            <w:tcW w:w="3260"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道路塌陷检测</w:t>
            </w:r>
            <w:r/>
          </w:p>
        </w:tc>
        <w:tc>
          <w:tcPr>
            <w:tcW w:w="4536"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技术负责人1人，技术人员3人</w:t>
            </w:r>
            <w:r/>
          </w:p>
        </w:tc>
        <w:tc>
          <w:tcPr>
            <w:tcW w:w="957"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c>
          <w:tcPr>
            <w:tcW w:w="851"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p>
        </w:tc>
        <w:tc>
          <w:tcPr>
            <w:tcW w:w="3260"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智慧监测(桥梁)服务</w:t>
            </w:r>
            <w:r/>
          </w:p>
        </w:tc>
        <w:tc>
          <w:tcPr>
            <w:tcW w:w="4536"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技术负责人1人，技术人员3人</w:t>
            </w:r>
            <w:r/>
          </w:p>
        </w:tc>
        <w:tc>
          <w:tcPr>
            <w:tcW w:w="957"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c>
          <w:tcPr>
            <w:tcW w:w="851"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p>
        </w:tc>
        <w:tc>
          <w:tcPr>
            <w:tcW w:w="3260"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智慧监测(照明)服务</w:t>
            </w:r>
            <w:r/>
          </w:p>
        </w:tc>
        <w:tc>
          <w:tcPr>
            <w:tcW w:w="4536"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技术负责人1人，技术人员3人</w:t>
            </w:r>
            <w:r/>
          </w:p>
        </w:tc>
        <w:tc>
          <w:tcPr>
            <w:tcW w:w="957"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c>
          <w:tcPr>
            <w:tcW w:w="851"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p>
        </w:tc>
        <w:tc>
          <w:tcPr>
            <w:tcW w:w="3260"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智慧监测(井盖)服务</w:t>
            </w:r>
            <w:r/>
          </w:p>
        </w:tc>
        <w:tc>
          <w:tcPr>
            <w:tcW w:w="4536"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技术负责人1人，技术人员3人</w:t>
            </w:r>
            <w:r/>
          </w:p>
        </w:tc>
        <w:tc>
          <w:tcPr>
            <w:tcW w:w="957"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c>
          <w:tcPr>
            <w:tcW w:w="851"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p>
        </w:tc>
        <w:tc>
          <w:tcPr>
            <w:tcW w:w="3260"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市政设施智能巡检服务</w:t>
            </w:r>
            <w:r/>
          </w:p>
        </w:tc>
        <w:tc>
          <w:tcPr>
            <w:tcW w:w="4536"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技术负责人1人，技术人员3人</w:t>
            </w:r>
            <w:r/>
          </w:p>
        </w:tc>
        <w:tc>
          <w:tcPr>
            <w:tcW w:w="957"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c>
          <w:tcPr>
            <w:tcW w:w="851"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w:t>
            </w:r>
            <w:r/>
          </w:p>
        </w:tc>
        <w:tc>
          <w:tcPr>
            <w:tcW w:w="3260"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现场安全</w:t>
            </w:r>
            <w:r/>
          </w:p>
        </w:tc>
        <w:tc>
          <w:tcPr>
            <w:tcW w:w="4536"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安全员1人</w:t>
            </w:r>
            <w:r/>
          </w:p>
        </w:tc>
        <w:tc>
          <w:tcPr>
            <w:tcW w:w="957" w:type="dxa"/>
            <w:textDirection w:val="lrTb"/>
            <w:noWrap w:val="false"/>
          </w:tcPr>
          <w:p>
            <w:pPr>
              <w:jc w:val="left"/>
              <w:spacing w:line="3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rPr>
          <w:highlight w:val="none"/>
        </w:rPr>
      </w:pPr>
      <w:r>
        <w:rPr>
          <w:highlight w:val="none"/>
        </w:rPr>
      </w:r>
      <w:r/>
    </w:p>
    <w:p>
      <w:pPr>
        <w:pStyle w:val="766"/>
        <w:ind w:firstLine="560"/>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五、服务期：自合同签订起1年，服务质保期：5年。</w:t>
      </w:r>
      <w:r/>
    </w:p>
    <w:p>
      <w:pPr>
        <w:pStyle w:val="766"/>
        <w:ind w:firstLine="560"/>
        <w:spacing w:before="0" w:after="0" w:line="360" w:lineRule="auto"/>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pStyle w:val="766"/>
        <w:ind w:firstLine="280"/>
        <w:spacing w:before="0" w:after="0" w:line="360" w:lineRule="auto"/>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pStyle w:val="766"/>
        <w:ind w:firstLine="280"/>
        <w:spacing w:before="0" w:after="0" w:line="360" w:lineRule="auto"/>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pStyle w:val="1053"/>
        <w:numPr>
          <w:ilvl w:val="0"/>
          <w:numId w:val="0"/>
        </w:numPr>
        <w:jc w:val="center"/>
        <w:spacing w:line="240" w:lineRule="auto"/>
        <w:tabs>
          <w:tab w:val="left" w:pos="2629" w:leader="none"/>
        </w:tabs>
        <w:rPr>
          <w:rFonts w:hint="eastAsia" w:ascii="仿宋" w:hAnsi="仿宋" w:eastAsia="仿宋" w:cs="仿宋"/>
          <w:b/>
          <w:bCs/>
          <w:color w:val="000000"/>
          <w:sz w:val="24"/>
          <w:highlight w:val="none"/>
          <w:lang w:val="zh-CN"/>
        </w:rPr>
        <w:outlineLvl w:val="0"/>
      </w:pPr>
      <w:r/>
      <w:bookmarkStart w:id="216" w:name="_Toc15524"/>
      <w:r>
        <w:rPr>
          <w:rFonts w:hint="eastAsia" w:ascii="仿宋" w:hAnsi="仿宋" w:eastAsia="仿宋" w:cs="仿宋"/>
          <w:b/>
          <w:bCs/>
          <w:color w:val="000000"/>
          <w:sz w:val="32"/>
          <w:szCs w:val="32"/>
          <w:highlight w:val="none"/>
        </w:rPr>
        <w:t xml:space="preserve">第五章 评标方法与评标标准</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16"/>
      <w:r/>
      <w:r/>
    </w:p>
    <w:p>
      <w:pPr>
        <w:ind w:firstLine="562"/>
        <w:spacing w:before="120" w:after="120" w:line="52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一、本项目采用综合评分法。</w:t>
      </w:r>
      <w:r>
        <w:rPr>
          <w:rFonts w:hint="eastAsia" w:ascii="仿宋" w:hAnsi="仿宋" w:eastAsia="仿宋" w:cs="仿宋"/>
          <w:color w:val="000000"/>
          <w:sz w:val="28"/>
          <w:szCs w:val="28"/>
          <w:highlight w:val="none"/>
        </w:rPr>
        <w:t xml:space="preserve">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2"/>
        <w:spacing w:before="120" w:after="120" w:line="52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w:t>
      </w:r>
      <w:r>
        <w:rPr>
          <w:rFonts w:hint="eastAsia" w:ascii="仿宋" w:hAnsi="仿宋" w:eastAsia="仿宋" w:cs="仿宋"/>
          <w:color w:val="000000"/>
          <w:sz w:val="28"/>
          <w:szCs w:val="28"/>
          <w:highlight w:val="none"/>
        </w:rPr>
        <w:t xml:space="preserve">评委会将依据下列“评审方法与评审标准”进行评标，本评审标准的总分为100分。按评审后得分由高到低顺序排列。得分相同的，按投标报价由低到高顺序排列。得分且投标报价相同的并列,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由评标委员会通过随机抽取的方式确定一个中标候选人。投标文件满足招标文件全部实质性要求，且按照评审因素的量化指标评审得分最高的供应商为中标候选人。本项目选取1名中标人。</w:t>
      </w:r>
      <w:r/>
    </w:p>
    <w:p>
      <w:pPr>
        <w:ind w:firstLine="562"/>
        <w:spacing w:line="52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三、评审方法与评审标准</w:t>
      </w:r>
      <w:r/>
    </w:p>
    <w:p>
      <w:pPr>
        <w:pStyle w:val="1004"/>
        <w:ind w:firstLine="562"/>
        <w:rPr>
          <w:rFonts w:hint="eastAsia" w:ascii="仿宋" w:hAnsi="仿宋" w:eastAsia="仿宋" w:cs="仿宋"/>
          <w:b/>
          <w:bCs/>
          <w:color w:val="000000"/>
          <w:sz w:val="28"/>
          <w:szCs w:val="28"/>
        </w:rPr>
      </w:pPr>
      <w:r/>
      <w:bookmarkStart w:id="217" w:name="_Toc14983"/>
      <w:r/>
      <w:bookmarkStart w:id="218" w:name="_Toc14769"/>
      <w:r/>
      <w:bookmarkStart w:id="219" w:name="_Toc7240"/>
      <w:r/>
      <w:bookmarkStart w:id="220" w:name="_Toc28567"/>
      <w:r/>
      <w:bookmarkStart w:id="221" w:name="_Toc4872"/>
      <w:r/>
      <w:bookmarkStart w:id="222" w:name="_Toc22009"/>
      <w:r/>
      <w:bookmarkStart w:id="223" w:name="_Toc8027"/>
      <w:r>
        <w:rPr>
          <w:rFonts w:hint="eastAsia" w:ascii="仿宋" w:hAnsi="仿宋" w:eastAsia="仿宋" w:cs="仿宋"/>
          <w:b/>
          <w:bCs/>
          <w:color w:val="000000"/>
          <w:sz w:val="28"/>
          <w:szCs w:val="28"/>
        </w:rPr>
        <w:t xml:space="preserve">1.价格分（10分）</w:t>
      </w:r>
      <w:r/>
    </w:p>
    <w:p>
      <w:pPr>
        <w:pStyle w:val="1004"/>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采用低价优先法计算，即满足招标文件要求且投标价格最低的投标报价为评标基准价，其价格分为满分。其他供应商的价格分统一按照下列公式计算，小数点后保留两位：</w:t>
      </w:r>
      <w:r/>
    </w:p>
    <w:p>
      <w:pPr>
        <w:pStyle w:val="1004"/>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投标报价得分=（评标基准价/投标报价）×10分。</w:t>
      </w:r>
      <w:r/>
    </w:p>
    <w:p>
      <w:pPr>
        <w:pStyle w:val="1004"/>
        <w:ind w:firstLine="56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2.技术性能（15分）</w:t>
      </w:r>
      <w:r/>
    </w:p>
    <w:p>
      <w:pPr>
        <w:pStyle w:val="1004"/>
        <w:ind w:firstLine="560"/>
        <w:rPr>
          <w:rFonts w:hint="eastAsia" w:ascii="仿宋" w:hAnsi="仿宋" w:eastAsia="仿宋" w:cs="仿宋"/>
          <w:sz w:val="28"/>
          <w:szCs w:val="28"/>
          <w:highlight w:val="none"/>
        </w:rPr>
      </w:pPr>
      <w:r>
        <w:rPr>
          <w:rFonts w:ascii="仿宋" w:hAnsi="仿宋" w:eastAsia="仿宋" w:cs="仿宋"/>
          <w:sz w:val="28"/>
          <w:szCs w:val="28"/>
          <w:highlight w:val="none"/>
        </w:rPr>
        <w:t xml:space="preserve">根据招标文件详细技术要求，完全响应即满足招标文件各项技术指标、参数要求的得</w:t>
      </w:r>
      <w:r>
        <w:rPr>
          <w:rFonts w:hint="eastAsia" w:ascii="仿宋" w:hAnsi="仿宋" w:eastAsia="仿宋" w:cs="仿宋"/>
          <w:sz w:val="28"/>
          <w:szCs w:val="28"/>
          <w:highlight w:val="none"/>
        </w:rPr>
        <w:t xml:space="preserve">15</w:t>
      </w:r>
      <w:r>
        <w:rPr>
          <w:rFonts w:ascii="仿宋" w:hAnsi="仿宋" w:eastAsia="仿宋" w:cs="仿宋"/>
          <w:sz w:val="28"/>
          <w:szCs w:val="28"/>
          <w:highlight w:val="none"/>
        </w:rPr>
        <w:t xml:space="preserve">分，加“</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t xml:space="preserve">”</w:t>
      </w:r>
      <w:r>
        <w:rPr>
          <w:rFonts w:hint="eastAsia" w:ascii="仿宋" w:hAnsi="仿宋" w:eastAsia="仿宋" w:cs="仿宋"/>
          <w:sz w:val="28"/>
          <w:szCs w:val="28"/>
          <w:highlight w:val="none"/>
        </w:rPr>
        <w:t xml:space="preserve">项</w:t>
      </w:r>
      <w:r>
        <w:rPr>
          <w:rFonts w:ascii="仿宋" w:hAnsi="仿宋" w:eastAsia="仿宋" w:cs="仿宋"/>
          <w:sz w:val="28"/>
          <w:szCs w:val="28"/>
          <w:highlight w:val="none"/>
        </w:rPr>
        <w:t xml:space="preserve">的技术指标有一项</w:t>
      </w:r>
      <w:bookmarkStart w:id="224" w:name="_Hlk212592256"/>
      <w:r>
        <w:rPr>
          <w:rFonts w:ascii="仿宋" w:hAnsi="仿宋" w:eastAsia="仿宋" w:cs="仿宋"/>
          <w:sz w:val="28"/>
          <w:szCs w:val="28"/>
          <w:highlight w:val="none"/>
        </w:rPr>
        <w:t xml:space="preserve">负偏离</w:t>
      </w:r>
      <w:bookmarkEnd w:id="224"/>
      <w:r>
        <w:rPr>
          <w:rFonts w:ascii="仿宋" w:hAnsi="仿宋" w:eastAsia="仿宋" w:cs="仿宋"/>
          <w:sz w:val="28"/>
          <w:szCs w:val="28"/>
          <w:highlight w:val="none"/>
        </w:rPr>
        <w:t xml:space="preserve">的扣1分</w:t>
      </w:r>
      <w:r>
        <w:rPr>
          <w:rFonts w:hint="eastAsia" w:ascii="仿宋" w:hAnsi="仿宋" w:eastAsia="仿宋" w:cs="仿宋"/>
          <w:sz w:val="28"/>
          <w:szCs w:val="28"/>
          <w:highlight w:val="none"/>
        </w:rPr>
        <w:t xml:space="preserve">，其他</w:t>
      </w:r>
      <w:r>
        <w:rPr>
          <w:rFonts w:ascii="仿宋" w:hAnsi="仿宋" w:eastAsia="仿宋" w:cs="仿宋"/>
          <w:sz w:val="28"/>
          <w:szCs w:val="28"/>
          <w:highlight w:val="none"/>
        </w:rPr>
        <w:t xml:space="preserve">技术指标有一项负偏离的扣</w:t>
      </w:r>
      <w:r>
        <w:rPr>
          <w:rFonts w:hint="eastAsia" w:ascii="仿宋" w:hAnsi="仿宋" w:eastAsia="仿宋" w:cs="仿宋"/>
          <w:sz w:val="28"/>
          <w:szCs w:val="28"/>
          <w:highlight w:val="none"/>
        </w:rPr>
        <w:t xml:space="preserve">0.5</w:t>
      </w:r>
      <w:r>
        <w:rPr>
          <w:rFonts w:ascii="仿宋" w:hAnsi="仿宋" w:eastAsia="仿宋" w:cs="仿宋"/>
          <w:sz w:val="28"/>
          <w:szCs w:val="28"/>
          <w:highlight w:val="none"/>
        </w:rPr>
        <w:t xml:space="preserve">分</w:t>
      </w:r>
      <w:r>
        <w:rPr>
          <w:rFonts w:hint="eastAsia" w:ascii="仿宋" w:hAnsi="仿宋" w:eastAsia="仿宋" w:cs="仿宋"/>
          <w:sz w:val="28"/>
          <w:szCs w:val="28"/>
          <w:highlight w:val="none"/>
        </w:rPr>
        <w:t xml:space="preserve">，扣完为止。</w:t>
      </w:r>
      <w:r/>
    </w:p>
    <w:p>
      <w:pPr>
        <w:pStyle w:val="1004"/>
        <w:ind w:firstLine="560"/>
        <w:rPr>
          <w:rFonts w:hint="eastAsia" w:ascii="仿宋" w:hAnsi="仿宋" w:eastAsia="仿宋" w:cs="仿宋"/>
          <w:sz w:val="28"/>
          <w:szCs w:val="28"/>
          <w:highlight w:val="none"/>
        </w:rPr>
      </w:pPr>
      <w:r>
        <w:rPr>
          <w:rFonts w:ascii="仿宋" w:hAnsi="仿宋" w:eastAsia="仿宋" w:cs="仿宋"/>
          <w:sz w:val="28"/>
          <w:szCs w:val="28"/>
          <w:highlight w:val="none"/>
        </w:rPr>
        <w:t xml:space="preserve">（</w:t>
      </w:r>
      <w:r>
        <w:rPr>
          <w:rFonts w:hint="eastAsia" w:ascii="仿宋" w:hAnsi="仿宋" w:eastAsia="仿宋" w:cs="仿宋"/>
          <w:sz w:val="28"/>
          <w:szCs w:val="28"/>
          <w:highlight w:val="none"/>
        </w:rPr>
        <w:t xml:space="preserve">供应商</w:t>
      </w:r>
      <w:r>
        <w:rPr>
          <w:rFonts w:ascii="仿宋" w:hAnsi="仿宋" w:eastAsia="仿宋" w:cs="仿宋"/>
          <w:sz w:val="28"/>
          <w:szCs w:val="28"/>
          <w:highlight w:val="none"/>
        </w:rPr>
        <w:t xml:space="preserve">需按照本招标文件的</w:t>
      </w:r>
      <w:r>
        <w:rPr>
          <w:rFonts w:hint="eastAsia" w:ascii="仿宋" w:hAnsi="仿宋" w:eastAsia="仿宋" w:cs="仿宋"/>
          <w:sz w:val="28"/>
          <w:szCs w:val="28"/>
          <w:highlight w:val="none"/>
        </w:rPr>
        <w:t xml:space="preserve">第四章项目采购需求</w:t>
      </w:r>
      <w:r>
        <w:rPr>
          <w:rFonts w:ascii="仿宋" w:hAnsi="仿宋" w:eastAsia="仿宋" w:cs="仿宋"/>
          <w:sz w:val="28"/>
          <w:szCs w:val="28"/>
          <w:highlight w:val="none"/>
        </w:rPr>
        <w:t xml:space="preserve">要求，在“</w:t>
      </w:r>
      <w:r>
        <w:rPr>
          <w:rFonts w:hint="eastAsia" w:ascii="仿宋" w:hAnsi="仿宋" w:eastAsia="仿宋" w:cs="仿宋"/>
          <w:sz w:val="28"/>
          <w:szCs w:val="28"/>
          <w:highlight w:val="none"/>
        </w:rPr>
        <w:t xml:space="preserve">技术要求响应偏离表</w:t>
      </w:r>
      <w:r>
        <w:rPr>
          <w:rFonts w:ascii="仿宋" w:hAnsi="仿宋" w:eastAsia="仿宋" w:cs="仿宋"/>
          <w:sz w:val="28"/>
          <w:szCs w:val="28"/>
          <w:highlight w:val="none"/>
        </w:rPr>
        <w:t xml:space="preserve">”中如实详细填</w:t>
      </w:r>
      <w:r>
        <w:rPr>
          <w:rFonts w:hint="eastAsia" w:ascii="仿宋" w:hAnsi="仿宋" w:eastAsia="仿宋" w:cs="仿宋"/>
          <w:sz w:val="28"/>
          <w:szCs w:val="28"/>
          <w:highlight w:val="none"/>
        </w:rPr>
        <w:t xml:space="preserve">写加“▲”项参数的偏离情况</w:t>
      </w:r>
      <w:r>
        <w:rPr>
          <w:rFonts w:ascii="仿宋" w:hAnsi="仿宋" w:eastAsia="仿宋" w:cs="仿宋"/>
          <w:sz w:val="28"/>
          <w:szCs w:val="28"/>
          <w:highlight w:val="none"/>
        </w:rPr>
        <w:t xml:space="preserve">，并</w:t>
      </w:r>
      <w:r>
        <w:rPr>
          <w:rFonts w:hint="eastAsia" w:ascii="仿宋" w:hAnsi="仿宋" w:eastAsia="仿宋" w:cs="仿宋"/>
          <w:sz w:val="28"/>
          <w:szCs w:val="28"/>
          <w:highlight w:val="none"/>
        </w:rPr>
        <w:t xml:space="preserve">按照招标文件要求</w:t>
      </w:r>
      <w:r>
        <w:rPr>
          <w:rFonts w:ascii="仿宋" w:hAnsi="仿宋" w:eastAsia="仿宋" w:cs="仿宋"/>
          <w:sz w:val="28"/>
          <w:szCs w:val="28"/>
          <w:highlight w:val="none"/>
        </w:rPr>
        <w:t xml:space="preserve">提供有效的证明材料，不提供的视为负偏离</w:t>
      </w:r>
      <w:r>
        <w:rPr>
          <w:rFonts w:hint="eastAsia" w:ascii="仿宋" w:hAnsi="仿宋" w:eastAsia="仿宋" w:cs="仿宋"/>
          <w:sz w:val="28"/>
          <w:szCs w:val="28"/>
          <w:highlight w:val="none"/>
        </w:rPr>
        <w:t xml:space="preserve">。其他</w:t>
      </w:r>
      <w:r>
        <w:rPr>
          <w:rFonts w:ascii="仿宋" w:hAnsi="仿宋" w:eastAsia="仿宋" w:cs="仿宋"/>
          <w:sz w:val="28"/>
          <w:szCs w:val="28"/>
          <w:highlight w:val="none"/>
        </w:rPr>
        <w:t xml:space="preserve">指标</w:t>
      </w:r>
      <w:r>
        <w:rPr>
          <w:rFonts w:hint="eastAsia" w:ascii="仿宋" w:hAnsi="仿宋" w:eastAsia="仿宋" w:cs="仿宋"/>
          <w:sz w:val="28"/>
          <w:szCs w:val="28"/>
          <w:highlight w:val="none"/>
        </w:rPr>
        <w:t xml:space="preserve">如有负偏离的也需填入</w:t>
      </w:r>
      <w:r>
        <w:rPr>
          <w:rFonts w:ascii="仿宋" w:hAnsi="仿宋" w:eastAsia="仿宋" w:cs="仿宋"/>
          <w:sz w:val="28"/>
          <w:szCs w:val="28"/>
          <w:highlight w:val="none"/>
        </w:rPr>
        <w:t xml:space="preserve">“</w:t>
      </w:r>
      <w:r>
        <w:rPr>
          <w:rFonts w:hint="eastAsia" w:ascii="仿宋" w:hAnsi="仿宋" w:eastAsia="仿宋" w:cs="仿宋"/>
          <w:sz w:val="28"/>
          <w:szCs w:val="28"/>
          <w:highlight w:val="none"/>
        </w:rPr>
        <w:t xml:space="preserve">技术要求响应偏离表</w:t>
      </w:r>
      <w:r>
        <w:rPr>
          <w:rFonts w:ascii="仿宋" w:hAnsi="仿宋" w:eastAsia="仿宋" w:cs="仿宋"/>
          <w:sz w:val="28"/>
          <w:szCs w:val="28"/>
          <w:highlight w:val="none"/>
        </w:rPr>
        <w:t xml:space="preserve">”</w:t>
      </w:r>
      <w:r>
        <w:rPr>
          <w:rFonts w:hint="eastAsia" w:ascii="仿宋" w:hAnsi="仿宋" w:eastAsia="仿宋" w:cs="仿宋"/>
          <w:sz w:val="28"/>
          <w:szCs w:val="28"/>
          <w:highlight w:val="none"/>
        </w:rPr>
        <w:t xml:space="preserve">，其他</w:t>
      </w:r>
      <w:r>
        <w:rPr>
          <w:rFonts w:ascii="仿宋" w:hAnsi="仿宋" w:eastAsia="仿宋" w:cs="仿宋"/>
          <w:sz w:val="28"/>
          <w:szCs w:val="28"/>
          <w:highlight w:val="none"/>
        </w:rPr>
        <w:t xml:space="preserve">指标</w:t>
      </w:r>
      <w:r>
        <w:rPr>
          <w:rFonts w:hint="eastAsia" w:ascii="仿宋" w:hAnsi="仿宋" w:eastAsia="仿宋" w:cs="仿宋"/>
          <w:sz w:val="28"/>
          <w:szCs w:val="28"/>
          <w:highlight w:val="none"/>
        </w:rPr>
        <w:t xml:space="preserve">无负偏离的无需填入表。</w:t>
      </w:r>
      <w:r>
        <w:rPr>
          <w:rFonts w:ascii="仿宋" w:hAnsi="仿宋" w:eastAsia="仿宋" w:cs="仿宋"/>
          <w:sz w:val="28"/>
          <w:szCs w:val="28"/>
          <w:highlight w:val="none"/>
        </w:rPr>
        <w:t xml:space="preserve">）</w:t>
      </w:r>
      <w:r/>
    </w:p>
    <w:p>
      <w:pPr>
        <w:pStyle w:val="1004"/>
        <w:ind w:firstLine="56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3.服务方案（20分）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（1）项目整体架构设计（4分）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需结合淮安区实际情况，从系统架构层面提出满足淮安区城市生命线监测监管需求的整体架构设计方案，提供系统架构图、网络拓扑图、数据流图和业务流图。上述内容齐全，符合实际切实可行且无缺陷（缺陷是指：部分内容与项目无关、逻辑错误、科学原理错误、不符合本项目涉及的相关规范或标准要求的任意一种情形）得4分，每缺少一项内容扣1分，扣完为止；单项内容每存在一处缺陷扣0.25分，单项内容分（1分）扣完为止。该项若无阐述不得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（2）数据治理服务方案（4分）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招标文件中要求，供应商需提供数据治理服务方案，数据治理服务方案应包括数据资源梳理、数据服务封装实施、数据开发实施、数据运维。上述内容齐全，符合实际切实可行且无缺陷（缺陷是指：部分内容与项目无关、逻辑错误、科学原理错误、不符合本项目涉及的相关规范或标准要求的任意一种情形）得4分，每缺少一项内容扣1分，扣完为止；单项内容每存在一处缺陷扣0.25分，单项内容分（1分）扣完为止。该项若无阐述不得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（3）项目重难点分析及解决方案（4分）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w:t>
      </w:r>
      <w:r>
        <w:rPr>
          <w:rFonts w:ascii="仿宋" w:hAnsi="仿宋" w:eastAsia="仿宋" w:cs="仿宋"/>
          <w:sz w:val="28"/>
          <w:szCs w:val="28"/>
          <w:highlight w:val="none"/>
        </w:rPr>
        <w:t xml:space="preserve">需提供项目</w:t>
      </w:r>
      <w:r>
        <w:rPr>
          <w:rFonts w:hint="eastAsia" w:ascii="仿宋" w:hAnsi="仿宋" w:eastAsia="仿宋" w:cs="仿宋"/>
          <w:sz w:val="28"/>
          <w:szCs w:val="28"/>
          <w:highlight w:val="none"/>
        </w:rPr>
        <w:t xml:space="preserve">重难点分析</w:t>
      </w:r>
      <w:r>
        <w:rPr>
          <w:rFonts w:ascii="仿宋" w:hAnsi="仿宋" w:eastAsia="仿宋" w:cs="仿宋"/>
          <w:sz w:val="28"/>
          <w:szCs w:val="28"/>
          <w:highlight w:val="none"/>
        </w:rPr>
        <w:t xml:space="preserve">及解决方案，对本项目的重点难点有充分了解并</w:t>
      </w:r>
      <w:r>
        <w:rPr>
          <w:rFonts w:hint="eastAsia" w:ascii="仿宋" w:hAnsi="仿宋" w:eastAsia="仿宋" w:cs="仿宋"/>
          <w:sz w:val="28"/>
          <w:szCs w:val="28"/>
          <w:highlight w:val="none"/>
        </w:rPr>
        <w:t xml:space="preserve">提供对应解决</w:t>
      </w:r>
      <w:r>
        <w:rPr>
          <w:rFonts w:ascii="仿宋" w:hAnsi="仿宋" w:eastAsia="仿宋" w:cs="仿宋"/>
          <w:sz w:val="28"/>
          <w:szCs w:val="28"/>
          <w:highlight w:val="none"/>
        </w:rPr>
        <w:t xml:space="preserve">措施</w:t>
      </w:r>
      <w:r>
        <w:rPr>
          <w:rFonts w:hint="eastAsia" w:ascii="仿宋" w:hAnsi="仿宋" w:eastAsia="仿宋" w:cs="仿宋"/>
          <w:sz w:val="28"/>
          <w:szCs w:val="28"/>
          <w:highlight w:val="none"/>
        </w:rPr>
        <w:t xml:space="preserve">，包括项目重难点识别、风险预判、解决方案、效果评估。上述内容齐全，符合实际切实可行且无缺陷（缺陷是指：部分内容与项目无关、逻辑错误、科学原理错误、不符合本项目涉及的相关规范或标准要求的任意一种情形）得4分，每缺少一项内容扣1分，扣完为止；单项内容每存在一处缺陷扣0.25分，单项内容分（1分）扣完为止。该项若无阐述不得分。（4）日常运维服务方案（4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w:t>
      </w:r>
      <w:r>
        <w:rPr>
          <w:rFonts w:ascii="仿宋" w:hAnsi="仿宋" w:eastAsia="仿宋" w:cs="仿宋"/>
          <w:sz w:val="28"/>
          <w:szCs w:val="28"/>
          <w:highlight w:val="none"/>
        </w:rPr>
        <w:t xml:space="preserve">需提供日常运维服务方案，包含但不限于日常运维服务内容、本地化维护、应急措施、日常巡检。</w:t>
      </w:r>
      <w:r>
        <w:rPr>
          <w:rFonts w:hint="eastAsia" w:ascii="仿宋" w:hAnsi="仿宋" w:eastAsia="仿宋" w:cs="仿宋"/>
          <w:sz w:val="28"/>
          <w:szCs w:val="28"/>
          <w:highlight w:val="none"/>
        </w:rPr>
        <w:t xml:space="preserve">上述内容齐全，符合实际切实可行且无缺陷（缺陷是指：部分内容与项目无关、逻辑错误、科学原理错误、不符合本项目涉及的相关规范或标准要求的任意一种情形）得4分，每缺少一项内容扣1分，扣完为止；单项内容每存在一处缺陷扣0.25分，单项内容分（1分）扣完为止。该项若无阐述不得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（5）售后服务方案（4分）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w:t>
      </w:r>
      <w:r>
        <w:rPr>
          <w:rFonts w:ascii="仿宋" w:hAnsi="仿宋" w:eastAsia="仿宋" w:cs="仿宋"/>
          <w:sz w:val="28"/>
          <w:szCs w:val="28"/>
          <w:highlight w:val="none"/>
        </w:rPr>
        <w:t xml:space="preserve">需提供售后服务方案，从售后服务体系、服务内容、服务方式、响应能力方面对售后服务方案内容阐述。</w:t>
      </w:r>
      <w:r>
        <w:rPr>
          <w:rFonts w:hint="eastAsia" w:ascii="仿宋" w:hAnsi="仿宋" w:eastAsia="仿宋" w:cs="仿宋"/>
          <w:sz w:val="28"/>
          <w:szCs w:val="28"/>
          <w:highlight w:val="none"/>
        </w:rPr>
        <w:t xml:space="preserve">上述内容齐全，符合实际切实可行且无缺陷（缺陷是指：部分内容与项目无关、逻辑错误、科学原理错误、不符合本项目涉及的相关规范或标准要求的任意一种情形）得4分，每缺少一项内容扣1分，扣完为止；单项内容每存在一处缺陷扣0.25分，单项内容分（1分）扣完为止。该项若无阐述不得分。</w:t>
      </w:r>
      <w:r/>
    </w:p>
    <w:p>
      <w:pPr>
        <w:pStyle w:val="1004"/>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4.企业能力（17分）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（1）供应商具有信息系统建设和服务能力评估等级 CS5 得3分，CS4得1分，其它不得分。（提供证书扫描件并加盖供应商电子签章）</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（2）供应商具有大数据企业服务能力评价证书一级得3分，二级得1分，其它不得分。（提供证书扫描件并加盖供应商电子签章）</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ascii="仿宋" w:hAnsi="仿宋" w:eastAsia="仿宋" w:cs="仿宋"/>
          <w:color w:val="000000"/>
          <w:sz w:val="28"/>
          <w:highlight w:val="none"/>
        </w:rPr>
        <w:t xml:space="preserve">供应商具有软件能力成熟度等级4级及以上认定证书(CSMM4)的得3分</w:t>
      </w:r>
      <w:r>
        <w:rPr>
          <w:rFonts w:hint="eastAsia" w:ascii="仿宋" w:hAnsi="仿宋" w:eastAsia="仿宋" w:cs="仿宋"/>
          <w:color w:val="000000"/>
          <w:sz w:val="28"/>
          <w:highlight w:val="none"/>
        </w:rPr>
        <w:t xml:space="preserve">，</w:t>
      </w:r>
      <w:r>
        <w:rPr>
          <w:rFonts w:ascii="仿宋" w:hAnsi="仿宋" w:eastAsia="仿宋" w:cs="仿宋"/>
          <w:color w:val="000000"/>
          <w:sz w:val="28"/>
          <w:highlight w:val="none"/>
        </w:rPr>
        <w:t xml:space="preserve"> 3级及以下得</w:t>
      </w:r>
      <w:r>
        <w:rPr>
          <w:rFonts w:hint="eastAsia" w:ascii="仿宋" w:hAnsi="仿宋" w:eastAsia="仿宋" w:cs="仿宋"/>
          <w:color w:val="000000"/>
          <w:sz w:val="28"/>
          <w:highlight w:val="none"/>
        </w:rPr>
        <w:t xml:space="preserve">1</w:t>
      </w:r>
      <w:r>
        <w:rPr>
          <w:rFonts w:ascii="仿宋" w:hAnsi="仿宋" w:eastAsia="仿宋" w:cs="仿宋"/>
          <w:color w:val="000000"/>
          <w:sz w:val="28"/>
          <w:highlight w:val="none"/>
        </w:rPr>
        <w:t xml:space="preserve">分</w:t>
      </w:r>
      <w:r>
        <w:rPr>
          <w:rFonts w:hint="eastAsia" w:ascii="仿宋" w:hAnsi="仿宋" w:eastAsia="仿宋" w:cs="仿宋"/>
          <w:color w:val="000000"/>
          <w:sz w:val="28"/>
          <w:highlight w:val="none"/>
        </w:rPr>
        <w:t xml:space="preserve">，没有不得分</w:t>
      </w:r>
      <w:r>
        <w:rPr>
          <w:rFonts w:ascii="仿宋" w:hAnsi="仿宋" w:eastAsia="仿宋" w:cs="仿宋"/>
          <w:color w:val="000000"/>
          <w:sz w:val="28"/>
          <w:highlight w:val="none"/>
        </w:rPr>
        <w:t xml:space="preserve">。</w:t>
      </w:r>
      <w:r>
        <w:rPr>
          <w:rFonts w:hint="eastAsia" w:ascii="仿宋" w:hAnsi="仿宋" w:eastAsia="仿宋" w:cs="仿宋"/>
          <w:sz w:val="28"/>
          <w:szCs w:val="28"/>
          <w:highlight w:val="none"/>
        </w:rPr>
        <w:t xml:space="preserve">（提供证书扫描件并加盖供应商电子签章）</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供应商具有CCRC信息安全服务资质认证证书(信息系统安全集成\信息安全风险评估\信息系统安全运维\软件安全开发)一级的每提供一个得2分，二级的每提供一个得1分，最高得8分，其他不得分。（提供证书扫描件并加盖供应商电子签章）</w:t>
      </w:r>
      <w:r/>
    </w:p>
    <w:p>
      <w:pPr>
        <w:pStyle w:val="1004"/>
        <w:ind w:firstLine="56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5.人员资质（25分）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（1）项目经理（5分）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为本项目配备项目经理一名，具有人社部门颁发的高级工程师职称证书（电子信息工程类或数字经济工程类）、信息系统项目管理师、系统集成项目管理工程师、系统分析师、网络工程师证书的，每提供一个得1分，最高得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（2）技术负责人（5分）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供应商为本项目配备技术负责人一名，具有软件设计师、系统架构设计师、软件测试工程师（高级）、软件工程造价师、注册信息安全专业人员证书的，每提供一个得1分，最高得5分。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（3）运维负责人（5分）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为本项目配备运维负责人一名，具有人社部门颁发的高级工程师职称证书（电子信息工程类或数字经济工程类）、信息系统项目管理师、系统规划与管理师、信息安全保障人员（应急服务）、注册信息安全专业人员证书的，每提供一个得1分，最高得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（4）安全负责人（5分）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为本项目配备安全负责人一名，具有人社部门颁发的高级工程师职称证书（电子信息工程类或数字经济工程类）、系统集成项目管理工程师、信息系统项目管理师、注册信息安全专业人员、信息安全保障人员证书的，每提供一个得1分，最高得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（5）安装负责人（5分）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为本项目配备安装负责人一名，具有人社部门颁发的高级工程师职称证书（电子信息工程类或数字经济工程类）、设备安装质量员、高级弱电系统工程师、信息系统项目管理师、注册信息安全专业人员证书的，每提供一个得1分，最高得5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注：上述人员不可兼任，同一人只能计取一次分，提供证书及供应商在2025年4月1日以来为其人员缴纳的任意1个月的社保证明扫描件加盖供应商电子签章。</w:t>
      </w:r>
      <w:r/>
    </w:p>
    <w:p>
      <w:pPr>
        <w:pStyle w:val="1004"/>
        <w:ind w:firstLine="562"/>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6.企业业绩（10分）</w:t>
      </w:r>
      <w:r/>
    </w:p>
    <w:p>
      <w:pPr>
        <w:pStyle w:val="1004"/>
        <w:ind w:firstLine="56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供应商提供2022年1月1日（以签订合同时间为准）至今承接过类似城市生命线项目业绩，每提供一个业绩得2分，满分10分。（提供业绩合同原件扫描件加盖供应商电子签章）</w:t>
      </w:r>
      <w:r/>
    </w:p>
    <w:p>
      <w:pPr>
        <w:pStyle w:val="1004"/>
        <w:ind w:firstLine="56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7.服务响应（3分）</w:t>
      </w:r>
      <w:r/>
    </w:p>
    <w:p>
      <w:pPr>
        <w:ind w:firstLine="560"/>
        <w:spacing w:line="500" w:lineRule="exact"/>
        <w:rPr>
          <w:rFonts w:hint="eastAsia" w:ascii="仿宋" w:hAnsi="仿宋" w:eastAsia="仿宋" w:cs="仿宋_GB2312"/>
          <w:sz w:val="28"/>
          <w:szCs w:val="28"/>
          <w:highlight w:val="none"/>
          <w:lang w:val="zh-TW"/>
        </w:rPr>
      </w:pPr>
      <w:r>
        <w:rPr>
          <w:rFonts w:hint="eastAsia" w:ascii="仿宋" w:hAnsi="仿宋" w:eastAsia="仿宋" w:cs="仿宋_GB2312"/>
          <w:sz w:val="28"/>
          <w:szCs w:val="28"/>
          <w:highlight w:val="none"/>
          <w:lang w:val="zh-TW"/>
        </w:rPr>
        <w:t xml:space="preserve">供应商承诺在发生故障时及时响应，维护人员在接到故障报修后</w:t>
      </w:r>
      <w:r>
        <w:rPr>
          <w:rFonts w:hint="eastAsia" w:ascii="仿宋" w:hAnsi="仿宋" w:eastAsia="仿宋" w:cs="仿宋_GB2312"/>
          <w:sz w:val="28"/>
          <w:szCs w:val="28"/>
          <w:highlight w:val="none"/>
        </w:rPr>
        <w:t xml:space="preserve">2</w:t>
      </w:r>
      <w:r>
        <w:rPr>
          <w:rFonts w:hint="eastAsia" w:ascii="仿宋" w:hAnsi="仿宋" w:eastAsia="仿宋" w:cs="仿宋_GB2312"/>
          <w:sz w:val="28"/>
          <w:szCs w:val="28"/>
          <w:highlight w:val="none"/>
          <w:lang w:val="zh-TW"/>
        </w:rPr>
        <w:t xml:space="preserve">小时内响应，</w:t>
      </w:r>
      <w:r>
        <w:rPr>
          <w:rFonts w:hint="eastAsia" w:ascii="仿宋" w:hAnsi="仿宋" w:eastAsia="仿宋" w:cs="仿宋_GB2312"/>
          <w:sz w:val="28"/>
          <w:szCs w:val="28"/>
          <w:highlight w:val="none"/>
        </w:rPr>
        <w:t xml:space="preserve">4</w:t>
      </w:r>
      <w:r>
        <w:rPr>
          <w:rFonts w:hint="eastAsia" w:ascii="仿宋" w:hAnsi="仿宋" w:eastAsia="仿宋" w:cs="仿宋_GB2312"/>
          <w:sz w:val="28"/>
          <w:szCs w:val="28"/>
          <w:highlight w:val="none"/>
          <w:lang w:val="zh-TW"/>
        </w:rPr>
        <w:t xml:space="preserve">小时内到达现场，非硬件问题8小时内处理完毕，硬件问题导致故障应提供备件支撑且24小时内处理完毕的得3分，不承诺不得分。（</w:t>
      </w:r>
      <w:r>
        <w:rPr>
          <w:rFonts w:hint="eastAsia" w:ascii="仿宋" w:hAnsi="仿宋" w:eastAsia="仿宋"/>
          <w:sz w:val="28"/>
          <w:szCs w:val="28"/>
          <w:highlight w:val="none"/>
          <w:lang w:val="zh-TW"/>
        </w:rPr>
        <w:t xml:space="preserve">承诺书格式自拟，</w:t>
      </w:r>
      <w:r>
        <w:rPr>
          <w:rFonts w:hint="eastAsia" w:ascii="仿宋" w:hAnsi="仿宋" w:eastAsia="仿宋" w:cs="仿宋_GB2312"/>
          <w:sz w:val="28"/>
          <w:szCs w:val="28"/>
          <w:highlight w:val="none"/>
          <w:lang w:val="zh-TW"/>
        </w:rPr>
        <w:t xml:space="preserve">并加盖供应商电子签章）</w:t>
      </w:r>
      <w:r/>
    </w:p>
    <w:p>
      <w:pPr>
        <w:pStyle w:val="994"/>
        <w:numPr>
          <w:ilvl w:val="0"/>
          <w:numId w:val="0"/>
        </w:numP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spacing w:line="80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1023"/>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spacing w:line="80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spacing w:line="80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spacing w:line="80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spacing w:line="80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spacing w:line="800" w:lineRule="exact"/>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spacing w:line="800" w:lineRule="exact"/>
        <w:rPr>
          <w:rFonts w:hint="eastAsia" w:ascii="仿宋" w:hAnsi="仿宋" w:eastAsia="仿宋" w:cs="仿宋"/>
          <w:b/>
          <w:bCs/>
          <w:color w:val="000000"/>
          <w:sz w:val="44"/>
          <w:szCs w:val="44"/>
          <w:highlight w:val="none"/>
        </w:rPr>
        <w:outlineLvl w:val="0"/>
      </w:pPr>
      <w:r/>
      <w:bookmarkStart w:id="225" w:name="_Toc25858"/>
      <w:r/>
      <w:bookmarkStart w:id="226" w:name="_Toc4284"/>
      <w:r/>
      <w:bookmarkStart w:id="227" w:name="_Toc12616"/>
      <w:r/>
      <w:bookmarkStart w:id="228" w:name="_Toc2702"/>
      <w:r/>
      <w:bookmarkStart w:id="229" w:name="_Toc21429"/>
      <w:r/>
      <w:bookmarkStart w:id="230" w:name="_Toc4935"/>
      <w:r/>
      <w:r/>
    </w:p>
    <w:p>
      <w:pPr>
        <w:ind w:firstLine="2209"/>
        <w:spacing w:line="800" w:lineRule="exact"/>
        <w:rPr>
          <w:rFonts w:hint="eastAsia" w:ascii="仿宋" w:hAnsi="仿宋" w:eastAsia="仿宋" w:cs="仿宋"/>
          <w:b/>
          <w:bCs/>
          <w:color w:val="000000"/>
          <w:sz w:val="44"/>
          <w:szCs w:val="44"/>
          <w:highlight w:val="none"/>
        </w:rPr>
        <w:outlineLvl w:val="0"/>
      </w:pPr>
      <w:r/>
      <w:bookmarkStart w:id="231" w:name="_Toc23409"/>
      <w:r>
        <w:rPr>
          <w:rFonts w:hint="eastAsia" w:ascii="仿宋" w:hAnsi="仿宋" w:eastAsia="仿宋" w:cs="仿宋"/>
          <w:b/>
          <w:bCs/>
          <w:color w:val="000000"/>
          <w:sz w:val="44"/>
          <w:szCs w:val="44"/>
          <w:highlight w:val="none"/>
        </w:rPr>
        <w:t xml:space="preserve">第六章  投  标  文  件</w:t>
      </w:r>
      <w:bookmarkEnd w:id="217"/>
      <w:r/>
      <w:bookmarkEnd w:id="218"/>
      <w:r/>
      <w:bookmarkEnd w:id="219"/>
      <w:r/>
      <w:bookmarkEnd w:id="220"/>
      <w:r/>
      <w:bookmarkEnd w:id="221"/>
      <w:r/>
      <w:bookmarkEnd w:id="222"/>
      <w:r/>
      <w:bookmarkEnd w:id="223"/>
      <w:r/>
      <w:bookmarkEnd w:id="225"/>
      <w:r/>
      <w:bookmarkEnd w:id="226"/>
      <w:r/>
      <w:bookmarkEnd w:id="227"/>
      <w:r/>
      <w:bookmarkEnd w:id="228"/>
      <w:r/>
      <w:bookmarkEnd w:id="229"/>
      <w:r/>
      <w:bookmarkEnd w:id="230"/>
      <w:r/>
      <w:bookmarkEnd w:id="231"/>
      <w:r/>
      <w:r/>
    </w:p>
    <w:p>
      <w:pPr>
        <w:pStyle w:val="1010"/>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101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1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1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1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11"/>
        <w:rPr>
          <w:rFonts w:hint="eastAsia" w:ascii="仿宋" w:hAnsi="仿宋" w:eastAsia="仿宋" w:cs="仿宋"/>
          <w:color w:val="000000"/>
          <w:sz w:val="32"/>
          <w:highlight w:val="none"/>
          <w:lang w:eastAsia="zh-CN"/>
        </w:rPr>
      </w:pPr>
      <w:r>
        <w:rPr>
          <w:rFonts w:hint="eastAsia" w:ascii="仿宋" w:hAnsi="仿宋" w:eastAsia="仿宋" w:cs="仿宋"/>
          <w:color w:val="000000"/>
          <w:sz w:val="32"/>
          <w:highlight w:val="none"/>
          <w:lang w:eastAsia="zh-CN"/>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1084"/>
        <w:spacing w:line="400" w:lineRule="exac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项目名称:</w:t>
      </w:r>
      <w:r/>
    </w:p>
    <w:p>
      <w:pPr>
        <w:pStyle w:val="1010"/>
        <w:ind w:firstLine="1066"/>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10"/>
        <w:ind w:firstLine="1066"/>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项目编号:</w:t>
      </w:r>
      <w:r/>
    </w:p>
    <w:p>
      <w:pPr>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spacing w:line="400" w:lineRule="exact"/>
        <w:rPr>
          <w:rFonts w:hint="eastAsia" w:ascii="仿宋" w:hAnsi="仿宋" w:eastAsia="仿宋" w:cs="仿宋"/>
          <w:color w:val="000000"/>
          <w:sz w:val="32"/>
          <w:szCs w:val="20"/>
          <w:highlight w:val="none"/>
        </w:rPr>
      </w:pPr>
      <w:r>
        <w:rPr>
          <w:rFonts w:hint="eastAsia" w:ascii="仿宋" w:hAnsi="仿宋" w:eastAsia="仿宋" w:cs="仿宋"/>
          <w:color w:val="000000"/>
          <w:sz w:val="32"/>
          <w:szCs w:val="20"/>
          <w:highlight w:val="none"/>
        </w:rPr>
      </w:r>
      <w:r/>
    </w:p>
    <w:p>
      <w:pPr>
        <w:ind w:firstLine="1066"/>
        <w:spacing w:line="40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6"/>
          <w:highlight w:val="none"/>
        </w:rPr>
        <w:t xml:space="preserve">投 标 人:</w:t>
      </w:r>
      <w:r/>
    </w:p>
    <w:p>
      <w:pPr>
        <w:pStyle w:val="101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1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1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10"/>
        <w:ind w:firstLine="190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1010"/>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10"/>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10"/>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10"/>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10"/>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10"/>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010"/>
        <w:jc w:val="center"/>
        <w:rPr>
          <w:rFonts w:hint="eastAsia" w:ascii="仿宋" w:hAnsi="仿宋" w:eastAsia="仿宋" w:cs="仿宋"/>
          <w:color w:val="000000"/>
          <w:highlight w:val="none"/>
        </w:rPr>
      </w:pPr>
      <w:r>
        <w:rPr>
          <w:rFonts w:hint="eastAsia" w:ascii="仿宋" w:hAnsi="仿宋" w:eastAsia="仿宋" w:cs="仿宋"/>
          <w:b/>
          <w:color w:val="000000"/>
          <w:sz w:val="36"/>
          <w:highlight w:val="none"/>
        </w:rPr>
        <w:t xml:space="preserve">二0二五年  月  日</w:t>
      </w:r>
      <w:r/>
    </w:p>
    <w:p>
      <w:pPr>
        <w:rPr>
          <w:rFonts w:hint="eastAsia" w:ascii="仿宋" w:hAnsi="仿宋" w:eastAsia="仿宋" w:cs="仿宋"/>
          <w:color w:val="000000"/>
          <w:sz w:val="28"/>
          <w:szCs w:val="20"/>
          <w:highlight w:val="none"/>
        </w:rPr>
      </w:pPr>
      <w:r>
        <w:rPr>
          <w:rFonts w:hint="eastAsia" w:ascii="仿宋" w:hAnsi="仿宋" w:eastAsia="仿宋" w:cs="仿宋"/>
          <w:color w:val="000000"/>
          <w:sz w:val="28"/>
          <w:szCs w:val="20"/>
          <w:highlight w:val="none"/>
        </w:rPr>
        <w:br w:type="page" w:clear="all"/>
      </w:r>
      <w:r/>
    </w:p>
    <w:p>
      <w:pPr>
        <w:pStyle w:val="1010"/>
        <w:jc w:val="center"/>
        <w:spacing w:line="400" w:lineRule="exact"/>
        <w:rPr>
          <w:rFonts w:hint="eastAsia" w:ascii="仿宋" w:hAnsi="仿宋" w:eastAsia="仿宋" w:cs="仿宋"/>
          <w:color w:val="000000"/>
          <w:sz w:val="28"/>
          <w:highlight w:val="none"/>
        </w:rPr>
        <w:outlineLvl w:val="1"/>
      </w:pPr>
      <w:r>
        <w:rPr>
          <w:rFonts w:hint="eastAsia" w:ascii="仿宋" w:hAnsi="仿宋" w:eastAsia="仿宋" w:cs="仿宋"/>
          <w:color w:val="000000"/>
          <w:sz w:val="28"/>
          <w:szCs w:val="20"/>
          <w:highlight w:val="none"/>
        </w:rPr>
        <w:t xml:space="preserve">一、</w:t>
      </w:r>
      <w:r>
        <w:rPr>
          <w:rFonts w:hint="eastAsia" w:ascii="仿宋" w:hAnsi="仿宋" w:eastAsia="仿宋" w:cs="仿宋"/>
          <w:b/>
          <w:color w:val="000000"/>
          <w:sz w:val="32"/>
          <w:szCs w:val="32"/>
          <w:highlight w:val="none"/>
        </w:rPr>
        <w:t xml:space="preserve">投标函</w:t>
      </w:r>
      <w:r/>
    </w:p>
    <w:p>
      <w:pPr>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w:t>
      </w:r>
      <w:r>
        <w:rPr>
          <w:rFonts w:hint="eastAsia" w:ascii="仿宋" w:hAnsi="仿宋" w:eastAsia="仿宋" w:cs="仿宋"/>
          <w:color w:val="000000"/>
          <w:sz w:val="28"/>
          <w:szCs w:val="28"/>
          <w:highlight w:val="none"/>
          <w:u w:val="single"/>
        </w:rPr>
        <w:t xml:space="preserve">淮安市淮安区住房和城乡建设局</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关于</w:t>
      </w:r>
      <w:r>
        <w:rPr>
          <w:rFonts w:hint="eastAsia" w:ascii="仿宋" w:hAnsi="仿宋" w:eastAsia="仿宋" w:cs="仿宋"/>
          <w:color w:val="000000"/>
          <w:sz w:val="28"/>
          <w:szCs w:val="28"/>
          <w:highlight w:val="none"/>
          <w:u w:val="single"/>
        </w:rPr>
        <w:t xml:space="preserve">          采购项目（项目编号:       ）</w:t>
      </w:r>
      <w:r>
        <w:rPr>
          <w:rFonts w:hint="eastAsia" w:ascii="仿宋" w:hAnsi="仿宋" w:eastAsia="仿宋" w:cs="仿宋"/>
          <w:color w:val="000000"/>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姓名和职务）代表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（供应商单位名称），全权处理本次项目投标的有关事宜。</w:t>
      </w:r>
      <w:r/>
    </w:p>
    <w:p>
      <w:pPr>
        <w:pStyle w:val="1156"/>
        <w:ind w:firstLine="560"/>
        <w:jc w:val="both"/>
        <w:spacing w:before="0" w:after="0"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1、按招标文件规定的各项要求，我方愿以</w:t>
      </w:r>
      <w:r>
        <w:rPr>
          <w:rFonts w:hint="eastAsia" w:ascii="仿宋" w:hAnsi="仿宋" w:eastAsia="仿宋" w:cs="仿宋"/>
          <w:color w:val="000000"/>
          <w:sz w:val="28"/>
          <w:highlight w:val="none"/>
        </w:rPr>
        <w:t xml:space="preserve">（大写人民币）</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元（RMB</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元）的投标报价并按投标文件的规定要求提供货物和服务。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2、我们接受招标文件的所有的条款和规定。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4、我们理解，你们无义务必须接受投标价最低的投标。同时也理解你们不承担我们本次投标的费用。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5、我们同意向贵方提供贵方可能要求的与投标有关的任何证据或资料，并保证所提供的都是真实的、准确的。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6、一旦我方中标，我方将根据招标文件的规定，严格履行合同的责任和义务，并保证在按招标文件中规定的时间内供货，并完成项目的安装、调试、交付甲方验收、使用。</w:t>
      </w:r>
      <w:r/>
    </w:p>
    <w:p>
      <w:pPr>
        <w:pStyle w:val="1010"/>
        <w:ind w:firstLine="560"/>
        <w:spacing w:line="48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7.我们同意向贵方提供贵方可能要求的与投标有关的任何证据或资料。</w:t>
      </w:r>
      <w:r/>
    </w:p>
    <w:p>
      <w:pPr>
        <w:pStyle w:val="1156"/>
        <w:ind w:right="560" w:firstLine="2940"/>
        <w:keepLines w:val="0"/>
        <w:keepNext w:val="0"/>
        <w:pageBreakBefore w:val="0"/>
        <w:spacing w:before="0" w:after="0" w:line="360" w:lineRule="exact"/>
        <w:widowControl w:val="off"/>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rPr>
        <w:t xml:space="preserve">供应商名称（电子签章）:</w:t>
      </w:r>
      <w:r>
        <w:rPr>
          <w:rFonts w:hint="eastAsia" w:ascii="仿宋" w:hAnsi="仿宋" w:eastAsia="仿宋" w:cs="仿宋"/>
          <w:color w:val="000000"/>
          <w:sz w:val="28"/>
          <w:highlight w:val="none"/>
          <w:u w:val="single"/>
        </w:rPr>
        <w:t xml:space="preserve">             </w:t>
      </w:r>
      <w:r/>
    </w:p>
    <w:p>
      <w:pPr>
        <w:pStyle w:val="1156"/>
        <w:ind w:right="560" w:firstLine="2940"/>
        <w:keepLines w:val="0"/>
        <w:keepNext w:val="0"/>
        <w:pageBreakBefore w:val="0"/>
        <w:spacing w:before="0" w:after="0" w:line="36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邮编:</w:t>
      </w:r>
      <w:r>
        <w:rPr>
          <w:rFonts w:hint="eastAsia" w:ascii="仿宋" w:hAnsi="仿宋" w:eastAsia="仿宋" w:cs="仿宋"/>
          <w:color w:val="000000"/>
          <w:sz w:val="28"/>
          <w:szCs w:val="28"/>
          <w:highlight w:val="none"/>
          <w:u w:val="single"/>
        </w:rPr>
        <w:t xml:space="preserve">             </w:t>
      </w:r>
      <w:r/>
    </w:p>
    <w:p>
      <w:pPr>
        <w:pStyle w:val="1156"/>
        <w:ind w:right="560" w:firstLine="2940"/>
        <w:keepLines w:val="0"/>
        <w:keepNext w:val="0"/>
        <w:pageBreakBefore w:val="0"/>
        <w:spacing w:before="0" w:after="0" w:line="36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电话:</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传真:</w:t>
      </w:r>
      <w:r>
        <w:rPr>
          <w:rFonts w:hint="eastAsia" w:ascii="仿宋" w:hAnsi="仿宋" w:eastAsia="仿宋" w:cs="仿宋"/>
          <w:color w:val="000000"/>
          <w:sz w:val="28"/>
          <w:szCs w:val="28"/>
          <w:highlight w:val="none"/>
          <w:u w:val="single"/>
        </w:rPr>
        <w:t xml:space="preserve">           </w:t>
      </w:r>
      <w:r/>
    </w:p>
    <w:p>
      <w:pPr>
        <w:pStyle w:val="1010"/>
        <w:ind w:right="560" w:firstLine="2940"/>
        <w:keepLines w:val="0"/>
        <w:keepNext w:val="0"/>
        <w:pageBreakBefore w:val="0"/>
        <w:spacing w:line="360" w:lineRule="exact"/>
        <w:widowControl w:val="off"/>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rPr>
        <w:t xml:space="preserve">法定代表人（电子签章或电子签字）:</w:t>
      </w:r>
      <w:r>
        <w:rPr>
          <w:rFonts w:hint="eastAsia" w:ascii="仿宋" w:hAnsi="仿宋" w:eastAsia="仿宋" w:cs="仿宋"/>
          <w:color w:val="000000"/>
          <w:sz w:val="28"/>
          <w:highlight w:val="none"/>
          <w:u w:val="single"/>
        </w:rPr>
        <w:t xml:space="preserve">   </w:t>
      </w:r>
      <w:r/>
    </w:p>
    <w:p>
      <w:pPr>
        <w:pStyle w:val="1010"/>
        <w:ind w:right="560" w:firstLine="2940"/>
        <w:keepLines w:val="0"/>
        <w:keepNext w:val="0"/>
        <w:pageBreakBefore w:val="0"/>
        <w:spacing w:line="360" w:lineRule="exact"/>
        <w:widowControl w:val="off"/>
        <w:rPr>
          <w:rFonts w:hint="eastAsia" w:ascii="仿宋" w:hAnsi="仿宋" w:eastAsia="仿宋" w:cs="仿宋"/>
          <w:color w:val="000000"/>
          <w:sz w:val="28"/>
          <w:highlight w:val="none"/>
          <w:u w:val="single"/>
        </w:rPr>
      </w:pPr>
      <w:r>
        <w:rPr>
          <w:rFonts w:hint="eastAsia" w:ascii="仿宋" w:hAnsi="仿宋" w:eastAsia="仿宋" w:cs="仿宋"/>
          <w:color w:val="000000"/>
          <w:sz w:val="28"/>
          <w:highlight w:val="none"/>
        </w:rPr>
        <w:t xml:space="preserve">职务:</w:t>
      </w:r>
      <w:r>
        <w:rPr>
          <w:rFonts w:hint="eastAsia" w:ascii="仿宋" w:hAnsi="仿宋" w:eastAsia="仿宋" w:cs="仿宋"/>
          <w:color w:val="000000"/>
          <w:sz w:val="28"/>
          <w:highlight w:val="none"/>
          <w:u w:val="single"/>
        </w:rPr>
        <w:t xml:space="preserve">                               </w:t>
      </w:r>
      <w:r/>
    </w:p>
    <w:p>
      <w:pPr>
        <w:pStyle w:val="1010"/>
        <w:ind w:right="560" w:firstLine="2940"/>
        <w:keepLines w:val="0"/>
        <w:keepNext w:val="0"/>
        <w:pageBreakBefore w:val="0"/>
        <w:spacing w:line="360" w:lineRule="exact"/>
        <w:widowControl w:val="off"/>
        <w:rPr>
          <w:rFonts w:hint="eastAsia" w:ascii="仿宋" w:hAnsi="仿宋" w:eastAsia="仿宋" w:cs="仿宋"/>
          <w:bCs/>
          <w:color w:val="000000"/>
          <w:sz w:val="32"/>
          <w:szCs w:val="32"/>
          <w:highlight w:val="none"/>
        </w:rPr>
      </w:pPr>
      <w:r>
        <w:rPr>
          <w:rFonts w:hint="eastAsia" w:ascii="仿宋" w:hAnsi="仿宋" w:eastAsia="仿宋" w:cs="仿宋"/>
          <w:color w:val="000000"/>
          <w:sz w:val="28"/>
          <w:highlight w:val="none"/>
        </w:rPr>
        <w:t xml:space="preserve">日期: </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年</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月</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日</w:t>
      </w:r>
      <w:r/>
    </w:p>
    <w:p>
      <w:pPr>
        <w:spacing w:before="19" w:line="40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jc w:val="center"/>
        <w:spacing w:before="19" w:line="400" w:lineRule="exact"/>
        <w:widowControl/>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二、开标一览表</w:t>
      </w:r>
      <w:r/>
    </w:p>
    <w:p>
      <w:pPr>
        <w:spacing w:before="19" w:line="400" w:lineRule="exact"/>
        <w:widowControl/>
        <w:rPr>
          <w:rFonts w:hint="eastAsia" w:ascii="仿宋" w:hAnsi="仿宋" w:eastAsia="仿宋" w:cs="仿宋"/>
          <w:bCs/>
          <w:color w:val="000000"/>
          <w:sz w:val="32"/>
          <w:szCs w:val="32"/>
          <w:highlight w:val="none"/>
        </w:rPr>
      </w:pPr>
      <w:r/>
      <w:bookmarkStart w:id="232" w:name="_Toc157775468"/>
      <w:r/>
      <w:r/>
    </w:p>
    <w:p>
      <w:pPr>
        <w:spacing w:before="19" w:line="400" w:lineRule="exact"/>
        <w:widowControl/>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供应商全称（加盖CA电子签章）：</w:t>
      </w:r>
      <w:r/>
    </w:p>
    <w:p>
      <w:pPr>
        <w:spacing w:before="19" w:line="400" w:lineRule="exact"/>
        <w:widowControl/>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项目名称：</w:t>
      </w:r>
      <w:r/>
    </w:p>
    <w:p>
      <w:pPr>
        <w:spacing w:before="19" w:line="400" w:lineRule="exact"/>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28"/>
          <w:szCs w:val="28"/>
          <w:highlight w:val="none"/>
        </w:rPr>
        <w:t xml:space="preserve">招标编号：                                </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cantSplit/>
          <w:jc w:val="center"/>
          <w:trHeight w:val="1057"/>
        </w:trPr>
        <w:tc>
          <w:tcPr>
            <w:tcW w:w="8620" w:type="dxa"/>
            <w:vAlign w:val="center"/>
            <w:textDirection w:val="lrTb"/>
            <w:noWrap w:val="false"/>
          </w:tcPr>
          <w:p>
            <w:pPr>
              <w:spacing w:before="19" w:line="400" w:lineRule="exact"/>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              投标报价（人民币：元）</w:t>
            </w:r>
            <w:r/>
          </w:p>
        </w:tc>
      </w:tr>
      <w:tr>
        <w:trPr>
          <w:cantSplit/>
          <w:jc w:val="center"/>
          <w:trHeight w:val="909"/>
        </w:trPr>
        <w:tc>
          <w:tcPr>
            <w:tcW w:w="8620" w:type="dxa"/>
            <w:vAlign w:val="center"/>
            <w:textDirection w:val="lrTb"/>
            <w:noWrap w:val="false"/>
          </w:tcPr>
          <w:p>
            <w:pPr>
              <w:spacing w:before="19" w:line="400" w:lineRule="exact"/>
              <w:widowControl/>
              <w:rPr>
                <w:rFonts w:hint="eastAsia" w:ascii="仿宋" w:hAnsi="仿宋" w:eastAsia="仿宋" w:cs="仿宋"/>
                <w:bCs/>
                <w:color w:val="000000"/>
                <w:sz w:val="32"/>
                <w:szCs w:val="32"/>
                <w:highlight w:val="none"/>
              </w:rPr>
            </w:pPr>
            <w:r/>
            <w:bookmarkStart w:id="233" w:name="OLE_LINK50"/>
            <w:r>
              <w:rPr>
                <w:rFonts w:hint="eastAsia" w:ascii="仿宋" w:hAnsi="仿宋" w:eastAsia="仿宋" w:cs="仿宋"/>
                <w:bCs/>
                <w:color w:val="000000"/>
                <w:sz w:val="32"/>
                <w:szCs w:val="32"/>
                <w:highlight w:val="none"/>
              </w:rPr>
              <w:t xml:space="preserve">投标报价</w:t>
            </w:r>
            <w:bookmarkEnd w:id="233"/>
            <w:r>
              <w:rPr>
                <w:rFonts w:hint="eastAsia" w:ascii="仿宋" w:hAnsi="仿宋" w:eastAsia="仿宋" w:cs="仿宋"/>
                <w:bCs/>
                <w:color w:val="000000"/>
                <w:sz w:val="32"/>
                <w:szCs w:val="32"/>
                <w:highlight w:val="none"/>
              </w:rPr>
              <w:t xml:space="preserve">（小写）：</w:t>
            </w:r>
            <w:r>
              <w:rPr>
                <w:rFonts w:hint="eastAsia" w:ascii="仿宋" w:hAnsi="仿宋" w:eastAsia="仿宋" w:cs="仿宋"/>
                <w:bCs/>
                <w:color w:val="000000"/>
                <w:sz w:val="32"/>
                <w:szCs w:val="32"/>
                <w:highlight w:val="none"/>
                <w:u w:val="single"/>
              </w:rPr>
              <w:t xml:space="preserve">             </w:t>
            </w:r>
            <w:r>
              <w:rPr>
                <w:rFonts w:hint="eastAsia" w:ascii="仿宋" w:hAnsi="仿宋" w:eastAsia="仿宋" w:cs="仿宋"/>
                <w:bCs/>
                <w:color w:val="000000"/>
                <w:sz w:val="32"/>
                <w:szCs w:val="32"/>
                <w:highlight w:val="none"/>
              </w:rPr>
              <w:t xml:space="preserve">元 </w:t>
            </w:r>
            <w:r/>
          </w:p>
          <w:p>
            <w:pPr>
              <w:pStyle w:val="1004"/>
              <w:rPr>
                <w:rFonts w:hint="eastAsia" w:ascii="仿宋" w:hAnsi="仿宋" w:eastAsia="仿宋" w:cs="仿宋"/>
                <w:color w:val="000000"/>
                <w:highlight w:val="none"/>
              </w:rPr>
            </w:pPr>
            <w:r>
              <w:rPr>
                <w:rFonts w:hint="eastAsia" w:ascii="仿宋" w:hAnsi="仿宋" w:eastAsia="仿宋" w:cs="仿宋"/>
                <w:bCs/>
                <w:color w:val="000000"/>
                <w:sz w:val="32"/>
                <w:szCs w:val="32"/>
                <w:highlight w:val="none"/>
              </w:rPr>
              <w:t xml:space="preserve">          </w:t>
            </w:r>
            <w:r/>
          </w:p>
        </w:tc>
      </w:tr>
      <w:tr>
        <w:trPr>
          <w:cantSplit/>
          <w:jc w:val="center"/>
          <w:trHeight w:val="909"/>
        </w:trPr>
        <w:tc>
          <w:tcPr>
            <w:tcW w:w="8620" w:type="dxa"/>
            <w:vAlign w:val="center"/>
            <w:textDirection w:val="lrTb"/>
            <w:noWrap w:val="false"/>
          </w:tcPr>
          <w:p>
            <w:pPr>
              <w:spacing w:before="19" w:line="400" w:lineRule="exact"/>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投标报价（大写）：</w:t>
            </w:r>
            <w:r>
              <w:rPr>
                <w:rFonts w:hint="eastAsia" w:ascii="仿宋" w:hAnsi="仿宋" w:eastAsia="仿宋" w:cs="仿宋"/>
                <w:color w:val="000000"/>
                <w:sz w:val="28"/>
                <w:szCs w:val="28"/>
                <w:highlight w:val="none"/>
              </w:rPr>
              <w:t xml:space="preserve">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万</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拾</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w:t>
            </w:r>
            <w:r/>
          </w:p>
        </w:tc>
      </w:tr>
    </w:tbl>
    <w:p>
      <w:pPr>
        <w:spacing w:before="19" w:line="400" w:lineRule="exact"/>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spacing w:before="19" w:line="400" w:lineRule="exact"/>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                              日期：       年   月   日</w:t>
      </w:r>
      <w:r/>
    </w:p>
    <w:p>
      <w:pPr>
        <w:spacing w:before="19" w:line="40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pacing w:line="40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供应商: </w:t>
      </w:r>
      <w:r>
        <w:rPr>
          <w:rFonts w:hint="eastAsia" w:ascii="仿宋" w:hAnsi="仿宋" w:eastAsia="仿宋" w:cs="仿宋"/>
          <w:color w:val="000000"/>
          <w:sz w:val="28"/>
          <w:szCs w:val="28"/>
          <w:highlight w:val="none"/>
          <w:u w:val="single"/>
        </w:rPr>
        <w:t xml:space="preserve">       （电子签章）       </w:t>
      </w:r>
      <w:r/>
    </w:p>
    <w:p>
      <w:pPr>
        <w:spacing w:line="40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highlight w:val="none"/>
          <w:u w:val="single"/>
        </w:rPr>
        <w:t xml:space="preserve">（电子签章或电子签字）</w:t>
      </w:r>
      <w:r/>
    </w:p>
    <w:p>
      <w:pPr>
        <w:ind w:firstLine="411"/>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11"/>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11"/>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w:t>
      </w:r>
      <w:r/>
    </w:p>
    <w:p>
      <w:pPr>
        <w:ind w:firstLine="411"/>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供应商在投标文件制作工具中制作投标文件时，须填写开标一览表。</w:t>
      </w:r>
      <w:r/>
    </w:p>
    <w:p>
      <w:pPr>
        <w:pStyle w:val="1010"/>
        <w:jc w:val="center"/>
        <w:spacing w:line="4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010"/>
        <w:jc w:val="center"/>
        <w:spacing w:line="40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bookmarkEnd w:id="232"/>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分项报价表（单位：元）</w:t>
      </w:r>
      <w:r/>
    </w:p>
    <w:tbl>
      <w:tblPr>
        <w:tblStyle w:val="775"/>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650"/>
        <w:gridCol w:w="2322"/>
        <w:gridCol w:w="2743"/>
        <w:gridCol w:w="1073"/>
        <w:gridCol w:w="1097"/>
        <w:gridCol w:w="1050"/>
        <w:gridCol w:w="912"/>
      </w:tblGrid>
      <w:tr>
        <w:trPr>
          <w:trHeight w:val="57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571" w:type="pct"/>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分项内容</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分项</w:t>
            </w:r>
            <w:r>
              <w:rPr>
                <w:rFonts w:hint="eastAsia" w:ascii="仿宋" w:hAnsi="仿宋" w:eastAsia="仿宋" w:cs="仿宋"/>
                <w:color w:val="000000"/>
                <w:szCs w:val="21"/>
                <w:highlight w:val="none"/>
                <w:lang w:bidi="ar"/>
              </w:rPr>
              <w:br/>
            </w:r>
            <w:r>
              <w:rPr>
                <w:rFonts w:hint="eastAsia" w:ascii="仿宋" w:hAnsi="仿宋" w:eastAsia="仿宋" w:cs="仿宋"/>
                <w:color w:val="000000"/>
                <w:szCs w:val="21"/>
                <w:highlight w:val="none"/>
                <w:lang w:bidi="ar"/>
              </w:rPr>
              <w:t xml:space="preserve">单价</w:t>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分项总价</w:t>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79" w:type="pct"/>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数据治理</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数据资源梳理</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数据汇聚</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数据加工实施</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数据资源池实施</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数据服务封装实施</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数据监测管理</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市区数据对接</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道路塌陷检测</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bidi="ar"/>
              </w:rPr>
              <w:t xml:space="preserve">道路塌陷检测</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公里</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bidi="ar"/>
              </w:rPr>
              <w:t xml:space="preserve">97</w:t>
            </w:r>
            <w:r>
              <w:rPr>
                <w:rFonts w:hint="eastAsia" w:ascii="仿宋" w:hAnsi="仿宋" w:eastAsia="仿宋" w:cs="仿宋"/>
                <w:color w:val="auto"/>
                <w:sz w:val="22"/>
                <w:szCs w:val="22"/>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1179" w:type="pct"/>
            <w:vAlign w:val="center"/>
            <w:vMerge w:val="restart"/>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智慧监测（排水防涝）</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视频雷达水位球</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11</w:t>
            </w:r>
            <w:r/>
          </w:p>
        </w:tc>
        <w:tc>
          <w:tcPr>
            <w:tcBorders>
              <w:top w:val="single" w:color="000000" w:sz="4" w:space="0"/>
              <w:left w:val="single" w:color="000000" w:sz="4" w:space="0"/>
              <w:bottom w:val="non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6米监测杆件</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12</w:t>
            </w:r>
            <w:r/>
          </w:p>
        </w:tc>
        <w:tc>
          <w:tcPr>
            <w:tcBorders>
              <w:top w:val="single" w:color="000000" w:sz="4" w:space="0"/>
              <w:left w:val="single" w:color="000000" w:sz="4" w:space="0"/>
              <w:bottom w:val="non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5米监测杆件</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13</w:t>
            </w:r>
            <w:r/>
          </w:p>
        </w:tc>
        <w:tc>
          <w:tcPr>
            <w:tcBorders>
              <w:top w:val="single" w:color="000000" w:sz="4" w:space="0"/>
              <w:left w:val="single" w:color="000000" w:sz="4" w:space="0"/>
              <w:bottom w:val="non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光伏供电系统</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14</w:t>
            </w:r>
            <w:r/>
          </w:p>
        </w:tc>
        <w:tc>
          <w:tcPr>
            <w:tcBorders>
              <w:top w:val="single" w:color="000000" w:sz="4" w:space="0"/>
              <w:left w:val="single" w:color="000000" w:sz="4" w:space="0"/>
              <w:bottom w:val="non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窨井液位计</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硬盘录像机及硬盘</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16</w:t>
            </w:r>
            <w:r/>
          </w:p>
        </w:tc>
        <w:tc>
          <w:tcPr>
            <w:tcBorders>
              <w:top w:val="single" w:color="000000" w:sz="4" w:space="0"/>
              <w:left w:val="single" w:color="000000" w:sz="4" w:space="0"/>
              <w:bottom w:val="non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通信租赁</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179" w:type="pct"/>
            <w:vAlign w:val="center"/>
            <w:vMerge w:val="restart"/>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智慧监测（桥梁）</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光电挠度仪</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标靶</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磁致位移计</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应变（温度）计</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高清摄像机</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综合采集站-智能机柜</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综合采集站-电源模块</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综合采集站-通讯模块</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综合采集站-主控模块</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综合采集站-综合采集模块</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 xml:space="preserve">智能物联主机</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健康监测软件</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30</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通信租赁</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179" w:type="pct"/>
            <w:vAlign w:val="center"/>
            <w:vMerge w:val="restart"/>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智慧监测（照明）</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集中控制器</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单灯控制器</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照明控制柜</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智慧照明管理平台</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179" w:type="pct"/>
            <w:vAlign w:val="center"/>
            <w:vMerge w:val="restart"/>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智慧监测（井盖）</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智慧井盖</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智慧井盖管理子平台</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179" w:type="pct"/>
            <w:vAlign w:val="center"/>
            <w:vMerge w:val="continue"/>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通信租赁</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处</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市政设施智能巡检</w:t>
            </w:r>
            <w:r/>
          </w:p>
        </w:tc>
        <w:tc>
          <w:tcPr>
            <w:tcBorders>
              <w:top w:val="single" w:color="000000" w:sz="4" w:space="0"/>
              <w:left w:val="single" w:color="000000" w:sz="4" w:space="0"/>
              <w:bottom w:val="single" w:color="000000" w:sz="4" w:space="0"/>
              <w:right w:val="single" w:color="000000" w:sz="4" w:space="0"/>
            </w:tcBorders>
            <w:tcW w:w="1392"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市政巡检无人机</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463"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288"/>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179" w:type="pct"/>
            <w:vAlign w:val="center"/>
            <w:textDirection w:val="lrTb"/>
            <w:noWrap/>
          </w:tcPr>
          <w:p>
            <w:pPr>
              <w:jc w:val="center"/>
              <w:widowControl/>
              <w:rPr>
                <w:rFonts w:hint="eastAsia" w:ascii="仿宋" w:hAnsi="仿宋" w:eastAsia="仿宋" w:cs="仿宋"/>
                <w:color w:val="000000"/>
                <w:sz w:val="22"/>
                <w:szCs w:val="22"/>
                <w:highlight w:val="none"/>
                <w:lang w:bidi="ar"/>
              </w:rPr>
            </w:pPr>
            <w:r>
              <w:rPr>
                <w:rFonts w:hint="eastAsia" w:ascii="仿宋" w:hAnsi="仿宋" w:eastAsia="仿宋" w:cs="仿宋"/>
                <w:color w:val="000000"/>
                <w:sz w:val="22"/>
                <w:szCs w:val="22"/>
                <w:highlight w:val="none"/>
                <w:lang w:bidi="ar"/>
              </w:rPr>
              <w:t xml:space="preserve">合计</w:t>
            </w:r>
            <w:r/>
          </w:p>
        </w:tc>
        <w:tc>
          <w:tcPr>
            <w:gridSpan w:val="5"/>
            <w:tcBorders>
              <w:top w:val="single" w:color="000000" w:sz="4" w:space="0"/>
              <w:left w:val="single" w:color="000000" w:sz="4" w:space="0"/>
              <w:bottom w:val="single" w:color="000000" w:sz="4" w:space="0"/>
              <w:right w:val="single" w:color="000000" w:sz="4" w:space="0"/>
            </w:tcBorders>
            <w:tcW w:w="3490" w:type="pct"/>
            <w:vAlign w:val="center"/>
            <w:textDirection w:val="lrTb"/>
            <w:noWrap/>
          </w:tcPr>
          <w:p>
            <w:pP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bl>
    <w:p>
      <w:pPr>
        <w:jc w:val="center"/>
        <w:widowControl/>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jc w:val="center"/>
        <w:widowControl/>
        <w:rPr>
          <w:rFonts w:hint="eastAsia" w:ascii="仿宋" w:hAnsi="仿宋" w:eastAsia="仿宋" w:cs="仿宋"/>
          <w:color w:val="000000"/>
          <w:sz w:val="28"/>
          <w:szCs w:val="28"/>
          <w:highlight w:val="none"/>
        </w:rPr>
        <w:outlineLvl w:val="1"/>
      </w:pPr>
      <w:r>
        <w:rPr>
          <w:rFonts w:hint="eastAsia" w:ascii="仿宋" w:hAnsi="仿宋" w:eastAsia="仿宋" w:cs="仿宋"/>
          <w:b/>
          <w:color w:val="000000"/>
          <w:sz w:val="32"/>
          <w:szCs w:val="32"/>
          <w:highlight w:val="none"/>
        </w:rPr>
        <w:t xml:space="preserve">三</w:t>
      </w:r>
      <w:r>
        <w:rPr>
          <w:rFonts w:hint="eastAsia" w:ascii="仿宋" w:hAnsi="仿宋" w:eastAsia="仿宋" w:cs="仿宋"/>
          <w:b/>
          <w:bCs/>
          <w:color w:val="000000"/>
          <w:sz w:val="32"/>
          <w:highlight w:val="none"/>
        </w:rPr>
        <w:t xml:space="preserve">、</w:t>
      </w:r>
      <w:r>
        <w:rPr>
          <w:rFonts w:hint="eastAsia" w:ascii="仿宋" w:hAnsi="仿宋" w:eastAsia="仿宋" w:cs="仿宋"/>
          <w:b/>
          <w:color w:val="000000"/>
          <w:sz w:val="32"/>
          <w:highlight w:val="none"/>
        </w:rPr>
        <w:t xml:space="preserve">资质审查时投标供应商必须提供的资格证明文件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1、供应商提供下列材料之一:</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（1）供应商提供法定代表人资格证明（扫描件并加盖供应商电子签章， 格式详见示范格式一）和法定代表人身份证（原件扫描件并加盖供应商电子签章）；</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（2）供应商提供授权委托书（扫描件并加盖供应商电子签章，格式详见示范格式二）和受托人身份证（原件扫描件并加盖供应商电子签章）。</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2、提供法人或者其他组织的营业执照、税务登记证、组织机构代码证或已办理三证合一的营业执照（扫描件加盖供应商电子签章）；</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3、供应商针对本项目须作出承诺；（提供承诺书扫描件并进行电子签章，必须提供，格式详见示范格式三）</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4、不接受联合体供应商参加投标（未见联合体即可）。</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5、供应商符合《政府采购法》第二十二条规定条件的承诺函（格式详见示范格式四）；</w:t>
      </w:r>
      <w:r/>
    </w:p>
    <w:p>
      <w:pPr>
        <w:pStyle w:val="1184"/>
        <w:ind w:firstLine="56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6、落实政府采购政策需满足的资格要求</w:t>
      </w:r>
      <w:r>
        <w:rPr>
          <w:rFonts w:hint="eastAsia" w:ascii="仿宋" w:hAnsi="仿宋" w:eastAsia="仿宋" w:cs="仿宋"/>
          <w:b/>
          <w:bCs/>
          <w:color w:val="000000"/>
          <w:highlight w:val="none"/>
        </w:rPr>
        <w:t xml:space="preserve">（提供下列任一项材料即可，非专门面向中小企业或者预留份额的采购项目，本项无需提供）</w:t>
      </w:r>
      <w:r>
        <w:rPr>
          <w:rFonts w:hint="eastAsia" w:ascii="仿宋" w:hAnsi="仿宋" w:eastAsia="仿宋" w:cs="仿宋"/>
          <w:color w:val="000000"/>
          <w:highlight w:val="none"/>
        </w:rPr>
        <w:t xml:space="preserve">:</w:t>
      </w:r>
      <w:r/>
    </w:p>
    <w:p>
      <w:pPr>
        <w:pStyle w:val="1184"/>
        <w:ind w:firstLine="56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（1）企业声明函（详见示范格式五）；</w:t>
      </w:r>
      <w:r/>
    </w:p>
    <w:p>
      <w:pPr>
        <w:pStyle w:val="1184"/>
        <w:ind w:firstLine="56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（2）《残疾人福利性单位声明函》（详见示范格式六）；</w:t>
      </w:r>
      <w:r/>
    </w:p>
    <w:p>
      <w:pPr>
        <w:pStyle w:val="1184"/>
        <w:ind w:firstLine="56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7、供应商未被“信用中国”网站、“中国政府采购网”列入失信被执行人、重大税收违法案件当事人名单、政府采购严重违法失信行为记录名单。（提供网站截图）</w:t>
      </w:r>
      <w:r/>
    </w:p>
    <w:p>
      <w:pPr>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（1）上述是对供应商资质审查时，供应商所必须要提供的资格证明文件，如供应商未能提供上述资格证明文件以及发现供应商的资质条件不符合招标文件要求，可随时取消其投标资格。</w:t>
      </w:r>
      <w:r/>
    </w:p>
    <w:p>
      <w:pPr>
        <w:ind w:firstLine="548"/>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（2）供应商所提供的资格证明材料应真实、有效，采购代理机构及采购单位保留对供应商提供的资格证明材料进行核查的权利。如发现供应商提供虚假资格证明材料，监管部门将对其进行严肃处理。</w:t>
      </w:r>
      <w:r/>
    </w:p>
    <w:p>
      <w:pPr>
        <w:pStyle w:val="1053"/>
        <w:numPr>
          <w:ilvl w:val="0"/>
          <w:numId w:val="0"/>
        </w:numPr>
        <w:ind w:left="632"/>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157"/>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jc w:val="left"/>
        <w:widowControl/>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spacing w:line="48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firstLine="630"/>
        <w:spacing w:line="48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firstLine="630"/>
        <w:spacing w:line="48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br w:type="page" w:clear="all"/>
      </w:r>
      <w:r/>
    </w:p>
    <w:p>
      <w:pPr>
        <w:jc w:val="center"/>
        <w:rPr>
          <w:rFonts w:hint="eastAsia" w:ascii="仿宋" w:hAnsi="仿宋" w:eastAsia="仿宋"/>
          <w:sz w:val="28"/>
          <w:szCs w:val="28"/>
          <w:highlight w:val="none"/>
        </w:rPr>
        <w:outlineLvl w:val="9"/>
      </w:pPr>
      <w:r>
        <w:rPr>
          <w:rFonts w:hint="eastAsia" w:ascii="仿宋" w:hAnsi="仿宋" w:eastAsia="仿宋" w:cs="仿宋"/>
          <w:b/>
          <w:color w:val="000000"/>
          <w:sz w:val="32"/>
          <w:highlight w:val="none"/>
        </w:rPr>
        <w:t xml:space="preserve">四、</w:t>
      </w:r>
      <w:bookmarkStart w:id="234" w:name="_Toc157775454"/>
      <w:r>
        <w:rPr>
          <w:rFonts w:hint="eastAsia" w:ascii="仿宋" w:hAnsi="仿宋" w:eastAsia="仿宋"/>
          <w:b/>
          <w:sz w:val="32"/>
          <w:szCs w:val="32"/>
          <w:highlight w:val="none"/>
        </w:rPr>
        <w:t xml:space="preserve">技术要求响应偏离表</w:t>
      </w:r>
      <w:r/>
    </w:p>
    <w:tbl>
      <w:tblPr>
        <w:tblStyle w:val="775"/>
        <w:tblW w:w="0" w:type="auto"/>
        <w:tblInd w:w="1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p>
        </w:tc>
        <w:tc>
          <w:tcPr>
            <w:tcW w:w="342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p>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所报</w:t>
            </w:r>
            <w:r>
              <w:rPr>
                <w:rFonts w:hint="eastAsia" w:ascii="仿宋" w:hAnsi="仿宋" w:eastAsia="仿宋" w:cs="Arial"/>
                <w:sz w:val="24"/>
                <w:highlight w:val="none"/>
                <w:lang w:val="en-US" w:eastAsia="zh-CN"/>
              </w:rPr>
              <w:t xml:space="preserve">服务及相关</w:t>
            </w:r>
            <w:r>
              <w:rPr>
                <w:rFonts w:hint="eastAsia" w:ascii="仿宋" w:hAnsi="仿宋" w:eastAsia="仿宋" w:cs="Arial"/>
                <w:sz w:val="24"/>
                <w:highlight w:val="none"/>
              </w:rPr>
              <w:t xml:space="preserve">描述</w:t>
            </w:r>
            <w:r/>
          </w:p>
        </w:tc>
        <w:tc>
          <w:tcPr>
            <w:tcW w:w="1080" w:type="dxa"/>
            <w:vAlign w:val="center"/>
            <w:textDirection w:val="lrTb"/>
            <w:noWrap w:val="false"/>
          </w:tcPr>
          <w:p>
            <w:pPr>
              <w:ind w:firstLine="24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偏离</w:t>
            </w:r>
            <w:r/>
          </w:p>
          <w:p>
            <w:pPr>
              <w:ind w:firstLine="24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情况</w:t>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p>
        </w:tc>
      </w:tr>
      <w:tr>
        <w:trPr>
          <w:cantSplit/>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jc w:val="center"/>
              <w:pageBreakBefore w:val="0"/>
              <w:rPr>
                <w:rFonts w:hint="eastAsia" w:ascii="仿宋" w:hAnsi="仿宋" w:eastAsia="仿宋" w:cs="Arial"/>
                <w:spacing w:val="-6"/>
                <w:sz w:val="24"/>
                <w:highlight w:val="none"/>
              </w:rPr>
              <w:outlineLvl w:val="9"/>
            </w:pPr>
            <w:r>
              <w:rPr>
                <w:rFonts w:hint="eastAsia" w:ascii="仿宋" w:hAnsi="仿宋" w:eastAsia="仿宋" w:cs="Arial"/>
                <w:spacing w:val="-6"/>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pageBreakBefore w:val="0"/>
              <w:rPr>
                <w:rFonts w:hint="eastAsia" w:ascii="仿宋" w:hAnsi="仿宋" w:eastAsia="仿宋" w:cs="Arial"/>
                <w:spacing w:val="-6"/>
                <w:sz w:val="24"/>
                <w:highlight w:val="none"/>
              </w:rPr>
              <w:outlineLvl w:val="9"/>
            </w:pPr>
            <w:r>
              <w:rPr>
                <w:rFonts w:hint="eastAsia" w:ascii="仿宋" w:hAnsi="仿宋" w:eastAsia="仿宋" w:cs="Arial"/>
                <w:spacing w:val="-6"/>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pageBreakBefore w:val="0"/>
              <w:rPr>
                <w:rFonts w:hint="eastAsia" w:ascii="仿宋" w:hAnsi="仿宋" w:eastAsia="仿宋"/>
                <w:spacing w:val="-10"/>
                <w:sz w:val="24"/>
                <w:highlight w:val="none"/>
              </w:rPr>
              <w:outlineLvl w:val="9"/>
            </w:pPr>
            <w:r>
              <w:rPr>
                <w:rFonts w:hint="eastAsia" w:ascii="仿宋" w:hAnsi="仿宋" w:eastAsia="仿宋"/>
                <w:spacing w:val="-10"/>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trHeight w:val="704"/>
        </w:trPr>
        <w:tc>
          <w:tcPr>
            <w:tcW w:w="900" w:type="dxa"/>
            <w:vAlign w:val="center"/>
            <w:textDirection w:val="lrTb"/>
            <w:noWrap w:val="false"/>
          </w:tcPr>
          <w:p>
            <w:pPr>
              <w:jc w:val="center"/>
              <w:pageBreakBefore w:val="0"/>
              <w:spacing w:line="360" w:lineRule="auto"/>
              <w:rPr>
                <w:rFonts w:hint="eastAsia" w:ascii="仿宋" w:hAnsi="仿宋" w:eastAsia="仿宋" w:cs="Arial"/>
                <w:sz w:val="28"/>
                <w:szCs w:val="28"/>
                <w:highlight w:val="none"/>
              </w:rPr>
              <w:outlineLvl w:val="9"/>
            </w:pPr>
            <w:r>
              <w:rPr>
                <w:rFonts w:hint="eastAsia" w:ascii="仿宋" w:hAnsi="仿宋" w:eastAsia="仿宋" w:cs="Arial"/>
                <w:sz w:val="28"/>
                <w:szCs w:val="28"/>
                <w:highlight w:val="none"/>
              </w:rPr>
            </w:r>
            <w:r/>
          </w:p>
        </w:tc>
        <w:tc>
          <w:tcPr>
            <w:tcW w:w="3420" w:type="dxa"/>
            <w:vAlign w:val="center"/>
            <w:textDirection w:val="lrTb"/>
            <w:noWrap w:val="false"/>
          </w:tcPr>
          <w:p>
            <w:pPr>
              <w:pageBreakBefore w:val="0"/>
              <w:rPr>
                <w:rFonts w:hint="eastAsia" w:ascii="仿宋" w:hAnsi="仿宋" w:eastAsia="仿宋"/>
                <w:spacing w:val="-10"/>
                <w:sz w:val="24"/>
                <w:highlight w:val="none"/>
              </w:rPr>
              <w:outlineLvl w:val="9"/>
            </w:pPr>
            <w:r>
              <w:rPr>
                <w:rFonts w:hint="eastAsia" w:ascii="仿宋" w:hAnsi="仿宋" w:eastAsia="仿宋"/>
                <w:spacing w:val="-10"/>
                <w:sz w:val="24"/>
                <w:highlight w:val="none"/>
              </w:rPr>
            </w:r>
            <w:r/>
          </w:p>
        </w:tc>
        <w:tc>
          <w:tcPr>
            <w:tcW w:w="2880" w:type="dxa"/>
            <w:vAlign w:val="center"/>
            <w:textDirection w:val="lrTb"/>
            <w:noWrap w:val="false"/>
          </w:tcPr>
          <w:p>
            <w:pPr>
              <w:jc w:val="center"/>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jc w:val="center"/>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560"/>
        <w:pageBreakBefore w:val="0"/>
        <w:spacing w:line="520" w:lineRule="exact"/>
        <w:rPr>
          <w:rFonts w:hint="eastAsia" w:ascii="仿宋" w:hAnsi="仿宋" w:eastAsia="仿宋" w:cs="仿宋"/>
          <w:b/>
          <w:bCs/>
          <w:color w:val="000000"/>
          <w:sz w:val="28"/>
          <w:szCs w:val="22"/>
          <w:highlight w:val="none"/>
        </w:rPr>
        <w:outlineLvl w:val="9"/>
      </w:pPr>
      <w:r>
        <w:rPr>
          <w:rFonts w:hint="eastAsia" w:ascii="仿宋" w:hAnsi="仿宋" w:eastAsia="仿宋"/>
          <w:b/>
          <w:bCs/>
          <w:sz w:val="28"/>
          <w:szCs w:val="28"/>
          <w:highlight w:val="none"/>
        </w:rPr>
        <w:t xml:space="preserve">（2）</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需按照本招标文件的</w:t>
      </w:r>
      <w:r>
        <w:rPr>
          <w:rFonts w:hint="eastAsia" w:ascii="仿宋" w:hAnsi="仿宋" w:eastAsia="仿宋"/>
          <w:b/>
          <w:bCs/>
          <w:sz w:val="28"/>
          <w:szCs w:val="28"/>
          <w:highlight w:val="none"/>
          <w:lang w:val="en-US" w:eastAsia="zh-CN"/>
        </w:rPr>
        <w:t xml:space="preserve">第四章</w:t>
      </w:r>
      <w:r>
        <w:rPr>
          <w:rFonts w:hint="eastAsia" w:ascii="仿宋" w:hAnsi="仿宋" w:eastAsia="仿宋"/>
          <w:b/>
          <w:bCs/>
          <w:sz w:val="28"/>
          <w:szCs w:val="28"/>
          <w:highlight w:val="none"/>
        </w:rPr>
        <w:t xml:space="preserve">项目采购需求要求，在“技术要求响应偏离表”中如实详细填写加“▲”项参数的偏离情况，并按照招标文件要求提供有效的证明材料，不提供的视为负偏离</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其他</w:t>
      </w:r>
      <w:r>
        <w:rPr>
          <w:rFonts w:hint="eastAsia" w:ascii="仿宋" w:hAnsi="仿宋" w:eastAsia="仿宋"/>
          <w:b/>
          <w:bCs/>
          <w:sz w:val="28"/>
          <w:szCs w:val="28"/>
          <w:highlight w:val="none"/>
        </w:rPr>
        <w:t xml:space="preserve">指标</w:t>
      </w:r>
      <w:r>
        <w:rPr>
          <w:rFonts w:hint="eastAsia" w:ascii="仿宋" w:hAnsi="仿宋" w:eastAsia="仿宋"/>
          <w:b/>
          <w:bCs/>
          <w:sz w:val="28"/>
          <w:szCs w:val="28"/>
          <w:highlight w:val="none"/>
          <w:lang w:val="en-US" w:eastAsia="zh-CN"/>
        </w:rPr>
        <w:t xml:space="preserve">如有负偏离的也需填入</w:t>
      </w:r>
      <w:r>
        <w:rPr>
          <w:rFonts w:hint="eastAsia" w:ascii="仿宋" w:hAnsi="仿宋" w:eastAsia="仿宋"/>
          <w:b/>
          <w:bCs/>
          <w:sz w:val="28"/>
          <w:szCs w:val="28"/>
          <w:highlight w:val="none"/>
        </w:rPr>
        <w:t xml:space="preserve">“技术要求响应偏离表”</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lang w:val="en-US" w:eastAsia="zh-CN"/>
        </w:rPr>
        <w:t xml:space="preserve">其他</w:t>
      </w:r>
      <w:r>
        <w:rPr>
          <w:rFonts w:hint="eastAsia" w:ascii="仿宋" w:hAnsi="仿宋" w:eastAsia="仿宋"/>
          <w:b/>
          <w:bCs/>
          <w:sz w:val="28"/>
          <w:szCs w:val="28"/>
          <w:highlight w:val="none"/>
        </w:rPr>
        <w:t xml:space="preserve">指标</w:t>
      </w:r>
      <w:r>
        <w:rPr>
          <w:rFonts w:hint="eastAsia" w:ascii="仿宋" w:hAnsi="仿宋" w:eastAsia="仿宋"/>
          <w:b/>
          <w:bCs/>
          <w:sz w:val="28"/>
          <w:szCs w:val="28"/>
          <w:highlight w:val="none"/>
          <w:lang w:val="en-US" w:eastAsia="zh-CN"/>
        </w:rPr>
        <w:t xml:space="preserve">无负偏离的无需填入表。</w:t>
      </w:r>
      <w:r/>
    </w:p>
    <w:p>
      <w:pPr>
        <w:jc w:val="center"/>
        <w:spacing w:line="520" w:lineRule="exact"/>
        <w:widowControl/>
        <w:rPr>
          <w:rFonts w:hint="eastAsia" w:ascii="仿宋" w:hAnsi="仿宋" w:eastAsia="仿宋" w:cs="仿宋"/>
          <w:b/>
          <w:bCs/>
          <w:color w:val="000000"/>
          <w:sz w:val="28"/>
          <w:szCs w:val="22"/>
          <w:highlight w:val="none"/>
        </w:rPr>
      </w:pPr>
      <w:r>
        <w:rPr>
          <w:rFonts w:hint="eastAsia" w:ascii="仿宋" w:hAnsi="仿宋" w:eastAsia="仿宋" w:cs="仿宋"/>
          <w:b/>
          <w:bCs/>
          <w:color w:val="000000"/>
          <w:sz w:val="28"/>
          <w:szCs w:val="22"/>
          <w:highlight w:val="none"/>
        </w:rPr>
      </w:r>
      <w:r/>
    </w:p>
    <w:p>
      <w:pPr>
        <w:jc w:val="center"/>
        <w:spacing w:line="520" w:lineRule="exact"/>
        <w:widowControl/>
        <w:rPr>
          <w:rFonts w:hint="eastAsia" w:ascii="仿宋" w:hAnsi="仿宋" w:eastAsia="仿宋" w:cs="仿宋"/>
          <w:b/>
          <w:bCs/>
          <w:color w:val="000000"/>
          <w:sz w:val="28"/>
          <w:szCs w:val="22"/>
          <w:highlight w:val="none"/>
        </w:rPr>
      </w:pPr>
      <w:r>
        <w:rPr>
          <w:rFonts w:hint="eastAsia" w:ascii="仿宋" w:hAnsi="仿宋" w:eastAsia="仿宋" w:cs="仿宋"/>
          <w:b/>
          <w:bCs/>
          <w:color w:val="000000"/>
          <w:sz w:val="28"/>
          <w:szCs w:val="22"/>
          <w:highlight w:val="none"/>
        </w:rPr>
      </w:r>
      <w:r/>
    </w:p>
    <w:p>
      <w:pPr>
        <w:jc w:val="center"/>
        <w:spacing w:line="520" w:lineRule="exact"/>
        <w:widowControl/>
        <w:rPr>
          <w:rFonts w:hint="eastAsia" w:ascii="仿宋" w:hAnsi="仿宋" w:eastAsia="仿宋" w:cs="仿宋"/>
          <w:b/>
          <w:bCs/>
          <w:color w:val="000000"/>
          <w:sz w:val="28"/>
          <w:szCs w:val="22"/>
          <w:highlight w:val="none"/>
        </w:rPr>
      </w:pPr>
      <w:r>
        <w:rPr>
          <w:rFonts w:hint="eastAsia" w:ascii="仿宋" w:hAnsi="仿宋" w:eastAsia="仿宋" w:cs="仿宋"/>
          <w:b/>
          <w:bCs/>
          <w:color w:val="000000"/>
          <w:sz w:val="28"/>
          <w:szCs w:val="2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jc w:val="center"/>
        <w:spacing w:line="440" w:lineRule="exact"/>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五、示范格式</w:t>
      </w:r>
      <w:r/>
    </w:p>
    <w:p>
      <w:pPr>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pacing w:line="44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示范格式一                 </w:t>
      </w:r>
      <w:bookmarkEnd w:id="234"/>
      <w:r/>
      <w:r/>
    </w:p>
    <w:p>
      <w:pPr>
        <w:ind w:firstLine="2570"/>
        <w:spacing w:line="44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ind w:firstLine="2570"/>
        <w:spacing w:line="400" w:lineRule="exact"/>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jc w:val="center"/>
        <w:spacing w:line="400" w:lineRule="exact"/>
        <w:rPr>
          <w:rFonts w:hint="eastAsia" w:ascii="仿宋" w:hAnsi="仿宋" w:eastAsia="仿宋" w:cs="仿宋"/>
          <w:b/>
          <w:bCs/>
          <w:color w:val="000000"/>
          <w:sz w:val="32"/>
          <w:szCs w:val="32"/>
          <w:highlight w:val="none"/>
          <w:lang w:val="zh-CN"/>
        </w:rPr>
        <w:outlineLvl w:val="0"/>
      </w:pPr>
      <w:r/>
      <w:bookmarkStart w:id="235" w:name="_Toc16373"/>
      <w:r/>
      <w:bookmarkStart w:id="236" w:name="_Toc6034"/>
      <w:r/>
      <w:bookmarkStart w:id="237" w:name="_Toc29068"/>
      <w:r/>
      <w:bookmarkStart w:id="238" w:name="_Toc3147"/>
      <w:r/>
      <w:bookmarkStart w:id="239" w:name="_Toc29023"/>
      <w:r/>
      <w:bookmarkStart w:id="240" w:name="_Toc15716"/>
      <w:r/>
      <w:bookmarkStart w:id="241" w:name="_Toc6090"/>
      <w:r/>
      <w:bookmarkStart w:id="242" w:name="_Toc18185"/>
      <w:r/>
      <w:bookmarkStart w:id="243" w:name="_Toc5991"/>
      <w:r/>
      <w:bookmarkStart w:id="244" w:name="_Toc12833"/>
      <w:r/>
      <w:bookmarkStart w:id="245" w:name="_Toc24401"/>
      <w:r/>
      <w:bookmarkStart w:id="246" w:name="_Toc14761"/>
      <w:r/>
      <w:bookmarkStart w:id="247" w:name="_Toc16611"/>
      <w:r/>
      <w:bookmarkStart w:id="248" w:name="_Toc32666"/>
      <w:r>
        <w:rPr>
          <w:rFonts w:hint="eastAsia" w:ascii="仿宋" w:hAnsi="仿宋" w:eastAsia="仿宋" w:cs="仿宋"/>
          <w:b/>
          <w:bCs/>
          <w:color w:val="000000"/>
          <w:sz w:val="32"/>
          <w:szCs w:val="32"/>
          <w:highlight w:val="none"/>
          <w:lang w:val="zh-CN"/>
        </w:rPr>
        <w:t xml:space="preserve">法定代表人资格证明</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单位名称:</w:t>
      </w:r>
      <w:r/>
    </w:p>
    <w:p>
      <w:pP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地址:</w:t>
      </w:r>
      <w:r/>
    </w:p>
    <w:p>
      <w:pP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姓名:     性别:      年龄:      职务:</w:t>
      </w:r>
      <w:r/>
    </w:p>
    <w:p>
      <w:pPr>
        <w:ind w:left="1" w:firstLine="560"/>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系</w:t>
      </w:r>
      <w:r>
        <w:rPr>
          <w:rFonts w:hint="eastAsia" w:ascii="仿宋" w:hAnsi="仿宋" w:eastAsia="仿宋" w:cs="仿宋"/>
          <w:color w:val="000000"/>
          <w:sz w:val="28"/>
          <w:szCs w:val="28"/>
          <w:highlight w:val="none"/>
          <w:u w:val="single"/>
          <w:lang w:val="zh-CN"/>
        </w:rPr>
        <w:t xml:space="preserve"> （供应商单位名称）</w:t>
      </w:r>
      <w:r>
        <w:rPr>
          <w:rFonts w:hint="eastAsia" w:ascii="仿宋" w:hAnsi="仿宋" w:eastAsia="仿宋" w:cs="仿宋"/>
          <w:color w:val="000000"/>
          <w:sz w:val="28"/>
          <w:szCs w:val="28"/>
          <w:highlight w:val="none"/>
          <w:lang w:val="zh-CN"/>
        </w:rPr>
        <w:t xml:space="preserve">的法定代表人。</w:t>
      </w:r>
      <w:r>
        <w:rPr>
          <w:rFonts w:hint="eastAsia" w:ascii="仿宋" w:hAnsi="仿宋" w:eastAsia="仿宋" w:cs="仿宋"/>
          <w:color w:val="000000"/>
          <w:sz w:val="28"/>
          <w:highlight w:val="none"/>
        </w:rPr>
        <w:t xml:space="preserve">为参与</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highlight w:val="none"/>
        </w:rPr>
        <w:t xml:space="preserve">项目的政府采购活动，签署上述项目的投标文件、进行投标、签署合同和处理与之有关的一切事务。</w:t>
      </w:r>
      <w:r/>
    </w:p>
    <w:p>
      <w:pPr>
        <w:ind w:firstLine="560"/>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特此证明。</w:t>
      </w:r>
      <w:r/>
    </w:p>
    <w:p>
      <w:pPr>
        <w:jc w:val="cente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p>
    <w:p>
      <w:pPr>
        <w:jc w:val="cente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供应商:</w:t>
      </w:r>
      <w:r>
        <w:rPr>
          <w:rFonts w:hint="eastAsia" w:ascii="仿宋" w:hAnsi="仿宋" w:eastAsia="仿宋" w:cs="仿宋"/>
          <w:color w:val="000000"/>
          <w:sz w:val="28"/>
          <w:szCs w:val="28"/>
          <w:highlight w:val="none"/>
          <w:u w:val="single"/>
          <w:lang w:val="zh-CN"/>
        </w:rPr>
        <w:t xml:space="preserve">    （电子签章）     </w:t>
      </w:r>
      <w:r/>
    </w:p>
    <w:p>
      <w:pPr>
        <w:jc w:val="cente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pStyle w:val="1156"/>
        <w:ind w:left="4760" w:right="560" w:hanging="1820"/>
        <w:spacing w:before="0" w:after="0"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jc w:val="cente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p>
    <w:p>
      <w:pPr>
        <w:ind w:firstLine="560"/>
        <w:spacing w:line="4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highlight w:val="none"/>
        </w:rPr>
        <w:t xml:space="preserve">注:供应商法定代表人</w:t>
      </w:r>
      <w:r>
        <w:rPr>
          <w:rFonts w:hint="eastAsia" w:ascii="仿宋" w:hAnsi="仿宋" w:eastAsia="仿宋" w:cs="仿宋"/>
          <w:bCs/>
          <w:color w:val="000000"/>
          <w:sz w:val="28"/>
          <w:szCs w:val="28"/>
          <w:highlight w:val="none"/>
        </w:rPr>
        <w:t xml:space="preserve">参加投标的，必须附</w:t>
      </w:r>
      <w:r>
        <w:rPr>
          <w:rFonts w:hint="eastAsia" w:ascii="仿宋" w:hAnsi="仿宋" w:eastAsia="仿宋" w:cs="仿宋"/>
          <w:bCs/>
          <w:color w:val="000000"/>
          <w:sz w:val="28"/>
          <w:highlight w:val="none"/>
        </w:rPr>
        <w:t xml:space="preserve">法定代表人</w:t>
      </w:r>
      <w:r>
        <w:rPr>
          <w:rFonts w:hint="eastAsia" w:ascii="仿宋" w:hAnsi="仿宋" w:eastAsia="仿宋" w:cs="仿宋"/>
          <w:bCs/>
          <w:color w:val="000000"/>
          <w:sz w:val="28"/>
          <w:szCs w:val="28"/>
          <w:highlight w:val="none"/>
        </w:rPr>
        <w:t xml:space="preserve">身份证扫描件加盖供应商电子签章。</w:t>
      </w:r>
      <w:r>
        <w:rPr>
          <w:rFonts w:hint="eastAsia" w:ascii="仿宋" w:hAnsi="仿宋" w:eastAsia="仿宋" w:cs="仿宋"/>
          <w:color w:val="000000"/>
          <w:sz w:val="28"/>
          <w:szCs w:val="28"/>
          <w:highlight w:val="none"/>
        </w:rPr>
        <w:t xml:space="preserve">法定代表人授权其他人参加投标的，仅需填写“授权委托书”。</w:t>
      </w:r>
      <w:r/>
    </w:p>
    <w:p>
      <w:pPr>
        <w:ind w:left="-359" w:firstLine="357"/>
        <w:spacing w:line="40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1053"/>
        <w:numPr>
          <w:ilvl w:val="0"/>
          <w:numId w:val="0"/>
        </w:numPr>
        <w:ind w:left="632"/>
        <w:rPr>
          <w:rFonts w:hint="eastAsia" w:ascii="仿宋" w:hAnsi="仿宋" w:eastAsia="仿宋" w:cs="仿宋"/>
          <w:color w:val="000000"/>
          <w:highlight w:val="none"/>
        </w:rPr>
      </w:pPr>
      <w:r>
        <w:rPr>
          <w:rFonts w:hint="eastAsia" w:ascii="仿宋" w:hAnsi="仿宋" w:eastAsia="仿宋" w:cs="仿宋"/>
          <w:color w:val="000000"/>
          <w:highlight w:val="none"/>
        </w:rPr>
      </w:r>
      <w:r/>
    </w:p>
    <w:p>
      <w:pPr>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1053"/>
        <w:numPr>
          <w:ilvl w:val="0"/>
          <w:numId w:val="0"/>
        </w:numPr>
        <w:rPr>
          <w:rFonts w:hint="eastAsia" w:ascii="仿宋" w:hAnsi="仿宋" w:eastAsia="仿宋" w:cs="仿宋"/>
          <w:color w:val="000000"/>
          <w:highlight w:val="none"/>
        </w:rPr>
      </w:pPr>
      <w:r>
        <w:rPr>
          <w:rFonts w:hint="eastAsia" w:ascii="仿宋" w:hAnsi="仿宋" w:eastAsia="仿宋" w:cs="仿宋"/>
          <w:color w:val="000000"/>
          <w:highlight w:val="none"/>
        </w:rPr>
      </w:r>
      <w:r/>
    </w:p>
    <w:p>
      <w:pPr>
        <w:ind w:left="-359" w:firstLine="357"/>
        <w:spacing w:line="6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32"/>
          <w:highlight w:val="none"/>
        </w:rPr>
        <w:t xml:space="preserve">示范格式二</w:t>
      </w:r>
      <w:r/>
    </w:p>
    <w:p>
      <w:pPr>
        <w:jc w:val="center"/>
        <w:spacing w:line="400" w:lineRule="exact"/>
        <w:rPr>
          <w:rFonts w:hint="eastAsia" w:ascii="仿宋" w:hAnsi="仿宋" w:eastAsia="仿宋" w:cs="仿宋"/>
          <w:b/>
          <w:bCs/>
          <w:color w:val="000000"/>
          <w:sz w:val="28"/>
          <w:highlight w:val="none"/>
        </w:rPr>
        <w:outlineLvl w:val="0"/>
      </w:pPr>
      <w:r/>
      <w:bookmarkStart w:id="249" w:name="_Toc11629"/>
      <w:r/>
      <w:bookmarkStart w:id="250" w:name="_Toc693"/>
      <w:r/>
      <w:bookmarkStart w:id="251" w:name="_Toc27127"/>
      <w:r/>
      <w:bookmarkStart w:id="252" w:name="_Toc13338"/>
      <w:r/>
      <w:bookmarkStart w:id="253" w:name="_Toc11104"/>
      <w:r/>
      <w:bookmarkStart w:id="254" w:name="_Toc30197"/>
      <w:r/>
      <w:bookmarkStart w:id="255" w:name="_Toc31066"/>
      <w:r/>
      <w:bookmarkStart w:id="256" w:name="_Toc10608"/>
      <w:r/>
      <w:bookmarkStart w:id="257" w:name="_Toc16998"/>
      <w:r/>
      <w:bookmarkStart w:id="258" w:name="_Toc6376"/>
      <w:r/>
      <w:bookmarkStart w:id="259" w:name="_Toc17038"/>
      <w:r/>
      <w:bookmarkStart w:id="260" w:name="_Toc28333"/>
      <w:r/>
      <w:bookmarkStart w:id="261" w:name="_Toc975"/>
      <w:r/>
      <w:bookmarkStart w:id="262" w:name="_Toc22128"/>
      <w:r>
        <w:rPr>
          <w:rFonts w:hint="eastAsia" w:ascii="仿宋" w:hAnsi="仿宋" w:eastAsia="仿宋" w:cs="仿宋"/>
          <w:b/>
          <w:bCs/>
          <w:color w:val="000000"/>
          <w:sz w:val="32"/>
          <w:highlight w:val="none"/>
        </w:rPr>
        <w:t xml:space="preserve">授权委托书</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spacing w:line="400" w:lineRule="exact"/>
        <w:rPr>
          <w:rFonts w:hint="eastAsia" w:ascii="仿宋" w:hAnsi="仿宋" w:eastAsia="仿宋" w:cs="仿宋"/>
          <w:bCs/>
          <w:color w:val="000000"/>
          <w:sz w:val="30"/>
          <w:szCs w:val="28"/>
          <w:highlight w:val="none"/>
        </w:rPr>
      </w:pPr>
      <w:r>
        <w:rPr>
          <w:rFonts w:hint="eastAsia" w:ascii="仿宋" w:hAnsi="仿宋" w:eastAsia="仿宋" w:cs="仿宋"/>
          <w:bCs/>
          <w:color w:val="000000"/>
          <w:sz w:val="30"/>
          <w:szCs w:val="28"/>
          <w:highlight w:val="none"/>
        </w:rPr>
        <w:t xml:space="preserve">致</w:t>
      </w:r>
      <w:r>
        <w:rPr>
          <w:rFonts w:hint="eastAsia" w:ascii="仿宋" w:hAnsi="仿宋" w:eastAsia="仿宋" w:cs="仿宋"/>
          <w:color w:val="000000"/>
          <w:sz w:val="28"/>
          <w:highlight w:val="none"/>
        </w:rPr>
        <w:t xml:space="preserve">淮安市淮安区住房和城乡建设局</w:t>
      </w:r>
      <w:r>
        <w:rPr>
          <w:rFonts w:hint="eastAsia" w:ascii="仿宋" w:hAnsi="仿宋" w:eastAsia="仿宋" w:cs="仿宋"/>
          <w:bCs/>
          <w:color w:val="000000"/>
          <w:sz w:val="30"/>
          <w:szCs w:val="28"/>
          <w:highlight w:val="none"/>
        </w:rPr>
        <w:t xml:space="preserve">:</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本授权书宣告:</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u w:val="single"/>
        </w:rPr>
        <w:t xml:space="preserve">            </w:t>
      </w:r>
      <w:r/>
    </w:p>
    <w:p>
      <w:pPr>
        <w:spacing w:line="40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u w:val="single"/>
        </w:rPr>
        <w:t xml:space="preserve">          </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受托人:姓名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性别:</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出生日期:</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日</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所在单位:</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职务:</w:t>
      </w:r>
      <w:r>
        <w:rPr>
          <w:rFonts w:hint="eastAsia" w:ascii="仿宋" w:hAnsi="仿宋" w:eastAsia="仿宋" w:cs="仿宋"/>
          <w:color w:val="000000"/>
          <w:sz w:val="28"/>
          <w:szCs w:val="28"/>
          <w:highlight w:val="none"/>
          <w:u w:val="single"/>
        </w:rPr>
        <w:t xml:space="preserve">           </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 份 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u w:val="single"/>
        </w:rPr>
        <w:t xml:space="preserve">       </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兹委托受托人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代表我公司参加（项目编号:    ）</w:t>
      </w:r>
      <w:r>
        <w:rPr>
          <w:rFonts w:hint="eastAsia" w:ascii="仿宋" w:hAnsi="仿宋" w:eastAsia="仿宋" w:cs="仿宋"/>
          <w:bCs/>
          <w:color w:val="000000"/>
          <w:sz w:val="28"/>
          <w:highlight w:val="none"/>
          <w:u w:val="single"/>
        </w:rPr>
        <w:t xml:space="preserve">    </w:t>
      </w:r>
      <w:r>
        <w:rPr>
          <w:rFonts w:hint="eastAsia" w:ascii="仿宋" w:hAnsi="仿宋" w:eastAsia="仿宋" w:cs="仿宋"/>
          <w:color w:val="000000"/>
          <w:sz w:val="28"/>
          <w:szCs w:val="28"/>
          <w:highlight w:val="none"/>
        </w:rPr>
        <w:t xml:space="preserve">采购项目的政府采购活动，受托人有权在该招标活动中，以我单位的名义签署投标函和投标文件，与采购单位协商、澄清、解释，签订合同书并执行一切与此有关的事项。</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受托人在办理上述事宜过程中以其自己的名义所签署的所有文件我公司均予以承认。受托人无转委托权。</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委托期限:至上述事宜处理完毕止。</w:t>
      </w:r>
      <w:r/>
    </w:p>
    <w:p>
      <w:pPr>
        <w:ind w:firstLine="600"/>
        <w:spacing w:line="40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cente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供应商:</w:t>
      </w:r>
      <w:r>
        <w:rPr>
          <w:rFonts w:hint="eastAsia" w:ascii="仿宋" w:hAnsi="仿宋" w:eastAsia="仿宋" w:cs="仿宋"/>
          <w:color w:val="000000"/>
          <w:sz w:val="28"/>
          <w:szCs w:val="28"/>
          <w:highlight w:val="none"/>
          <w:u w:val="single"/>
          <w:lang w:val="zh-CN"/>
        </w:rPr>
        <w:t xml:space="preserve">     （电子签章）    </w:t>
      </w:r>
      <w:r/>
    </w:p>
    <w:p>
      <w:pP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ind w:left="-359" w:firstLine="548"/>
        <w:spacing w:line="40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 xml:space="preserve">注:供应商委托</w:t>
      </w:r>
      <w:r>
        <w:rPr>
          <w:rFonts w:hint="eastAsia" w:ascii="仿宋" w:hAnsi="仿宋" w:eastAsia="仿宋" w:cs="仿宋"/>
          <w:bCs/>
          <w:color w:val="000000"/>
          <w:sz w:val="28"/>
          <w:szCs w:val="28"/>
          <w:highlight w:val="none"/>
        </w:rPr>
        <w:t xml:space="preserve">受托人参加投标的，必须附受托人身份证</w:t>
      </w:r>
      <w:r>
        <w:rPr>
          <w:rFonts w:hint="eastAsia" w:ascii="仿宋" w:hAnsi="仿宋" w:eastAsia="仿宋" w:cs="仿宋"/>
          <w:color w:val="000000"/>
          <w:sz w:val="28"/>
          <w:szCs w:val="28"/>
          <w:highlight w:val="none"/>
        </w:rPr>
        <w:t xml:space="preserve">扫描</w:t>
      </w:r>
      <w:r>
        <w:rPr>
          <w:rFonts w:hint="eastAsia" w:ascii="仿宋" w:hAnsi="仿宋" w:eastAsia="仿宋" w:cs="仿宋"/>
          <w:bCs/>
          <w:color w:val="000000"/>
          <w:sz w:val="28"/>
          <w:szCs w:val="28"/>
          <w:highlight w:val="none"/>
        </w:rPr>
        <w:t xml:space="preserve">件加盖供应商电子签章。</w:t>
      </w:r>
      <w:r>
        <w:rPr>
          <w:rFonts w:hint="eastAsia" w:ascii="仿宋" w:hAnsi="仿宋" w:eastAsia="仿宋" w:cs="仿宋"/>
          <w:color w:val="000000"/>
          <w:sz w:val="28"/>
          <w:szCs w:val="28"/>
          <w:highlight w:val="none"/>
        </w:rPr>
        <w:t xml:space="preserve">法定代表人直接参加投标的，仅需填写“法定代表人资格证明”。</w:t>
      </w:r>
      <w:r/>
    </w:p>
    <w:p>
      <w:pPr>
        <w:ind w:left="-359" w:firstLine="357"/>
        <w:spacing w:line="640" w:lineRule="exact"/>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1053"/>
        <w:numPr>
          <w:ilvl w:val="0"/>
          <w:numId w:val="0"/>
        </w:numPr>
        <w:ind w:left="632"/>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示范格式三</w:t>
      </w:r>
      <w:r/>
    </w:p>
    <w:p>
      <w:pPr>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jc w:val="center"/>
        <w:rPr>
          <w:rFonts w:hint="eastAsia" w:ascii="仿宋" w:hAnsi="仿宋" w:eastAsia="仿宋" w:cs="仿宋"/>
          <w:b/>
          <w:color w:val="000000"/>
          <w:sz w:val="28"/>
          <w:szCs w:val="28"/>
          <w:highlight w:val="none"/>
        </w:rPr>
        <w:outlineLvl w:val="0"/>
      </w:pPr>
      <w:r/>
      <w:bookmarkStart w:id="263" w:name="_Toc24023"/>
      <w:r/>
      <w:bookmarkStart w:id="264" w:name="_Toc10299"/>
      <w:r/>
      <w:bookmarkStart w:id="265" w:name="_Toc12177"/>
      <w:r/>
      <w:bookmarkStart w:id="266" w:name="_Toc23720"/>
      <w:r/>
      <w:bookmarkStart w:id="267" w:name="_Toc28993"/>
      <w:r/>
      <w:bookmarkStart w:id="268" w:name="_Toc17745"/>
      <w:r/>
      <w:bookmarkStart w:id="269" w:name="_Toc22785"/>
      <w:r/>
      <w:bookmarkStart w:id="270" w:name="_Toc30120"/>
      <w:r/>
      <w:bookmarkStart w:id="271" w:name="_Toc18912"/>
      <w:r/>
      <w:bookmarkStart w:id="272" w:name="_Toc4735"/>
      <w:r/>
      <w:bookmarkStart w:id="273" w:name="_Toc28042"/>
      <w:r/>
      <w:bookmarkStart w:id="274" w:name="_Toc8854"/>
      <w:r/>
      <w:bookmarkStart w:id="275" w:name="_Toc777"/>
      <w:r/>
      <w:bookmarkStart w:id="276" w:name="_Toc19542"/>
      <w:r>
        <w:rPr>
          <w:rFonts w:hint="eastAsia" w:ascii="仿宋" w:hAnsi="仿宋" w:eastAsia="仿宋" w:cs="仿宋"/>
          <w:b/>
          <w:color w:val="000000"/>
          <w:sz w:val="28"/>
          <w:szCs w:val="28"/>
          <w:highlight w:val="none"/>
        </w:rPr>
        <w:t xml:space="preserve">承   诺  书</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致：（采购单位）</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我方在</w:t>
      </w:r>
      <w:r>
        <w:rPr>
          <w:rFonts w:hint="eastAsia" w:ascii="仿宋" w:hAnsi="仿宋" w:eastAsia="仿宋" w:cs="仿宋"/>
          <w:color w:val="000000"/>
          <w:sz w:val="28"/>
          <w:szCs w:val="28"/>
          <w:highlight w:val="none"/>
          <w:u w:val="single"/>
        </w:rPr>
        <w:t xml:space="preserve">          （项目名称及项目编号）            </w:t>
      </w:r>
      <w:r>
        <w:rPr>
          <w:rFonts w:hint="eastAsia" w:ascii="仿宋" w:hAnsi="仿宋" w:eastAsia="仿宋" w:cs="仿宋"/>
          <w:color w:val="000000"/>
          <w:sz w:val="28"/>
          <w:szCs w:val="28"/>
          <w:highlight w:val="none"/>
        </w:rPr>
        <w:t xml:space="preserve">的投标过程中，做如下承诺：</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一、我单位负责人不是同一人或者存在直接控股、管理关系的不同供应商；</w:t>
      </w:r>
      <w:r/>
    </w:p>
    <w:p>
      <w:pPr>
        <w:ind w:firstLine="84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二、我单位不是为采购项目提供整体设计、规范编制或者项目管理、监理、检测等服务的供应商；</w:t>
      </w:r>
      <w:r/>
    </w:p>
    <w:p>
      <w:pPr>
        <w:ind w:firstLine="84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三、我单位没有被“信用中国”网站、“中国政府采购网”列入失信被执行人、重大税收违法案件当事人名单、政府采购严重违法失信行为记录名单。</w:t>
      </w:r>
      <w:r/>
    </w:p>
    <w:p>
      <w:pPr>
        <w:ind w:firstLine="840"/>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rPr>
        <w:t xml:space="preserve">四、我单位承诺</w:t>
      </w:r>
      <w:r>
        <w:rPr>
          <w:rFonts w:hint="eastAsia" w:ascii="仿宋" w:hAnsi="仿宋" w:eastAsia="仿宋" w:cs="仿宋"/>
          <w:color w:val="000000"/>
          <w:sz w:val="28"/>
          <w:szCs w:val="28"/>
          <w:highlight w:val="none"/>
          <w:lang w:val="zh-CN"/>
        </w:rPr>
        <w:t xml:space="preserve">所有服务人员在工作期间的人身安全、劳资关系与采购单位无关，皆由我单位自行负责并承担全部责任；</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特此承诺！                  </w:t>
      </w:r>
      <w:r/>
    </w:p>
    <w:p>
      <w:pPr>
        <w:pStyle w:val="1053"/>
        <w:numPr>
          <w:ilvl w:val="0"/>
          <w:numId w:val="0"/>
        </w:numPr>
        <w:ind w:left="63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供应商：              (电子签章)   </w:t>
      </w:r>
      <w:r/>
    </w:p>
    <w:p>
      <w:pPr>
        <w:ind w:firstLine="112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4286"/>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法定代表人（委托受托人）签字：        </w:t>
      </w:r>
      <w:r/>
    </w:p>
    <w:p>
      <w:pPr>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p>
    <w:p>
      <w:pPr>
        <w:ind w:firstLine="420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示范格式四</w:t>
      </w:r>
      <w:r/>
    </w:p>
    <w:p>
      <w:pPr>
        <w:jc w:val="center"/>
        <w:spacing w:line="480" w:lineRule="auto"/>
        <w:rPr>
          <w:rFonts w:hint="eastAsia" w:ascii="仿宋" w:hAnsi="仿宋" w:eastAsia="仿宋" w:cs="仿宋"/>
          <w:color w:val="000000"/>
          <w:sz w:val="24"/>
          <w:highlight w:val="none"/>
        </w:rPr>
        <w:outlineLvl w:val="0"/>
      </w:pPr>
      <w:r/>
      <w:bookmarkStart w:id="277" w:name="_Toc32027"/>
      <w:r/>
      <w:bookmarkStart w:id="278" w:name="_Toc16197"/>
      <w:r/>
      <w:bookmarkStart w:id="279" w:name="_Toc26707"/>
      <w:r/>
      <w:bookmarkStart w:id="280" w:name="_Toc22325"/>
      <w:r/>
      <w:bookmarkStart w:id="281" w:name="_Toc19971"/>
      <w:r/>
      <w:bookmarkStart w:id="282" w:name="_Toc5606"/>
      <w:r/>
      <w:bookmarkStart w:id="283" w:name="_Toc22003"/>
      <w:r/>
      <w:bookmarkStart w:id="284" w:name="_Toc4860"/>
      <w:r/>
      <w:bookmarkStart w:id="285" w:name="_Toc12503"/>
      <w:r/>
      <w:bookmarkStart w:id="286" w:name="_Toc20998"/>
      <w:r/>
      <w:bookmarkStart w:id="287" w:name="_Toc6450"/>
      <w:r/>
      <w:bookmarkStart w:id="288" w:name="_Toc27845"/>
      <w:r/>
      <w:bookmarkStart w:id="289" w:name="_Toc118"/>
      <w:r/>
      <w:bookmarkStart w:id="290" w:name="_Toc12056"/>
      <w:r>
        <w:rPr>
          <w:rFonts w:hint="eastAsia" w:ascii="仿宋" w:hAnsi="仿宋" w:eastAsia="仿宋" w:cs="仿宋"/>
          <w:b/>
          <w:bCs/>
          <w:color w:val="000000"/>
          <w:sz w:val="28"/>
          <w:szCs w:val="28"/>
          <w:highlight w:val="none"/>
        </w:rPr>
        <w:t xml:space="preserve">关于《政府采购法》第二十二条规定的声明函</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致：采购单位</w:t>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我方在（项目名称及项目编号）的投标过程中，做如下承诺：</w:t>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一、我单位具有独立承担民事责任的能力；</w:t>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二、我单位具有良好的商业信誉和健全的财务会计制度；</w:t>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三、我单位具有履行合同所必需的设备和专业技术能力；</w:t>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四、我单位有依法缴纳税收和社会保障资金的良好记录；</w:t>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五、我单位参加政府采购活动前三年内，在经营活动中没有重大违法记录；</w:t>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我方保证上述信息的真实和准确，并愿意承担因我方就此弄虚作假所引起的一切法律后果，并自愿接受相关监管部门作出的任何处罚。</w:t>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特此声明！                    </w:t>
      </w:r>
      <w:r/>
    </w:p>
    <w:p>
      <w:pPr>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供应商（电子签章）：</w:t>
      </w:r>
      <w:r/>
    </w:p>
    <w:p>
      <w:pPr>
        <w:ind w:firstLine="4760"/>
        <w:jc w:val="left"/>
        <w:spacing w:line="720" w:lineRule="exact"/>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法定代表人或委托受托人签字：</w:t>
      </w:r>
      <w:r/>
    </w:p>
    <w:p>
      <w:pPr>
        <w:ind w:firstLine="560"/>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日 期：       年      月    日</w:t>
      </w:r>
      <w:r/>
    </w:p>
    <w:p>
      <w:pPr>
        <w:jc w:val="left"/>
        <w:spacing w:line="7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p>
    <w:p>
      <w:pPr>
        <w:rPr>
          <w:rFonts w:hint="eastAsia" w:ascii="仿宋" w:hAnsi="仿宋" w:eastAsia="仿宋" w:cs="仿宋"/>
          <w:color w:val="000000"/>
          <w:sz w:val="28"/>
          <w:szCs w:val="28"/>
          <w:highlight w:val="none"/>
        </w:rPr>
      </w:pPr>
      <w:r>
        <w:rPr>
          <w:rFonts w:hint="eastAsia" w:ascii="仿宋" w:hAnsi="仿宋" w:eastAsia="仿宋" w:cs="仿宋"/>
          <w:b/>
          <w:color w:val="000000"/>
          <w:sz w:val="32"/>
          <w:szCs w:val="32"/>
          <w:highlight w:val="none"/>
        </w:rPr>
        <w:t xml:space="preserve">示范格式五</w:t>
      </w:r>
      <w:r>
        <w:rPr>
          <w:rFonts w:hint="eastAsia" w:ascii="仿宋" w:hAnsi="仿宋" w:eastAsia="仿宋" w:cs="仿宋"/>
          <w:color w:val="000000"/>
          <w:sz w:val="28"/>
          <w:szCs w:val="28"/>
          <w:highlight w:val="none"/>
        </w:rPr>
        <w:t xml:space="preserve">                                 </w:t>
      </w:r>
      <w:r/>
    </w:p>
    <w:p>
      <w:pPr>
        <w:jc w:val="center"/>
        <w:spacing w:line="640" w:lineRule="exact"/>
        <w:rPr>
          <w:rFonts w:hint="eastAsia" w:ascii="仿宋" w:hAnsi="仿宋" w:eastAsia="仿宋" w:cs="仿宋"/>
          <w:b/>
          <w:bCs/>
          <w:color w:val="000000"/>
          <w:sz w:val="32"/>
          <w:szCs w:val="32"/>
          <w:highlight w:val="none"/>
        </w:rPr>
        <w:outlineLvl w:val="0"/>
      </w:pPr>
      <w:r/>
      <w:bookmarkStart w:id="291" w:name="_Toc6139"/>
      <w:r/>
      <w:bookmarkStart w:id="292" w:name="_Toc7766"/>
      <w:r/>
      <w:bookmarkStart w:id="293" w:name="_Toc13724"/>
      <w:r>
        <w:rPr>
          <w:rFonts w:hint="eastAsia" w:ascii="仿宋" w:hAnsi="仿宋" w:eastAsia="仿宋" w:cs="仿宋"/>
          <w:b/>
          <w:bCs/>
          <w:color w:val="000000"/>
          <w:sz w:val="32"/>
          <w:szCs w:val="32"/>
          <w:highlight w:val="none"/>
        </w:rPr>
        <w:t xml:space="preserve">企业声明函（服务）</w:t>
      </w:r>
      <w:bookmarkEnd w:id="291"/>
      <w:r/>
      <w:bookmarkEnd w:id="292"/>
      <w:r/>
      <w:bookmarkEnd w:id="293"/>
      <w:r/>
      <w:r/>
    </w:p>
    <w:p>
      <w:pPr>
        <w:jc w:val="center"/>
        <w:spacing w:line="640" w:lineRule="exact"/>
        <w:rPr>
          <w:rFonts w:hint="eastAsia" w:ascii="仿宋" w:hAnsi="仿宋" w:eastAsia="仿宋" w:cs="仿宋"/>
          <w:b/>
          <w:bCs/>
          <w:color w:val="000000"/>
          <w:sz w:val="32"/>
          <w:szCs w:val="32"/>
          <w:highlight w:val="none"/>
        </w:rPr>
        <w:outlineLvl w:val="0"/>
      </w:pPr>
      <w:r/>
      <w:bookmarkStart w:id="294" w:name="_Toc20072"/>
      <w:r>
        <w:rPr>
          <w:rFonts w:hint="eastAsia" w:ascii="仿宋" w:hAnsi="仿宋" w:eastAsia="仿宋" w:cs="仿宋"/>
          <w:b/>
          <w:bCs/>
          <w:color w:val="000000"/>
          <w:sz w:val="32"/>
          <w:szCs w:val="32"/>
          <w:highlight w:val="none"/>
        </w:rPr>
        <w:t xml:space="preserve">（大型企业无需提供）</w:t>
      </w:r>
      <w:bookmarkEnd w:id="294"/>
      <w:r/>
      <w:r/>
    </w:p>
    <w:p>
      <w:pPr>
        <w:pStyle w:val="986"/>
        <w:ind w:firstLine="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highlight w:val="none"/>
        </w:rPr>
        <w:t xml:space="preserve">淮安市淮安区住房和城乡建设局</w:t>
      </w:r>
      <w:r>
        <w:rPr>
          <w:rFonts w:hint="eastAsia" w:ascii="仿宋" w:hAnsi="仿宋" w:eastAsia="仿宋" w:cs="仿宋"/>
          <w:bCs/>
          <w:color w:val="000000"/>
          <w:sz w:val="28"/>
          <w:szCs w:val="28"/>
          <w:highlight w:val="none"/>
        </w:rPr>
        <w:t xml:space="preserve">:</w:t>
      </w:r>
      <w:r/>
    </w:p>
    <w:p>
      <w:pPr>
        <w:pStyle w:val="98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000000"/>
          <w:sz w:val="28"/>
          <w:szCs w:val="28"/>
          <w:highlight w:val="none"/>
          <w:u w:val="single"/>
        </w:rPr>
        <w:t xml:space="preserve">（单位名称）的（项目名称）</w:t>
      </w:r>
      <w:r>
        <w:rPr>
          <w:rFonts w:hint="eastAsia" w:ascii="仿宋" w:hAnsi="仿宋" w:eastAsia="仿宋" w:cs="仿宋"/>
          <w:bCs/>
          <w:color w:val="000000"/>
          <w:sz w:val="28"/>
          <w:szCs w:val="28"/>
          <w:highlight w:val="none"/>
        </w:rPr>
        <w:t xml:space="preserve">采购活动，服务全部由符合政策要求的中小企业承接。相关企业的具体情况如下：</w:t>
      </w:r>
      <w:r/>
    </w:p>
    <w:p>
      <w:pPr>
        <w:pStyle w:val="98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bCs/>
          <w:color w:val="000000"/>
          <w:sz w:val="28"/>
          <w:szCs w:val="28"/>
          <w:highlight w:val="none"/>
          <w:u w:val="single"/>
        </w:rPr>
        <w:t xml:space="preserve"> （标的名称） </w:t>
      </w:r>
      <w:r>
        <w:rPr>
          <w:rFonts w:hint="eastAsia" w:ascii="仿宋" w:hAnsi="仿宋" w:eastAsia="仿宋" w:cs="仿宋"/>
          <w:bCs/>
          <w:color w:val="000000"/>
          <w:sz w:val="28"/>
          <w:szCs w:val="28"/>
          <w:highlight w:val="none"/>
        </w:rPr>
        <w:t xml:space="preserve">，属于（采购文件中明确的所属行业）；承接企业为（企业名称），从业人员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 </w:t>
      </w:r>
      <w:r/>
    </w:p>
    <w:p>
      <w:pPr>
        <w:pStyle w:val="98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 </w:t>
      </w:r>
      <w:r>
        <w:rPr>
          <w:rFonts w:hint="eastAsia" w:ascii="仿宋" w:hAnsi="仿宋" w:eastAsia="仿宋" w:cs="仿宋"/>
          <w:bCs/>
          <w:color w:val="000000"/>
          <w:sz w:val="28"/>
          <w:szCs w:val="28"/>
          <w:highlight w:val="none"/>
          <w:u w:val="single"/>
        </w:rPr>
        <w:t xml:space="preserve">（标的名称） </w:t>
      </w:r>
      <w:r>
        <w:rPr>
          <w:rFonts w:hint="eastAsia" w:ascii="仿宋" w:hAnsi="仿宋" w:eastAsia="仿宋" w:cs="仿宋"/>
          <w:bCs/>
          <w:color w:val="000000"/>
          <w:sz w:val="28"/>
          <w:szCs w:val="28"/>
          <w:highlight w:val="none"/>
        </w:rPr>
        <w:t xml:space="preserve">，属于（采购文件中明确的所属行业）；承接企业为（企业名称），从业人员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万元，属于</w:t>
      </w:r>
      <w:r>
        <w:rPr>
          <w:rFonts w:hint="eastAsia" w:ascii="仿宋" w:hAnsi="仿宋" w:eastAsia="仿宋" w:cs="仿宋"/>
          <w:bCs/>
          <w:color w:val="000000"/>
          <w:sz w:val="28"/>
          <w:szCs w:val="28"/>
          <w:highlight w:val="none"/>
          <w:u w:val="single"/>
        </w:rPr>
        <w:t xml:space="preserve">（中型企业、小型企业、微型企业）</w:t>
      </w:r>
      <w:r>
        <w:rPr>
          <w:rFonts w:hint="eastAsia" w:ascii="仿宋" w:hAnsi="仿宋" w:eastAsia="仿宋" w:cs="仿宋"/>
          <w:bCs/>
          <w:color w:val="000000"/>
          <w:sz w:val="28"/>
          <w:szCs w:val="28"/>
          <w:highlight w:val="none"/>
        </w:rPr>
        <w:t xml:space="preserve">； </w:t>
      </w:r>
      <w:r/>
    </w:p>
    <w:p>
      <w:pPr>
        <w:pStyle w:val="98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w:t>
      </w:r>
      <w:r/>
    </w:p>
    <w:p>
      <w:pPr>
        <w:pStyle w:val="98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以上企业，不属于大企业的分支机构，不存在控股股东为大企业的情形，也不存在与大企业的负责人为同一人的情形。</w:t>
      </w:r>
      <w:r/>
    </w:p>
    <w:p>
      <w:pPr>
        <w:pStyle w:val="986"/>
        <w:ind w:firstLine="560"/>
        <w:spacing w:line="60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color w:val="000000"/>
          <w:sz w:val="28"/>
          <w:szCs w:val="28"/>
          <w:highlight w:val="none"/>
          <w:lang w:val="zh-CN"/>
        </w:rPr>
        <w:t xml:space="preserve">供应商:</w:t>
      </w:r>
      <w:r>
        <w:rPr>
          <w:rFonts w:hint="eastAsia" w:ascii="仿宋" w:hAnsi="仿宋" w:eastAsia="仿宋" w:cs="仿宋"/>
          <w:color w:val="000000"/>
          <w:sz w:val="28"/>
          <w:szCs w:val="28"/>
          <w:highlight w:val="none"/>
          <w:u w:val="single"/>
          <w:lang w:val="zh-CN"/>
        </w:rPr>
        <w:t xml:space="preserve">        （电子签章）     </w:t>
      </w:r>
      <w:r/>
    </w:p>
    <w:p>
      <w:pPr>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highlight w:val="none"/>
          <w:u w:val="single"/>
        </w:rPr>
        <w:t xml:space="preserve">（电子签章或电子签字）</w:t>
      </w:r>
      <w:r/>
    </w:p>
    <w:p>
      <w:pPr>
        <w:jc w:val="center"/>
        <w:spacing w:line="64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pStyle w:val="986"/>
        <w:ind w:firstLine="0"/>
        <w:spacing w:line="6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注：从业人员、营业收入、资产总额填报上一年度数据，无上一年度数据的新成立企业可不填报。</w:t>
      </w:r>
      <w:r/>
    </w:p>
    <w:p>
      <w:pPr>
        <w:pStyle w:val="986"/>
        <w:ind w:firstLine="0"/>
        <w:jc w:val="left"/>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rPr>
          <w:rFonts w:hint="eastAsia" w:ascii="仿宋" w:hAnsi="仿宋" w:eastAsia="仿宋" w:cs="仿宋"/>
          <w:b/>
          <w:color w:val="000000"/>
          <w:sz w:val="32"/>
          <w:szCs w:val="32"/>
          <w:highlight w:val="none"/>
        </w:rPr>
      </w:pPr>
      <w:r/>
      <w:bookmarkStart w:id="295" w:name="_Toc117"/>
      <w:r/>
      <w:bookmarkStart w:id="296" w:name="_Toc25298"/>
      <w:r/>
      <w:bookmarkStart w:id="297" w:name="_Toc13866"/>
      <w:r/>
      <w:bookmarkStart w:id="298" w:name="_Toc12961"/>
      <w:r/>
      <w:bookmarkStart w:id="299" w:name="_Toc16245"/>
      <w:r/>
      <w:bookmarkStart w:id="300" w:name="_Toc20763"/>
      <w:r/>
      <w:bookmarkStart w:id="301" w:name="_Toc28273"/>
      <w:r/>
      <w:bookmarkStart w:id="302" w:name="_Toc11977"/>
      <w:r/>
      <w:bookmarkStart w:id="303" w:name="_Toc26483"/>
      <w:r/>
      <w:bookmarkStart w:id="304" w:name="_Toc968"/>
      <w:r/>
      <w:bookmarkStart w:id="305" w:name="_Toc32525"/>
      <w:r/>
      <w:bookmarkStart w:id="306" w:name="_Toc22108"/>
      <w:r/>
      <w:bookmarkStart w:id="307" w:name="_Toc11922"/>
      <w:r/>
      <w:bookmarkStart w:id="308" w:name="_Toc10249"/>
      <w:r>
        <w:rPr>
          <w:rFonts w:hint="eastAsia" w:ascii="仿宋" w:hAnsi="仿宋" w:eastAsia="仿宋" w:cs="仿宋"/>
          <w:b/>
          <w:color w:val="000000"/>
          <w:sz w:val="32"/>
          <w:szCs w:val="32"/>
          <w:highlight w:val="none"/>
        </w:rPr>
        <w:t xml:space="preserve">示范格式六</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spacing w:line="400" w:lineRule="exact"/>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jc w:val="center"/>
        <w:spacing w:line="400" w:lineRule="exact"/>
        <w:widowControl/>
        <w:rPr>
          <w:rFonts w:hint="eastAsia" w:ascii="仿宋" w:hAnsi="仿宋" w:eastAsia="仿宋" w:cs="仿宋"/>
          <w:color w:val="000000"/>
          <w:sz w:val="24"/>
          <w:highlight w:val="none"/>
        </w:rPr>
        <w:outlineLvl w:val="0"/>
      </w:pPr>
      <w:r/>
      <w:bookmarkStart w:id="309" w:name="_Toc7918"/>
      <w:r/>
      <w:bookmarkStart w:id="310" w:name="_Toc16894"/>
      <w:r/>
      <w:bookmarkStart w:id="311" w:name="_Toc2193"/>
      <w:r/>
      <w:bookmarkStart w:id="312" w:name="_Toc30260"/>
      <w:r/>
      <w:bookmarkStart w:id="313" w:name="_Toc1999"/>
      <w:r/>
      <w:bookmarkStart w:id="314" w:name="_Toc23051"/>
      <w:r/>
      <w:bookmarkStart w:id="315" w:name="_Toc23254"/>
      <w:r/>
      <w:bookmarkStart w:id="316" w:name="_Toc23034"/>
      <w:r/>
      <w:bookmarkStart w:id="317" w:name="_Toc10567"/>
      <w:r/>
      <w:bookmarkStart w:id="318" w:name="_Toc21445"/>
      <w:r/>
      <w:bookmarkStart w:id="319" w:name="_Toc12842"/>
      <w:r/>
      <w:bookmarkStart w:id="320" w:name="_Toc809"/>
      <w:r/>
      <w:bookmarkStart w:id="321" w:name="_Toc11470"/>
      <w:r/>
      <w:bookmarkStart w:id="322" w:name="_Toc24691"/>
      <w:r>
        <w:rPr>
          <w:rFonts w:hint="eastAsia" w:ascii="仿宋" w:hAnsi="仿宋" w:eastAsia="仿宋" w:cs="仿宋"/>
          <w:b/>
          <w:bCs/>
          <w:color w:val="000000"/>
          <w:sz w:val="32"/>
          <w:szCs w:val="32"/>
          <w:highlight w:val="none"/>
        </w:rPr>
        <w:t xml:space="preserve">残疾人福利性单位声明函</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pStyle w:val="986"/>
        <w:ind w:firstLine="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pStyle w:val="986"/>
        <w:ind w:firstLine="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致</w:t>
      </w:r>
      <w:r>
        <w:rPr>
          <w:rFonts w:hint="eastAsia" w:ascii="仿宋" w:hAnsi="仿宋" w:eastAsia="仿宋" w:cs="仿宋"/>
          <w:color w:val="000000"/>
          <w:sz w:val="28"/>
          <w:highlight w:val="none"/>
        </w:rPr>
        <w:t xml:space="preserve">淮安市淮安区住房和城乡建设局</w:t>
      </w:r>
      <w:r>
        <w:rPr>
          <w:rFonts w:hint="eastAsia" w:ascii="仿宋" w:hAnsi="仿宋" w:eastAsia="仿宋" w:cs="仿宋"/>
          <w:bCs/>
          <w:color w:val="000000"/>
          <w:sz w:val="28"/>
          <w:szCs w:val="28"/>
          <w:highlight w:val="none"/>
        </w:rPr>
        <w:t xml:space="preserve">:</w:t>
      </w:r>
      <w:r/>
    </w:p>
    <w:p>
      <w:pPr>
        <w:pStyle w:val="986"/>
        <w:ind w:firstLine="56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p>
    <w:p>
      <w:pPr>
        <w:pStyle w:val="986"/>
        <w:ind w:firstLine="56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1、根据《财政部 民政部中国残疾人联合会关于促进残疾人就业政府采购政策的通知》（财库〔2017〕141号）规定的划分标准，本公司为残疾人福利性企业。</w:t>
      </w:r>
      <w:r/>
    </w:p>
    <w:p>
      <w:pPr>
        <w:pStyle w:val="986"/>
        <w:ind w:firstLine="56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2、本单位参加（采购单位名称） 的（采购项目名称）采购活动提供本企业制造的服务，由本企业承担工程、提供服务，或者提供其他残疾人福利性单位制造的服务（不包括使用非残疾人福利性单位注册商标的服务。</w:t>
      </w:r>
      <w:r/>
    </w:p>
    <w:p>
      <w:pPr>
        <w:pStyle w:val="986"/>
        <w:ind w:firstLine="560"/>
        <w:spacing w:line="360" w:lineRule="auto"/>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注:</w:t>
      </w:r>
      <w:r>
        <w:rPr>
          <w:rFonts w:hint="eastAsia" w:ascii="仿宋" w:hAnsi="仿宋" w:eastAsia="仿宋" w:cs="仿宋"/>
          <w:bCs/>
          <w:color w:val="000000"/>
          <w:sz w:val="28"/>
          <w:szCs w:val="28"/>
          <w:highlight w:val="none"/>
        </w:rPr>
        <w:t xml:space="preserve">本公司对上述声明的真实性负责。如有虚假，将依法承担相应责任。</w:t>
      </w:r>
      <w:r/>
    </w:p>
    <w:p>
      <w:pPr>
        <w:pStyle w:val="986"/>
        <w:ind w:firstLine="560"/>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cente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供应商:</w:t>
      </w:r>
      <w:r>
        <w:rPr>
          <w:rFonts w:hint="eastAsia" w:ascii="仿宋" w:hAnsi="仿宋" w:eastAsia="仿宋" w:cs="仿宋"/>
          <w:color w:val="000000"/>
          <w:sz w:val="28"/>
          <w:szCs w:val="28"/>
          <w:highlight w:val="none"/>
          <w:u w:val="single"/>
          <w:lang w:val="zh-CN"/>
        </w:rPr>
        <w:t xml:space="preserve">        （电子签章）     </w:t>
      </w:r>
      <w:r/>
    </w:p>
    <w:p>
      <w:pPr>
        <w:jc w:val="cente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highlight w:val="none"/>
          <w:u w:val="single"/>
        </w:rPr>
        <w:t xml:space="preserve">（电子签章或电子签字）</w:t>
      </w:r>
      <w:r/>
    </w:p>
    <w:p>
      <w:pPr>
        <w:jc w:val="center"/>
        <w:spacing w:line="400" w:lineRule="exact"/>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p>
    <w:p>
      <w:pPr>
        <w:ind w:firstLine="565"/>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5"/>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5"/>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5"/>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注:非</w:t>
      </w:r>
      <w:r>
        <w:rPr>
          <w:rFonts w:hint="eastAsia" w:ascii="仿宋" w:hAnsi="仿宋" w:eastAsia="仿宋" w:cs="仿宋"/>
          <w:color w:val="000000"/>
          <w:sz w:val="28"/>
          <w:highlight w:val="none"/>
        </w:rPr>
        <w:t xml:space="preserve">残疾人福利性单位不</w:t>
      </w:r>
      <w:r>
        <w:rPr>
          <w:rFonts w:hint="eastAsia" w:ascii="仿宋" w:hAnsi="仿宋" w:eastAsia="仿宋" w:cs="仿宋"/>
          <w:color w:val="000000"/>
          <w:sz w:val="28"/>
          <w:szCs w:val="28"/>
          <w:highlight w:val="none"/>
        </w:rPr>
        <w:t xml:space="preserve">需提供此函。</w:t>
      </w:r>
      <w:r/>
    </w:p>
    <w:p>
      <w:pPr>
        <w:ind w:firstLine="565"/>
        <w:spacing w:line="6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sectPr>
      <w:headerReference w:type="default" r:id="rId11"/>
      <w:footerReference w:type="default" r:id="rId13"/>
      <w:footnotePr/>
      <w:endnotePr/>
      <w:type w:val="nextPage"/>
      <w:pgSz w:w="11906" w:h="16838" w:orient="portrait"/>
      <w:pgMar w:top="1191" w:right="1134" w:bottom="1191" w:left="1134" w:header="907"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MingLiU">
    <w:panose1 w:val="02020500000000000000"/>
  </w:font>
  <w:font w:name="Tahoma">
    <w:panose1 w:val="020B0604030504040204"/>
  </w:font>
  <w:font w:name="仿宋">
    <w:panose1 w:val="02010609060101010101"/>
  </w:font>
  <w:font w:name="Adobe 仿宋 Std R">
    <w:panose1 w:val="020B050302020202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75"/>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228"/>
    </w:tblGrid>
    <w:tr>
      <w:trPr>
        <w:trHeight w:val="550"/>
      </w:trPr>
      <w:tc>
        <w:tcPr>
          <w:tcW w:w="10228" w:type="dxa"/>
          <w:textDirection w:val="lrTb"/>
          <w:noWrap w:val="false"/>
        </w:tcPr>
        <w:p>
          <w:pPr>
            <w:pStyle w:val="1021"/>
            <w:jc w:val="center"/>
            <w:rPr>
              <w:rFonts w:hint="eastAsia" w:ascii="楷体" w:hAnsi="楷体" w:eastAsia="楷体" w:cs="楷体"/>
              <w:sz w:val="22"/>
              <w:szCs w:val="28"/>
            </w:rPr>
          </w:pPr>
          <w:r>
            <w:rPr>
              <w:rFonts w:hint="eastAsia"/>
              <w:sz w:val="24"/>
            </w:rPr>
            <w:t xml:space="preserve">淮安区城市排水设施更新一期工程-淮安区城市生命线安全工程</w:t>
          </w:r>
          <w:r>
            <w:rPr>
              <w:rFonts w:hint="eastAsia"/>
              <w:sz w:val="28"/>
              <w:szCs w:val="28"/>
              <w:u w:val="single"/>
            </w:rPr>
            <w:t xml:space="preserve"> </w:t>
          </w:r>
          <w:r/>
        </w:p>
      </w:tc>
    </w:tr>
  </w:tbl>
  <w:p>
    <w:pPr>
      <w:spacing w:before="120" w:line="1000" w:lineRule="exact"/>
      <w:rPr>
        <w:rFonts w:hint="eastAsia" w:ascii="楷体" w:hAnsi="楷体" w:eastAsia="楷体" w:cs="楷体"/>
        <w:sz w:val="22"/>
        <w:szCs w:val="28"/>
      </w:rPr>
      <w:pBdr>
        <w:bottom w:val="none" w:color="000000" w:sz="0" w:space="0"/>
      </w:pBdr>
    </w:pPr>
    <w:r>
      <w:rPr>
        <w:rFonts w:hint="eastAsia" w:ascii="楷体" w:hAnsi="楷体" w:eastAsia="楷体" w:cs="楷体"/>
        <w:sz w:val="22"/>
        <w:szCs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tabs>
        <w:tab w:val="clear" w:pos="7143" w:leader="none"/>
      </w:tabs>
      <w:pBdr>
        <w:bottom w:val="single" w:color="auto" w:sz="4" w:space="0"/>
      </w:pBdr>
    </w:pPr>
    <w:r>
      <w:rPr>
        <w:rFonts w:hint="eastAsia" w:ascii="楷体" w:hAnsi="楷体" w:eastAsia="楷体" w:cs="楷体"/>
        <w:sz w:val="28"/>
        <w:szCs w:val="28"/>
      </w:rPr>
      <w:t xml:space="preserve">淮安区城市排水设施更新一期工程-淮安区城市生命线安全工程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75"/>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10274" w:type="dxa"/>
          <w:textDirection w:val="lrTb"/>
          <w:noWrap w:val="false"/>
        </w:tcPr>
        <w:p>
          <w:pPr>
            <w:pStyle w:val="1021"/>
            <w:jc w:val="center"/>
            <w:rPr>
              <w:sz w:val="28"/>
              <w:szCs w:val="28"/>
              <w:u w:val="single"/>
            </w:rPr>
            <w:pBdr>
              <w:bottom w:val="none" w:color="000000" w:sz="0" w:space="0"/>
            </w:pBdr>
          </w:pPr>
          <w:r/>
          <w:bookmarkStart w:id="323" w:name="OLE_LINK34"/>
          <w:r/>
          <w:bookmarkStart w:id="324" w:name="OLE_LINK25"/>
          <w:r/>
          <w:bookmarkStart w:id="325" w:name="OLE_LINK1"/>
          <w:r>
            <w:rPr>
              <w:rFonts w:hint="eastAsia"/>
              <w:sz w:val="24"/>
            </w:rPr>
            <w:t xml:space="preserve">淮安区城市排水设施更新一期工程-淮安区城市生命线安全工程</w:t>
          </w:r>
          <w:r>
            <w:rPr>
              <w:rFonts w:hint="eastAsia"/>
              <w:sz w:val="28"/>
              <w:szCs w:val="28"/>
              <w:u w:val="single"/>
            </w:rPr>
            <w:t xml:space="preserve"> </w:t>
          </w:r>
          <w:bookmarkEnd w:id="323"/>
          <w:r>
            <w:rPr>
              <w:rFonts w:hint="eastAsia"/>
              <w:sz w:val="28"/>
              <w:szCs w:val="28"/>
              <w:u w:val="single"/>
            </w:rPr>
            <w:t xml:space="preserve"> </w:t>
          </w:r>
          <w:bookmarkEnd w:id="324"/>
          <w:r/>
          <w:r/>
        </w:p>
      </w:tc>
    </w:tr>
  </w:tbl>
  <w:p>
    <w:pPr>
      <w:pStyle w:val="1021"/>
      <w:jc w:val="center"/>
      <w:rPr>
        <w:rFonts w:hint="eastAsia" w:ascii="楷体" w:hAnsi="楷体" w:eastAsia="楷体" w:cs="楷体"/>
        <w:b/>
        <w:spacing w:val="42"/>
        <w:sz w:val="28"/>
        <w:szCs w:val="28"/>
      </w:rPr>
    </w:pPr>
    <w:r>
      <w:rPr>
        <w:rFonts w:hint="eastAsia"/>
        <w:sz w:val="28"/>
        <w:szCs w:val="28"/>
        <w:u w:val="single"/>
      </w:rPr>
      <w:t xml:space="preserve"> </w:t>
    </w:r>
    <w:bookmarkEnd w:id="325"/>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1054"/>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pStyle w:val="99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pStyle w:val="1188"/>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65">
    <w:name w:val="Heading 1"/>
    <w:basedOn w:val="776"/>
    <w:next w:val="764"/>
    <w:link w:val="837"/>
    <w:uiPriority w:val="9"/>
    <w:qFormat/>
    <w:pPr>
      <w:keepLines/>
      <w:keepNext/>
      <w:spacing w:before="480" w:after="200"/>
      <w:outlineLvl w:val="0"/>
    </w:pPr>
    <w:rPr>
      <w:rFonts w:ascii="Arial" w:hAnsi="Arial" w:eastAsia="Arial" w:cs="Arial"/>
      <w:sz w:val="40"/>
      <w:szCs w:val="40"/>
    </w:rPr>
  </w:style>
  <w:style w:type="paragraph" w:styleId="766">
    <w:name w:val="Heading 2"/>
    <w:basedOn w:val="765"/>
    <w:next w:val="764"/>
    <w:link w:val="838"/>
    <w:uiPriority w:val="9"/>
    <w:unhideWhenUsed/>
    <w:qFormat/>
    <w:pPr>
      <w:spacing w:before="360"/>
      <w:outlineLvl w:val="1"/>
    </w:pPr>
    <w:rPr>
      <w:sz w:val="34"/>
    </w:rPr>
  </w:style>
  <w:style w:type="paragraph" w:styleId="767">
    <w:name w:val="Heading 3"/>
    <w:basedOn w:val="764"/>
    <w:next w:val="764"/>
    <w:link w:val="839"/>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40"/>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41"/>
    <w:uiPriority w:val="9"/>
    <w:unhideWhenUsed/>
    <w:qFormat/>
    <w:pPr>
      <w:keepLines/>
      <w:keepNext/>
      <w:spacing w:before="320" w:after="200"/>
      <w:outlineLvl w:val="4"/>
    </w:pPr>
    <w:rPr>
      <w:rFonts w:ascii="Arial" w:hAnsi="Arial" w:eastAsia="Arial" w:cs="Arial"/>
      <w:b/>
      <w:bCs/>
      <w:sz w:val="24"/>
    </w:rPr>
  </w:style>
  <w:style w:type="paragraph" w:styleId="770">
    <w:name w:val="Heading 6"/>
    <w:basedOn w:val="764"/>
    <w:next w:val="764"/>
    <w:link w:val="842"/>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4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45"/>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List Paragraph"/>
    <w:basedOn w:val="764"/>
    <w:uiPriority w:val="34"/>
    <w:qFormat/>
    <w:pPr>
      <w:ind w:firstLine="420"/>
    </w:pPr>
  </w:style>
  <w:style w:type="paragraph" w:styleId="777">
    <w:name w:val="toc 7"/>
    <w:basedOn w:val="764"/>
    <w:next w:val="764"/>
    <w:uiPriority w:val="39"/>
    <w:unhideWhenUsed/>
    <w:qFormat/>
    <w:pPr>
      <w:ind w:left="1701"/>
      <w:spacing w:after="57"/>
    </w:pPr>
  </w:style>
  <w:style w:type="paragraph" w:styleId="778">
    <w:name w:val="Caption"/>
    <w:basedOn w:val="764"/>
    <w:next w:val="764"/>
    <w:uiPriority w:val="35"/>
    <w:semiHidden/>
    <w:unhideWhenUsed/>
    <w:qFormat/>
    <w:pPr>
      <w:spacing w:line="276" w:lineRule="auto"/>
    </w:pPr>
    <w:rPr>
      <w:b/>
      <w:bCs/>
      <w:color w:val="4f81bd"/>
      <w:sz w:val="18"/>
      <w:szCs w:val="18"/>
    </w:rPr>
  </w:style>
  <w:style w:type="paragraph" w:styleId="779">
    <w:name w:val="Body Text"/>
    <w:basedOn w:val="764"/>
    <w:next w:val="780"/>
    <w:link w:val="1194"/>
    <w:uiPriority w:val="99"/>
    <w:unhideWhenUsed/>
    <w:qFormat/>
    <w:pPr>
      <w:spacing w:after="120"/>
    </w:pPr>
    <w:rPr>
      <w:rFonts w:ascii="宋体" w:hAnsi="Times New Roman"/>
      <w:sz w:val="34"/>
      <w:szCs w:val="20"/>
    </w:rPr>
  </w:style>
  <w:style w:type="paragraph" w:styleId="780">
    <w:name w:val="Body Text First Indent"/>
    <w:basedOn w:val="779"/>
    <w:link w:val="1195"/>
    <w:uiPriority w:val="99"/>
    <w:semiHidden/>
    <w:unhideWhenUsed/>
    <w:qFormat/>
    <w:pPr>
      <w:ind w:firstLine="420"/>
    </w:pPr>
    <w:rPr>
      <w:rFonts w:ascii="Calibri" w:hAnsi="Calibri"/>
      <w:sz w:val="21"/>
      <w:szCs w:val="24"/>
    </w:rPr>
  </w:style>
  <w:style w:type="paragraph" w:styleId="781">
    <w:name w:val="toc 5"/>
    <w:basedOn w:val="764"/>
    <w:next w:val="764"/>
    <w:uiPriority w:val="39"/>
    <w:unhideWhenUsed/>
    <w:qFormat/>
    <w:pPr>
      <w:ind w:left="1134"/>
      <w:spacing w:after="57"/>
    </w:pPr>
  </w:style>
  <w:style w:type="paragraph" w:styleId="782">
    <w:name w:val="toc 3"/>
    <w:basedOn w:val="764"/>
    <w:next w:val="764"/>
    <w:uiPriority w:val="39"/>
    <w:unhideWhenUsed/>
    <w:qFormat/>
    <w:pPr>
      <w:ind w:left="567"/>
      <w:spacing w:after="57"/>
    </w:pPr>
  </w:style>
  <w:style w:type="paragraph" w:styleId="783">
    <w:name w:val="toc 8"/>
    <w:basedOn w:val="764"/>
    <w:next w:val="764"/>
    <w:uiPriority w:val="39"/>
    <w:unhideWhenUsed/>
    <w:qFormat/>
    <w:pPr>
      <w:ind w:left="1984"/>
      <w:spacing w:after="57"/>
    </w:pPr>
  </w:style>
  <w:style w:type="paragraph" w:styleId="784">
    <w:name w:val="endnote text"/>
    <w:basedOn w:val="764"/>
    <w:link w:val="982"/>
    <w:uiPriority w:val="99"/>
    <w:semiHidden/>
    <w:unhideWhenUsed/>
    <w:qFormat/>
    <w:rPr>
      <w:sz w:val="20"/>
    </w:rPr>
  </w:style>
  <w:style w:type="paragraph" w:styleId="785">
    <w:name w:val="Footer"/>
    <w:basedOn w:val="764"/>
    <w:link w:val="855"/>
    <w:uiPriority w:val="99"/>
    <w:unhideWhenUsed/>
    <w:qFormat/>
    <w:pPr>
      <w:tabs>
        <w:tab w:val="center" w:pos="7143" w:leader="none"/>
        <w:tab w:val="right" w:pos="14287" w:leader="none"/>
      </w:tabs>
    </w:pPr>
  </w:style>
  <w:style w:type="paragraph" w:styleId="786">
    <w:name w:val="Header"/>
    <w:basedOn w:val="764"/>
    <w:link w:val="853"/>
    <w:uiPriority w:val="99"/>
    <w:unhideWhenUsed/>
    <w:qFormat/>
    <w:pPr>
      <w:tabs>
        <w:tab w:val="center" w:pos="7143" w:leader="none"/>
        <w:tab w:val="right" w:pos="14287" w:leader="none"/>
      </w:tabs>
    </w:pPr>
  </w:style>
  <w:style w:type="paragraph" w:styleId="787">
    <w:name w:val="toc 1"/>
    <w:basedOn w:val="764"/>
    <w:next w:val="764"/>
    <w:uiPriority w:val="39"/>
    <w:unhideWhenUsed/>
    <w:qFormat/>
    <w:pPr>
      <w:spacing w:after="57"/>
    </w:pPr>
  </w:style>
  <w:style w:type="paragraph" w:styleId="788">
    <w:name w:val="toc 4"/>
    <w:basedOn w:val="764"/>
    <w:next w:val="764"/>
    <w:uiPriority w:val="39"/>
    <w:unhideWhenUsed/>
    <w:qFormat/>
    <w:pPr>
      <w:ind w:left="850"/>
      <w:spacing w:after="57"/>
    </w:pPr>
  </w:style>
  <w:style w:type="paragraph" w:styleId="789">
    <w:name w:val="Subtitle"/>
    <w:basedOn w:val="764"/>
    <w:next w:val="764"/>
    <w:link w:val="848"/>
    <w:uiPriority w:val="11"/>
    <w:qFormat/>
    <w:pPr>
      <w:spacing w:before="200" w:after="200"/>
    </w:pPr>
    <w:rPr>
      <w:sz w:val="24"/>
    </w:rPr>
  </w:style>
  <w:style w:type="paragraph" w:styleId="790">
    <w:name w:val="footnote text"/>
    <w:basedOn w:val="764"/>
    <w:link w:val="981"/>
    <w:uiPriority w:val="99"/>
    <w:semiHidden/>
    <w:unhideWhenUsed/>
    <w:qFormat/>
    <w:pPr>
      <w:spacing w:after="40"/>
    </w:pPr>
    <w:rPr>
      <w:sz w:val="18"/>
    </w:rPr>
  </w:style>
  <w:style w:type="paragraph" w:styleId="791">
    <w:name w:val="toc 6"/>
    <w:basedOn w:val="764"/>
    <w:next w:val="764"/>
    <w:uiPriority w:val="39"/>
    <w:unhideWhenUsed/>
    <w:qFormat/>
    <w:pPr>
      <w:ind w:left="1417"/>
      <w:spacing w:after="57"/>
    </w:pPr>
  </w:style>
  <w:style w:type="paragraph" w:styleId="792">
    <w:name w:val="table of figures"/>
    <w:basedOn w:val="764"/>
    <w:next w:val="764"/>
    <w:uiPriority w:val="99"/>
    <w:unhideWhenUsed/>
    <w:qFormat/>
  </w:style>
  <w:style w:type="paragraph" w:styleId="793">
    <w:name w:val="toc 2"/>
    <w:basedOn w:val="764"/>
    <w:next w:val="764"/>
    <w:uiPriority w:val="39"/>
    <w:unhideWhenUsed/>
    <w:qFormat/>
    <w:pPr>
      <w:ind w:left="283"/>
      <w:spacing w:after="57"/>
    </w:pPr>
  </w:style>
  <w:style w:type="paragraph" w:styleId="794">
    <w:name w:val="toc 9"/>
    <w:basedOn w:val="764"/>
    <w:next w:val="764"/>
    <w:uiPriority w:val="39"/>
    <w:unhideWhenUsed/>
    <w:qFormat/>
    <w:pPr>
      <w:ind w:left="2268"/>
      <w:spacing w:after="57"/>
    </w:pPr>
  </w:style>
  <w:style w:type="paragraph" w:styleId="795">
    <w:name w:val="Title"/>
    <w:basedOn w:val="764"/>
    <w:next w:val="764"/>
    <w:link w:val="847"/>
    <w:uiPriority w:val="10"/>
    <w:qFormat/>
    <w:pPr>
      <w:contextualSpacing/>
      <w:spacing w:before="300" w:after="200"/>
    </w:pPr>
    <w:rPr>
      <w:sz w:val="48"/>
      <w:szCs w:val="48"/>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u w:val="single"/>
    </w:rPr>
  </w:style>
  <w:style w:type="character" w:styleId="799">
    <w:name w:val="footnote reference"/>
    <w:uiPriority w:val="99"/>
    <w:unhideWhenUsed/>
    <w:qFormat/>
    <w:rPr>
      <w:vertAlign w:val="superscript"/>
    </w:rPr>
  </w:style>
  <w:style w:type="character" w:styleId="800" w:customStyle="1">
    <w:name w:val="Heading 1 Char"/>
    <w:basedOn w:val="774"/>
    <w:uiPriority w:val="9"/>
    <w:qFormat/>
    <w:rPr>
      <w:rFonts w:ascii="Arial" w:hAnsi="Arial" w:eastAsia="Arial" w:cs="Arial"/>
      <w:sz w:val="40"/>
      <w:szCs w:val="40"/>
    </w:rPr>
  </w:style>
  <w:style w:type="character" w:styleId="801" w:customStyle="1">
    <w:name w:val="Heading 2 Char"/>
    <w:basedOn w:val="774"/>
    <w:uiPriority w:val="9"/>
    <w:qFormat/>
    <w:rPr>
      <w:rFonts w:ascii="Arial" w:hAnsi="Arial" w:eastAsia="Arial" w:cs="Arial"/>
      <w:sz w:val="34"/>
    </w:rPr>
  </w:style>
  <w:style w:type="character" w:styleId="802" w:customStyle="1">
    <w:name w:val="Heading 3 Char"/>
    <w:basedOn w:val="774"/>
    <w:uiPriority w:val="9"/>
    <w:qFormat/>
    <w:rPr>
      <w:rFonts w:ascii="Arial" w:hAnsi="Arial" w:eastAsia="Arial" w:cs="Arial"/>
      <w:sz w:val="30"/>
      <w:szCs w:val="30"/>
    </w:rPr>
  </w:style>
  <w:style w:type="character" w:styleId="803" w:customStyle="1">
    <w:name w:val="Heading 4 Char"/>
    <w:basedOn w:val="774"/>
    <w:uiPriority w:val="9"/>
    <w:qFormat/>
    <w:rPr>
      <w:rFonts w:ascii="Arial" w:hAnsi="Arial" w:eastAsia="Arial" w:cs="Arial"/>
      <w:b/>
      <w:bCs/>
      <w:sz w:val="26"/>
      <w:szCs w:val="26"/>
    </w:rPr>
  </w:style>
  <w:style w:type="character" w:styleId="804" w:customStyle="1">
    <w:name w:val="Heading 5 Char"/>
    <w:basedOn w:val="774"/>
    <w:uiPriority w:val="9"/>
    <w:qFormat/>
    <w:rPr>
      <w:rFonts w:ascii="Arial" w:hAnsi="Arial" w:eastAsia="Arial" w:cs="Arial"/>
      <w:b/>
      <w:bCs/>
      <w:sz w:val="24"/>
      <w:szCs w:val="24"/>
    </w:rPr>
  </w:style>
  <w:style w:type="character" w:styleId="805" w:customStyle="1">
    <w:name w:val="Heading 6 Char"/>
    <w:basedOn w:val="774"/>
    <w:uiPriority w:val="9"/>
    <w:qFormat/>
    <w:rPr>
      <w:rFonts w:ascii="Arial" w:hAnsi="Arial" w:eastAsia="Arial" w:cs="Arial"/>
      <w:b/>
      <w:bCs/>
      <w:sz w:val="22"/>
      <w:szCs w:val="22"/>
    </w:rPr>
  </w:style>
  <w:style w:type="character" w:styleId="806" w:customStyle="1">
    <w:name w:val="Heading 7 Char"/>
    <w:basedOn w:val="774"/>
    <w:uiPriority w:val="9"/>
    <w:qFormat/>
    <w:rPr>
      <w:rFonts w:ascii="Arial" w:hAnsi="Arial" w:eastAsia="Arial" w:cs="Arial"/>
      <w:b/>
      <w:bCs/>
      <w:i/>
      <w:iCs/>
      <w:sz w:val="22"/>
      <w:szCs w:val="22"/>
    </w:rPr>
  </w:style>
  <w:style w:type="character" w:styleId="807" w:customStyle="1">
    <w:name w:val="Heading 8 Char"/>
    <w:basedOn w:val="774"/>
    <w:uiPriority w:val="9"/>
    <w:qFormat/>
    <w:rPr>
      <w:rFonts w:ascii="Arial" w:hAnsi="Arial" w:eastAsia="Arial" w:cs="Arial"/>
      <w:i/>
      <w:iCs/>
      <w:sz w:val="22"/>
      <w:szCs w:val="22"/>
    </w:rPr>
  </w:style>
  <w:style w:type="character" w:styleId="808" w:customStyle="1">
    <w:name w:val="Heading 9 Char"/>
    <w:basedOn w:val="774"/>
    <w:uiPriority w:val="9"/>
    <w:qFormat/>
    <w:rPr>
      <w:rFonts w:ascii="Arial" w:hAnsi="Arial" w:eastAsia="Arial" w:cs="Arial"/>
      <w:i/>
      <w:iCs/>
      <w:sz w:val="21"/>
      <w:szCs w:val="21"/>
    </w:rPr>
  </w:style>
  <w:style w:type="character" w:styleId="809" w:customStyle="1">
    <w:name w:val="Title Char"/>
    <w:basedOn w:val="774"/>
    <w:uiPriority w:val="10"/>
    <w:qFormat/>
    <w:rPr>
      <w:sz w:val="48"/>
      <w:szCs w:val="48"/>
    </w:rPr>
  </w:style>
  <w:style w:type="character" w:styleId="810" w:customStyle="1">
    <w:name w:val="Subtitle Char"/>
    <w:basedOn w:val="774"/>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74"/>
    <w:uiPriority w:val="99"/>
    <w:qFormat/>
  </w:style>
  <w:style w:type="character" w:styleId="814" w:customStyle="1">
    <w:name w:val="Caption Char"/>
    <w:uiPriority w:val="99"/>
    <w:qFormat/>
  </w:style>
  <w:style w:type="table" w:styleId="815" w:customStyle="1">
    <w:name w:val="Plain Table 1"/>
    <w:basedOn w:val="77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4" w:customStyle="1">
    <w:name w:val="Footnote Text Char"/>
    <w:uiPriority w:val="99"/>
    <w:qFormat/>
    <w:rPr>
      <w:sz w:val="18"/>
    </w:rPr>
  </w:style>
  <w:style w:type="character" w:styleId="835" w:customStyle="1">
    <w:name w:val="Endnote Text Char"/>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character" w:styleId="837" w:customStyle="1">
    <w:name w:val="标题 1 字符"/>
    <w:link w:val="765"/>
    <w:uiPriority w:val="9"/>
    <w:qFormat/>
    <w:rPr>
      <w:rFonts w:ascii="Arial" w:hAnsi="Arial" w:eastAsia="Arial" w:cs="Arial"/>
      <w:sz w:val="40"/>
      <w:szCs w:val="40"/>
    </w:rPr>
  </w:style>
  <w:style w:type="character" w:styleId="838" w:customStyle="1">
    <w:name w:val="标题 2 字符"/>
    <w:link w:val="766"/>
    <w:uiPriority w:val="9"/>
    <w:qFormat/>
    <w:rPr>
      <w:rFonts w:ascii="Arial" w:hAnsi="Arial" w:eastAsia="Arial" w:cs="Arial"/>
      <w:sz w:val="34"/>
    </w:rPr>
  </w:style>
  <w:style w:type="character" w:styleId="839" w:customStyle="1">
    <w:name w:val="标题 3 字符"/>
    <w:link w:val="767"/>
    <w:uiPriority w:val="9"/>
    <w:qFormat/>
    <w:rPr>
      <w:rFonts w:ascii="Arial" w:hAnsi="Arial" w:eastAsia="Arial" w:cs="Arial"/>
      <w:sz w:val="30"/>
      <w:szCs w:val="30"/>
    </w:rPr>
  </w:style>
  <w:style w:type="character" w:styleId="840" w:customStyle="1">
    <w:name w:val="标题 4 字符"/>
    <w:link w:val="768"/>
    <w:uiPriority w:val="9"/>
    <w:qFormat/>
    <w:rPr>
      <w:rFonts w:ascii="Arial" w:hAnsi="Arial" w:eastAsia="Arial" w:cs="Arial"/>
      <w:b/>
      <w:bCs/>
      <w:sz w:val="26"/>
      <w:szCs w:val="26"/>
    </w:rPr>
  </w:style>
  <w:style w:type="character" w:styleId="841" w:customStyle="1">
    <w:name w:val="标题 5 字符"/>
    <w:link w:val="769"/>
    <w:uiPriority w:val="9"/>
    <w:qFormat/>
    <w:rPr>
      <w:rFonts w:ascii="Arial" w:hAnsi="Arial" w:eastAsia="Arial" w:cs="Arial"/>
      <w:b/>
      <w:bCs/>
      <w:sz w:val="24"/>
      <w:szCs w:val="24"/>
    </w:rPr>
  </w:style>
  <w:style w:type="character" w:styleId="842" w:customStyle="1">
    <w:name w:val="标题 6 字符"/>
    <w:link w:val="770"/>
    <w:uiPriority w:val="9"/>
    <w:qFormat/>
    <w:rPr>
      <w:rFonts w:ascii="Arial" w:hAnsi="Arial" w:eastAsia="Arial" w:cs="Arial"/>
      <w:b/>
      <w:bCs/>
      <w:sz w:val="22"/>
      <w:szCs w:val="22"/>
    </w:rPr>
  </w:style>
  <w:style w:type="character" w:styleId="843" w:customStyle="1">
    <w:name w:val="标题 7 字符"/>
    <w:link w:val="771"/>
    <w:uiPriority w:val="9"/>
    <w:qFormat/>
    <w:rPr>
      <w:rFonts w:ascii="Arial" w:hAnsi="Arial" w:eastAsia="Arial" w:cs="Arial"/>
      <w:b/>
      <w:bCs/>
      <w:i/>
      <w:iCs/>
      <w:sz w:val="22"/>
      <w:szCs w:val="22"/>
    </w:rPr>
  </w:style>
  <w:style w:type="character" w:styleId="844" w:customStyle="1">
    <w:name w:val="标题 8 字符"/>
    <w:link w:val="772"/>
    <w:uiPriority w:val="9"/>
    <w:qFormat/>
    <w:rPr>
      <w:rFonts w:ascii="Arial" w:hAnsi="Arial" w:eastAsia="Arial" w:cs="Arial"/>
      <w:i/>
      <w:iCs/>
      <w:sz w:val="22"/>
      <w:szCs w:val="22"/>
    </w:rPr>
  </w:style>
  <w:style w:type="character" w:styleId="845" w:customStyle="1">
    <w:name w:val="标题 9 字符"/>
    <w:link w:val="773"/>
    <w:uiPriority w:val="9"/>
    <w:qFormat/>
    <w:rPr>
      <w:rFonts w:ascii="Arial" w:hAnsi="Arial" w:eastAsia="Arial" w:cs="Arial"/>
      <w:i/>
      <w:iCs/>
      <w:sz w:val="21"/>
      <w:szCs w:val="21"/>
    </w:rPr>
  </w:style>
  <w:style w:type="paragraph" w:styleId="846">
    <w:name w:val="No Spacing"/>
    <w:uiPriority w:val="1"/>
    <w:qFormat/>
    <w:rPr>
      <w:rFonts w:hint="default" w:ascii="Times New Roman" w:hAnsi="Times New Roman" w:eastAsia="宋体" w:cs="Times New Roman"/>
      <w:lang w:val="en-US" w:eastAsia="zh-CN" w:bidi="ar-SA"/>
    </w:rPr>
  </w:style>
  <w:style w:type="character" w:styleId="847" w:customStyle="1">
    <w:name w:val="标题 字符"/>
    <w:link w:val="795"/>
    <w:uiPriority w:val="10"/>
    <w:qFormat/>
    <w:rPr>
      <w:sz w:val="48"/>
      <w:szCs w:val="48"/>
    </w:rPr>
  </w:style>
  <w:style w:type="character" w:styleId="848" w:customStyle="1">
    <w:name w:val="副标题 字符"/>
    <w:link w:val="789"/>
    <w:uiPriority w:val="11"/>
    <w:qFormat/>
    <w:rPr>
      <w:sz w:val="24"/>
      <w:szCs w:val="24"/>
    </w:rPr>
  </w:style>
  <w:style w:type="paragraph" w:styleId="849">
    <w:name w:val="Quote"/>
    <w:basedOn w:val="764"/>
    <w:next w:val="764"/>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64"/>
    <w:next w:val="764"/>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眉 字符"/>
    <w:link w:val="786"/>
    <w:uiPriority w:val="99"/>
    <w:qFormat/>
  </w:style>
  <w:style w:type="character" w:styleId="854" w:customStyle="1">
    <w:name w:val="Footer Char"/>
    <w:uiPriority w:val="99"/>
    <w:qFormat/>
  </w:style>
  <w:style w:type="character" w:styleId="855" w:customStyle="1">
    <w:name w:val="页脚 字符"/>
    <w:link w:val="785"/>
    <w:uiPriority w:val="99"/>
    <w:qFormat/>
  </w:style>
  <w:style w:type="table" w:styleId="85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9" w:customStyle="1">
    <w:name w:val="无格式表格 31"/>
    <w:uiPriority w:val="99"/>
    <w:qFormat/>
    <w:tblPr>
      <w:tblCellMar>
        <w:left w:w="0" w:type="dxa"/>
        <w:top w:w="0" w:type="dxa"/>
        <w:right w:w="0" w:type="dxa"/>
        <w:bottom w:w="0" w:type="dxa"/>
      </w:tblCellMar>
    </w:tblPr>
  </w:style>
  <w:style w:type="table" w:styleId="860" w:customStyle="1">
    <w:name w:val="无格式表格 41"/>
    <w:uiPriority w:val="99"/>
    <w:qFormat/>
    <w:tblPr>
      <w:tblCellMar>
        <w:left w:w="0" w:type="dxa"/>
        <w:top w:w="0" w:type="dxa"/>
        <w:right w:w="0" w:type="dxa"/>
        <w:bottom w:w="0" w:type="dxa"/>
      </w:tblCellMar>
    </w:tblPr>
  </w:style>
  <w:style w:type="table" w:styleId="861" w:customStyle="1">
    <w:name w:val="无格式表格 51"/>
    <w:uiPriority w:val="99"/>
    <w:qFormat/>
    <w:tblPr>
      <w:tblCellMar>
        <w:left w:w="0" w:type="dxa"/>
        <w:top w:w="0" w:type="dxa"/>
        <w:right w:w="0" w:type="dxa"/>
        <w:bottom w:w="0" w:type="dxa"/>
      </w:tblCellMar>
    </w:tblPr>
  </w:style>
  <w:style w:type="table" w:styleId="86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customStyle="1">
    <w:name w:val="清单表 1 浅色1"/>
    <w:uiPriority w:val="99"/>
    <w:qFormat/>
    <w:tblPr>
      <w:tblCellMar>
        <w:left w:w="0" w:type="dxa"/>
        <w:top w:w="0" w:type="dxa"/>
        <w:right w:w="0" w:type="dxa"/>
        <w:bottom w:w="0" w:type="dxa"/>
      </w:tblCellMar>
    </w:tblPr>
  </w:style>
  <w:style w:type="table" w:styleId="912" w:customStyle="1">
    <w:name w:val="List Table 1 Light - Accent 1"/>
    <w:uiPriority w:val="99"/>
    <w:qFormat/>
    <w:tblPr>
      <w:tblCellMar>
        <w:left w:w="0" w:type="dxa"/>
        <w:top w:w="0" w:type="dxa"/>
        <w:right w:w="0" w:type="dxa"/>
        <w:bottom w:w="0" w:type="dxa"/>
      </w:tblCellMar>
    </w:tblPr>
  </w:style>
  <w:style w:type="table" w:styleId="913" w:customStyle="1">
    <w:name w:val="List Table 1 Light - Accent 2"/>
    <w:uiPriority w:val="99"/>
    <w:qFormat/>
    <w:tblPr>
      <w:tblCellMar>
        <w:left w:w="0" w:type="dxa"/>
        <w:top w:w="0" w:type="dxa"/>
        <w:right w:w="0" w:type="dxa"/>
        <w:bottom w:w="0" w:type="dxa"/>
      </w:tblCellMar>
    </w:tblPr>
  </w:style>
  <w:style w:type="table" w:styleId="914" w:customStyle="1">
    <w:name w:val="List Table 1 Light - Accent 3"/>
    <w:uiPriority w:val="99"/>
    <w:qFormat/>
    <w:tblPr>
      <w:tblCellMar>
        <w:left w:w="0" w:type="dxa"/>
        <w:top w:w="0" w:type="dxa"/>
        <w:right w:w="0" w:type="dxa"/>
        <w:bottom w:w="0" w:type="dxa"/>
      </w:tblCellMar>
    </w:tblPr>
  </w:style>
  <w:style w:type="table" w:styleId="915" w:customStyle="1">
    <w:name w:val="List Table 1 Light - Accent 4"/>
    <w:uiPriority w:val="99"/>
    <w:qFormat/>
    <w:tblPr>
      <w:tblCellMar>
        <w:left w:w="0" w:type="dxa"/>
        <w:top w:w="0" w:type="dxa"/>
        <w:right w:w="0" w:type="dxa"/>
        <w:bottom w:w="0" w:type="dxa"/>
      </w:tblCellMar>
    </w:tblPr>
  </w:style>
  <w:style w:type="table" w:styleId="916" w:customStyle="1">
    <w:name w:val="List Table 1 Light - Accent 5"/>
    <w:uiPriority w:val="99"/>
    <w:qFormat/>
    <w:tblPr>
      <w:tblCellMar>
        <w:left w:w="0" w:type="dxa"/>
        <w:top w:w="0" w:type="dxa"/>
        <w:right w:w="0" w:type="dxa"/>
        <w:bottom w:w="0" w:type="dxa"/>
      </w:tblCellMar>
    </w:tblPr>
  </w:style>
  <w:style w:type="table" w:styleId="917" w:customStyle="1">
    <w:name w:val="List Table 1 Light - Accent 6"/>
    <w:uiPriority w:val="99"/>
    <w:qFormat/>
    <w:tblPr>
      <w:tblCellMar>
        <w:left w:w="0" w:type="dxa"/>
        <w:top w:w="0" w:type="dxa"/>
        <w:right w:w="0" w:type="dxa"/>
        <w:bottom w:w="0" w:type="dxa"/>
      </w:tblCellMar>
    </w:tblPr>
  </w:style>
  <w:style w:type="table" w:styleId="91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0" w:customStyle="1">
    <w:name w:val="Lined - Accent"/>
    <w:uiPriority w:val="99"/>
    <w:qFormat/>
    <w:rPr>
      <w:color w:val="404040"/>
    </w:rPr>
    <w:tblPr>
      <w:tblCellMar>
        <w:left w:w="0" w:type="dxa"/>
        <w:top w:w="0" w:type="dxa"/>
        <w:right w:w="0" w:type="dxa"/>
        <w:bottom w:w="0" w:type="dxa"/>
      </w:tblCellMar>
    </w:tblPr>
  </w:style>
  <w:style w:type="table" w:styleId="961" w:customStyle="1">
    <w:name w:val="Lined - Accent 1"/>
    <w:uiPriority w:val="99"/>
    <w:qFormat/>
    <w:rPr>
      <w:color w:val="404040"/>
    </w:rPr>
    <w:tblPr>
      <w:tblCellMar>
        <w:left w:w="0" w:type="dxa"/>
        <w:top w:w="0" w:type="dxa"/>
        <w:right w:w="0" w:type="dxa"/>
        <w:bottom w:w="0" w:type="dxa"/>
      </w:tblCellMar>
    </w:tblPr>
  </w:style>
  <w:style w:type="table" w:styleId="962" w:customStyle="1">
    <w:name w:val="Lined - Accent 2"/>
    <w:uiPriority w:val="99"/>
    <w:qFormat/>
    <w:rPr>
      <w:color w:val="404040"/>
    </w:rPr>
    <w:tblPr>
      <w:tblCellMar>
        <w:left w:w="0" w:type="dxa"/>
        <w:top w:w="0" w:type="dxa"/>
        <w:right w:w="0" w:type="dxa"/>
        <w:bottom w:w="0" w:type="dxa"/>
      </w:tblCellMar>
    </w:tblPr>
  </w:style>
  <w:style w:type="table" w:styleId="963" w:customStyle="1">
    <w:name w:val="Lined - Accent 3"/>
    <w:uiPriority w:val="99"/>
    <w:qFormat/>
    <w:rPr>
      <w:color w:val="404040"/>
    </w:rPr>
    <w:tblPr>
      <w:tblCellMar>
        <w:left w:w="0" w:type="dxa"/>
        <w:top w:w="0" w:type="dxa"/>
        <w:right w:w="0" w:type="dxa"/>
        <w:bottom w:w="0" w:type="dxa"/>
      </w:tblCellMar>
    </w:tblPr>
  </w:style>
  <w:style w:type="table" w:styleId="964" w:customStyle="1">
    <w:name w:val="Lined - Accent 4"/>
    <w:uiPriority w:val="99"/>
    <w:qFormat/>
    <w:rPr>
      <w:color w:val="404040"/>
    </w:rPr>
    <w:tblPr>
      <w:tblCellMar>
        <w:left w:w="0" w:type="dxa"/>
        <w:top w:w="0" w:type="dxa"/>
        <w:right w:w="0" w:type="dxa"/>
        <w:bottom w:w="0" w:type="dxa"/>
      </w:tblCellMar>
    </w:tblPr>
  </w:style>
  <w:style w:type="table" w:styleId="965" w:customStyle="1">
    <w:name w:val="Lined - Accent 5"/>
    <w:uiPriority w:val="99"/>
    <w:qFormat/>
    <w:rPr>
      <w:color w:val="404040"/>
    </w:rPr>
    <w:tblPr>
      <w:tblCellMar>
        <w:left w:w="0" w:type="dxa"/>
        <w:top w:w="0" w:type="dxa"/>
        <w:right w:w="0" w:type="dxa"/>
        <w:bottom w:w="0" w:type="dxa"/>
      </w:tblCellMar>
    </w:tblPr>
  </w:style>
  <w:style w:type="table" w:styleId="966" w:customStyle="1">
    <w:name w:val="Lined - Accent 6"/>
    <w:uiPriority w:val="99"/>
    <w:qFormat/>
    <w:rPr>
      <w:color w:val="404040"/>
    </w:rPr>
    <w:tblPr>
      <w:tblCellMar>
        <w:left w:w="0" w:type="dxa"/>
        <w:top w:w="0" w:type="dxa"/>
        <w:right w:w="0" w:type="dxa"/>
        <w:bottom w:w="0" w:type="dxa"/>
      </w:tblCellMar>
    </w:tblPr>
  </w:style>
  <w:style w:type="table" w:styleId="96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1" w:customStyle="1">
    <w:name w:val="脚注文本 字符"/>
    <w:link w:val="790"/>
    <w:uiPriority w:val="99"/>
    <w:qFormat/>
    <w:rPr>
      <w:sz w:val="18"/>
    </w:rPr>
  </w:style>
  <w:style w:type="character" w:styleId="982" w:customStyle="1">
    <w:name w:val="尾注文本 字符"/>
    <w:link w:val="784"/>
    <w:uiPriority w:val="99"/>
    <w:qFormat/>
    <w:rPr>
      <w:sz w:val="20"/>
    </w:rPr>
  </w:style>
  <w:style w:type="paragraph" w:styleId="983" w:customStyle="1">
    <w:name w:val="TOC 标题1"/>
    <w:uiPriority w:val="39"/>
    <w:unhideWhenUsed/>
    <w:qFormat/>
    <w:rPr>
      <w:rFonts w:hint="default" w:ascii="Times New Roman" w:hAnsi="Times New Roman" w:eastAsia="宋体" w:cs="Times New Roman"/>
      <w:lang w:val="en-US" w:eastAsia="zh-CN" w:bidi="ar-SA"/>
    </w:rPr>
  </w:style>
  <w:style w:type="paragraph" w:styleId="984" w:customStyle="1">
    <w:name w:val="标题 11"/>
    <w:basedOn w:val="764"/>
    <w:next w:val="764"/>
    <w:link w:val="992"/>
    <w:uiPriority w:val="0"/>
    <w:qFormat/>
    <w:pPr>
      <w:keepLines/>
      <w:keepNext/>
      <w:spacing w:before="340" w:after="330" w:line="576" w:lineRule="auto"/>
      <w:outlineLvl w:val="0"/>
    </w:pPr>
    <w:rPr>
      <w:b/>
      <w:sz w:val="44"/>
    </w:rPr>
  </w:style>
  <w:style w:type="paragraph" w:styleId="985" w:customStyle="1">
    <w:name w:val="标题 211"/>
    <w:basedOn w:val="764"/>
    <w:next w:val="986"/>
    <w:uiPriority w:val="0"/>
    <w:unhideWhenUsed/>
    <w:qFormat/>
    <w:pPr>
      <w:keepLines/>
      <w:keepNext/>
      <w:spacing w:before="260" w:after="260" w:line="413" w:lineRule="auto"/>
      <w:outlineLvl w:val="1"/>
    </w:pPr>
    <w:rPr>
      <w:rFonts w:ascii="Arial" w:hAnsi="Arial" w:eastAsia="黑体"/>
      <w:b/>
      <w:sz w:val="32"/>
    </w:rPr>
  </w:style>
  <w:style w:type="paragraph" w:styleId="986" w:customStyle="1">
    <w:name w:val="正文缩进11"/>
    <w:basedOn w:val="764"/>
    <w:uiPriority w:val="0"/>
    <w:qFormat/>
    <w:pPr>
      <w:ind w:firstLine="420"/>
    </w:pPr>
  </w:style>
  <w:style w:type="paragraph" w:styleId="987" w:customStyle="1">
    <w:name w:val="标题 31"/>
    <w:basedOn w:val="764"/>
    <w:next w:val="764"/>
    <w:link w:val="993"/>
    <w:uiPriority w:val="0"/>
    <w:unhideWhenUsed/>
    <w:qFormat/>
    <w:pPr>
      <w:keepLines/>
      <w:keepNext/>
      <w:spacing w:before="260" w:after="260" w:line="413" w:lineRule="auto"/>
      <w:outlineLvl w:val="2"/>
    </w:pPr>
    <w:rPr>
      <w:b/>
      <w:sz w:val="32"/>
    </w:rPr>
  </w:style>
  <w:style w:type="paragraph" w:styleId="988" w:customStyle="1">
    <w:name w:val="标题 41"/>
    <w:basedOn w:val="764"/>
    <w:next w:val="764"/>
    <w:uiPriority w:val="0"/>
    <w:unhideWhenUsed/>
    <w:qFormat/>
    <w:pPr>
      <w:keepLines/>
      <w:keepNext/>
      <w:spacing w:before="280" w:after="290" w:line="372" w:lineRule="auto"/>
      <w:outlineLvl w:val="3"/>
    </w:pPr>
    <w:rPr>
      <w:rFonts w:ascii="Arial" w:hAnsi="Arial" w:eastAsia="黑体"/>
      <w:b/>
      <w:sz w:val="28"/>
    </w:rPr>
  </w:style>
  <w:style w:type="character" w:styleId="989" w:customStyle="1">
    <w:name w:val="默认段落字体1"/>
    <w:uiPriority w:val="0"/>
    <w:semiHidden/>
    <w:qFormat/>
  </w:style>
  <w:style w:type="table" w:styleId="990" w:customStyle="1">
    <w:name w:val="普通表格1"/>
    <w:uiPriority w:val="99"/>
    <w:unhideWhenUsed/>
    <w:qFormat/>
    <w:tblPr>
      <w:tblCellMar>
        <w:left w:w="0" w:type="dxa"/>
        <w:top w:w="0" w:type="dxa"/>
        <w:right w:w="0" w:type="dxa"/>
        <w:bottom w:w="0" w:type="dxa"/>
      </w:tblCellMar>
    </w:tblPr>
  </w:style>
  <w:style w:type="paragraph" w:styleId="991"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character" w:styleId="992" w:customStyle="1">
    <w:name w:val="标题 1 Char"/>
    <w:link w:val="984"/>
    <w:uiPriority w:val="99"/>
    <w:qFormat/>
    <w:rPr>
      <w:b/>
      <w:sz w:val="44"/>
    </w:rPr>
  </w:style>
  <w:style w:type="character" w:styleId="993" w:customStyle="1">
    <w:name w:val="标题 3 Char"/>
    <w:link w:val="987"/>
    <w:uiPriority w:val="99"/>
    <w:semiHidden/>
    <w:qFormat/>
    <w:rPr>
      <w:b/>
      <w:sz w:val="32"/>
    </w:rPr>
  </w:style>
  <w:style w:type="paragraph" w:styleId="994" w:customStyle="1">
    <w:name w:val="列表编号 21"/>
    <w:basedOn w:val="764"/>
    <w:uiPriority w:val="99"/>
    <w:unhideWhenUsed/>
    <w:qFormat/>
    <w:pPr>
      <w:numPr>
        <w:ilvl w:val="0"/>
        <w:numId w:val="1"/>
      </w:numPr>
    </w:pPr>
  </w:style>
  <w:style w:type="paragraph" w:styleId="995" w:customStyle="1">
    <w:name w:val="引文目录1"/>
    <w:basedOn w:val="764"/>
    <w:next w:val="764"/>
    <w:uiPriority w:val="0"/>
    <w:qFormat/>
    <w:pPr>
      <w:ind w:left="420"/>
    </w:pPr>
  </w:style>
  <w:style w:type="paragraph" w:styleId="996" w:customStyle="1">
    <w:name w:val="索引 51"/>
    <w:basedOn w:val="764"/>
    <w:next w:val="764"/>
    <w:uiPriority w:val="0"/>
    <w:qFormat/>
    <w:pPr>
      <w:ind w:left="800"/>
    </w:pPr>
  </w:style>
  <w:style w:type="paragraph" w:styleId="997" w:customStyle="1">
    <w:name w:val="文档结构图1"/>
    <w:basedOn w:val="764"/>
    <w:link w:val="998"/>
    <w:uiPriority w:val="0"/>
    <w:qFormat/>
    <w:pPr>
      <w:shd w:val="clear" w:color="auto" w:fill="000080"/>
    </w:pPr>
  </w:style>
  <w:style w:type="character" w:styleId="998" w:customStyle="1">
    <w:name w:val="文档结构图 Char"/>
    <w:link w:val="997"/>
    <w:uiPriority w:val="99"/>
    <w:semiHidden/>
    <w:qFormat/>
  </w:style>
  <w:style w:type="paragraph" w:styleId="999" w:customStyle="1">
    <w:name w:val="引文目录标题1"/>
    <w:basedOn w:val="764"/>
    <w:next w:val="764"/>
    <w:uiPriority w:val="0"/>
    <w:qFormat/>
    <w:pPr>
      <w:spacing w:before="120"/>
    </w:pPr>
    <w:rPr>
      <w:rFonts w:ascii="Arial" w:hAnsi="Arial"/>
      <w:sz w:val="24"/>
    </w:rPr>
  </w:style>
  <w:style w:type="paragraph" w:styleId="1000" w:customStyle="1">
    <w:name w:val="批注文字1"/>
    <w:basedOn w:val="764"/>
    <w:link w:val="1001"/>
    <w:uiPriority w:val="0"/>
    <w:qFormat/>
    <w:pPr>
      <w:jc w:val="left"/>
    </w:pPr>
  </w:style>
  <w:style w:type="character" w:styleId="1001" w:customStyle="1">
    <w:name w:val="批注文字 Char"/>
    <w:link w:val="1000"/>
    <w:uiPriority w:val="99"/>
    <w:semiHidden/>
    <w:qFormat/>
  </w:style>
  <w:style w:type="paragraph" w:styleId="1002" w:customStyle="1">
    <w:name w:val="正文文本 31"/>
    <w:basedOn w:val="764"/>
    <w:link w:val="1003"/>
    <w:uiPriority w:val="0"/>
    <w:qFormat/>
    <w:pPr>
      <w:spacing w:after="120"/>
    </w:pPr>
    <w:rPr>
      <w:sz w:val="16"/>
    </w:rPr>
  </w:style>
  <w:style w:type="character" w:styleId="1003" w:customStyle="1">
    <w:name w:val="正文文本 3 Char"/>
    <w:link w:val="1002"/>
    <w:uiPriority w:val="99"/>
    <w:semiHidden/>
    <w:qFormat/>
    <w:rPr>
      <w:sz w:val="16"/>
    </w:rPr>
  </w:style>
  <w:style w:type="paragraph" w:styleId="1004" w:customStyle="1">
    <w:name w:val="正文文本111"/>
    <w:basedOn w:val="764"/>
    <w:link w:val="1005"/>
    <w:uiPriority w:val="0"/>
    <w:qFormat/>
    <w:pPr>
      <w:spacing w:after="120"/>
    </w:pPr>
  </w:style>
  <w:style w:type="character" w:styleId="1005" w:customStyle="1">
    <w:name w:val="正文文本 Char"/>
    <w:link w:val="1004"/>
    <w:uiPriority w:val="0"/>
    <w:qFormat/>
  </w:style>
  <w:style w:type="paragraph" w:styleId="1006" w:customStyle="1">
    <w:name w:val="正文文本缩进1"/>
    <w:basedOn w:val="764"/>
    <w:next w:val="764"/>
    <w:link w:val="1007"/>
    <w:uiPriority w:val="0"/>
    <w:qFormat/>
    <w:pPr>
      <w:ind w:left="420"/>
      <w:spacing w:after="120"/>
    </w:pPr>
  </w:style>
  <w:style w:type="character" w:styleId="1007" w:customStyle="1">
    <w:name w:val="正文文本缩进 Char"/>
    <w:link w:val="1006"/>
    <w:uiPriority w:val="99"/>
    <w:semiHidden/>
    <w:qFormat/>
  </w:style>
  <w:style w:type="paragraph" w:styleId="1008" w:customStyle="1">
    <w:name w:val="文本块1"/>
    <w:basedOn w:val="764"/>
    <w:uiPriority w:val="0"/>
    <w:qFormat/>
    <w:pPr>
      <w:ind w:left="1440"/>
      <w:spacing w:after="120"/>
    </w:pPr>
  </w:style>
  <w:style w:type="paragraph" w:styleId="1009" w:customStyle="1">
    <w:name w:val="索引 41"/>
    <w:basedOn w:val="764"/>
    <w:next w:val="764"/>
    <w:uiPriority w:val="0"/>
    <w:qFormat/>
    <w:pPr>
      <w:ind w:left="600"/>
    </w:pPr>
  </w:style>
  <w:style w:type="paragraph" w:styleId="1010" w:customStyle="1">
    <w:name w:val="纯文本111"/>
    <w:basedOn w:val="764"/>
    <w:next w:val="1011"/>
    <w:link w:val="1012"/>
    <w:uiPriority w:val="0"/>
    <w:qFormat/>
    <w:rPr>
      <w:rFonts w:ascii="宋体" w:hAnsi="Courier New"/>
    </w:rPr>
  </w:style>
  <w:style w:type="paragraph" w:styleId="1011" w:customStyle="1">
    <w:name w:val="Char Char Char Char Char Char Char Char Char Char Char Char Char"/>
    <w:basedOn w:val="764"/>
    <w:next w:val="764"/>
    <w:uiPriority w:val="99"/>
    <w:qFormat/>
    <w:pPr>
      <w:jc w:val="left"/>
      <w:spacing w:after="160" w:line="240" w:lineRule="exact"/>
      <w:widowControl/>
    </w:pPr>
    <w:rPr>
      <w:rFonts w:ascii="Verdana" w:hAnsi="Verdana"/>
      <w:sz w:val="20"/>
      <w:szCs w:val="20"/>
      <w:lang w:eastAsia="en-US"/>
    </w:rPr>
  </w:style>
  <w:style w:type="character" w:styleId="1012" w:customStyle="1">
    <w:name w:val="纯文本 Char"/>
    <w:link w:val="1010"/>
    <w:uiPriority w:val="0"/>
    <w:qFormat/>
    <w:rPr>
      <w:rFonts w:ascii="宋体" w:hAnsi="Courier New"/>
    </w:rPr>
  </w:style>
  <w:style w:type="paragraph" w:styleId="1013" w:customStyle="1">
    <w:name w:val="日期1"/>
    <w:basedOn w:val="764"/>
    <w:next w:val="764"/>
    <w:link w:val="1014"/>
    <w:uiPriority w:val="0"/>
    <w:qFormat/>
    <w:pPr>
      <w:ind w:left="100"/>
    </w:pPr>
  </w:style>
  <w:style w:type="character" w:styleId="1014" w:customStyle="1">
    <w:name w:val="日期 Char"/>
    <w:link w:val="1013"/>
    <w:uiPriority w:val="99"/>
    <w:semiHidden/>
    <w:qFormat/>
  </w:style>
  <w:style w:type="paragraph" w:styleId="1015" w:customStyle="1">
    <w:name w:val="正文文本缩进 21"/>
    <w:basedOn w:val="764"/>
    <w:link w:val="1016"/>
    <w:uiPriority w:val="0"/>
    <w:qFormat/>
    <w:pPr>
      <w:ind w:left="420"/>
      <w:spacing w:after="120" w:line="480" w:lineRule="auto"/>
    </w:pPr>
  </w:style>
  <w:style w:type="character" w:styleId="1016" w:customStyle="1">
    <w:name w:val="正文文本缩进 2 Char"/>
    <w:link w:val="1015"/>
    <w:uiPriority w:val="99"/>
    <w:semiHidden/>
    <w:qFormat/>
  </w:style>
  <w:style w:type="paragraph" w:styleId="1017" w:customStyle="1">
    <w:name w:val="批注框文本1"/>
    <w:basedOn w:val="764"/>
    <w:link w:val="1018"/>
    <w:uiPriority w:val="0"/>
    <w:qFormat/>
    <w:rPr>
      <w:sz w:val="18"/>
    </w:rPr>
  </w:style>
  <w:style w:type="character" w:styleId="1018" w:customStyle="1">
    <w:name w:val="批注框文本 Char"/>
    <w:link w:val="1017"/>
    <w:uiPriority w:val="99"/>
    <w:semiHidden/>
    <w:qFormat/>
    <w:rPr>
      <w:sz w:val="18"/>
    </w:rPr>
  </w:style>
  <w:style w:type="paragraph" w:styleId="1019" w:customStyle="1">
    <w:name w:val="页脚11"/>
    <w:basedOn w:val="764"/>
    <w:link w:val="1020"/>
    <w:uiPriority w:val="0"/>
    <w:qFormat/>
    <w:pPr>
      <w:jc w:val="left"/>
      <w:tabs>
        <w:tab w:val="center" w:pos="4153" w:leader="none"/>
        <w:tab w:val="right" w:pos="8306" w:leader="none"/>
      </w:tabs>
    </w:pPr>
    <w:rPr>
      <w:sz w:val="18"/>
    </w:rPr>
  </w:style>
  <w:style w:type="character" w:styleId="1020" w:customStyle="1">
    <w:name w:val="页脚 Char"/>
    <w:link w:val="1019"/>
    <w:uiPriority w:val="99"/>
    <w:semiHidden/>
    <w:qFormat/>
    <w:rPr>
      <w:sz w:val="18"/>
    </w:rPr>
  </w:style>
  <w:style w:type="paragraph" w:styleId="1021" w:customStyle="1">
    <w:name w:val="页眉11"/>
    <w:basedOn w:val="764"/>
    <w:link w:val="102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022" w:customStyle="1">
    <w:name w:val="页眉 Char"/>
    <w:link w:val="1021"/>
    <w:uiPriority w:val="99"/>
    <w:semiHidden/>
    <w:qFormat/>
    <w:rPr>
      <w:sz w:val="18"/>
    </w:rPr>
  </w:style>
  <w:style w:type="paragraph" w:styleId="1023" w:customStyle="1">
    <w:name w:val="目录 11"/>
    <w:basedOn w:val="764"/>
    <w:next w:val="764"/>
    <w:uiPriority w:val="0"/>
    <w:qFormat/>
  </w:style>
  <w:style w:type="paragraph" w:styleId="1024" w:customStyle="1">
    <w:name w:val="脚注文本1"/>
    <w:basedOn w:val="764"/>
    <w:uiPriority w:val="0"/>
    <w:qFormat/>
    <w:pPr>
      <w:jc w:val="left"/>
    </w:pPr>
    <w:rPr>
      <w:sz w:val="18"/>
    </w:rPr>
  </w:style>
  <w:style w:type="paragraph" w:styleId="1025" w:customStyle="1">
    <w:name w:val="目录 61"/>
    <w:basedOn w:val="764"/>
    <w:next w:val="764"/>
    <w:uiPriority w:val="0"/>
    <w:qFormat/>
    <w:pPr>
      <w:ind w:left="2100"/>
    </w:pPr>
  </w:style>
  <w:style w:type="paragraph" w:styleId="1026" w:customStyle="1">
    <w:name w:val="正文文本缩进 31"/>
    <w:basedOn w:val="764"/>
    <w:link w:val="1027"/>
    <w:uiPriority w:val="0"/>
    <w:qFormat/>
    <w:pPr>
      <w:ind w:left="420"/>
      <w:spacing w:after="120"/>
    </w:pPr>
    <w:rPr>
      <w:sz w:val="16"/>
    </w:rPr>
  </w:style>
  <w:style w:type="character" w:styleId="1027" w:customStyle="1">
    <w:name w:val="正文文本缩进 3 Char"/>
    <w:link w:val="1026"/>
    <w:uiPriority w:val="99"/>
    <w:semiHidden/>
    <w:qFormat/>
    <w:rPr>
      <w:sz w:val="16"/>
    </w:rPr>
  </w:style>
  <w:style w:type="paragraph" w:styleId="1028" w:customStyle="1">
    <w:name w:val="目录 21"/>
    <w:basedOn w:val="764"/>
    <w:next w:val="764"/>
    <w:uiPriority w:val="0"/>
    <w:qFormat/>
    <w:pPr>
      <w:ind w:left="420"/>
    </w:pPr>
  </w:style>
  <w:style w:type="paragraph" w:styleId="1029" w:customStyle="1">
    <w:name w:val="正文文本 21"/>
    <w:basedOn w:val="764"/>
    <w:link w:val="1030"/>
    <w:uiPriority w:val="0"/>
    <w:qFormat/>
    <w:pPr>
      <w:spacing w:after="120" w:line="480" w:lineRule="auto"/>
    </w:pPr>
  </w:style>
  <w:style w:type="character" w:styleId="1030" w:customStyle="1">
    <w:name w:val="正文文本 2 Char"/>
    <w:link w:val="1029"/>
    <w:uiPriority w:val="99"/>
    <w:semiHidden/>
    <w:qFormat/>
  </w:style>
  <w:style w:type="paragraph" w:styleId="1031" w:customStyle="1">
    <w:name w:val="信息标题11"/>
    <w:basedOn w:val="764"/>
    <w:next w:val="76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32" w:customStyle="1">
    <w:name w:val="普通(网站)1"/>
    <w:basedOn w:val="764"/>
    <w:uiPriority w:val="0"/>
    <w:qFormat/>
    <w:pPr>
      <w:jc w:val="left"/>
      <w:spacing w:before="100" w:beforeAutospacing="1" w:after="100" w:afterAutospacing="1"/>
    </w:pPr>
    <w:rPr>
      <w:sz w:val="24"/>
    </w:rPr>
  </w:style>
  <w:style w:type="paragraph" w:styleId="1033" w:customStyle="1">
    <w:name w:val="标题1"/>
    <w:basedOn w:val="764"/>
    <w:uiPriority w:val="0"/>
    <w:qFormat/>
    <w:pPr>
      <w:jc w:val="center"/>
      <w:spacing w:before="240" w:after="60"/>
      <w:outlineLvl w:val="0"/>
    </w:pPr>
    <w:rPr>
      <w:rFonts w:ascii="Arial" w:hAnsi="Arial"/>
      <w:b/>
      <w:sz w:val="32"/>
    </w:rPr>
  </w:style>
  <w:style w:type="paragraph" w:styleId="1034" w:customStyle="1">
    <w:name w:val="批注主题1"/>
    <w:basedOn w:val="1000"/>
    <w:next w:val="1000"/>
    <w:link w:val="1035"/>
    <w:uiPriority w:val="0"/>
    <w:qFormat/>
    <w:rPr>
      <w:b/>
    </w:rPr>
  </w:style>
  <w:style w:type="character" w:styleId="1035" w:customStyle="1">
    <w:name w:val="批注主题 Char"/>
    <w:link w:val="1034"/>
    <w:uiPriority w:val="99"/>
    <w:semiHidden/>
    <w:qFormat/>
    <w:rPr>
      <w:b/>
    </w:rPr>
  </w:style>
  <w:style w:type="paragraph" w:styleId="1036" w:customStyle="1">
    <w:name w:val="正文首行缩进1"/>
    <w:basedOn w:val="1004"/>
    <w:uiPriority w:val="0"/>
    <w:qFormat/>
    <w:pPr>
      <w:ind w:firstLine="420"/>
    </w:pPr>
  </w:style>
  <w:style w:type="paragraph" w:styleId="1037" w:customStyle="1">
    <w:name w:val="正文首行缩进 21"/>
    <w:basedOn w:val="1006"/>
    <w:uiPriority w:val="0"/>
    <w:qFormat/>
    <w:pPr>
      <w:ind w:firstLine="420"/>
    </w:pPr>
  </w:style>
  <w:style w:type="table" w:styleId="1038" w:customStyle="1">
    <w:name w:val="网格型1"/>
    <w:basedOn w:val="990"/>
    <w:uiPriority w:val="99"/>
    <w:qFormat/>
    <w:tblPr/>
  </w:style>
  <w:style w:type="character" w:styleId="1039" w:customStyle="1">
    <w:name w:val="要点1"/>
    <w:uiPriority w:val="0"/>
    <w:qFormat/>
    <w:rPr>
      <w:b/>
    </w:rPr>
  </w:style>
  <w:style w:type="character" w:styleId="1040" w:customStyle="1">
    <w:name w:val="页码11"/>
    <w:basedOn w:val="989"/>
    <w:uiPriority w:val="0"/>
    <w:qFormat/>
  </w:style>
  <w:style w:type="character" w:styleId="1041" w:customStyle="1">
    <w:name w:val="已访问的超链接1"/>
    <w:uiPriority w:val="0"/>
    <w:qFormat/>
    <w:rPr>
      <w:color w:val="800080"/>
      <w:u w:val="single"/>
    </w:rPr>
  </w:style>
  <w:style w:type="character" w:styleId="1042" w:customStyle="1">
    <w:name w:val="强调1"/>
    <w:uiPriority w:val="0"/>
    <w:qFormat/>
    <w:rPr>
      <w:i/>
    </w:rPr>
  </w:style>
  <w:style w:type="character" w:styleId="1043" w:customStyle="1">
    <w:name w:val="HTML 定义1"/>
    <w:uiPriority w:val="0"/>
    <w:qFormat/>
    <w:rPr>
      <w:i/>
    </w:rPr>
  </w:style>
  <w:style w:type="character" w:styleId="1044" w:customStyle="1">
    <w:name w:val="HTML 打字机1"/>
    <w:uiPriority w:val="0"/>
    <w:qFormat/>
    <w:rPr>
      <w:rFonts w:ascii="Courier New" w:hAnsi="Courier New"/>
      <w:sz w:val="20"/>
    </w:rPr>
  </w:style>
  <w:style w:type="character" w:styleId="1045" w:customStyle="1">
    <w:name w:val="HTML 缩写1"/>
    <w:basedOn w:val="989"/>
    <w:uiPriority w:val="0"/>
    <w:qFormat/>
  </w:style>
  <w:style w:type="character" w:styleId="1046" w:customStyle="1">
    <w:name w:val="HTML 变量1"/>
    <w:uiPriority w:val="0"/>
    <w:qFormat/>
    <w:rPr>
      <w:i/>
    </w:rPr>
  </w:style>
  <w:style w:type="character" w:styleId="1047" w:customStyle="1">
    <w:name w:val="超链接1"/>
    <w:uiPriority w:val="0"/>
    <w:qFormat/>
    <w:rPr>
      <w:color w:val="0000ff"/>
      <w:u w:val="single"/>
    </w:rPr>
  </w:style>
  <w:style w:type="character" w:styleId="1048" w:customStyle="1">
    <w:name w:val="HTML 代码1"/>
    <w:uiPriority w:val="0"/>
    <w:qFormat/>
    <w:rPr>
      <w:rFonts w:ascii="Courier New" w:hAnsi="Courier New"/>
      <w:sz w:val="20"/>
    </w:rPr>
  </w:style>
  <w:style w:type="character" w:styleId="1049" w:customStyle="1">
    <w:name w:val="批注引用1"/>
    <w:uiPriority w:val="0"/>
    <w:qFormat/>
    <w:rPr>
      <w:sz w:val="21"/>
    </w:rPr>
  </w:style>
  <w:style w:type="character" w:styleId="1050" w:customStyle="1">
    <w:name w:val="HTML 引文1"/>
    <w:uiPriority w:val="0"/>
    <w:qFormat/>
    <w:rPr>
      <w:i/>
    </w:rPr>
  </w:style>
  <w:style w:type="character" w:styleId="1051" w:customStyle="1">
    <w:name w:val="HTML 键盘1"/>
    <w:uiPriority w:val="0"/>
    <w:qFormat/>
    <w:rPr>
      <w:rFonts w:ascii="Courier New" w:hAnsi="Courier New"/>
      <w:sz w:val="20"/>
    </w:rPr>
  </w:style>
  <w:style w:type="character" w:styleId="1052" w:customStyle="1">
    <w:name w:val="HTML 样本1"/>
    <w:uiPriority w:val="0"/>
    <w:qFormat/>
    <w:rPr>
      <w:rFonts w:ascii="Courier New" w:hAnsi="Courier New"/>
    </w:rPr>
  </w:style>
  <w:style w:type="paragraph" w:styleId="1053" w:customStyle="1">
    <w:name w:val="正文1"/>
    <w:basedOn w:val="1054"/>
    <w:next w:val="764"/>
    <w:uiPriority w:val="0"/>
    <w:qFormat/>
    <w:pPr>
      <w:contextualSpacing/>
      <w:ind w:firstLine="200"/>
      <w:spacing w:before="120" w:after="120" w:line="180" w:lineRule="auto"/>
      <w:tabs>
        <w:tab w:val="left" w:pos="1110" w:leader="none"/>
      </w:tabs>
    </w:pPr>
    <w:rPr>
      <w:rFonts w:eastAsia="Adobe 仿宋 Std R"/>
    </w:rPr>
  </w:style>
  <w:style w:type="paragraph" w:styleId="1054" w:customStyle="1">
    <w:name w:val="样式1"/>
    <w:basedOn w:val="764"/>
    <w:next w:val="764"/>
    <w:uiPriority w:val="0"/>
    <w:qFormat/>
    <w:pPr>
      <w:numPr>
        <w:ilvl w:val="0"/>
        <w:numId w:val="2"/>
      </w:numPr>
      <w:tabs>
        <w:tab w:val="left" w:pos="1110" w:leader="none"/>
      </w:tabs>
    </w:pPr>
    <w:rPr>
      <w:rFonts w:ascii="宋体" w:hAnsi="宋体"/>
      <w:szCs w:val="21"/>
    </w:rPr>
  </w:style>
  <w:style w:type="paragraph" w:styleId="1055" w:customStyle="1">
    <w:name w:val="信息标题1"/>
    <w:basedOn w:val="764"/>
    <w:next w:val="764"/>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1056" w:customStyle="1">
    <w:name w:val="xl76"/>
    <w:basedOn w:val="764"/>
    <w:next w:val="1057"/>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b/>
      <w:bCs/>
      <w:sz w:val="18"/>
      <w:szCs w:val="18"/>
    </w:rPr>
  </w:style>
  <w:style w:type="paragraph" w:styleId="1057" w:customStyle="1">
    <w:name w:val="xl56"/>
    <w:basedOn w:val="764"/>
    <w:next w:val="105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58" w:customStyle="1">
    <w:name w:val="xl32"/>
    <w:basedOn w:val="764"/>
    <w:next w:val="76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59" w:customStyle="1">
    <w:name w:val="Char Char Char Char Char Char Char Char Char Char Char Char Char1"/>
    <w:basedOn w:val="764"/>
    <w:next w:val="764"/>
    <w:uiPriority w:val="0"/>
    <w:qFormat/>
    <w:pPr>
      <w:jc w:val="left"/>
      <w:spacing w:after="160" w:line="240" w:lineRule="exact"/>
      <w:widowControl/>
    </w:pPr>
    <w:rPr>
      <w:rFonts w:ascii="Verdana" w:hAnsi="Verdana"/>
      <w:sz w:val="20"/>
      <w:szCs w:val="20"/>
      <w:lang w:eastAsia="en-US"/>
    </w:rPr>
  </w:style>
  <w:style w:type="paragraph" w:styleId="1060" w:customStyle="1">
    <w:name w:val="正文文本1"/>
    <w:basedOn w:val="764"/>
    <w:next w:val="1061"/>
    <w:uiPriority w:val="0"/>
    <w:qFormat/>
    <w:pPr>
      <w:spacing w:after="120"/>
    </w:pPr>
  </w:style>
  <w:style w:type="paragraph" w:styleId="1061" w:customStyle="1">
    <w:name w:val="正文缩进1"/>
    <w:basedOn w:val="764"/>
    <w:next w:val="764"/>
    <w:uiPriority w:val="0"/>
    <w:qFormat/>
    <w:pPr>
      <w:ind w:firstLine="420"/>
    </w:pPr>
    <w:rPr>
      <w:szCs w:val="20"/>
    </w:rPr>
  </w:style>
  <w:style w:type="character" w:styleId="1062" w:customStyle="1">
    <w:name w:val="页码1"/>
    <w:uiPriority w:val="0"/>
    <w:qFormat/>
    <w:rPr>
      <w:sz w:val="21"/>
      <w:szCs w:val="24"/>
      <w:lang w:val="en-US" w:eastAsia="zh-CN" w:bidi="ar-SA"/>
    </w:rPr>
  </w:style>
  <w:style w:type="paragraph" w:styleId="1063" w:customStyle="1">
    <w:name w:val="标题 21"/>
    <w:basedOn w:val="764"/>
    <w:next w:val="7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4" w:customStyle="1">
    <w:name w:val="Char Char Char Char Char"/>
    <w:basedOn w:val="764"/>
    <w:next w:val="764"/>
    <w:uiPriority w:val="99"/>
    <w:qFormat/>
    <w:pPr>
      <w:ind w:firstLine="5632"/>
    </w:pPr>
    <w:rPr>
      <w:rFonts w:ascii="Times New Roman" w:hAnsi="Times New Roman"/>
    </w:rPr>
  </w:style>
  <w:style w:type="paragraph" w:styleId="1065"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066" w:customStyle="1">
    <w:name w:val="BodyText1"/>
    <w:basedOn w:val="764"/>
    <w:uiPriority w:val="0"/>
    <w:qFormat/>
    <w:pPr>
      <w:spacing w:after="120"/>
    </w:pPr>
  </w:style>
  <w:style w:type="character" w:styleId="1067" w:customStyle="1">
    <w:name w:val="Plain Text Char1"/>
    <w:uiPriority w:val="99"/>
    <w:qFormat/>
    <w:rPr>
      <w:rFonts w:ascii="宋体" w:hAnsi="Courier New" w:eastAsia="宋体"/>
      <w:sz w:val="21"/>
      <w:lang w:val="en-US" w:eastAsia="zh-CN"/>
    </w:rPr>
  </w:style>
  <w:style w:type="character" w:styleId="1068" w:customStyle="1">
    <w:name w:val="15"/>
    <w:uiPriority w:val="99"/>
    <w:qFormat/>
    <w:rPr>
      <w:rFonts w:ascii="Calibri" w:hAnsi="Calibri"/>
    </w:rPr>
  </w:style>
  <w:style w:type="character" w:styleId="1069" w:customStyle="1">
    <w:name w:val="10"/>
    <w:uiPriority w:val="99"/>
    <w:qFormat/>
    <w:rPr>
      <w:rFonts w:ascii="Calibri" w:hAnsi="Calibri"/>
    </w:rPr>
  </w:style>
  <w:style w:type="character" w:styleId="1070" w:customStyle="1">
    <w:name w:val="apple-converted-space"/>
    <w:uiPriority w:val="99"/>
    <w:qFormat/>
    <w:rPr>
      <w:rFonts w:cs="Times New Roman"/>
    </w:rPr>
  </w:style>
  <w:style w:type="character" w:styleId="1071" w:customStyle="1">
    <w:name w:val="纯文本 Char1"/>
    <w:uiPriority w:val="99"/>
    <w:qFormat/>
    <w:rPr>
      <w:rFonts w:ascii="宋体" w:hAnsi="Courier New"/>
      <w:sz w:val="21"/>
    </w:rPr>
  </w:style>
  <w:style w:type="character" w:styleId="1072" w:customStyle="1">
    <w:name w:val="apple-style-span"/>
    <w:uiPriority w:val="99"/>
    <w:qFormat/>
    <w:rPr>
      <w:rFonts w:cs="Times New Roman"/>
    </w:rPr>
  </w:style>
  <w:style w:type="paragraph" w:styleId="1073" w:customStyle="1">
    <w:name w:val="xl78"/>
    <w:basedOn w:val="764"/>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b/>
      <w:bCs/>
      <w:color w:val="000000"/>
      <w:sz w:val="18"/>
      <w:szCs w:val="18"/>
    </w:rPr>
  </w:style>
  <w:style w:type="paragraph" w:styleId="1074" w:customStyle="1">
    <w:name w:val="xl29"/>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75" w:customStyle="1">
    <w:name w:val="xl59"/>
    <w:basedOn w:val="764"/>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76" w:customStyle="1">
    <w:name w:val="xl54"/>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sz w:val="20"/>
      <w:szCs w:val="20"/>
    </w:rPr>
  </w:style>
  <w:style w:type="paragraph" w:styleId="1077" w:customStyle="1">
    <w:name w:val="xl55"/>
    <w:basedOn w:val="76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78"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79" w:customStyle="1">
    <w:name w:val="font8"/>
    <w:basedOn w:val="764"/>
    <w:uiPriority w:val="99"/>
    <w:qFormat/>
    <w:pPr>
      <w:jc w:val="left"/>
      <w:spacing w:before="100" w:beforeAutospacing="1" w:after="100" w:afterAutospacing="1"/>
      <w:widowControl/>
    </w:pPr>
    <w:rPr>
      <w:sz w:val="18"/>
      <w:szCs w:val="18"/>
    </w:rPr>
  </w:style>
  <w:style w:type="paragraph" w:styleId="1080" w:customStyle="1">
    <w:name w:val="xl86"/>
    <w:basedOn w:val="76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81" w:customStyle="1">
    <w:name w:val="font10"/>
    <w:basedOn w:val="764"/>
    <w:uiPriority w:val="99"/>
    <w:qFormat/>
    <w:pPr>
      <w:jc w:val="left"/>
      <w:spacing w:before="100" w:beforeAutospacing="1" w:after="100" w:afterAutospacing="1"/>
      <w:widowControl/>
    </w:pPr>
    <w:rPr>
      <w:sz w:val="18"/>
      <w:szCs w:val="18"/>
    </w:rPr>
  </w:style>
  <w:style w:type="paragraph" w:styleId="1082" w:customStyle="1">
    <w:name w:val="[Normal]"/>
    <w:uiPriority w:val="0"/>
    <w:qFormat/>
    <w:rPr>
      <w:rFonts w:hint="default" w:ascii="Arial Unicode MS" w:hAnsi="Arial Unicode MS" w:eastAsia="Arial Unicode MS" w:cs="Courier New"/>
      <w:sz w:val="24"/>
      <w:szCs w:val="22"/>
      <w:lang w:val="zh-CN" w:eastAsia="zh-CN" w:bidi="ar-SA"/>
    </w:rPr>
  </w:style>
  <w:style w:type="paragraph" w:styleId="1083" w:customStyle="1">
    <w:name w:val="xl72"/>
    <w:basedOn w:val="76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84" w:customStyle="1">
    <w:name w:val="Char Char Char Char Char Char Char Char"/>
    <w:basedOn w:val="764"/>
    <w:uiPriority w:val="99"/>
    <w:qFormat/>
    <w:pPr>
      <w:jc w:val="left"/>
      <w:spacing w:after="160" w:line="240" w:lineRule="exact"/>
      <w:widowControl/>
    </w:pPr>
    <w:rPr>
      <w:rFonts w:ascii="Verdana" w:hAnsi="Verdana"/>
      <w:sz w:val="20"/>
      <w:szCs w:val="20"/>
      <w:lang w:eastAsia="en-US"/>
    </w:rPr>
  </w:style>
  <w:style w:type="paragraph" w:styleId="1085" w:customStyle="1">
    <w:name w:val="xl77"/>
    <w:basedOn w:val="764"/>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18"/>
      <w:szCs w:val="18"/>
    </w:rPr>
  </w:style>
  <w:style w:type="paragraph" w:styleId="1086" w:customStyle="1">
    <w:name w:val="xl52"/>
    <w:basedOn w:val="76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sz w:val="18"/>
      <w:szCs w:val="18"/>
    </w:rPr>
  </w:style>
  <w:style w:type="paragraph" w:styleId="1087" w:customStyle="1">
    <w:name w:val="xl79"/>
    <w:basedOn w:val="764"/>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b/>
      <w:bCs/>
      <w:color w:val="000000"/>
      <w:sz w:val="18"/>
      <w:szCs w:val="18"/>
    </w:rPr>
  </w:style>
  <w:style w:type="paragraph" w:styleId="1088" w:customStyle="1">
    <w:name w:val="_Style 2"/>
    <w:basedOn w:val="764"/>
    <w:uiPriority w:val="0"/>
    <w:qFormat/>
    <w:pPr>
      <w:ind w:firstLine="420"/>
    </w:pPr>
  </w:style>
  <w:style w:type="paragraph" w:styleId="1089" w:customStyle="1">
    <w:name w:val="xl60"/>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90" w:customStyle="1">
    <w:name w:val="xl37"/>
    <w:basedOn w:val="764"/>
    <w:uiPriority w:val="99"/>
    <w:qFormat/>
    <w:pPr>
      <w:jc w:val="right"/>
      <w:spacing w:before="100" w:beforeAutospacing="1" w:after="100" w:afterAutospacing="1"/>
      <w:widowControl/>
      <w:pBdr>
        <w:bottom w:val="single" w:color="000000" w:sz="4" w:space="0"/>
        <w:right w:val="single" w:color="000000" w:sz="4" w:space="0"/>
      </w:pBdr>
    </w:pPr>
    <w:rPr>
      <w:sz w:val="18"/>
      <w:szCs w:val="18"/>
    </w:rPr>
  </w:style>
  <w:style w:type="paragraph" w:styleId="1091" w:customStyle="1">
    <w:name w:val="xl75"/>
    <w:basedOn w:val="764"/>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bCs/>
      <w:sz w:val="18"/>
      <w:szCs w:val="18"/>
    </w:rPr>
  </w:style>
  <w:style w:type="paragraph" w:styleId="1092" w:customStyle="1">
    <w:name w:val="xl64"/>
    <w:basedOn w:val="764"/>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b/>
      <w:bCs/>
      <w:sz w:val="20"/>
      <w:szCs w:val="20"/>
    </w:rPr>
  </w:style>
  <w:style w:type="paragraph" w:styleId="1093" w:customStyle="1">
    <w:name w:val="列出段落"/>
    <w:basedOn w:val="764"/>
    <w:uiPriority w:val="99"/>
    <w:qFormat/>
    <w:pPr>
      <w:ind w:firstLine="420"/>
    </w:pPr>
  </w:style>
  <w:style w:type="paragraph" w:styleId="1094" w:customStyle="1">
    <w:name w:val="Char"/>
    <w:basedOn w:val="764"/>
    <w:uiPriority w:val="99"/>
    <w:qFormat/>
    <w:pPr>
      <w:tabs>
        <w:tab w:val="left" w:pos="360" w:leader="none"/>
      </w:tabs>
    </w:pPr>
    <w:rPr>
      <w:sz w:val="24"/>
    </w:rPr>
  </w:style>
  <w:style w:type="paragraph" w:styleId="1095" w:customStyle="1">
    <w:name w:val="图"/>
    <w:basedOn w:val="764"/>
    <w:next w:val="1096"/>
    <w:uiPriority w:val="0"/>
    <w:qFormat/>
    <w:pPr>
      <w:jc w:val="center"/>
      <w:spacing w:before="60" w:after="60" w:line="360" w:lineRule="atLeast"/>
      <w:tabs>
        <w:tab w:val="left" w:pos="680" w:leader="none"/>
      </w:tabs>
    </w:pPr>
    <w:rPr>
      <w:rFonts w:eastAsia="黑体"/>
      <w:b/>
      <w:sz w:val="24"/>
    </w:rPr>
  </w:style>
  <w:style w:type="paragraph" w:styleId="1096" w:customStyle="1">
    <w:name w:val="文档正文"/>
    <w:basedOn w:val="764"/>
    <w:uiPriority w:val="0"/>
    <w:qFormat/>
    <w:rPr>
      <w:rFonts w:ascii="宋体"/>
      <w:sz w:val="20"/>
      <w:szCs w:val="20"/>
    </w:rPr>
  </w:style>
  <w:style w:type="paragraph" w:styleId="1097" w:customStyle="1">
    <w:name w:val="列出段落1"/>
    <w:basedOn w:val="764"/>
    <w:uiPriority w:val="99"/>
    <w:qFormat/>
    <w:pPr>
      <w:ind w:firstLine="420"/>
    </w:pPr>
    <w:rPr>
      <w:szCs w:val="22"/>
    </w:rPr>
  </w:style>
  <w:style w:type="paragraph" w:styleId="1098" w:customStyle="1">
    <w:name w:val="xl36"/>
    <w:basedOn w:val="764"/>
    <w:uiPriority w:val="99"/>
    <w:qFormat/>
    <w:pPr>
      <w:jc w:val="center"/>
      <w:spacing w:before="100" w:beforeAutospacing="1" w:after="100" w:afterAutospacing="1"/>
      <w:widowControl/>
      <w:pBdr>
        <w:bottom w:val="single" w:color="000000" w:sz="4" w:space="0"/>
        <w:right w:val="single" w:color="000000" w:sz="4" w:space="0"/>
      </w:pBdr>
    </w:pPr>
    <w:rPr>
      <w:sz w:val="18"/>
      <w:szCs w:val="18"/>
    </w:rPr>
  </w:style>
  <w:style w:type="paragraph" w:styleId="1099" w:customStyle="1">
    <w:name w:val="xl43"/>
    <w:basedOn w:val="764"/>
    <w:uiPriority w:val="99"/>
    <w:qFormat/>
    <w:pPr>
      <w:jc w:val="left"/>
      <w:spacing w:before="100" w:beforeAutospacing="1" w:after="100" w:afterAutospacing="1"/>
      <w:widowControl/>
    </w:pPr>
    <w:rPr>
      <w:rFonts w:ascii="Arial Unicode MS" w:hAnsi="Arial Unicode MS"/>
      <w:sz w:val="24"/>
    </w:rPr>
  </w:style>
  <w:style w:type="paragraph" w:styleId="1100" w:customStyle="1">
    <w:name w:val="Char1"/>
    <w:basedOn w:val="997"/>
    <w:uiPriority w:val="99"/>
    <w:qFormat/>
    <w:pPr>
      <w:spacing w:line="360" w:lineRule="auto"/>
    </w:pPr>
    <w:rPr>
      <w:rFonts w:ascii="Tahoma" w:hAnsi="Tahoma"/>
      <w:sz w:val="24"/>
    </w:rPr>
  </w:style>
  <w:style w:type="paragraph" w:styleId="1101" w:customStyle="1">
    <w:name w:val="xl85"/>
    <w:basedOn w:val="76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102" w:customStyle="1">
    <w:name w:val="xl66"/>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03" w:customStyle="1">
    <w:name w:val="标书正文格式"/>
    <w:uiPriority w:val="99"/>
    <w:qFormat/>
    <w:pPr>
      <w:ind w:firstLine="480"/>
      <w:jc w:val="both"/>
      <w:spacing w:line="360" w:lineRule="auto"/>
    </w:pPr>
    <w:rPr>
      <w:rFonts w:hint="default" w:ascii="宋体" w:hAnsi="宋体" w:eastAsia="宋体" w:cs="Times New Roman"/>
      <w:sz w:val="24"/>
      <w:szCs w:val="24"/>
      <w:lang w:val="en-US" w:eastAsia="zh-CN" w:bidi="ar-SA"/>
    </w:rPr>
  </w:style>
  <w:style w:type="paragraph" w:styleId="1104" w:customStyle="1">
    <w:name w:val="xl46"/>
    <w:basedOn w:val="764"/>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105" w:customStyle="1">
    <w:name w:val="xl57"/>
    <w:basedOn w:val="76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24"/>
    </w:rPr>
  </w:style>
  <w:style w:type="paragraph" w:styleId="1106" w:customStyle="1">
    <w:name w:val="xl65"/>
    <w:basedOn w:val="764"/>
    <w:uiPriority w:val="99"/>
    <w:qFormat/>
    <w:pPr>
      <w:jc w:val="center"/>
      <w:spacing w:before="100" w:beforeAutospacing="1" w:after="100" w:afterAutospacing="1"/>
      <w:widowControl/>
      <w:pBdr>
        <w:left w:val="single" w:color="000000" w:sz="4" w:space="0"/>
      </w:pBdr>
    </w:pPr>
    <w:rPr>
      <w:rFonts w:ascii="Arial Unicode MS" w:hAnsi="Arial Unicode MS"/>
      <w:b/>
      <w:bCs/>
      <w:sz w:val="20"/>
      <w:szCs w:val="20"/>
    </w:rPr>
  </w:style>
  <w:style w:type="paragraph" w:styleId="1107" w:customStyle="1">
    <w:name w:val="font12"/>
    <w:basedOn w:val="764"/>
    <w:uiPriority w:val="99"/>
    <w:qFormat/>
    <w:pPr>
      <w:jc w:val="left"/>
      <w:spacing w:before="100" w:beforeAutospacing="1" w:after="100" w:afterAutospacing="1"/>
      <w:widowControl/>
    </w:pPr>
    <w:rPr>
      <w:color w:val="333333"/>
      <w:sz w:val="18"/>
      <w:szCs w:val="18"/>
    </w:rPr>
  </w:style>
  <w:style w:type="paragraph" w:styleId="1108" w:customStyle="1">
    <w:name w:val="xl63"/>
    <w:basedOn w:val="764"/>
    <w:uiPriority w:val="99"/>
    <w:qFormat/>
    <w:pPr>
      <w:jc w:val="center"/>
      <w:spacing w:before="100" w:beforeAutospacing="1" w:after="100" w:afterAutospacing="1"/>
      <w:widowControl/>
      <w:pBdr>
        <w:right w:val="single" w:color="000000" w:sz="4" w:space="0"/>
      </w:pBdr>
    </w:pPr>
    <w:rPr>
      <w:rFonts w:ascii="Arial Unicode MS" w:hAnsi="Arial Unicode MS"/>
      <w:b/>
      <w:bCs/>
      <w:sz w:val="20"/>
      <w:szCs w:val="20"/>
    </w:rPr>
  </w:style>
  <w:style w:type="paragraph" w:styleId="1109" w:customStyle="1">
    <w:name w:val="默认段落字体 Para Char Char Char Char Char Char Char Char Char1 Char Char Char Char Char Char Char"/>
    <w:basedOn w:val="997"/>
    <w:uiPriority w:val="99"/>
    <w:qFormat/>
    <w:rPr>
      <w:rFonts w:ascii="Tahoma" w:hAnsi="Tahoma"/>
      <w:sz w:val="24"/>
    </w:rPr>
  </w:style>
  <w:style w:type="paragraph" w:styleId="1110" w:customStyle="1">
    <w:name w:val="Normal_19"/>
    <w:uiPriority w:val="0"/>
    <w:qFormat/>
    <w:pPr>
      <w:jc w:val="both"/>
      <w:widowControl w:val="off"/>
    </w:pPr>
    <w:rPr>
      <w:rFonts w:hint="default" w:ascii="Times New Roman" w:hAnsi="Times New Roman" w:eastAsia="Times New Roman" w:cs="Times New Roman"/>
      <w:lang w:val="en-US" w:eastAsia="zh-CN" w:bidi="ar-SA"/>
    </w:rPr>
  </w:style>
  <w:style w:type="paragraph" w:styleId="1111" w:customStyle="1">
    <w:name w:val="font13"/>
    <w:basedOn w:val="764"/>
    <w:uiPriority w:val="99"/>
    <w:qFormat/>
    <w:pPr>
      <w:jc w:val="left"/>
      <w:spacing w:before="100" w:beforeAutospacing="1" w:after="100" w:afterAutospacing="1"/>
      <w:widowControl/>
    </w:pPr>
    <w:rPr>
      <w:b/>
      <w:bCs/>
      <w:sz w:val="18"/>
      <w:szCs w:val="18"/>
    </w:rPr>
  </w:style>
  <w:style w:type="paragraph" w:styleId="1112" w:customStyle="1">
    <w:name w:val="xl83"/>
    <w:basedOn w:val="764"/>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13" w:customStyle="1">
    <w:name w:val="xl61"/>
    <w:basedOn w:val="764"/>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14" w:customStyle="1">
    <w:name w:val="xl42"/>
    <w:basedOn w:val="76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115" w:customStyle="1">
    <w:name w:val="font9"/>
    <w:basedOn w:val="764"/>
    <w:uiPriority w:val="99"/>
    <w:qFormat/>
    <w:pPr>
      <w:jc w:val="left"/>
      <w:spacing w:before="100" w:beforeAutospacing="1" w:after="100" w:afterAutospacing="1"/>
      <w:widowControl/>
    </w:pPr>
    <w:rPr>
      <w:b/>
      <w:bCs/>
      <w:color w:val="000000"/>
      <w:sz w:val="18"/>
      <w:szCs w:val="18"/>
    </w:rPr>
  </w:style>
  <w:style w:type="paragraph" w:styleId="1116" w:customStyle="1">
    <w:name w:val="xl67"/>
    <w:basedOn w:val="764"/>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17" w:customStyle="1">
    <w:name w:val="Other|1"/>
    <w:basedOn w:val="764"/>
    <w:uiPriority w:val="0"/>
    <w:qFormat/>
    <w:pPr>
      <w:spacing w:line="388" w:lineRule="exact"/>
    </w:pPr>
    <w:rPr>
      <w:rFonts w:ascii="MingLiU" w:hAnsi="MingLiU" w:eastAsia="MingLiU" w:cs="MingLiU"/>
      <w:sz w:val="16"/>
      <w:szCs w:val="16"/>
      <w:lang w:val="zh-TW" w:eastAsia="zh-TW" w:bidi="zh-TW"/>
    </w:rPr>
  </w:style>
  <w:style w:type="paragraph" w:styleId="1118" w:customStyle="1">
    <w:name w:val="xl28"/>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19" w:customStyle="1">
    <w:name w:val="font5"/>
    <w:basedOn w:val="764"/>
    <w:uiPriority w:val="99"/>
    <w:qFormat/>
    <w:pPr>
      <w:jc w:val="left"/>
      <w:spacing w:before="100" w:beforeAutospacing="1" w:after="100" w:afterAutospacing="1"/>
      <w:widowControl/>
    </w:pPr>
    <w:rPr>
      <w:rFonts w:ascii="宋体" w:hAnsi="宋体"/>
      <w:sz w:val="18"/>
      <w:szCs w:val="18"/>
    </w:rPr>
  </w:style>
  <w:style w:type="paragraph" w:styleId="1120"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121" w:customStyle="1">
    <w:name w:val="xl82"/>
    <w:basedOn w:val="764"/>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color w:val="333333"/>
      <w:sz w:val="18"/>
      <w:szCs w:val="18"/>
    </w:rPr>
  </w:style>
  <w:style w:type="paragraph" w:styleId="1122" w:customStyle="1">
    <w:name w:val="xl80"/>
    <w:basedOn w:val="764"/>
    <w:uiPriority w:val="99"/>
    <w:qFormat/>
    <w:pPr>
      <w:jc w:val="center"/>
      <w:spacing w:before="100" w:beforeAutospacing="1" w:after="100" w:afterAutospacing="1"/>
      <w:widowControl/>
      <w:pBdr>
        <w:bottom w:val="single" w:color="000000" w:sz="4" w:space="0"/>
      </w:pBdr>
    </w:pPr>
    <w:rPr>
      <w:rFonts w:ascii="Arial Unicode MS" w:hAnsi="Arial Unicode MS"/>
      <w:sz w:val="18"/>
      <w:szCs w:val="18"/>
    </w:rPr>
  </w:style>
  <w:style w:type="paragraph" w:styleId="1123" w:customStyle="1">
    <w:name w:val="p17"/>
    <w:basedOn w:val="764"/>
    <w:uiPriority w:val="99"/>
    <w:qFormat/>
    <w:pPr>
      <w:widowControl/>
    </w:pPr>
    <w:rPr>
      <w:rFonts w:hAnsi="宋体"/>
      <w:sz w:val="34"/>
    </w:rPr>
  </w:style>
  <w:style w:type="paragraph" w:styleId="1124" w:customStyle="1">
    <w:name w:val="xl51"/>
    <w:basedOn w:val="764"/>
    <w:uiPriority w:val="99"/>
    <w:qFormat/>
    <w:pPr>
      <w:jc w:val="center"/>
      <w:spacing w:before="100" w:beforeAutospacing="1" w:after="100" w:afterAutospacing="1"/>
      <w:widowControl/>
      <w:pBdr>
        <w:top w:val="single" w:color="000000" w:sz="4" w:space="0"/>
        <w:bottom w:val="single" w:color="000000" w:sz="4" w:space="0"/>
      </w:pBdr>
    </w:pPr>
    <w:rPr>
      <w:sz w:val="18"/>
      <w:szCs w:val="18"/>
    </w:rPr>
  </w:style>
  <w:style w:type="paragraph" w:styleId="1125" w:customStyle="1">
    <w:name w:val="font7"/>
    <w:basedOn w:val="764"/>
    <w:uiPriority w:val="99"/>
    <w:qFormat/>
    <w:pPr>
      <w:jc w:val="left"/>
      <w:spacing w:before="100" w:beforeAutospacing="1" w:after="100" w:afterAutospacing="1"/>
      <w:widowControl/>
    </w:pPr>
    <w:rPr>
      <w:sz w:val="18"/>
      <w:szCs w:val="18"/>
    </w:rPr>
  </w:style>
  <w:style w:type="paragraph" w:styleId="1126" w:customStyle="1">
    <w:name w:val="xl49"/>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127" w:customStyle="1">
    <w:name w:val="xl74"/>
    <w:basedOn w:val="764"/>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28" w:customStyle="1">
    <w:name w:val="xl69"/>
    <w:basedOn w:val="764"/>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29" w:customStyle="1">
    <w:name w:val="xl73"/>
    <w:basedOn w:val="764"/>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30" w:customStyle="1">
    <w:name w:val="xl50"/>
    <w:basedOn w:val="764"/>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31" w:customStyle="1">
    <w:name w:val="xl34"/>
    <w:basedOn w:val="764"/>
    <w:uiPriority w:val="99"/>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132" w:customStyle="1">
    <w:name w:val="xl44"/>
    <w:basedOn w:val="764"/>
    <w:uiPriority w:val="99"/>
    <w:qFormat/>
    <w:pPr>
      <w:jc w:val="right"/>
      <w:spacing w:before="100" w:beforeAutospacing="1" w:after="100" w:afterAutospacing="1"/>
      <w:widowControl/>
    </w:pPr>
    <w:rPr>
      <w:rFonts w:ascii="Arial Unicode MS" w:hAnsi="Arial Unicode MS"/>
      <w:sz w:val="24"/>
    </w:rPr>
  </w:style>
  <w:style w:type="paragraph" w:styleId="1133" w:customStyle="1">
    <w:name w:val="_Style 3"/>
    <w:basedOn w:val="764"/>
    <w:uiPriority w:val="99"/>
    <w:qFormat/>
    <w:pPr>
      <w:ind w:firstLine="420"/>
      <w:jc w:val="left"/>
      <w:spacing w:after="200"/>
      <w:widowControl/>
    </w:pPr>
    <w:rPr>
      <w:rFonts w:ascii="Tahoma" w:hAnsi="Tahoma" w:eastAsia="微软雅黑"/>
      <w:sz w:val="22"/>
      <w:szCs w:val="22"/>
    </w:rPr>
  </w:style>
  <w:style w:type="paragraph" w:styleId="1134" w:customStyle="1">
    <w:name w:val="xl40"/>
    <w:basedOn w:val="764"/>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35" w:customStyle="1">
    <w:name w:val="xl47"/>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6" w:customStyle="1">
    <w:name w:val="xl31"/>
    <w:basedOn w:val="76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37" w:customStyle="1">
    <w:name w:val="xl38"/>
    <w:basedOn w:val="764"/>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38" w:customStyle="1">
    <w:name w:val="xl33"/>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39" w:customStyle="1">
    <w:name w:val="xl53"/>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0" w:customStyle="1">
    <w:name w:val="Char Char Char Char"/>
    <w:basedOn w:val="997"/>
    <w:uiPriority w:val="99"/>
    <w:qFormat/>
    <w:pPr>
      <w:spacing w:line="360" w:lineRule="auto"/>
    </w:pPr>
    <w:rPr>
      <w:rFonts w:ascii="Tahoma" w:hAnsi="Tahoma"/>
      <w:sz w:val="24"/>
    </w:rPr>
  </w:style>
  <w:style w:type="paragraph" w:styleId="1141" w:customStyle="1">
    <w:name w:val="xl81"/>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sz w:val="18"/>
      <w:szCs w:val="18"/>
    </w:rPr>
  </w:style>
  <w:style w:type="paragraph" w:styleId="1142" w:customStyle="1">
    <w:name w:val="_Style 1"/>
    <w:basedOn w:val="1143"/>
    <w:uiPriority w:val="99"/>
    <w:qFormat/>
    <w:pPr>
      <w:ind w:firstLine="420"/>
    </w:pPr>
  </w:style>
  <w:style w:type="paragraph" w:styleId="1143" w:customStyle="1">
    <w:name w:val="Normal_20"/>
    <w:uiPriority w:val="99"/>
    <w:qFormat/>
    <w:pPr>
      <w:jc w:val="both"/>
      <w:widowControl w:val="off"/>
    </w:pPr>
    <w:rPr>
      <w:rFonts w:hint="default" w:ascii="Calibri" w:hAnsi="Calibri" w:eastAsia="宋体" w:cs="Times New Roman"/>
      <w:sz w:val="21"/>
      <w:szCs w:val="22"/>
      <w:lang w:val="en-US" w:eastAsia="zh-CN" w:bidi="ar-SA"/>
    </w:rPr>
  </w:style>
  <w:style w:type="paragraph" w:styleId="1144" w:customStyle="1">
    <w:name w:val="xl62"/>
    <w:basedOn w:val="76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45" w:customStyle="1">
    <w:name w:val="xl58"/>
    <w:basedOn w:val="76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146" w:customStyle="1">
    <w:name w:val="xl39"/>
    <w:basedOn w:val="76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47" w:customStyle="1">
    <w:name w:val="xl68"/>
    <w:basedOn w:val="764"/>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48" w:customStyle="1">
    <w:name w:val="xl35"/>
    <w:basedOn w:val="764"/>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149" w:customStyle="1">
    <w:name w:val="xl30"/>
    <w:basedOn w:val="764"/>
    <w:uiPriority w:val="99"/>
    <w:qFormat/>
    <w:pPr>
      <w:jc w:val="left"/>
      <w:spacing w:before="100" w:beforeAutospacing="1" w:after="100" w:afterAutospacing="1"/>
      <w:widowControl/>
    </w:pPr>
    <w:rPr>
      <w:rFonts w:ascii="Arial Unicode MS" w:hAnsi="Arial Unicode MS"/>
      <w:sz w:val="18"/>
      <w:szCs w:val="18"/>
    </w:rPr>
  </w:style>
  <w:style w:type="paragraph" w:styleId="1150" w:customStyle="1">
    <w:name w:val="xl71"/>
    <w:basedOn w:val="764"/>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51" w:customStyle="1">
    <w:name w:val="xl84"/>
    <w:basedOn w:val="764"/>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52" w:customStyle="1">
    <w:name w:val="font11"/>
    <w:basedOn w:val="764"/>
    <w:uiPriority w:val="99"/>
    <w:qFormat/>
    <w:pPr>
      <w:jc w:val="left"/>
      <w:spacing w:before="100" w:beforeAutospacing="1" w:after="100" w:afterAutospacing="1"/>
      <w:widowControl/>
    </w:pPr>
    <w:rPr>
      <w:rFonts w:ascii="宋体" w:hAnsi="宋体"/>
      <w:color w:val="333333"/>
      <w:sz w:val="18"/>
      <w:szCs w:val="18"/>
    </w:rPr>
  </w:style>
  <w:style w:type="paragraph" w:styleId="1153" w:customStyle="1">
    <w:name w:val="font6"/>
    <w:basedOn w:val="764"/>
    <w:uiPriority w:val="99"/>
    <w:qFormat/>
    <w:pPr>
      <w:jc w:val="left"/>
      <w:spacing w:before="100" w:beforeAutospacing="1" w:after="100" w:afterAutospacing="1"/>
      <w:widowControl/>
    </w:pPr>
    <w:rPr>
      <w:sz w:val="18"/>
      <w:szCs w:val="18"/>
    </w:rPr>
  </w:style>
  <w:style w:type="paragraph" w:styleId="1154" w:customStyle="1">
    <w:name w:val="xl41"/>
    <w:basedOn w:val="764"/>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55" w:customStyle="1">
    <w:name w:val="xl70"/>
    <w:basedOn w:val="76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56" w:customStyle="1">
    <w:name w:val="普通正文"/>
    <w:basedOn w:val="764"/>
    <w:uiPriority w:val="99"/>
    <w:qFormat/>
    <w:pPr>
      <w:ind w:firstLine="480"/>
      <w:jc w:val="left"/>
      <w:spacing w:before="120" w:after="120" w:line="360" w:lineRule="auto"/>
    </w:pPr>
    <w:rPr>
      <w:rFonts w:ascii="Arial" w:hAnsi="Arial"/>
      <w:sz w:val="24"/>
    </w:rPr>
  </w:style>
  <w:style w:type="paragraph" w:styleId="1157" w:customStyle="1">
    <w:name w:val="xl45"/>
    <w:basedOn w:val="764"/>
    <w:uiPriority w:val="99"/>
    <w:qFormat/>
    <w:pPr>
      <w:jc w:val="right"/>
      <w:spacing w:before="100" w:beforeAutospacing="1" w:after="100" w:afterAutospacing="1"/>
      <w:widowControl/>
      <w:pBdr>
        <w:bottom w:val="single" w:color="000000" w:sz="4" w:space="0"/>
        <w:right w:val="single" w:color="000000" w:sz="4" w:space="0"/>
      </w:pBdr>
    </w:pPr>
    <w:rPr>
      <w:b/>
      <w:bCs/>
      <w:sz w:val="18"/>
      <w:szCs w:val="18"/>
    </w:rPr>
  </w:style>
  <w:style w:type="paragraph" w:styleId="1158" w:customStyle="1">
    <w:name w:val="xl48"/>
    <w:basedOn w:val="764"/>
    <w:uiPriority w:val="99"/>
    <w:qFormat/>
    <w:pPr>
      <w:jc w:val="center"/>
      <w:spacing w:before="100" w:beforeAutospacing="1" w:after="100" w:afterAutospacing="1"/>
      <w:widowControl/>
    </w:pPr>
    <w:rPr>
      <w:rFonts w:ascii="Arial Unicode MS" w:hAnsi="Arial Unicode MS"/>
      <w:sz w:val="28"/>
      <w:szCs w:val="28"/>
    </w:rPr>
  </w:style>
  <w:style w:type="character" w:styleId="1159" w:customStyle="1">
    <w:name w:val="NormalCharacter1"/>
    <w:uiPriority w:val="0"/>
    <w:semiHidden/>
    <w:qFormat/>
  </w:style>
  <w:style w:type="character" w:styleId="1160" w:customStyle="1">
    <w:name w:val="font21"/>
    <w:uiPriority w:val="0"/>
    <w:qFormat/>
    <w:rPr>
      <w:rFonts w:hint="eastAsia" w:ascii="微软雅黑" w:hAnsi="微软雅黑" w:eastAsia="微软雅黑" w:cs="微软雅黑"/>
      <w:color w:val="000000"/>
      <w:sz w:val="18"/>
      <w:szCs w:val="18"/>
      <w:u w:val="none"/>
    </w:rPr>
  </w:style>
  <w:style w:type="character" w:styleId="1161" w:customStyle="1">
    <w:name w:val="font41"/>
    <w:uiPriority w:val="0"/>
    <w:qFormat/>
    <w:rPr>
      <w:rFonts w:hint="eastAsia" w:ascii="微软雅黑" w:hAnsi="微软雅黑" w:eastAsia="微软雅黑" w:cs="微软雅黑"/>
      <w:color w:val="000000"/>
      <w:sz w:val="18"/>
      <w:szCs w:val="18"/>
      <w:u w:val="none"/>
    </w:rPr>
  </w:style>
  <w:style w:type="character" w:styleId="1162" w:customStyle="1">
    <w:name w:val="font171"/>
    <w:uiPriority w:val="0"/>
    <w:qFormat/>
    <w:rPr>
      <w:rFonts w:hint="eastAsia" w:ascii="宋体" w:hAnsi="宋体" w:eastAsia="宋体" w:cs="宋体"/>
      <w:color w:val="000000"/>
      <w:sz w:val="18"/>
      <w:szCs w:val="18"/>
      <w:u w:val="none"/>
    </w:rPr>
  </w:style>
  <w:style w:type="character" w:styleId="1163" w:customStyle="1">
    <w:name w:val="font81"/>
    <w:uiPriority w:val="0"/>
    <w:qFormat/>
    <w:rPr>
      <w:rFonts w:hint="eastAsia" w:ascii="微软雅黑" w:hAnsi="微软雅黑" w:eastAsia="微软雅黑" w:cs="微软雅黑"/>
      <w:color w:val="000000"/>
      <w:sz w:val="18"/>
      <w:szCs w:val="18"/>
      <w:u w:val="none"/>
    </w:rPr>
  </w:style>
  <w:style w:type="paragraph" w:styleId="1164" w:customStyle="1">
    <w:name w:val="PlainText1"/>
    <w:basedOn w:val="764"/>
    <w:uiPriority w:val="0"/>
    <w:qFormat/>
    <w:pPr>
      <w:widowControl/>
    </w:pPr>
    <w:rPr>
      <w:rFonts w:ascii="宋体" w:hAnsi="Courier New"/>
      <w:szCs w:val="20"/>
    </w:rPr>
  </w:style>
  <w:style w:type="table" w:styleId="1165" w:customStyle="1">
    <w:name w:val="Table Normal"/>
    <w:uiPriority w:val="0"/>
    <w:unhideWhenUsed/>
    <w:qFormat/>
    <w:tblPr>
      <w:tblCellMar>
        <w:left w:w="0" w:type="dxa"/>
        <w:top w:w="0" w:type="dxa"/>
        <w:right w:w="0" w:type="dxa"/>
        <w:bottom w:w="0" w:type="dxa"/>
      </w:tblCellMar>
    </w:tblPr>
  </w:style>
  <w:style w:type="paragraph" w:styleId="1166" w:customStyle="1">
    <w:name w:val="WPSOffice手动目录 1"/>
    <w:uiPriority w:val="0"/>
    <w:qFormat/>
    <w:rPr>
      <w:rFonts w:hint="default" w:ascii="Times New Roman" w:hAnsi="Times New Roman" w:eastAsia="宋体" w:cs="Times New Roman"/>
      <w:lang w:val="en-US" w:eastAsia="zh-CN" w:bidi="ar-SA"/>
    </w:rPr>
  </w:style>
  <w:style w:type="character" w:styleId="1167" w:customStyle="1">
    <w:name w:val="font61"/>
    <w:uiPriority w:val="0"/>
    <w:qFormat/>
    <w:rPr>
      <w:rFonts w:ascii="Arial" w:hAnsi="Arial" w:cs="Arial"/>
      <w:color w:val="000000"/>
      <w:sz w:val="20"/>
      <w:szCs w:val="20"/>
      <w:u w:val="none"/>
    </w:rPr>
  </w:style>
  <w:style w:type="paragraph" w:styleId="1168" w:customStyle="1">
    <w:name w:val="Table Paragraph"/>
    <w:basedOn w:val="764"/>
    <w:uiPriority w:val="1"/>
    <w:qFormat/>
  </w:style>
  <w:style w:type="character" w:styleId="1169" w:customStyle="1">
    <w:name w:val="font01"/>
    <w:uiPriority w:val="0"/>
    <w:qFormat/>
    <w:rPr>
      <w:rFonts w:hint="eastAsia" w:ascii="宋体" w:hAnsi="宋体" w:eastAsia="宋体" w:cs="宋体"/>
      <w:color w:val="000000"/>
      <w:sz w:val="20"/>
      <w:szCs w:val="20"/>
      <w:u w:val="none"/>
    </w:rPr>
  </w:style>
  <w:style w:type="character" w:styleId="1170" w:customStyle="1">
    <w:name w:val="font71"/>
    <w:uiPriority w:val="0"/>
    <w:qFormat/>
    <w:rPr>
      <w:rFonts w:hint="eastAsia" w:ascii="宋体" w:hAnsi="宋体" w:eastAsia="宋体" w:cs="宋体"/>
      <w:color w:val="000000"/>
      <w:sz w:val="20"/>
      <w:szCs w:val="20"/>
      <w:u w:val="none"/>
    </w:rPr>
  </w:style>
  <w:style w:type="character" w:styleId="1171" w:customStyle="1">
    <w:name w:val="font121"/>
    <w:uiPriority w:val="0"/>
    <w:qFormat/>
    <w:rPr>
      <w:rFonts w:hint="eastAsia" w:ascii="宋体" w:hAnsi="宋体" w:eastAsia="宋体" w:cs="宋体"/>
      <w:color w:val="000000"/>
      <w:sz w:val="20"/>
      <w:szCs w:val="20"/>
      <w:u w:val="none"/>
    </w:rPr>
  </w:style>
  <w:style w:type="character" w:styleId="1172" w:customStyle="1">
    <w:name w:val="font112"/>
    <w:uiPriority w:val="0"/>
    <w:qFormat/>
    <w:rPr>
      <w:rFonts w:hint="eastAsia" w:ascii="宋体" w:hAnsi="宋体" w:eastAsia="宋体" w:cs="宋体"/>
      <w:color w:val="000000"/>
      <w:sz w:val="20"/>
      <w:szCs w:val="20"/>
      <w:u w:val="none"/>
    </w:rPr>
  </w:style>
  <w:style w:type="character" w:styleId="1173" w:customStyle="1">
    <w:name w:val="hover"/>
    <w:basedOn w:val="989"/>
    <w:uiPriority w:val="0"/>
    <w:qFormat/>
  </w:style>
  <w:style w:type="character" w:styleId="1174" w:customStyle="1">
    <w:name w:val="hover1"/>
    <w:uiPriority w:val="0"/>
    <w:qFormat/>
    <w:rPr>
      <w:color w:val="2590eb"/>
    </w:rPr>
  </w:style>
  <w:style w:type="character" w:styleId="1175" w:customStyle="1">
    <w:name w:val="hover2"/>
    <w:uiPriority w:val="0"/>
    <w:qFormat/>
    <w:rPr>
      <w:color w:val="2590eb"/>
    </w:rPr>
  </w:style>
  <w:style w:type="character" w:styleId="1176" w:customStyle="1">
    <w:name w:val="hover3"/>
    <w:uiPriority w:val="0"/>
    <w:qFormat/>
    <w:rPr>
      <w:color w:val="2590eb"/>
      <w:shd w:val="clear" w:color="auto" w:fill="e9f4fd"/>
    </w:rPr>
  </w:style>
  <w:style w:type="character" w:styleId="1177" w:customStyle="1">
    <w:name w:val="hover4"/>
    <w:uiPriority w:val="0"/>
    <w:qFormat/>
    <w:rPr>
      <w:color w:val="2590eb"/>
      <w:shd w:val="clear" w:color="auto" w:fill="e9f4fd"/>
    </w:rPr>
  </w:style>
  <w:style w:type="paragraph" w:styleId="1178" w:customStyle="1">
    <w:name w:val="表 靠左"/>
    <w:basedOn w:val="1179"/>
    <w:uiPriority w:val="0"/>
    <w:qFormat/>
    <w:pPr>
      <w:jc w:val="left"/>
    </w:pPr>
    <w:rPr>
      <w:rFonts w:ascii="宋体" w:hAnsi="宋体"/>
    </w:rPr>
  </w:style>
  <w:style w:type="paragraph" w:styleId="1179" w:customStyle="1">
    <w:name w:val="表"/>
    <w:basedOn w:val="764"/>
    <w:next w:val="764"/>
    <w:uiPriority w:val="0"/>
    <w:qFormat/>
    <w:pPr>
      <w:jc w:val="center"/>
    </w:pPr>
  </w:style>
  <w:style w:type="paragraph" w:styleId="1180" w:customStyle="1">
    <w:name w:val="纯文本1"/>
    <w:basedOn w:val="764"/>
    <w:uiPriority w:val="0"/>
    <w:qFormat/>
    <w:rPr>
      <w:rFonts w:ascii="宋体" w:hAnsi="Courier New"/>
      <w:szCs w:val="20"/>
    </w:rPr>
  </w:style>
  <w:style w:type="paragraph" w:styleId="1181"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1182" w:customStyle="1">
    <w:name w:val="页脚1"/>
    <w:basedOn w:val="764"/>
    <w:uiPriority w:val="0"/>
    <w:qFormat/>
    <w:pPr>
      <w:jc w:val="left"/>
      <w:tabs>
        <w:tab w:val="center" w:pos="4153" w:leader="none"/>
        <w:tab w:val="right" w:pos="8306" w:leader="none"/>
      </w:tabs>
    </w:pPr>
    <w:rPr>
      <w:sz w:val="18"/>
      <w:szCs w:val="18"/>
    </w:rPr>
  </w:style>
  <w:style w:type="character" w:styleId="1183" w:customStyle="1">
    <w:name w:val="font31"/>
    <w:uiPriority w:val="0"/>
    <w:qFormat/>
    <w:rPr>
      <w:rFonts w:hint="eastAsia" w:ascii="仿宋" w:hAnsi="仿宋" w:eastAsia="仿宋" w:cs="仿宋"/>
      <w:color w:val="000000"/>
      <w:sz w:val="18"/>
      <w:szCs w:val="18"/>
      <w:u w:val="none"/>
    </w:rPr>
  </w:style>
  <w:style w:type="paragraph" w:styleId="1184" w:customStyle="1">
    <w:name w:val="正文文本11"/>
    <w:basedOn w:val="764"/>
    <w:next w:val="764"/>
    <w:uiPriority w:val="0"/>
    <w:qFormat/>
    <w:rPr>
      <w:rFonts w:ascii="楷体_GB2312" w:hAnsi="Arial" w:eastAsia="楷体_GB2312"/>
      <w:sz w:val="28"/>
      <w:szCs w:val="28"/>
    </w:rPr>
  </w:style>
  <w:style w:type="paragraph" w:styleId="1185" w:customStyle="1">
    <w:name w:val="正文文本缩进11"/>
    <w:basedOn w:val="764"/>
    <w:next w:val="1186"/>
    <w:uiPriority w:val="0"/>
    <w:qFormat/>
    <w:pPr>
      <w:ind w:firstLine="435"/>
      <w:spacing w:line="480" w:lineRule="exact"/>
    </w:pPr>
    <w:rPr>
      <w:sz w:val="24"/>
    </w:rPr>
  </w:style>
  <w:style w:type="paragraph" w:styleId="1186" w:customStyle="1">
    <w:name w:val="寄信人地址1"/>
    <w:basedOn w:val="764"/>
    <w:uiPriority w:val="0"/>
    <w:qFormat/>
    <w:rPr>
      <w:rFonts w:ascii="Arial" w:hAnsi="Arial" w:eastAsia="楷体_GB2312"/>
      <w:sz w:val="26"/>
      <w:szCs w:val="20"/>
    </w:rPr>
  </w:style>
  <w:style w:type="paragraph" w:styleId="1187" w:customStyle="1">
    <w:name w:val="纯文本11"/>
    <w:basedOn w:val="764"/>
    <w:uiPriority w:val="0"/>
    <w:qFormat/>
    <w:rPr>
      <w:rFonts w:ascii="宋体" w:hAnsi="Courier New"/>
      <w:szCs w:val="20"/>
    </w:rPr>
  </w:style>
  <w:style w:type="paragraph" w:styleId="1188" w:customStyle="1">
    <w:name w:val="国图圈号"/>
    <w:basedOn w:val="1093"/>
    <w:uiPriority w:val="0"/>
    <w:qFormat/>
    <w:pPr>
      <w:numPr>
        <w:ilvl w:val="0"/>
        <w:numId w:val="3"/>
      </w:numPr>
      <w:ind w:left="425" w:firstLine="0"/>
      <w:spacing w:line="360" w:lineRule="auto"/>
      <w:tabs>
        <w:tab w:val="left" w:pos="425" w:leader="none"/>
      </w:tabs>
    </w:pPr>
    <w:rPr>
      <w:rFonts w:ascii="宋体" w:hAnsi="宋体"/>
      <w:sz w:val="24"/>
    </w:rPr>
  </w:style>
  <w:style w:type="paragraph" w:styleId="1189" w:customStyle="1">
    <w:name w:val="图例"/>
    <w:basedOn w:val="764"/>
    <w:uiPriority w:val="0"/>
    <w:qFormat/>
    <w:pPr>
      <w:jc w:val="center"/>
      <w:spacing w:before="120" w:after="120" w:line="360" w:lineRule="auto"/>
    </w:pPr>
    <w:rPr>
      <w:rFonts w:eastAsia="仿宋_GB2312"/>
      <w:b/>
      <w:sz w:val="24"/>
      <w:szCs w:val="20"/>
    </w:rPr>
  </w:style>
  <w:style w:type="paragraph" w:styleId="1190" w:customStyle="1">
    <w:name w:val="首行缩进"/>
    <w:basedOn w:val="764"/>
    <w:uiPriority w:val="0"/>
    <w:qFormat/>
    <w:pPr>
      <w:ind w:firstLine="480"/>
      <w:spacing w:line="360" w:lineRule="auto"/>
    </w:pPr>
    <w:rPr>
      <w:rFonts w:ascii="宋体" w:hAnsi="宋体" w:cs="宋体"/>
      <w:sz w:val="24"/>
    </w:rPr>
  </w:style>
  <w:style w:type="paragraph" w:styleId="1191" w:customStyle="1">
    <w:name w:val="段"/>
    <w:basedOn w:val="764"/>
    <w:uiPriority w:val="0"/>
    <w:qFormat/>
    <w:pPr>
      <w:ind w:firstLine="200"/>
      <w:widowControl/>
    </w:pPr>
    <w:rPr>
      <w:rFonts w:hint="eastAsia" w:ascii="宋体"/>
      <w:szCs w:val="20"/>
    </w:rPr>
  </w:style>
  <w:style w:type="paragraph" w:styleId="1192" w:customStyle="1">
    <w:name w:val="目标题"/>
    <w:basedOn w:val="764"/>
    <w:uiPriority w:val="0"/>
    <w:qFormat/>
    <w:pPr>
      <w:ind w:firstLine="200"/>
    </w:pPr>
    <w:rPr>
      <w:b/>
      <w:sz w:val="28"/>
      <w:szCs w:val="20"/>
    </w:rPr>
  </w:style>
  <w:style w:type="paragraph" w:styleId="1193" w:customStyle="1">
    <w:name w:val="Body text|2"/>
    <w:basedOn w:val="764"/>
    <w:uiPriority w:val="0"/>
    <w:qFormat/>
    <w:pPr>
      <w:ind w:left="1480"/>
      <w:spacing w:line="1246" w:lineRule="exact"/>
    </w:pPr>
    <w:rPr>
      <w:rFonts w:ascii="宋体" w:hAnsi="宋体" w:cs="宋体"/>
      <w:sz w:val="32"/>
      <w:szCs w:val="32"/>
      <w:lang w:val="zh-TW" w:eastAsia="zh-TW" w:bidi="zh-TW"/>
    </w:rPr>
  </w:style>
  <w:style w:type="character" w:styleId="1194" w:customStyle="1">
    <w:name w:val="正文文本 字符"/>
    <w:link w:val="779"/>
    <w:uiPriority w:val="99"/>
    <w:qFormat/>
    <w:rPr>
      <w:rFonts w:ascii="宋体"/>
      <w:sz w:val="34"/>
    </w:rPr>
  </w:style>
  <w:style w:type="character" w:styleId="1195" w:customStyle="1">
    <w:name w:val="正文文本首行缩进 字符"/>
    <w:link w:val="780"/>
    <w:uiPriority w:val="99"/>
    <w:semiHidden/>
    <w:qFormat/>
    <w:rPr>
      <w:rFonts w:ascii="宋体"/>
      <w:sz w:val="34"/>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C4816886-D5D0-436A-B75B-0A3A1EFBC7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us</dc:creator>
  <cp:lastModifiedBy>夏少进</cp:lastModifiedBy>
  <cp:revision>150</cp:revision>
  <dcterms:created xsi:type="dcterms:W3CDTF">2018-06-19T10:06:00Z</dcterms:created>
  <dcterms:modified xsi:type="dcterms:W3CDTF">2025-12-08T02:56:06Z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eyJoZGlkIjoiODYzNjgzYTA3ZGNjMzAxZGE3MTI4NjI2MTMwNzViMjUiLCJ1c2VySWQiOiIxNzA3MDE1Mjk2In0=</vt:lpwstr>
  </property>
  <property fmtid="{D5CDD505-2E9C-101B-9397-08002B2CF9AE}" pid="3" name="KSOProductBuildVer">
    <vt:lpwstr>2052-12.1.0.23542</vt:lpwstr>
  </property>
  <property fmtid="{D5CDD505-2E9C-101B-9397-08002B2CF9AE}" pid="4" name="ICV">
    <vt:lpwstr>BE8AAD4E0D0E42BC9513C1D279BB47DB_13</vt:lpwstr>
  </property>
</Properties>
</file>