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cs="黑体" w:asciiTheme="minorEastAsia" w:hAnsiTheme="minorEastAsia" w:eastAsiaTheme="minorEastAsia"/>
          <w:b/>
          <w:sz w:val="32"/>
          <w:szCs w:val="32"/>
          <w:lang w:val="en-US" w:eastAsia="zh-CN"/>
        </w:rPr>
      </w:pPr>
      <w:r>
        <w:rPr>
          <w:rFonts w:hint="eastAsia" w:cs="黑体" w:asciiTheme="minorEastAsia" w:hAnsiTheme="minorEastAsia" w:eastAsiaTheme="minorEastAsia"/>
          <w:b/>
          <w:sz w:val="32"/>
          <w:szCs w:val="32"/>
          <w:lang w:val="en-US" w:eastAsia="zh-CN"/>
        </w:rPr>
        <w:t xml:space="preserve">徐杨幼儿园中央空调采购招标清单   </w:t>
      </w:r>
    </w:p>
    <w:p>
      <w:pPr>
        <w:spacing w:line="440" w:lineRule="exact"/>
        <w:jc w:val="center"/>
        <w:rPr>
          <w:rFonts w:cs="黑体" w:asciiTheme="minorEastAsia" w:hAnsiTheme="minorEastAsia" w:eastAsiaTheme="minorEastAsia"/>
          <w:b/>
          <w:sz w:val="32"/>
          <w:szCs w:val="32"/>
        </w:rPr>
      </w:pPr>
      <w:r>
        <w:rPr>
          <w:rFonts w:hint="eastAsia" w:cs="黑体" w:asciiTheme="minorEastAsia" w:hAnsiTheme="minorEastAsia" w:eastAsiaTheme="minorEastAsia"/>
          <w:b/>
          <w:sz w:val="32"/>
          <w:szCs w:val="32"/>
          <w:lang w:val="en-US" w:eastAsia="zh-CN"/>
        </w:rPr>
        <w:t xml:space="preserve"> </w:t>
      </w:r>
      <w:r>
        <w:rPr>
          <w:rFonts w:hint="eastAsia" w:cs="黑体" w:asciiTheme="minorEastAsia" w:hAnsiTheme="minorEastAsia" w:eastAsiaTheme="minorEastAsia"/>
          <w:b/>
          <w:sz w:val="32"/>
          <w:szCs w:val="32"/>
        </w:rPr>
        <w:t>编制说明</w:t>
      </w:r>
    </w:p>
    <w:p>
      <w:pPr>
        <w:spacing w:line="440" w:lineRule="exact"/>
        <w:ind w:firstLine="482" w:firstLineChars="200"/>
        <w:rPr>
          <w:rFonts w:hint="eastAsia" w:ascii="宋体" w:hAnsi="宋体" w:cs="黑体"/>
          <w:b/>
          <w:sz w:val="24"/>
        </w:rPr>
      </w:pPr>
      <w:r>
        <w:rPr>
          <w:rFonts w:hint="eastAsia" w:ascii="宋体" w:hAnsi="宋体" w:cs="黑体"/>
          <w:b/>
          <w:sz w:val="24"/>
        </w:rPr>
        <w:t>一、编制依据：</w:t>
      </w:r>
    </w:p>
    <w:p>
      <w:pPr>
        <w:spacing w:line="440" w:lineRule="exact"/>
        <w:ind w:firstLine="480" w:firstLineChars="200"/>
        <w:rPr>
          <w:rFonts w:hint="eastAsia" w:ascii="宋体" w:hAnsi="宋体" w:cs="黑体"/>
          <w:b/>
          <w:sz w:val="24"/>
        </w:rPr>
      </w:pPr>
      <w:r>
        <w:rPr>
          <w:rFonts w:hint="eastAsia" w:ascii="宋体" w:hAnsi="宋体" w:cs="黑体"/>
          <w:b w:val="0"/>
          <w:bCs/>
          <w:sz w:val="24"/>
          <w:lang w:eastAsia="zh-CN"/>
        </w:rPr>
        <w:t>徐杨幼儿园中央空调采购</w:t>
      </w:r>
      <w:bookmarkStart w:id="0" w:name="_GoBack"/>
      <w:bookmarkEnd w:id="0"/>
      <w:r>
        <w:rPr>
          <w:rFonts w:hint="eastAsia" w:ascii="宋体" w:hAnsi="宋体" w:cs="黑体"/>
          <w:b w:val="0"/>
          <w:bCs/>
          <w:sz w:val="24"/>
        </w:rPr>
        <w:t>施工图设计一套、《建设工程工程量清单计价规范》（GB50500-2013）、《江苏省安装工程计价表》（2014）、《江苏省建设工程费用定额》（2014）、现行法律法规规定的文件等</w:t>
      </w:r>
      <w:r>
        <w:rPr>
          <w:rFonts w:hint="eastAsia" w:ascii="宋体" w:hAnsi="宋体" w:cs="黑体"/>
          <w:b/>
          <w:sz w:val="24"/>
        </w:rPr>
        <w:t>。</w:t>
      </w:r>
    </w:p>
    <w:p>
      <w:pPr>
        <w:spacing w:line="440" w:lineRule="exact"/>
        <w:ind w:firstLine="482" w:firstLineChars="200"/>
        <w:rPr>
          <w:rFonts w:hint="eastAsia" w:ascii="宋体" w:hAnsi="宋体" w:cs="黑体"/>
          <w:b/>
          <w:sz w:val="24"/>
        </w:rPr>
      </w:pPr>
      <w:r>
        <w:rPr>
          <w:rFonts w:hint="eastAsia" w:ascii="宋体" w:hAnsi="宋体" w:cs="黑体"/>
          <w:b/>
          <w:sz w:val="24"/>
        </w:rPr>
        <w:t>二、编制说明：</w:t>
      </w:r>
    </w:p>
    <w:p>
      <w:pPr>
        <w:spacing w:line="440" w:lineRule="exact"/>
        <w:ind w:firstLine="480" w:firstLineChars="200"/>
        <w:rPr>
          <w:rFonts w:hint="eastAsia" w:ascii="宋体" w:hAnsi="宋体" w:eastAsia="宋体" w:cs="黑体"/>
          <w:b w:val="0"/>
          <w:bCs/>
          <w:sz w:val="24"/>
          <w:lang w:eastAsia="zh-CN"/>
        </w:rPr>
      </w:pPr>
      <w:r>
        <w:rPr>
          <w:rFonts w:hint="eastAsia" w:ascii="宋体" w:hAnsi="宋体" w:cs="黑体"/>
          <w:b w:val="0"/>
          <w:bCs/>
          <w:sz w:val="24"/>
        </w:rPr>
        <w:t>1、安全文明施工措施费基本费按1.5%计取</w:t>
      </w:r>
      <w:r>
        <w:rPr>
          <w:rFonts w:hint="eastAsia" w:ascii="宋体" w:hAnsi="宋体" w:cs="黑体"/>
          <w:b w:val="0"/>
          <w:bCs/>
          <w:sz w:val="24"/>
          <w:lang w:eastAsia="zh-CN"/>
        </w:rPr>
        <w:t>、</w:t>
      </w:r>
      <w:r>
        <w:rPr>
          <w:rFonts w:hint="eastAsia" w:ascii="宋体" w:hAnsi="宋体" w:cs="黑体"/>
          <w:b w:val="0"/>
          <w:bCs/>
          <w:sz w:val="24"/>
        </w:rPr>
        <w:t>增加费不计取</w:t>
      </w:r>
      <w:r>
        <w:rPr>
          <w:rFonts w:hint="eastAsia" w:ascii="宋体" w:hAnsi="宋体" w:cs="黑体"/>
          <w:b w:val="0"/>
          <w:bCs/>
          <w:sz w:val="24"/>
          <w:lang w:eastAsia="zh-CN"/>
        </w:rPr>
        <w:t>、</w:t>
      </w:r>
      <w:r>
        <w:rPr>
          <w:rFonts w:hint="eastAsia" w:ascii="宋体" w:hAnsi="宋体" w:cs="黑体"/>
          <w:b w:val="0"/>
          <w:bCs/>
          <w:sz w:val="24"/>
        </w:rPr>
        <w:t>扬尘污染防治增加费按0.21%计取</w:t>
      </w:r>
      <w:r>
        <w:rPr>
          <w:rFonts w:hint="eastAsia" w:ascii="宋体" w:hAnsi="宋体" w:cs="黑体"/>
          <w:b w:val="0"/>
          <w:bCs/>
          <w:sz w:val="24"/>
          <w:lang w:eastAsia="zh-CN"/>
        </w:rPr>
        <w:t>；</w:t>
      </w:r>
    </w:p>
    <w:p>
      <w:pPr>
        <w:spacing w:line="440" w:lineRule="exact"/>
        <w:ind w:firstLine="480" w:firstLineChars="200"/>
        <w:rPr>
          <w:rFonts w:hint="eastAsia" w:ascii="宋体" w:hAnsi="宋体" w:eastAsia="宋体" w:cs="黑体"/>
          <w:b w:val="0"/>
          <w:bCs/>
          <w:sz w:val="24"/>
          <w:lang w:eastAsia="zh-CN"/>
        </w:rPr>
      </w:pPr>
      <w:r>
        <w:rPr>
          <w:rFonts w:hint="eastAsia" w:ascii="宋体" w:hAnsi="宋体" w:cs="黑体"/>
          <w:b w:val="0"/>
          <w:bCs/>
          <w:sz w:val="24"/>
        </w:rPr>
        <w:t>2、规费部分：社会保险费按2.4%、住房公积金按0.42%、环境保护税按0.1%计取</w:t>
      </w:r>
      <w:r>
        <w:rPr>
          <w:rFonts w:hint="eastAsia" w:ascii="宋体" w:hAnsi="宋体" w:cs="黑体"/>
          <w:b w:val="0"/>
          <w:bCs/>
          <w:sz w:val="24"/>
          <w:lang w:eastAsia="zh-CN"/>
        </w:rPr>
        <w:t>。</w:t>
      </w:r>
    </w:p>
    <w:p>
      <w:pPr>
        <w:spacing w:line="440" w:lineRule="exact"/>
        <w:ind w:firstLine="482" w:firstLineChars="200"/>
        <w:rPr>
          <w:rFonts w:ascii="宋体" w:hAnsi="宋体" w:cs="黑体"/>
          <w:b/>
          <w:sz w:val="24"/>
        </w:rPr>
      </w:pPr>
      <w:r>
        <w:rPr>
          <w:rFonts w:hint="eastAsia" w:ascii="宋体" w:hAnsi="宋体" w:cs="黑体"/>
          <w:b/>
          <w:sz w:val="24"/>
          <w:lang w:val="en-US" w:eastAsia="zh-CN"/>
        </w:rPr>
        <w:t>三</w:t>
      </w:r>
      <w:r>
        <w:rPr>
          <w:rFonts w:hint="eastAsia" w:ascii="宋体" w:hAnsi="宋体" w:cs="黑体"/>
          <w:b/>
          <w:sz w:val="24"/>
        </w:rPr>
        <w:t>、主要材料使用品牌及要求：</w:t>
      </w:r>
    </w:p>
    <w:p>
      <w:pPr>
        <w:spacing w:line="440" w:lineRule="exact"/>
        <w:ind w:firstLine="600" w:firstLineChars="250"/>
        <w:rPr>
          <w:rFonts w:ascii="宋体" w:hAnsi="宋体" w:cs="黑体"/>
          <w:sz w:val="24"/>
        </w:rPr>
      </w:pPr>
      <w:r>
        <w:rPr>
          <w:rFonts w:hint="eastAsia" w:ascii="宋体" w:hAnsi="宋体" w:cs="黑体"/>
          <w:sz w:val="24"/>
        </w:rPr>
        <w:t>本项目非暂定价材料均由投标人自主报价并承担材料价格风险，同时主要材料选用可以在招标人推荐的品牌中任选其一进行报价；投标人也可以自选品牌但其所投材料品牌档次不得低于招标人推荐的品牌档次，且须取得招标人认可。</w:t>
      </w:r>
    </w:p>
    <w:p>
      <w:pPr>
        <w:spacing w:line="440" w:lineRule="exact"/>
        <w:ind w:firstLine="480" w:firstLineChars="200"/>
        <w:rPr>
          <w:rFonts w:hint="eastAsia" w:ascii="宋体" w:hAnsi="宋体" w:cs="黑体"/>
          <w:sz w:val="24"/>
        </w:rPr>
      </w:pPr>
      <w:r>
        <w:rPr>
          <w:rFonts w:hint="eastAsia" w:ascii="宋体" w:hAnsi="宋体" w:cs="黑体"/>
          <w:sz w:val="24"/>
        </w:rPr>
        <w:t>推荐品牌</w:t>
      </w:r>
    </w:p>
    <w:p>
      <w:pPr>
        <w:spacing w:line="440" w:lineRule="exact"/>
        <w:ind w:firstLine="480" w:firstLineChars="200"/>
        <w:rPr>
          <w:rFonts w:ascii="宋体" w:hAnsi="宋体" w:cs="黑体"/>
          <w:sz w:val="24"/>
        </w:rPr>
      </w:pPr>
      <w:r>
        <w:rPr>
          <w:rFonts w:hint="eastAsia" w:ascii="宋体" w:hAnsi="宋体" w:cs="黑体"/>
          <w:sz w:val="24"/>
        </w:rPr>
        <w:t>1、电线电缆品牌范围：远东、上上、江南、宝胜；</w:t>
      </w:r>
    </w:p>
    <w:p>
      <w:pPr>
        <w:spacing w:line="440" w:lineRule="exact"/>
        <w:ind w:firstLine="480" w:firstLineChars="200"/>
        <w:rPr>
          <w:rFonts w:ascii="宋体" w:hAnsi="宋体" w:cs="黑体"/>
          <w:sz w:val="24"/>
        </w:rPr>
      </w:pPr>
      <w:r>
        <w:rPr>
          <w:rFonts w:hint="eastAsia" w:ascii="宋体" w:hAnsi="宋体" w:cs="黑体"/>
          <w:sz w:val="24"/>
          <w:lang w:val="en-US" w:eastAsia="zh-CN"/>
        </w:rPr>
        <w:t>2</w:t>
      </w:r>
      <w:r>
        <w:rPr>
          <w:rFonts w:hint="eastAsia" w:ascii="宋体" w:hAnsi="宋体" w:cs="黑体"/>
          <w:sz w:val="24"/>
        </w:rPr>
        <w:t>、多联机空调品牌范围：大金、日立、东芝、松下、三菱重工、格力、美的</w:t>
      </w:r>
      <w:r>
        <w:rPr>
          <w:rFonts w:hint="eastAsia" w:ascii="宋体" w:hAnsi="宋体" w:cs="黑体"/>
          <w:sz w:val="24"/>
          <w:lang w:eastAsia="zh-CN"/>
        </w:rPr>
        <w:t>、</w:t>
      </w:r>
      <w:r>
        <w:rPr>
          <w:rFonts w:hint="eastAsia" w:ascii="宋体" w:hAnsi="宋体" w:cs="黑体"/>
          <w:sz w:val="24"/>
          <w:lang w:val="en-US" w:eastAsia="zh-CN"/>
        </w:rPr>
        <w:t>海尔</w:t>
      </w:r>
      <w:r>
        <w:rPr>
          <w:rFonts w:hint="eastAsia" w:ascii="宋体" w:hAnsi="宋体" w:cs="黑体"/>
          <w:sz w:val="24"/>
        </w:rPr>
        <w:t>；</w:t>
      </w:r>
    </w:p>
    <w:p>
      <w:pPr>
        <w:spacing w:line="440" w:lineRule="exact"/>
        <w:ind w:firstLine="480" w:firstLineChars="200"/>
        <w:rPr>
          <w:rFonts w:hint="eastAsia" w:ascii="宋体" w:hAnsi="宋体" w:cs="黑体"/>
          <w:sz w:val="24"/>
          <w:lang w:eastAsia="zh-CN"/>
        </w:rPr>
      </w:pPr>
      <w:r>
        <w:rPr>
          <w:rFonts w:hint="eastAsia" w:ascii="宋体" w:hAnsi="宋体" w:cs="黑体"/>
          <w:sz w:val="24"/>
          <w:lang w:val="en-US" w:eastAsia="zh-CN"/>
        </w:rPr>
        <w:t>3</w:t>
      </w:r>
      <w:r>
        <w:rPr>
          <w:rFonts w:hint="eastAsia" w:ascii="宋体" w:hAnsi="宋体" w:cs="黑体"/>
          <w:sz w:val="24"/>
        </w:rPr>
        <w:t>、给、排水管及管件品牌范围：日丰、联塑、公元、中财、瑞洁</w:t>
      </w:r>
      <w:r>
        <w:rPr>
          <w:rFonts w:hint="eastAsia" w:ascii="宋体" w:hAnsi="宋体" w:cs="黑体"/>
          <w:sz w:val="24"/>
          <w:lang w:eastAsia="zh-CN"/>
        </w:rPr>
        <w:t>；</w:t>
      </w:r>
    </w:p>
    <w:p>
      <w:pPr>
        <w:spacing w:line="440" w:lineRule="exact"/>
        <w:ind w:firstLine="480" w:firstLineChars="200"/>
        <w:rPr>
          <w:rFonts w:hint="eastAsia" w:ascii="宋体" w:hAnsi="宋体" w:cs="黑体"/>
          <w:sz w:val="24"/>
          <w:lang w:eastAsia="zh-CN"/>
        </w:rPr>
      </w:pPr>
      <w:r>
        <w:rPr>
          <w:rFonts w:hint="eastAsia" w:ascii="宋体" w:hAnsi="宋体" w:cs="黑体"/>
          <w:sz w:val="24"/>
          <w:lang w:val="en-US" w:eastAsia="zh-CN"/>
        </w:rPr>
        <w:t>4、新风机品牌范围：小米、海尔、追梦者。</w:t>
      </w:r>
    </w:p>
    <w:p>
      <w:pPr>
        <w:spacing w:line="440" w:lineRule="exact"/>
        <w:ind w:firstLine="482" w:firstLineChars="200"/>
        <w:rPr>
          <w:rFonts w:hint="eastAsia" w:ascii="宋体" w:hAnsi="宋体" w:cs="黑体"/>
          <w:b/>
          <w:sz w:val="24"/>
        </w:rPr>
      </w:pPr>
      <w:r>
        <w:rPr>
          <w:rFonts w:hint="eastAsia" w:ascii="宋体" w:hAnsi="宋体" w:cs="黑体"/>
          <w:b/>
          <w:sz w:val="24"/>
          <w:lang w:val="en-US" w:eastAsia="zh-CN"/>
        </w:rPr>
        <w:t>四</w:t>
      </w:r>
      <w:r>
        <w:rPr>
          <w:rFonts w:hint="eastAsia" w:ascii="宋体" w:hAnsi="宋体" w:cs="黑体"/>
          <w:b/>
          <w:sz w:val="24"/>
        </w:rPr>
        <w:t>、其他：</w:t>
      </w:r>
    </w:p>
    <w:p>
      <w:pPr>
        <w:spacing w:line="440" w:lineRule="exact"/>
        <w:ind w:firstLine="480" w:firstLineChars="200"/>
        <w:rPr>
          <w:rFonts w:hint="eastAsia" w:ascii="宋体" w:hAnsi="宋体" w:eastAsia="宋体" w:cs="黑体"/>
          <w:b w:val="0"/>
          <w:bCs/>
          <w:sz w:val="24"/>
          <w:lang w:eastAsia="zh-CN"/>
        </w:rPr>
      </w:pPr>
      <w:r>
        <w:rPr>
          <w:rFonts w:hint="eastAsia" w:ascii="宋体" w:hAnsi="宋体" w:cs="黑体"/>
          <w:b w:val="0"/>
          <w:bCs/>
          <w:sz w:val="24"/>
        </w:rPr>
        <w:t>1、清单项目特征描述中有不明确的，以本清单编制说明为准，其他详见招标文件规定</w:t>
      </w:r>
      <w:r>
        <w:rPr>
          <w:rFonts w:hint="eastAsia" w:ascii="宋体" w:hAnsi="宋体" w:cs="黑体"/>
          <w:b w:val="0"/>
          <w:bCs/>
          <w:sz w:val="24"/>
          <w:lang w:eastAsia="zh-CN"/>
        </w:rPr>
        <w:t>；</w:t>
      </w:r>
    </w:p>
    <w:p>
      <w:pPr>
        <w:spacing w:line="440" w:lineRule="exact"/>
        <w:ind w:firstLine="480" w:firstLineChars="200"/>
        <w:rPr>
          <w:rFonts w:hint="eastAsia" w:ascii="宋体" w:hAnsi="宋体" w:eastAsia="宋体" w:cs="黑体"/>
          <w:b w:val="0"/>
          <w:bCs/>
          <w:sz w:val="24"/>
          <w:lang w:eastAsia="zh-CN"/>
        </w:rPr>
      </w:pPr>
      <w:r>
        <w:rPr>
          <w:rFonts w:hint="eastAsia" w:ascii="宋体" w:hAnsi="宋体" w:cs="黑体"/>
          <w:b w:val="0"/>
          <w:bCs/>
          <w:sz w:val="24"/>
        </w:rPr>
        <w:t>2、对招标人所列的措施项目，投标人可根据工程实际与施工组织设计进行增补，但不应更改招标人已列措施项目，结算时，承包人不得以招标工程措施项目清单缺项为由要求新增措施项目</w:t>
      </w:r>
      <w:r>
        <w:rPr>
          <w:rFonts w:hint="eastAsia" w:ascii="宋体" w:hAnsi="宋体" w:cs="黑体"/>
          <w:b w:val="0"/>
          <w:bCs/>
          <w:sz w:val="24"/>
          <w:lang w:eastAsia="zh-CN"/>
        </w:rPr>
        <w:t>；</w:t>
      </w:r>
    </w:p>
    <w:p>
      <w:pPr>
        <w:spacing w:line="440" w:lineRule="exact"/>
        <w:ind w:firstLine="480" w:firstLineChars="200"/>
        <w:rPr>
          <w:rFonts w:hint="eastAsia" w:ascii="宋体" w:hAnsi="宋体" w:eastAsia="宋体" w:cs="黑体"/>
          <w:b w:val="0"/>
          <w:bCs/>
          <w:sz w:val="24"/>
          <w:lang w:eastAsia="zh-CN"/>
        </w:rPr>
      </w:pPr>
      <w:r>
        <w:rPr>
          <w:rFonts w:hint="eastAsia" w:ascii="宋体" w:hAnsi="宋体" w:cs="黑体"/>
          <w:b w:val="0"/>
          <w:bCs/>
          <w:sz w:val="24"/>
        </w:rPr>
        <w:t>3、投标报价应包括招标文件所确定的招标范围内全部内容，并包括投标人技术标中提出的所有工程内容及措施的费用。其应包括但不限于完成上述内容所必须的人工费、施工机械使用费、制作安装费、材料费、运杂费、缺陷修复费、保险费、临时设施、现场安全文明、环境保护、围档、维护、成品保护、交叉配合费、检验试验费用、施工照明、施工排水、通风、施工恶劣环境增加费、管理费、利润、税金、个人所得税以及合同明示或暗示的风险、责任和义务等为完成本工程项目所涉及到的全部费用</w:t>
      </w:r>
      <w:r>
        <w:rPr>
          <w:rFonts w:hint="eastAsia" w:ascii="宋体" w:hAnsi="宋体" w:cs="黑体"/>
          <w:b w:val="0"/>
          <w:bCs/>
          <w:sz w:val="24"/>
          <w:lang w:eastAsia="zh-CN"/>
        </w:rPr>
        <w:t>；</w:t>
      </w:r>
    </w:p>
    <w:p>
      <w:pPr>
        <w:spacing w:line="440" w:lineRule="exact"/>
        <w:ind w:firstLine="480" w:firstLineChars="200"/>
        <w:rPr>
          <w:rFonts w:hint="eastAsia" w:ascii="宋体" w:hAnsi="宋体" w:cs="黑体"/>
          <w:b w:val="0"/>
          <w:bCs/>
          <w:sz w:val="24"/>
        </w:rPr>
      </w:pPr>
      <w:r>
        <w:rPr>
          <w:rFonts w:hint="eastAsia" w:ascii="宋体" w:hAnsi="宋体" w:cs="黑体"/>
          <w:b w:val="0"/>
          <w:bCs/>
          <w:sz w:val="24"/>
        </w:rPr>
        <w:t>4、工程验收交付前所发生的工程费用（如建筑物的看管，成品保护等费用），</w:t>
      </w:r>
    </w:p>
    <w:p>
      <w:pPr>
        <w:spacing w:line="440" w:lineRule="exact"/>
        <w:rPr>
          <w:rFonts w:hint="eastAsia" w:ascii="宋体" w:hAnsi="宋体" w:eastAsia="宋体" w:cs="黑体"/>
          <w:b w:val="0"/>
          <w:bCs/>
          <w:sz w:val="24"/>
          <w:lang w:eastAsia="zh-CN"/>
        </w:rPr>
      </w:pPr>
      <w:r>
        <w:rPr>
          <w:rFonts w:hint="eastAsia" w:ascii="宋体" w:hAnsi="宋体" w:cs="黑体"/>
          <w:b w:val="0"/>
          <w:bCs/>
          <w:sz w:val="24"/>
        </w:rPr>
        <w:t>均须计入投标报价中</w:t>
      </w:r>
      <w:r>
        <w:rPr>
          <w:rFonts w:hint="eastAsia" w:ascii="宋体" w:hAnsi="宋体" w:cs="黑体"/>
          <w:b w:val="0"/>
          <w:bCs/>
          <w:sz w:val="24"/>
          <w:lang w:eastAsia="zh-CN"/>
        </w:rPr>
        <w:t>；</w:t>
      </w:r>
    </w:p>
    <w:p>
      <w:pPr>
        <w:spacing w:line="440" w:lineRule="exact"/>
        <w:ind w:firstLine="480" w:firstLineChars="200"/>
        <w:rPr>
          <w:rFonts w:hint="eastAsia" w:ascii="宋体" w:hAnsi="宋体" w:eastAsia="宋体" w:cs="黑体"/>
          <w:b w:val="0"/>
          <w:bCs/>
          <w:sz w:val="24"/>
          <w:lang w:eastAsia="zh-CN"/>
        </w:rPr>
      </w:pPr>
      <w:r>
        <w:rPr>
          <w:rFonts w:hint="eastAsia" w:ascii="宋体" w:hAnsi="宋体" w:cs="黑体"/>
          <w:b w:val="0"/>
          <w:bCs/>
          <w:sz w:val="24"/>
        </w:rPr>
        <w:t>5、投标人须于报价前到工地踏勘以充分了解工地位置、环境、道路、储存空间、装卸限制等，结合现场实际情况进行报价</w:t>
      </w:r>
      <w:r>
        <w:rPr>
          <w:rFonts w:hint="eastAsia" w:ascii="宋体" w:hAnsi="宋体" w:cs="黑体"/>
          <w:b w:val="0"/>
          <w:bCs/>
          <w:sz w:val="24"/>
          <w:lang w:eastAsia="zh-CN"/>
        </w:rPr>
        <w:t>；</w:t>
      </w:r>
    </w:p>
    <w:p>
      <w:pPr>
        <w:spacing w:line="440" w:lineRule="exact"/>
        <w:ind w:firstLine="480" w:firstLineChars="200"/>
        <w:rPr>
          <w:rFonts w:hint="eastAsia" w:ascii="宋体" w:hAnsi="宋体" w:cs="黑体"/>
          <w:b w:val="0"/>
          <w:bCs/>
          <w:sz w:val="24"/>
        </w:rPr>
      </w:pPr>
      <w:r>
        <w:rPr>
          <w:rFonts w:hint="eastAsia" w:ascii="宋体" w:hAnsi="宋体" w:cs="黑体"/>
          <w:b w:val="0"/>
          <w:bCs/>
          <w:sz w:val="24"/>
        </w:rPr>
        <w:t>6、施工工序、要求、规范等详见施工说明，需完全满足施工、设计说明要求。</w:t>
      </w:r>
    </w:p>
    <w:p>
      <w:pPr>
        <w:spacing w:line="440" w:lineRule="exact"/>
        <w:ind w:firstLine="480" w:firstLineChars="200"/>
        <w:rPr>
          <w:rFonts w:ascii="宋体" w:hAnsi="宋体" w:cs="黑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FjZjMzZTIyODAxYzU4M2E0YzU5MWUwY2U4MjUwMGMifQ=="/>
  </w:docVars>
  <w:rsids>
    <w:rsidRoot w:val="00EE282F"/>
    <w:rsid w:val="000256D7"/>
    <w:rsid w:val="000512BA"/>
    <w:rsid w:val="00067EA6"/>
    <w:rsid w:val="00081411"/>
    <w:rsid w:val="000830BA"/>
    <w:rsid w:val="000B475C"/>
    <w:rsid w:val="000C42E7"/>
    <w:rsid w:val="00103313"/>
    <w:rsid w:val="00103938"/>
    <w:rsid w:val="00120768"/>
    <w:rsid w:val="0012371C"/>
    <w:rsid w:val="00132DD9"/>
    <w:rsid w:val="001436D2"/>
    <w:rsid w:val="001A1D75"/>
    <w:rsid w:val="00256CA4"/>
    <w:rsid w:val="002B719E"/>
    <w:rsid w:val="002D64FD"/>
    <w:rsid w:val="003060C0"/>
    <w:rsid w:val="00324DB8"/>
    <w:rsid w:val="003368B0"/>
    <w:rsid w:val="00373C5A"/>
    <w:rsid w:val="0038466A"/>
    <w:rsid w:val="003B460E"/>
    <w:rsid w:val="003C56A0"/>
    <w:rsid w:val="003C5FF7"/>
    <w:rsid w:val="003C6184"/>
    <w:rsid w:val="003C7A45"/>
    <w:rsid w:val="003F3422"/>
    <w:rsid w:val="003F6C05"/>
    <w:rsid w:val="00414A9A"/>
    <w:rsid w:val="00452279"/>
    <w:rsid w:val="00470C56"/>
    <w:rsid w:val="004B2F92"/>
    <w:rsid w:val="004C2A4B"/>
    <w:rsid w:val="004F0852"/>
    <w:rsid w:val="004F0D72"/>
    <w:rsid w:val="004F5B9D"/>
    <w:rsid w:val="00501F3C"/>
    <w:rsid w:val="005053CB"/>
    <w:rsid w:val="005149C0"/>
    <w:rsid w:val="0051528D"/>
    <w:rsid w:val="00567B1B"/>
    <w:rsid w:val="00576B45"/>
    <w:rsid w:val="005867BA"/>
    <w:rsid w:val="005A29FE"/>
    <w:rsid w:val="005D5DEB"/>
    <w:rsid w:val="00613C22"/>
    <w:rsid w:val="0062745F"/>
    <w:rsid w:val="00667805"/>
    <w:rsid w:val="00672B68"/>
    <w:rsid w:val="0068189C"/>
    <w:rsid w:val="006D4D53"/>
    <w:rsid w:val="006D722E"/>
    <w:rsid w:val="006E4B7A"/>
    <w:rsid w:val="006F6B0B"/>
    <w:rsid w:val="006F6B86"/>
    <w:rsid w:val="00701368"/>
    <w:rsid w:val="007167A6"/>
    <w:rsid w:val="00762AB7"/>
    <w:rsid w:val="00774D8F"/>
    <w:rsid w:val="007D7CAF"/>
    <w:rsid w:val="00831A16"/>
    <w:rsid w:val="00873F59"/>
    <w:rsid w:val="008817DB"/>
    <w:rsid w:val="00885A03"/>
    <w:rsid w:val="008B39D9"/>
    <w:rsid w:val="008F6219"/>
    <w:rsid w:val="00911E26"/>
    <w:rsid w:val="009606F4"/>
    <w:rsid w:val="00961F48"/>
    <w:rsid w:val="009825D4"/>
    <w:rsid w:val="009D2628"/>
    <w:rsid w:val="009D7E42"/>
    <w:rsid w:val="009F3D3C"/>
    <w:rsid w:val="00A233CA"/>
    <w:rsid w:val="00A33C9F"/>
    <w:rsid w:val="00A46058"/>
    <w:rsid w:val="00A7794C"/>
    <w:rsid w:val="00A84FFC"/>
    <w:rsid w:val="00A97F73"/>
    <w:rsid w:val="00AD4C89"/>
    <w:rsid w:val="00AD5B6F"/>
    <w:rsid w:val="00B229F8"/>
    <w:rsid w:val="00B422D3"/>
    <w:rsid w:val="00B56F98"/>
    <w:rsid w:val="00C32398"/>
    <w:rsid w:val="00CD6B64"/>
    <w:rsid w:val="00CE02E4"/>
    <w:rsid w:val="00CF27EC"/>
    <w:rsid w:val="00CF35EC"/>
    <w:rsid w:val="00D028DC"/>
    <w:rsid w:val="00D11322"/>
    <w:rsid w:val="00D11D1F"/>
    <w:rsid w:val="00D13950"/>
    <w:rsid w:val="00D34DDC"/>
    <w:rsid w:val="00D35CD8"/>
    <w:rsid w:val="00D36B9F"/>
    <w:rsid w:val="00DB4DDB"/>
    <w:rsid w:val="00DB4F4B"/>
    <w:rsid w:val="00E300A5"/>
    <w:rsid w:val="00E7215F"/>
    <w:rsid w:val="00EB15A4"/>
    <w:rsid w:val="00EB5E91"/>
    <w:rsid w:val="00EB691E"/>
    <w:rsid w:val="00EE282F"/>
    <w:rsid w:val="00F67824"/>
    <w:rsid w:val="00F87F9C"/>
    <w:rsid w:val="00FA209A"/>
    <w:rsid w:val="00FC2A03"/>
    <w:rsid w:val="00FF4ADE"/>
    <w:rsid w:val="04D87E2C"/>
    <w:rsid w:val="04E86A2C"/>
    <w:rsid w:val="0C8702DE"/>
    <w:rsid w:val="0F617E7C"/>
    <w:rsid w:val="112B7445"/>
    <w:rsid w:val="17266B2E"/>
    <w:rsid w:val="1C544A6A"/>
    <w:rsid w:val="1DB97271"/>
    <w:rsid w:val="1EAE7303"/>
    <w:rsid w:val="1FB752A9"/>
    <w:rsid w:val="24140F3D"/>
    <w:rsid w:val="25730A00"/>
    <w:rsid w:val="28C93371"/>
    <w:rsid w:val="2AFC63E6"/>
    <w:rsid w:val="2D71239B"/>
    <w:rsid w:val="368B7302"/>
    <w:rsid w:val="38C80B0A"/>
    <w:rsid w:val="3C130492"/>
    <w:rsid w:val="40EA37D8"/>
    <w:rsid w:val="444E2766"/>
    <w:rsid w:val="46362EF9"/>
    <w:rsid w:val="46A44442"/>
    <w:rsid w:val="47443EE7"/>
    <w:rsid w:val="489F6749"/>
    <w:rsid w:val="4D790A75"/>
    <w:rsid w:val="51100156"/>
    <w:rsid w:val="574F31C3"/>
    <w:rsid w:val="5CCA4554"/>
    <w:rsid w:val="5E4936E1"/>
    <w:rsid w:val="5F5C3194"/>
    <w:rsid w:val="636700E4"/>
    <w:rsid w:val="64C64C02"/>
    <w:rsid w:val="6601472A"/>
    <w:rsid w:val="691D271B"/>
    <w:rsid w:val="694073A5"/>
    <w:rsid w:val="6A0B471C"/>
    <w:rsid w:val="6F5228C3"/>
    <w:rsid w:val="7707261A"/>
    <w:rsid w:val="7D4453C1"/>
    <w:rsid w:val="7E1413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List Paragraph1"/>
    <w:basedOn w:val="1"/>
    <w:autoRedefine/>
    <w:qFormat/>
    <w:uiPriority w:val="0"/>
    <w:pPr>
      <w:ind w:firstLine="420" w:firstLineChars="200"/>
    </w:pPr>
    <w:rPr>
      <w:rFonts w:ascii="Calibri" w:hAnsi="Calibri"/>
      <w:szCs w:val="22"/>
    </w:rPr>
  </w:style>
  <w:style w:type="paragraph" w:customStyle="1" w:styleId="8">
    <w:name w:val="p0"/>
    <w:basedOn w:val="1"/>
    <w:autoRedefine/>
    <w:qFormat/>
    <w:uiPriority w:val="0"/>
    <w:pPr>
      <w:widowControl/>
    </w:pPr>
    <w:rPr>
      <w:kern w:val="0"/>
      <w:szCs w:val="21"/>
    </w:rPr>
  </w:style>
  <w:style w:type="character" w:customStyle="1" w:styleId="9">
    <w:name w:val="页眉 Char"/>
    <w:basedOn w:val="6"/>
    <w:link w:val="4"/>
    <w:autoRedefine/>
    <w:qFormat/>
    <w:uiPriority w:val="0"/>
    <w:rPr>
      <w:kern w:val="2"/>
      <w:sz w:val="18"/>
      <w:szCs w:val="18"/>
    </w:rPr>
  </w:style>
  <w:style w:type="character" w:customStyle="1" w:styleId="10">
    <w:name w:val="页脚 Char"/>
    <w:basedOn w:val="6"/>
    <w:link w:val="3"/>
    <w:autoRedefine/>
    <w:qFormat/>
    <w:uiPriority w:val="0"/>
    <w:rPr>
      <w:kern w:val="2"/>
      <w:sz w:val="18"/>
      <w:szCs w:val="18"/>
    </w:rPr>
  </w:style>
  <w:style w:type="paragraph" w:styleId="11">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1108</Words>
  <Characters>1171</Characters>
  <Lines>21</Lines>
  <Paragraphs>6</Paragraphs>
  <TotalTime>0</TotalTime>
  <ScaleCrop>false</ScaleCrop>
  <LinksUpToDate>false</LinksUpToDate>
  <CharactersWithSpaces>1173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2021-02-19T01:35:00Z</dcterms:created>
  <dc:creator>Microsoft</dc:creator>
  <cp:lastModifiedBy>陈晶</cp:lastModifiedBy>
  <cp:lastPrinted>2018-12-30T04:41:00Z</cp:lastPrinted>
  <dcterms:modified xsi:type="dcterms:W3CDTF">2024-04-18T01:39:59Z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A66C5972B7684FC9B8FB09CC30FA5D24</vt:lpwstr>
  </property>
</Properties>
</file>