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8350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1039" w:lineRule="atLeast"/>
        <w:ind w:left="241" w:right="0" w:firstLine="1785"/>
        <w:jc w:val="both"/>
        <w:textAlignment w:val="auto"/>
      </w:pPr>
      <w:r>
        <w:t xml:space="preserve"> </w:t>
      </w:r>
      <w:r>
        <w:rPr>
          <w:rFonts w:ascii="黑体" w:hAnsi="黑体" w:eastAsia="黑体" w:cs="黑体"/>
          <w:b/>
          <w:color w:val="000000"/>
          <w:sz w:val="72"/>
        </w:rPr>
        <w:t> </w:t>
      </w:r>
    </w:p>
    <w:p w14:paraId="0A5CFEF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1039" w:lineRule="atLeast"/>
        <w:ind w:left="241" w:right="0" w:firstLine="1785"/>
        <w:jc w:val="both"/>
        <w:textAlignment w:val="auto"/>
      </w:pPr>
      <w:r>
        <w:rPr>
          <w:rFonts w:ascii="黑体" w:hAnsi="黑体" w:eastAsia="黑体" w:cs="黑体"/>
          <w:b/>
          <w:color w:val="000000"/>
          <w:sz w:val="72"/>
        </w:rPr>
        <w:t>竞争性磋商文件</w:t>
      </w:r>
    </w:p>
    <w:p w14:paraId="7D7109D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862"/>
        <w:jc w:val="both"/>
        <w:textAlignment w:val="auto"/>
      </w:pPr>
      <w:r>
        <w:rPr>
          <w:rFonts w:ascii="宋体" w:hAnsi="宋体" w:eastAsia="宋体" w:cs="宋体"/>
          <w:color w:val="000000"/>
          <w:sz w:val="36"/>
        </w:rPr>
        <w:t> </w:t>
      </w:r>
    </w:p>
    <w:p w14:paraId="6348C81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862"/>
        <w:jc w:val="both"/>
        <w:textAlignment w:val="auto"/>
      </w:pPr>
      <w:r>
        <w:rPr>
          <w:rFonts w:ascii="宋体" w:hAnsi="宋体" w:eastAsia="宋体" w:cs="宋体"/>
          <w:color w:val="000000"/>
          <w:sz w:val="36"/>
        </w:rPr>
        <w:t> </w:t>
      </w:r>
    </w:p>
    <w:p w14:paraId="7FFE23D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862"/>
        <w:jc w:val="both"/>
        <w:textAlignment w:val="auto"/>
      </w:pPr>
      <w:r>
        <w:rPr>
          <w:rFonts w:ascii="宋体" w:hAnsi="宋体" w:eastAsia="宋体" w:cs="宋体"/>
          <w:color w:val="000000"/>
          <w:sz w:val="36"/>
        </w:rPr>
        <w:t> </w:t>
      </w:r>
    </w:p>
    <w:p w14:paraId="0421BDF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760" w:lineRule="atLeast"/>
        <w:ind w:left="2525" w:right="0" w:hanging="1807"/>
        <w:jc w:val="both"/>
        <w:textAlignment w:val="auto"/>
        <w:rPr>
          <w:rFonts w:hint="eastAsia" w:eastAsia="黑体"/>
          <w:lang w:eastAsia="zh-CN"/>
        </w:rPr>
      </w:pPr>
      <w:r>
        <w:rPr>
          <w:rFonts w:ascii="黑体" w:hAnsi="黑体" w:eastAsia="黑体" w:cs="黑体"/>
          <w:b/>
          <w:color w:val="000000"/>
          <w:sz w:val="36"/>
        </w:rPr>
        <w:t>项目名称:</w:t>
      </w:r>
      <w:r>
        <w:rPr>
          <w:rFonts w:hint="eastAsia" w:ascii="黑体" w:hAnsi="黑体" w:eastAsia="黑体" w:cs="黑体"/>
          <w:b/>
          <w:color w:val="000000"/>
          <w:sz w:val="36"/>
          <w:szCs w:val="36"/>
          <w:lang w:eastAsia="zh-CN"/>
        </w:rPr>
        <w:t>天泉湖镇凡岗村道路新建及维修项目</w:t>
      </w:r>
    </w:p>
    <w:p w14:paraId="104690E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760" w:lineRule="atLeast"/>
        <w:ind w:left="0" w:right="0" w:firstLine="716"/>
        <w:jc w:val="both"/>
        <w:textAlignment w:val="auto"/>
        <w:rPr>
          <w:rFonts w:hint="eastAsia" w:eastAsia="黑体"/>
          <w:lang w:eastAsia="zh-CN"/>
        </w:rPr>
      </w:pPr>
      <w:r>
        <w:rPr>
          <w:rFonts w:ascii="黑体" w:hAnsi="黑体" w:eastAsia="黑体" w:cs="黑体"/>
          <w:b/>
          <w:color w:val="000000"/>
          <w:sz w:val="36"/>
        </w:rPr>
        <w:t>项目编号:</w:t>
      </w:r>
      <w:r>
        <w:rPr>
          <w:rFonts w:hint="eastAsia" w:ascii="黑体" w:hAnsi="黑体" w:eastAsia="黑体" w:cs="黑体"/>
          <w:b/>
          <w:color w:val="000000"/>
          <w:sz w:val="36"/>
          <w:lang w:val="en-US" w:eastAsia="zh-CN"/>
        </w:rPr>
        <w:t xml:space="preserve"> JSZC-320830-ZXHA-C2025-0004  </w:t>
      </w:r>
    </w:p>
    <w:p w14:paraId="61ECEC6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760" w:lineRule="atLeast"/>
        <w:ind w:left="0" w:right="0" w:firstLine="716"/>
        <w:jc w:val="both"/>
        <w:textAlignment w:val="auto"/>
        <w:rPr>
          <w:rFonts w:hint="default" w:eastAsia="黑体"/>
          <w:lang w:val="en-US" w:eastAsia="zh-CN"/>
        </w:rPr>
      </w:pPr>
      <w:r>
        <w:rPr>
          <w:rFonts w:ascii="黑体" w:hAnsi="黑体" w:eastAsia="黑体" w:cs="黑体"/>
          <w:b/>
          <w:color w:val="000000"/>
          <w:sz w:val="36"/>
        </w:rPr>
        <w:t>采购人：</w:t>
      </w:r>
      <w:r>
        <w:rPr>
          <w:rFonts w:hint="eastAsia" w:ascii="黑体" w:hAnsi="黑体" w:eastAsia="黑体" w:cs="黑体"/>
          <w:b/>
          <w:color w:val="000000"/>
          <w:sz w:val="36"/>
          <w:lang w:val="en-US" w:eastAsia="zh-CN"/>
        </w:rPr>
        <w:t>盱眙县天泉湖镇人民政府</w:t>
      </w:r>
    </w:p>
    <w:p w14:paraId="62BCBA3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760" w:lineRule="atLeast"/>
        <w:ind w:left="0" w:right="0" w:firstLine="716"/>
        <w:jc w:val="both"/>
        <w:textAlignment w:val="auto"/>
        <w:rPr>
          <w:rFonts w:hint="eastAsia" w:eastAsia="黑体"/>
          <w:lang w:eastAsia="zh-CN"/>
        </w:rPr>
      </w:pPr>
      <w:r>
        <w:rPr>
          <w:rFonts w:ascii="黑体" w:hAnsi="黑体" w:eastAsia="黑体" w:cs="黑体"/>
          <w:b/>
          <w:color w:val="000000"/>
          <w:sz w:val="36"/>
        </w:rPr>
        <w:t>采购代理机构：</w:t>
      </w:r>
      <w:r>
        <w:rPr>
          <w:rFonts w:hint="eastAsia" w:ascii="黑体" w:hAnsi="黑体" w:eastAsia="黑体" w:cs="黑体"/>
          <w:b/>
          <w:color w:val="000000"/>
          <w:sz w:val="36"/>
          <w:lang w:eastAsia="zh-CN"/>
        </w:rPr>
        <w:t>众鑫项目管理淮安有限公司</w:t>
      </w:r>
    </w:p>
    <w:p w14:paraId="54662F4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760" w:lineRule="atLeast"/>
        <w:ind w:left="0" w:right="0" w:firstLine="0"/>
        <w:jc w:val="both"/>
        <w:textAlignment w:val="auto"/>
      </w:pPr>
      <w:r>
        <w:rPr>
          <w:rFonts w:ascii="黑体" w:hAnsi="黑体" w:eastAsia="黑体" w:cs="黑体"/>
          <w:b/>
          <w:color w:val="000000"/>
          <w:sz w:val="36"/>
        </w:rPr>
        <w:t> </w:t>
      </w:r>
    </w:p>
    <w:p w14:paraId="4F82584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359" w:right="0" w:firstLine="360"/>
        <w:jc w:val="both"/>
        <w:textAlignment w:val="auto"/>
      </w:pPr>
      <w:r>
        <w:rPr>
          <w:rFonts w:ascii="黑体" w:hAnsi="黑体" w:eastAsia="黑体" w:cs="黑体"/>
          <w:b/>
          <w:color w:val="000000"/>
          <w:sz w:val="32"/>
        </w:rPr>
        <w:t> </w:t>
      </w:r>
    </w:p>
    <w:p w14:paraId="69AF3E6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b/>
          <w:color w:val="000000"/>
          <w:sz w:val="32"/>
        </w:rPr>
        <w:t> </w:t>
      </w:r>
    </w:p>
    <w:p w14:paraId="3186DDC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b/>
          <w:color w:val="000000"/>
          <w:sz w:val="32"/>
        </w:rPr>
        <w:t> </w:t>
      </w:r>
    </w:p>
    <w:p w14:paraId="37E7ED2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b/>
          <w:color w:val="000000"/>
          <w:sz w:val="32"/>
        </w:rPr>
        <w:t> </w:t>
      </w:r>
    </w:p>
    <w:p w14:paraId="2191AE4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692"/>
        <w:jc w:val="right"/>
        <w:textAlignment w:val="auto"/>
      </w:pPr>
      <w:r>
        <w:rPr>
          <w:rFonts w:ascii="黑体" w:hAnsi="黑体" w:eastAsia="黑体" w:cs="黑体"/>
          <w:b/>
          <w:color w:val="000000"/>
          <w:sz w:val="36"/>
        </w:rPr>
        <w:t>二0二</w:t>
      </w:r>
      <w:r>
        <w:rPr>
          <w:rFonts w:hint="eastAsia" w:ascii="黑体" w:hAnsi="黑体" w:eastAsia="黑体" w:cs="黑体"/>
          <w:b/>
          <w:color w:val="000000"/>
          <w:sz w:val="36"/>
          <w:lang w:val="en-US" w:eastAsia="zh-CN"/>
        </w:rPr>
        <w:t>五</w:t>
      </w:r>
      <w:r>
        <w:rPr>
          <w:rFonts w:ascii="黑体" w:hAnsi="黑体" w:eastAsia="黑体" w:cs="黑体"/>
          <w:b/>
          <w:color w:val="000000"/>
          <w:sz w:val="36"/>
        </w:rPr>
        <w:t>年</w:t>
      </w:r>
      <w:r>
        <w:rPr>
          <w:rFonts w:hint="eastAsia" w:ascii="黑体" w:hAnsi="黑体" w:eastAsia="黑体" w:cs="黑体"/>
          <w:b/>
          <w:color w:val="000000"/>
          <w:sz w:val="36"/>
          <w:lang w:val="en-US" w:eastAsia="zh-CN"/>
        </w:rPr>
        <w:t>五</w:t>
      </w:r>
      <w:r>
        <w:rPr>
          <w:rFonts w:ascii="黑体" w:hAnsi="黑体" w:eastAsia="黑体" w:cs="黑体"/>
          <w:b/>
          <w:color w:val="000000"/>
          <w:sz w:val="36"/>
        </w:rPr>
        <w:t>月</w:t>
      </w:r>
    </w:p>
    <w:p w14:paraId="2EBA274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pPr>
    </w:p>
    <w:p w14:paraId="2FD3F45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rPr>
          <w:rFonts w:ascii="仿宋" w:hAnsi="仿宋" w:eastAsia="仿宋" w:cs="仿宋"/>
          <w:b/>
          <w:bCs/>
          <w:color w:val="000000"/>
          <w:sz w:val="36"/>
          <w:szCs w:val="36"/>
          <w:highlight w:val="none"/>
        </w:rPr>
      </w:pPr>
    </w:p>
    <w:p w14:paraId="05121A4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rPr>
          <w:rFonts w:ascii="仿宋" w:hAnsi="仿宋" w:eastAsia="仿宋" w:cs="仿宋"/>
          <w:b/>
          <w:bCs/>
          <w:color w:val="000000"/>
          <w:sz w:val="36"/>
          <w:szCs w:val="36"/>
          <w:highlight w:val="none"/>
        </w:rPr>
      </w:pPr>
    </w:p>
    <w:p w14:paraId="4493160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rPr>
          <w:rFonts w:ascii="仿宋" w:hAnsi="仿宋" w:eastAsia="仿宋" w:cs="仿宋"/>
          <w:b/>
          <w:bCs/>
          <w:color w:val="000000"/>
          <w:sz w:val="36"/>
          <w:szCs w:val="36"/>
          <w:highlight w:val="none"/>
        </w:rPr>
      </w:pPr>
    </w:p>
    <w:p w14:paraId="3876AE5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rPr>
          <w:rFonts w:ascii="仿宋" w:hAnsi="仿宋" w:eastAsia="仿宋" w:cs="仿宋"/>
          <w:b/>
          <w:bCs/>
          <w:color w:val="000000"/>
          <w:sz w:val="36"/>
          <w:szCs w:val="36"/>
          <w:highlight w:val="none"/>
        </w:rPr>
      </w:pPr>
    </w:p>
    <w:p w14:paraId="7B7261E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rPr>
          <w:rFonts w:ascii="仿宋" w:hAnsi="仿宋" w:eastAsia="仿宋" w:cs="仿宋"/>
          <w:b/>
          <w:bCs/>
          <w:color w:val="000000"/>
          <w:sz w:val="36"/>
          <w:szCs w:val="36"/>
          <w:highlight w:val="none"/>
        </w:rPr>
      </w:pPr>
    </w:p>
    <w:p w14:paraId="389647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rPr>
          <w:rFonts w:ascii="仿宋" w:hAnsi="仿宋" w:eastAsia="仿宋" w:cs="仿宋"/>
          <w:b/>
          <w:bCs/>
          <w:color w:val="000000"/>
          <w:sz w:val="36"/>
          <w:szCs w:val="36"/>
          <w:highlight w:val="none"/>
        </w:rPr>
      </w:pPr>
    </w:p>
    <w:p w14:paraId="6559CEC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891" w:firstLineChars="800"/>
        <w:jc w:val="both"/>
        <w:textAlignment w:val="auto"/>
        <w:rPr>
          <w:rFonts w:ascii="仿宋" w:hAnsi="仿宋" w:eastAsia="仿宋" w:cs="仿宋"/>
          <w:b/>
          <w:color w:val="000000"/>
          <w:sz w:val="36"/>
        </w:rPr>
      </w:pPr>
    </w:p>
    <w:p w14:paraId="5AB01C4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891" w:firstLineChars="800"/>
        <w:jc w:val="both"/>
        <w:textAlignment w:val="auto"/>
        <w:rPr>
          <w:rFonts w:ascii="仿宋" w:hAnsi="仿宋" w:eastAsia="仿宋" w:cs="仿宋"/>
          <w:b/>
          <w:color w:val="000000"/>
          <w:sz w:val="36"/>
        </w:rPr>
      </w:pPr>
    </w:p>
    <w:p w14:paraId="0960494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891" w:firstLineChars="800"/>
        <w:jc w:val="both"/>
        <w:textAlignment w:val="auto"/>
        <w:rPr>
          <w:rFonts w:ascii="仿宋" w:hAnsi="仿宋" w:eastAsia="仿宋" w:cs="仿宋"/>
          <w:b/>
          <w:bCs/>
          <w:color w:val="000000"/>
          <w:sz w:val="36"/>
          <w:szCs w:val="36"/>
          <w:highlight w:val="none"/>
        </w:rPr>
      </w:pPr>
      <w:r>
        <w:rPr>
          <w:rFonts w:ascii="仿宋" w:hAnsi="仿宋" w:eastAsia="仿宋" w:cs="仿宋"/>
          <w:b/>
          <w:color w:val="000000"/>
          <w:sz w:val="36"/>
        </w:rPr>
        <w:t>第一章磋商邀请</w:t>
      </w:r>
    </w:p>
    <w:p w14:paraId="7CFFDF8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受</w:t>
      </w:r>
      <w:r>
        <w:rPr>
          <w:rFonts w:hint="eastAsia" w:ascii="仿宋" w:hAnsi="仿宋" w:eastAsia="仿宋" w:cs="仿宋"/>
          <w:color w:val="000000"/>
          <w:sz w:val="28"/>
          <w:lang w:eastAsia="zh-CN"/>
        </w:rPr>
        <w:t>盱眙县天泉湖镇人民政府</w:t>
      </w:r>
      <w:r>
        <w:rPr>
          <w:rFonts w:ascii="仿宋" w:hAnsi="仿宋" w:eastAsia="仿宋" w:cs="仿宋"/>
          <w:color w:val="000000"/>
          <w:sz w:val="28"/>
        </w:rPr>
        <w:t>的委托，</w:t>
      </w:r>
      <w:r>
        <w:rPr>
          <w:rFonts w:hint="eastAsia" w:ascii="仿宋" w:hAnsi="仿宋" w:eastAsia="仿宋" w:cs="仿宋"/>
          <w:color w:val="000000"/>
          <w:sz w:val="28"/>
          <w:lang w:eastAsia="zh-CN"/>
        </w:rPr>
        <w:t>众鑫项目管理淮安有限公司</w:t>
      </w:r>
      <w:r>
        <w:rPr>
          <w:rFonts w:ascii="仿宋" w:hAnsi="仿宋" w:eastAsia="仿宋" w:cs="仿宋"/>
          <w:color w:val="000000"/>
          <w:sz w:val="28"/>
        </w:rPr>
        <w:t>就</w:t>
      </w:r>
      <w:r>
        <w:rPr>
          <w:rFonts w:hint="eastAsia" w:ascii="仿宋" w:hAnsi="仿宋" w:eastAsia="仿宋" w:cs="仿宋"/>
          <w:color w:val="000000"/>
          <w:sz w:val="28"/>
          <w:lang w:eastAsia="zh-CN"/>
        </w:rPr>
        <w:t>天泉湖镇凡岗村道路新建及维修项目</w:t>
      </w:r>
      <w:r>
        <w:rPr>
          <w:rFonts w:ascii="仿宋" w:hAnsi="仿宋" w:eastAsia="仿宋" w:cs="仿宋"/>
          <w:color w:val="000000"/>
          <w:sz w:val="28"/>
        </w:rPr>
        <w:t>进行竞争性磋商采购，现邀请符合条件的供应商参加竞争性磋商。</w:t>
      </w:r>
    </w:p>
    <w:p w14:paraId="4232092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37"/>
        <w:jc w:val="both"/>
        <w:textAlignment w:val="auto"/>
      </w:pPr>
      <w:r>
        <w:rPr>
          <w:rFonts w:ascii="仿宋" w:hAnsi="仿宋" w:eastAsia="仿宋" w:cs="仿宋"/>
          <w:color w:val="000000"/>
          <w:sz w:val="28"/>
        </w:rPr>
        <w:t>项目概况:</w:t>
      </w:r>
      <w:r>
        <w:rPr>
          <w:rFonts w:hint="eastAsia" w:ascii="仿宋" w:hAnsi="仿宋" w:eastAsia="仿宋" w:cs="仿宋"/>
          <w:color w:val="000000"/>
          <w:sz w:val="28"/>
          <w:lang w:eastAsia="zh-CN"/>
        </w:rPr>
        <w:t>天泉湖镇凡岗村道路新建及维修项目</w:t>
      </w:r>
      <w:r>
        <w:rPr>
          <w:rFonts w:ascii="仿宋" w:hAnsi="仿宋" w:eastAsia="仿宋" w:cs="仿宋"/>
          <w:color w:val="000000"/>
          <w:sz w:val="28"/>
        </w:rPr>
        <w:t>项目编</w:t>
      </w:r>
      <w:r>
        <w:rPr>
          <w:rFonts w:ascii="仿宋" w:hAnsi="仿宋" w:eastAsia="仿宋" w:cs="仿宋"/>
          <w:color w:val="auto"/>
          <w:sz w:val="28"/>
        </w:rPr>
        <w:t>号</w:t>
      </w:r>
      <w:r>
        <w:rPr>
          <w:rFonts w:ascii="仿宋" w:hAnsi="仿宋" w:eastAsia="仿宋" w:cs="仿宋"/>
          <w:color w:val="000000"/>
          <w:sz w:val="28"/>
        </w:rPr>
        <w:t>：</w:t>
      </w:r>
      <w:r>
        <w:rPr>
          <w:rFonts w:hint="eastAsia" w:ascii="仿宋" w:hAnsi="仿宋" w:eastAsia="仿宋" w:cs="仿宋"/>
          <w:color w:val="000000"/>
          <w:sz w:val="28"/>
        </w:rPr>
        <w:t>JSZC-320830-ZXHA-C2025-0004</w:t>
      </w:r>
      <w:r>
        <w:rPr>
          <w:rFonts w:hint="eastAsia" w:ascii="仿宋" w:hAnsi="仿宋" w:eastAsia="仿宋" w:cs="仿宋"/>
          <w:color w:val="000000"/>
          <w:sz w:val="28"/>
          <w:lang w:val="en-US" w:eastAsia="zh-CN"/>
        </w:rPr>
        <w:t xml:space="preserve"> </w:t>
      </w:r>
      <w:r>
        <w:rPr>
          <w:rFonts w:ascii="仿宋" w:hAnsi="仿宋" w:eastAsia="仿宋" w:cs="仿宋"/>
          <w:color w:val="000000"/>
          <w:sz w:val="28"/>
        </w:rPr>
        <w:t>的潜在投标人应在江苏省政府采购网或淮安市政府采购网获取磋商文件，并于202</w:t>
      </w:r>
      <w:r>
        <w:rPr>
          <w:rFonts w:hint="eastAsia" w:ascii="仿宋" w:hAnsi="仿宋" w:eastAsia="仿宋" w:cs="仿宋"/>
          <w:color w:val="000000"/>
          <w:sz w:val="28"/>
          <w:lang w:val="en-US" w:eastAsia="zh-CN"/>
        </w:rPr>
        <w:t>5</w:t>
      </w:r>
      <w:r>
        <w:rPr>
          <w:rFonts w:ascii="仿宋" w:hAnsi="仿宋" w:eastAsia="仿宋" w:cs="仿宋"/>
          <w:color w:val="000000"/>
          <w:sz w:val="28"/>
        </w:rPr>
        <w:t>-</w:t>
      </w:r>
      <w:r>
        <w:rPr>
          <w:rFonts w:hint="eastAsia" w:ascii="仿宋" w:hAnsi="仿宋" w:eastAsia="仿宋" w:cs="仿宋"/>
          <w:color w:val="000000"/>
          <w:sz w:val="28"/>
          <w:lang w:val="en-US" w:eastAsia="zh-CN"/>
        </w:rPr>
        <w:t>6</w:t>
      </w:r>
      <w:r>
        <w:rPr>
          <w:rFonts w:ascii="仿宋" w:hAnsi="仿宋" w:eastAsia="仿宋" w:cs="仿宋"/>
          <w:color w:val="000000"/>
          <w:sz w:val="28"/>
        </w:rPr>
        <w:t>-</w:t>
      </w:r>
      <w:r>
        <w:rPr>
          <w:rFonts w:hint="eastAsia" w:ascii="仿宋" w:hAnsi="仿宋" w:eastAsia="仿宋" w:cs="仿宋"/>
          <w:color w:val="000000"/>
          <w:sz w:val="28"/>
          <w:lang w:val="en-US" w:eastAsia="zh-CN"/>
        </w:rPr>
        <w:t>3</w:t>
      </w:r>
      <w:r>
        <w:rPr>
          <w:rFonts w:ascii="仿宋" w:hAnsi="仿宋" w:eastAsia="仿宋" w:cs="仿宋"/>
          <w:color w:val="000000"/>
          <w:sz w:val="28"/>
        </w:rPr>
        <w:t>上午09:00（北京时间）前递交投标文件。</w:t>
      </w:r>
    </w:p>
    <w:p w14:paraId="1802D99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一、项目基本情况</w:t>
      </w:r>
    </w:p>
    <w:p w14:paraId="64B7FD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ascii="仿宋" w:hAnsi="仿宋" w:eastAsia="仿宋" w:cs="仿宋"/>
          <w:color w:val="000000"/>
          <w:sz w:val="28"/>
          <w:lang w:val="en-US" w:eastAsia="zh-CN"/>
        </w:rPr>
      </w:pPr>
      <w:r>
        <w:rPr>
          <w:rFonts w:ascii="仿宋" w:hAnsi="仿宋" w:eastAsia="仿宋" w:cs="仿宋"/>
          <w:color w:val="000000"/>
          <w:sz w:val="28"/>
        </w:rPr>
        <w:t>（一）项目编号:</w:t>
      </w:r>
      <w:r>
        <w:rPr>
          <w:rFonts w:hint="eastAsia" w:ascii="仿宋" w:hAnsi="仿宋" w:eastAsia="仿宋" w:cs="仿宋"/>
          <w:color w:val="000000"/>
          <w:sz w:val="28"/>
          <w:lang w:eastAsia="zh-CN"/>
        </w:rPr>
        <w:t>JSZC-320830-ZXHA-C2025-0004</w:t>
      </w:r>
      <w:r>
        <w:rPr>
          <w:rFonts w:hint="eastAsia" w:ascii="仿宋" w:hAnsi="仿宋" w:eastAsia="仿宋" w:cs="仿宋"/>
          <w:color w:val="000000"/>
          <w:sz w:val="28"/>
          <w:lang w:val="en-US" w:eastAsia="zh-CN"/>
        </w:rPr>
        <w:t xml:space="preserve">   </w:t>
      </w:r>
    </w:p>
    <w:p w14:paraId="3971D8D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eastAsia="仿宋"/>
          <w:lang w:eastAsia="zh-CN"/>
        </w:rPr>
      </w:pPr>
      <w:r>
        <w:rPr>
          <w:rFonts w:ascii="仿宋" w:hAnsi="仿宋" w:eastAsia="仿宋" w:cs="仿宋"/>
          <w:color w:val="000000"/>
          <w:sz w:val="28"/>
        </w:rPr>
        <w:t>（二）项目名称:</w:t>
      </w:r>
      <w:r>
        <w:rPr>
          <w:rFonts w:hint="eastAsia" w:ascii="仿宋" w:hAnsi="仿宋" w:eastAsia="仿宋" w:cs="仿宋"/>
          <w:color w:val="000000"/>
          <w:sz w:val="28"/>
          <w:lang w:eastAsia="zh-CN"/>
        </w:rPr>
        <w:t>天泉湖镇凡岗村道路新建及维修项目</w:t>
      </w:r>
    </w:p>
    <w:p w14:paraId="053E1EF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（三）采购方式:竞争性磋商</w:t>
      </w:r>
    </w:p>
    <w:p w14:paraId="148B256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（四）预算金额:</w:t>
      </w:r>
      <w:r>
        <w:rPr>
          <w:rFonts w:hint="eastAsia" w:ascii="仿宋" w:hAnsi="仿宋" w:eastAsia="仿宋" w:cs="仿宋"/>
          <w:color w:val="000000"/>
          <w:sz w:val="28"/>
          <w:lang w:val="en-US" w:eastAsia="zh-CN"/>
        </w:rPr>
        <w:t xml:space="preserve"> 398</w:t>
      </w:r>
      <w:r>
        <w:rPr>
          <w:rFonts w:ascii="仿宋" w:hAnsi="仿宋" w:eastAsia="仿宋" w:cs="仿宋"/>
          <w:color w:val="000000"/>
          <w:sz w:val="28"/>
        </w:rPr>
        <w:t>万元</w:t>
      </w:r>
    </w:p>
    <w:p w14:paraId="352DD1E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（五）最高限价:</w:t>
      </w:r>
      <w:r>
        <w:rPr>
          <w:rFonts w:hint="eastAsia" w:ascii="仿宋" w:hAnsi="仿宋" w:eastAsia="仿宋" w:cs="仿宋"/>
          <w:color w:val="000000"/>
          <w:sz w:val="28"/>
          <w:lang w:val="en-US" w:eastAsia="zh-CN"/>
        </w:rPr>
        <w:t>398</w:t>
      </w:r>
      <w:r>
        <w:rPr>
          <w:rFonts w:ascii="仿宋" w:hAnsi="仿宋" w:eastAsia="仿宋" w:cs="仿宋"/>
          <w:color w:val="000000"/>
          <w:sz w:val="28"/>
        </w:rPr>
        <w:t>万元（报价高于限价的，视为重大偏差，作废标处理。）</w:t>
      </w:r>
    </w:p>
    <w:p w14:paraId="666A563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（六）采购需求:</w:t>
      </w:r>
      <w:r>
        <w:rPr>
          <w:rFonts w:hint="eastAsia" w:ascii="仿宋" w:hAnsi="仿宋" w:eastAsia="仿宋" w:cs="仿宋"/>
          <w:color w:val="000000"/>
          <w:sz w:val="28"/>
          <w:lang w:eastAsia="zh-CN"/>
        </w:rPr>
        <w:t>天泉湖镇凡岗村道路新建及维修项目</w:t>
      </w:r>
      <w:r>
        <w:rPr>
          <w:rFonts w:ascii="仿宋" w:hAnsi="仿宋" w:eastAsia="仿宋" w:cs="仿宋"/>
          <w:color w:val="000000"/>
          <w:sz w:val="28"/>
        </w:rPr>
        <w:t>，</w:t>
      </w:r>
      <w:r>
        <w:rPr>
          <w:rFonts w:hint="eastAsia" w:ascii="仿宋" w:hAnsi="仿宋" w:eastAsia="仿宋" w:cs="仿宋"/>
          <w:color w:val="000000"/>
          <w:sz w:val="28"/>
          <w:lang w:eastAsia="zh-CN"/>
        </w:rPr>
        <w:t>（</w:t>
      </w:r>
      <w:r>
        <w:rPr>
          <w:rFonts w:ascii="仿宋" w:hAnsi="仿宋" w:eastAsia="仿宋" w:cs="仿宋"/>
          <w:color w:val="000000"/>
          <w:sz w:val="28"/>
        </w:rPr>
        <w:t>详见本磋商文件采购需求</w:t>
      </w:r>
      <w:r>
        <w:rPr>
          <w:rFonts w:hint="eastAsia" w:ascii="仿宋" w:hAnsi="仿宋" w:eastAsia="仿宋" w:cs="仿宋"/>
          <w:color w:val="000000"/>
          <w:sz w:val="28"/>
          <w:lang w:eastAsia="zh-CN"/>
        </w:rPr>
        <w:t>）</w:t>
      </w:r>
      <w:r>
        <w:rPr>
          <w:rFonts w:ascii="仿宋" w:hAnsi="仿宋" w:eastAsia="仿宋" w:cs="仿宋"/>
          <w:color w:val="000000"/>
          <w:sz w:val="28"/>
        </w:rPr>
        <w:t>；</w:t>
      </w:r>
    </w:p>
    <w:p w14:paraId="3815147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（七）合同履行期限:</w:t>
      </w:r>
      <w:r>
        <w:rPr>
          <w:rFonts w:hint="eastAsia" w:ascii="宋体" w:hAnsi="Arial" w:eastAsia="宋体" w:cs="Times New Roman"/>
          <w:b w:val="0"/>
          <w:bCs w:val="0"/>
          <w:color w:val="auto"/>
          <w:kern w:val="2"/>
          <w:sz w:val="24"/>
          <w:szCs w:val="24"/>
          <w:lang w:val="en-US" w:eastAsia="zh-CN" w:bidi="ar-SA"/>
        </w:rPr>
        <w:t xml:space="preserve"> 合同签订后60日历天通过验收 </w:t>
      </w:r>
      <w:r>
        <w:rPr>
          <w:rFonts w:ascii="仿宋" w:hAnsi="仿宋" w:eastAsia="仿宋" w:cs="仿宋"/>
          <w:b w:val="0"/>
          <w:bCs w:val="0"/>
          <w:color w:val="auto"/>
          <w:sz w:val="28"/>
        </w:rPr>
        <w:t>。</w:t>
      </w:r>
    </w:p>
    <w:p w14:paraId="7A352DB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（八）本项目不接受联合体竞争性磋商。</w:t>
      </w:r>
    </w:p>
    <w:p w14:paraId="39DE53C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ascii="仿宋" w:hAnsi="仿宋" w:eastAsia="仿宋" w:cs="仿宋"/>
          <w:color w:val="000000"/>
          <w:sz w:val="28"/>
        </w:rPr>
      </w:pPr>
      <w:r>
        <w:rPr>
          <w:rFonts w:ascii="仿宋" w:hAnsi="仿宋" w:eastAsia="仿宋" w:cs="仿宋"/>
          <w:color w:val="000000"/>
          <w:sz w:val="28"/>
        </w:rPr>
        <w:t>（九）</w:t>
      </w:r>
      <w:r>
        <w:rPr>
          <w:rFonts w:hint="eastAsia" w:ascii="仿宋" w:hAnsi="仿宋" w:eastAsia="仿宋" w:cs="仿宋"/>
          <w:color w:val="000000"/>
          <w:sz w:val="28"/>
        </w:rPr>
        <w:t>质量要求：所提供的产品必须符合国家相关质量合格标准、国家强制标准及验收合格标准。</w:t>
      </w:r>
    </w:p>
    <w:p w14:paraId="79CEE9F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ascii="仿宋" w:hAnsi="仿宋" w:eastAsia="仿宋" w:cs="仿宋"/>
          <w:color w:val="000000"/>
          <w:sz w:val="28"/>
        </w:rPr>
      </w:pPr>
      <w:r>
        <w:rPr>
          <w:rFonts w:hint="eastAsia" w:ascii="仿宋" w:hAnsi="仿宋" w:eastAsia="仿宋" w:cs="仿宋"/>
          <w:color w:val="000000"/>
          <w:sz w:val="28"/>
        </w:rPr>
        <w:t>（</w:t>
      </w:r>
      <w:r>
        <w:rPr>
          <w:rFonts w:hint="eastAsia" w:ascii="仿宋" w:hAnsi="仿宋" w:eastAsia="仿宋" w:cs="仿宋"/>
          <w:color w:val="000000"/>
          <w:sz w:val="28"/>
          <w:lang w:val="en-US" w:eastAsia="zh-CN"/>
        </w:rPr>
        <w:t>十</w:t>
      </w:r>
      <w:r>
        <w:rPr>
          <w:rFonts w:hint="eastAsia" w:ascii="仿宋" w:hAnsi="仿宋" w:eastAsia="仿宋" w:cs="仿宋"/>
          <w:color w:val="000000"/>
          <w:sz w:val="28"/>
        </w:rPr>
        <w:t>）服务地点：采购人指定地点</w:t>
      </w:r>
    </w:p>
    <w:p w14:paraId="7712D92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ascii="仿宋" w:hAnsi="仿宋" w:eastAsia="仿宋" w:cs="仿宋"/>
          <w:color w:val="000000"/>
          <w:sz w:val="28"/>
        </w:rPr>
      </w:pP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十一</w:t>
      </w:r>
      <w:r>
        <w:rPr>
          <w:rFonts w:hint="eastAsia" w:ascii="仿宋" w:hAnsi="仿宋" w:eastAsia="仿宋" w:cs="仿宋"/>
          <w:color w:val="000000"/>
          <w:sz w:val="28"/>
          <w:lang w:eastAsia="zh-CN"/>
        </w:rPr>
        <w:t>）</w:t>
      </w:r>
      <w:r>
        <w:rPr>
          <w:rFonts w:hint="eastAsia" w:ascii="仿宋" w:hAnsi="仿宋" w:eastAsia="仿宋" w:cs="仿宋"/>
          <w:color w:val="000000"/>
          <w:sz w:val="28"/>
        </w:rPr>
        <w:t>本项目采购标的对应的中小企业划分标准所属行业为</w:t>
      </w:r>
      <w:r>
        <w:rPr>
          <w:rFonts w:hint="eastAsia" w:ascii="仿宋" w:hAnsi="仿宋" w:eastAsia="仿宋" w:cs="仿宋"/>
          <w:color w:val="000000"/>
          <w:sz w:val="28"/>
          <w:u w:val="single"/>
        </w:rPr>
        <w:t>建筑业</w:t>
      </w:r>
      <w:r>
        <w:rPr>
          <w:rFonts w:hint="eastAsia" w:ascii="仿宋" w:hAnsi="仿宋" w:eastAsia="仿宋" w:cs="仿宋"/>
          <w:color w:val="000000"/>
          <w:sz w:val="28"/>
        </w:rPr>
        <w:t>。</w:t>
      </w:r>
    </w:p>
    <w:p w14:paraId="549A970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right="0" w:firstLine="560" w:firstLineChars="200"/>
        <w:jc w:val="both"/>
        <w:textAlignment w:val="auto"/>
        <w:rPr>
          <w:rFonts w:hint="eastAsia" w:ascii="仿宋" w:hAnsi="仿宋" w:eastAsia="仿宋" w:cs="仿宋"/>
          <w:color w:val="000000"/>
          <w:sz w:val="28"/>
        </w:rPr>
      </w:pP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十二</w:t>
      </w:r>
      <w:r>
        <w:rPr>
          <w:rFonts w:hint="eastAsia" w:ascii="仿宋" w:hAnsi="仿宋" w:eastAsia="仿宋" w:cs="仿宋"/>
          <w:color w:val="000000"/>
          <w:sz w:val="28"/>
          <w:lang w:eastAsia="zh-CN"/>
        </w:rPr>
        <w:t>）</w:t>
      </w:r>
      <w:r>
        <w:rPr>
          <w:rFonts w:hint="eastAsia" w:ascii="仿宋" w:hAnsi="仿宋" w:eastAsia="仿宋" w:cs="仿宋"/>
          <w:color w:val="000000"/>
          <w:sz w:val="28"/>
        </w:rPr>
        <w:t>本项目不接受联合体投标。</w:t>
      </w:r>
    </w:p>
    <w:p w14:paraId="65B674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二、申请人的资格要求:</w:t>
      </w:r>
    </w:p>
    <w:p w14:paraId="512BD25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（一）符合《中华人民共和国政府采购法》第二十二条规定；</w:t>
      </w:r>
    </w:p>
    <w:p w14:paraId="70B96AB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1.供应商可任选以下其中1项提供材料，2选1（扫描件上传至电子标书）：</w:t>
      </w:r>
    </w:p>
    <w:p w14:paraId="4B9FE6A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（1）法定代表人资格证明（格式按照示范格式一要求）和法定代表人身份证</w:t>
      </w:r>
    </w:p>
    <w:p w14:paraId="0D7A02A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（2）授权委托书（格式按照示范格式二要求）和受托人身份证</w:t>
      </w:r>
    </w:p>
    <w:p w14:paraId="489622E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2.有效的营业执照（扫描件上传至电子标书）</w:t>
      </w:r>
    </w:p>
    <w:p w14:paraId="52411B6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3.符合《政府采购法》第二十二条规定条件的声明函（具备履行合同所必需的设备和专业技术能力、财务状况、缴纳税收和社会保障资金等证明材料（格式按照示范格式三要求，扫描件上传至电子标书）</w:t>
      </w:r>
    </w:p>
    <w:p w14:paraId="21E2644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4.</w:t>
      </w:r>
      <w:r>
        <w:rPr>
          <w:rFonts w:hint="eastAsia" w:ascii="仿宋" w:hAnsi="仿宋" w:eastAsia="仿宋" w:cs="仿宋"/>
          <w:color w:val="000000"/>
          <w:sz w:val="28"/>
        </w:rPr>
        <w:t>中小</w:t>
      </w:r>
      <w:r>
        <w:rPr>
          <w:rFonts w:ascii="仿宋" w:hAnsi="仿宋" w:eastAsia="仿宋" w:cs="仿宋"/>
          <w:color w:val="000000"/>
          <w:sz w:val="28"/>
        </w:rPr>
        <w:t>企业声明函（格式按照示范格式四要求，扫描件上传至电子标书）</w:t>
      </w:r>
    </w:p>
    <w:p w14:paraId="3045472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5.残疾人福利性单位声明函（格式按照示范格式五要求，扫描件上传至电子标书）</w:t>
      </w:r>
    </w:p>
    <w:p w14:paraId="72453C9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6.供应商未被“信用中国”网（https：//www.creditchina.gov.cn/）列入失信被执行人、重大税收违法案件当事人名单、政府采购严重违法失信行为记录名单。供应商未被“中国政府采购网”（http：//www.ccgp.gov.cn/）列入政府采购严重违法失信行为记录名单（由采购人在资格审查时查询，一旦被查询存在上述失信行为记录名单的，将视为资格审查不通过）</w:t>
      </w:r>
    </w:p>
    <w:p w14:paraId="21CB1CF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（二）落实政府采购政策需满足的资格要求:</w:t>
      </w:r>
    </w:p>
    <w:p w14:paraId="6714B62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本项目按照以下第</w:t>
      </w:r>
      <w:r>
        <w:rPr>
          <w:rFonts w:hint="eastAsia" w:ascii="仿宋" w:hAnsi="仿宋" w:eastAsia="仿宋" w:cs="仿宋"/>
          <w:color w:val="000000"/>
          <w:sz w:val="28"/>
          <w:u w:val="single"/>
          <w:lang w:val="en-US" w:eastAsia="zh-CN"/>
        </w:rPr>
        <w:t>1</w:t>
      </w:r>
      <w:r>
        <w:rPr>
          <w:rFonts w:ascii="仿宋" w:hAnsi="仿宋" w:eastAsia="仿宋" w:cs="仿宋"/>
          <w:color w:val="000000"/>
          <w:sz w:val="28"/>
        </w:rPr>
        <w:t>种方式落实政府采购促进中小企业发展的要求：</w:t>
      </w:r>
    </w:p>
    <w:p w14:paraId="7BB5AF6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w:t>
      </w:r>
      <w:r>
        <w:rPr>
          <w:rFonts w:hint="eastAsia" w:ascii="仿宋" w:hAnsi="仿宋" w:eastAsia="仿宋" w:cs="仿宋"/>
          <w:color w:val="000000"/>
          <w:sz w:val="28"/>
        </w:rPr>
        <w:t>本项目为专门面向中小企业采购的项目,供应商必须为中小微企业，不接受非中小型企业参与本项目投标</w:t>
      </w:r>
      <w:r>
        <w:rPr>
          <w:rFonts w:ascii="仿宋" w:hAnsi="仿宋" w:eastAsia="仿宋" w:cs="仿宋"/>
          <w:color w:val="000000"/>
          <w:sz w:val="28"/>
        </w:rPr>
        <w:t>。</w:t>
      </w:r>
    </w:p>
    <w:p w14:paraId="7B8F3A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2、本项目通过以下第（）种方式预留部分采购份额采购中小企业服务：</w:t>
      </w:r>
    </w:p>
    <w:p w14:paraId="7707D86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（1）本项目要求供应商以联合体形式参加，中小企业合同金额应当达到的比例为%，其中小微企业所占比例应为%（两项比例均应符合《政府采购促进中小企业发展管理办法》第八条规定）。</w:t>
      </w:r>
    </w:p>
    <w:p w14:paraId="3B9C8B9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（2）本项目要求供应商进行合同分包，中小企业合同金额应当达到的比例为%，其中小微企业所占比例应为%（两项比例均应符合《政府采购促进中小企业发展管理办法》第八条规定）。</w:t>
      </w:r>
    </w:p>
    <w:p w14:paraId="7C4C8E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3、本项目为非预留份额的采购项目，对小微企业报价给予扣除，用扣除后的价格参加评审，具体详见第二章“供应商须知”第36.1项。</w:t>
      </w:r>
    </w:p>
    <w:p w14:paraId="6C610DA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注:监狱企业、残疾人福利性单位视同小微企业；符合中小企业划分标准的个体工商户，在政府采购活动中视同中小企业，享受政府采购支持中小企业发展政策。</w:t>
      </w:r>
    </w:p>
    <w:p w14:paraId="4C55903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（三）本项目的特定资格要求:</w:t>
      </w:r>
    </w:p>
    <w:p w14:paraId="2463F80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1.投标人须具备国家建设行政主管部门颁发的市政公用工程施工总承包叁级（含）及以上资质，并具有安全生产条件，取得安全生产许可证；</w:t>
      </w:r>
    </w:p>
    <w:p w14:paraId="1957983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 xml:space="preserve">2.项目负责人具备市政工程专业二级（含）以上注册建造师，并具有安全生产考核合格证（B类），且必须满足下列条件： </w:t>
      </w:r>
    </w:p>
    <w:p w14:paraId="40BE4AD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 xml:space="preserve">（1）项目负责人不得同时在两个或者两个以上单位受聘或者执业：①不得同时在两个及以上单位签订劳动合同或交纳社会保险；②不得将本人执（职）业资格证书同时注册在两个及以上单位。 </w:t>
      </w:r>
    </w:p>
    <w:p w14:paraId="51B0CF4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 xml:space="preserve">（2）项目负责人是非变更后无在建工程，或项目负责人是变更后无在建工程，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 </w:t>
      </w:r>
    </w:p>
    <w:p w14:paraId="7C9328A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 xml:space="preserve">（3）项目负责人无行贿犯罪行为记录；或有行贿犯罪行为记录，但自记录之日起已超过5年的。 </w:t>
      </w:r>
    </w:p>
    <w:p w14:paraId="65E3384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注：在建工程认定依据《关于改革和完善房屋建筑和市政基础设施工程招标投标制度的实施 意见》苏建规字〔2017〕1号执行。</w:t>
      </w:r>
    </w:p>
    <w:p w14:paraId="6CF9C82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3.投标人及拟派项目负责人应具备其他要求：</w:t>
      </w:r>
    </w:p>
    <w:p w14:paraId="5C68C88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①近两年内，企业和拟派项目负责人没有因串通投标、弄虚作假、以他人名义投标、骗取中标、转包、违法分包等违法行为受到建设等有关部门行政处罚的；（提供承诺书，格式自拟）</w:t>
      </w:r>
    </w:p>
    <w:p w14:paraId="0A83D4D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hint="eastAsia" w:ascii="仿宋" w:hAnsi="仿宋" w:eastAsia="仿宋" w:cs="仿宋"/>
          <w:color w:val="000000"/>
          <w:sz w:val="28"/>
        </w:rPr>
      </w:pPr>
      <w:r>
        <w:rPr>
          <w:rFonts w:hint="eastAsia" w:ascii="仿宋" w:hAnsi="仿宋" w:eastAsia="仿宋" w:cs="仿宋"/>
          <w:color w:val="000000"/>
          <w:sz w:val="28"/>
        </w:rPr>
        <w:t>②项目负责人与投标单位签署的劳动合同、养老保险（2024年</w:t>
      </w:r>
      <w:r>
        <w:rPr>
          <w:rFonts w:hint="eastAsia" w:ascii="仿宋" w:hAnsi="仿宋" w:eastAsia="仿宋" w:cs="仿宋"/>
          <w:color w:val="000000"/>
          <w:sz w:val="28"/>
          <w:lang w:val="en-US" w:eastAsia="zh-CN"/>
        </w:rPr>
        <w:t>12</w:t>
      </w:r>
      <w:r>
        <w:rPr>
          <w:rFonts w:hint="eastAsia" w:ascii="仿宋" w:hAnsi="仿宋" w:eastAsia="仿宋" w:cs="仿宋"/>
          <w:color w:val="000000"/>
          <w:sz w:val="28"/>
        </w:rPr>
        <w:t>月以来任意1个月社保交费证明）。</w:t>
      </w:r>
    </w:p>
    <w:p w14:paraId="286AFFE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（四）拒绝下述条件的供应商参加本次采购活动:</w:t>
      </w:r>
    </w:p>
    <w:p w14:paraId="78EB1A9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1、供应商单位负责人为同一人或者存在直接控股、管理关系的不同供应商，不得同时参加同一合同项下的政府采购活动。</w:t>
      </w:r>
    </w:p>
    <w:p w14:paraId="5312F8E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2、凡为采购项目提供整体设计、规范编制或者项目管理、监理、检测等服务的供应商，不得再参加本项目的采购活动。</w:t>
      </w:r>
    </w:p>
    <w:p w14:paraId="2E9BF56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ascii="仿宋" w:hAnsi="仿宋" w:eastAsia="仿宋" w:cs="仿宋"/>
          <w:color w:val="000000"/>
          <w:sz w:val="28"/>
        </w:rPr>
      </w:pPr>
      <w:r>
        <w:rPr>
          <w:rFonts w:ascii="仿宋" w:hAnsi="仿宋" w:eastAsia="仿宋" w:cs="仿宋"/>
          <w:color w:val="000000"/>
          <w:sz w:val="28"/>
        </w:rPr>
        <w:t>3、供应商被“信用中国”网站、“中国政府采购网”列入失信被执行人、重大税收违法案件当事人名单、政府采购严重违法失信行为记录名单。</w:t>
      </w:r>
    </w:p>
    <w:p w14:paraId="0AC59EEF">
      <w:pPr>
        <w:pStyle w:val="5"/>
        <w:pageBreakBefore w:val="0"/>
        <w:kinsoku/>
        <w:wordWrap w:val="0"/>
        <w:overflowPunct/>
        <w:topLinePunct w:val="0"/>
        <w:bidi w:val="0"/>
        <w:snapToGrid/>
        <w:ind w:firstLine="560" w:firstLineChars="200"/>
        <w:textAlignment w:val="auto"/>
        <w:rPr>
          <w:rFonts w:ascii="仿宋" w:hAnsi="仿宋" w:eastAsia="仿宋" w:cs="仿宋"/>
          <w:color w:val="000000"/>
          <w:sz w:val="28"/>
          <w:szCs w:val="22"/>
        </w:rPr>
      </w:pPr>
      <w:r>
        <w:rPr>
          <w:rFonts w:hint="eastAsia" w:ascii="仿宋" w:hAnsi="仿宋" w:eastAsia="仿宋" w:cs="仿宋"/>
          <w:color w:val="000000"/>
          <w:sz w:val="28"/>
          <w:szCs w:val="22"/>
        </w:rPr>
        <w:t>注：由采购单位（采购代理单位）组织评审小组在资格审查时查询，一旦被查询存在上述失信行为记录名单的，将视为资格审查不通过。</w:t>
      </w:r>
    </w:p>
    <w:p w14:paraId="62792C9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三、获取磋商文件</w:t>
      </w:r>
    </w:p>
    <w:p w14:paraId="0152CD2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1、时间:</w:t>
      </w:r>
      <w:r>
        <w:rPr>
          <w:rFonts w:ascii="仿宋" w:hAnsi="仿宋" w:eastAsia="仿宋" w:cs="仿宋"/>
          <w:color w:val="000000" w:themeColor="text1"/>
          <w:sz w:val="28"/>
          <w14:textFill>
            <w14:solidFill>
              <w14:schemeClr w14:val="tx1"/>
            </w14:solidFill>
          </w14:textFill>
        </w:rPr>
        <w:t>202</w:t>
      </w:r>
      <w:r>
        <w:rPr>
          <w:rFonts w:hint="eastAsia" w:ascii="仿宋" w:hAnsi="仿宋" w:eastAsia="仿宋" w:cs="仿宋"/>
          <w:color w:val="000000" w:themeColor="text1"/>
          <w:sz w:val="28"/>
          <w:lang w:val="en-US" w:eastAsia="zh-CN"/>
          <w14:textFill>
            <w14:solidFill>
              <w14:schemeClr w14:val="tx1"/>
            </w14:solidFill>
          </w14:textFill>
        </w:rPr>
        <w:t>5</w:t>
      </w:r>
      <w:r>
        <w:rPr>
          <w:rFonts w:ascii="仿宋" w:hAnsi="仿宋" w:eastAsia="仿宋" w:cs="仿宋"/>
          <w:color w:val="000000" w:themeColor="text1"/>
          <w:sz w:val="28"/>
          <w14:textFill>
            <w14:solidFill>
              <w14:schemeClr w14:val="tx1"/>
            </w14:solidFill>
          </w14:textFill>
        </w:rPr>
        <w:t>年</w:t>
      </w:r>
      <w:r>
        <w:rPr>
          <w:rFonts w:hint="eastAsia" w:ascii="仿宋" w:hAnsi="仿宋" w:eastAsia="仿宋" w:cs="仿宋"/>
          <w:color w:val="000000" w:themeColor="text1"/>
          <w:sz w:val="28"/>
          <w:lang w:val="en-US" w:eastAsia="zh-CN"/>
          <w14:textFill>
            <w14:solidFill>
              <w14:schemeClr w14:val="tx1"/>
            </w14:solidFill>
          </w14:textFill>
        </w:rPr>
        <w:t>5</w:t>
      </w:r>
      <w:r>
        <w:rPr>
          <w:rFonts w:ascii="仿宋" w:hAnsi="仿宋" w:eastAsia="仿宋" w:cs="仿宋"/>
          <w:color w:val="000000" w:themeColor="text1"/>
          <w:sz w:val="28"/>
          <w14:textFill>
            <w14:solidFill>
              <w14:schemeClr w14:val="tx1"/>
            </w14:solidFill>
          </w14:textFill>
        </w:rPr>
        <w:t>月</w:t>
      </w:r>
      <w:r>
        <w:rPr>
          <w:rFonts w:hint="eastAsia" w:ascii="仿宋" w:hAnsi="仿宋" w:eastAsia="仿宋" w:cs="仿宋"/>
          <w:color w:val="000000" w:themeColor="text1"/>
          <w:sz w:val="28"/>
          <w:lang w:val="en-US" w:eastAsia="zh-CN"/>
          <w14:textFill>
            <w14:solidFill>
              <w14:schemeClr w14:val="tx1"/>
            </w14:solidFill>
          </w14:textFill>
        </w:rPr>
        <w:t>20</w:t>
      </w:r>
      <w:r>
        <w:rPr>
          <w:rFonts w:ascii="仿宋" w:hAnsi="仿宋" w:eastAsia="仿宋" w:cs="仿宋"/>
          <w:color w:val="000000" w:themeColor="text1"/>
          <w:sz w:val="28"/>
          <w14:textFill>
            <w14:solidFill>
              <w14:schemeClr w14:val="tx1"/>
            </w14:solidFill>
          </w14:textFill>
        </w:rPr>
        <w:t>日至202</w:t>
      </w:r>
      <w:r>
        <w:rPr>
          <w:rFonts w:hint="eastAsia" w:ascii="仿宋" w:hAnsi="仿宋" w:eastAsia="仿宋" w:cs="仿宋"/>
          <w:color w:val="000000" w:themeColor="text1"/>
          <w:sz w:val="28"/>
          <w:lang w:val="en-US" w:eastAsia="zh-CN"/>
          <w14:textFill>
            <w14:solidFill>
              <w14:schemeClr w14:val="tx1"/>
            </w14:solidFill>
          </w14:textFill>
        </w:rPr>
        <w:t>5</w:t>
      </w:r>
      <w:r>
        <w:rPr>
          <w:rFonts w:ascii="仿宋" w:hAnsi="仿宋" w:eastAsia="仿宋" w:cs="仿宋"/>
          <w:color w:val="000000" w:themeColor="text1"/>
          <w:sz w:val="28"/>
          <w14:textFill>
            <w14:solidFill>
              <w14:schemeClr w14:val="tx1"/>
            </w14:solidFill>
          </w14:textFill>
        </w:rPr>
        <w:t>年</w:t>
      </w:r>
      <w:r>
        <w:rPr>
          <w:rFonts w:hint="eastAsia" w:ascii="仿宋" w:hAnsi="仿宋" w:eastAsia="仿宋" w:cs="仿宋"/>
          <w:color w:val="000000" w:themeColor="text1"/>
          <w:sz w:val="28"/>
          <w:lang w:val="en-US" w:eastAsia="zh-CN"/>
          <w14:textFill>
            <w14:solidFill>
              <w14:schemeClr w14:val="tx1"/>
            </w14:solidFill>
          </w14:textFill>
        </w:rPr>
        <w:t>5</w:t>
      </w:r>
      <w:r>
        <w:rPr>
          <w:rFonts w:ascii="仿宋" w:hAnsi="仿宋" w:eastAsia="仿宋" w:cs="仿宋"/>
          <w:color w:val="000000" w:themeColor="text1"/>
          <w:sz w:val="28"/>
          <w14:textFill>
            <w14:solidFill>
              <w14:schemeClr w14:val="tx1"/>
            </w14:solidFill>
          </w14:textFill>
        </w:rPr>
        <w:t>月</w:t>
      </w:r>
      <w:r>
        <w:rPr>
          <w:rFonts w:hint="eastAsia" w:ascii="仿宋" w:hAnsi="仿宋" w:eastAsia="仿宋" w:cs="仿宋"/>
          <w:color w:val="000000" w:themeColor="text1"/>
          <w:sz w:val="28"/>
          <w:lang w:val="en-US" w:eastAsia="zh-CN"/>
          <w14:textFill>
            <w14:solidFill>
              <w14:schemeClr w14:val="tx1"/>
            </w14:solidFill>
          </w14:textFill>
        </w:rPr>
        <w:t>27</w:t>
      </w:r>
      <w:r>
        <w:rPr>
          <w:rFonts w:ascii="仿宋" w:hAnsi="仿宋" w:eastAsia="仿宋" w:cs="仿宋"/>
          <w:color w:val="000000" w:themeColor="text1"/>
          <w:sz w:val="28"/>
          <w14:textFill>
            <w14:solidFill>
              <w14:schemeClr w14:val="tx1"/>
            </w14:solidFill>
          </w14:textFill>
        </w:rPr>
        <w:t>日，每天上午00:00-12:00，下午12:00-23:59</w:t>
      </w:r>
      <w:r>
        <w:rPr>
          <w:rFonts w:ascii="仿宋" w:hAnsi="仿宋" w:eastAsia="仿宋" w:cs="仿宋"/>
          <w:color w:val="000000"/>
          <w:sz w:val="28"/>
        </w:rPr>
        <w:t>（北京时间，法定节假日除外）。</w:t>
      </w:r>
    </w:p>
    <w:p w14:paraId="6B8DC66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2、地点：中国政府采购网或江苏省政府采购网或淮安市政府采购网</w:t>
      </w:r>
    </w:p>
    <w:p w14:paraId="33B680F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3、方式：供应商</w:t>
      </w:r>
      <w:r>
        <w:rPr>
          <w:rFonts w:hint="eastAsia" w:ascii="仿宋" w:hAnsi="仿宋" w:eastAsia="仿宋" w:cs="仿宋"/>
          <w:color w:val="000000"/>
          <w:sz w:val="28"/>
          <w:lang w:eastAsia="zh-CN"/>
        </w:rPr>
        <w:t>登录</w:t>
      </w:r>
      <w:r>
        <w:rPr>
          <w:rFonts w:ascii="仿宋" w:hAnsi="仿宋" w:eastAsia="仿宋" w:cs="仿宋"/>
          <w:color w:val="000000"/>
          <w:sz w:val="28"/>
        </w:rPr>
        <w:t>江苏省政府采购网或者淮安市政府采购网，在网站首页点击“苏采云”→使用CA锁登录系统（新用户需进行“平台用户注册”）→“项目参与”进行登记，在“可参与项目”中选择“我要参与”，参与成功后到“已参与项目”界面中找到该项目下载文件并进行操作。</w:t>
      </w:r>
    </w:p>
    <w:p w14:paraId="660451E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售价：0.00元</w:t>
      </w:r>
    </w:p>
    <w:p w14:paraId="77A2FC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四、提交响应文件截止时间、磋商时间和地点</w:t>
      </w:r>
    </w:p>
    <w:p w14:paraId="5AC1A68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（一）电子响应文件提交截止时间及磋商时间:</w:t>
      </w:r>
      <w:r>
        <w:rPr>
          <w:rFonts w:ascii="仿宋" w:hAnsi="仿宋" w:eastAsia="仿宋" w:cs="仿宋"/>
          <w:color w:val="000000" w:themeColor="text1"/>
          <w:sz w:val="28"/>
          <w14:textFill>
            <w14:solidFill>
              <w14:schemeClr w14:val="tx1"/>
            </w14:solidFill>
          </w14:textFill>
        </w:rPr>
        <w:t>202</w:t>
      </w:r>
      <w:r>
        <w:rPr>
          <w:rFonts w:hint="eastAsia" w:ascii="仿宋" w:hAnsi="仿宋" w:eastAsia="仿宋" w:cs="仿宋"/>
          <w:color w:val="000000" w:themeColor="text1"/>
          <w:sz w:val="28"/>
          <w:lang w:val="en-US" w:eastAsia="zh-CN"/>
          <w14:textFill>
            <w14:solidFill>
              <w14:schemeClr w14:val="tx1"/>
            </w14:solidFill>
          </w14:textFill>
        </w:rPr>
        <w:t>5</w:t>
      </w:r>
      <w:r>
        <w:rPr>
          <w:rFonts w:ascii="仿宋" w:hAnsi="仿宋" w:eastAsia="仿宋" w:cs="仿宋"/>
          <w:color w:val="000000" w:themeColor="text1"/>
          <w:sz w:val="28"/>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6</w:t>
      </w:r>
      <w:r>
        <w:rPr>
          <w:rFonts w:ascii="仿宋" w:hAnsi="仿宋" w:eastAsia="仿宋" w:cs="仿宋"/>
          <w:color w:val="000000" w:themeColor="text1"/>
          <w:sz w:val="28"/>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3</w:t>
      </w:r>
      <w:r>
        <w:rPr>
          <w:rFonts w:ascii="仿宋" w:hAnsi="仿宋" w:eastAsia="仿宋" w:cs="仿宋"/>
          <w:color w:val="000000" w:themeColor="text1"/>
          <w:sz w:val="28"/>
          <w14:textFill>
            <w14:solidFill>
              <w14:schemeClr w14:val="tx1"/>
            </w14:solidFill>
          </w14:textFill>
        </w:rPr>
        <w:t>上午09:00</w:t>
      </w:r>
      <w:r>
        <w:rPr>
          <w:rFonts w:ascii="仿宋" w:hAnsi="仿宋" w:eastAsia="仿宋" w:cs="仿宋"/>
          <w:color w:val="000000"/>
          <w:sz w:val="28"/>
        </w:rPr>
        <w:t>（北京时间）</w:t>
      </w:r>
    </w:p>
    <w:p w14:paraId="3B63BCA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（二）电子响应文件上传地址：http://jszfcg.jscz.gov.cn/jszc/login江苏省政府采购一体化不见面开标（采购）大厅</w:t>
      </w:r>
    </w:p>
    <w:p w14:paraId="2C7E1BF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五、公告期限</w:t>
      </w:r>
    </w:p>
    <w:p w14:paraId="6BA809C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自本公告发布之日起五个工作日。</w:t>
      </w:r>
    </w:p>
    <w:p w14:paraId="6BA0218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六、其他补充事宜</w:t>
      </w:r>
    </w:p>
    <w:p w14:paraId="3E915E3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1、履约保证金：中标价的1%。</w:t>
      </w:r>
    </w:p>
    <w:p w14:paraId="5FF1541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2、乙方提供的履约保证金可以是人民币形式（银行本票、汇票、支票、电汇），或银行保函、担保公司的保证担保或保险公司的保证保险等多种形式。</w:t>
      </w:r>
    </w:p>
    <w:p w14:paraId="572ABE5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3、乙方选取银行保函、担保公司的保证担保或保险公司的保证保险等形式的向采购人缴纳的，如保函（担保、保险等）的约定期到期但乙方履约仍未结束的，乙方须进行续保。</w:t>
      </w:r>
    </w:p>
    <w:p w14:paraId="58B2B0D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4、乙方选取以履约保函（保险）形式向采购人缴纳的，按照《关于在全省政府采购领域推行电子履约保函（保险）的通知》（苏财购【2023】150号）的要求，登录“政府采购电子履约保函（保险）平台”，选择第三方机构并提交保函（保险）申请，经审核通过后支付相关费用。</w:t>
      </w:r>
    </w:p>
    <w:p w14:paraId="4408675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5、如乙方未能履行合同规定的义务，甲方有权从履约保证金中取得补偿。</w:t>
      </w:r>
    </w:p>
    <w:p w14:paraId="504F650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6、履约保证金在合同约定期间内不予退还或者应完全有效，约定期间届满之日起5个工作日内，甲方应将履约保证金退还乙方；逾期退还的，按中国人民银行同期贷款基利率上浮20%后的利率支付超期资金占用费，但因乙方自身原因导致无法及时退还的除外。</w:t>
      </w:r>
    </w:p>
    <w:p w14:paraId="36BCA3C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7、履约保证金在合同约定期间内不予退还或者应完全有效，履约保证金在项目验收合格后退还给乙方。</w:t>
      </w:r>
    </w:p>
    <w:p w14:paraId="1414823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8、本项目采用“全流程电子化交易”模式，通过“苏采云政府采购一体化平台”及相应的配套硬件设备（摄像头、话筒、麦克风等）完成远程解密、公布报价、澄清等交互环节。采购人或代理机构组织本项目的“不见面交易”活动。供应商仅需在任意地点登录“苏采云”系统，进入江苏省政府采购一体化不见面开标（采购）大厅观看项目的活动组织。</w:t>
      </w:r>
    </w:p>
    <w:p w14:paraId="67FFA69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9、供应商在制作上传电子响应文件、观看活动组织、响应文件解密等技术方面遇到问题时，请与软件公司技术人员咨询，联系电话:0517-83638013。</w:t>
      </w:r>
    </w:p>
    <w:p w14:paraId="45E0427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10.根据省财政厅《关于更换全省政府采购交易系统CA数字证书和公章的通知》（苏财购〔2023〕101号），“苏采云”政府采购交易系统（以下简称苏采云系统）的CA数字证书、公章为江苏省电子政务证书认证中心CA和方正国际软件（北京）有限公司公章。如果供应商通过苏采云系统参与政府采购项目，需要更换CA数字证书和公章。具体办理指南和操作手册见链接：http://www.ccgp-jiangsu.gov.cn/jiangsu/zlxz/ee/ee3a4bc5a3454aa2b0d9312230633ce9.html。</w:t>
      </w:r>
    </w:p>
    <w:p w14:paraId="7706CE2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10.1.领取CA和办理公章（请至淮安市清江浦区深圳路16号淮安市公共资源交易中心二楼13号CA办理窗口办理，具体联系方式见《苏采云系统供应商操作手册》（以下简称《操作手册》））、进行注册并按《操作手册》要求制作、上传电子响应文件。</w:t>
      </w:r>
    </w:p>
    <w:p w14:paraId="3DBD975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10.2.有关本次磋商活动的事项若存在变动或修改，敬请及时关注江苏省政府采购网或淮安市政府采购网发布的更正公告，否则产生的后果由供应商自行承担。</w:t>
      </w:r>
    </w:p>
    <w:p w14:paraId="5B11B34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10.3.本次采购不收取磋商保证金。</w:t>
      </w:r>
    </w:p>
    <w:p w14:paraId="0AF3B61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七、对本次采购提出询问，请按以下方式联系。</w:t>
      </w:r>
    </w:p>
    <w:p w14:paraId="4E20B0D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1、采购人信息</w:t>
      </w:r>
    </w:p>
    <w:p w14:paraId="6023090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eastAsia="仿宋"/>
          <w:lang w:eastAsia="zh-CN"/>
        </w:rPr>
      </w:pPr>
      <w:r>
        <w:rPr>
          <w:rFonts w:ascii="仿宋" w:hAnsi="仿宋" w:eastAsia="仿宋" w:cs="仿宋"/>
          <w:color w:val="000000"/>
          <w:sz w:val="28"/>
        </w:rPr>
        <w:t>名称:</w:t>
      </w:r>
      <w:r>
        <w:rPr>
          <w:rFonts w:hint="eastAsia" w:ascii="仿宋" w:hAnsi="仿宋" w:eastAsia="仿宋" w:cs="仿宋"/>
          <w:color w:val="000000"/>
          <w:sz w:val="28"/>
          <w:lang w:eastAsia="zh-CN"/>
        </w:rPr>
        <w:t>盱眙县天泉湖镇人民政府</w:t>
      </w:r>
    </w:p>
    <w:p w14:paraId="47DBF25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联系人：</w:t>
      </w:r>
      <w:r>
        <w:rPr>
          <w:rFonts w:hint="eastAsia" w:ascii="仿宋" w:hAnsi="仿宋" w:eastAsia="仿宋" w:cs="仿宋"/>
          <w:color w:val="000000"/>
          <w:sz w:val="28"/>
          <w:lang w:val="en-US" w:eastAsia="zh-CN"/>
        </w:rPr>
        <w:t>顾欣文</w:t>
      </w:r>
      <w:r>
        <w:rPr>
          <w:rFonts w:hint="eastAsia" w:ascii="仿宋" w:hAnsi="仿宋" w:eastAsia="仿宋" w:cs="仿宋"/>
          <w:color w:val="000000"/>
          <w:sz w:val="28"/>
        </w:rPr>
        <w:t xml:space="preserve">   </w:t>
      </w:r>
    </w:p>
    <w:p w14:paraId="07BEBC3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ascii="仿宋" w:hAnsi="仿宋" w:eastAsia="仿宋" w:cs="仿宋"/>
          <w:color w:val="000000"/>
          <w:sz w:val="28"/>
          <w:lang w:val="en-US" w:eastAsia="zh-CN"/>
        </w:rPr>
      </w:pPr>
      <w:r>
        <w:rPr>
          <w:rFonts w:ascii="仿宋" w:hAnsi="仿宋" w:eastAsia="仿宋" w:cs="仿宋"/>
          <w:color w:val="000000"/>
          <w:sz w:val="28"/>
        </w:rPr>
        <w:t>联系电话:</w:t>
      </w:r>
      <w:r>
        <w:rPr>
          <w:rFonts w:hint="eastAsia" w:ascii="仿宋" w:hAnsi="仿宋" w:eastAsia="仿宋" w:cs="仿宋"/>
          <w:color w:val="000000"/>
          <w:sz w:val="28"/>
          <w:lang w:val="en-US" w:eastAsia="zh-CN"/>
        </w:rPr>
        <w:t xml:space="preserve">  13915150620</w:t>
      </w:r>
    </w:p>
    <w:p w14:paraId="5A58A32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地址：</w:t>
      </w:r>
      <w:r>
        <w:rPr>
          <w:rFonts w:hint="eastAsia" w:ascii="仿宋" w:hAnsi="仿宋" w:eastAsia="仿宋" w:cs="仿宋"/>
          <w:color w:val="000000"/>
          <w:sz w:val="28"/>
          <w:lang w:eastAsia="zh-CN"/>
        </w:rPr>
        <w:t>盱眙县天泉湖镇人民政府</w:t>
      </w:r>
    </w:p>
    <w:p w14:paraId="41E4A52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2、采购代理机构信息</w:t>
      </w:r>
    </w:p>
    <w:p w14:paraId="3EDB581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eastAsia="仿宋"/>
          <w:lang w:eastAsia="zh-CN"/>
        </w:rPr>
      </w:pPr>
      <w:r>
        <w:rPr>
          <w:rFonts w:ascii="仿宋" w:hAnsi="仿宋" w:eastAsia="仿宋" w:cs="仿宋"/>
          <w:color w:val="000000"/>
          <w:sz w:val="28"/>
        </w:rPr>
        <w:t>名称：</w:t>
      </w:r>
      <w:r>
        <w:rPr>
          <w:rFonts w:hint="eastAsia" w:ascii="仿宋" w:hAnsi="仿宋" w:eastAsia="仿宋" w:cs="仿宋"/>
          <w:color w:val="000000"/>
          <w:sz w:val="28"/>
          <w:lang w:eastAsia="zh-CN"/>
        </w:rPr>
        <w:t>众鑫项目管理淮安有限公司</w:t>
      </w:r>
    </w:p>
    <w:p w14:paraId="1A587E7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联系人：</w:t>
      </w:r>
      <w:r>
        <w:rPr>
          <w:rFonts w:hint="eastAsia" w:ascii="仿宋" w:hAnsi="仿宋" w:eastAsia="仿宋" w:cs="仿宋"/>
          <w:color w:val="000000"/>
          <w:sz w:val="28"/>
        </w:rPr>
        <w:t>高莹</w:t>
      </w:r>
      <w:r>
        <w:rPr>
          <w:rFonts w:hint="eastAsia" w:ascii="仿宋" w:hAnsi="仿宋" w:eastAsia="仿宋" w:cs="仿宋"/>
          <w:color w:val="000000"/>
          <w:sz w:val="28"/>
          <w:lang w:val="en-US" w:eastAsia="zh-CN"/>
        </w:rPr>
        <w:t>莹</w:t>
      </w:r>
      <w:r>
        <w:rPr>
          <w:rFonts w:hint="eastAsia" w:ascii="仿宋" w:hAnsi="仿宋" w:eastAsia="仿宋" w:cs="仿宋"/>
          <w:color w:val="000000"/>
          <w:sz w:val="28"/>
        </w:rPr>
        <w:t xml:space="preserve"> </w:t>
      </w:r>
    </w:p>
    <w:p w14:paraId="2926CA9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rPr>
          <w:rFonts w:hint="eastAsia" w:ascii="仿宋" w:hAnsi="仿宋" w:eastAsia="仿宋" w:cs="仿宋"/>
          <w:color w:val="000000"/>
          <w:sz w:val="28"/>
        </w:rPr>
      </w:pPr>
      <w:r>
        <w:rPr>
          <w:rFonts w:ascii="仿宋" w:hAnsi="仿宋" w:eastAsia="仿宋" w:cs="仿宋"/>
          <w:color w:val="000000"/>
          <w:sz w:val="28"/>
        </w:rPr>
        <w:t>联系电话:</w:t>
      </w:r>
      <w:r>
        <w:rPr>
          <w:rFonts w:hint="eastAsia" w:ascii="仿宋" w:hAnsi="仿宋" w:eastAsia="仿宋" w:cs="仿宋"/>
          <w:color w:val="000000"/>
          <w:sz w:val="28"/>
        </w:rPr>
        <w:t>18362876894</w:t>
      </w:r>
    </w:p>
    <w:p w14:paraId="3601BED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5"/>
        <w:jc w:val="both"/>
        <w:textAlignment w:val="auto"/>
      </w:pPr>
      <w:r>
        <w:rPr>
          <w:rFonts w:ascii="仿宋" w:hAnsi="仿宋" w:eastAsia="仿宋" w:cs="仿宋"/>
          <w:color w:val="000000"/>
          <w:sz w:val="28"/>
        </w:rPr>
        <w:t>地址：</w:t>
      </w:r>
      <w:r>
        <w:rPr>
          <w:rFonts w:hint="eastAsia" w:ascii="仿宋" w:hAnsi="仿宋" w:eastAsia="仿宋" w:cs="仿宋"/>
          <w:color w:val="000000"/>
          <w:sz w:val="28"/>
        </w:rPr>
        <w:t>盱眙县</w:t>
      </w:r>
      <w:r>
        <w:rPr>
          <w:rFonts w:hint="eastAsia" w:ascii="仿宋" w:hAnsi="仿宋" w:eastAsia="仿宋" w:cs="仿宋"/>
          <w:color w:val="000000"/>
          <w:sz w:val="28"/>
          <w:lang w:val="en-US" w:eastAsia="zh-CN"/>
        </w:rPr>
        <w:t>中澳路</w:t>
      </w:r>
      <w:r>
        <w:rPr>
          <w:rFonts w:hint="eastAsia" w:ascii="仿宋" w:hAnsi="仿宋" w:eastAsia="仿宋" w:cs="仿宋"/>
          <w:color w:val="000000"/>
          <w:sz w:val="28"/>
        </w:rPr>
        <w:t>中澳生态城</w:t>
      </w:r>
      <w:r>
        <w:rPr>
          <w:rFonts w:hint="eastAsia" w:ascii="仿宋" w:hAnsi="仿宋" w:eastAsia="仿宋" w:cs="仿宋"/>
          <w:color w:val="000000"/>
          <w:sz w:val="28"/>
          <w:lang w:val="en-US" w:eastAsia="zh-CN"/>
        </w:rPr>
        <w:t>东门</w:t>
      </w:r>
      <w:r>
        <w:rPr>
          <w:rFonts w:hint="eastAsia" w:ascii="仿宋" w:hAnsi="仿宋" w:eastAsia="仿宋" w:cs="仿宋"/>
          <w:color w:val="000000"/>
          <w:sz w:val="28"/>
        </w:rPr>
        <w:t>2-1号</w:t>
      </w:r>
    </w:p>
    <w:p w14:paraId="1FB3BE5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center"/>
        <w:textAlignment w:val="auto"/>
      </w:pPr>
      <w:r>
        <w:rPr>
          <w:rFonts w:ascii="宋体" w:hAnsi="宋体" w:eastAsia="宋体" w:cs="宋体"/>
          <w:color w:val="000000"/>
          <w:sz w:val="32"/>
        </w:rPr>
        <w:t> </w:t>
      </w:r>
    </w:p>
    <w:p w14:paraId="7895196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0"/>
        <w:jc w:val="both"/>
        <w:textAlignment w:val="auto"/>
        <w:rPr>
          <w:rFonts w:hint="eastAsia" w:ascii="宋体" w:hAnsi="宋体" w:eastAsia="宋体" w:cs="宋体"/>
          <w:color w:val="000000"/>
          <w:sz w:val="32"/>
          <w:lang w:val="en-US" w:eastAsia="zh-CN"/>
        </w:rPr>
      </w:pPr>
      <w:r>
        <w:rPr>
          <w:rFonts w:ascii="宋体" w:hAnsi="宋体" w:eastAsia="宋体" w:cs="宋体"/>
          <w:color w:val="000000"/>
          <w:sz w:val="32"/>
        </w:rPr>
        <w:t> </w:t>
      </w:r>
      <w:r>
        <w:rPr>
          <w:rFonts w:hint="eastAsia" w:ascii="宋体" w:hAnsi="宋体" w:eastAsia="宋体" w:cs="宋体"/>
          <w:color w:val="000000"/>
          <w:sz w:val="32"/>
          <w:lang w:val="en-US" w:eastAsia="zh-CN"/>
        </w:rPr>
        <w:t xml:space="preserve">                             </w:t>
      </w:r>
    </w:p>
    <w:p w14:paraId="462D144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4160" w:firstLineChars="1300"/>
        <w:jc w:val="both"/>
        <w:textAlignment w:val="auto"/>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 xml:space="preserve"> 盱眙县天泉湖镇人民政府</w:t>
      </w:r>
    </w:p>
    <w:p w14:paraId="377B282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5459" w:leftChars="0" w:right="0" w:hanging="5459" w:hangingChars="1706"/>
        <w:jc w:val="both"/>
        <w:textAlignment w:val="auto"/>
        <w:rPr>
          <w:rFonts w:hint="default" w:eastAsia="宋体"/>
          <w:lang w:val="en-US" w:eastAsia="zh-CN"/>
        </w:rPr>
      </w:pPr>
      <w:r>
        <w:rPr>
          <w:rFonts w:hint="eastAsia" w:ascii="宋体" w:hAnsi="宋体" w:eastAsia="宋体" w:cs="宋体"/>
          <w:color w:val="000000"/>
          <w:sz w:val="32"/>
          <w:lang w:val="en-US" w:eastAsia="zh-CN"/>
        </w:rPr>
        <w:t xml:space="preserve">                                2025年5月20</w:t>
      </w:r>
      <w:bookmarkStart w:id="627" w:name="_GoBack"/>
      <w:bookmarkEnd w:id="627"/>
      <w:r>
        <w:rPr>
          <w:rFonts w:hint="eastAsia" w:ascii="宋体" w:hAnsi="宋体" w:eastAsia="宋体" w:cs="宋体"/>
          <w:color w:val="000000"/>
          <w:sz w:val="32"/>
          <w:lang w:val="en-US" w:eastAsia="zh-CN"/>
        </w:rPr>
        <w:t>日</w:t>
      </w:r>
    </w:p>
    <w:p w14:paraId="69DFFB6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692"/>
        <w:jc w:val="both"/>
        <w:textAlignment w:val="auto"/>
        <w:rPr>
          <w:rFonts w:ascii="宋体" w:hAnsi="宋体" w:eastAsia="宋体" w:cs="宋体"/>
          <w:color w:val="000000"/>
          <w:sz w:val="32"/>
        </w:rPr>
      </w:pPr>
    </w:p>
    <w:p w14:paraId="04950EF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692"/>
        <w:jc w:val="both"/>
        <w:textAlignment w:val="auto"/>
        <w:rPr>
          <w:rFonts w:ascii="宋体" w:hAnsi="宋体" w:eastAsia="宋体" w:cs="宋体"/>
          <w:color w:val="000000"/>
          <w:sz w:val="32"/>
        </w:rPr>
      </w:pPr>
    </w:p>
    <w:p w14:paraId="3BA8461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692"/>
        <w:jc w:val="both"/>
        <w:textAlignment w:val="auto"/>
        <w:rPr>
          <w:rFonts w:ascii="宋体" w:hAnsi="宋体" w:eastAsia="宋体" w:cs="宋体"/>
          <w:color w:val="000000"/>
          <w:sz w:val="32"/>
        </w:rPr>
      </w:pPr>
    </w:p>
    <w:p w14:paraId="3ACCBA4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692"/>
        <w:jc w:val="both"/>
        <w:textAlignment w:val="auto"/>
        <w:rPr>
          <w:rFonts w:ascii="宋体" w:hAnsi="宋体" w:eastAsia="宋体" w:cs="宋体"/>
          <w:color w:val="000000"/>
          <w:sz w:val="32"/>
        </w:rPr>
      </w:pPr>
    </w:p>
    <w:p w14:paraId="6ED6343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692"/>
        <w:jc w:val="both"/>
        <w:textAlignment w:val="auto"/>
        <w:rPr>
          <w:rFonts w:ascii="宋体" w:hAnsi="宋体" w:eastAsia="宋体" w:cs="宋体"/>
          <w:color w:val="000000"/>
          <w:sz w:val="32"/>
        </w:rPr>
      </w:pPr>
    </w:p>
    <w:p w14:paraId="6AB78B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692"/>
        <w:jc w:val="both"/>
        <w:textAlignment w:val="auto"/>
        <w:rPr>
          <w:rFonts w:ascii="宋体" w:hAnsi="宋体" w:eastAsia="宋体" w:cs="宋体"/>
          <w:color w:val="000000"/>
          <w:sz w:val="32"/>
        </w:rPr>
      </w:pPr>
    </w:p>
    <w:p w14:paraId="539735E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692"/>
        <w:jc w:val="both"/>
        <w:textAlignment w:val="auto"/>
      </w:pPr>
      <w:r>
        <w:rPr>
          <w:rFonts w:ascii="宋体" w:hAnsi="宋体" w:eastAsia="宋体" w:cs="宋体"/>
          <w:color w:val="000000"/>
          <w:sz w:val="32"/>
        </w:rPr>
        <w:t> </w:t>
      </w:r>
      <w:r>
        <w:rPr>
          <w:rFonts w:ascii="仿宋" w:hAnsi="仿宋" w:eastAsia="仿宋" w:cs="仿宋"/>
          <w:b/>
          <w:color w:val="000000"/>
          <w:sz w:val="36"/>
        </w:rPr>
        <w:t>第二章供应商须知</w:t>
      </w:r>
    </w:p>
    <w:p w14:paraId="7057EEB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b/>
          <w:color w:val="000000"/>
          <w:sz w:val="32"/>
        </w:rPr>
        <w:t>一、总则</w:t>
      </w:r>
    </w:p>
    <w:p w14:paraId="2E62915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1.适用范围</w:t>
      </w:r>
    </w:p>
    <w:p w14:paraId="1CC7F3A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本竞争性磋商文件仅适用于本次采购邀请中所述项目的采购。</w:t>
      </w:r>
    </w:p>
    <w:p w14:paraId="4718D5B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2.合格的供应商</w:t>
      </w:r>
    </w:p>
    <w:p w14:paraId="7F55E22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359" w:right="0" w:firstLine="915"/>
        <w:jc w:val="both"/>
        <w:textAlignment w:val="auto"/>
      </w:pPr>
      <w:r>
        <w:rPr>
          <w:rFonts w:ascii="仿宋" w:hAnsi="仿宋" w:eastAsia="仿宋" w:cs="仿宋"/>
          <w:color w:val="000000"/>
          <w:sz w:val="28"/>
        </w:rPr>
        <w:t>2.1满足第一章磋商邀请中供应商资格要求的规定。</w:t>
      </w:r>
    </w:p>
    <w:p w14:paraId="24826BA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6"/>
        <w:jc w:val="both"/>
        <w:textAlignment w:val="auto"/>
      </w:pPr>
      <w:r>
        <w:rPr>
          <w:rFonts w:ascii="仿宋" w:hAnsi="仿宋" w:eastAsia="仿宋" w:cs="仿宋"/>
          <w:color w:val="000000"/>
          <w:spacing w:val="6"/>
          <w:sz w:val="28"/>
        </w:rPr>
        <w:t>2.2</w:t>
      </w:r>
      <w:r>
        <w:rPr>
          <w:rFonts w:ascii="仿宋" w:hAnsi="仿宋" w:eastAsia="仿宋" w:cs="仿宋"/>
          <w:color w:val="000000"/>
          <w:sz w:val="28"/>
        </w:rPr>
        <w:t>满足磋商文件中实质性条款的规定。</w:t>
      </w:r>
    </w:p>
    <w:p w14:paraId="53D8C24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3.适用法律</w:t>
      </w:r>
    </w:p>
    <w:p w14:paraId="401F463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3.1《中华人民共和国政府采购法》、《中华人民共和国政府采购法实施条例》、《政府采购竞争性磋商采购方式管理暂行办法》等有关法律、规章和规定等。</w:t>
      </w:r>
    </w:p>
    <w:p w14:paraId="61353E1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4.磋商费用</w:t>
      </w:r>
    </w:p>
    <w:p w14:paraId="54551B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4.1供应商应自行承担所有与参加磋商有关的费用。不论磋商的结果如何，淮安市政府采购中心（以下简称采购中心）在任何情况下均无义务和责任承担这些费用。</w:t>
      </w:r>
    </w:p>
    <w:p w14:paraId="7C3E336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4.2本次项目不收取文件工本费和成交管理费。</w:t>
      </w:r>
    </w:p>
    <w:p w14:paraId="2CC2A26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4.3本次项目招标代理费参照《江苏省招标代理服务收费的指导意见》的通知》(苏招协【2022】002号文)规定收费标准收取</w:t>
      </w:r>
      <w:r>
        <w:rPr>
          <w:rFonts w:hint="eastAsia" w:ascii="仿宋" w:hAnsi="仿宋" w:eastAsia="仿宋" w:cs="仿宋"/>
          <w:color w:val="000000"/>
          <w:sz w:val="28"/>
          <w:lang w:val="en-US" w:eastAsia="zh-CN"/>
        </w:rPr>
        <w:t xml:space="preserve"> </w:t>
      </w:r>
      <w:r>
        <w:rPr>
          <w:rFonts w:ascii="仿宋" w:hAnsi="仿宋" w:eastAsia="仿宋" w:cs="仿宋"/>
          <w:color w:val="000000"/>
          <w:sz w:val="28"/>
        </w:rPr>
        <w:t>；供应商在报价时综合考虑，由成交供应商在领取中标通知书时向代理机构一次性付清</w:t>
      </w:r>
      <w:r>
        <w:rPr>
          <w:rFonts w:ascii="宋体" w:hAnsi="宋体" w:eastAsia="宋体" w:cs="宋体"/>
          <w:color w:val="000000"/>
          <w:sz w:val="24"/>
        </w:rPr>
        <w:t>。</w:t>
      </w:r>
    </w:p>
    <w:p w14:paraId="4E9D021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b/>
          <w:color w:val="000000"/>
          <w:sz w:val="32"/>
        </w:rPr>
        <w:t>二、磋商文件</w:t>
      </w:r>
    </w:p>
    <w:p w14:paraId="58FC6C7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5.磋商文件由以下部分组成:</w:t>
      </w:r>
    </w:p>
    <w:p w14:paraId="24FD4C6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5.1磋商邀请</w:t>
      </w:r>
    </w:p>
    <w:p w14:paraId="1BF9105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5.2供应商须知</w:t>
      </w:r>
    </w:p>
    <w:p w14:paraId="4C61E54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5.3评标标准</w:t>
      </w:r>
    </w:p>
    <w:p w14:paraId="2728C70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5.4合同格式及条款</w:t>
      </w:r>
    </w:p>
    <w:p w14:paraId="197DAC0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5.5项目采购需求</w:t>
      </w:r>
    </w:p>
    <w:p w14:paraId="419CE6F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5.6响应文件</w:t>
      </w:r>
    </w:p>
    <w:p w14:paraId="19F9E6F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6.磋商文件的澄清</w:t>
      </w:r>
    </w:p>
    <w:p w14:paraId="0861255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6.1任何要求对磋商进行澄清的供应商，均应在磋商截止时间五日前通过以书面形式并加盖公章通知采购中心，采购中心对磋商截止时间前五日收到的任何澄清要求将以书面形式予以答复。</w:t>
      </w:r>
    </w:p>
    <w:p w14:paraId="1ABF9E7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7.磋商文件的更正或补充</w:t>
      </w:r>
    </w:p>
    <w:p w14:paraId="6D0FC6C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7.1在磋商时间前，采购中心可主动或在解答供应商提出的澄清问题时对磋商文件用更正公告的方式进行修正。</w:t>
      </w:r>
    </w:p>
    <w:p w14:paraId="09B7B42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7.2对磋商文件的修改将在淮安市政府采购网进行公告，更正公告将作为磋商文件的组成部分，对所有参加本次磋商的供应商都具有约束力。</w:t>
      </w:r>
    </w:p>
    <w:p w14:paraId="1EDC7C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7.3为使供应商有足够的时间按磋商文件的更正要求修正响应文件，采购中心有权按照相关法定的要求推迟响应文件接收截止时间和磋商时间。</w:t>
      </w:r>
    </w:p>
    <w:p w14:paraId="73525CF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b/>
          <w:color w:val="000000"/>
          <w:sz w:val="32"/>
        </w:rPr>
        <w:t>三、响应文件的编制</w:t>
      </w:r>
    </w:p>
    <w:p w14:paraId="1D2F5DA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8．响应文件的语言及度量衡单位</w:t>
      </w:r>
    </w:p>
    <w:p w14:paraId="6F0AA13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8.1供应商提交的响应文件以及供应商与采购中心就有关磋商的所有来往通知、函件和文件均应使用简体中文。</w:t>
      </w:r>
    </w:p>
    <w:p w14:paraId="183277D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8.2除技术性能另有规定外，响应文件所使用的度量衡单位，均须采用国家法定计量单位。</w:t>
      </w:r>
    </w:p>
    <w:p w14:paraId="6C2FBF3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9．响应文件构成</w:t>
      </w:r>
    </w:p>
    <w:p w14:paraId="49BBA66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9.1供应商编写的响应文件应包括资格证明文件、符合性证明文件、分项报价表、技术要求响应及偏离表、商务要求响应及偏离表、其他证明文件、磋商响应函等部分。</w:t>
      </w:r>
    </w:p>
    <w:p w14:paraId="241E455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9.2如标书制作工具中格式和内容与“淮安市政府采购网”发布的磋商文件不一致，请以“淮安市政府采购网”发布的磋商文件为准。</w:t>
      </w:r>
    </w:p>
    <w:p w14:paraId="276C559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10．证明磋商响应标的符合磋商文件规定的文件</w:t>
      </w:r>
    </w:p>
    <w:p w14:paraId="5B01022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10.1供应商应按照磋商文件要求提交证明文件，证明其及磋商响应标的符合磋商文件规定。</w:t>
      </w:r>
    </w:p>
    <w:p w14:paraId="09CB2A4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10.2磋商文件对证明文件无明确形式要求的，证明文件可以以文字资料、图纸和数据等形式提交。</w:t>
      </w:r>
    </w:p>
    <w:p w14:paraId="6770ED3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11．分项报价表</w:t>
      </w:r>
    </w:p>
    <w:p w14:paraId="60EA81C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11.1供应商应按照磋商文件规定格式填报分项报价表。</w:t>
      </w:r>
    </w:p>
    <w:p w14:paraId="17372CB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11.2磋商货币。响应文件中的单价和总价无特殊规定的采用人民币报价，以元为单位标注。磋商文件中另有规定的按规定执行。</w:t>
      </w:r>
    </w:p>
    <w:p w14:paraId="1AC256D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12.技术要求响应及偏离表、商务要求响应及偏离表（如有）</w:t>
      </w:r>
    </w:p>
    <w:p w14:paraId="4D397F2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12.1供应商需对磋商文件中的技术要求与商务要求逐项作出响应或偏离，并说明原因。</w:t>
      </w:r>
    </w:p>
    <w:p w14:paraId="69E4776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12.2供应商可在响应文件中提供认为需要的其他技术文件或说明。</w:t>
      </w:r>
    </w:p>
    <w:p w14:paraId="3B9F12B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13.服务承诺、培训计划、人员安排及其他（如有）</w:t>
      </w:r>
    </w:p>
    <w:p w14:paraId="21E7FF0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13.1供应商需根据磋商文件要求提供有关售后服务的管理制度，售后服务机构的分布情况，售后服务人员的数量、素质、技术水平及售后服务的反应能力等。</w:t>
      </w:r>
    </w:p>
    <w:p w14:paraId="2F38F1A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13.2供应商需根据磋商文件要求提供培训计划。</w:t>
      </w:r>
    </w:p>
    <w:p w14:paraId="167732A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13.3供应商需根据磋商文件要求提供磋商响应标</w:t>
      </w:r>
      <w:r>
        <w:rPr>
          <w:rFonts w:hint="eastAsia" w:ascii="仿宋" w:hAnsi="仿宋" w:eastAsia="仿宋" w:cs="仿宋"/>
          <w:color w:val="000000"/>
          <w:sz w:val="28"/>
          <w:lang w:eastAsia="zh-CN"/>
        </w:rPr>
        <w:t>的</w:t>
      </w:r>
      <w:r>
        <w:rPr>
          <w:rFonts w:ascii="仿宋" w:hAnsi="仿宋" w:eastAsia="仿宋" w:cs="仿宋"/>
          <w:color w:val="000000"/>
          <w:sz w:val="28"/>
        </w:rPr>
        <w:t>主要组成部分、功能设计、实现思路及关键技术等。</w:t>
      </w:r>
    </w:p>
    <w:p w14:paraId="6FFBE83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14.磋商响应函</w:t>
      </w:r>
    </w:p>
    <w:p w14:paraId="076859B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14.1供应商应按照磋商文件中提供的格式完整、正确填写磋商响应函。</w:t>
      </w:r>
    </w:p>
    <w:p w14:paraId="5019AAF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15.磋商有效期的延长</w:t>
      </w:r>
    </w:p>
    <w:p w14:paraId="7BC22BC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15.1在特殊情况下，采购中心于原磋商有效期满之前，可向供应商提出延长磋商有效期的要求。这种要求与答复均应采用书面形式。供应商可以拒绝采购中心的这一要求而放弃磋商，同意延长磋商有效期的供应商既不能要求也不允许修改其响应文件。受磋商有效期约束的所有权利与义务均延长至新的有效期。</w:t>
      </w:r>
    </w:p>
    <w:p w14:paraId="5653AC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16.方案部分（如果本项目涉及的话）</w:t>
      </w:r>
    </w:p>
    <w:p w14:paraId="12482E1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16.1供应商需按要求编制方案，否则按未提供方案处理。</w:t>
      </w:r>
    </w:p>
    <w:p w14:paraId="082CF5C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17.磋商有效期</w:t>
      </w:r>
    </w:p>
    <w:p w14:paraId="3E5DB7F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0"/>
        <w:jc w:val="both"/>
        <w:textAlignment w:val="auto"/>
      </w:pPr>
      <w:r>
        <w:rPr>
          <w:rFonts w:ascii="仿宋" w:hAnsi="仿宋" w:eastAsia="仿宋" w:cs="仿宋"/>
          <w:color w:val="000000"/>
          <w:sz w:val="28"/>
        </w:rPr>
        <w:t>17.1磋商有效期为从磋商之日起计算的六十天。磋商有效期比规定短的将被视为非响应磋商而予以拒绝。</w:t>
      </w:r>
    </w:p>
    <w:p w14:paraId="3090F72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0"/>
        <w:jc w:val="both"/>
        <w:textAlignment w:val="auto"/>
      </w:pPr>
      <w:r>
        <w:rPr>
          <w:rFonts w:ascii="仿宋" w:hAnsi="仿宋" w:eastAsia="仿宋" w:cs="仿宋"/>
          <w:color w:val="000000"/>
          <w:sz w:val="28"/>
        </w:rPr>
        <w:t>17.2在特殊情况下，采购中心于原磋商有效期满之前，可向供应商提出延长磋商有效期的要求，这种要求与答复均应采用书面形式。供应商可以拒绝这一要求而放弃磋商。同意延长的供应商既不能要求也不允许修改其响应文件，受磋商有效期约束的所有权利与义务均延长至新的有效期。</w:t>
      </w:r>
    </w:p>
    <w:p w14:paraId="6CC86FD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18.响应文件的签署</w:t>
      </w:r>
    </w:p>
    <w:p w14:paraId="7918F61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0"/>
        <w:jc w:val="both"/>
        <w:textAlignment w:val="auto"/>
      </w:pPr>
      <w:r>
        <w:rPr>
          <w:rFonts w:ascii="仿宋" w:hAnsi="仿宋" w:eastAsia="仿宋" w:cs="仿宋"/>
          <w:color w:val="000000"/>
          <w:sz w:val="28"/>
        </w:rPr>
        <w:t>18.1响应文件仅需要在供应商进行签章的位置应进行电子签章。电子响应文件不得涂改、行间插字或删除，如果出现上述情况应重新编制。</w:t>
      </w:r>
    </w:p>
    <w:p w14:paraId="4D9F971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b/>
          <w:color w:val="000000"/>
          <w:sz w:val="32"/>
        </w:rPr>
        <w:t>四、响应文件上传</w:t>
      </w:r>
    </w:p>
    <w:p w14:paraId="2D374BF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19.响应文件的上传</w:t>
      </w:r>
    </w:p>
    <w:p w14:paraId="413FF93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19.1供应商应当按照《操作手册》规定，在提交响应文件截止时间前制作并上传电子响应文件。</w:t>
      </w:r>
    </w:p>
    <w:p w14:paraId="1FC5CE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20.响应文件被拒绝接收的情形</w:t>
      </w:r>
    </w:p>
    <w:p w14:paraId="222DBF5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20.1在磋商文件规定的提交响应文件截止时间后上传的电子响应文件。</w:t>
      </w:r>
    </w:p>
    <w:p w14:paraId="71F5C02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21.响应文件的修改和撤回</w:t>
      </w:r>
    </w:p>
    <w:p w14:paraId="035AC08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21.1供应商在上传电子响应文件后可以对其修改或撤回，但这种修改和撤回，必须在规定的磋商时间之前。</w:t>
      </w:r>
    </w:p>
    <w:p w14:paraId="7428511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21.2对于电子响应文件的修改，供应商可在磋商时间前登录电子交易平台撤回电子响应文件，并上传新的电子响应文件。电子响应文件以最终完成上传的为准。</w:t>
      </w:r>
    </w:p>
    <w:p w14:paraId="242CACB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21.3供应商不得在磋商时间以后修改电子响应文件。</w:t>
      </w:r>
    </w:p>
    <w:p w14:paraId="1DA77A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21.4供应商不得在提交电子响应文件截止时间起至磋商有效期满前撤回电子响应文件。</w:t>
      </w:r>
    </w:p>
    <w:p w14:paraId="1924779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b/>
          <w:color w:val="000000"/>
          <w:sz w:val="32"/>
        </w:rPr>
        <w:t>五、响应文件的解密与评审</w:t>
      </w:r>
    </w:p>
    <w:p w14:paraId="14BA639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22.响应文件解密</w:t>
      </w:r>
    </w:p>
    <w:p w14:paraId="27A5B62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22.1供应商应当按照《操作手册》规定，在苏采云系统规定的时间内对磋商响应文件进行解密。</w:t>
      </w:r>
    </w:p>
    <w:p w14:paraId="4EE982E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23.磋商小组</w:t>
      </w:r>
    </w:p>
    <w:p w14:paraId="2B73196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23.1采购中心将组织磋商小组对响应文件进行评审。磋商小组由采购人代表和有关技术、经济等方面的专家组成，且人员构成符合政府采购有关规定。</w:t>
      </w:r>
    </w:p>
    <w:p w14:paraId="7BDA47A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23.2磋商小组独立工作，负责评审所有响应文件并确定成交</w:t>
      </w:r>
      <w:r>
        <w:rPr>
          <w:rFonts w:hint="eastAsia" w:ascii="仿宋" w:hAnsi="仿宋" w:eastAsia="仿宋" w:cs="仿宋"/>
          <w:color w:val="000000"/>
          <w:sz w:val="28"/>
          <w:lang w:eastAsia="zh-CN"/>
        </w:rPr>
        <w:t>候选人</w:t>
      </w:r>
      <w:r>
        <w:rPr>
          <w:rFonts w:ascii="仿宋" w:hAnsi="仿宋" w:eastAsia="仿宋" w:cs="仿宋"/>
          <w:color w:val="000000"/>
          <w:sz w:val="28"/>
        </w:rPr>
        <w:t>。</w:t>
      </w:r>
    </w:p>
    <w:p w14:paraId="17DCC09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24.评审过程的保密与公正</w:t>
      </w:r>
    </w:p>
    <w:p w14:paraId="3FFF918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24.1磋商小组、采购人和采购中心工作人员、相关监督人员等与评审工作有关的人员，对评审情况以及在评审过程中获悉的国家秘密、商业秘密负有保密责任。</w:t>
      </w:r>
    </w:p>
    <w:p w14:paraId="592E529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24.2在评审过程中，供应商不得以任何行为影响磋商评审过程，否则其响应文件将被作为无效响应文件。</w:t>
      </w:r>
    </w:p>
    <w:p w14:paraId="2B78E59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24.3在项目评审期间，采购中心将设专门人员与供应商联系。</w:t>
      </w:r>
    </w:p>
    <w:p w14:paraId="6A95C0B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24.4采购中心和磋商小组不向未成交的供应商解释未成交原因，也不公布评审过程中的相关细节。</w:t>
      </w:r>
    </w:p>
    <w:p w14:paraId="2987389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25.评审过程中</w:t>
      </w:r>
      <w:r>
        <w:rPr>
          <w:rFonts w:hint="eastAsia" w:ascii="仿宋" w:hAnsi="仿宋" w:eastAsia="仿宋" w:cs="仿宋"/>
          <w:color w:val="000000"/>
          <w:sz w:val="28"/>
          <w:lang w:eastAsia="zh-CN"/>
        </w:rPr>
        <w:t>的</w:t>
      </w:r>
      <w:r>
        <w:rPr>
          <w:rFonts w:ascii="仿宋" w:hAnsi="仿宋" w:eastAsia="仿宋" w:cs="仿宋"/>
          <w:color w:val="000000"/>
          <w:sz w:val="28"/>
        </w:rPr>
        <w:t>澄清</w:t>
      </w:r>
    </w:p>
    <w:p w14:paraId="7FB9CC9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p>
    <w:p w14:paraId="0A30062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4B82B8A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25.3接到磋商小组澄清、说明和更正要求的供应商如未按规定做出澄清、说明和更正，其风险由供应商自行承担。</w:t>
      </w:r>
    </w:p>
    <w:p w14:paraId="60BD017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26.对响应文件的审查</w:t>
      </w:r>
    </w:p>
    <w:p w14:paraId="24EE7EE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26.1响应文件审查分为资格审查和符合性审查。</w:t>
      </w:r>
    </w:p>
    <w:p w14:paraId="11E1FC0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26.1.1资格审查：由磋商小组依据法律法规和磋商文件的规定，对响应文件中的资格证明文件进行审查，以确定供应商是否具备参加磋商的资格。</w:t>
      </w:r>
    </w:p>
    <w:p w14:paraId="520F37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磋商小组在进行资格审查的同时，将在“信用中国”网站（www.creditchina.gov.cn）查询供应商的信用记录，以确定供应商是否具备磋商资格,查询结果留存并归档。</w:t>
      </w:r>
    </w:p>
    <w:p w14:paraId="16244B9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694AEF7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26.1.2符合性审查：依据磋商文件的规定，由磋商小组从响应文件的有效性、完整性和对磋商文件的响应程度进行审查，以确定是否对磋商文件的实质性要求作出响应。</w:t>
      </w:r>
    </w:p>
    <w:p w14:paraId="0A25F7A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26.1.3未通过资格审查或符合性审查的供应商，磋商小组将在苏采云系统中告知未通过资格审查或符合性审查的原因，评审结束后，磋商小组将不再告知未通过资格审查或符合性审查的原因。</w:t>
      </w:r>
    </w:p>
    <w:p w14:paraId="477CC33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26.2在详细评审之前，磋商小组将首先审查每份响应文件是否实质性响应了磋商文件的要求。实质性响应的响应文件应该是与磋商文件要求的条款、条件和规格相符，没有重大偏离或保留。</w:t>
      </w:r>
    </w:p>
    <w:p w14:paraId="5BD7047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所谓重大偏离或保留是指与磋商文件规定的实质性要求存在负偏离，或者在实质上与磋商文件不一致，而且限制了合同中买方和采购中心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635E92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26.3未实质性响应磋商文件的情形</w:t>
      </w:r>
    </w:p>
    <w:p w14:paraId="6833A62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26.3.1供应商在苏采云系统规定的时间内未成功解密电子响应文件的。</w:t>
      </w:r>
    </w:p>
    <w:p w14:paraId="2C3A230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26.3.2供应商未按照磋商文件要求上传电子响应文件的。</w:t>
      </w:r>
    </w:p>
    <w:p w14:paraId="210EABA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26.3.3同一供应商提交两个（含两个）以上不同的响应文件或者最后报价的。</w:t>
      </w:r>
    </w:p>
    <w:p w14:paraId="6F9C9FB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26.3.4供应商不具备磋商文件中规定资格要求的。</w:t>
      </w:r>
    </w:p>
    <w:p w14:paraId="0F69434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26.3.5供应商的最后报价超过了采购预算。</w:t>
      </w:r>
    </w:p>
    <w:p w14:paraId="7670AEB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26.3.6不符合磋商文件中规定的实质性要求和条件的。</w:t>
      </w:r>
    </w:p>
    <w:p w14:paraId="7CC401B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26.3.7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98C4B8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26.3.8响应文件含有采购人不能接受的附加条件的。</w:t>
      </w:r>
    </w:p>
    <w:p w14:paraId="35AF057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26.3.9按照第37.4的要求本项目中具有“强制采购”产品，但未提供经国家确定的认证机构出具的、处于有效期之内该节能产品认证证书图片的；</w:t>
      </w:r>
    </w:p>
    <w:p w14:paraId="7DFE564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26.3.10响应文件未按照磋商文件要求加盖CA电子公章的。</w:t>
      </w:r>
    </w:p>
    <w:p w14:paraId="089D72D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26.4未实质性响应磋商文件的响应文件按无效响应处理。</w:t>
      </w:r>
    </w:p>
    <w:p w14:paraId="454955E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26.5如果响应文件实质上没有响应磋商文件的要求，磋商小组将予以拒绝，供应商不得通过修改或撤销不合要求的偏离或保留而使其成为实质性响应的文件。</w:t>
      </w:r>
    </w:p>
    <w:p w14:paraId="57FC959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26.6供应商在项目评审全过程中应保持通讯畅通，并安排专人与采购中心及磋商小组联系。</w:t>
      </w:r>
    </w:p>
    <w:p w14:paraId="1923001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27.磋商程序及评审方法和评审标准</w:t>
      </w:r>
    </w:p>
    <w:p w14:paraId="5E47C2A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27.1磋商程序</w:t>
      </w:r>
    </w:p>
    <w:p w14:paraId="5EC7AE6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2EEA08F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3A29D8F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27.1.2磋商文件能够详细列明采购标</w:t>
      </w:r>
      <w:r>
        <w:rPr>
          <w:rFonts w:hint="eastAsia" w:ascii="仿宋" w:hAnsi="仿宋" w:eastAsia="仿宋" w:cs="仿宋"/>
          <w:color w:val="000000"/>
          <w:sz w:val="28"/>
          <w:lang w:eastAsia="zh-CN"/>
        </w:rPr>
        <w:t>的</w:t>
      </w:r>
      <w:r>
        <w:rPr>
          <w:rFonts w:ascii="仿宋" w:hAnsi="仿宋" w:eastAsia="仿宋" w:cs="仿宋"/>
          <w:color w:val="000000"/>
          <w:sz w:val="28"/>
        </w:rPr>
        <w:t>技术、服务要求的，磋商结束后，磋商小组将在苏采云系统向所有实质性响应的供应商发布“最后报价要求函”及最后报价格式表，要求所有实质性响应的供应商在规定时间内提交最后报价。</w:t>
      </w:r>
    </w:p>
    <w:p w14:paraId="7B5B347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磋商文件不能详细列明采购标</w:t>
      </w:r>
      <w:r>
        <w:rPr>
          <w:rFonts w:hint="eastAsia" w:ascii="仿宋" w:hAnsi="仿宋" w:eastAsia="仿宋" w:cs="仿宋"/>
          <w:color w:val="000000"/>
          <w:sz w:val="28"/>
          <w:lang w:eastAsia="zh-CN"/>
        </w:rPr>
        <w:t>的</w:t>
      </w:r>
      <w:r>
        <w:rPr>
          <w:rFonts w:ascii="仿宋" w:hAnsi="仿宋" w:eastAsia="仿宋" w:cs="仿宋"/>
          <w:color w:val="000000"/>
          <w:sz w:val="28"/>
        </w:rPr>
        <w:t>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20FF114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54E6A24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A172EE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27.2评审方法和评审标准</w:t>
      </w:r>
    </w:p>
    <w:p w14:paraId="6CDD482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27.2.1评审方法。经磋商确定最终采购需求和提交最后报价的供应商后，由磋商小组采用综合评分法对提交最后报价的供应商的响应文件和最后报价进行综合评分。</w:t>
      </w:r>
    </w:p>
    <w:p w14:paraId="5DEF0F6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42048F6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27.2.2评审标准</w:t>
      </w:r>
    </w:p>
    <w:p w14:paraId="05CE431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见本磋商文件第三章规定。</w:t>
      </w:r>
    </w:p>
    <w:p w14:paraId="61F00E3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27.3采购活动终止的情况</w:t>
      </w:r>
    </w:p>
    <w:p w14:paraId="0742973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出现下列情形之一的，本次竞争性磋商采购活动将被终止：</w:t>
      </w:r>
    </w:p>
    <w:p w14:paraId="6D83408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27.3.1因情况变化，不再符合规定的竞争性磋商采购方式适用情形的。</w:t>
      </w:r>
    </w:p>
    <w:p w14:paraId="7FFFECD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27.3.2出现影响采购公正的违法、违规行为的。</w:t>
      </w:r>
    </w:p>
    <w:p w14:paraId="5F14DAB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27.3.3除本磋商文件第二章第27.1.2条第三款规定的情形外，在采购过程中符合要求的供应商或者最后报价未超过采购预算的供应商不足3家的。</w:t>
      </w:r>
    </w:p>
    <w:p w14:paraId="3FE83A8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27.3.4在苏采云系统规定时间内成功解密电子响应文件的供应商不足3家的。</w:t>
      </w:r>
    </w:p>
    <w:p w14:paraId="77F8CC9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28.推荐成交候选供应商</w:t>
      </w:r>
    </w:p>
    <w:p w14:paraId="3222284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39"/>
        <w:jc w:val="both"/>
        <w:textAlignment w:val="auto"/>
      </w:pPr>
      <w:r>
        <w:rPr>
          <w:rFonts w:ascii="仿宋" w:hAnsi="仿宋" w:eastAsia="仿宋" w:cs="仿宋"/>
          <w:color w:val="000000"/>
          <w:sz w:val="28"/>
        </w:rPr>
        <w:t>28.1磋商小组将对通过资格性审查和符合性审查的响应文件进行评价和比较。</w:t>
      </w:r>
    </w:p>
    <w:p w14:paraId="5EFFBFB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28.2磋商小组按磋商文件第三章中公布的评标标准对每份合格响应文件进行评审，推荐3名成交候选供应商。</w:t>
      </w:r>
    </w:p>
    <w:p w14:paraId="71DE6F2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28.3磋商小组发现磋商文件存在歧义、重大缺陷导致评审工作无法进行，或者磋商文件内容存在违反国家有关规定的，评审工作停止，采购中心修改磋商文件后重新组织采购活动。</w:t>
      </w:r>
    </w:p>
    <w:p w14:paraId="77FDFDE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634" w:firstLine="0"/>
        <w:jc w:val="both"/>
        <w:textAlignment w:val="auto"/>
      </w:pPr>
      <w:r>
        <w:rPr>
          <w:rFonts w:ascii="仿宋" w:hAnsi="仿宋" w:eastAsia="仿宋" w:cs="仿宋"/>
          <w:color w:val="000000"/>
          <w:sz w:val="28"/>
        </w:rPr>
        <w:t>29.磋商过程保密</w:t>
      </w:r>
    </w:p>
    <w:p w14:paraId="1AD2D4D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29.1在宣布成交结果前，凡属于审查、澄清、磋商、评审响应文件和确定成交等相关信息，均不得泄露给任何供应商或与评审工作无关的人员。</w:t>
      </w:r>
    </w:p>
    <w:p w14:paraId="2DB15E9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0"/>
        <w:jc w:val="both"/>
        <w:textAlignment w:val="auto"/>
      </w:pPr>
      <w:r>
        <w:rPr>
          <w:rFonts w:ascii="仿宋" w:hAnsi="仿宋" w:eastAsia="仿宋" w:cs="仿宋"/>
          <w:color w:val="000000"/>
          <w:sz w:val="28"/>
        </w:rPr>
        <w:t>29.2供应商不得探听上述信息，不得以任何行为影响磋商过程，否则将被取消成交资格。</w:t>
      </w:r>
    </w:p>
    <w:p w14:paraId="1375DA9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29.3磋商小组名单在磋商前确定，并在磋商结果确定前保密。</w:t>
      </w:r>
    </w:p>
    <w:p w14:paraId="61FA736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634" w:firstLine="0"/>
        <w:jc w:val="both"/>
        <w:textAlignment w:val="auto"/>
      </w:pPr>
      <w:r>
        <w:rPr>
          <w:rFonts w:ascii="仿宋" w:hAnsi="仿宋" w:eastAsia="仿宋" w:cs="仿宋"/>
          <w:b/>
          <w:color w:val="000000"/>
          <w:sz w:val="32"/>
        </w:rPr>
        <w:t>六、确定成交及签订合同</w:t>
      </w:r>
    </w:p>
    <w:p w14:paraId="26AF99D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634" w:firstLine="0"/>
        <w:jc w:val="both"/>
        <w:textAlignment w:val="auto"/>
      </w:pPr>
      <w:r>
        <w:rPr>
          <w:rFonts w:ascii="仿宋" w:hAnsi="仿宋" w:eastAsia="仿宋" w:cs="仿宋"/>
          <w:color w:val="000000"/>
          <w:sz w:val="28"/>
        </w:rPr>
        <w:t>30.确定成交供应商</w:t>
      </w:r>
    </w:p>
    <w:p w14:paraId="58F28B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30.1采购人将从磋商小组推荐的符合采购需求的成交候选供应商中按排名先后确定成交供应商。</w:t>
      </w:r>
    </w:p>
    <w:p w14:paraId="1D04FD2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30.2采购中心将在淮安市政府采购网发布成交结果公告。</w:t>
      </w:r>
    </w:p>
    <w:p w14:paraId="649C318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30.3成交候选人在合同签订前，如经查实从参加该成交项目之日起计算所参加的政府采购活动前三年内，在经营活动中有行贿犯罪记录的，采购中心将取消其成交候选人资格。</w:t>
      </w:r>
    </w:p>
    <w:p w14:paraId="277B214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31.成交通知书</w:t>
      </w:r>
    </w:p>
    <w:p w14:paraId="49B3DD7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31.1成交结果确定后，采购中心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2667F55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32.2成交通知书将是合同的一个组成部分。对采购人和成交供应商均具有法律效力。成交通知书发出后，采购人改变成交结果的，或者成交供应商放弃成交项目的，应当依法承担法律责任。</w:t>
      </w:r>
    </w:p>
    <w:p w14:paraId="2D62B26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33.签订合同</w:t>
      </w:r>
    </w:p>
    <w:p w14:paraId="0C2F800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33.1采购人与成交供应商应在成交通知书发出之日起三十日内签订政府采购合同。磋商文件、成交供应商的响应文件及澄清文件等均为签订合同依据。</w:t>
      </w:r>
    </w:p>
    <w:p w14:paraId="56916D9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33.2成交供应商自成交通知书发出之日起三十日内无正当理由不与采购人签订合同的，将按规定进行处理。</w:t>
      </w:r>
    </w:p>
    <w:p w14:paraId="7F06C95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34.货物和服务的减少</w:t>
      </w:r>
    </w:p>
    <w:p w14:paraId="1AF67A2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37"/>
        <w:jc w:val="both"/>
        <w:textAlignment w:val="auto"/>
      </w:pPr>
      <w:r>
        <w:rPr>
          <w:rFonts w:ascii="仿宋" w:hAnsi="仿宋" w:eastAsia="仿宋" w:cs="仿宋"/>
          <w:color w:val="000000"/>
          <w:sz w:val="28"/>
        </w:rPr>
        <w:t>34.1采购结束后，采购人若由于各种客观原因，必须对采购项目所牵涉的货物和服务进行适当的减少时，在双方协商一致的前提下，可以按照磋商时的价格水平做相应的调减，并据此签订补充合同。</w:t>
      </w:r>
    </w:p>
    <w:p w14:paraId="2DC53A4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b/>
          <w:color w:val="000000"/>
          <w:sz w:val="32"/>
        </w:rPr>
        <w:t>七、质疑处理</w:t>
      </w:r>
    </w:p>
    <w:p w14:paraId="7BA114C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35.质疑处理</w:t>
      </w:r>
    </w:p>
    <w:p w14:paraId="02E4192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35.1供应商认为采购文件、采购过程和成交结果使自己的权益受到损害的，可以在知道或者应知其权益受到损害之日起七个工作日内，以电子文件形式从通过“苏采云平台”-&gt;“供应商“登录，从”项目质疑申请”模块提出质疑。未通过交易平台提交的、七个工作日之外以及未按35.5条的要求提供质疑的均不予受理。</w:t>
      </w:r>
    </w:p>
    <w:p w14:paraId="051C753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35.2上述应知其权益受到损害之日是指:</w:t>
      </w:r>
    </w:p>
    <w:p w14:paraId="0CACEFD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（1）对磋商文件提出质疑的，为采购文件公告期限届满之日起计算；</w:t>
      </w:r>
    </w:p>
    <w:p w14:paraId="3B46FA7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（2）对采购过程提出质疑的，为各采购程序环节结束之日起计算；</w:t>
      </w:r>
    </w:p>
    <w:p w14:paraId="19BC74E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（3）对成交结果提出质疑的，为成交结果公告期限届满之日起计算。</w:t>
      </w:r>
    </w:p>
    <w:p w14:paraId="7872202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35.3质疑供应商是指直接参加本次磋商活动的供应商，未参加磋商活动的供应商或在磋商活动中自身权益未受到损害的供应商所提出的质疑不予受理。</w:t>
      </w:r>
    </w:p>
    <w:p w14:paraId="0AA16BB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35.4质疑供应商在法定质疑期内应当一次性针对同一采购环节提出质疑。</w:t>
      </w:r>
    </w:p>
    <w:p w14:paraId="6D98990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35.5质疑函应当包括以下主要内容，附上相关证明材料。否则，采购中心不予受理。</w:t>
      </w:r>
    </w:p>
    <w:p w14:paraId="07B35A8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（1）质疑供应商的名称、地址、邮编、联系人及联系电话；</w:t>
      </w:r>
    </w:p>
    <w:p w14:paraId="782867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（2）质疑项目的名称、编号；</w:t>
      </w:r>
    </w:p>
    <w:p w14:paraId="2317580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（3）具体、明确的质疑事项和与质疑事实相关的请求；</w:t>
      </w:r>
    </w:p>
    <w:p w14:paraId="5D0857D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（4）事实依据；</w:t>
      </w:r>
    </w:p>
    <w:p w14:paraId="4A41E73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（5）必要的法律依据；</w:t>
      </w:r>
    </w:p>
    <w:p w14:paraId="4A7DB19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（6）提起质疑的日期；</w:t>
      </w:r>
    </w:p>
    <w:p w14:paraId="3BD18CF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【质疑函必须署名，由法定代表人或者其授权代表签字，并加盖单位电子公章。授权代表签字的，还需提供法定代表人出具的办理质疑事项授权书（授权中必须载明具体权限、期限和事项）。】</w:t>
      </w:r>
    </w:p>
    <w:p w14:paraId="3945865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35.6采购中心收到质疑函后，将对质疑的形式和内容进行审查，如质疑函内容、格式不符合规定，采购中心将告知质疑人进行补正。质疑人应当在法定质疑期限内进行补正并重新提交质疑函，拒不补正或者超过法定期限后未重新提交质疑函的，为无效质疑，采购中心有权不予受理。</w:t>
      </w:r>
    </w:p>
    <w:p w14:paraId="4AF9DC1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35.7对于内容、格式符合规定的质疑函，采购中心将在七个工作日内以电子文件的形式作出答复，但质疑答复的内容不涉及商业秘密。如果质疑供应商还需要纸质形式回复函的，需主动与采购中心联系索取，或者在质疑函中明确提出该要求。</w:t>
      </w:r>
    </w:p>
    <w:p w14:paraId="3D82B68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35.8供应商提出的质疑必须有理、有据，不得恶意质疑或提交虚假质疑。否则，一经查实，采购中心有权依据政府采购的有关规定，报请淮安市财政局政府采购管理处对该供应商列入失信行为或不良行为记录名单，进行相应的行政处罚。</w:t>
      </w:r>
    </w:p>
    <w:p w14:paraId="792257D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b/>
          <w:color w:val="000000"/>
          <w:sz w:val="32"/>
        </w:rPr>
        <w:t>八、政府采购政策功能落实</w:t>
      </w:r>
    </w:p>
    <w:p w14:paraId="6F60EE2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36.政策功能落实</w:t>
      </w:r>
    </w:p>
    <w:p w14:paraId="57AA10C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36.1小微型企业价格扣除</w:t>
      </w:r>
    </w:p>
    <w:p w14:paraId="7800612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36.1.1对于未预留份额专门面向中小企业采购的采购项目，供应商提供的货物或者服务符合下列情形的，享受本办法规定的中小企业扶持政策给予小微企业报价20%的扣除，用扣除后的价格参与评审：</w:t>
      </w:r>
    </w:p>
    <w:p w14:paraId="056F34A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（1）在货物采购项目中，货物由中小企业制造，即货物由中小企业生产且使用该中小企业商号或者注册商标；</w:t>
      </w:r>
    </w:p>
    <w:p w14:paraId="1A63CCB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（2）在服务采购项目中，服务由中小企业承接，即提供服务的人员为中小企业依照《中华人民共和国劳动合同法》订立劳动合同的从业人员。</w:t>
      </w:r>
    </w:p>
    <w:p w14:paraId="7FE25FC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36.1.2在货物采购项目中，供应商提供的货物既有中小企业制造货物，也有大型企业制造货物的，不享受本办法规定的中小企业扶持政策。</w:t>
      </w:r>
    </w:p>
    <w:p w14:paraId="2218451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36.2联合体及分包</w:t>
      </w:r>
    </w:p>
    <w:p w14:paraId="0DE3A46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36.2.1以联合体形式参加政府采购活动，联合体各方均为中小企业的，联合体视同中小企业。其中，联合体各方均为小微企业的，联合体视同小微企业。</w:t>
      </w:r>
    </w:p>
    <w:p w14:paraId="5E91D38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36.2.2享受扶持政策获得政府采购合同的，小微企业不得将合同分包给大中型企业，中型企业不得将合同分包给大型企业。</w:t>
      </w:r>
    </w:p>
    <w:p w14:paraId="6136CDC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36.2.3接受大中型企业与小微企业组成联合体或者允许大中型企业向一家或者多家小微企业分包的采购项目，对于联合协议或者分包意向协议约定小微企业的合同份额占到合同总金额30%以上的，采购人应当对联合体或者大中型企业的报价给予5%的扣除，用扣除后的价格参加评审。</w:t>
      </w:r>
    </w:p>
    <w:p w14:paraId="4F63A55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357BDA9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36.3小微型企业</w:t>
      </w:r>
    </w:p>
    <w:p w14:paraId="351336F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（1）供应商须按照磋商文件的要求提供相应的《企业声明函》，详见磋商文件第六章示范格式。</w:t>
      </w:r>
    </w:p>
    <w:p w14:paraId="565B54A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（2）企业标准请参照《政府采购促进中小企业发展管理办法》（财库【2020】46号）文件规定自行填写。</w:t>
      </w:r>
    </w:p>
    <w:p w14:paraId="0EFB979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36.4残疾人福利单位</w:t>
      </w:r>
    </w:p>
    <w:p w14:paraId="67FDDD7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（1）残疾人福利单位需按照招标文件的要求提供《残疾人福利性单位声明函》，详见招标文件第六章示范格式。</w:t>
      </w:r>
    </w:p>
    <w:p w14:paraId="62CC07B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（2）残疾人福利单位标准请参照《关于促进残疾人就业政府采购政策的通知》（财库〔2017〕141号）。</w:t>
      </w:r>
    </w:p>
    <w:p w14:paraId="5C1B016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36.5监狱和戒毒企业</w:t>
      </w:r>
    </w:p>
    <w:p w14:paraId="25C4AE4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（1）监狱企业参加政府采购活动时，需提供由省级以上监狱管理局、戒毒管理局（含新疆生产建设兵团）出具的属于监狱企业的证明文件）（磋商文件中上传加盖出具单位公章的电子件）。</w:t>
      </w:r>
    </w:p>
    <w:p w14:paraId="39F4AC9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（2）监狱企业标准请参照《关于政府采购支持监狱企业发展有关问题的通知》（财库[2014]68号）。</w:t>
      </w:r>
    </w:p>
    <w:p w14:paraId="3131CEB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37.节能、环保政策（本项目不涉及）</w:t>
      </w:r>
    </w:p>
    <w:p w14:paraId="77F7DE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37.1根据《财政部发展改革委生态环境部市场监管总局关于调整优化节能产品、环境标志产品政府采购执行机制的通知》【财库〔2019〕9号】要求，依据品目清单对获得节能产品、环境标志产品认证证书的产品实施政府优先采购或强制采购。</w:t>
      </w:r>
    </w:p>
    <w:p w14:paraId="550B307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37.2节能产品</w:t>
      </w:r>
    </w:p>
    <w:p w14:paraId="5E1D404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本项目</w:t>
      </w:r>
      <w:r>
        <w:rPr>
          <w:rFonts w:ascii="仿宋" w:hAnsi="仿宋" w:eastAsia="仿宋" w:cs="仿宋"/>
          <w:color w:val="000000"/>
          <w:sz w:val="28"/>
          <w:u w:val="single"/>
        </w:rPr>
        <w:t>/</w:t>
      </w:r>
      <w:r>
        <w:rPr>
          <w:rFonts w:ascii="仿宋" w:hAnsi="仿宋" w:eastAsia="仿宋" w:cs="仿宋"/>
          <w:color w:val="000000"/>
          <w:sz w:val="28"/>
        </w:rPr>
        <w:t>被列入“节能产品品目清单”的，实行</w:t>
      </w:r>
      <w:r>
        <w:rPr>
          <w:rFonts w:ascii="仿宋" w:hAnsi="仿宋" w:eastAsia="仿宋" w:cs="仿宋"/>
          <w:color w:val="000000"/>
          <w:sz w:val="28"/>
          <w:u w:val="single"/>
        </w:rPr>
        <w:t>（优先采购/强制采购）</w:t>
      </w:r>
      <w:r>
        <w:rPr>
          <w:rFonts w:ascii="仿宋" w:hAnsi="仿宋" w:eastAsia="仿宋" w:cs="仿宋"/>
          <w:color w:val="000000"/>
          <w:sz w:val="28"/>
        </w:rPr>
        <w:t>。</w:t>
      </w:r>
    </w:p>
    <w:p w14:paraId="403DCBA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37.3环保产品</w:t>
      </w:r>
    </w:p>
    <w:p w14:paraId="401A6E9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本项目中</w:t>
      </w:r>
      <w:r>
        <w:rPr>
          <w:rFonts w:ascii="仿宋" w:hAnsi="仿宋" w:eastAsia="仿宋" w:cs="仿宋"/>
          <w:color w:val="000000"/>
          <w:sz w:val="28"/>
          <w:u w:val="single"/>
        </w:rPr>
        <w:t>/</w:t>
      </w:r>
      <w:r>
        <w:rPr>
          <w:rFonts w:ascii="仿宋" w:hAnsi="仿宋" w:eastAsia="仿宋" w:cs="仿宋"/>
          <w:color w:val="000000"/>
          <w:sz w:val="28"/>
        </w:rPr>
        <w:t>被列入“环境标志产品品目清单”的，实行优先采购。</w:t>
      </w:r>
    </w:p>
    <w:p w14:paraId="6814C1E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37.4本项目中实行“强制采购”的，需提供国家市场监督管理总局确定的列入“参与实施政府采购节能产品认证机构名录”内的认证机构出具的、有效期内的该产品环境标志产品认证证书电子件，未提供的作无效投标处理；实行“优先采购”的，在评分标准的“政策导向”处参与加分（详见第三章评标标准）。</w:t>
      </w:r>
    </w:p>
    <w:p w14:paraId="7867C63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37.5节能、环保产品的品目清单按照《关于印发环境标志产品政府采购品目清单的通知》（财库〔2019〕18号）、《关于印发节能产品政府采购品目清单的通知》（财库〔2019〕19号）执行。国家对品目清单进行调整的，按照最新调整的品目清单执行。</w:t>
      </w:r>
    </w:p>
    <w:p w14:paraId="1CB6FFB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38．政府绿色采购</w:t>
      </w:r>
    </w:p>
    <w:p w14:paraId="079DDF7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80"/>
        <w:jc w:val="both"/>
        <w:textAlignment w:val="auto"/>
      </w:pPr>
      <w:r>
        <w:rPr>
          <w:rFonts w:ascii="仿宋" w:hAnsi="仿宋" w:eastAsia="仿宋" w:cs="仿宋"/>
          <w:color w:val="000000"/>
          <w:sz w:val="28"/>
        </w:rPr>
        <w:t>根据《江苏省财政厅关于加强政府绿色采购有关事项的通知》（苏财购〔2023〕65号）的要求，落实政府绿色采购相关政策，具体如下：</w:t>
      </w:r>
    </w:p>
    <w:p w14:paraId="2CE7E8E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38.1本项目为货物类采购项目的，所提供的产品需综合考虑节能环保、节水、循环再生、低碳、有机等因素；本项目为物业、合同能源管理等服务类采购项目的，应在服务中加强绿色低碳管理。</w:t>
      </w:r>
    </w:p>
    <w:p w14:paraId="70C74E3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210" w:after="0" w:line="519" w:lineRule="atLeast"/>
        <w:ind w:left="0" w:right="0" w:firstLine="560"/>
        <w:jc w:val="both"/>
        <w:textAlignment w:val="auto"/>
      </w:pPr>
      <w:r>
        <w:rPr>
          <w:rFonts w:ascii="仿宋" w:hAnsi="仿宋" w:eastAsia="仿宋" w:cs="仿宋"/>
          <w:color w:val="000000"/>
          <w:sz w:val="28"/>
        </w:rPr>
        <w:t>38.2本项目中涉及商品的包装应按照“财办库〔2020〕123号《关于印发《商品包装政府采购需求标准（试行）》、《快递包装政府采购需求标准（试行）》的通知》”执行,在供货、安装过程中能到做到低碳物流、环保节约、提高资源利用率；涉及设备运维参考《绿色数据中心政府采购需求标准（试行）》（财库【2023】7号文）执行。</w:t>
      </w:r>
    </w:p>
    <w:p w14:paraId="0681FD3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210" w:after="120" w:line="519" w:lineRule="atLeast"/>
        <w:ind w:left="0" w:right="0" w:firstLine="560"/>
        <w:jc w:val="both"/>
        <w:textAlignment w:val="auto"/>
      </w:pPr>
      <w:r>
        <w:rPr>
          <w:rFonts w:ascii="仿宋" w:hAnsi="仿宋" w:eastAsia="仿宋" w:cs="仿宋"/>
          <w:color w:val="000000"/>
          <w:sz w:val="28"/>
        </w:rPr>
        <w:t>38.3本项目中涉及涂料、胶黏剂、油墨、清洗剂等挥发性有机物产品的，要执行国家和江苏省VOCs含量限制标准，优先使用低挥发性原辅材料，使用低VOCs含量的涂料、胶黏剂等。</w:t>
      </w:r>
    </w:p>
    <w:p w14:paraId="47464A5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39.履约资金扶持政策</w:t>
      </w:r>
    </w:p>
    <w:p w14:paraId="643DA8C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39.1政府采购合同信用融资是为支持中小企业发展，缓解中小企业融资难题推出的一项融资服务举措，成交人可凭政府采购合同办理融资贷款。该贷款无需抵押、担保，按照双方自愿的原则提供便捷、优惠的贷款服务。详情请见江苏政府采购网“政采贷”专栏。</w:t>
      </w:r>
    </w:p>
    <w:p w14:paraId="406B819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39.2有融资贷款需求的成交人，与采购人在苏采云【合同在线签订】模块中进行合同在线签订时，【账户信息完善】的“是否融资”一栏中需选择“是”，同时完善收款账号信息和合同补充协议（融资账号）。</w:t>
      </w:r>
    </w:p>
    <w:p w14:paraId="0A64AB4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 </w:t>
      </w:r>
    </w:p>
    <w:p w14:paraId="45FC90D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054"/>
        <w:jc w:val="both"/>
        <w:textAlignment w:val="auto"/>
      </w:pPr>
      <w:r>
        <w:rPr>
          <w:rFonts w:ascii="仿宋" w:hAnsi="仿宋" w:eastAsia="仿宋" w:cs="仿宋"/>
          <w:b/>
          <w:color w:val="000000"/>
          <w:sz w:val="36"/>
        </w:rPr>
        <w:t>第三章评标标准</w:t>
      </w:r>
    </w:p>
    <w:p w14:paraId="2A8174F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39"/>
        <w:jc w:val="both"/>
        <w:textAlignment w:val="auto"/>
      </w:pPr>
      <w:r>
        <w:rPr>
          <w:rFonts w:ascii="仿宋" w:hAnsi="仿宋" w:eastAsia="仿宋" w:cs="仿宋"/>
          <w:color w:val="000000"/>
          <w:sz w:val="28"/>
        </w:rPr>
        <w:t>一、本项目采用综合评分法进行评审。磋商小组仅对确定为实质上响应磋商文件要求的响应文件进行评价和比较。综合评分法，是指响应文件满足磋商文件全部要求且按照按评审因素的量化指标评审得分最高的供应商为成交候选供应商的评标方法。</w:t>
      </w:r>
    </w:p>
    <w:p w14:paraId="6184A38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ascii="仿宋" w:hAnsi="仿宋" w:eastAsia="仿宋" w:cs="仿宋"/>
          <w:color w:val="000000"/>
          <w:sz w:val="28"/>
        </w:rPr>
      </w:pPr>
      <w:r>
        <w:rPr>
          <w:rFonts w:ascii="仿宋" w:hAnsi="仿宋" w:eastAsia="仿宋" w:cs="仿宋"/>
          <w:color w:val="000000"/>
          <w:sz w:val="28"/>
        </w:rPr>
        <w:t>二、磋商小组将依据下列评标标准进行评审，本评标标准的总分为100分。</w:t>
      </w:r>
    </w:p>
    <w:tbl>
      <w:tblPr>
        <w:tblStyle w:val="34"/>
        <w:tblW w:w="9137"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77"/>
        <w:gridCol w:w="2257"/>
        <w:gridCol w:w="4538"/>
        <w:gridCol w:w="821"/>
      </w:tblGrid>
      <w:tr w14:paraId="0764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44" w:type="dxa"/>
            <w:noWrap w:val="0"/>
            <w:vAlign w:val="center"/>
          </w:tcPr>
          <w:p w14:paraId="0E9C0AA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1077" w:type="dxa"/>
            <w:noWrap w:val="0"/>
            <w:vAlign w:val="center"/>
          </w:tcPr>
          <w:p w14:paraId="7A56EB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项目细则</w:t>
            </w:r>
          </w:p>
        </w:tc>
        <w:tc>
          <w:tcPr>
            <w:tcW w:w="6795" w:type="dxa"/>
            <w:gridSpan w:val="2"/>
            <w:noWrap w:val="0"/>
            <w:vAlign w:val="center"/>
          </w:tcPr>
          <w:p w14:paraId="7E7F22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评分细则、标准</w:t>
            </w:r>
          </w:p>
        </w:tc>
        <w:tc>
          <w:tcPr>
            <w:tcW w:w="821" w:type="dxa"/>
            <w:noWrap w:val="0"/>
            <w:vAlign w:val="center"/>
          </w:tcPr>
          <w:p w14:paraId="4B4634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最高</w:t>
            </w:r>
          </w:p>
          <w:p w14:paraId="03972F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分值</w:t>
            </w:r>
          </w:p>
        </w:tc>
      </w:tr>
      <w:tr w14:paraId="0D59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44" w:type="dxa"/>
            <w:noWrap w:val="0"/>
            <w:vAlign w:val="center"/>
          </w:tcPr>
          <w:p w14:paraId="2536A0F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w:t>
            </w:r>
          </w:p>
        </w:tc>
        <w:tc>
          <w:tcPr>
            <w:tcW w:w="8693" w:type="dxa"/>
            <w:gridSpan w:val="4"/>
            <w:noWrap w:val="0"/>
            <w:vAlign w:val="center"/>
          </w:tcPr>
          <w:p w14:paraId="524B949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投标报价：</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分</w:t>
            </w:r>
            <w:r>
              <w:rPr>
                <w:rFonts w:hint="eastAsia" w:ascii="宋体" w:hAnsi="宋体" w:cs="宋体"/>
                <w:bCs/>
                <w:sz w:val="21"/>
                <w:szCs w:val="21"/>
                <w:highlight w:val="none"/>
                <w:lang w:eastAsia="zh-CN"/>
              </w:rPr>
              <w:t>）</w:t>
            </w:r>
          </w:p>
        </w:tc>
      </w:tr>
      <w:tr w14:paraId="0665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44" w:type="dxa"/>
            <w:noWrap w:val="0"/>
            <w:vAlign w:val="center"/>
          </w:tcPr>
          <w:p w14:paraId="5A2DCC4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077" w:type="dxa"/>
            <w:noWrap w:val="0"/>
            <w:vAlign w:val="center"/>
          </w:tcPr>
          <w:p w14:paraId="5581B28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color w:val="auto"/>
                <w:sz w:val="21"/>
                <w:szCs w:val="21"/>
                <w:highlight w:val="none"/>
              </w:rPr>
            </w:pPr>
          </w:p>
          <w:p w14:paraId="2914F07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p w14:paraId="5CF2A12C">
            <w:pPr>
              <w:pStyle w:val="33"/>
              <w:ind w:left="0" w:leftChars="0" w:firstLine="0" w:firstLineChars="0"/>
              <w:jc w:val="center"/>
              <w:rPr>
                <w:rFonts w:hint="eastAsia" w:eastAsia="宋体"/>
                <w:color w:val="auto"/>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30分</w:t>
            </w:r>
            <w:r>
              <w:rPr>
                <w:rFonts w:hint="eastAsia" w:ascii="宋体" w:hAnsi="宋体" w:eastAsia="宋体" w:cs="宋体"/>
                <w:bCs/>
                <w:color w:val="auto"/>
                <w:sz w:val="21"/>
                <w:szCs w:val="21"/>
                <w:highlight w:val="none"/>
                <w:lang w:eastAsia="zh-CN"/>
              </w:rPr>
              <w:t>）</w:t>
            </w:r>
          </w:p>
          <w:p w14:paraId="38ED83AD">
            <w:pPr>
              <w:pStyle w:val="33"/>
              <w:jc w:val="center"/>
              <w:rPr>
                <w:rFonts w:hint="eastAsia"/>
                <w:color w:val="auto"/>
              </w:rPr>
            </w:pPr>
          </w:p>
        </w:tc>
        <w:tc>
          <w:tcPr>
            <w:tcW w:w="6795" w:type="dxa"/>
            <w:gridSpan w:val="2"/>
            <w:noWrap w:val="0"/>
            <w:vAlign w:val="center"/>
          </w:tcPr>
          <w:p w14:paraId="51BC8BB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采用低价优先法计算，即满足招标文件要求且投标价格最低的投标报价为评标基准价，其价格分为满分。其他投标人的价格分统一按照下列公式计算：投标报价得分=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评标基准价/投标报价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c>
          <w:tcPr>
            <w:tcW w:w="821" w:type="dxa"/>
            <w:noWrap w:val="0"/>
            <w:vAlign w:val="center"/>
          </w:tcPr>
          <w:p w14:paraId="5BDD75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3B03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44" w:type="dxa"/>
            <w:noWrap w:val="0"/>
            <w:vAlign w:val="center"/>
          </w:tcPr>
          <w:p w14:paraId="748A106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二</w:t>
            </w:r>
          </w:p>
        </w:tc>
        <w:tc>
          <w:tcPr>
            <w:tcW w:w="8693" w:type="dxa"/>
            <w:gridSpan w:val="4"/>
            <w:noWrap w:val="0"/>
            <w:vAlign w:val="center"/>
          </w:tcPr>
          <w:p w14:paraId="41555F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技术部分：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41</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p>
        </w:tc>
      </w:tr>
      <w:tr w14:paraId="1D50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44" w:type="dxa"/>
            <w:vMerge w:val="restart"/>
            <w:noWrap w:val="0"/>
            <w:vAlign w:val="center"/>
          </w:tcPr>
          <w:p w14:paraId="60B92AE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077" w:type="dxa"/>
            <w:vMerge w:val="restart"/>
            <w:noWrap w:val="0"/>
            <w:vAlign w:val="center"/>
          </w:tcPr>
          <w:p w14:paraId="27C9D46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施工组织设计</w:t>
            </w:r>
          </w:p>
          <w:p w14:paraId="492CCF6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41</w:t>
            </w:r>
            <w:r>
              <w:rPr>
                <w:rFonts w:hint="eastAsia" w:ascii="宋体" w:hAnsi="宋体" w:eastAsia="宋体" w:cs="宋体"/>
                <w:bCs/>
                <w:sz w:val="21"/>
                <w:szCs w:val="21"/>
                <w:highlight w:val="none"/>
              </w:rPr>
              <w:t>分）</w:t>
            </w:r>
          </w:p>
          <w:p w14:paraId="6850FF02">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2257" w:type="dxa"/>
            <w:noWrap w:val="0"/>
            <w:vAlign w:val="center"/>
          </w:tcPr>
          <w:p w14:paraId="230A99D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1、工程概况</w:t>
            </w:r>
          </w:p>
        </w:tc>
        <w:tc>
          <w:tcPr>
            <w:tcW w:w="4538" w:type="dxa"/>
            <w:noWrap w:val="0"/>
            <w:vAlign w:val="center"/>
          </w:tcPr>
          <w:p w14:paraId="4B6CEFD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工程</w:t>
            </w:r>
            <w:r>
              <w:rPr>
                <w:rFonts w:hint="eastAsia" w:ascii="宋体" w:hAnsi="宋体" w:eastAsia="宋体" w:cs="宋体"/>
                <w:bCs/>
                <w:sz w:val="21"/>
                <w:szCs w:val="21"/>
                <w:highlight w:val="none"/>
              </w:rPr>
              <w:t>概况分析条理叙述清晰、全面、完整，好</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分,中</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分,差</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tc>
        <w:tc>
          <w:tcPr>
            <w:tcW w:w="821" w:type="dxa"/>
            <w:noWrap w:val="0"/>
            <w:vAlign w:val="center"/>
          </w:tcPr>
          <w:p w14:paraId="16AA72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分</w:t>
            </w:r>
          </w:p>
        </w:tc>
      </w:tr>
      <w:tr w14:paraId="7CAF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44" w:type="dxa"/>
            <w:vMerge w:val="continue"/>
            <w:noWrap w:val="0"/>
            <w:vAlign w:val="center"/>
          </w:tcPr>
          <w:p w14:paraId="298B071B">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1077" w:type="dxa"/>
            <w:vMerge w:val="continue"/>
            <w:noWrap w:val="0"/>
            <w:vAlign w:val="top"/>
          </w:tcPr>
          <w:p w14:paraId="4255FAF1">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2257" w:type="dxa"/>
            <w:noWrap w:val="0"/>
            <w:vAlign w:val="center"/>
          </w:tcPr>
          <w:p w14:paraId="461AB7F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2、主要工程施工方案和施工技术措施</w:t>
            </w:r>
          </w:p>
        </w:tc>
        <w:tc>
          <w:tcPr>
            <w:tcW w:w="4538" w:type="dxa"/>
            <w:noWrap w:val="0"/>
            <w:vAlign w:val="center"/>
          </w:tcPr>
          <w:p w14:paraId="2EC6C62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主要工程施工方案和施工技术措施编制详细、全面、合理性,好</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分,中</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分,差</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tc>
        <w:tc>
          <w:tcPr>
            <w:tcW w:w="821" w:type="dxa"/>
            <w:noWrap w:val="0"/>
            <w:vAlign w:val="center"/>
          </w:tcPr>
          <w:p w14:paraId="4BA9111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w:t>
            </w:r>
          </w:p>
        </w:tc>
      </w:tr>
      <w:tr w14:paraId="7EE6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44" w:type="dxa"/>
            <w:vMerge w:val="continue"/>
            <w:noWrap w:val="0"/>
            <w:vAlign w:val="center"/>
          </w:tcPr>
          <w:p w14:paraId="2C39CE14">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1077" w:type="dxa"/>
            <w:vMerge w:val="continue"/>
            <w:noWrap w:val="0"/>
            <w:vAlign w:val="top"/>
          </w:tcPr>
          <w:p w14:paraId="3033E22B">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2257" w:type="dxa"/>
            <w:noWrap w:val="0"/>
            <w:vAlign w:val="center"/>
          </w:tcPr>
          <w:p w14:paraId="71DE8B7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3、施工组织及进度安排</w:t>
            </w:r>
          </w:p>
        </w:tc>
        <w:tc>
          <w:tcPr>
            <w:tcW w:w="4538" w:type="dxa"/>
            <w:noWrap w:val="0"/>
            <w:vAlign w:val="center"/>
          </w:tcPr>
          <w:p w14:paraId="1FD563A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施工组织及进度安排编制详细、全面、合理性,好</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分,中</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分,差</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tc>
        <w:tc>
          <w:tcPr>
            <w:tcW w:w="821" w:type="dxa"/>
            <w:noWrap w:val="0"/>
            <w:vAlign w:val="center"/>
          </w:tcPr>
          <w:p w14:paraId="3C37E4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w:t>
            </w:r>
          </w:p>
        </w:tc>
      </w:tr>
      <w:tr w14:paraId="361F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44" w:type="dxa"/>
            <w:vMerge w:val="continue"/>
            <w:noWrap w:val="0"/>
            <w:vAlign w:val="center"/>
          </w:tcPr>
          <w:p w14:paraId="3C533F61">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1077" w:type="dxa"/>
            <w:vMerge w:val="continue"/>
            <w:noWrap w:val="0"/>
            <w:vAlign w:val="top"/>
          </w:tcPr>
          <w:p w14:paraId="78AF837F">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2257" w:type="dxa"/>
            <w:noWrap w:val="0"/>
            <w:vAlign w:val="center"/>
          </w:tcPr>
          <w:p w14:paraId="7C788B1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4、工程创优规划和工程质量保证措施</w:t>
            </w:r>
          </w:p>
        </w:tc>
        <w:tc>
          <w:tcPr>
            <w:tcW w:w="4538" w:type="dxa"/>
            <w:noWrap w:val="0"/>
            <w:vAlign w:val="center"/>
          </w:tcPr>
          <w:p w14:paraId="02289FB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bCs/>
                <w:sz w:val="21"/>
                <w:szCs w:val="21"/>
                <w:highlight w:val="none"/>
                <w:lang w:val="en-US"/>
              </w:rPr>
            </w:pPr>
            <w:r>
              <w:rPr>
                <w:rFonts w:hint="eastAsia" w:ascii="宋体" w:hAnsi="宋体" w:cs="宋体"/>
                <w:bCs/>
                <w:sz w:val="21"/>
                <w:szCs w:val="21"/>
                <w:highlight w:val="none"/>
                <w:lang w:val="en-US" w:eastAsia="zh-CN"/>
              </w:rPr>
              <w:t>工程创优规划和工程质量保证措施</w:t>
            </w:r>
            <w:r>
              <w:rPr>
                <w:rFonts w:hint="eastAsia" w:ascii="宋体" w:hAnsi="宋体" w:eastAsia="宋体" w:cs="宋体"/>
                <w:bCs/>
                <w:sz w:val="21"/>
                <w:szCs w:val="21"/>
                <w:highlight w:val="none"/>
              </w:rPr>
              <w:t>编制详细、全面、合理性,好</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分,中</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分,差</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2分</w:t>
            </w:r>
          </w:p>
        </w:tc>
        <w:tc>
          <w:tcPr>
            <w:tcW w:w="821" w:type="dxa"/>
            <w:noWrap w:val="0"/>
            <w:vAlign w:val="center"/>
          </w:tcPr>
          <w:p w14:paraId="19CD34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w:t>
            </w:r>
          </w:p>
        </w:tc>
      </w:tr>
      <w:tr w14:paraId="3AD5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44" w:type="dxa"/>
            <w:vMerge w:val="continue"/>
            <w:noWrap w:val="0"/>
            <w:vAlign w:val="center"/>
          </w:tcPr>
          <w:p w14:paraId="7DF9807A">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1077" w:type="dxa"/>
            <w:vMerge w:val="continue"/>
            <w:noWrap w:val="0"/>
            <w:vAlign w:val="top"/>
          </w:tcPr>
          <w:p w14:paraId="4089FB14">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2257" w:type="dxa"/>
            <w:noWrap w:val="0"/>
            <w:vAlign w:val="center"/>
          </w:tcPr>
          <w:p w14:paraId="5BCD942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5、工期、安全保证措施</w:t>
            </w:r>
          </w:p>
        </w:tc>
        <w:tc>
          <w:tcPr>
            <w:tcW w:w="4538" w:type="dxa"/>
            <w:noWrap w:val="0"/>
            <w:vAlign w:val="center"/>
          </w:tcPr>
          <w:p w14:paraId="4E7D0C8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规划和质量保证措施编制详细、全面、合理性强,方案计划内容合理,好</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分,中</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分,差</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tc>
        <w:tc>
          <w:tcPr>
            <w:tcW w:w="821" w:type="dxa"/>
            <w:noWrap w:val="0"/>
            <w:vAlign w:val="center"/>
          </w:tcPr>
          <w:p w14:paraId="2706C0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w:t>
            </w:r>
          </w:p>
        </w:tc>
      </w:tr>
      <w:tr w14:paraId="65B6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44" w:type="dxa"/>
            <w:vMerge w:val="continue"/>
            <w:noWrap w:val="0"/>
            <w:vAlign w:val="center"/>
          </w:tcPr>
          <w:p w14:paraId="423BD7E9">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1077" w:type="dxa"/>
            <w:vMerge w:val="continue"/>
            <w:noWrap w:val="0"/>
            <w:vAlign w:val="top"/>
          </w:tcPr>
          <w:p w14:paraId="0DB8E5C4">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2257" w:type="dxa"/>
            <w:noWrap w:val="0"/>
            <w:vAlign w:val="center"/>
          </w:tcPr>
          <w:p w14:paraId="3E664CA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6、环境保护及文明施工</w:t>
            </w:r>
          </w:p>
        </w:tc>
        <w:tc>
          <w:tcPr>
            <w:tcW w:w="4538" w:type="dxa"/>
            <w:noWrap w:val="0"/>
            <w:vAlign w:val="center"/>
          </w:tcPr>
          <w:p w14:paraId="715804E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环境保护及文明施工编制详细、全面、合理性,好</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分,中</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分,差</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tc>
        <w:tc>
          <w:tcPr>
            <w:tcW w:w="821" w:type="dxa"/>
            <w:noWrap w:val="0"/>
            <w:vAlign w:val="center"/>
          </w:tcPr>
          <w:p w14:paraId="73807E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w:t>
            </w:r>
          </w:p>
        </w:tc>
      </w:tr>
      <w:tr w14:paraId="3E50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44" w:type="dxa"/>
            <w:vMerge w:val="continue"/>
            <w:noWrap w:val="0"/>
            <w:vAlign w:val="center"/>
          </w:tcPr>
          <w:p w14:paraId="0461683F">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1077" w:type="dxa"/>
            <w:vMerge w:val="continue"/>
            <w:noWrap w:val="0"/>
            <w:vAlign w:val="top"/>
          </w:tcPr>
          <w:p w14:paraId="281A9F02">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2257" w:type="dxa"/>
            <w:noWrap w:val="0"/>
            <w:vAlign w:val="center"/>
          </w:tcPr>
          <w:p w14:paraId="6678193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7、应急方案</w:t>
            </w:r>
          </w:p>
        </w:tc>
        <w:tc>
          <w:tcPr>
            <w:tcW w:w="4538" w:type="dxa"/>
            <w:noWrap w:val="0"/>
            <w:vAlign w:val="center"/>
          </w:tcPr>
          <w:p w14:paraId="1DAB125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应急方案编制详细、全面、合理性</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好</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分,中</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分,差</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rPr>
              <w:t>分</w:t>
            </w:r>
          </w:p>
        </w:tc>
        <w:tc>
          <w:tcPr>
            <w:tcW w:w="821" w:type="dxa"/>
            <w:noWrap w:val="0"/>
            <w:vAlign w:val="center"/>
          </w:tcPr>
          <w:p w14:paraId="21F6BC6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rPr>
              <w:t>分</w:t>
            </w:r>
          </w:p>
        </w:tc>
      </w:tr>
      <w:tr w14:paraId="7397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44" w:type="dxa"/>
            <w:vMerge w:val="continue"/>
            <w:noWrap w:val="0"/>
            <w:vAlign w:val="center"/>
          </w:tcPr>
          <w:p w14:paraId="3C7F45E8">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1077" w:type="dxa"/>
            <w:vMerge w:val="continue"/>
            <w:noWrap w:val="0"/>
            <w:vAlign w:val="top"/>
          </w:tcPr>
          <w:p w14:paraId="7851E361">
            <w:pPr>
              <w:keepNext w:val="0"/>
              <w:keepLines w:val="0"/>
              <w:pageBreakBefore w:val="0"/>
              <w:widowControl/>
              <w:kinsoku w:val="0"/>
              <w:wordWrap/>
              <w:overflowPunct/>
              <w:topLinePunct w:val="0"/>
              <w:autoSpaceDE w:val="0"/>
              <w:autoSpaceDN w:val="0"/>
              <w:bidi w:val="0"/>
              <w:adjustRightInd w:val="0"/>
              <w:snapToGrid w:val="0"/>
              <w:spacing w:line="240" w:lineRule="auto"/>
              <w:ind w:left="420" w:leftChars="200"/>
              <w:jc w:val="left"/>
              <w:textAlignment w:val="baseline"/>
              <w:rPr>
                <w:rFonts w:hint="eastAsia" w:ascii="宋体" w:hAnsi="宋体" w:eastAsia="宋体" w:cs="宋体"/>
                <w:bCs/>
                <w:sz w:val="21"/>
                <w:szCs w:val="21"/>
                <w:highlight w:val="none"/>
              </w:rPr>
            </w:pPr>
          </w:p>
        </w:tc>
        <w:tc>
          <w:tcPr>
            <w:tcW w:w="7616" w:type="dxa"/>
            <w:gridSpan w:val="3"/>
            <w:noWrap w:val="0"/>
            <w:vAlign w:val="top"/>
          </w:tcPr>
          <w:p w14:paraId="54BFEDE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b/>
                <w:bCs w:val="0"/>
                <w:kern w:val="0"/>
                <w:sz w:val="21"/>
                <w:szCs w:val="21"/>
                <w:highlight w:val="none"/>
              </w:rPr>
              <w:t xml:space="preserve">1、评标委员会按上列评分因素和评分标准对施工组织设计进行评审。 </w:t>
            </w:r>
            <w:r>
              <w:rPr>
                <w:rFonts w:hint="eastAsia" w:ascii="宋体" w:hAnsi="宋体" w:eastAsia="宋体" w:cs="宋体"/>
                <w:bCs/>
                <w:kern w:val="0"/>
                <w:sz w:val="21"/>
                <w:szCs w:val="21"/>
                <w:highlight w:val="none"/>
              </w:rPr>
              <w:t xml:space="preserve"> </w:t>
            </w:r>
          </w:p>
        </w:tc>
      </w:tr>
      <w:tr w14:paraId="75E4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dxa"/>
            <w:noWrap w:val="0"/>
            <w:vAlign w:val="center"/>
          </w:tcPr>
          <w:p w14:paraId="047FF8E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rPr>
            </w:pPr>
            <w:r>
              <w:rPr>
                <w:rFonts w:hint="eastAsia" w:ascii="宋体" w:hAnsi="宋体" w:eastAsia="宋体" w:cs="宋体"/>
                <w:sz w:val="21"/>
                <w:szCs w:val="21"/>
              </w:rPr>
              <w:t>三</w:t>
            </w:r>
          </w:p>
        </w:tc>
        <w:tc>
          <w:tcPr>
            <w:tcW w:w="8693" w:type="dxa"/>
            <w:gridSpan w:val="4"/>
            <w:noWrap w:val="0"/>
            <w:vAlign w:val="center"/>
          </w:tcPr>
          <w:p w14:paraId="0417FC0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综合能力</w:t>
            </w:r>
            <w:r>
              <w:rPr>
                <w:rFonts w:hint="eastAsia" w:ascii="宋体" w:hAnsi="宋体" w:cs="宋体"/>
                <w:sz w:val="21"/>
                <w:szCs w:val="21"/>
                <w:lang w:eastAsia="zh-CN"/>
              </w:rPr>
              <w:t>（</w:t>
            </w:r>
            <w:r>
              <w:rPr>
                <w:rFonts w:hint="eastAsia" w:ascii="宋体" w:hAnsi="宋体" w:cs="宋体"/>
                <w:sz w:val="21"/>
                <w:szCs w:val="21"/>
                <w:lang w:val="en-US" w:eastAsia="zh-CN"/>
              </w:rPr>
              <w:t>29</w:t>
            </w:r>
            <w:r>
              <w:rPr>
                <w:rFonts w:hint="eastAsia" w:ascii="宋体" w:hAnsi="宋体" w:eastAsia="宋体" w:cs="宋体"/>
                <w:sz w:val="21"/>
                <w:szCs w:val="21"/>
              </w:rPr>
              <w:t>分</w:t>
            </w:r>
            <w:r>
              <w:rPr>
                <w:rFonts w:hint="eastAsia" w:ascii="宋体" w:hAnsi="宋体" w:cs="宋体"/>
                <w:sz w:val="21"/>
                <w:szCs w:val="21"/>
                <w:lang w:eastAsia="zh-CN"/>
              </w:rPr>
              <w:t>）</w:t>
            </w:r>
          </w:p>
        </w:tc>
      </w:tr>
      <w:tr w14:paraId="22A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44" w:type="dxa"/>
            <w:noWrap w:val="0"/>
            <w:vAlign w:val="center"/>
          </w:tcPr>
          <w:p w14:paraId="50DC64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077" w:type="dxa"/>
            <w:noWrap w:val="0"/>
            <w:vAlign w:val="center"/>
          </w:tcPr>
          <w:p w14:paraId="707E223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Cs/>
                <w:kern w:val="0"/>
                <w:szCs w:val="21"/>
                <w:highlight w:val="none"/>
                <w:lang w:eastAsia="zh-CN"/>
              </w:rPr>
            </w:pPr>
            <w:r>
              <w:rPr>
                <w:rFonts w:hint="eastAsia" w:ascii="宋体" w:hAnsi="宋体" w:cs="宋体"/>
                <w:bCs/>
                <w:kern w:val="0"/>
                <w:szCs w:val="21"/>
                <w:highlight w:val="none"/>
                <w:lang w:eastAsia="zh-CN"/>
              </w:rPr>
              <w:t>业绩</w:t>
            </w:r>
          </w:p>
          <w:p w14:paraId="5320D9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cs="宋体"/>
                <w:bCs/>
                <w:kern w:val="0"/>
                <w:szCs w:val="21"/>
                <w:highlight w:val="none"/>
                <w:lang w:val="en-US" w:eastAsia="zh-CN"/>
              </w:rPr>
              <w:t>（6</w:t>
            </w:r>
            <w:r>
              <w:rPr>
                <w:rFonts w:hint="eastAsia" w:ascii="宋体" w:hAnsi="宋体" w:cs="宋体"/>
                <w:bCs/>
                <w:kern w:val="0"/>
                <w:szCs w:val="21"/>
                <w:highlight w:val="none"/>
              </w:rPr>
              <w:t>分</w:t>
            </w:r>
            <w:r>
              <w:rPr>
                <w:rFonts w:hint="eastAsia" w:ascii="宋体" w:hAnsi="宋体" w:cs="宋体"/>
                <w:bCs/>
                <w:kern w:val="0"/>
                <w:szCs w:val="21"/>
                <w:highlight w:val="none"/>
                <w:lang w:eastAsia="zh-CN"/>
              </w:rPr>
              <w:t>）</w:t>
            </w:r>
          </w:p>
        </w:tc>
        <w:tc>
          <w:tcPr>
            <w:tcW w:w="6795" w:type="dxa"/>
            <w:gridSpan w:val="2"/>
            <w:noWrap w:val="0"/>
            <w:vAlign w:val="center"/>
          </w:tcPr>
          <w:p w14:paraId="15DBBAA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投标人202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月1日至今，（以施工合同签订时间为准），具有</w:t>
            </w:r>
            <w:r>
              <w:rPr>
                <w:rFonts w:hint="eastAsia" w:ascii="宋体" w:hAnsi="宋体" w:cs="宋体"/>
                <w:sz w:val="21"/>
                <w:szCs w:val="21"/>
                <w:lang w:val="en-US" w:eastAsia="zh-CN"/>
              </w:rPr>
              <w:t>类似市政工程</w:t>
            </w:r>
            <w:r>
              <w:rPr>
                <w:rFonts w:hint="eastAsia" w:ascii="宋体" w:hAnsi="宋体" w:eastAsia="宋体" w:cs="宋体"/>
                <w:sz w:val="21"/>
                <w:szCs w:val="21"/>
                <w:lang w:eastAsia="zh-CN"/>
              </w:rPr>
              <w:t>业绩：有一份的得</w:t>
            </w:r>
            <w:r>
              <w:rPr>
                <w:rFonts w:hint="eastAsia" w:ascii="宋体" w:hAnsi="宋体" w:cs="宋体"/>
                <w:sz w:val="21"/>
                <w:szCs w:val="21"/>
                <w:lang w:val="en-US" w:eastAsia="zh-CN"/>
              </w:rPr>
              <w:t>2</w:t>
            </w:r>
            <w:r>
              <w:rPr>
                <w:rFonts w:hint="eastAsia" w:ascii="宋体" w:hAnsi="宋体" w:eastAsia="宋体" w:cs="宋体"/>
                <w:sz w:val="21"/>
                <w:szCs w:val="21"/>
                <w:lang w:eastAsia="zh-CN"/>
              </w:rPr>
              <w:t>分，最高得</w:t>
            </w:r>
            <w:r>
              <w:rPr>
                <w:rFonts w:hint="eastAsia" w:ascii="宋体" w:hAnsi="宋体" w:cs="宋体"/>
                <w:sz w:val="21"/>
                <w:szCs w:val="21"/>
                <w:lang w:val="en-US" w:eastAsia="zh-CN"/>
              </w:rPr>
              <w:t>6</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需</w:t>
            </w:r>
            <w:r>
              <w:rPr>
                <w:rFonts w:hint="eastAsia" w:ascii="宋体" w:hAnsi="宋体" w:eastAsia="宋体" w:cs="宋体"/>
                <w:sz w:val="21"/>
                <w:szCs w:val="21"/>
                <w:lang w:eastAsia="zh-CN"/>
              </w:rPr>
              <w:t>提供中标通知书，施工合同，竣工验收证明材料，缺一不可，</w:t>
            </w:r>
            <w:r>
              <w:rPr>
                <w:rFonts w:hint="eastAsia" w:ascii="宋体" w:hAnsi="宋体" w:eastAsia="宋体" w:cs="宋体"/>
                <w:sz w:val="21"/>
                <w:szCs w:val="21"/>
                <w:highlight w:val="none"/>
                <w:lang w:eastAsia="zh-CN"/>
              </w:rPr>
              <w:t>材料的原件扫描件</w:t>
            </w:r>
            <w:r>
              <w:rPr>
                <w:rFonts w:hint="eastAsia" w:ascii="宋体" w:hAnsi="宋体" w:eastAsia="宋体" w:cs="宋体"/>
                <w:sz w:val="21"/>
                <w:szCs w:val="21"/>
                <w:highlight w:val="none"/>
                <w:lang w:val="en-US" w:eastAsia="zh-CN"/>
              </w:rPr>
              <w:t>电子签章</w:t>
            </w:r>
            <w:r>
              <w:rPr>
                <w:rFonts w:hint="eastAsia" w:ascii="宋体" w:hAnsi="宋体" w:eastAsia="宋体" w:cs="宋体"/>
                <w:sz w:val="21"/>
                <w:szCs w:val="21"/>
                <w:highlight w:val="none"/>
                <w:lang w:eastAsia="zh-CN"/>
              </w:rPr>
              <w:t>上传</w:t>
            </w:r>
            <w:r>
              <w:rPr>
                <w:rFonts w:hint="eastAsia" w:ascii="宋体" w:hAnsi="宋体" w:cs="宋体"/>
                <w:sz w:val="21"/>
                <w:szCs w:val="21"/>
                <w:highlight w:val="none"/>
                <w:lang w:val="en-US" w:eastAsia="zh-CN"/>
              </w:rPr>
              <w:t>电子标书</w:t>
            </w:r>
            <w:r>
              <w:rPr>
                <w:rFonts w:hint="eastAsia" w:ascii="宋体" w:hAnsi="宋体" w:eastAsia="宋体" w:cs="宋体"/>
                <w:sz w:val="21"/>
                <w:szCs w:val="21"/>
                <w:lang w:eastAsia="zh-CN"/>
              </w:rPr>
              <w:t>。</w:t>
            </w:r>
          </w:p>
          <w:p w14:paraId="1915FDE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注：1.竣工验收证明必须经建设单位，监理单位</w:t>
            </w:r>
            <w:r>
              <w:rPr>
                <w:rFonts w:hint="eastAsia" w:ascii="宋体" w:hAnsi="宋体" w:cs="宋体"/>
                <w:sz w:val="21"/>
                <w:szCs w:val="21"/>
                <w:lang w:eastAsia="zh-CN"/>
              </w:rPr>
              <w:t>，</w:t>
            </w:r>
            <w:r>
              <w:rPr>
                <w:rFonts w:hint="eastAsia" w:ascii="宋体" w:hAnsi="宋体" w:eastAsia="宋体" w:cs="宋体"/>
                <w:sz w:val="21"/>
                <w:szCs w:val="21"/>
                <w:lang w:eastAsia="zh-CN"/>
              </w:rPr>
              <w:t>施工单位</w:t>
            </w:r>
            <w:r>
              <w:rPr>
                <w:rFonts w:hint="eastAsia" w:ascii="宋体" w:hAnsi="宋体" w:cs="宋体"/>
                <w:sz w:val="21"/>
                <w:szCs w:val="21"/>
                <w:lang w:eastAsia="zh-CN"/>
              </w:rPr>
              <w:t>，</w:t>
            </w:r>
            <w:r>
              <w:rPr>
                <w:rFonts w:hint="eastAsia" w:ascii="宋体" w:hAnsi="宋体" w:cs="宋体"/>
                <w:sz w:val="21"/>
                <w:szCs w:val="21"/>
                <w:lang w:val="en-US" w:eastAsia="zh-CN"/>
              </w:rPr>
              <w:t>设计单位四</w:t>
            </w:r>
            <w:r>
              <w:rPr>
                <w:rFonts w:hint="eastAsia" w:ascii="宋体" w:hAnsi="宋体" w:eastAsia="宋体" w:cs="宋体"/>
                <w:sz w:val="21"/>
                <w:szCs w:val="21"/>
                <w:lang w:eastAsia="zh-CN"/>
              </w:rPr>
              <w:t>方盖章齐全，缺一不可。</w:t>
            </w:r>
          </w:p>
        </w:tc>
        <w:tc>
          <w:tcPr>
            <w:tcW w:w="821" w:type="dxa"/>
            <w:noWrap w:val="0"/>
            <w:vAlign w:val="center"/>
          </w:tcPr>
          <w:p w14:paraId="2BAF64F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cs="宋体"/>
                <w:sz w:val="21"/>
                <w:szCs w:val="21"/>
                <w:lang w:val="en-US" w:eastAsia="zh-CN"/>
              </w:rPr>
              <w:t>6分</w:t>
            </w:r>
          </w:p>
        </w:tc>
      </w:tr>
      <w:tr w14:paraId="3765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44" w:type="dxa"/>
            <w:noWrap w:val="0"/>
            <w:vAlign w:val="center"/>
          </w:tcPr>
          <w:p w14:paraId="7386486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077" w:type="dxa"/>
            <w:noWrap w:val="0"/>
            <w:vAlign w:val="center"/>
          </w:tcPr>
          <w:p w14:paraId="1804CB5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人员配备</w:t>
            </w:r>
          </w:p>
          <w:p w14:paraId="4D32862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（17</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p>
        </w:tc>
        <w:tc>
          <w:tcPr>
            <w:tcW w:w="6795" w:type="dxa"/>
            <w:gridSpan w:val="2"/>
            <w:noWrap w:val="0"/>
            <w:vAlign w:val="center"/>
          </w:tcPr>
          <w:p w14:paraId="13F883F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1、项目技术负责人具有建设工程</w:t>
            </w:r>
            <w:r>
              <w:rPr>
                <w:rFonts w:hint="eastAsia" w:ascii="宋体" w:hAnsi="宋体" w:cs="宋体"/>
                <w:sz w:val="21"/>
                <w:szCs w:val="21"/>
                <w:lang w:val="en-US" w:eastAsia="zh-CN"/>
              </w:rPr>
              <w:t>高</w:t>
            </w:r>
            <w:r>
              <w:rPr>
                <w:rFonts w:hint="eastAsia" w:ascii="宋体" w:hAnsi="宋体" w:eastAsia="宋体" w:cs="宋体"/>
                <w:sz w:val="21"/>
                <w:szCs w:val="21"/>
                <w:lang w:val="en-US" w:eastAsia="zh-CN"/>
              </w:rPr>
              <w:t>级及以上职称证书的得3分，项目技术负责人具有建设工程</w:t>
            </w:r>
            <w:r>
              <w:rPr>
                <w:rFonts w:hint="eastAsia" w:ascii="宋体" w:hAnsi="宋体" w:cs="宋体"/>
                <w:sz w:val="21"/>
                <w:szCs w:val="21"/>
                <w:lang w:val="en-US" w:eastAsia="zh-CN"/>
              </w:rPr>
              <w:t>中</w:t>
            </w:r>
            <w:r>
              <w:rPr>
                <w:rFonts w:hint="eastAsia" w:ascii="宋体" w:hAnsi="宋体" w:eastAsia="宋体" w:cs="宋体"/>
                <w:sz w:val="21"/>
                <w:szCs w:val="21"/>
                <w:lang w:val="en-US" w:eastAsia="zh-CN"/>
              </w:rPr>
              <w:t>级职称证书的得1分，其余不得分。（提供职称证书和202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月以来任意1个月投标人为其缴纳的任意一个月社保证明并上传电子标书）</w:t>
            </w:r>
          </w:p>
          <w:p w14:paraId="6F4C85A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2、施工员、安全员、质量员、资料员、</w:t>
            </w:r>
            <w:r>
              <w:rPr>
                <w:rFonts w:hint="eastAsia" w:ascii="宋体" w:hAnsi="宋体" w:eastAsia="宋体" w:cs="宋体"/>
                <w:sz w:val="21"/>
                <w:szCs w:val="21"/>
                <w:highlight w:val="none"/>
                <w:lang w:val="en-US" w:eastAsia="zh-CN"/>
              </w:rPr>
              <w:t>劳务员</w:t>
            </w:r>
            <w:r>
              <w:rPr>
                <w:rFonts w:hint="eastAsia" w:ascii="宋体" w:hAnsi="宋体" w:cs="宋体"/>
                <w:sz w:val="21"/>
                <w:szCs w:val="21"/>
                <w:highlight w:val="none"/>
                <w:lang w:val="en-US" w:eastAsia="zh-CN"/>
              </w:rPr>
              <w:t>、材料员、造价员</w:t>
            </w:r>
            <w:r>
              <w:rPr>
                <w:rFonts w:hint="eastAsia" w:ascii="宋体" w:hAnsi="宋体" w:eastAsia="宋体" w:cs="宋体"/>
                <w:sz w:val="21"/>
                <w:szCs w:val="21"/>
                <w:lang w:val="en-US" w:eastAsia="zh-CN"/>
              </w:rPr>
              <w:t>，有一人得2分，最高得1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分。证书扫描件上传至电子标书 。（以上人员须提供202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月以来任意1个月投标人为其缴纳的社保证明上传电子标书。</w:t>
            </w:r>
          </w:p>
          <w:p w14:paraId="42CACAD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证书</w:t>
            </w:r>
            <w:r>
              <w:rPr>
                <w:rFonts w:hint="eastAsia" w:ascii="宋体" w:hAnsi="宋体" w:eastAsia="宋体" w:cs="宋体"/>
                <w:sz w:val="21"/>
                <w:szCs w:val="21"/>
                <w:lang w:val="en-US" w:eastAsia="zh-CN"/>
              </w:rPr>
              <w:t>复印件加盖</w:t>
            </w:r>
            <w:r>
              <w:rPr>
                <w:rFonts w:hint="eastAsia" w:ascii="宋体" w:hAnsi="宋体" w:cs="宋体"/>
                <w:sz w:val="21"/>
                <w:szCs w:val="21"/>
                <w:lang w:val="en-US" w:eastAsia="zh-CN"/>
              </w:rPr>
              <w:t>公司公章</w:t>
            </w:r>
            <w:r>
              <w:rPr>
                <w:rFonts w:hint="eastAsia" w:ascii="宋体" w:hAnsi="宋体" w:eastAsia="宋体" w:cs="宋体"/>
                <w:sz w:val="21"/>
                <w:szCs w:val="21"/>
                <w:lang w:val="en-US" w:eastAsia="zh-CN"/>
              </w:rPr>
              <w:t>）</w:t>
            </w:r>
          </w:p>
        </w:tc>
        <w:tc>
          <w:tcPr>
            <w:tcW w:w="821" w:type="dxa"/>
            <w:noWrap w:val="0"/>
            <w:vAlign w:val="center"/>
          </w:tcPr>
          <w:p w14:paraId="56F386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r>
      <w:tr w14:paraId="4129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4" w:type="dxa"/>
            <w:noWrap w:val="0"/>
            <w:vAlign w:val="center"/>
          </w:tcPr>
          <w:p w14:paraId="6CAA208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077" w:type="dxa"/>
            <w:noWrap w:val="0"/>
            <w:vAlign w:val="center"/>
          </w:tcPr>
          <w:p w14:paraId="112C44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体系认证(6分)</w:t>
            </w:r>
          </w:p>
        </w:tc>
        <w:tc>
          <w:tcPr>
            <w:tcW w:w="6795" w:type="dxa"/>
            <w:gridSpan w:val="2"/>
            <w:noWrap w:val="0"/>
            <w:vAlign w:val="center"/>
          </w:tcPr>
          <w:p w14:paraId="5516AD4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投标人具有有效期内</w:t>
            </w:r>
            <w:r>
              <w:rPr>
                <w:rFonts w:hint="eastAsia" w:ascii="宋体" w:hAnsi="宋体" w:eastAsia="宋体" w:cs="宋体"/>
                <w:sz w:val="21"/>
                <w:szCs w:val="21"/>
                <w:lang w:val="en-US" w:eastAsia="zh-CN"/>
              </w:rPr>
              <w:t>市政类</w:t>
            </w:r>
            <w:r>
              <w:rPr>
                <w:rFonts w:hint="eastAsia" w:ascii="宋体" w:hAnsi="宋体" w:eastAsia="宋体" w:cs="宋体"/>
                <w:sz w:val="21"/>
                <w:szCs w:val="21"/>
                <w:lang w:eastAsia="zh-CN"/>
              </w:rPr>
              <w:t>的I909001</w:t>
            </w:r>
            <w:r>
              <w:rPr>
                <w:rFonts w:hint="eastAsia" w:ascii="宋体" w:hAnsi="宋体" w:eastAsia="宋体" w:cs="宋体"/>
                <w:sz w:val="21"/>
                <w:szCs w:val="21"/>
                <w:lang w:val="en-US" w:eastAsia="zh-CN"/>
              </w:rPr>
              <w:t>质量</w:t>
            </w:r>
            <w:r>
              <w:rPr>
                <w:rFonts w:hint="eastAsia" w:ascii="宋体" w:hAnsi="宋体" w:eastAsia="宋体" w:cs="宋体"/>
                <w:sz w:val="21"/>
                <w:szCs w:val="21"/>
                <w:lang w:eastAsia="zh-CN"/>
              </w:rPr>
              <w:t>管理体系认证、IS014001环境管理体系认证、I9045001职业健康安全管理认证，有一个得2分，最高得6分。(提供国家市场监督管理总局网页截图加盖公章（http://cx.cnca.cn/CertECloud/result/skipResultList?certItemOne=A），证书须在有效期内，证书复印件加盖公章，不提供不得分）。</w:t>
            </w:r>
          </w:p>
        </w:tc>
        <w:tc>
          <w:tcPr>
            <w:tcW w:w="821" w:type="dxa"/>
            <w:noWrap w:val="0"/>
            <w:vAlign w:val="center"/>
          </w:tcPr>
          <w:p w14:paraId="3C0684E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宋体" w:hAnsi="宋体" w:cs="宋体"/>
                <w:sz w:val="21"/>
                <w:szCs w:val="21"/>
                <w:lang w:val="en-US" w:eastAsia="zh-CN"/>
              </w:rPr>
              <w:t>6分</w:t>
            </w:r>
          </w:p>
        </w:tc>
      </w:tr>
    </w:tbl>
    <w:p w14:paraId="461BEE6A">
      <w:pPr>
        <w:pageBreakBefore w:val="0"/>
        <w:kinsoku/>
        <w:wordWrap w:val="0"/>
        <w:overflowPunct/>
        <w:topLinePunct w:val="0"/>
        <w:bidi w:val="0"/>
        <w:snapToGrid/>
        <w:textAlignment w:val="auto"/>
      </w:pPr>
    </w:p>
    <w:p w14:paraId="23F40E6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right="0"/>
        <w:jc w:val="both"/>
        <w:textAlignment w:val="auto"/>
        <w:rPr>
          <w:color w:val="auto"/>
          <w:highlight w:val="none"/>
        </w:rPr>
      </w:pPr>
      <w:r>
        <w:rPr>
          <w:rFonts w:ascii="仿宋" w:hAnsi="仿宋" w:eastAsia="仿宋" w:cs="仿宋"/>
          <w:color w:val="auto"/>
          <w:sz w:val="28"/>
          <w:highlight w:val="none"/>
        </w:rPr>
        <w:t>注：相关材料扫描件上传投标文件，未上传不得分。</w:t>
      </w:r>
    </w:p>
    <w:p w14:paraId="2C4C197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firstLineChars="200"/>
        <w:jc w:val="both"/>
        <w:textAlignment w:val="auto"/>
      </w:pPr>
      <w:r>
        <w:rPr>
          <w:rFonts w:hint="eastAsia" w:ascii="仿宋" w:hAnsi="仿宋" w:eastAsia="仿宋" w:cs="仿宋"/>
          <w:color w:val="000000"/>
          <w:sz w:val="28"/>
        </w:rPr>
        <w:t>采购人有权在中标公示期间对中标人提供的与本评分办法相关的材料等评分依据的真实性进行复查，如发现有通过提供虚假证明文件获得分值，将取消中标资格，并提请监督机构按照政府采购相关法规处理。</w:t>
      </w:r>
      <w:r>
        <w:rPr>
          <w:rFonts w:ascii="仿宋" w:hAnsi="仿宋" w:eastAsia="仿宋" w:cs="仿宋"/>
          <w:color w:val="000000"/>
          <w:sz w:val="28"/>
        </w:rPr>
        <w:t> </w:t>
      </w:r>
    </w:p>
    <w:p w14:paraId="7F3CD0C0">
      <w:pPr>
        <w:pageBreakBefore w:val="0"/>
        <w:kinsoku/>
        <w:wordWrap w:val="0"/>
        <w:overflowPunct/>
        <w:topLinePunct w:val="0"/>
        <w:autoSpaceDE w:val="0"/>
        <w:autoSpaceDN w:val="0"/>
        <w:bidi w:val="0"/>
        <w:adjustRightInd w:val="0"/>
        <w:snapToGrid/>
        <w:spacing w:line="440" w:lineRule="exact"/>
        <w:ind w:firstLine="560" w:firstLineChars="200"/>
        <w:textAlignment w:val="auto"/>
        <w:rPr>
          <w:rFonts w:ascii="宋体" w:cs="宋体"/>
          <w:color w:val="000000"/>
          <w:sz w:val="24"/>
        </w:rPr>
      </w:pPr>
      <w:r>
        <w:rPr>
          <w:rFonts w:ascii="仿宋" w:hAnsi="仿宋" w:eastAsia="仿宋" w:cs="仿宋"/>
          <w:color w:val="000000"/>
          <w:sz w:val="28"/>
        </w:rPr>
        <w:t> </w:t>
      </w:r>
      <w:r>
        <w:rPr>
          <w:rFonts w:hint="eastAsia" w:ascii="宋体" w:cs="宋体"/>
          <w:color w:val="000000"/>
          <w:sz w:val="24"/>
        </w:rPr>
        <w:t>磋商结束后，成交结果将在淮安市政府采购网上进行公告。磋商供应商对采购过程和成交结果有质疑的必须在相关法律法规规定的时间内提出。</w:t>
      </w:r>
    </w:p>
    <w:p w14:paraId="40E2CFD3">
      <w:pPr>
        <w:pageBreakBefore w:val="0"/>
        <w:kinsoku/>
        <w:wordWrap w:val="0"/>
        <w:overflowPunct/>
        <w:topLinePunct w:val="0"/>
        <w:bidi w:val="0"/>
        <w:snapToGrid/>
        <w:spacing w:line="440" w:lineRule="exact"/>
        <w:ind w:firstLine="471" w:firstLineChars="196"/>
        <w:textAlignment w:val="auto"/>
        <w:rPr>
          <w:rFonts w:ascii="宋体" w:cs="宋体"/>
          <w:b/>
          <w:color w:val="000000"/>
          <w:sz w:val="24"/>
        </w:rPr>
      </w:pPr>
      <w:r>
        <w:rPr>
          <w:rFonts w:hint="eastAsia" w:ascii="宋体" w:cs="宋体"/>
          <w:b/>
          <w:color w:val="000000"/>
          <w:sz w:val="24"/>
        </w:rPr>
        <w:t>成交候选人在公示期间，如经查实从参加该成交项目之日起计算所参加的政府采购活动前三年内，在经营活动中有行贿犯罪记录的，采购人将取消其成交候选人资格。</w:t>
      </w:r>
    </w:p>
    <w:p w14:paraId="096082F7">
      <w:pPr>
        <w:pageBreakBefore w:val="0"/>
        <w:kinsoku/>
        <w:wordWrap w:val="0"/>
        <w:overflowPunct/>
        <w:topLinePunct w:val="0"/>
        <w:bidi w:val="0"/>
        <w:snapToGrid/>
        <w:spacing w:line="440" w:lineRule="exact"/>
        <w:ind w:right="-634" w:rightChars="-302"/>
        <w:textAlignment w:val="auto"/>
        <w:rPr>
          <w:rFonts w:ascii="宋体" w:cs="宋体"/>
          <w:b/>
          <w:bCs/>
          <w:color w:val="000000"/>
          <w:sz w:val="24"/>
        </w:rPr>
      </w:pPr>
      <w:r>
        <w:rPr>
          <w:rFonts w:hint="eastAsia" w:ascii="宋体" w:cs="宋体"/>
          <w:b/>
          <w:bCs/>
          <w:color w:val="000000"/>
          <w:sz w:val="24"/>
        </w:rPr>
        <w:t>磋商过程保密</w:t>
      </w:r>
    </w:p>
    <w:p w14:paraId="73DB3055">
      <w:pPr>
        <w:pageBreakBefore w:val="0"/>
        <w:kinsoku/>
        <w:wordWrap w:val="0"/>
        <w:overflowPunct/>
        <w:topLinePunct w:val="0"/>
        <w:autoSpaceDE w:val="0"/>
        <w:autoSpaceDN w:val="0"/>
        <w:bidi w:val="0"/>
        <w:adjustRightInd w:val="0"/>
        <w:snapToGrid/>
        <w:spacing w:line="440" w:lineRule="exact"/>
        <w:ind w:firstLine="480" w:firstLineChars="200"/>
        <w:textAlignment w:val="auto"/>
        <w:rPr>
          <w:rFonts w:ascii="宋体" w:cs="宋体"/>
          <w:color w:val="000000"/>
          <w:sz w:val="24"/>
        </w:rPr>
      </w:pPr>
      <w:r>
        <w:rPr>
          <w:rFonts w:hint="eastAsia" w:ascii="宋体" w:cs="宋体"/>
          <w:color w:val="000000"/>
          <w:sz w:val="24"/>
        </w:rPr>
        <w:t>在宣布确定成交之前，凡属于审查、澄清、磋商、比较响应文件和确定成交意向等有关信息，均不得泄露给任何与磋商工作无关的人员。</w:t>
      </w:r>
    </w:p>
    <w:p w14:paraId="46DE73A0">
      <w:pPr>
        <w:pageBreakBefore w:val="0"/>
        <w:kinsoku/>
        <w:wordWrap w:val="0"/>
        <w:overflowPunct/>
        <w:topLinePunct w:val="0"/>
        <w:autoSpaceDE w:val="0"/>
        <w:autoSpaceDN w:val="0"/>
        <w:bidi w:val="0"/>
        <w:adjustRightInd w:val="0"/>
        <w:snapToGrid/>
        <w:spacing w:line="440" w:lineRule="exact"/>
        <w:textAlignment w:val="auto"/>
        <w:rPr>
          <w:rFonts w:ascii="宋体" w:cs="宋体"/>
          <w:color w:val="000000"/>
          <w:sz w:val="24"/>
        </w:rPr>
      </w:pPr>
      <w:r>
        <w:rPr>
          <w:rFonts w:hint="eastAsia" w:ascii="宋体" w:cs="宋体"/>
          <w:color w:val="000000"/>
          <w:sz w:val="24"/>
        </w:rPr>
        <w:t xml:space="preserve">    磋商供应商不得探听上述信息，不得以任何行为影响磋商过程，否则将被取消成交资格。</w:t>
      </w:r>
    </w:p>
    <w:p w14:paraId="1415B7B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hint="eastAsia" w:ascii="宋体" w:cs="宋体"/>
          <w:color w:val="000000"/>
          <w:sz w:val="24"/>
        </w:rPr>
        <w:t>在磋商期间，采购人将指定联络员与磋商供应商进行联络。</w:t>
      </w:r>
    </w:p>
    <w:p w14:paraId="4C96BD4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 </w:t>
      </w:r>
    </w:p>
    <w:p w14:paraId="7C40885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 </w:t>
      </w:r>
    </w:p>
    <w:p w14:paraId="1D07E9A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 </w:t>
      </w:r>
    </w:p>
    <w:p w14:paraId="30EE429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 </w:t>
      </w:r>
    </w:p>
    <w:p w14:paraId="3EA6F1C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 </w:t>
      </w:r>
    </w:p>
    <w:p w14:paraId="60185AC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 </w:t>
      </w:r>
    </w:p>
    <w:p w14:paraId="69770E2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rPr>
          <w:rFonts w:ascii="仿宋" w:hAnsi="仿宋" w:eastAsia="仿宋" w:cs="仿宋"/>
          <w:color w:val="000000"/>
          <w:sz w:val="28"/>
        </w:rPr>
      </w:pPr>
      <w:r>
        <w:rPr>
          <w:rFonts w:ascii="仿宋" w:hAnsi="仿宋" w:eastAsia="仿宋" w:cs="仿宋"/>
          <w:color w:val="000000"/>
          <w:sz w:val="28"/>
        </w:rPr>
        <w:t> </w:t>
      </w:r>
    </w:p>
    <w:p w14:paraId="56A6DE0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38D659D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22E4C9C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2D01EF2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3C3FCA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1A5176D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3EA21EB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618E625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07FDF2B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7BADD58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2D81774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48068BC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54DDD89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591220C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7993C35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2C4B5D8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3DCD087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3843F63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68F5694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43A919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58A9A68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rPr>
          <w:rFonts w:ascii="仿宋" w:hAnsi="仿宋" w:eastAsia="仿宋" w:cs="仿宋"/>
          <w:b/>
          <w:color w:val="000000"/>
          <w:sz w:val="36"/>
        </w:rPr>
      </w:pPr>
    </w:p>
    <w:p w14:paraId="55355BE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711"/>
        <w:jc w:val="both"/>
        <w:textAlignment w:val="auto"/>
      </w:pPr>
      <w:r>
        <w:rPr>
          <w:rFonts w:ascii="仿宋" w:hAnsi="仿宋" w:eastAsia="仿宋" w:cs="仿宋"/>
          <w:b/>
          <w:color w:val="000000"/>
          <w:sz w:val="36"/>
        </w:rPr>
        <w:t>第四章合同格式及条款</w:t>
      </w:r>
    </w:p>
    <w:p w14:paraId="751D097A">
      <w:pPr>
        <w:pageBreakBefore w:val="0"/>
        <w:kinsoku/>
        <w:wordWrap w:val="0"/>
        <w:overflowPunct/>
        <w:topLinePunct w:val="0"/>
        <w:bidi w:val="0"/>
        <w:snapToGrid/>
        <w:jc w:val="left"/>
        <w:textAlignment w:val="auto"/>
        <w:rPr>
          <w:rFonts w:hint="eastAsia" w:eastAsia="仿宋_GB2312"/>
          <w:bCs/>
          <w:color w:val="000000"/>
          <w:sz w:val="32"/>
          <w:szCs w:val="32"/>
        </w:rPr>
      </w:pPr>
      <w:bookmarkStart w:id="0" w:name="_Toc358476596"/>
      <w:bookmarkStart w:id="1" w:name="_Toc498006744"/>
    </w:p>
    <w:p w14:paraId="14594622">
      <w:pPr>
        <w:pageBreakBefore w:val="0"/>
        <w:kinsoku/>
        <w:wordWrap w:val="0"/>
        <w:overflowPunct/>
        <w:topLinePunct w:val="0"/>
        <w:bidi w:val="0"/>
        <w:snapToGrid/>
        <w:jc w:val="left"/>
        <w:textAlignment w:val="auto"/>
        <w:rPr>
          <w:rFonts w:hint="eastAsia" w:eastAsia="仿宋_GB2312"/>
          <w:bCs/>
          <w:color w:val="000000"/>
          <w:sz w:val="32"/>
          <w:szCs w:val="32"/>
        </w:rPr>
      </w:pPr>
    </w:p>
    <w:p w14:paraId="7D5E5E05">
      <w:pPr>
        <w:pageBreakBefore w:val="0"/>
        <w:kinsoku/>
        <w:wordWrap w:val="0"/>
        <w:overflowPunct/>
        <w:topLinePunct w:val="0"/>
        <w:bidi w:val="0"/>
        <w:snapToGrid/>
        <w:jc w:val="left"/>
        <w:textAlignment w:val="auto"/>
        <w:rPr>
          <w:rFonts w:hint="eastAsia" w:eastAsia="仿宋_GB2312"/>
          <w:bCs/>
          <w:color w:val="000000"/>
          <w:sz w:val="32"/>
          <w:szCs w:val="32"/>
        </w:rPr>
      </w:pPr>
    </w:p>
    <w:p w14:paraId="2B5EF9A7">
      <w:pPr>
        <w:pageBreakBefore w:val="0"/>
        <w:kinsoku/>
        <w:wordWrap w:val="0"/>
        <w:overflowPunct/>
        <w:topLinePunct w:val="0"/>
        <w:bidi w:val="0"/>
        <w:snapToGrid/>
        <w:jc w:val="left"/>
        <w:textAlignment w:val="auto"/>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4E479082">
      <w:pPr>
        <w:pageBreakBefore w:val="0"/>
        <w:kinsoku/>
        <w:wordWrap w:val="0"/>
        <w:overflowPunct/>
        <w:topLinePunct w:val="0"/>
        <w:bidi w:val="0"/>
        <w:snapToGrid/>
        <w:jc w:val="center"/>
        <w:textAlignment w:val="auto"/>
        <w:rPr>
          <w:rFonts w:eastAsia="仿宋_GB2312"/>
          <w:b/>
          <w:bCs/>
          <w:color w:val="000000"/>
          <w:sz w:val="32"/>
          <w:szCs w:val="32"/>
          <w:u w:val="single"/>
        </w:rPr>
      </w:pPr>
      <w:r>
        <w:rPr>
          <w:rFonts w:hint="eastAsia" w:eastAsia="仿宋_GB2312"/>
          <w:b/>
          <w:bCs/>
          <w:color w:val="000000"/>
          <w:sz w:val="32"/>
          <w:szCs w:val="32"/>
          <w:lang w:val="en-US" w:eastAsia="zh-CN"/>
        </w:rPr>
        <w:t xml:space="preserve">                       </w:t>
      </w:r>
      <w:r>
        <w:rPr>
          <w:rFonts w:eastAsia="仿宋_GB2312"/>
          <w:b/>
          <w:bCs/>
          <w:color w:val="000000"/>
          <w:sz w:val="32"/>
          <w:szCs w:val="32"/>
        </w:rPr>
        <w:t>合同编号</w:t>
      </w:r>
      <w:r>
        <w:rPr>
          <w:rFonts w:hint="eastAsia" w:eastAsia="仿宋_GB2312"/>
          <w:b/>
          <w:bCs/>
          <w:color w:val="000000"/>
          <w:sz w:val="32"/>
          <w:szCs w:val="32"/>
        </w:rPr>
        <w:t>:</w:t>
      </w:r>
      <w:r>
        <w:rPr>
          <w:rFonts w:hint="eastAsia" w:eastAsia="仿宋_GB2312"/>
          <w:b/>
          <w:bCs/>
          <w:color w:val="000000"/>
          <w:sz w:val="32"/>
          <w:szCs w:val="32"/>
          <w:u w:val="single"/>
        </w:rPr>
        <w:t xml:space="preserve">    </w:t>
      </w:r>
    </w:p>
    <w:p w14:paraId="11936E1C">
      <w:pPr>
        <w:pageBreakBefore w:val="0"/>
        <w:kinsoku/>
        <w:wordWrap w:val="0"/>
        <w:overflowPunct/>
        <w:topLinePunct w:val="0"/>
        <w:bidi w:val="0"/>
        <w:snapToGrid/>
        <w:jc w:val="center"/>
        <w:textAlignment w:val="auto"/>
        <w:rPr>
          <w:rFonts w:eastAsia="华文中宋"/>
          <w:b/>
          <w:color w:val="000000"/>
          <w:sz w:val="52"/>
          <w:szCs w:val="52"/>
        </w:rPr>
      </w:pPr>
    </w:p>
    <w:p w14:paraId="76608D8F">
      <w:pPr>
        <w:pageBreakBefore w:val="0"/>
        <w:kinsoku/>
        <w:wordWrap w:val="0"/>
        <w:overflowPunct/>
        <w:topLinePunct w:val="0"/>
        <w:bidi w:val="0"/>
        <w:snapToGrid/>
        <w:jc w:val="center"/>
        <w:textAlignment w:val="auto"/>
        <w:rPr>
          <w:rFonts w:eastAsia="华文中宋"/>
          <w:b/>
          <w:color w:val="000000"/>
          <w:sz w:val="52"/>
          <w:szCs w:val="52"/>
        </w:rPr>
      </w:pPr>
    </w:p>
    <w:p w14:paraId="73DB3886">
      <w:pPr>
        <w:pageBreakBefore w:val="0"/>
        <w:kinsoku/>
        <w:wordWrap w:val="0"/>
        <w:overflowPunct/>
        <w:topLinePunct w:val="0"/>
        <w:bidi w:val="0"/>
        <w:snapToGrid/>
        <w:jc w:val="center"/>
        <w:textAlignment w:val="auto"/>
        <w:rPr>
          <w:rFonts w:eastAsia="华文中宋"/>
          <w:b/>
          <w:color w:val="000000"/>
          <w:sz w:val="52"/>
          <w:szCs w:val="52"/>
        </w:rPr>
      </w:pPr>
    </w:p>
    <w:p w14:paraId="0414B87C">
      <w:pPr>
        <w:pageBreakBefore w:val="0"/>
        <w:kinsoku/>
        <w:wordWrap w:val="0"/>
        <w:overflowPunct/>
        <w:topLinePunct w:val="0"/>
        <w:bidi w:val="0"/>
        <w:snapToGrid/>
        <w:jc w:val="center"/>
        <w:textAlignment w:val="auto"/>
        <w:rPr>
          <w:rFonts w:hint="eastAsia" w:eastAsia="华文中宋"/>
          <w:b/>
          <w:color w:val="000000"/>
          <w:sz w:val="44"/>
          <w:szCs w:val="44"/>
          <w:lang w:eastAsia="zh-CN"/>
        </w:rPr>
      </w:pPr>
      <w:r>
        <w:rPr>
          <w:rFonts w:eastAsia="华文中宋"/>
          <w:b/>
          <w:color w:val="000000"/>
          <w:sz w:val="44"/>
          <w:szCs w:val="44"/>
        </w:rPr>
        <w:t>工程施工合同</w:t>
      </w:r>
    </w:p>
    <w:p w14:paraId="0B924181">
      <w:pPr>
        <w:pageBreakBefore w:val="0"/>
        <w:kinsoku/>
        <w:wordWrap w:val="0"/>
        <w:overflowPunct/>
        <w:topLinePunct w:val="0"/>
        <w:bidi w:val="0"/>
        <w:snapToGrid/>
        <w:jc w:val="center"/>
        <w:textAlignment w:val="auto"/>
        <w:rPr>
          <w:rFonts w:eastAsia="华文中宋"/>
          <w:b/>
          <w:color w:val="000000"/>
          <w:sz w:val="44"/>
          <w:szCs w:val="44"/>
        </w:rPr>
      </w:pPr>
    </w:p>
    <w:p w14:paraId="76D6FE9C">
      <w:pPr>
        <w:pageBreakBefore w:val="0"/>
        <w:kinsoku/>
        <w:wordWrap w:val="0"/>
        <w:overflowPunct/>
        <w:topLinePunct w:val="0"/>
        <w:bidi w:val="0"/>
        <w:snapToGrid/>
        <w:jc w:val="center"/>
        <w:textAlignment w:val="auto"/>
        <w:rPr>
          <w:rFonts w:eastAsia="华文中宋"/>
          <w:b/>
          <w:color w:val="000000"/>
          <w:sz w:val="52"/>
          <w:szCs w:val="52"/>
        </w:rPr>
      </w:pPr>
    </w:p>
    <w:p w14:paraId="7E6D5841">
      <w:pPr>
        <w:pageBreakBefore w:val="0"/>
        <w:kinsoku/>
        <w:wordWrap w:val="0"/>
        <w:overflowPunct/>
        <w:topLinePunct w:val="0"/>
        <w:bidi w:val="0"/>
        <w:snapToGrid/>
        <w:jc w:val="center"/>
        <w:textAlignment w:val="auto"/>
        <w:rPr>
          <w:rFonts w:eastAsia="黑体"/>
          <w:b/>
          <w:color w:val="000000"/>
          <w:sz w:val="72"/>
          <w:szCs w:val="72"/>
        </w:rPr>
      </w:pPr>
    </w:p>
    <w:p w14:paraId="3D5D6DD5">
      <w:pPr>
        <w:pageBreakBefore w:val="0"/>
        <w:kinsoku/>
        <w:wordWrap w:val="0"/>
        <w:overflowPunct/>
        <w:topLinePunct w:val="0"/>
        <w:bidi w:val="0"/>
        <w:snapToGrid/>
        <w:textAlignment w:val="auto"/>
        <w:rPr>
          <w:rFonts w:hint="eastAsia"/>
          <w:b/>
          <w:color w:val="000000"/>
          <w:sz w:val="28"/>
          <w:szCs w:val="28"/>
        </w:rPr>
      </w:pPr>
    </w:p>
    <w:p w14:paraId="1E748DBA">
      <w:pPr>
        <w:pageBreakBefore w:val="0"/>
        <w:kinsoku/>
        <w:wordWrap w:val="0"/>
        <w:overflowPunct/>
        <w:topLinePunct w:val="0"/>
        <w:bidi w:val="0"/>
        <w:snapToGrid/>
        <w:ind w:right="2719"/>
        <w:jc w:val="both"/>
        <w:textAlignment w:val="auto"/>
        <w:rPr>
          <w:b/>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3"/>
                <wp:cNvGraphicFramePr/>
                <a:graphic xmlns:a="http://schemas.openxmlformats.org/drawingml/2006/main">
                  <a:graphicData uri="http://schemas.microsoft.com/office/word/2010/wordprocessingShape">
                    <wps:wsp>
                      <wps:cNvSpPr txBox="1"/>
                      <wps:spPr bwMode="auto">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3BDC1F9">
                            <w:pPr>
                              <w:rPr>
                                <w:rFonts w:hint="eastAsia"/>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zS1x2AAAAAkBAAAPAAAAAAAAAAEA&#10;IAAAACIAAABkcnMvZG93bnJldi54bWxQSwECFAAUAAAACACHTuJArP2S5w8CAAAaBAAADgAAAAAA&#10;AAABACAAAAAnAQAAZHJzL2Uyb0RvYy54bWxQSwUGAAAAAAYABgBZAQAAqAUAAAAA&#10;">
                <v:fill on="f" focussize="0,0"/>
                <v:stroke color="#FFFFFF" joinstyle="miter"/>
                <v:imagedata o:title=""/>
                <o:lock v:ext="edit" aspectratio="f"/>
                <v:textbox>
                  <w:txbxContent>
                    <w:p w14:paraId="63BDC1F9">
                      <w:pPr>
                        <w:rPr>
                          <w:rFonts w:hint="eastAsia"/>
                          <w:b/>
                          <w:bCs/>
                          <w:sz w:val="32"/>
                        </w:rPr>
                      </w:pPr>
                      <w:r>
                        <w:rPr>
                          <w:rFonts w:hint="eastAsia"/>
                          <w:b/>
                          <w:bCs/>
                          <w:sz w:val="32"/>
                        </w:rPr>
                        <w:t>制定</w:t>
                      </w:r>
                    </w:p>
                  </w:txbxContent>
                </v:textbox>
              </v:shape>
            </w:pict>
          </mc:Fallback>
        </mc:AlternateContent>
      </w:r>
      <w:r>
        <w:rPr>
          <w:rFonts w:hint="eastAsia"/>
          <w:b/>
          <w:color w:val="000000"/>
          <w:sz w:val="32"/>
          <w:szCs w:val="28"/>
          <w:lang w:val="en-US" w:eastAsia="zh-CN"/>
        </w:rPr>
        <w:t xml:space="preserve">              </w:t>
      </w:r>
      <w:r>
        <w:rPr>
          <w:b/>
          <w:color w:val="000000"/>
          <w:sz w:val="32"/>
          <w:szCs w:val="28"/>
        </w:rPr>
        <w:t>住房城乡建设部</w:t>
      </w:r>
    </w:p>
    <w:p w14:paraId="679CBDA9">
      <w:pPr>
        <w:pageBreakBefore w:val="0"/>
        <w:kinsoku/>
        <w:wordWrap w:val="0"/>
        <w:overflowPunct/>
        <w:topLinePunct w:val="0"/>
        <w:bidi w:val="0"/>
        <w:snapToGrid/>
        <w:ind w:right="2719" w:firstLine="2249"/>
        <w:jc w:val="both"/>
        <w:textAlignment w:val="auto"/>
        <w:rPr>
          <w:b/>
          <w:color w:val="000000"/>
          <w:sz w:val="32"/>
          <w:szCs w:val="28"/>
        </w:rPr>
      </w:pPr>
      <w:r>
        <w:rPr>
          <w:b/>
          <w:color w:val="000000"/>
          <w:sz w:val="32"/>
          <w:szCs w:val="28"/>
        </w:rPr>
        <w:t>国家工商行政管理总局</w:t>
      </w:r>
    </w:p>
    <w:p w14:paraId="23CF0DD0">
      <w:pPr>
        <w:pageBreakBefore w:val="0"/>
        <w:kinsoku/>
        <w:wordWrap w:val="0"/>
        <w:overflowPunct/>
        <w:topLinePunct w:val="0"/>
        <w:bidi w:val="0"/>
        <w:snapToGrid/>
        <w:textAlignment w:val="auto"/>
        <w:rPr>
          <w:rFonts w:hint="eastAsia"/>
        </w:rPr>
      </w:pPr>
    </w:p>
    <w:bookmarkEnd w:id="0"/>
    <w:bookmarkEnd w:id="1"/>
    <w:p w14:paraId="05329428">
      <w:pPr>
        <w:pageBreakBefore w:val="0"/>
        <w:kinsoku/>
        <w:wordWrap w:val="0"/>
        <w:overflowPunct/>
        <w:topLinePunct w:val="0"/>
        <w:bidi w:val="0"/>
        <w:snapToGrid/>
        <w:textAlignment w:val="auto"/>
        <w:rPr>
          <w:rFonts w:hint="eastAsia"/>
        </w:rPr>
      </w:pPr>
    </w:p>
    <w:p w14:paraId="6D0E31AD">
      <w:pPr>
        <w:pStyle w:val="191"/>
        <w:pageBreakBefore w:val="0"/>
        <w:kinsoku/>
        <w:wordWrap w:val="0"/>
        <w:overflowPunct/>
        <w:topLinePunct w:val="0"/>
        <w:bidi w:val="0"/>
        <w:snapToGrid/>
        <w:textAlignment w:val="auto"/>
        <w:rPr>
          <w:rFonts w:hint="eastAsia"/>
        </w:rPr>
      </w:pPr>
      <w:bookmarkStart w:id="2" w:name="_Toc358569763"/>
    </w:p>
    <w:p w14:paraId="7DDB07ED">
      <w:pPr>
        <w:pStyle w:val="191"/>
        <w:pageBreakBefore w:val="0"/>
        <w:kinsoku/>
        <w:wordWrap w:val="0"/>
        <w:overflowPunct/>
        <w:topLinePunct w:val="0"/>
        <w:bidi w:val="0"/>
        <w:snapToGrid/>
        <w:textAlignment w:val="auto"/>
        <w:rPr>
          <w:rFonts w:hint="eastAsia"/>
        </w:rPr>
      </w:pPr>
    </w:p>
    <w:p w14:paraId="49E11E0C">
      <w:pPr>
        <w:pStyle w:val="191"/>
        <w:pageBreakBefore w:val="0"/>
        <w:kinsoku/>
        <w:wordWrap w:val="0"/>
        <w:overflowPunct/>
        <w:topLinePunct w:val="0"/>
        <w:bidi w:val="0"/>
        <w:snapToGrid/>
        <w:textAlignment w:val="auto"/>
        <w:rPr>
          <w:rFonts w:hint="eastAsia"/>
        </w:rPr>
      </w:pPr>
    </w:p>
    <w:p w14:paraId="55E71852">
      <w:pPr>
        <w:pStyle w:val="191"/>
        <w:pageBreakBefore w:val="0"/>
        <w:kinsoku/>
        <w:wordWrap w:val="0"/>
        <w:overflowPunct/>
        <w:topLinePunct w:val="0"/>
        <w:bidi w:val="0"/>
        <w:snapToGrid/>
        <w:textAlignment w:val="auto"/>
        <w:rPr>
          <w:rFonts w:hint="eastAsia"/>
        </w:rPr>
      </w:pPr>
    </w:p>
    <w:p w14:paraId="3EC4C7A9">
      <w:pPr>
        <w:pStyle w:val="191"/>
        <w:pageBreakBefore w:val="0"/>
        <w:kinsoku/>
        <w:wordWrap w:val="0"/>
        <w:overflowPunct/>
        <w:topLinePunct w:val="0"/>
        <w:bidi w:val="0"/>
        <w:snapToGrid/>
        <w:textAlignment w:val="auto"/>
        <w:rPr>
          <w:rFonts w:hint="eastAsia"/>
        </w:rPr>
      </w:pPr>
    </w:p>
    <w:p w14:paraId="6C36EB01">
      <w:pPr>
        <w:pStyle w:val="5"/>
        <w:pageBreakBefore w:val="0"/>
        <w:kinsoku/>
        <w:wordWrap w:val="0"/>
        <w:overflowPunct/>
        <w:topLinePunct w:val="0"/>
        <w:bidi w:val="0"/>
        <w:snapToGrid/>
        <w:jc w:val="center"/>
        <w:textAlignment w:val="auto"/>
        <w:rPr>
          <w:rFonts w:hint="eastAsia" w:ascii="宋体" w:hAnsi="宋体" w:eastAsia="宋体" w:cs="宋体"/>
          <w:color w:val="auto"/>
          <w:sz w:val="24"/>
          <w:szCs w:val="24"/>
        </w:rPr>
      </w:pPr>
      <w:bookmarkStart w:id="3" w:name="_Toc351203480"/>
      <w:bookmarkStart w:id="4" w:name="_Toc296890982"/>
      <w:bookmarkStart w:id="5" w:name="_Toc296503025"/>
    </w:p>
    <w:p w14:paraId="6C1AEFAE">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6810363E">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59ED2ECD">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27332DC6">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7595832F">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13298A49">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492CD7D1">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5F39AE7E">
      <w:pPr>
        <w:pageBreakBefore w:val="0"/>
        <w:kinsoku/>
        <w:wordWrap w:val="0"/>
        <w:overflowPunct/>
        <w:topLinePunct w:val="0"/>
        <w:bidi w:val="0"/>
        <w:snapToGrid/>
        <w:textAlignment w:val="auto"/>
        <w:rPr>
          <w:rFonts w:hint="eastAsia" w:ascii="宋体" w:hAnsi="宋体" w:eastAsia="宋体" w:cs="宋体"/>
          <w:color w:val="auto"/>
          <w:sz w:val="24"/>
          <w:szCs w:val="24"/>
        </w:rPr>
      </w:pPr>
    </w:p>
    <w:p w14:paraId="3334CA67">
      <w:pPr>
        <w:pStyle w:val="5"/>
        <w:pageBreakBefore w:val="0"/>
        <w:kinsoku/>
        <w:wordWrap w:val="0"/>
        <w:overflowPunct/>
        <w:topLinePunct w:val="0"/>
        <w:bidi w:val="0"/>
        <w:snapToGrid/>
        <w:jc w:val="center"/>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bookmarkEnd w:id="3"/>
      <w:bookmarkEnd w:id="4"/>
      <w:bookmarkEnd w:id="5"/>
    </w:p>
    <w:p w14:paraId="4873566C">
      <w:pPr>
        <w:keepNext w:val="0"/>
        <w:keepLines w:val="0"/>
        <w:pageBreakBefore w:val="0"/>
        <w:widowControl w:val="0"/>
        <w:suppressLineNumbers w:val="0"/>
        <w:kinsoku/>
        <w:wordWrap w:val="0"/>
        <w:overflowPunct/>
        <w:topLinePunct w:val="0"/>
        <w:bidi w:val="0"/>
        <w:snapToGrid/>
        <w:spacing w:before="0" w:beforeAutospacing="0" w:after="0" w:afterAutospacing="0"/>
        <w:ind w:left="0" w:right="0"/>
        <w:jc w:val="both"/>
        <w:textAlignment w:val="auto"/>
        <w:rPr>
          <w:rFonts w:hint="eastAsia" w:ascii="宋体" w:hAnsi="宋体" w:cs="宋体"/>
          <w:b/>
          <w:color w:val="auto"/>
          <w:sz w:val="24"/>
          <w:szCs w:val="24"/>
          <w:lang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盱眙县天泉湖镇人民政府</w:t>
      </w:r>
    </w:p>
    <w:p w14:paraId="1D32D88F">
      <w:pPr>
        <w:keepNext w:val="0"/>
        <w:keepLines w:val="0"/>
        <w:pageBreakBefore w:val="0"/>
        <w:widowControl w:val="0"/>
        <w:suppressLineNumbers w:val="0"/>
        <w:kinsoku/>
        <w:wordWrap w:val="0"/>
        <w:overflowPunct/>
        <w:topLinePunct w:val="0"/>
        <w:bidi w:val="0"/>
        <w:snapToGrid/>
        <w:spacing w:before="0" w:beforeAutospacing="0" w:after="0" w:afterAutospacing="0"/>
        <w:ind w:left="0" w:right="0" w:firstLine="482"/>
        <w:jc w:val="both"/>
        <w:textAlignment w:val="auto"/>
        <w:rPr>
          <w:rFonts w:hint="eastAsia" w:eastAsia="宋体"/>
          <w:u w:val="single"/>
          <w:lang w:eastAsia="zh-CN"/>
        </w:rPr>
      </w:pPr>
      <w:r>
        <w:rPr>
          <w:rFonts w:hint="eastAsia" w:ascii="宋体" w:hAnsi="宋体" w:cs="宋体"/>
          <w:b/>
          <w:color w:val="auto"/>
          <w:sz w:val="24"/>
          <w:szCs w:val="24"/>
          <w:lang w:eastAsia="zh"/>
        </w:rPr>
        <w:t xml:space="preserve">            </w:t>
      </w:r>
    </w:p>
    <w:p w14:paraId="7563BBCB">
      <w:pPr>
        <w:pageBreakBefore w:val="0"/>
        <w:kinsoku/>
        <w:wordWrap w:val="0"/>
        <w:overflowPunct/>
        <w:topLinePunct w:val="0"/>
        <w:bidi w:val="0"/>
        <w:snapToGrid/>
        <w:spacing w:line="360" w:lineRule="auto"/>
        <w:textAlignment w:val="auto"/>
        <w:rPr>
          <w:rFonts w:hint="default" w:ascii="宋体" w:hAnsi="宋体" w:eastAsia="宋体" w:cs="宋体"/>
          <w:b/>
          <w:bCs w:val="0"/>
          <w:sz w:val="24"/>
          <w:szCs w:val="24"/>
          <w:u w:val="none"/>
          <w:lang w:val="en-US" w:eastAsia="zh-CN" w:bidi="ar"/>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none"/>
          <w:lang w:val="en-US" w:eastAsia="zh-CN"/>
        </w:rPr>
        <w:t xml:space="preserve">                </w:t>
      </w:r>
    </w:p>
    <w:p w14:paraId="5A1534D5">
      <w:pPr>
        <w:pageBreakBefore w:val="0"/>
        <w:kinsoku/>
        <w:wordWrap w:val="0"/>
        <w:overflowPunct/>
        <w:topLinePunct w:val="0"/>
        <w:bidi w:val="0"/>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及有关事项协商一致，共同达成如下协议：</w:t>
      </w:r>
    </w:p>
    <w:p w14:paraId="4BD35879">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6" w:name="_Toc351203481"/>
      <w:r>
        <w:rPr>
          <w:rFonts w:hint="eastAsia" w:ascii="宋体" w:hAnsi="宋体" w:eastAsia="宋体" w:cs="宋体"/>
          <w:b/>
          <w:bCs w:val="0"/>
          <w:color w:val="auto"/>
          <w:sz w:val="24"/>
          <w:szCs w:val="24"/>
        </w:rPr>
        <w:t>一、工程概况</w:t>
      </w:r>
      <w:bookmarkEnd w:id="6"/>
    </w:p>
    <w:p w14:paraId="30091AC1">
      <w:pPr>
        <w:pageBreakBefore w:val="0"/>
        <w:kinsoku/>
        <w:wordWrap w:val="0"/>
        <w:overflowPunct/>
        <w:topLinePunct w:val="0"/>
        <w:bidi w:val="0"/>
        <w:snapToGrid/>
        <w:spacing w:line="360" w:lineRule="auto"/>
        <w:ind w:firstLine="470"/>
        <w:textAlignment w:val="auto"/>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10E96E4">
      <w:pPr>
        <w:pageBreakBefore w:val="0"/>
        <w:kinsoku/>
        <w:wordWrap w:val="0"/>
        <w:overflowPunct/>
        <w:topLinePunct w:val="0"/>
        <w:bidi w:val="0"/>
        <w:snapToGrid/>
        <w:spacing w:line="360" w:lineRule="auto"/>
        <w:ind w:firstLine="47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sz w:val="24"/>
          <w:szCs w:val="24"/>
          <w:u w:val="single"/>
        </w:rPr>
        <w:t>盱眙县</w:t>
      </w:r>
      <w:r>
        <w:rPr>
          <w:rFonts w:hint="eastAsia" w:ascii="宋体" w:hAnsi="宋体" w:eastAsia="宋体" w:cs="宋体"/>
          <w:sz w:val="24"/>
          <w:szCs w:val="24"/>
          <w:u w:val="single"/>
          <w:lang w:val="en-US" w:eastAsia="zh-CN"/>
        </w:rPr>
        <w:t>境内</w:t>
      </w:r>
      <w:r>
        <w:rPr>
          <w:rFonts w:hint="eastAsia" w:ascii="宋体" w:hAnsi="宋体" w:eastAsia="宋体" w:cs="宋体"/>
          <w:color w:val="auto"/>
          <w:sz w:val="24"/>
          <w:szCs w:val="24"/>
        </w:rPr>
        <w:t>。</w:t>
      </w:r>
    </w:p>
    <w:p w14:paraId="70C0B172">
      <w:pPr>
        <w:pageBreakBefore w:val="0"/>
        <w:kinsoku/>
        <w:wordWrap w:val="0"/>
        <w:overflowPunct/>
        <w:topLinePunct w:val="0"/>
        <w:bidi w:val="0"/>
        <w:snapToGrid/>
        <w:spacing w:line="360" w:lineRule="auto"/>
        <w:ind w:firstLine="47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default"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ab/>
      </w:r>
      <w:r>
        <w:rPr>
          <w:rFonts w:hint="eastAsia" w:ascii="宋体" w:hAnsi="宋体" w:eastAsia="宋体" w:cs="宋体"/>
          <w:bCs/>
          <w:color w:val="auto"/>
          <w:sz w:val="24"/>
          <w:szCs w:val="24"/>
        </w:rPr>
        <w:t>。</w:t>
      </w:r>
    </w:p>
    <w:p w14:paraId="45A554C6">
      <w:pPr>
        <w:pageBreakBefore w:val="0"/>
        <w:kinsoku/>
        <w:wordWrap w:val="0"/>
        <w:overflowPunct/>
        <w:topLinePunct w:val="0"/>
        <w:bidi w:val="0"/>
        <w:snapToGrid/>
        <w:spacing w:line="360" w:lineRule="auto"/>
        <w:ind w:firstLine="47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cs="宋体"/>
          <w:bCs/>
          <w:color w:val="auto"/>
          <w:sz w:val="24"/>
          <w:szCs w:val="24"/>
          <w:lang w:eastAsia="zh"/>
        </w:rPr>
        <w:t>：</w:t>
      </w:r>
      <w:r>
        <w:rPr>
          <w:rFonts w:hint="eastAsia" w:ascii="宋体" w:hAnsi="宋体" w:cs="宋体"/>
          <w:bCs/>
          <w:color w:val="auto"/>
          <w:sz w:val="24"/>
          <w:szCs w:val="24"/>
          <w:u w:val="single"/>
          <w:lang w:val="en-US" w:eastAsia="zh-CN"/>
        </w:rPr>
        <w:t>财政</w:t>
      </w:r>
      <w:r>
        <w:rPr>
          <w:rFonts w:hint="eastAsia" w:ascii="宋体" w:hAnsi="宋体" w:eastAsia="宋体" w:cs="宋体"/>
          <w:bCs/>
          <w:color w:val="auto"/>
          <w:sz w:val="24"/>
          <w:szCs w:val="24"/>
        </w:rPr>
        <w:t>。</w:t>
      </w:r>
    </w:p>
    <w:p w14:paraId="3FA7697E">
      <w:pPr>
        <w:pageBreakBefore w:val="0"/>
        <w:kinsoku/>
        <w:wordWrap w:val="0"/>
        <w:overflowPunct/>
        <w:topLinePunct w:val="0"/>
        <w:bidi w:val="0"/>
        <w:snapToGrid/>
        <w:spacing w:line="360" w:lineRule="auto"/>
        <w:ind w:firstLine="470"/>
        <w:textAlignment w:val="auto"/>
        <w:rPr>
          <w:rFonts w:hint="default" w:ascii="宋体" w:hAnsi="宋体"/>
          <w:sz w:val="24"/>
          <w:u w:val="single"/>
          <w:lang w:val="en-US" w:eastAsia="zh-CN"/>
        </w:rPr>
      </w:pPr>
      <w:r>
        <w:rPr>
          <w:rFonts w:hint="eastAsia" w:ascii="宋体" w:hAnsi="宋体" w:cs="宋体"/>
          <w:sz w:val="24"/>
          <w:szCs w:val="24"/>
          <w:u w:val="none"/>
          <w:lang w:val="en-US" w:eastAsia="zh-CN"/>
        </w:rPr>
        <w:t>5.工程内容：</w:t>
      </w:r>
      <w:r>
        <w:rPr>
          <w:rFonts w:hint="default"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ab/>
      </w:r>
      <w:r>
        <w:rPr>
          <w:rFonts w:hint="eastAsia" w:ascii="宋体" w:hAnsi="宋体" w:cs="宋体"/>
          <w:color w:val="auto"/>
          <w:sz w:val="24"/>
          <w:szCs w:val="24"/>
          <w:u w:val="single"/>
          <w:lang w:val="en-US"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highlight w:val="none"/>
          <w:u w:val="single"/>
          <w:lang w:val="en-US" w:eastAsia="zh-CN"/>
        </w:rPr>
        <w:t xml:space="preserve"> </w:t>
      </w:r>
    </w:p>
    <w:p w14:paraId="10A6F0D3">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7" w:name="_Toc351203482"/>
      <w:r>
        <w:rPr>
          <w:rFonts w:hint="eastAsia" w:ascii="宋体" w:hAnsi="宋体" w:eastAsia="宋体" w:cs="宋体"/>
          <w:b/>
          <w:bCs w:val="0"/>
          <w:color w:val="auto"/>
          <w:sz w:val="24"/>
          <w:szCs w:val="24"/>
        </w:rPr>
        <w:t>二、合同工期</w:t>
      </w:r>
      <w:bookmarkEnd w:id="7"/>
    </w:p>
    <w:p w14:paraId="7F133903">
      <w:pPr>
        <w:pageBreakBefore w:val="0"/>
        <w:kinsoku/>
        <w:wordWrap w:val="0"/>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cs="宋体"/>
          <w:color w:val="auto"/>
          <w:sz w:val="24"/>
          <w:szCs w:val="24"/>
          <w:u w:val="single"/>
          <w:lang w:val="en-US" w:eastAsia="zh-CN"/>
        </w:rPr>
        <w:t>2025</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eastAsia="宋体" w:cs="宋体"/>
          <w:color w:val="auto"/>
          <w:sz w:val="24"/>
          <w:szCs w:val="24"/>
        </w:rPr>
        <w:t>年</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eastAsia="宋体" w:cs="宋体"/>
          <w:color w:val="auto"/>
          <w:sz w:val="24"/>
          <w:szCs w:val="24"/>
        </w:rPr>
        <w:t>月</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eastAsia="宋体" w:cs="宋体"/>
          <w:color w:val="auto"/>
          <w:sz w:val="24"/>
          <w:szCs w:val="24"/>
        </w:rPr>
        <w:t>日。</w:t>
      </w:r>
    </w:p>
    <w:p w14:paraId="6E105FAD">
      <w:pPr>
        <w:pageBreakBefore w:val="0"/>
        <w:kinsoku/>
        <w:wordWrap w:val="0"/>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cs="宋体"/>
          <w:color w:val="auto"/>
          <w:sz w:val="24"/>
          <w:szCs w:val="24"/>
          <w:u w:val="single"/>
          <w:lang w:val="en-US" w:eastAsia="zh-CN"/>
        </w:rPr>
        <w:t xml:space="preserve">2025  </w:t>
      </w:r>
      <w:r>
        <w:rPr>
          <w:rFonts w:hint="eastAsia" w:ascii="宋体" w:hAnsi="宋体" w:cs="宋体"/>
          <w:color w:val="auto"/>
          <w:sz w:val="24"/>
          <w:szCs w:val="24"/>
          <w:u w:val="single"/>
          <w:lang w:val="en-US" w:eastAsia="zh-CN"/>
        </w:rPr>
        <w:tab/>
      </w:r>
      <w:r>
        <w:rPr>
          <w:rFonts w:hint="eastAsia" w:ascii="宋体" w:hAnsi="宋体" w:eastAsia="宋体" w:cs="宋体"/>
          <w:color w:val="auto"/>
          <w:sz w:val="24"/>
          <w:szCs w:val="24"/>
        </w:rPr>
        <w:t>年</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eastAsia="宋体" w:cs="宋体"/>
          <w:color w:val="auto"/>
          <w:sz w:val="24"/>
          <w:szCs w:val="24"/>
        </w:rPr>
        <w:t>月</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eastAsia="宋体" w:cs="宋体"/>
          <w:color w:val="auto"/>
          <w:sz w:val="24"/>
          <w:szCs w:val="24"/>
        </w:rPr>
        <w:t>日。</w:t>
      </w:r>
    </w:p>
    <w:p w14:paraId="6ED109AE">
      <w:pPr>
        <w:pageBreakBefore w:val="0"/>
        <w:kinsoku/>
        <w:wordWrap w:val="0"/>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天。工期总日历天数与根据前述计划开竣工日期计算的工期天数不一致的，以工期总日历天数为准。</w:t>
      </w:r>
    </w:p>
    <w:p w14:paraId="4703F133">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8" w:name="_Toc351203483"/>
      <w:r>
        <w:rPr>
          <w:rFonts w:hint="eastAsia" w:ascii="宋体" w:hAnsi="宋体" w:eastAsia="宋体" w:cs="宋体"/>
          <w:b/>
          <w:bCs w:val="0"/>
          <w:color w:val="auto"/>
          <w:sz w:val="24"/>
          <w:szCs w:val="24"/>
        </w:rPr>
        <w:t>三、质量标准</w:t>
      </w:r>
      <w:bookmarkEnd w:id="8"/>
    </w:p>
    <w:p w14:paraId="3370A9FA">
      <w:pPr>
        <w:pageBreakBefore w:val="0"/>
        <w:kinsoku/>
        <w:wordWrap w:val="0"/>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cs="宋体"/>
          <w:color w:val="auto"/>
          <w:sz w:val="24"/>
          <w:szCs w:val="24"/>
          <w:u w:val="single"/>
          <w:lang w:val="en-US" w:eastAsia="zh-CN"/>
        </w:rPr>
        <w:t>合格</w:t>
      </w:r>
      <w:r>
        <w:rPr>
          <w:rFonts w:hint="eastAsia" w:ascii="宋体" w:hAnsi="宋体" w:eastAsia="宋体" w:cs="宋体"/>
          <w:color w:val="auto"/>
          <w:sz w:val="24"/>
          <w:szCs w:val="24"/>
        </w:rPr>
        <w:t>标准。</w:t>
      </w:r>
    </w:p>
    <w:p w14:paraId="1526F742">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
          <w:bCs w:val="0"/>
          <w:color w:val="auto"/>
          <w:sz w:val="24"/>
          <w:szCs w:val="24"/>
        </w:rPr>
        <w:t xml:space="preserve">  </w:t>
      </w:r>
      <w:bookmarkStart w:id="9" w:name="_Toc351203484"/>
      <w:r>
        <w:rPr>
          <w:rFonts w:hint="eastAsia" w:ascii="宋体" w:hAnsi="宋体" w:eastAsia="宋体" w:cs="宋体"/>
          <w:b/>
          <w:bCs w:val="0"/>
          <w:color w:val="auto"/>
          <w:sz w:val="24"/>
          <w:szCs w:val="24"/>
          <w:highlight w:val="none"/>
        </w:rPr>
        <w:t>四、签约合同价与合同价格形式</w:t>
      </w:r>
      <w:bookmarkEnd w:id="9"/>
      <w:r>
        <w:rPr>
          <w:rFonts w:hint="eastAsia" w:ascii="宋体" w:hAnsi="宋体" w:eastAsia="宋体" w:cs="宋体"/>
          <w:b w:val="0"/>
          <w:color w:val="auto"/>
          <w:sz w:val="24"/>
          <w:szCs w:val="24"/>
          <w:highlight w:val="none"/>
        </w:rPr>
        <w:tab/>
      </w:r>
    </w:p>
    <w:p w14:paraId="0C0DB9EA">
      <w:pPr>
        <w:pageBreakBefore w:val="0"/>
        <w:kinsoku/>
        <w:wordWrap w:val="0"/>
        <w:overflowPunct/>
        <w:topLinePunct w:val="0"/>
        <w:bidi w:val="0"/>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含税）</w:t>
      </w:r>
      <w:r>
        <w:rPr>
          <w:rFonts w:hint="eastAsia" w:ascii="宋体" w:hAnsi="宋体" w:eastAsia="宋体" w:cs="宋体"/>
          <w:color w:val="auto"/>
          <w:sz w:val="24"/>
          <w:szCs w:val="24"/>
          <w:highlight w:val="none"/>
        </w:rPr>
        <w:t>：</w:t>
      </w:r>
    </w:p>
    <w:p w14:paraId="2984EA17">
      <w:pPr>
        <w:pageBreakBefore w:val="0"/>
        <w:kinsoku/>
        <w:wordWrap w:val="0"/>
        <w:overflowPunct/>
        <w:topLinePunct w:val="0"/>
        <w:bidi w:val="0"/>
        <w:snapToGrid/>
        <w:spacing w:line="360" w:lineRule="auto"/>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3706AAE">
      <w:pPr>
        <w:pageBreakBefore w:val="0"/>
        <w:kinsoku/>
        <w:wordWrap w:val="0"/>
        <w:overflowPunct/>
        <w:topLinePunct w:val="0"/>
        <w:bidi w:val="0"/>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cs="宋体"/>
          <w:color w:val="auto"/>
          <w:sz w:val="24"/>
          <w:szCs w:val="24"/>
          <w:u w:val="single"/>
          <w:lang w:val="en-US" w:eastAsia="zh-CN"/>
        </w:rPr>
        <w:t>固定单价合同</w:t>
      </w:r>
      <w:r>
        <w:rPr>
          <w:rFonts w:hint="eastAsia" w:ascii="宋体" w:hAnsi="宋体" w:eastAsia="宋体" w:cs="宋体"/>
          <w:color w:val="auto"/>
          <w:sz w:val="24"/>
          <w:szCs w:val="24"/>
        </w:rPr>
        <w:t>。</w:t>
      </w:r>
    </w:p>
    <w:p w14:paraId="7341392E">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10" w:name="_Toc351203485"/>
      <w:r>
        <w:rPr>
          <w:rFonts w:hint="eastAsia" w:ascii="宋体" w:hAnsi="宋体" w:eastAsia="宋体" w:cs="宋体"/>
          <w:b/>
          <w:bCs w:val="0"/>
          <w:color w:val="auto"/>
          <w:sz w:val="24"/>
          <w:szCs w:val="24"/>
        </w:rPr>
        <w:t>五、</w:t>
      </w:r>
      <w:bookmarkEnd w:id="10"/>
      <w:r>
        <w:rPr>
          <w:rFonts w:hint="eastAsia" w:ascii="宋体" w:hAnsi="宋体" w:eastAsia="宋体" w:cs="宋体"/>
          <w:b/>
          <w:bCs w:val="0"/>
          <w:color w:val="auto"/>
          <w:sz w:val="24"/>
          <w:szCs w:val="24"/>
        </w:rPr>
        <w:t>项目经理</w:t>
      </w:r>
    </w:p>
    <w:p w14:paraId="35CDE493">
      <w:pPr>
        <w:pageBreakBefore w:val="0"/>
        <w:kinsoku/>
        <w:wordWrap w:val="0"/>
        <w:overflowPunct/>
        <w:topLinePunct w:val="0"/>
        <w:bidi w:val="0"/>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eastAsia="宋体" w:cs="宋体"/>
          <w:color w:val="auto"/>
          <w:sz w:val="24"/>
          <w:szCs w:val="24"/>
        </w:rPr>
        <w:t>。</w:t>
      </w:r>
    </w:p>
    <w:p w14:paraId="01B976BC">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11" w:name="_Toc351203486"/>
      <w:r>
        <w:rPr>
          <w:rFonts w:hint="eastAsia" w:ascii="宋体" w:hAnsi="宋体" w:eastAsia="宋体" w:cs="宋体"/>
          <w:b/>
          <w:bCs w:val="0"/>
          <w:color w:val="auto"/>
          <w:sz w:val="24"/>
          <w:szCs w:val="24"/>
        </w:rPr>
        <w:t>六、合同文件构成</w:t>
      </w:r>
      <w:bookmarkEnd w:id="11"/>
    </w:p>
    <w:p w14:paraId="450EF44F">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72704F40">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57AC5FEA">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6A9CDC78">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772BEB7">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47FB3B5C">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31D2D728">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）已标价工程量清单或预算书；</w:t>
      </w:r>
    </w:p>
    <w:p w14:paraId="4B077293">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）其他合同文件。</w:t>
      </w:r>
    </w:p>
    <w:p w14:paraId="1DF88E36">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42DB8F24">
      <w:pPr>
        <w:pageBreakBefore w:val="0"/>
        <w:kinsoku/>
        <w:wordWrap w:val="0"/>
        <w:overflowPunct/>
        <w:topLinePunct w:val="0"/>
        <w:bidi w:val="0"/>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3D5CD73C">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bookmarkStart w:id="12" w:name="_Toc351203487"/>
      <w:r>
        <w:rPr>
          <w:rFonts w:hint="eastAsia" w:ascii="宋体" w:hAnsi="宋体" w:eastAsia="宋体" w:cs="宋体"/>
          <w:b/>
          <w:bCs/>
          <w:color w:val="auto"/>
          <w:sz w:val="24"/>
          <w:szCs w:val="24"/>
        </w:rPr>
        <w:t>七、承诺</w:t>
      </w:r>
      <w:bookmarkEnd w:id="12"/>
    </w:p>
    <w:p w14:paraId="66F5B682">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1BB5EC42">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41CE6BF">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259DA046">
      <w:pPr>
        <w:pageBreakBefore w:val="0"/>
        <w:kinsoku/>
        <w:wordWrap w:val="0"/>
        <w:overflowPunct/>
        <w:topLinePunct w:val="0"/>
        <w:bidi w:val="0"/>
        <w:snapToGrid/>
        <w:spacing w:line="360" w:lineRule="auto"/>
        <w:textAlignment w:val="auto"/>
        <w:rPr>
          <w:rFonts w:hint="eastAsia" w:ascii="宋体" w:hAnsi="宋体" w:eastAsia="宋体" w:cs="宋体"/>
          <w:bCs/>
          <w:color w:val="auto"/>
          <w:sz w:val="24"/>
          <w:szCs w:val="24"/>
        </w:rPr>
      </w:pPr>
      <w:bookmarkStart w:id="13" w:name="_Toc351203488"/>
      <w:r>
        <w:rPr>
          <w:rFonts w:hint="eastAsia" w:ascii="宋体" w:hAnsi="宋体" w:eastAsia="宋体" w:cs="宋体"/>
          <w:b/>
          <w:color w:val="auto"/>
          <w:sz w:val="24"/>
          <w:szCs w:val="24"/>
        </w:rPr>
        <w:t xml:space="preserve">  八、词语含义</w:t>
      </w:r>
      <w:bookmarkEnd w:id="13"/>
    </w:p>
    <w:p w14:paraId="5BE6386E">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39CD09EB">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14" w:name="_Toc351203489"/>
      <w:r>
        <w:rPr>
          <w:rFonts w:hint="eastAsia" w:ascii="宋体" w:hAnsi="宋体" w:eastAsia="宋体" w:cs="宋体"/>
          <w:b/>
          <w:bCs w:val="0"/>
          <w:color w:val="auto"/>
          <w:sz w:val="24"/>
          <w:szCs w:val="24"/>
        </w:rPr>
        <w:t>九、签订时间</w:t>
      </w:r>
      <w:bookmarkEnd w:id="14"/>
    </w:p>
    <w:p w14:paraId="0BCBDF02">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2025</w:t>
      </w:r>
      <w:r>
        <w:rPr>
          <w:rFonts w:hint="eastAsia" w:ascii="宋体" w:hAnsi="宋体" w:eastAsia="宋体" w:cs="宋体"/>
          <w:bCs/>
          <w:color w:val="auto"/>
          <w:sz w:val="24"/>
          <w:szCs w:val="24"/>
          <w:u w:val="single"/>
        </w:rPr>
        <w:t xml:space="preserve"> </w:t>
      </w:r>
      <w:r>
        <w:rPr>
          <w:rFonts w:hint="default" w:ascii="宋体" w:hAnsi="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5D4601EB">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15" w:name="_Toc351203490"/>
      <w:r>
        <w:rPr>
          <w:rFonts w:hint="eastAsia" w:ascii="宋体" w:hAnsi="宋体" w:eastAsia="宋体" w:cs="宋体"/>
          <w:b/>
          <w:bCs w:val="0"/>
          <w:color w:val="auto"/>
          <w:sz w:val="24"/>
          <w:szCs w:val="24"/>
        </w:rPr>
        <w:t>十、签订地点</w:t>
      </w:r>
      <w:bookmarkEnd w:id="15"/>
    </w:p>
    <w:p w14:paraId="4D6944D5">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83516E7">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bookmarkStart w:id="16" w:name="_Toc351203491"/>
      <w:r>
        <w:rPr>
          <w:rFonts w:hint="eastAsia" w:ascii="宋体" w:hAnsi="宋体" w:eastAsia="宋体" w:cs="宋体"/>
          <w:b/>
          <w:bCs w:val="0"/>
          <w:color w:val="auto"/>
          <w:sz w:val="24"/>
          <w:szCs w:val="24"/>
        </w:rPr>
        <w:t>十一、补充协议</w:t>
      </w:r>
      <w:bookmarkEnd w:id="16"/>
    </w:p>
    <w:p w14:paraId="3A3E0FB3">
      <w:pPr>
        <w:pageBreakBefore w:val="0"/>
        <w:kinsoku/>
        <w:wordWrap w:val="0"/>
        <w:overflowPunct/>
        <w:topLinePunct w:val="0"/>
        <w:bidi w:val="0"/>
        <w:snapToGrid/>
        <w:spacing w:line="360" w:lineRule="auto"/>
        <w:ind w:firstLine="480"/>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3C3B7DF5">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bCs w:val="0"/>
          <w:color w:val="auto"/>
          <w:sz w:val="24"/>
          <w:szCs w:val="24"/>
        </w:rPr>
        <w:t xml:space="preserve"> </w:t>
      </w:r>
      <w:bookmarkStart w:id="17" w:name="_Toc351203492"/>
      <w:r>
        <w:rPr>
          <w:rFonts w:hint="eastAsia" w:ascii="宋体" w:hAnsi="宋体" w:eastAsia="宋体" w:cs="宋体"/>
          <w:b/>
          <w:bCs w:val="0"/>
          <w:color w:val="auto"/>
          <w:sz w:val="24"/>
          <w:szCs w:val="24"/>
        </w:rPr>
        <w:t>十二、合同生效</w:t>
      </w:r>
      <w:bookmarkEnd w:id="17"/>
    </w:p>
    <w:p w14:paraId="3E4D86EB">
      <w:pPr>
        <w:pageBreakBefore w:val="0"/>
        <w:kinsoku/>
        <w:wordWrap w:val="0"/>
        <w:overflowPunct/>
        <w:topLinePunct w:val="0"/>
        <w:bidi w:val="0"/>
        <w:snapToGri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cs="宋体"/>
          <w:bCs/>
          <w:color w:val="auto"/>
          <w:sz w:val="24"/>
          <w:szCs w:val="24"/>
          <w:u w:val="single"/>
          <w:lang w:val="en-US" w:eastAsia="zh-CN"/>
        </w:rPr>
        <w:t>双方签字并盖章后</w:t>
      </w:r>
      <w:r>
        <w:rPr>
          <w:rFonts w:hint="eastAsia" w:ascii="宋体" w:hAnsi="宋体" w:eastAsia="宋体" w:cs="宋体"/>
          <w:bCs/>
          <w:color w:val="auto"/>
          <w:sz w:val="24"/>
          <w:szCs w:val="24"/>
        </w:rPr>
        <w:t>生效。</w:t>
      </w:r>
    </w:p>
    <w:p w14:paraId="5B4F21CE">
      <w:pPr>
        <w:pStyle w:val="6"/>
        <w:pageBreakBefore w:val="0"/>
        <w:kinsoku/>
        <w:wordWrap w:val="0"/>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18" w:name="_Toc351203493"/>
      <w:r>
        <w:rPr>
          <w:rFonts w:hint="eastAsia" w:ascii="宋体" w:hAnsi="宋体" w:eastAsia="宋体" w:cs="宋体"/>
          <w:b/>
          <w:bCs w:val="0"/>
          <w:color w:val="auto"/>
          <w:sz w:val="24"/>
          <w:szCs w:val="24"/>
        </w:rPr>
        <w:t>十三、合同份数</w:t>
      </w:r>
      <w:bookmarkEnd w:id="18"/>
    </w:p>
    <w:p w14:paraId="44AB72EA">
      <w:pPr>
        <w:pageBreakBefore w:val="0"/>
        <w:kinsoku/>
        <w:wordWrap w:val="0"/>
        <w:overflowPunct/>
        <w:topLinePunct w:val="0"/>
        <w:bidi w:val="0"/>
        <w:snapToGrid/>
        <w:spacing w:line="360" w:lineRule="auto"/>
        <w:ind w:firstLine="48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陆</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招标代理</w:t>
      </w:r>
      <w:r>
        <w:rPr>
          <w:rFonts w:hint="eastAsia" w:ascii="宋体" w:hAnsi="宋体" w:cs="宋体"/>
          <w:bCs/>
          <w:color w:val="auto"/>
          <w:sz w:val="24"/>
          <w:szCs w:val="24"/>
          <w:u w:val="single"/>
          <w:lang w:val="en-US" w:eastAsia="zh-CN"/>
        </w:rPr>
        <w:t xml:space="preserve"> 贰 </w:t>
      </w:r>
      <w:r>
        <w:rPr>
          <w:rFonts w:hint="eastAsia" w:ascii="宋体" w:hAnsi="宋体" w:cs="宋体"/>
          <w:bCs/>
          <w:color w:val="auto"/>
          <w:sz w:val="24"/>
          <w:szCs w:val="24"/>
          <w:lang w:val="en-US" w:eastAsia="zh-CN"/>
        </w:rPr>
        <w:t>份。</w:t>
      </w:r>
    </w:p>
    <w:p w14:paraId="34DBE3B0">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rPr>
      </w:pPr>
    </w:p>
    <w:p w14:paraId="3B4824BC">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承包人：  (公章)                              </w:t>
      </w:r>
    </w:p>
    <w:p w14:paraId="1C0E8AA7">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法定代表人或其委托代理人：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法定代表人或其委托代理人：</w:t>
      </w:r>
    </w:p>
    <w:p w14:paraId="22438077">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（签字</w:t>
      </w:r>
      <w:r>
        <w:rPr>
          <w:rFonts w:hint="eastAsia" w:ascii="宋体" w:hAnsi="宋体" w:cs="宋体"/>
          <w:color w:val="auto"/>
          <w:sz w:val="24"/>
          <w:szCs w:val="24"/>
          <w:lang w:val="en-US" w:eastAsia="zh-CN"/>
        </w:rPr>
        <w:t>或印章</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（签字</w:t>
      </w:r>
      <w:r>
        <w:rPr>
          <w:rFonts w:hint="eastAsia" w:ascii="宋体" w:hAnsi="宋体" w:cs="宋体"/>
          <w:color w:val="auto"/>
          <w:sz w:val="24"/>
          <w:szCs w:val="24"/>
          <w:lang w:val="en-US" w:eastAsia="zh-CN"/>
        </w:rPr>
        <w:t>或印章</w:t>
      </w:r>
      <w:r>
        <w:rPr>
          <w:rFonts w:hint="eastAsia" w:ascii="宋体" w:hAnsi="宋体" w:eastAsia="宋体" w:cs="宋体"/>
          <w:color w:val="auto"/>
          <w:sz w:val="24"/>
          <w:szCs w:val="24"/>
        </w:rPr>
        <w:t>）</w:t>
      </w:r>
    </w:p>
    <w:p w14:paraId="34BAD238">
      <w:pPr>
        <w:keepNext w:val="0"/>
        <w:keepLines w:val="0"/>
        <w:pageBreakBefore w:val="0"/>
        <w:widowControl/>
        <w:suppressLineNumbers w:val="0"/>
        <w:kinsoku/>
        <w:wordWrap w:val="0"/>
        <w:overflowPunct/>
        <w:topLinePunct w:val="0"/>
        <w:bidi w:val="0"/>
        <w:snapToGrid/>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组织机构代码</w:t>
      </w:r>
      <w:r>
        <w:rPr>
          <w:rFonts w:hint="eastAsia" w:ascii="宋体" w:hAnsi="宋体" w:cs="宋体"/>
          <w:color w:val="auto"/>
          <w:sz w:val="24"/>
          <w:szCs w:val="24"/>
          <w:lang w:eastAsia="zh-CN"/>
        </w:rPr>
        <w:t>：</w:t>
      </w:r>
    </w:p>
    <w:p w14:paraId="72CA4A00">
      <w:pPr>
        <w:keepNext w:val="0"/>
        <w:keepLines w:val="0"/>
        <w:pageBreakBefore w:val="0"/>
        <w:widowControl/>
        <w:suppressLineNumbers w:val="0"/>
        <w:kinsoku/>
        <w:wordWrap w:val="0"/>
        <w:overflowPunct/>
        <w:topLinePunct w:val="0"/>
        <w:bidi w:val="0"/>
        <w:snapToGrid/>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地  址：</w:t>
      </w:r>
    </w:p>
    <w:p w14:paraId="6996A8A4">
      <w:pPr>
        <w:keepNext w:val="0"/>
        <w:keepLines w:val="0"/>
        <w:pageBreakBefore w:val="0"/>
        <w:widowControl/>
        <w:suppressLineNumbers w:val="0"/>
        <w:kinsoku/>
        <w:wordWrap w:val="0"/>
        <w:overflowPunct/>
        <w:topLinePunct w:val="0"/>
        <w:bidi w:val="0"/>
        <w:snapToGrid/>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邮政编码：</w:t>
      </w:r>
    </w:p>
    <w:p w14:paraId="1E373EA7">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法定代表人：</w:t>
      </w:r>
    </w:p>
    <w:p w14:paraId="2C4AE550">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委托代理人：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委托代理人：</w:t>
      </w:r>
    </w:p>
    <w:p w14:paraId="66B58950">
      <w:pPr>
        <w:keepNext w:val="0"/>
        <w:keepLines w:val="0"/>
        <w:pageBreakBefore w:val="0"/>
        <w:widowControl/>
        <w:suppressLineNumbers w:val="0"/>
        <w:kinsoku/>
        <w:wordWrap w:val="0"/>
        <w:overflowPunct/>
        <w:topLinePunct w:val="0"/>
        <w:bidi w:val="0"/>
        <w:snapToGrid/>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b w:val="0"/>
          <w:bCs w:val="0"/>
          <w:sz w:val="21"/>
          <w:szCs w:val="21"/>
          <w:u w:val="none"/>
          <w:lang w:val="en-US" w:eastAsia="zh-CN" w:bidi="ar"/>
        </w:rPr>
        <w:t>：</w:t>
      </w:r>
    </w:p>
    <w:p w14:paraId="2B9711A6">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传  真：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传  真：</w:t>
      </w:r>
    </w:p>
    <w:p w14:paraId="53275A83">
      <w:pPr>
        <w:pageBreakBefore w:val="0"/>
        <w:kinsoku/>
        <w:wordWrap w:val="0"/>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电子信箱：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电子信箱：</w:t>
      </w:r>
    </w:p>
    <w:p w14:paraId="668E5F03">
      <w:pPr>
        <w:keepNext w:val="0"/>
        <w:keepLines w:val="0"/>
        <w:pageBreakBefore w:val="0"/>
        <w:widowControl/>
        <w:suppressLineNumbers w:val="0"/>
        <w:kinsoku/>
        <w:wordWrap w:val="0"/>
        <w:overflowPunct/>
        <w:topLinePunct w:val="0"/>
        <w:bidi w:val="0"/>
        <w:snapToGrid/>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开户银行：</w:t>
      </w:r>
    </w:p>
    <w:p w14:paraId="07E0C30F">
      <w:pPr>
        <w:keepNext w:val="0"/>
        <w:keepLines w:val="0"/>
        <w:pageBreakBefore w:val="0"/>
        <w:widowControl/>
        <w:suppressLineNumbers w:val="0"/>
        <w:kinsoku/>
        <w:wordWrap w:val="0"/>
        <w:overflowPunct/>
        <w:topLinePunct w:val="0"/>
        <w:bidi w:val="0"/>
        <w:snapToGrid/>
        <w:jc w:val="left"/>
        <w:textAlignment w:val="auto"/>
        <w:rPr>
          <w:rFonts w:hint="default" w:ascii="宋体" w:hAnsi="宋体" w:eastAsia="宋体" w:cs="宋体"/>
          <w:b w:val="0"/>
          <w:bCs w:val="0"/>
          <w:sz w:val="21"/>
          <w:szCs w:val="21"/>
          <w:u w:val="single"/>
          <w:lang w:val="en-US" w:eastAsia="zh-CN" w:bidi="ar"/>
        </w:rPr>
      </w:pPr>
      <w:r>
        <w:rPr>
          <w:rFonts w:hint="eastAsia" w:ascii="宋体" w:hAnsi="宋体" w:eastAsia="宋体" w:cs="宋体"/>
          <w:color w:val="auto"/>
          <w:sz w:val="24"/>
          <w:szCs w:val="24"/>
        </w:rPr>
        <w:t>账  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账  号：</w:t>
      </w:r>
    </w:p>
    <w:p w14:paraId="0970892F">
      <w:pPr>
        <w:keepNext w:val="0"/>
        <w:keepLines w:val="0"/>
        <w:pageBreakBefore w:val="0"/>
        <w:widowControl w:val="0"/>
        <w:suppressLineNumbers w:val="0"/>
        <w:kinsoku/>
        <w:wordWrap w:val="0"/>
        <w:overflowPunct/>
        <w:topLinePunct w:val="0"/>
        <w:bidi w:val="0"/>
        <w:snapToGrid/>
        <w:spacing w:before="0" w:beforeAutospacing="0" w:after="0" w:afterAutospacing="0"/>
        <w:ind w:left="0" w:right="0"/>
        <w:jc w:val="both"/>
        <w:textAlignment w:val="auto"/>
        <w:rPr>
          <w:rFonts w:hint="eastAsia" w:ascii="宋体" w:hAnsi="宋体" w:eastAsia="宋体" w:cs="宋体"/>
          <w:color w:val="auto"/>
          <w:sz w:val="24"/>
          <w:szCs w:val="24"/>
        </w:rPr>
      </w:pPr>
    </w:p>
    <w:p w14:paraId="17A294D1">
      <w:pPr>
        <w:pStyle w:val="5"/>
        <w:pageBreakBefore w:val="0"/>
        <w:kinsoku/>
        <w:wordWrap w:val="0"/>
        <w:overflowPunct/>
        <w:topLinePunct w:val="0"/>
        <w:bidi w:val="0"/>
        <w:snapToGrid/>
        <w:jc w:val="center"/>
        <w:textAlignment w:val="auto"/>
        <w:rPr>
          <w:rFonts w:hint="eastAsia" w:ascii="宋体" w:hAnsi="宋体" w:eastAsia="宋体" w:cs="宋体"/>
          <w:color w:val="auto"/>
          <w:sz w:val="24"/>
          <w:szCs w:val="24"/>
        </w:rPr>
      </w:pPr>
      <w:r>
        <w:rPr>
          <w:rFonts w:eastAsia="仿宋_GB2312"/>
          <w:color w:val="auto"/>
          <w:sz w:val="20"/>
          <w:szCs w:val="20"/>
        </w:rPr>
        <w:br w:type="page" w:clear="all"/>
      </w:r>
      <w:bookmarkStart w:id="19" w:name="_Toc351203494"/>
      <w:r>
        <w:rPr>
          <w:rFonts w:hint="eastAsia" w:ascii="宋体" w:hAnsi="宋体" w:eastAsia="宋体" w:cs="宋体"/>
          <w:color w:val="auto"/>
          <w:sz w:val="24"/>
          <w:szCs w:val="24"/>
        </w:rPr>
        <w:t>第二部分 通用合同条款</w:t>
      </w:r>
      <w:bookmarkEnd w:id="19"/>
      <w:bookmarkStart w:id="20" w:name="_Toc337558727"/>
      <w:bookmarkEnd w:id="20"/>
    </w:p>
    <w:p w14:paraId="1796E430">
      <w:pPr>
        <w:pageBreakBefore w:val="0"/>
        <w:kinsoku/>
        <w:wordWrap w:val="0"/>
        <w:overflowPunct/>
        <w:topLinePunct w:val="0"/>
        <w:bidi w:val="0"/>
        <w:snapToGrid/>
        <w:spacing w:line="360" w:lineRule="auto"/>
        <w:ind w:firstLine="480"/>
        <w:jc w:val="left"/>
        <w:textAlignment w:val="auto"/>
        <w:rPr>
          <w:rFonts w:ascii="Times New Roman" w:hAnsi="Times New Roman" w:eastAsia="仿宋_GB2312"/>
          <w:color w:val="auto"/>
          <w:sz w:val="24"/>
          <w:szCs w:val="24"/>
        </w:rPr>
      </w:pPr>
      <w:r>
        <w:rPr>
          <w:rFonts w:hint="eastAsia" w:ascii="宋体" w:hAnsi="宋体"/>
          <w:color w:val="auto"/>
          <w:sz w:val="24"/>
          <w:szCs w:val="24"/>
        </w:rPr>
        <w:t>此部分直接引用住房和城乡建设部、国家工商行政管理总局《建设工程施工合同（示范文本）》（GF-2017-0201）第二部分“通用合同条款”。</w:t>
      </w:r>
    </w:p>
    <w:p w14:paraId="66A43AEF">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21" w:name="_Toc351203632"/>
      <w:r>
        <w:rPr>
          <w:rFonts w:ascii="华文中宋" w:hAnsi="华文中宋" w:eastAsia="华文中宋"/>
          <w:color w:val="auto"/>
          <w:sz w:val="20"/>
          <w:szCs w:val="20"/>
        </w:rPr>
        <w:br w:type="page" w:clear="all"/>
      </w:r>
      <w:bookmarkEnd w:id="21"/>
      <w:bookmarkStart w:id="22" w:name="_Toc351203633"/>
      <w:bookmarkStart w:id="23" w:name="_Toc5943"/>
      <w:r>
        <w:rPr>
          <w:rFonts w:hint="eastAsia" w:ascii="宋体" w:hAnsi="宋体" w:eastAsia="宋体" w:cs="宋体"/>
          <w:b w:val="0"/>
          <w:color w:val="auto"/>
          <w:sz w:val="24"/>
          <w:szCs w:val="24"/>
        </w:rPr>
        <w:t>1</w:t>
      </w:r>
      <w:bookmarkStart w:id="24" w:name="_Toc292559866"/>
      <w:bookmarkStart w:id="25" w:name="_Toc296891196"/>
      <w:bookmarkStart w:id="26" w:name="_Toc296944495"/>
      <w:bookmarkStart w:id="27" w:name="_Toc296346657"/>
      <w:bookmarkStart w:id="28" w:name="_Toc292559361"/>
      <w:bookmarkStart w:id="29" w:name="_Toc296347155"/>
      <w:bookmarkStart w:id="30" w:name="_Toc297120456"/>
      <w:bookmarkStart w:id="31" w:name="_Toc297048342"/>
      <w:bookmarkStart w:id="32" w:name="_Toc296890984"/>
      <w:bookmarkStart w:id="33" w:name="_Toc296503156"/>
      <w:r>
        <w:rPr>
          <w:rFonts w:hint="eastAsia" w:ascii="宋体" w:hAnsi="宋体" w:eastAsia="宋体" w:cs="宋体"/>
          <w:b w:val="0"/>
          <w:color w:val="auto"/>
          <w:sz w:val="24"/>
          <w:szCs w:val="24"/>
        </w:rPr>
        <w:t>. 一般约定</w:t>
      </w:r>
      <w:bookmarkEnd w:id="22"/>
      <w:bookmarkEnd w:id="23"/>
      <w:bookmarkEnd w:id="24"/>
      <w:bookmarkEnd w:id="25"/>
      <w:bookmarkEnd w:id="26"/>
      <w:bookmarkEnd w:id="27"/>
      <w:bookmarkEnd w:id="28"/>
      <w:bookmarkEnd w:id="29"/>
      <w:bookmarkEnd w:id="30"/>
      <w:bookmarkEnd w:id="31"/>
      <w:bookmarkEnd w:id="32"/>
      <w:bookmarkEnd w:id="33"/>
    </w:p>
    <w:p w14:paraId="32FD4DBD">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34" w:name="_Toc5734"/>
      <w:r>
        <w:rPr>
          <w:rFonts w:hint="eastAsia" w:ascii="宋体" w:hAnsi="宋体" w:eastAsia="宋体" w:cs="宋体"/>
          <w:color w:val="auto"/>
          <w:sz w:val="24"/>
          <w:szCs w:val="24"/>
        </w:rPr>
        <w:t>1.1 词语定义</w:t>
      </w:r>
      <w:bookmarkEnd w:id="34"/>
    </w:p>
    <w:p w14:paraId="683DE9D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1.1.1合同</w:t>
      </w:r>
    </w:p>
    <w:p w14:paraId="56B4617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1.1.1.10其他合同文件包括：</w:t>
      </w:r>
      <w:r>
        <w:rPr>
          <w:rFonts w:hint="eastAsia" w:ascii="宋体" w:hAnsi="宋体" w:eastAsia="宋体" w:cs="宋体"/>
          <w:color w:val="auto"/>
          <w:sz w:val="24"/>
          <w:szCs w:val="24"/>
          <w:u w:val="single"/>
        </w:rPr>
        <w:t xml:space="preserve">  在合同订立及履行过程中，发承包双方书面确认的对合同内容有实质性影响的会议纪要、设计变更、工程变更签证、补充协议、备忘录等资料  </w:t>
      </w:r>
      <w:r>
        <w:rPr>
          <w:rFonts w:hint="eastAsia" w:ascii="宋体" w:hAnsi="宋体" w:eastAsia="宋体" w:cs="宋体"/>
          <w:color w:val="auto"/>
          <w:sz w:val="24"/>
          <w:szCs w:val="24"/>
        </w:rPr>
        <w:t>。</w:t>
      </w:r>
    </w:p>
    <w:p w14:paraId="0C8E228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14:paraId="0A8068D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4DE5E9F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w:t>
      </w:r>
      <w:r>
        <w:rPr>
          <w:rFonts w:hint="default" w:ascii="宋体" w:hAnsi="宋体" w:cs="宋体"/>
          <w:color w:val="auto"/>
          <w:sz w:val="24"/>
          <w:szCs w:val="24"/>
          <w:u w:val="single"/>
        </w:rPr>
        <w:t xml:space="preserve">   </w:t>
      </w:r>
      <w:r>
        <w:rPr>
          <w:rFonts w:hint="eastAsia" w:ascii="宋体" w:hAnsi="宋体" w:cs="宋体"/>
          <w:color w:val="auto"/>
          <w:sz w:val="24"/>
          <w:szCs w:val="24"/>
          <w:u w:val="single"/>
          <w:lang w:val="en-US" w:eastAsia="zh-CN"/>
        </w:rPr>
        <w:tab/>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8D39D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9C902EC">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00B5E2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BCF5D4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C98F00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1C16E44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EE7491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67C981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2C8EC5C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58D54B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5E0242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479F765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由承包人根据现场条件确定，但须经发包人批准。应由承包人办理申请手续并承担相应费用，所涉费用，承包人在投标时已综合考虑，已包含发包价内，发包人不再额外予以补偿</w:t>
      </w:r>
      <w:r>
        <w:rPr>
          <w:rFonts w:hint="eastAsia" w:ascii="宋体" w:hAnsi="宋体" w:eastAsia="宋体" w:cs="宋体"/>
          <w:color w:val="auto"/>
          <w:sz w:val="24"/>
          <w:szCs w:val="24"/>
        </w:rPr>
        <w:t>。</w:t>
      </w:r>
    </w:p>
    <w:p w14:paraId="4F163D1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依据设计图纸确定</w:t>
      </w:r>
      <w:r>
        <w:rPr>
          <w:rFonts w:hint="eastAsia" w:ascii="宋体" w:hAnsi="宋体" w:eastAsia="宋体" w:cs="宋体"/>
          <w:color w:val="auto"/>
          <w:sz w:val="24"/>
          <w:szCs w:val="24"/>
        </w:rPr>
        <w:t>。</w:t>
      </w:r>
    </w:p>
    <w:p w14:paraId="0346938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由承包人申请，经发包人批准的为实施合同工程需临时占用的土地，需要临时占地的，应由承包人办理申请手续并承担相应费用，发包人可视情况协助办理；相关费用由承包人在投标踏勘现场时及投标时综合考虑，已包含发包价内，施工期间发生的该类一切费用发包人不予补偿</w:t>
      </w:r>
      <w:r>
        <w:rPr>
          <w:rFonts w:hint="eastAsia" w:ascii="宋体" w:hAnsi="宋体" w:eastAsia="宋体" w:cs="宋体"/>
          <w:color w:val="auto"/>
          <w:sz w:val="24"/>
          <w:szCs w:val="24"/>
        </w:rPr>
        <w:t>。</w:t>
      </w:r>
    </w:p>
    <w:p w14:paraId="69407D62">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14:paraId="0AA4A0EE">
      <w:pPr>
        <w:pageBreakBefore w:val="0"/>
        <w:kinsoku/>
        <w:wordWrap w:val="0"/>
        <w:overflowPunct/>
        <w:topLinePunct w:val="0"/>
        <w:bidi w:val="0"/>
        <w:snapToGrid/>
        <w:spacing w:line="460" w:lineRule="exact"/>
        <w:ind w:left="59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江苏省、淮安市以及盱眙县现行的规范性文件</w:t>
      </w:r>
      <w:r>
        <w:rPr>
          <w:rFonts w:hint="eastAsia" w:ascii="宋体" w:hAnsi="宋体" w:eastAsia="宋体" w:cs="宋体"/>
          <w:color w:val="auto"/>
          <w:sz w:val="24"/>
          <w:szCs w:val="24"/>
        </w:rPr>
        <w:t>。</w:t>
      </w:r>
    </w:p>
    <w:p w14:paraId="080AF57C">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14:paraId="19AFC4D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国家部委颁发的有关施工验收标准、规范，以及江苏省、淮安市、盱眙县建设以及环保等相关主管部门颁布的现行文件</w:t>
      </w:r>
      <w:r>
        <w:rPr>
          <w:rFonts w:hint="eastAsia" w:ascii="宋体" w:hAnsi="宋体" w:eastAsia="宋体" w:cs="宋体"/>
          <w:color w:val="auto"/>
          <w:sz w:val="24"/>
          <w:szCs w:val="24"/>
        </w:rPr>
        <w:t>。</w:t>
      </w:r>
    </w:p>
    <w:p w14:paraId="16DD9E01">
      <w:pPr>
        <w:pageBreakBefore w:val="0"/>
        <w:kinsoku/>
        <w:wordWrap w:val="0"/>
        <w:overflowPunct/>
        <w:topLinePunct w:val="0"/>
        <w:bidi w:val="0"/>
        <w:snapToGrid/>
        <w:spacing w:line="460" w:lineRule="exact"/>
        <w:ind w:firstLine="480"/>
        <w:textAlignment w:val="auto"/>
        <w:outlineLvl w:val="0"/>
        <w:rPr>
          <w:rFonts w:hint="eastAsia" w:ascii="宋体" w:hAnsi="宋体" w:eastAsia="宋体" w:cs="宋体"/>
          <w:color w:val="auto"/>
          <w:sz w:val="24"/>
          <w:szCs w:val="24"/>
        </w:rPr>
      </w:pPr>
      <w:bookmarkStart w:id="35" w:name="_Toc2465"/>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35"/>
    </w:p>
    <w:p w14:paraId="4FB79E2C">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589093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E5E2A5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C8F4A71">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36" w:name="_Toc15"/>
      <w:r>
        <w:rPr>
          <w:rFonts w:hint="eastAsia" w:ascii="宋体" w:hAnsi="宋体" w:eastAsia="宋体" w:cs="宋体"/>
          <w:color w:val="auto"/>
          <w:sz w:val="24"/>
          <w:szCs w:val="24"/>
        </w:rPr>
        <w:t>1.5 合同文件的优先顺序</w:t>
      </w:r>
      <w:bookmarkEnd w:id="36"/>
    </w:p>
    <w:p w14:paraId="493A53E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合同文件组成及优先顺序为：</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1）本合同补充协议；（2）本合同协议书及各附件；（3）中标通知书；（4）本合同专用条款；（5）招标文件及招标时的澄清、修改、补充文件；（6）投标书及其附件；（7）本合同通用条款；（8）标准、规范及有关技术文件；（9）图纸；（10）已标价工程量清单或预算书；（11）其他合同文件。各项合同文件包括合同当事人就该项合同文件所作出的补充和修改，属于同一类内容的文件，应以最新签署的为准。专用合同条款及其附件须经合同当事人签字或盖章。图纸与技术标准和要求之间有矛盾或者不一致的，以其中要求较严格的标准为准</w:t>
      </w:r>
      <w:r>
        <w:rPr>
          <w:rFonts w:hint="eastAsia" w:ascii="宋体" w:hAnsi="宋体" w:eastAsia="宋体" w:cs="宋体"/>
          <w:color w:val="auto"/>
          <w:sz w:val="24"/>
          <w:szCs w:val="24"/>
        </w:rPr>
        <w:t>。</w:t>
      </w:r>
    </w:p>
    <w:p w14:paraId="4210C733">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37" w:name="_Toc1305"/>
      <w:r>
        <w:rPr>
          <w:rFonts w:hint="eastAsia" w:ascii="宋体" w:hAnsi="宋体" w:eastAsia="宋体" w:cs="宋体"/>
          <w:color w:val="auto"/>
          <w:sz w:val="24"/>
          <w:szCs w:val="24"/>
        </w:rPr>
        <w:t>1.6 图纸和承包人文件</w:t>
      </w:r>
      <w:bookmarkEnd w:id="37"/>
      <w:r>
        <w:rPr>
          <w:rFonts w:hint="eastAsia" w:ascii="宋体" w:hAnsi="宋体" w:eastAsia="宋体" w:cs="宋体"/>
          <w:color w:val="auto"/>
          <w:sz w:val="24"/>
          <w:szCs w:val="24"/>
        </w:rPr>
        <w:tab/>
      </w:r>
    </w:p>
    <w:p w14:paraId="35D8F0C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56F8089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rPr>
        <w:t>开工前14日内</w:t>
      </w:r>
      <w:r>
        <w:rPr>
          <w:rFonts w:hint="eastAsia" w:ascii="宋体" w:hAnsi="宋体" w:eastAsia="宋体" w:cs="宋体"/>
          <w:color w:val="auto"/>
          <w:sz w:val="24"/>
          <w:szCs w:val="24"/>
        </w:rPr>
        <w:t>；</w:t>
      </w:r>
    </w:p>
    <w:p w14:paraId="3B67F5A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提供全套施工图或施工说明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套，如承包人需增加图纸份数，由承包人向设计单位购买或自行复制，费用由承包人承担</w:t>
      </w:r>
      <w:r>
        <w:rPr>
          <w:rFonts w:hint="eastAsia" w:ascii="宋体" w:hAnsi="宋体" w:eastAsia="宋体" w:cs="宋体"/>
          <w:color w:val="auto"/>
          <w:sz w:val="24"/>
          <w:szCs w:val="24"/>
        </w:rPr>
        <w:t>；</w:t>
      </w:r>
    </w:p>
    <w:p w14:paraId="2F68FB9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全套施工图纸</w:t>
      </w:r>
      <w:r>
        <w:rPr>
          <w:rFonts w:hint="eastAsia" w:ascii="宋体" w:hAnsi="宋体" w:eastAsia="宋体" w:cs="宋体"/>
          <w:color w:val="auto"/>
          <w:sz w:val="24"/>
          <w:szCs w:val="24"/>
        </w:rPr>
        <w:t>。</w:t>
      </w:r>
    </w:p>
    <w:p w14:paraId="4F640CB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14:paraId="3A62504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施工组织设计、专项施工方案、工程进度计划、材料及设备采购清单与进场计划、劳动力计划、必要的加工图和大样图等</w:t>
      </w:r>
      <w:r>
        <w:rPr>
          <w:rFonts w:hint="eastAsia" w:ascii="宋体" w:hAnsi="宋体" w:eastAsia="宋体" w:cs="宋体"/>
          <w:color w:val="auto"/>
          <w:sz w:val="24"/>
          <w:szCs w:val="24"/>
        </w:rPr>
        <w:t>；</w:t>
      </w:r>
    </w:p>
    <w:p w14:paraId="36FB9D8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承包人提供的文件的期限为：</w:t>
      </w:r>
    </w:p>
    <w:p w14:paraId="37DB2F5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w:t>
      </w:r>
      <w:r>
        <w:rPr>
          <w:rFonts w:hint="eastAsia" w:ascii="宋体" w:hAnsi="宋体" w:eastAsia="宋体" w:cs="宋体"/>
          <w:color w:val="auto"/>
          <w:sz w:val="24"/>
          <w:szCs w:val="24"/>
          <w:u w:val="single"/>
        </w:rPr>
        <w:t>施工组织设计：合同签订后14天内提交详细的施工组织设计，但至迟不得晚于监理人发出开工通知中载明的开工日期前7天；</w:t>
      </w:r>
    </w:p>
    <w:p w14:paraId="3295AFE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w:t>
      </w:r>
      <w:r>
        <w:rPr>
          <w:rFonts w:hint="eastAsia" w:ascii="宋体" w:hAnsi="宋体" w:eastAsia="宋体" w:cs="宋体"/>
          <w:color w:val="auto"/>
          <w:sz w:val="24"/>
          <w:szCs w:val="24"/>
          <w:u w:val="single"/>
        </w:rPr>
        <w:t>专项施工方案：专项工程实施前7日内；</w:t>
      </w:r>
    </w:p>
    <w:p w14:paraId="395435E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（3）</w:t>
      </w:r>
      <w:r>
        <w:rPr>
          <w:rFonts w:hint="eastAsia" w:ascii="宋体" w:hAnsi="宋体" w:eastAsia="宋体" w:cs="宋体"/>
          <w:color w:val="auto"/>
          <w:sz w:val="24"/>
          <w:szCs w:val="24"/>
          <w:u w:val="single"/>
        </w:rPr>
        <w:t>工程进度计划：每月25日前报月进度计划，每周工地例会前报周进度计划；</w:t>
      </w:r>
    </w:p>
    <w:p w14:paraId="422E809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（4）</w:t>
      </w:r>
      <w:r>
        <w:rPr>
          <w:rFonts w:hint="eastAsia" w:ascii="宋体" w:hAnsi="宋体" w:eastAsia="宋体" w:cs="宋体"/>
          <w:color w:val="auto"/>
          <w:sz w:val="24"/>
          <w:szCs w:val="24"/>
          <w:u w:val="single"/>
        </w:rPr>
        <w:t>材料及设备采购清单与进场计划、已完工作量报表、劳动力计划等：每月25日前及每周工地例会前；</w:t>
      </w:r>
    </w:p>
    <w:p w14:paraId="5E34BD9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rPr>
        <w:t>（5）</w:t>
      </w:r>
      <w:r>
        <w:rPr>
          <w:rFonts w:hint="eastAsia" w:ascii="宋体" w:hAnsi="宋体" w:eastAsia="宋体" w:cs="宋体"/>
          <w:color w:val="auto"/>
          <w:sz w:val="24"/>
          <w:szCs w:val="24"/>
          <w:u w:val="single"/>
        </w:rPr>
        <w:t>其他文件：及时按监理人或发包人要求提交。承包人提供的文件应首先递交监理人，并由监理人审核签署意见后报送发包人</w:t>
      </w:r>
      <w:r>
        <w:rPr>
          <w:rFonts w:hint="eastAsia" w:ascii="宋体" w:hAnsi="宋体" w:eastAsia="宋体" w:cs="宋体"/>
          <w:color w:val="auto"/>
          <w:sz w:val="24"/>
          <w:szCs w:val="24"/>
        </w:rPr>
        <w:t>；</w:t>
      </w:r>
    </w:p>
    <w:p w14:paraId="115C4AE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同类纸质文件不少于3份（具体由发包人根据实际需要确定），电子文件1份，承包人所有资料提交按规定时间的提交、每次例会及通知单等内容要在规定的时间内整改及提交</w:t>
      </w:r>
      <w:r>
        <w:rPr>
          <w:rFonts w:hint="eastAsia" w:ascii="宋体" w:hAnsi="宋体" w:eastAsia="宋体" w:cs="宋体"/>
          <w:color w:val="auto"/>
          <w:sz w:val="24"/>
          <w:szCs w:val="24"/>
        </w:rPr>
        <w:t>；</w:t>
      </w:r>
    </w:p>
    <w:p w14:paraId="0B8CA08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纸质文件与电子文件</w:t>
      </w:r>
      <w:r>
        <w:rPr>
          <w:rFonts w:hint="eastAsia" w:ascii="宋体" w:hAnsi="宋体" w:eastAsia="宋体" w:cs="宋体"/>
          <w:color w:val="auto"/>
          <w:sz w:val="24"/>
          <w:szCs w:val="24"/>
        </w:rPr>
        <w:t>；</w:t>
      </w:r>
    </w:p>
    <w:p w14:paraId="17BCC25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收到文件后7日内</w:t>
      </w:r>
      <w:r>
        <w:rPr>
          <w:rFonts w:hint="eastAsia" w:ascii="宋体" w:hAnsi="宋体" w:eastAsia="宋体" w:cs="宋体"/>
          <w:color w:val="auto"/>
          <w:sz w:val="24"/>
          <w:szCs w:val="24"/>
        </w:rPr>
        <w:t>。</w:t>
      </w:r>
    </w:p>
    <w:p w14:paraId="3096D02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5A1DB1B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监理人、承包人在施工场地各保存一套完整的图纸和承包人文件</w:t>
      </w:r>
      <w:r>
        <w:rPr>
          <w:rFonts w:hint="eastAsia" w:ascii="宋体" w:hAnsi="宋体" w:eastAsia="宋体" w:cs="宋体"/>
          <w:color w:val="auto"/>
          <w:sz w:val="24"/>
          <w:szCs w:val="24"/>
        </w:rPr>
        <w:t>。</w:t>
      </w:r>
    </w:p>
    <w:p w14:paraId="34D28D98">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38" w:name="_Toc29420"/>
      <w:r>
        <w:rPr>
          <w:rFonts w:hint="eastAsia" w:ascii="宋体" w:hAnsi="宋体" w:eastAsia="宋体" w:cs="宋体"/>
          <w:color w:val="auto"/>
          <w:sz w:val="24"/>
          <w:szCs w:val="24"/>
        </w:rPr>
        <w:t>1.7 联络</w:t>
      </w:r>
      <w:bookmarkEnd w:id="38"/>
    </w:p>
    <w:p w14:paraId="0994C61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sz w:val="24"/>
          <w:szCs w:val="24"/>
          <w:u w:val="single"/>
        </w:rPr>
        <w:t xml:space="preserve">   3</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14:paraId="573CA5C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项目所在地发包人项目部</w:t>
      </w:r>
      <w:r>
        <w:rPr>
          <w:rFonts w:hint="eastAsia" w:ascii="宋体" w:hAnsi="宋体" w:eastAsia="宋体" w:cs="宋体"/>
          <w:color w:val="auto"/>
          <w:sz w:val="24"/>
          <w:szCs w:val="24"/>
        </w:rPr>
        <w:t>；</w:t>
      </w:r>
    </w:p>
    <w:p w14:paraId="2765ED7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14:paraId="6817B37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承包人接收文件的地点：</w:t>
      </w:r>
      <w:r>
        <w:rPr>
          <w:rFonts w:hint="eastAsia" w:ascii="宋体" w:hAnsi="宋体" w:eastAsia="宋体" w:cs="宋体"/>
          <w:color w:val="auto"/>
          <w:sz w:val="24"/>
          <w:szCs w:val="24"/>
          <w:u w:val="single"/>
        </w:rPr>
        <w:t>项目所在地承包人项目部</w:t>
      </w:r>
      <w:r>
        <w:rPr>
          <w:rFonts w:hint="eastAsia" w:ascii="宋体" w:hAnsi="宋体" w:eastAsia="宋体" w:cs="宋体"/>
          <w:color w:val="auto"/>
          <w:sz w:val="24"/>
          <w:szCs w:val="24"/>
        </w:rPr>
        <w:t>；</w:t>
      </w:r>
    </w:p>
    <w:p w14:paraId="4D5302C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承包人指定的接收人为：</w:t>
      </w:r>
      <w:r>
        <w:rPr>
          <w:rFonts w:hint="eastAsia" w:ascii="宋体" w:hAnsi="宋体" w:eastAsia="宋体" w:cs="宋体"/>
          <w:color w:val="auto"/>
          <w:sz w:val="24"/>
          <w:szCs w:val="24"/>
          <w:u w:val="single"/>
        </w:rPr>
        <w:t>承包人项目经理</w:t>
      </w:r>
      <w:r>
        <w:rPr>
          <w:rFonts w:hint="eastAsia" w:ascii="宋体" w:hAnsi="宋体" w:eastAsia="宋体" w:cs="宋体"/>
          <w:color w:val="auto"/>
          <w:sz w:val="24"/>
          <w:szCs w:val="24"/>
        </w:rPr>
        <w:t>。</w:t>
      </w:r>
    </w:p>
    <w:p w14:paraId="222A56C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项目所在地监理人办公室</w:t>
      </w:r>
      <w:r>
        <w:rPr>
          <w:rFonts w:hint="eastAsia" w:ascii="宋体" w:hAnsi="宋体" w:eastAsia="宋体" w:cs="宋体"/>
          <w:color w:val="auto"/>
          <w:sz w:val="24"/>
          <w:szCs w:val="24"/>
        </w:rPr>
        <w:t>；</w:t>
      </w:r>
    </w:p>
    <w:p w14:paraId="0DB84EC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监理工程师</w:t>
      </w:r>
      <w:r>
        <w:rPr>
          <w:rFonts w:hint="eastAsia" w:ascii="宋体" w:hAnsi="宋体" w:eastAsia="宋体" w:cs="宋体"/>
          <w:color w:val="auto"/>
          <w:sz w:val="24"/>
          <w:szCs w:val="24"/>
        </w:rPr>
        <w:t>。</w:t>
      </w:r>
    </w:p>
    <w:p w14:paraId="14E6B9A6">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39" w:name="_Toc20685"/>
      <w:r>
        <w:rPr>
          <w:rFonts w:hint="eastAsia" w:ascii="宋体" w:hAnsi="宋体" w:eastAsia="宋体" w:cs="宋体"/>
          <w:color w:val="auto"/>
          <w:sz w:val="24"/>
          <w:szCs w:val="24"/>
        </w:rPr>
        <w:t>1.10 交通运输</w:t>
      </w:r>
      <w:bookmarkEnd w:id="39"/>
    </w:p>
    <w:p w14:paraId="18C6D91B">
      <w:pPr>
        <w:pageBreakBefore w:val="0"/>
        <w:kinsoku/>
        <w:wordWrap w:val="0"/>
        <w:overflowPunct/>
        <w:topLinePunct w:val="0"/>
        <w:bidi w:val="0"/>
        <w:snapToGrid/>
        <w:spacing w:line="460" w:lineRule="exact"/>
        <w:ind w:firstLine="480"/>
        <w:textAlignment w:val="auto"/>
        <w:outlineLvl w:val="0"/>
        <w:rPr>
          <w:rFonts w:hint="eastAsia" w:ascii="宋体" w:hAnsi="宋体" w:eastAsia="宋体" w:cs="宋体"/>
          <w:color w:val="auto"/>
          <w:sz w:val="24"/>
          <w:szCs w:val="24"/>
        </w:rPr>
      </w:pPr>
      <w:bookmarkStart w:id="40" w:name="_Toc9868"/>
      <w:r>
        <w:rPr>
          <w:rFonts w:hint="eastAsia" w:ascii="宋体" w:hAnsi="宋体" w:eastAsia="宋体" w:cs="宋体"/>
          <w:color w:val="auto"/>
          <w:sz w:val="24"/>
          <w:szCs w:val="24"/>
        </w:rPr>
        <w:t>1</w:t>
      </w:r>
      <w:bookmarkStart w:id="41" w:name="_Toc318581155"/>
      <w:bookmarkStart w:id="42" w:name="_Toc304295521"/>
      <w:bookmarkStart w:id="43" w:name="_Toc300934943"/>
      <w:bookmarkStart w:id="44" w:name="_Toc312677986"/>
      <w:bookmarkStart w:id="45" w:name="_Toc303539100"/>
      <w:r>
        <w:rPr>
          <w:rFonts w:hint="eastAsia" w:ascii="宋体" w:hAnsi="宋体" w:eastAsia="宋体" w:cs="宋体"/>
          <w:color w:val="auto"/>
          <w:sz w:val="24"/>
          <w:szCs w:val="24"/>
        </w:rPr>
        <w:t>.10.1 出入现场的权利</w:t>
      </w:r>
      <w:bookmarkEnd w:id="40"/>
    </w:p>
    <w:p w14:paraId="3B9681B7">
      <w:pPr>
        <w:pageBreakBefore w:val="0"/>
        <w:kinsoku/>
        <w:wordWrap w:val="0"/>
        <w:overflowPunct/>
        <w:topLinePunct w:val="0"/>
        <w:bidi w:val="0"/>
        <w:snapToGrid/>
        <w:spacing w:line="460" w:lineRule="exact"/>
        <w:ind w:left="5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由承包人按发包人要求负责取得出入施工现场所需的批准手续和全部权利，以及取得因施工所需修建道路以及其他基础设施的权利，相关手续费用和建设费用，承包人已投标时综合考虑，已包含在发包价内。发包人不再予以额外补偿</w:t>
      </w:r>
      <w:r>
        <w:rPr>
          <w:rFonts w:hint="eastAsia" w:ascii="宋体" w:hAnsi="宋体" w:eastAsia="宋体" w:cs="宋体"/>
          <w:color w:val="auto"/>
          <w:sz w:val="24"/>
          <w:szCs w:val="24"/>
        </w:rPr>
        <w:t>。</w:t>
      </w:r>
      <w:bookmarkEnd w:id="41"/>
      <w:bookmarkEnd w:id="42"/>
      <w:bookmarkEnd w:id="43"/>
      <w:bookmarkEnd w:id="44"/>
      <w:bookmarkEnd w:id="45"/>
    </w:p>
    <w:p w14:paraId="19E8FA56">
      <w:pPr>
        <w:pageBreakBefore w:val="0"/>
        <w:kinsoku/>
        <w:wordWrap w:val="0"/>
        <w:overflowPunct/>
        <w:topLinePunct w:val="0"/>
        <w:bidi w:val="0"/>
        <w:snapToGrid/>
        <w:spacing w:line="460" w:lineRule="exact"/>
        <w:ind w:firstLine="480"/>
        <w:jc w:val="left"/>
        <w:textAlignment w:val="auto"/>
        <w:outlineLvl w:val="0"/>
        <w:rPr>
          <w:rFonts w:hint="eastAsia" w:ascii="宋体" w:hAnsi="宋体" w:eastAsia="宋体" w:cs="宋体"/>
          <w:color w:val="auto"/>
          <w:sz w:val="24"/>
          <w:szCs w:val="24"/>
        </w:rPr>
      </w:pPr>
      <w:bookmarkStart w:id="46" w:name="_Toc26332"/>
      <w:r>
        <w:rPr>
          <w:rFonts w:hint="eastAsia" w:ascii="宋体" w:hAnsi="宋体" w:eastAsia="宋体" w:cs="宋体"/>
          <w:color w:val="auto"/>
          <w:sz w:val="24"/>
          <w:szCs w:val="24"/>
        </w:rPr>
        <w:t>1</w:t>
      </w:r>
      <w:bookmarkStart w:id="47" w:name="_Toc312677987"/>
      <w:bookmarkStart w:id="48" w:name="_Toc304295522"/>
      <w:bookmarkStart w:id="49" w:name="_Toc300934944"/>
      <w:bookmarkStart w:id="50" w:name="_Toc318581156"/>
      <w:bookmarkStart w:id="51" w:name="_Toc303539101"/>
      <w:r>
        <w:rPr>
          <w:rFonts w:hint="eastAsia" w:ascii="宋体" w:hAnsi="宋体" w:eastAsia="宋体" w:cs="宋体"/>
          <w:color w:val="auto"/>
          <w:sz w:val="24"/>
          <w:szCs w:val="24"/>
        </w:rPr>
        <w:t>.10.3 场内交通</w:t>
      </w:r>
      <w:bookmarkEnd w:id="46"/>
    </w:p>
    <w:p w14:paraId="2E8D83F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以规划红线为界</w:t>
      </w:r>
      <w:r>
        <w:rPr>
          <w:rFonts w:hint="eastAsia" w:ascii="宋体" w:hAnsi="宋体" w:eastAsia="宋体" w:cs="宋体"/>
          <w:color w:val="auto"/>
          <w:sz w:val="24"/>
          <w:szCs w:val="24"/>
        </w:rPr>
        <w:t>。</w:t>
      </w:r>
    </w:p>
    <w:p w14:paraId="3406C5E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按现状， 如施工需要的场内道路和交通设施及施工绿色围挡（含绿色围墙、张贴广告等）由承包人自行建设或维护及协调，其费用承包人已根据施工现场实际情况综合考虑，已含在签约合同价中，竣工结算时不做任何调整。因承包人原因造成场内原有道路、绿化、管网损坏的，由承包人负责</w:t>
      </w:r>
      <w:r>
        <w:rPr>
          <w:rFonts w:hint="eastAsia" w:ascii="宋体" w:hAnsi="宋体" w:eastAsia="宋体" w:cs="宋体"/>
          <w:color w:val="auto"/>
          <w:sz w:val="24"/>
          <w:szCs w:val="24"/>
        </w:rPr>
        <w:t>。</w:t>
      </w:r>
      <w:bookmarkEnd w:id="47"/>
      <w:bookmarkEnd w:id="48"/>
      <w:bookmarkEnd w:id="49"/>
      <w:bookmarkEnd w:id="50"/>
      <w:bookmarkEnd w:id="51"/>
      <w:bookmarkStart w:id="52" w:name="_Toc318581157"/>
    </w:p>
    <w:p w14:paraId="285BCBC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14:paraId="7606F96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bookmarkEnd w:id="52"/>
    </w:p>
    <w:p w14:paraId="1BC333B6">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53" w:name="_Toc29230"/>
      <w:r>
        <w:rPr>
          <w:rFonts w:hint="eastAsia" w:ascii="宋体" w:hAnsi="宋体" w:eastAsia="宋体" w:cs="宋体"/>
          <w:color w:val="auto"/>
          <w:sz w:val="24"/>
          <w:szCs w:val="24"/>
        </w:rPr>
        <w:t>1.11 知识产权</w:t>
      </w:r>
      <w:bookmarkEnd w:id="53"/>
    </w:p>
    <w:p w14:paraId="484AE3D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 xml:space="preserve">发包人 </w:t>
      </w:r>
      <w:r>
        <w:rPr>
          <w:rFonts w:hint="eastAsia" w:ascii="宋体" w:hAnsi="宋体" w:eastAsia="宋体" w:cs="宋体"/>
          <w:color w:val="auto"/>
          <w:sz w:val="24"/>
          <w:szCs w:val="24"/>
        </w:rPr>
        <w:t>。</w:t>
      </w:r>
    </w:p>
    <w:p w14:paraId="68F2440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经发包人同意不得复制，不得向承包人以外的人员泄漏有关内容或提供给第三方，否则所造成的损失由承包人负责赔偿，工程竣工后，除承包人存档需要的图纸外，原图全部收回</w:t>
      </w:r>
      <w:r>
        <w:rPr>
          <w:rFonts w:hint="eastAsia" w:ascii="宋体" w:hAnsi="宋体" w:eastAsia="宋体" w:cs="宋体"/>
          <w:color w:val="auto"/>
          <w:sz w:val="24"/>
          <w:szCs w:val="24"/>
        </w:rPr>
        <w:t>。</w:t>
      </w:r>
    </w:p>
    <w:p w14:paraId="21F14DAF">
      <w:pPr>
        <w:pageBreakBefore w:val="0"/>
        <w:kinsoku/>
        <w:wordWrap w:val="0"/>
        <w:overflowPunct/>
        <w:topLinePunct w:val="0"/>
        <w:bidi w:val="0"/>
        <w:snapToGrid/>
        <w:spacing w:line="460" w:lineRule="exact"/>
        <w:ind w:firstLine="480"/>
        <w:textAlignment w:val="auto"/>
        <w:outlineLvl w:val="0"/>
        <w:rPr>
          <w:rFonts w:hint="eastAsia" w:ascii="宋体" w:hAnsi="宋体" w:eastAsia="宋体" w:cs="宋体"/>
          <w:color w:val="auto"/>
          <w:sz w:val="24"/>
          <w:szCs w:val="24"/>
        </w:rPr>
      </w:pPr>
      <w:bookmarkStart w:id="54" w:name="_Toc30886"/>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u w:val="single"/>
        </w:rPr>
        <w:t>发包人</w:t>
      </w:r>
      <w:r>
        <w:rPr>
          <w:rFonts w:hint="eastAsia" w:ascii="宋体" w:hAnsi="宋体" w:eastAsia="宋体" w:cs="宋体"/>
          <w:color w:val="auto"/>
          <w:sz w:val="24"/>
          <w:szCs w:val="24"/>
        </w:rPr>
        <w:t>。</w:t>
      </w:r>
      <w:bookmarkEnd w:id="54"/>
    </w:p>
    <w:p w14:paraId="4987D38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按通用合同条款执行</w:t>
      </w:r>
      <w:r>
        <w:rPr>
          <w:rFonts w:hint="eastAsia" w:ascii="宋体" w:hAnsi="宋体" w:eastAsia="宋体" w:cs="宋体"/>
          <w:color w:val="auto"/>
          <w:sz w:val="24"/>
          <w:szCs w:val="24"/>
        </w:rPr>
        <w:t>。</w:t>
      </w:r>
    </w:p>
    <w:p w14:paraId="7240C9CD">
      <w:pPr>
        <w:pageBreakBefore w:val="0"/>
        <w:kinsoku/>
        <w:wordWrap w:val="0"/>
        <w:overflowPunct/>
        <w:topLinePunct w:val="0"/>
        <w:bidi w:val="0"/>
        <w:snapToGrid/>
        <w:spacing w:line="460" w:lineRule="exact"/>
        <w:ind w:firstLine="48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按通用合同条款执行</w:t>
      </w:r>
      <w:r>
        <w:rPr>
          <w:rFonts w:hint="eastAsia" w:ascii="宋体" w:hAnsi="宋体" w:eastAsia="宋体" w:cs="宋体"/>
          <w:color w:val="auto"/>
          <w:sz w:val="24"/>
          <w:szCs w:val="24"/>
        </w:rPr>
        <w:t>。</w:t>
      </w:r>
    </w:p>
    <w:p w14:paraId="5561D9EF">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1.13工程量清单错误的修正</w:t>
      </w:r>
    </w:p>
    <w:p w14:paraId="4A8B8D5C">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出现工程量清单错误时，是否调整合同价格：</w:t>
      </w:r>
      <w:r>
        <w:rPr>
          <w:rFonts w:hint="eastAsia" w:ascii="宋体" w:hAnsi="宋体" w:eastAsia="宋体" w:cs="宋体"/>
          <w:color w:val="auto"/>
          <w:sz w:val="24"/>
          <w:szCs w:val="24"/>
          <w:u w:val="single"/>
        </w:rPr>
        <w:t>不调整综合单价</w:t>
      </w:r>
      <w:r>
        <w:rPr>
          <w:rFonts w:hint="eastAsia" w:ascii="宋体" w:hAnsi="宋体" w:eastAsia="宋体" w:cs="宋体"/>
          <w:color w:val="auto"/>
          <w:sz w:val="24"/>
          <w:szCs w:val="24"/>
        </w:rPr>
        <w:t>。</w:t>
      </w:r>
    </w:p>
    <w:p w14:paraId="08D5C7A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允许调整合同价格的工程量偏差范围：</w:t>
      </w:r>
      <w:r>
        <w:rPr>
          <w:rFonts w:hint="eastAsia" w:ascii="宋体" w:hAnsi="宋体" w:eastAsia="宋体" w:cs="宋体"/>
          <w:color w:val="auto"/>
          <w:sz w:val="24"/>
          <w:szCs w:val="24"/>
          <w:u w:val="single"/>
        </w:rPr>
        <w:t xml:space="preserve">工程量按实调整，不调整综合单价 </w:t>
      </w:r>
      <w:r>
        <w:rPr>
          <w:rFonts w:hint="eastAsia" w:ascii="宋体" w:hAnsi="宋体" w:eastAsia="宋体" w:cs="宋体"/>
          <w:color w:val="auto"/>
          <w:sz w:val="24"/>
          <w:szCs w:val="24"/>
        </w:rPr>
        <w:t>。</w:t>
      </w:r>
    </w:p>
    <w:p w14:paraId="13B38424">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55" w:name="_Toc351203634"/>
      <w:bookmarkStart w:id="56" w:name="_Toc31298"/>
      <w:r>
        <w:rPr>
          <w:rFonts w:hint="eastAsia" w:ascii="宋体" w:hAnsi="宋体" w:eastAsia="宋体" w:cs="宋体"/>
          <w:b w:val="0"/>
          <w:color w:val="auto"/>
          <w:sz w:val="24"/>
          <w:szCs w:val="24"/>
        </w:rPr>
        <w:t>2</w:t>
      </w:r>
      <w:bookmarkStart w:id="57" w:name="_Toc292559867"/>
      <w:bookmarkStart w:id="58" w:name="_Toc296503157"/>
      <w:bookmarkStart w:id="59" w:name="_Toc296944496"/>
      <w:bookmarkStart w:id="60" w:name="_Toc292559362"/>
      <w:bookmarkStart w:id="61" w:name="_Toc297048343"/>
      <w:bookmarkStart w:id="62" w:name="_Toc296890985"/>
      <w:bookmarkStart w:id="63" w:name="_Toc296891197"/>
      <w:bookmarkStart w:id="64" w:name="_Toc296346658"/>
      <w:bookmarkStart w:id="65" w:name="_Toc297120457"/>
      <w:bookmarkStart w:id="66" w:name="_Toc296347156"/>
      <w:r>
        <w:rPr>
          <w:rFonts w:hint="eastAsia" w:ascii="宋体" w:hAnsi="宋体" w:eastAsia="宋体" w:cs="宋体"/>
          <w:b w:val="0"/>
          <w:color w:val="auto"/>
          <w:sz w:val="24"/>
          <w:szCs w:val="24"/>
        </w:rPr>
        <w:t>. 发包人</w:t>
      </w:r>
      <w:bookmarkEnd w:id="55"/>
      <w:bookmarkEnd w:id="56"/>
      <w:bookmarkEnd w:id="57"/>
      <w:bookmarkEnd w:id="58"/>
      <w:bookmarkEnd w:id="59"/>
      <w:bookmarkEnd w:id="60"/>
      <w:bookmarkEnd w:id="61"/>
      <w:bookmarkEnd w:id="62"/>
      <w:bookmarkEnd w:id="63"/>
      <w:bookmarkEnd w:id="64"/>
      <w:bookmarkEnd w:id="65"/>
      <w:bookmarkEnd w:id="66"/>
    </w:p>
    <w:p w14:paraId="60DC415A">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67" w:name="_Toc10555"/>
      <w:r>
        <w:rPr>
          <w:rFonts w:hint="eastAsia" w:ascii="宋体" w:hAnsi="宋体" w:eastAsia="宋体" w:cs="宋体"/>
          <w:color w:val="auto"/>
          <w:sz w:val="24"/>
          <w:szCs w:val="24"/>
        </w:rPr>
        <w:t>2.2 发包人代表</w:t>
      </w:r>
      <w:bookmarkEnd w:id="67"/>
    </w:p>
    <w:p w14:paraId="26A587A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59B4E2FC">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2BBE91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62AFEA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739784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E700F7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BA2E2B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B59E9C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发包人对发包人代表的授权范围如下：</w:t>
      </w:r>
    </w:p>
    <w:p w14:paraId="09DF027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w:t>
      </w:r>
      <w:r>
        <w:rPr>
          <w:rFonts w:hint="eastAsia" w:ascii="宋体" w:hAnsi="宋体" w:eastAsia="宋体" w:cs="宋体"/>
          <w:color w:val="auto"/>
          <w:sz w:val="24"/>
          <w:szCs w:val="24"/>
          <w:u w:val="single"/>
        </w:rPr>
        <w:t>负责安全、质量、进度，监督材料、设备的定样，材料价格的确认，以及代表发包人对工程量造价的核算和工程结算（包括索赔违约事件及费用等）、工程安全、质量、进度（包括工期顺延等）、变更、认价、工程量的增减等所有相关文件的签字确认</w:t>
      </w:r>
      <w:r>
        <w:rPr>
          <w:rFonts w:hint="eastAsia" w:ascii="宋体" w:hAnsi="宋体" w:eastAsia="宋体" w:cs="宋体"/>
          <w:color w:val="auto"/>
          <w:sz w:val="24"/>
          <w:szCs w:val="24"/>
          <w:u w:val="none"/>
        </w:rPr>
        <w:t>；</w:t>
      </w:r>
    </w:p>
    <w:p w14:paraId="2EE8500F">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w:t>
      </w:r>
      <w:r>
        <w:rPr>
          <w:rFonts w:hint="eastAsia" w:ascii="宋体" w:hAnsi="宋体" w:eastAsia="宋体" w:cs="宋体"/>
          <w:color w:val="auto"/>
          <w:sz w:val="24"/>
          <w:szCs w:val="24"/>
          <w:u w:val="single"/>
        </w:rPr>
        <w:t>对监理单位和承包人的工作进行监督、协调及外部组织协调</w:t>
      </w:r>
      <w:r>
        <w:rPr>
          <w:rFonts w:hint="eastAsia" w:ascii="宋体" w:hAnsi="宋体" w:eastAsia="宋体" w:cs="宋体"/>
          <w:color w:val="auto"/>
          <w:sz w:val="24"/>
          <w:szCs w:val="24"/>
          <w:u w:val="none"/>
        </w:rPr>
        <w:t>；</w:t>
      </w:r>
    </w:p>
    <w:p w14:paraId="1AE55A9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（3）</w:t>
      </w:r>
      <w:r>
        <w:rPr>
          <w:rFonts w:hint="eastAsia" w:ascii="宋体" w:hAnsi="宋体" w:eastAsia="宋体" w:cs="宋体"/>
          <w:color w:val="auto"/>
          <w:sz w:val="24"/>
          <w:szCs w:val="24"/>
          <w:u w:val="single"/>
        </w:rPr>
        <w:t>对不称职的监理、施工人员的更换权</w:t>
      </w:r>
      <w:r>
        <w:rPr>
          <w:rFonts w:hint="eastAsia" w:ascii="宋体" w:hAnsi="宋体" w:eastAsia="宋体" w:cs="宋体"/>
          <w:color w:val="auto"/>
          <w:sz w:val="24"/>
          <w:szCs w:val="24"/>
          <w:u w:val="none"/>
        </w:rPr>
        <w:t>；</w:t>
      </w:r>
    </w:p>
    <w:p w14:paraId="4BD811FE">
      <w:pPr>
        <w:pageBreakBefore w:val="0"/>
        <w:kinsoku/>
        <w:wordWrap w:val="0"/>
        <w:overflowPunct/>
        <w:topLinePunct w:val="0"/>
        <w:bidi w:val="0"/>
        <w:snapToGrid/>
        <w:spacing w:line="460" w:lineRule="exact"/>
        <w:ind w:firstLine="48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u w:val="none"/>
        </w:rPr>
        <w:t>（4）</w:t>
      </w:r>
      <w:r>
        <w:rPr>
          <w:rFonts w:hint="eastAsia" w:ascii="宋体" w:hAnsi="宋体" w:eastAsia="宋体" w:cs="宋体"/>
          <w:color w:val="auto"/>
          <w:sz w:val="24"/>
          <w:szCs w:val="24"/>
          <w:u w:val="single"/>
        </w:rPr>
        <w:t>委派工程师代表或工程顾问进行工程管理，但其所行使的权</w:t>
      </w:r>
      <w:r>
        <w:rPr>
          <w:rFonts w:hint="eastAsia" w:ascii="宋体" w:hAnsi="宋体" w:eastAsia="宋体" w:cs="宋体"/>
          <w:color w:val="auto"/>
          <w:sz w:val="24"/>
          <w:szCs w:val="24"/>
          <w:u w:val="single"/>
          <w:lang w:val="en-US" w:eastAsia="zh-CN"/>
        </w:rPr>
        <w:t>利</w:t>
      </w:r>
      <w:r>
        <w:rPr>
          <w:rFonts w:hint="eastAsia" w:ascii="宋体" w:hAnsi="宋体" w:eastAsia="宋体" w:cs="宋体"/>
          <w:color w:val="auto"/>
          <w:sz w:val="24"/>
          <w:szCs w:val="24"/>
          <w:u w:val="single"/>
        </w:rPr>
        <w:t>应得到发包人代表的确认，承包人凭发包人代表书面授权范围接受工程师代表或工程顾问的管理</w:t>
      </w:r>
      <w:r>
        <w:rPr>
          <w:rFonts w:hint="eastAsia" w:ascii="宋体" w:hAnsi="宋体" w:eastAsia="宋体" w:cs="宋体"/>
          <w:color w:val="auto"/>
          <w:sz w:val="24"/>
          <w:szCs w:val="24"/>
        </w:rPr>
        <w:t>。</w:t>
      </w:r>
    </w:p>
    <w:p w14:paraId="299DF00F">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68" w:name="_Toc5894"/>
      <w:r>
        <w:rPr>
          <w:rFonts w:hint="eastAsia" w:ascii="宋体" w:hAnsi="宋体" w:eastAsia="宋体" w:cs="宋体"/>
          <w:color w:val="auto"/>
          <w:sz w:val="24"/>
          <w:szCs w:val="24"/>
        </w:rPr>
        <w:t>2.4 施工现场、施工条件和基础资料的提供</w:t>
      </w:r>
      <w:bookmarkEnd w:id="68"/>
    </w:p>
    <w:p w14:paraId="3D885FF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5880762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开工日期前15天</w:t>
      </w:r>
      <w:r>
        <w:rPr>
          <w:rFonts w:hint="eastAsia" w:ascii="宋体" w:hAnsi="宋体" w:eastAsia="宋体" w:cs="宋体"/>
          <w:color w:val="auto"/>
          <w:sz w:val="24"/>
          <w:szCs w:val="24"/>
        </w:rPr>
        <w:t>。</w:t>
      </w:r>
    </w:p>
    <w:p w14:paraId="25B5AB1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182BA16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关于发包人应负责提供施工所需要的条件，包括：</w:t>
      </w:r>
    </w:p>
    <w:p w14:paraId="13933E7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w:t>
      </w:r>
      <w:r>
        <w:rPr>
          <w:rFonts w:hint="eastAsia" w:ascii="宋体" w:hAnsi="宋体" w:eastAsia="宋体" w:cs="宋体"/>
          <w:color w:val="auto"/>
          <w:sz w:val="24"/>
          <w:szCs w:val="24"/>
          <w:u w:val="single"/>
        </w:rPr>
        <w:t>施工现场具备施工条件的要求及完成时间：已完成。</w:t>
      </w:r>
    </w:p>
    <w:p w14:paraId="1FBC990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w:t>
      </w:r>
      <w:r>
        <w:rPr>
          <w:rFonts w:hint="eastAsia" w:ascii="宋体" w:hAnsi="宋体" w:eastAsia="宋体" w:cs="宋体"/>
          <w:color w:val="auto"/>
          <w:sz w:val="24"/>
          <w:szCs w:val="24"/>
          <w:u w:val="single"/>
        </w:rPr>
        <w:t>将所需的水、电、电讯线路接至施工现场的时间、地点和供应要求：本工程所需施工用水由发包人提供供水接口，从供水接口至施工现场所产生的一切费用及施工中应承担的水费和水损费用由承包人承担。</w:t>
      </w:r>
    </w:p>
    <w:p w14:paraId="651D5A2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本工程所需施工用电由发包人提供供电接口，从供电接口至施工现场所产生的一切费用及施工中应承担的电费和电损费用由承包人承担。</w:t>
      </w:r>
    </w:p>
    <w:p w14:paraId="792E2F8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（3）</w:t>
      </w:r>
      <w:r>
        <w:rPr>
          <w:rFonts w:hint="eastAsia" w:ascii="宋体" w:hAnsi="宋体" w:eastAsia="宋体" w:cs="宋体"/>
          <w:color w:val="auto"/>
          <w:sz w:val="24"/>
          <w:szCs w:val="24"/>
          <w:u w:val="single"/>
        </w:rPr>
        <w:t>施工场地与公共道路的通道开通时间和要求：  已开通 。</w:t>
      </w:r>
    </w:p>
    <w:p w14:paraId="34FE7F8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（4）</w:t>
      </w:r>
      <w:r>
        <w:rPr>
          <w:rFonts w:hint="eastAsia" w:ascii="宋体" w:hAnsi="宋体" w:eastAsia="宋体" w:cs="宋体"/>
          <w:color w:val="auto"/>
          <w:sz w:val="24"/>
          <w:szCs w:val="24"/>
          <w:u w:val="single"/>
        </w:rPr>
        <w:t>工程地质和地下管网线资料的提供时间：开工前一周 。</w:t>
      </w:r>
    </w:p>
    <w:p w14:paraId="0782CB6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（5）</w:t>
      </w:r>
      <w:r>
        <w:rPr>
          <w:rFonts w:hint="eastAsia" w:ascii="宋体" w:hAnsi="宋体" w:eastAsia="宋体" w:cs="宋体"/>
          <w:color w:val="auto"/>
          <w:sz w:val="24"/>
          <w:szCs w:val="24"/>
          <w:u w:val="single"/>
        </w:rPr>
        <w:t>由发包人办理的施工所需证件、批件的名称和完成时间：按规定应由发包人办理的相关施工手续，承包人应及时提供相关手续，因承包人原因手续未能及时办结，所引起的相关责任及给发包人造成的损失均由承包人负责。</w:t>
      </w:r>
    </w:p>
    <w:p w14:paraId="6389AB4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（6）</w:t>
      </w:r>
      <w:r>
        <w:rPr>
          <w:rFonts w:hint="eastAsia" w:ascii="宋体" w:hAnsi="宋体" w:eastAsia="宋体" w:cs="宋体"/>
          <w:color w:val="auto"/>
          <w:sz w:val="24"/>
          <w:szCs w:val="24"/>
          <w:u w:val="single"/>
        </w:rPr>
        <w:t>水准点与坐标控制点交验要求：开工前提供水准点与坐标控制点，按施工图由发包人、承包人、监理现场书面交验，交验后，承包人应妥善保护场内水准点与控制点，任意破坏或遗失应由承包人负责。</w:t>
      </w:r>
    </w:p>
    <w:p w14:paraId="156B0E8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（7）</w:t>
      </w:r>
      <w:r>
        <w:rPr>
          <w:rFonts w:hint="eastAsia" w:ascii="宋体" w:hAnsi="宋体" w:eastAsia="宋体" w:cs="宋体"/>
          <w:color w:val="auto"/>
          <w:sz w:val="24"/>
          <w:szCs w:val="24"/>
          <w:u w:val="single"/>
        </w:rPr>
        <w:t>图纸会审和设计交底时间：开工前。</w:t>
      </w:r>
    </w:p>
    <w:p w14:paraId="0C3B079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（8）</w:t>
      </w:r>
      <w:r>
        <w:rPr>
          <w:rFonts w:hint="eastAsia" w:ascii="宋体" w:hAnsi="宋体" w:eastAsia="宋体" w:cs="宋体"/>
          <w:color w:val="auto"/>
          <w:sz w:val="24"/>
          <w:szCs w:val="24"/>
          <w:u w:val="single"/>
        </w:rPr>
        <w:t xml:space="preserve">协调处理施工场地周围地下管线和邻近建筑物、构筑物（含文物保护建筑）、古树名木的保护工作：由发包人委托并会同承包方及有关部门共同做好保护工作，施工单位在施工过程中发现问题，首先应采取措施加以保护，同时应及时向监理和发包方报告并提出解决方案共同决策，但因承包方责任或因处理不及时而造成损失的，其损失费用由承包方承担赔偿责任 </w:t>
      </w:r>
      <w:r>
        <w:rPr>
          <w:rFonts w:hint="eastAsia" w:ascii="宋体" w:hAnsi="宋体" w:eastAsia="宋体" w:cs="宋体"/>
          <w:color w:val="auto"/>
          <w:sz w:val="24"/>
          <w:szCs w:val="24"/>
        </w:rPr>
        <w:t>。</w:t>
      </w:r>
    </w:p>
    <w:p w14:paraId="38621982">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69" w:name="_Toc6381"/>
      <w:r>
        <w:rPr>
          <w:rFonts w:hint="eastAsia" w:ascii="宋体" w:hAnsi="宋体" w:eastAsia="宋体" w:cs="宋体"/>
          <w:color w:val="auto"/>
          <w:sz w:val="24"/>
          <w:szCs w:val="24"/>
        </w:rPr>
        <w:t>2.5 资金来源证明及支付担保</w:t>
      </w:r>
      <w:bookmarkEnd w:id="69"/>
    </w:p>
    <w:p w14:paraId="0D6FBC8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发包人提供资金来源证明的期限要求：</w:t>
      </w:r>
      <w:r>
        <w:rPr>
          <w:rFonts w:hint="eastAsia" w:ascii="宋体" w:hAnsi="宋体" w:eastAsia="宋体" w:cs="宋体"/>
          <w:color w:val="auto"/>
          <w:sz w:val="24"/>
          <w:szCs w:val="24"/>
          <w:u w:val="single"/>
        </w:rPr>
        <w:t>不提供</w:t>
      </w:r>
      <w:r>
        <w:rPr>
          <w:rFonts w:hint="eastAsia" w:ascii="宋体" w:hAnsi="宋体" w:eastAsia="宋体" w:cs="宋体"/>
          <w:color w:val="auto"/>
          <w:sz w:val="24"/>
          <w:szCs w:val="24"/>
        </w:rPr>
        <w:t>。</w:t>
      </w:r>
    </w:p>
    <w:p w14:paraId="1467FEB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发包人是否提供支付担保：</w:t>
      </w:r>
      <w:r>
        <w:rPr>
          <w:rFonts w:hint="eastAsia" w:ascii="宋体" w:hAnsi="宋体" w:eastAsia="宋体" w:cs="宋体"/>
          <w:color w:val="auto"/>
          <w:sz w:val="24"/>
          <w:szCs w:val="24"/>
          <w:u w:val="single"/>
        </w:rPr>
        <w:t>不提供</w:t>
      </w:r>
      <w:r>
        <w:rPr>
          <w:rFonts w:hint="eastAsia" w:ascii="宋体" w:hAnsi="宋体" w:eastAsia="宋体" w:cs="宋体"/>
          <w:color w:val="auto"/>
          <w:sz w:val="24"/>
          <w:szCs w:val="24"/>
        </w:rPr>
        <w:t>。</w:t>
      </w:r>
    </w:p>
    <w:p w14:paraId="1E80F80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发包人提供支付担保的形式：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925E312">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70" w:name="_Toc16146"/>
      <w:bookmarkStart w:id="71" w:name="_Toc351203635"/>
      <w:r>
        <w:rPr>
          <w:rFonts w:hint="eastAsia" w:ascii="宋体" w:hAnsi="宋体" w:eastAsia="宋体" w:cs="宋体"/>
          <w:b w:val="0"/>
          <w:color w:val="auto"/>
          <w:sz w:val="24"/>
          <w:szCs w:val="24"/>
        </w:rPr>
        <w:t>3</w:t>
      </w:r>
      <w:bookmarkStart w:id="72" w:name="_Toc296346659"/>
      <w:bookmarkStart w:id="73" w:name="_Toc296891198"/>
      <w:bookmarkStart w:id="74" w:name="_Toc296503158"/>
      <w:bookmarkStart w:id="75" w:name="_Toc292559868"/>
      <w:bookmarkStart w:id="76" w:name="_Toc292559363"/>
      <w:bookmarkStart w:id="77" w:name="_Toc296944497"/>
      <w:bookmarkStart w:id="78" w:name="_Toc297120458"/>
      <w:bookmarkStart w:id="79" w:name="_Toc297048344"/>
      <w:bookmarkStart w:id="80" w:name="_Toc296890986"/>
      <w:bookmarkStart w:id="81" w:name="_Toc296347157"/>
      <w:r>
        <w:rPr>
          <w:rFonts w:hint="eastAsia" w:ascii="宋体" w:hAnsi="宋体" w:eastAsia="宋体" w:cs="宋体"/>
          <w:b w:val="0"/>
          <w:color w:val="auto"/>
          <w:sz w:val="24"/>
          <w:szCs w:val="24"/>
        </w:rPr>
        <w:t>. 承包人</w:t>
      </w:r>
      <w:bookmarkEnd w:id="70"/>
      <w:bookmarkEnd w:id="71"/>
      <w:bookmarkEnd w:id="72"/>
      <w:bookmarkEnd w:id="73"/>
      <w:bookmarkEnd w:id="74"/>
      <w:bookmarkEnd w:id="75"/>
      <w:bookmarkEnd w:id="76"/>
      <w:bookmarkEnd w:id="77"/>
      <w:bookmarkEnd w:id="78"/>
      <w:bookmarkEnd w:id="79"/>
      <w:bookmarkEnd w:id="80"/>
      <w:bookmarkEnd w:id="81"/>
    </w:p>
    <w:p w14:paraId="1533C148">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31904D3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包括但不限于竣工图、施工技术管理文件、产品质量证明文件、检验和检测报告、施工记录、检验批质量验收记录、分项工程验收记录、分部工程验收记录、竣工验收证明及竣工图等，具体应符合地方质量监督部门与城建档案管理机构等相关职能部门对施工资料的要求 </w:t>
      </w:r>
      <w:r>
        <w:rPr>
          <w:rFonts w:hint="eastAsia" w:ascii="宋体" w:hAnsi="宋体" w:eastAsia="宋体" w:cs="宋体"/>
          <w:color w:val="auto"/>
          <w:sz w:val="24"/>
          <w:szCs w:val="24"/>
        </w:rPr>
        <w:t>。</w:t>
      </w:r>
    </w:p>
    <w:p w14:paraId="3332172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不少于4套含电子文件 </w:t>
      </w:r>
      <w:r>
        <w:rPr>
          <w:rFonts w:hint="eastAsia" w:ascii="宋体" w:hAnsi="宋体" w:eastAsia="宋体" w:cs="宋体"/>
          <w:color w:val="auto"/>
          <w:sz w:val="24"/>
          <w:szCs w:val="24"/>
        </w:rPr>
        <w:t>。</w:t>
      </w:r>
    </w:p>
    <w:p w14:paraId="7B0411E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14:paraId="4995F97C">
      <w:pPr>
        <w:pageBreakBefore w:val="0"/>
        <w:kinsoku/>
        <w:wordWrap w:val="0"/>
        <w:overflowPunct/>
        <w:topLinePunct w:val="0"/>
        <w:bidi w:val="0"/>
        <w:snapToGrid/>
        <w:spacing w:line="460" w:lineRule="exact"/>
        <w:ind w:left="17" w:firstLine="49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申报工程竣工验收之前由承包人负责整理和提交竣工资料（包括竣工图）报相关部门验收.竣工验收合格并经发包人认可后28天内承包人向发包人提交完整竣工资料报送审计并完成所有资料向工程所在地城建档案管理部门及相关职能部门的移交工作,若因承包人提供的竣工资料延误或所报材料不符合要求影响正常工程竣工验收,导致发包人的工程不能按期交付或投入使用,无论哪项拖延，均视为承包人违约,承包人按每拖延一天</w:t>
      </w:r>
      <w:r>
        <w:rPr>
          <w:rFonts w:hint="eastAsia" w:ascii="宋体" w:hAnsi="宋体" w:eastAsia="宋体" w:cs="宋体"/>
          <w:color w:val="auto"/>
          <w:sz w:val="24"/>
          <w:szCs w:val="24"/>
          <w:highlight w:val="none"/>
          <w:u w:val="single"/>
        </w:rPr>
        <w:t xml:space="preserve"> 1000元</w:t>
      </w:r>
      <w:r>
        <w:rPr>
          <w:rFonts w:hint="eastAsia" w:ascii="宋体" w:hAnsi="宋体" w:eastAsia="宋体" w:cs="宋体"/>
          <w:color w:val="auto"/>
          <w:sz w:val="24"/>
          <w:szCs w:val="24"/>
          <w:u w:val="single"/>
        </w:rPr>
        <w:t xml:space="preserve">向发包人支付违约金,并且发包人保留进一步向承包人索赔补偿不足部分的权利   </w:t>
      </w:r>
      <w:r>
        <w:rPr>
          <w:rFonts w:hint="eastAsia" w:ascii="宋体" w:hAnsi="宋体" w:eastAsia="宋体" w:cs="宋体"/>
          <w:color w:val="auto"/>
          <w:sz w:val="24"/>
          <w:szCs w:val="24"/>
        </w:rPr>
        <w:t>。</w:t>
      </w:r>
    </w:p>
    <w:p w14:paraId="3418DA4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除提供纸质文件（书面形式且装订成册）外，还应提供相关信息电子文件及影像文件且满足相关职能部门要求  </w:t>
      </w:r>
      <w:r>
        <w:rPr>
          <w:rFonts w:hint="eastAsia" w:ascii="宋体" w:hAnsi="宋体" w:eastAsia="宋体" w:cs="宋体"/>
          <w:color w:val="auto"/>
          <w:sz w:val="24"/>
          <w:szCs w:val="24"/>
        </w:rPr>
        <w:t>。</w:t>
      </w:r>
    </w:p>
    <w:p w14:paraId="237CAB36">
      <w:pPr>
        <w:pageBreakBefore w:val="0"/>
        <w:numPr>
          <w:ilvl w:val="0"/>
          <w:numId w:val="1"/>
        </w:numPr>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承包人应履行的其他义务：</w:t>
      </w:r>
    </w:p>
    <w:p w14:paraId="599C296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w:t>
      </w:r>
      <w:r>
        <w:rPr>
          <w:rFonts w:hint="eastAsia" w:ascii="宋体" w:hAnsi="宋体" w:eastAsia="宋体" w:cs="宋体"/>
          <w:color w:val="auto"/>
          <w:sz w:val="24"/>
          <w:szCs w:val="24"/>
          <w:u w:val="single"/>
        </w:rPr>
        <w:t>发包人按照淮安市以及盱眙县建设行政主管部门及消防部门的要求，及时提供用于申办本工程备案、报批等手续所需的必要资料，承包人应在发包人提供上述资料后7天内完成备案、手续的办理工作，因承包人原因逾期未办妥的而导致工期延误，工期不予顺延 。</w:t>
      </w:r>
    </w:p>
    <w:p w14:paraId="005063F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w:t>
      </w:r>
      <w:r>
        <w:rPr>
          <w:rFonts w:hint="eastAsia" w:ascii="宋体" w:hAnsi="宋体" w:eastAsia="宋体" w:cs="宋体"/>
          <w:color w:val="auto"/>
          <w:sz w:val="24"/>
          <w:szCs w:val="24"/>
          <w:u w:val="single"/>
        </w:rPr>
        <w:t>承担发包人上级领导及其他相关部门检查、视察工地所需的现场准备工作；配合质监、安监等单位的现场检查，并承担由此引起的相关费用。发包人需要时，可能对施工做出某些限制和配合要求，承包人应按照要求做出必要的配合，并承担有可能因此而引起工效降低需增加的费用 。</w:t>
      </w:r>
    </w:p>
    <w:p w14:paraId="59007D5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（3）</w:t>
      </w:r>
      <w:r>
        <w:rPr>
          <w:rFonts w:hint="eastAsia" w:ascii="宋体" w:hAnsi="宋体" w:eastAsia="宋体" w:cs="宋体"/>
          <w:color w:val="auto"/>
          <w:sz w:val="24"/>
          <w:szCs w:val="24"/>
          <w:u w:val="single"/>
        </w:rPr>
        <w:t>承包人必须遵守江苏省及淮安市、盱眙县行业主管部门的相关规定，服从行业主管部门的管理，凡涉及到承包人的安全监督、质量监督、施工备案、车辆准运等有关证、照，均由承包人自行办理，发包人给予配合，发生的费用全部由承包人承担 。</w:t>
      </w:r>
    </w:p>
    <w:p w14:paraId="252CA1A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（4）</w:t>
      </w:r>
      <w:r>
        <w:rPr>
          <w:rFonts w:hint="eastAsia" w:ascii="宋体" w:hAnsi="宋体" w:eastAsia="宋体" w:cs="宋体"/>
          <w:color w:val="auto"/>
          <w:sz w:val="24"/>
          <w:szCs w:val="24"/>
          <w:u w:val="single"/>
        </w:rPr>
        <w:t>涉及到的所有消防、交通、环卫、市容、施工噪声及劳务用工管理等各项应办手续及费用，均由承包方自行办理和承担，包括但不限于外地施工单位施工备案费用、排污管理费、噪声管理费、渣土费及垃圾管理费等。承包人不得因此而影响工程工期，否则仍须承担违约责任。若因此而产生相应的行政处罚，概由承包人承担 。</w:t>
      </w:r>
    </w:p>
    <w:p w14:paraId="3F5735F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（5）</w:t>
      </w:r>
      <w:r>
        <w:rPr>
          <w:rFonts w:hint="eastAsia" w:ascii="宋体" w:hAnsi="宋体" w:eastAsia="宋体" w:cs="宋体"/>
          <w:color w:val="auto"/>
          <w:sz w:val="24"/>
          <w:szCs w:val="24"/>
          <w:u w:val="single"/>
        </w:rPr>
        <w:t>承包人所报价格应包含其自身分包引起的各项增加的或额外的费用 。</w:t>
      </w:r>
    </w:p>
    <w:p w14:paraId="3507864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（6）</w:t>
      </w:r>
      <w:r>
        <w:rPr>
          <w:rFonts w:hint="eastAsia" w:ascii="宋体" w:hAnsi="宋体" w:eastAsia="宋体" w:cs="宋体"/>
          <w:color w:val="auto"/>
          <w:sz w:val="24"/>
          <w:szCs w:val="24"/>
          <w:u w:val="single"/>
        </w:rPr>
        <w:t>承包人加强工程施工车辆的管理，施工车辆不得无故堵塞道路交通，不得沿途抛洒弃土，并根据发包人的要求，安排人员在主要路口疏导车辆、行人交通，其费用由承包人负责 。</w:t>
      </w:r>
    </w:p>
    <w:p w14:paraId="2C35C09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（7）</w:t>
      </w:r>
      <w:r>
        <w:rPr>
          <w:rFonts w:hint="eastAsia" w:ascii="宋体" w:hAnsi="宋体" w:eastAsia="宋体" w:cs="宋体"/>
          <w:color w:val="auto"/>
          <w:sz w:val="24"/>
          <w:szCs w:val="24"/>
          <w:u w:val="single"/>
        </w:rPr>
        <w:t>承包人必须对施工现场临时用水、用电工作，进行统一管理，包括但不限于以下内容：</w:t>
      </w:r>
    </w:p>
    <w:p w14:paraId="3C58C08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①承包人应将施工用水、用电的额度和设计图纸提交给监理工程师，以便审查和批准。供水管路及用水设施、供电线路及供电设施等必须符合有关临时供水、供电设施的安装、使用标准或规范，承包人对所使用的供水、供电设施的设计、安装、维修和管理负责，并确保其安全可靠 。</w:t>
      </w:r>
    </w:p>
    <w:p w14:paraId="375B76E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②承包人负责布设临时水、电设施并进行日常维护管理以保证满足整个工程期间的需要，所发生的布设、维护管理费用在投标时已考虑，已包含在发包价内 。</w:t>
      </w:r>
    </w:p>
    <w:p w14:paraId="253C3C4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③承包人应充分考虑用电负荷控制和漏电保护，否则承担一切损失 。</w:t>
      </w:r>
    </w:p>
    <w:p w14:paraId="7250DB1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④承包人的自行分包项目，其使用水电由承包人自行解决与管理 。</w:t>
      </w:r>
    </w:p>
    <w:p w14:paraId="7BBC723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⑤承包人应该充分考虑为各专业承包人提供足额的用水量，否则造成重新从总水源接水的费用由承包人承担 。</w:t>
      </w:r>
    </w:p>
    <w:p w14:paraId="536585D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⑥如因城市供电、供水部门等非发包人原因导致的停电、停水超出国家、省、市相关规定，承包人可提出合理工期索赔 。</w:t>
      </w:r>
    </w:p>
    <w:p w14:paraId="4C46D72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⑦临时水电设施的拆除必须征得监理工程师与发包人的批准，拆除后的临时水、电设施由承包人自行处理 。</w:t>
      </w:r>
    </w:p>
    <w:p w14:paraId="16FCDE3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（8）</w:t>
      </w:r>
      <w:r>
        <w:rPr>
          <w:rFonts w:hint="eastAsia" w:ascii="宋体" w:hAnsi="宋体" w:eastAsia="宋体" w:cs="宋体"/>
          <w:color w:val="auto"/>
          <w:sz w:val="24"/>
          <w:szCs w:val="24"/>
          <w:u w:val="single"/>
        </w:rPr>
        <w:t>施工场地清洁卫生的要求：承包人负责工地现场除由承包人自身施工产生的建筑垃圾和生活垃圾清运工作外，还需负责公共区域的卫生、清洁、垃圾清运等工作；以及本工程全区域的卫生管理与检查。按建设行政主管部门有关规定执行，文明施工，保证工完场清 。</w:t>
      </w:r>
    </w:p>
    <w:p w14:paraId="2C1333E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①设置、维修和管理临时排污系统 。</w:t>
      </w:r>
    </w:p>
    <w:p w14:paraId="39F65D9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②每天保持施工道路的畅通与清洁，负责保养及维修进入工地施工区域道路，费用由承包人承担 。</w:t>
      </w:r>
    </w:p>
    <w:p w14:paraId="35C713B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③收集和处理所有施工现场和生活区域内的所有垃圾，直到竣工交付为止 。</w:t>
      </w:r>
    </w:p>
    <w:p w14:paraId="0DE3747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④承包人应按发包人要求，按规定做好场内道路硬化、布置各项标识、标牌、便于检查、视察或参观 。</w:t>
      </w:r>
    </w:p>
    <w:p w14:paraId="4A5CB4B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⑤竣工交付时应将其排污设施全部拆除并清理至发包人满意，承包人承担其相应的费用 。</w:t>
      </w:r>
    </w:p>
    <w:p w14:paraId="5B9CE22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（9）</w:t>
      </w:r>
      <w:r>
        <w:rPr>
          <w:rFonts w:hint="eastAsia" w:ascii="宋体" w:hAnsi="宋体" w:eastAsia="宋体" w:cs="宋体"/>
          <w:color w:val="auto"/>
          <w:sz w:val="24"/>
          <w:szCs w:val="24"/>
          <w:u w:val="single"/>
        </w:rPr>
        <w:t>在现场施工中，承包人应负责自身施工区域与公共区域的安全设施的搭设与维修管理工作，以及为安全检查所进行的管理、协调、配合工作等。</w:t>
      </w:r>
    </w:p>
    <w:p w14:paraId="238FB9B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（10）</w:t>
      </w:r>
      <w:r>
        <w:rPr>
          <w:rFonts w:hint="eastAsia" w:ascii="宋体" w:hAnsi="宋体" w:eastAsia="宋体" w:cs="宋体"/>
          <w:color w:val="auto"/>
          <w:sz w:val="24"/>
          <w:szCs w:val="24"/>
          <w:u w:val="single"/>
        </w:rPr>
        <w:t>承包人负责管理施工现场内先期建成的设施，工程施工期间如先期建成的设施被盗窃或损坏，均由承包人负责，整修被盗或损坏设施的费用由承包人支付。负责发包人供应的材料设备的保管，同时还应负责由发包人转交给承包人施工、安装的设备、材料等的安全保卫工作，任何遗失、被盗、损坏均由承包人承担赔偿责任 。</w:t>
      </w:r>
    </w:p>
    <w:p w14:paraId="3DC7CAC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（11）</w:t>
      </w:r>
      <w:r>
        <w:rPr>
          <w:rFonts w:hint="eastAsia" w:ascii="宋体" w:hAnsi="宋体" w:eastAsia="宋体" w:cs="宋体"/>
          <w:color w:val="auto"/>
          <w:sz w:val="24"/>
          <w:szCs w:val="24"/>
          <w:u w:val="single"/>
        </w:rPr>
        <w:t>承包人应当服从监理工程师及发包人的现场管理和协调工作，合理调动资源，保障工期、质量目标的实现。承包人对发包人及监理工程师提出的问题未及时落实与整改，视为承包人违约，发包人及监理工程师有权要求承包人支付1000元／天的违约金 。</w:t>
      </w:r>
    </w:p>
    <w:p w14:paraId="14C85F1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（12）</w:t>
      </w:r>
      <w:r>
        <w:rPr>
          <w:rFonts w:hint="eastAsia" w:ascii="宋体" w:hAnsi="宋体" w:eastAsia="宋体" w:cs="宋体"/>
          <w:color w:val="auto"/>
          <w:sz w:val="24"/>
          <w:szCs w:val="24"/>
          <w:u w:val="single"/>
        </w:rPr>
        <w:t>承包人必须立刻执行发包人派驻的工程师获本合同授权而发出的书面指令。若承包人没有在规定时间之内执行指令，而在收到发包人催促执行的书面通知后7日之内，承包人仍未执行，发包人可另聘和指派其他承包人执行该指示所要求的工作。其他承包人完成此项工作的相关费用从本合同应付或将会付给承包人的款项中扣除而无须承包人认可，由此造成发包人额外损失或间接损失的，作为债务向承包人追讨 。</w:t>
      </w:r>
    </w:p>
    <w:p w14:paraId="3721637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（13）</w:t>
      </w:r>
      <w:r>
        <w:rPr>
          <w:rFonts w:hint="eastAsia" w:ascii="宋体" w:hAnsi="宋体" w:eastAsia="宋体" w:cs="宋体"/>
          <w:color w:val="auto"/>
          <w:sz w:val="24"/>
          <w:szCs w:val="24"/>
          <w:u w:val="single"/>
        </w:rPr>
        <w:t>承包人必须签收监理工程师发出的书面资料，如有异议必须在收文之日起3日内书面回复，否则视同认可 。</w:t>
      </w:r>
    </w:p>
    <w:p w14:paraId="6493E43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（14）</w:t>
      </w:r>
      <w:r>
        <w:rPr>
          <w:rFonts w:hint="eastAsia" w:ascii="宋体" w:hAnsi="宋体" w:eastAsia="宋体" w:cs="宋体"/>
          <w:color w:val="auto"/>
          <w:sz w:val="24"/>
          <w:szCs w:val="24"/>
          <w:highlight w:val="none"/>
          <w:u w:val="single"/>
        </w:rPr>
        <w:t>承包人应履行施工总包管理职责（如有）。施工总包管理是指承包人对发包人采购的甲供材料以及另行发包的专业工程（以下简称“专业工程”）实施统筹管理，即承包人须承担专业工程在建设阶段、竣工验收后直至正式交付使用期间、缺陷责任期和保修期的所有管理责任，就质量管理、进度管理、安全管理、文明施工对发包人总负责，实施工程建设的总管理、总控制、总协调，确保本工程通过政府主管部门的验收，按计划交付发包人使用。具体工作如下：</w:t>
      </w:r>
    </w:p>
    <w:p w14:paraId="3F091AD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①承包人负责上述整个项目的现场管理、工期控制、各专业工程间协调 。</w:t>
      </w:r>
    </w:p>
    <w:p w14:paraId="5A77934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②承包人负责制定上述整个项目的施工总进度计划、总施工组织设计、执行监理人的有关指令，圆满解决施工、验收中的所有问题 。</w:t>
      </w:r>
    </w:p>
    <w:p w14:paraId="748CDE4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③承包人必须负责将专业工程项目的施工单位纳入总承包管理之中，对其进度、质量、安全等进行管理，确保按时、按质的完成上述整个项目内所有专业工程项目。具体责任包括但不限于如下列举 。</w:t>
      </w:r>
    </w:p>
    <w:p w14:paraId="2DEEFAF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a.配合专业工程的施工，包括提供施工场地和工作面 。</w:t>
      </w:r>
    </w:p>
    <w:p w14:paraId="00E68C4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b.承担施工界面交接处产生的缺陷修补及收头处理 。</w:t>
      </w:r>
    </w:p>
    <w:p w14:paraId="465B873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c.负责向专业工程单位提供施工用水、施工用电接口和容量、提供搭设临时设施的场地、并负责整个施工区域内（包括临时设施）的用水、用电、排水、生活卫生、文明安全施工等的协调、平衡、日常维护与管理 。</w:t>
      </w:r>
    </w:p>
    <w:p w14:paraId="7F42DF5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予无条件同意并进行严格管理。其分水、电表及以后的管线由使用单位负责安装并自行维护，同时本合同承包人也应安装分表。各分表用量总和与供水、供电部门计量的差额，按分表用户的用量比例分摊。承包人除根据各专业承包人水、电计量结果按市价向各户收取水、电费用之外，不得再收取其他额外费用 。</w:t>
      </w:r>
    </w:p>
    <w:p w14:paraId="7961894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d.负责向专业工程单位，按届时的现场条件提供已有的垂直运输机械、脚手架的使用方便，且不得向其收取任何额外的费用 。</w:t>
      </w:r>
    </w:p>
    <w:p w14:paraId="6667C02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e.督查和落实专业工程单位严格按施工图所设计的要求进行施工。协助审查专业工程单位的施工组织设计，对工序、安全措施、施工条件等衔接进行协调并督促落实及实施。对施工交叉过程中或交叉作业时出现的安全问题及时让其纠正，确保安全施工 。</w:t>
      </w:r>
    </w:p>
    <w:p w14:paraId="5B5CE19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f.按照国家和地方颁布的工程质量标准、规范，有针对性地落实工程各阶段、各专业的质量管理措施，督查专业工程单位严格执行，确保工程达到本合同要求的质量目标 。</w:t>
      </w:r>
    </w:p>
    <w:p w14:paraId="39002C5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g.督促和检查专业工程单位按发包人的要求整理各类施工及竣工(包括竣工图) 的工程技术资料编制，并负责收集整理、汇总本工程施工过程中的有关图纸、技术资料和其他各类工程档案文件资料 。</w:t>
      </w:r>
    </w:p>
    <w:p w14:paraId="0D6E19D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h.督查专业工程单位落实产品保护工作。设置足够的为产品保护所需的人力及其他必要的临设，以确保已完工程的完好 。</w:t>
      </w:r>
    </w:p>
    <w:p w14:paraId="3D83FA9F">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i.施工过程中，必须配合发包人的其他专业施工需要，积极进行现场调整，按发包人要求提供工作面和作业时间，配合其他专业施工；若承包人在合同实施过程中不能有效地履行施工总承包的管理与配合义务，则发包人有权按监理及跟踪审计出具的书面意见扣除承包人投标时所报各专业工程总包管理费用以及专业工程承包人支付的施工配合费用 。</w:t>
      </w:r>
    </w:p>
    <w:p w14:paraId="18E9575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15</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市政项目不需要）承包人应积极主动核对图纸中的标高、轴线、预留洞口尺寸等技术数据，充分理解设计意图。若由于设计图纸问题（例如尺寸标注不闭合、文字标识相互矛盾等），造成工程质量、安全、进度损失，将追究承包人的责任并承担由此造成的返工拆除及外运等工程费用增加和工期延误 。</w:t>
      </w:r>
    </w:p>
    <w:p w14:paraId="5EE3D6C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16</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single"/>
        </w:rPr>
        <w:t>承包人应协调处理扰民与民扰问题，非发包人原因引发的一切纠纷由承包人自行解决，发包人不承担任何责任 。</w:t>
      </w:r>
    </w:p>
    <w:p w14:paraId="266ADCA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17</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single"/>
        </w:rPr>
        <w:t>发包人批准承包人临时建筑搭建位置，如在项目竣工前因特殊情况需要使用其占地时，无论何时，承包人应无条件且自费予以搬迁与重建，发包人不予任何补偿 。</w:t>
      </w:r>
    </w:p>
    <w:p w14:paraId="095A72A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18</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single"/>
        </w:rPr>
        <w:t>现场项目部环境和职业健康安全管理制度</w:t>
      </w:r>
    </w:p>
    <w:p w14:paraId="0CC5C31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①承包人须对本工程的环境因素和危险源进行识别，编制项目的《环境因素辨识清单》 和《危险源辨识清单》，并识别出其中的重大环境因素和重大危险源。</w:t>
      </w:r>
    </w:p>
    <w:p w14:paraId="2B710C5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 2 \* GB3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②</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 xml:space="preserve">《环境因素辨识清单》和《危险源辨识清单》应报监理部备案。 </w:t>
      </w:r>
    </w:p>
    <w:p w14:paraId="2A3A4E7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 3 \* GB3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③</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 xml:space="preserve">针对识别出的重大环境因素和重大危险源，承包人须编制管理方案，报发包人、监理 单位批准后实施。 </w:t>
      </w:r>
    </w:p>
    <w:p w14:paraId="600CDCA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 4 \* GB3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④</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 xml:space="preserve">承包人须识别出本工程在环境和职业健康安全方面的应急事件，针对应急事件编制 《应急预案》，组织应急演习。 </w:t>
      </w:r>
    </w:p>
    <w:p w14:paraId="367DF47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19</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single"/>
        </w:rPr>
        <w:t xml:space="preserve">承包人应执行国家和地方的法律法规法令，或任何对工程有管辖权的部门规章规定及要求或相关部门，因承包人原因要求建设单位进行整改，由承包人按要求支付有关费用。因承包人未及时缴纳其应支付的相关费用，责任 由承包人承担，发包人可视情形代为缴纳，发包人代承包人缴纳的费用可从当期工程款或履 约保证金中双倍扣回。  </w:t>
      </w:r>
    </w:p>
    <w:p w14:paraId="659F441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①承包人应按国家、江苏省及淮安市政府有关文件要求建立健全劳动保障制度，按时发放员工工资（含民工工资），承包人同时必须严格执行中华人民共和国劳动保障部和中华人民共和国建设部联合下发的《建设领域农民工工资支付管理暂行办法》，及时足额发放农民工工资。</w:t>
      </w:r>
    </w:p>
    <w:p w14:paraId="7DC67F7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 2 \* GB3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②</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承包人不得与监理人串通损害发包人利益，不得为监理人或其派驻现场的监理人员提供合同约定以外的通讯设备、交通工具，不得向监理人员支付报酬   。</w:t>
      </w:r>
    </w:p>
    <w:p w14:paraId="11C82DC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 3 \* GB3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③</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本工程实行“首件工程认可制度”，即：每个分项工程开始前，由承包人填报报审表，在报审表附件中，承包人应将此分项工程的每道工序详细说明，监理单位依据报审表设置停检点、隐检点，一旦报审表以及停检点、隐检点被确定，承包人必须严格执行。如若违反，监理单位可建议处罚违约金。</w:t>
      </w:r>
    </w:p>
    <w:p w14:paraId="7D0B03F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 4 \* GB3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④</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承包人应积极主动核对图纸中的路面标高、坐标、宽度、厚度、坡度、尺寸等技术数据，充分理解设计意图，积极配合发包人组织的施工图纸交底及会审工作，指出图纸上任何不符施工常规、惯例或规范之处，以及设计图纸中错、漏、碰问题，并做好各系统管线的综合平衡工作；如承包人未能按要求及时提出，也不能免除承包人的责任。若有明显的设计图纸问题（例如尺寸标注不闭合、文字、标识相互矛盾等）和发包人（包括监理人）不正确的指令，承包人应在施工该部位7天前书面报发包人，发包人接到联系单7日内解决，超出时间工期可顺延；如承包人未能按要求及时提出，造成各单位工程、各施工工种之间的施工交叉、矛盾等工程质量、安全、进度损失，承包人承担由此造成的返工拆除及外运等工程费用增加和工期延误  。</w:t>
      </w:r>
    </w:p>
    <w:p w14:paraId="4BDBCBD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 5 \* GB3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⑤</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在履行合同过程中，承包人应执行国家和地方的法律法规法令，或任何对工程有管辖权的部门规章规定，并按要求支付应由承包人承担的有关费用。对于承包人在施工阶段一切违背本合同文件条款和国家或地方有关规定的行为，并对发包人造成损失的，发包人有权向承包人进行索赔，情节严重的可责令承包人停工直至终止合同。因承包人未及时缴纳其应支付的相关费用，责任由承包人承担，发包人可视情形代为缴纳，发包人代承包人缴纳的费用可从当期工程款或履约保证金和中标差额担保（如有）中双倍扣回。</w:t>
      </w:r>
    </w:p>
    <w:p w14:paraId="2A7A803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注：上述相关费用由承包人在投标时自行考虑，已包含在发包价内。施工期间发生的该类一切费用发包人不予补偿    </w:t>
      </w:r>
      <w:r>
        <w:rPr>
          <w:rFonts w:hint="eastAsia" w:ascii="宋体" w:hAnsi="宋体" w:eastAsia="宋体" w:cs="宋体"/>
          <w:color w:val="auto"/>
          <w:sz w:val="24"/>
          <w:szCs w:val="24"/>
        </w:rPr>
        <w:t>。</w:t>
      </w:r>
    </w:p>
    <w:p w14:paraId="4D8F3625">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项目经理</w:t>
      </w:r>
    </w:p>
    <w:p w14:paraId="31C7151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项目经理：</w:t>
      </w:r>
    </w:p>
    <w:p w14:paraId="419EFB7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E64B94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3B1877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47CBE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FFEE29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CC7618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8243E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900C9C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A498BA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D65BC7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承包人对项目经理的授权范围如下：</w:t>
      </w:r>
      <w:r>
        <w:rPr>
          <w:rFonts w:hint="eastAsia" w:ascii="宋体" w:hAnsi="宋体" w:eastAsia="宋体" w:cs="宋体"/>
          <w:color w:val="auto"/>
          <w:sz w:val="24"/>
          <w:szCs w:val="24"/>
          <w:u w:val="single"/>
        </w:rPr>
        <w:t xml:space="preserve">全面负责本项目的工程质量控制、进度控制、现场安全生产、文明施工管理、造价及合同管理、信息管理和施工现场的组织协调，以及执行法律法规规章、建设工程施工合同和施工规范等文件规定的承包人应做的工作；对于项目经理在施工质量、安全等方面的职责和权利，承包人不得违法违规加以剥夺和限制  </w:t>
      </w:r>
      <w:r>
        <w:rPr>
          <w:rFonts w:hint="eastAsia" w:ascii="宋体" w:hAnsi="宋体" w:eastAsia="宋体" w:cs="宋体"/>
          <w:color w:val="auto"/>
          <w:sz w:val="24"/>
          <w:szCs w:val="24"/>
        </w:rPr>
        <w:t>。</w:t>
      </w:r>
    </w:p>
    <w:p w14:paraId="32763C1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项目经理必须常驻施工现场，每周不少于5个工作日、每天不少于8小时在本工程现场工作，项目经理必须参加每周召开的工地例会 </w:t>
      </w:r>
      <w:r>
        <w:rPr>
          <w:rFonts w:hint="eastAsia" w:ascii="宋体" w:hAnsi="宋体" w:eastAsia="宋体" w:cs="宋体"/>
          <w:color w:val="auto"/>
          <w:sz w:val="24"/>
          <w:szCs w:val="24"/>
          <w:highlight w:val="none"/>
        </w:rPr>
        <w:t>。</w:t>
      </w:r>
    </w:p>
    <w:p w14:paraId="4F614B1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承包人向发包人交纳合同价的千分之一</w:t>
      </w:r>
      <w:r>
        <w:rPr>
          <w:rFonts w:hint="eastAsia" w:ascii="宋体" w:hAnsi="宋体" w:eastAsia="宋体" w:cs="宋体"/>
          <w:color w:val="auto"/>
          <w:sz w:val="24"/>
          <w:szCs w:val="24"/>
          <w:highlight w:val="none"/>
          <w:u w:val="single"/>
          <w:lang w:val="en-US" w:eastAsia="zh-CN"/>
        </w:rPr>
        <w:t>作为违约金</w:t>
      </w:r>
      <w:r>
        <w:rPr>
          <w:rFonts w:hint="eastAsia" w:ascii="宋体" w:hAnsi="宋体" w:eastAsia="宋体" w:cs="宋体"/>
          <w:color w:val="auto"/>
          <w:sz w:val="24"/>
          <w:szCs w:val="24"/>
          <w:highlight w:val="none"/>
          <w:u w:val="single"/>
        </w:rPr>
        <w:t>，同时责令限期提交劳动合同并补缴社会保险。如超过期限，发包人有权要求更换项目经理或解除本合同，由此增加的费用和（或）延误的工期由承包人承担</w:t>
      </w:r>
      <w:r>
        <w:rPr>
          <w:rFonts w:hint="eastAsia" w:ascii="宋体" w:hAnsi="宋体" w:eastAsia="宋体" w:cs="宋体"/>
          <w:color w:val="auto"/>
          <w:sz w:val="24"/>
          <w:szCs w:val="24"/>
          <w:highlight w:val="none"/>
        </w:rPr>
        <w:t>。</w:t>
      </w:r>
    </w:p>
    <w:p w14:paraId="69E29F1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向发包人交纳违约金1000元/天，如果是缺席每周工地例会，向发包人支付违约金1000元/次。</w:t>
      </w:r>
    </w:p>
    <w:p w14:paraId="168A815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经理如果一周有5个工作日（有请假手续经发包人书面同意的除外）或一个月累计10个工作日不在现场或二个月缺席工程例会3次及以上的，视为严重违约，发包人有权没收承包人的履约保证金并解除合同，将承包人清退出场，并上报建设行政主管部门、招投标监管部门，同时发包人有权取消该企业今后两年参与本单位其他项目的投标</w:t>
      </w:r>
      <w:r>
        <w:rPr>
          <w:rFonts w:hint="eastAsia" w:ascii="宋体" w:hAnsi="宋体" w:eastAsia="宋体" w:cs="宋体"/>
          <w:color w:val="auto"/>
          <w:sz w:val="24"/>
          <w:szCs w:val="24"/>
          <w:highlight w:val="none"/>
        </w:rPr>
        <w:t>。</w:t>
      </w:r>
    </w:p>
    <w:p w14:paraId="53645C2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承包人的履约保证金不予返还，且还应向发包人支付违约金不低于2万元，同时发包人有权单方解除合同并追究由此给发包人带来的一切损失，及时上报建设行政主管部门、招投标监管部门，且发包人有权取消该企业今后两年参与本单位其他项目的投标</w:t>
      </w:r>
      <w:r>
        <w:rPr>
          <w:rFonts w:hint="eastAsia" w:ascii="宋体" w:hAnsi="宋体" w:eastAsia="宋体" w:cs="宋体"/>
          <w:color w:val="auto"/>
          <w:sz w:val="24"/>
          <w:szCs w:val="24"/>
          <w:highlight w:val="none"/>
        </w:rPr>
        <w:t>。</w:t>
      </w:r>
    </w:p>
    <w:p w14:paraId="5C5F375E">
      <w:pPr>
        <w:pageBreakBefore w:val="0"/>
        <w:kinsoku/>
        <w:wordWrap w:val="0"/>
        <w:overflowPunct/>
        <w:topLinePunct w:val="0"/>
        <w:bidi w:val="0"/>
        <w:snapToGrid/>
        <w:spacing w:line="460" w:lineRule="exac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82" w:name="_Toc24585"/>
      <w:r>
        <w:rPr>
          <w:rFonts w:hint="eastAsia" w:ascii="宋体" w:hAnsi="宋体" w:eastAsia="宋体" w:cs="宋体"/>
          <w:color w:val="auto"/>
          <w:sz w:val="24"/>
          <w:szCs w:val="24"/>
          <w:highlight w:val="none"/>
        </w:rPr>
        <w:t>3.2.4 承包人无正当理由拒绝更换项目经理的违约责任：</w:t>
      </w:r>
      <w:r>
        <w:rPr>
          <w:rFonts w:hint="eastAsia" w:ascii="宋体" w:hAnsi="宋体" w:eastAsia="宋体" w:cs="宋体"/>
          <w:color w:val="auto"/>
          <w:sz w:val="24"/>
          <w:szCs w:val="24"/>
          <w:highlight w:val="none"/>
          <w:u w:val="single"/>
        </w:rPr>
        <w:t>发包人有权终止合同，追究由此带来的发包人一切损失，且承包人应承担合同价千分之五的违约金。同时发包人将上报至建设行政主管部门、招投标监管部门，且发包人有权取消该企业今后两年参与本单位其他项目的投标</w:t>
      </w:r>
      <w:r>
        <w:rPr>
          <w:rFonts w:hint="eastAsia" w:ascii="宋体" w:hAnsi="宋体" w:eastAsia="宋体" w:cs="宋体"/>
          <w:color w:val="auto"/>
          <w:sz w:val="24"/>
          <w:szCs w:val="24"/>
          <w:highlight w:val="none"/>
        </w:rPr>
        <w:t>。</w:t>
      </w:r>
      <w:bookmarkEnd w:id="82"/>
    </w:p>
    <w:p w14:paraId="5E382E63">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056DA3F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接到开工通知后7天内 </w:t>
      </w:r>
      <w:r>
        <w:rPr>
          <w:rFonts w:hint="eastAsia" w:ascii="宋体" w:hAnsi="宋体" w:eastAsia="宋体" w:cs="宋体"/>
          <w:color w:val="auto"/>
          <w:sz w:val="24"/>
          <w:szCs w:val="24"/>
          <w:highlight w:val="none"/>
        </w:rPr>
        <w:t>。</w:t>
      </w:r>
    </w:p>
    <w:p w14:paraId="2CF8E08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 xml:space="preserve">承包人拒绝更换的，发包人有权解除合同，追究由此带来的发包人一切损失，且承包人应承担合同价千分之二/人•次的违约金 </w:t>
      </w:r>
      <w:r>
        <w:rPr>
          <w:rFonts w:hint="eastAsia" w:ascii="宋体" w:hAnsi="宋体" w:eastAsia="宋体" w:cs="宋体"/>
          <w:color w:val="auto"/>
          <w:sz w:val="24"/>
          <w:szCs w:val="24"/>
          <w:highlight w:val="none"/>
        </w:rPr>
        <w:t>。</w:t>
      </w:r>
    </w:p>
    <w:p w14:paraId="24FD985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 xml:space="preserve">承包人主要施工管理人员必须常驻工地，接受发包人及监理人的考勤，每周工地例会须通报考勤情况。离开施工现场前，项目经理必须提前书面向总监理工程师申请并报发包人批准，其他管理人员必须提前书面经项目经理签字确认后报总监理工程师批准并向发包人备案  </w:t>
      </w:r>
      <w:r>
        <w:rPr>
          <w:rFonts w:hint="eastAsia" w:ascii="宋体" w:hAnsi="宋体" w:eastAsia="宋体" w:cs="宋体"/>
          <w:color w:val="auto"/>
          <w:sz w:val="24"/>
          <w:szCs w:val="24"/>
          <w:highlight w:val="none"/>
        </w:rPr>
        <w:t>。</w:t>
      </w:r>
    </w:p>
    <w:p w14:paraId="600EC58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 xml:space="preserve">承包人向发包人交纳违约金不低于合同价的千分之二/人，必要时发包人有权要求承包人停工整顿，停工整顿期间造成的工期延误及损失由承包人自行承担，同时发包人将上报建设行政主管部门、招投标监管部门   </w:t>
      </w:r>
      <w:r>
        <w:rPr>
          <w:rFonts w:hint="eastAsia" w:ascii="宋体" w:hAnsi="宋体" w:eastAsia="宋体" w:cs="宋体"/>
          <w:color w:val="auto"/>
          <w:sz w:val="24"/>
          <w:szCs w:val="24"/>
          <w:highlight w:val="none"/>
        </w:rPr>
        <w:t>。</w:t>
      </w:r>
    </w:p>
    <w:p w14:paraId="7D6DF66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向发包人交纳违约金不低于合同价千分之一/人•次，如擅自离开施工现场而未参加工地例会的，向发包人交纳违约金不低于合同价千分之二/人•次，如月累计三次及以上的，承包人须再向发包人交纳违约金不低于合同价千分之三，同时发包人有权要求承包人更换相应管理人员，由此造成的一切损失由承包人自行承担  </w:t>
      </w:r>
      <w:r>
        <w:rPr>
          <w:rFonts w:hint="eastAsia" w:ascii="宋体" w:hAnsi="宋体" w:eastAsia="宋体" w:cs="宋体"/>
          <w:color w:val="auto"/>
          <w:sz w:val="24"/>
          <w:szCs w:val="24"/>
          <w:highlight w:val="none"/>
        </w:rPr>
        <w:t>。</w:t>
      </w:r>
    </w:p>
    <w:p w14:paraId="1B5A791D">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83" w:name="_Toc292559364"/>
      <w:bookmarkStart w:id="84" w:name="_Toc297120459"/>
      <w:bookmarkStart w:id="85" w:name="_Toc303539102"/>
      <w:bookmarkStart w:id="86" w:name="_Toc296503159"/>
      <w:bookmarkStart w:id="87" w:name="_Toc296347158"/>
      <w:bookmarkStart w:id="88" w:name="_Toc297216151"/>
      <w:bookmarkStart w:id="89" w:name="_Toc304295523"/>
      <w:bookmarkStart w:id="90" w:name="_Toc297123492"/>
      <w:bookmarkStart w:id="91" w:name="_Toc300934945"/>
      <w:bookmarkStart w:id="92" w:name="_Toc296944498"/>
      <w:bookmarkStart w:id="93" w:name="_Toc312677988"/>
      <w:bookmarkStart w:id="94" w:name="_Toc297048345"/>
      <w:bookmarkStart w:id="95" w:name="_Toc296891199"/>
      <w:bookmarkStart w:id="96" w:name="_Toc292559869"/>
      <w:bookmarkStart w:id="97" w:name="_Toc296890987"/>
      <w:bookmarkStart w:id="98" w:name="_Toc296346660"/>
      <w:r>
        <w:rPr>
          <w:rFonts w:hint="eastAsia" w:ascii="宋体" w:hAnsi="宋体" w:eastAsia="宋体" w:cs="宋体"/>
          <w:color w:val="auto"/>
          <w:sz w:val="24"/>
          <w:szCs w:val="24"/>
          <w:highlight w:val="none"/>
        </w:rPr>
        <w:t>.5 分包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D2F561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9" w:name="_Toc312677989"/>
      <w:bookmarkStart w:id="100" w:name="_Toc318581158"/>
      <w:bookmarkStart w:id="101" w:name="_Toc297048346"/>
      <w:bookmarkStart w:id="102" w:name="_Toc292559365"/>
      <w:bookmarkStart w:id="103" w:name="_Toc303539103"/>
      <w:bookmarkStart w:id="104" w:name="_Toc304295524"/>
      <w:bookmarkStart w:id="105" w:name="_Toc297123493"/>
      <w:bookmarkStart w:id="106" w:name="_Toc296944499"/>
      <w:bookmarkStart w:id="107" w:name="_Toc296346661"/>
      <w:bookmarkStart w:id="108" w:name="_Toc296347159"/>
      <w:bookmarkStart w:id="109" w:name="_Toc292559870"/>
      <w:bookmarkStart w:id="110" w:name="_Toc296890988"/>
      <w:bookmarkStart w:id="111" w:name="_Toc297120460"/>
      <w:bookmarkStart w:id="112" w:name="_Toc300934946"/>
      <w:bookmarkStart w:id="113" w:name="_Toc297216152"/>
      <w:bookmarkStart w:id="114" w:name="_Toc296891200"/>
      <w:bookmarkStart w:id="115" w:name="_Toc296503160"/>
      <w:r>
        <w:rPr>
          <w:rFonts w:hint="eastAsia" w:ascii="宋体" w:hAnsi="宋体" w:eastAsia="宋体" w:cs="宋体"/>
          <w:color w:val="auto"/>
          <w:sz w:val="24"/>
          <w:szCs w:val="24"/>
          <w:highlight w:val="none"/>
        </w:rPr>
        <w:t>.5.1 分包的一般约定</w:t>
      </w:r>
    </w:p>
    <w:p w14:paraId="38D0E2B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除发包人允许分包的专业工程外，均为禁止分包的工程  </w:t>
      </w:r>
      <w:r>
        <w:rPr>
          <w:rFonts w:hint="eastAsia" w:ascii="宋体" w:hAnsi="宋体" w:eastAsia="宋体" w:cs="宋体"/>
          <w:color w:val="auto"/>
          <w:sz w:val="24"/>
          <w:szCs w:val="24"/>
          <w:highlight w:val="none"/>
        </w:rPr>
        <w:t>。</w:t>
      </w:r>
    </w:p>
    <w:p w14:paraId="651C6DD0">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16" w:name="_Toc296890989"/>
      <w:bookmarkEnd w:id="116"/>
      <w:bookmarkStart w:id="117" w:name="_Toc296347160"/>
      <w:bookmarkEnd w:id="117"/>
      <w:bookmarkStart w:id="118" w:name="_Toc296503161"/>
      <w:bookmarkEnd w:id="118"/>
      <w:bookmarkStart w:id="119" w:name="_Toc303539104"/>
      <w:bookmarkEnd w:id="119"/>
      <w:bookmarkStart w:id="120" w:name="_Toc296346662"/>
      <w:bookmarkEnd w:id="120"/>
      <w:bookmarkStart w:id="121" w:name="_Toc296944500"/>
      <w:bookmarkEnd w:id="121"/>
      <w:bookmarkStart w:id="122" w:name="_Toc297120461"/>
      <w:bookmarkEnd w:id="122"/>
      <w:bookmarkStart w:id="123" w:name="_Toc304295525"/>
      <w:bookmarkEnd w:id="123"/>
      <w:bookmarkStart w:id="124" w:name="_Toc300934947"/>
      <w:bookmarkEnd w:id="124"/>
      <w:bookmarkStart w:id="125" w:name="_Toc297123494"/>
      <w:bookmarkEnd w:id="125"/>
      <w:bookmarkStart w:id="126" w:name="_Toc297216153"/>
      <w:bookmarkEnd w:id="126"/>
      <w:bookmarkStart w:id="127" w:name="_Toc297048347"/>
      <w:bookmarkEnd w:id="127"/>
      <w:bookmarkStart w:id="128" w:name="_Toc296891201"/>
      <w:bookmarkEnd w:id="128"/>
    </w:p>
    <w:p w14:paraId="65A7044F">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bookmarkStart w:id="129" w:name="_Toc312677990"/>
      <w:bookmarkStart w:id="130" w:name="_Toc318581159"/>
      <w:r>
        <w:rPr>
          <w:rFonts w:hint="eastAsia" w:ascii="宋体" w:hAnsi="宋体" w:eastAsia="宋体" w:cs="宋体"/>
          <w:color w:val="auto"/>
          <w:sz w:val="24"/>
          <w:szCs w:val="24"/>
          <w:highlight w:val="none"/>
        </w:rPr>
        <w:t>.5.2分包的确定</w:t>
      </w:r>
    </w:p>
    <w:p w14:paraId="3122921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4FEBE0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DE559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4A2187B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129"/>
      <w:bookmarkEnd w:id="130"/>
    </w:p>
    <w:p w14:paraId="34DC134A">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42BBA984">
      <w:pPr>
        <w:pageBreakBefore w:val="0"/>
        <w:kinsoku/>
        <w:wordWrap w:val="0"/>
        <w:overflowPunct/>
        <w:topLinePunct w:val="0"/>
        <w:bidi w:val="0"/>
        <w:snapToGrid/>
        <w:spacing w:before="120" w:after="120" w:line="46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lang w:val="en-US" w:eastAsia="zh-CN"/>
        </w:rPr>
        <w:t xml:space="preserve">以合同签订日期与承包人进场日期先到者为起始时间 </w:t>
      </w:r>
      <w:r>
        <w:rPr>
          <w:rFonts w:hint="eastAsia" w:ascii="宋体" w:hAnsi="宋体" w:eastAsia="宋体" w:cs="宋体"/>
          <w:color w:val="auto"/>
          <w:sz w:val="24"/>
          <w:szCs w:val="24"/>
          <w:highlight w:val="none"/>
        </w:rPr>
        <w:t>。</w:t>
      </w:r>
    </w:p>
    <w:p w14:paraId="0D923739">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 履约</w:t>
      </w:r>
      <w:r>
        <w:rPr>
          <w:rFonts w:hint="eastAsia" w:ascii="宋体" w:hAnsi="宋体" w:cs="宋体"/>
          <w:color w:val="auto"/>
          <w:sz w:val="24"/>
          <w:szCs w:val="24"/>
          <w:highlight w:val="none"/>
          <w:lang w:val="en-US" w:eastAsia="zh-CN"/>
        </w:rPr>
        <w:t>保证金</w:t>
      </w:r>
    </w:p>
    <w:p w14:paraId="017A0622">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为保证合同的顺利执行，</w:t>
      </w:r>
      <w:r>
        <w:rPr>
          <w:rFonts w:hint="eastAsia" w:ascii="宋体" w:hAnsi="宋体" w:cs="宋体"/>
          <w:color w:val="auto"/>
          <w:sz w:val="24"/>
          <w:szCs w:val="24"/>
          <w:highlight w:val="none"/>
          <w:lang w:val="en-US" w:eastAsia="zh-CN" w:bidi="ar-SA"/>
        </w:rPr>
        <w:t>承包人</w:t>
      </w:r>
      <w:r>
        <w:rPr>
          <w:rFonts w:hint="eastAsia" w:ascii="宋体" w:hAnsi="宋体" w:eastAsia="宋体" w:cs="宋体"/>
          <w:color w:val="auto"/>
          <w:sz w:val="24"/>
          <w:szCs w:val="24"/>
          <w:highlight w:val="none"/>
          <w:lang w:val="en-US" w:eastAsia="zh-CN" w:bidi="ar-SA"/>
        </w:rPr>
        <w:t>在领取中标通知书后，签订合同之前，向采</w:t>
      </w:r>
      <w:r>
        <w:rPr>
          <w:rFonts w:hint="eastAsia" w:ascii="宋体" w:hAnsi="宋体" w:cs="宋体"/>
          <w:color w:val="auto"/>
          <w:sz w:val="24"/>
          <w:szCs w:val="24"/>
          <w:highlight w:val="none"/>
          <w:lang w:val="en-US" w:eastAsia="zh-CN" w:bidi="ar-SA"/>
        </w:rPr>
        <w:t>发包人</w:t>
      </w:r>
      <w:r>
        <w:rPr>
          <w:rFonts w:hint="eastAsia" w:ascii="宋体" w:hAnsi="宋体" w:eastAsia="宋体" w:cs="宋体"/>
          <w:color w:val="auto"/>
          <w:sz w:val="24"/>
          <w:szCs w:val="24"/>
          <w:highlight w:val="none"/>
          <w:lang w:val="en-US" w:eastAsia="zh-CN" w:bidi="ar-SA"/>
        </w:rPr>
        <w:t>缴纳成交价1%的履约保证金。</w:t>
      </w:r>
    </w:p>
    <w:p w14:paraId="56042DB6">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before="0" w:beforeAutospacing="0" w:after="0" w:afterAutospacing="0" w:line="360" w:lineRule="auto"/>
        <w:ind w:left="0" w:firstLine="482"/>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(2)承包人</w:t>
      </w:r>
      <w:r>
        <w:rPr>
          <w:rFonts w:hint="eastAsia" w:ascii="宋体" w:hAnsi="宋体" w:eastAsia="宋体" w:cs="宋体"/>
          <w:color w:val="auto"/>
          <w:sz w:val="24"/>
          <w:szCs w:val="24"/>
          <w:highlight w:val="none"/>
          <w:lang w:val="en-US" w:eastAsia="zh-CN" w:bidi="ar-SA"/>
        </w:rPr>
        <w:t>提供的履约保证金可以是人民币形式（银行本票、汇票、支票、电汇），或银行保函、担保公司的保证担保或保险公司的保证保险等多种形式。</w:t>
      </w:r>
    </w:p>
    <w:p w14:paraId="6F67C357">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before="0" w:beforeAutospacing="0" w:after="0" w:afterAutospacing="0" w:line="360" w:lineRule="auto"/>
        <w:ind w:left="0" w:firstLine="482"/>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(3)承包人</w:t>
      </w:r>
      <w:r>
        <w:rPr>
          <w:rFonts w:hint="eastAsia" w:ascii="宋体" w:hAnsi="宋体" w:eastAsia="宋体" w:cs="宋体"/>
          <w:color w:val="auto"/>
          <w:sz w:val="24"/>
          <w:szCs w:val="24"/>
          <w:highlight w:val="none"/>
          <w:lang w:val="en-US" w:eastAsia="zh-CN" w:bidi="ar-SA"/>
        </w:rPr>
        <w:t>选取银行保函、担保公司的保证担保或保险公司的保证保险等形式的向采购人缴纳的，如保函（担保、保险等）的约定期到期但乙方履约仍未结束的，乙方须进行续保。</w:t>
      </w:r>
    </w:p>
    <w:p w14:paraId="332506B0">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before="0" w:beforeAutospacing="0" w:after="0" w:afterAutospacing="0" w:line="360" w:lineRule="auto"/>
        <w:ind w:left="0" w:firstLine="482"/>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(4)承包人</w:t>
      </w:r>
      <w:r>
        <w:rPr>
          <w:rFonts w:hint="eastAsia" w:ascii="宋体" w:hAnsi="宋体" w:eastAsia="宋体" w:cs="宋体"/>
          <w:color w:val="auto"/>
          <w:sz w:val="24"/>
          <w:szCs w:val="24"/>
          <w:highlight w:val="none"/>
          <w:lang w:val="en-US" w:eastAsia="zh-CN" w:bidi="ar-SA"/>
        </w:rPr>
        <w:t>选取以履约保函（保险）形式向</w:t>
      </w:r>
      <w:r>
        <w:rPr>
          <w:rFonts w:hint="eastAsia" w:ascii="宋体" w:hAnsi="宋体" w:cs="宋体"/>
          <w:color w:val="auto"/>
          <w:sz w:val="24"/>
          <w:szCs w:val="24"/>
          <w:highlight w:val="none"/>
          <w:lang w:val="en-US" w:eastAsia="zh-CN" w:bidi="ar-SA"/>
        </w:rPr>
        <w:t>发包人</w:t>
      </w:r>
      <w:r>
        <w:rPr>
          <w:rFonts w:hint="eastAsia" w:ascii="宋体" w:hAnsi="宋体" w:eastAsia="宋体" w:cs="宋体"/>
          <w:color w:val="auto"/>
          <w:sz w:val="24"/>
          <w:szCs w:val="24"/>
          <w:highlight w:val="none"/>
          <w:lang w:val="en-US" w:eastAsia="zh-CN" w:bidi="ar-SA"/>
        </w:rPr>
        <w:t>缴纳的，按照《关于在全省政府采购领域推行电子履约保函（保险）的通知》（苏财购【2023】150号）的要求，登录“政府采购电子履约保函（保险）平台”，选择第三方机构并提交保函（保险）申请，经审核通过后支付相关费用。</w:t>
      </w:r>
    </w:p>
    <w:p w14:paraId="56D5D4D0">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before="0" w:beforeAutospacing="0" w:after="0" w:afterAutospacing="0" w:line="360" w:lineRule="auto"/>
        <w:ind w:left="0" w:firstLine="482"/>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如</w:t>
      </w:r>
      <w:r>
        <w:rPr>
          <w:rFonts w:hint="eastAsia" w:ascii="宋体" w:hAnsi="宋体" w:cs="宋体"/>
          <w:color w:val="auto"/>
          <w:sz w:val="24"/>
          <w:szCs w:val="24"/>
          <w:highlight w:val="none"/>
          <w:lang w:val="en-US" w:eastAsia="zh-CN" w:bidi="ar-SA"/>
        </w:rPr>
        <w:t>承包人</w:t>
      </w:r>
      <w:r>
        <w:rPr>
          <w:rFonts w:hint="eastAsia" w:ascii="宋体" w:hAnsi="宋体" w:eastAsia="宋体" w:cs="宋体"/>
          <w:color w:val="auto"/>
          <w:sz w:val="24"/>
          <w:szCs w:val="24"/>
          <w:highlight w:val="none"/>
          <w:lang w:val="en-US" w:eastAsia="zh-CN" w:bidi="ar-SA"/>
        </w:rPr>
        <w:t>未能履行合同规定的义务，</w:t>
      </w:r>
      <w:r>
        <w:rPr>
          <w:rFonts w:hint="eastAsia" w:ascii="宋体" w:hAnsi="宋体" w:cs="宋体"/>
          <w:color w:val="auto"/>
          <w:sz w:val="24"/>
          <w:szCs w:val="24"/>
          <w:highlight w:val="none"/>
          <w:lang w:val="en-US" w:eastAsia="zh-CN" w:bidi="ar-SA"/>
        </w:rPr>
        <w:t>发包人</w:t>
      </w:r>
      <w:r>
        <w:rPr>
          <w:rFonts w:hint="eastAsia" w:ascii="宋体" w:hAnsi="宋体" w:eastAsia="宋体" w:cs="宋体"/>
          <w:color w:val="auto"/>
          <w:sz w:val="24"/>
          <w:szCs w:val="24"/>
          <w:highlight w:val="none"/>
          <w:lang w:val="en-US" w:eastAsia="zh-CN" w:bidi="ar-SA"/>
        </w:rPr>
        <w:t>有权从履约保证金中取得补偿。</w:t>
      </w:r>
    </w:p>
    <w:p w14:paraId="763F31B6">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bidi w:val="0"/>
        <w:snapToGrid/>
        <w:spacing w:before="0" w:beforeAutospacing="0" w:after="0" w:afterAutospacing="0" w:line="360" w:lineRule="auto"/>
        <w:ind w:left="0" w:firstLine="482"/>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履约保证金在合同约定期间内不予退还或者应完全有效，约定期间届满之日起 5个工作日内，</w:t>
      </w:r>
      <w:r>
        <w:rPr>
          <w:rFonts w:hint="eastAsia" w:ascii="宋体" w:hAnsi="宋体" w:cs="宋体"/>
          <w:color w:val="auto"/>
          <w:sz w:val="24"/>
          <w:szCs w:val="24"/>
          <w:highlight w:val="none"/>
          <w:lang w:val="en-US" w:eastAsia="zh-CN" w:bidi="ar-SA"/>
        </w:rPr>
        <w:t>发包人</w:t>
      </w:r>
      <w:r>
        <w:rPr>
          <w:rFonts w:hint="eastAsia" w:ascii="宋体" w:hAnsi="宋体" w:eastAsia="宋体" w:cs="宋体"/>
          <w:color w:val="auto"/>
          <w:sz w:val="24"/>
          <w:szCs w:val="24"/>
          <w:highlight w:val="none"/>
          <w:lang w:val="en-US" w:eastAsia="zh-CN" w:bidi="ar-SA"/>
        </w:rPr>
        <w:t>应将履约保证金退还</w:t>
      </w:r>
      <w:r>
        <w:rPr>
          <w:rFonts w:hint="eastAsia" w:ascii="宋体" w:hAnsi="宋体" w:cs="宋体"/>
          <w:color w:val="auto"/>
          <w:sz w:val="24"/>
          <w:szCs w:val="24"/>
          <w:highlight w:val="none"/>
          <w:lang w:val="en-US" w:eastAsia="zh-CN" w:bidi="ar-SA"/>
        </w:rPr>
        <w:t>承包人</w:t>
      </w:r>
      <w:r>
        <w:rPr>
          <w:rFonts w:hint="eastAsia" w:ascii="宋体" w:hAnsi="宋体" w:eastAsia="宋体" w:cs="宋体"/>
          <w:color w:val="auto"/>
          <w:sz w:val="24"/>
          <w:szCs w:val="24"/>
          <w:highlight w:val="none"/>
          <w:lang w:val="en-US" w:eastAsia="zh-CN" w:bidi="ar-SA"/>
        </w:rPr>
        <w:t>；逾期退还的，按中国人民银行同期贷款基利率上浮20%后的利率支付超期资金占用费，但因</w:t>
      </w:r>
      <w:r>
        <w:rPr>
          <w:rFonts w:hint="eastAsia" w:ascii="宋体" w:hAnsi="宋体" w:cs="宋体"/>
          <w:color w:val="auto"/>
          <w:sz w:val="24"/>
          <w:szCs w:val="24"/>
          <w:highlight w:val="none"/>
          <w:lang w:val="en-US" w:eastAsia="zh-CN" w:bidi="ar-SA"/>
        </w:rPr>
        <w:t>承包人</w:t>
      </w:r>
      <w:r>
        <w:rPr>
          <w:rFonts w:hint="eastAsia" w:ascii="宋体" w:hAnsi="宋体" w:eastAsia="宋体" w:cs="宋体"/>
          <w:color w:val="auto"/>
          <w:sz w:val="24"/>
          <w:szCs w:val="24"/>
          <w:highlight w:val="none"/>
          <w:lang w:val="en-US" w:eastAsia="zh-CN" w:bidi="ar-SA"/>
        </w:rPr>
        <w:t>自身原因导致无法及时退还的除外。</w:t>
      </w:r>
    </w:p>
    <w:p w14:paraId="6D571B1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履约</w:t>
      </w:r>
      <w:r>
        <w:rPr>
          <w:rFonts w:hint="eastAsia" w:ascii="宋体" w:hAnsi="宋体" w:cs="宋体"/>
          <w:color w:val="auto"/>
          <w:sz w:val="24"/>
          <w:szCs w:val="24"/>
          <w:highlight w:val="none"/>
          <w:u w:val="single"/>
          <w:lang w:val="en-US" w:eastAsia="zh-CN"/>
        </w:rPr>
        <w:t>保证金</w:t>
      </w:r>
      <w:r>
        <w:rPr>
          <w:rFonts w:hint="eastAsia" w:ascii="宋体" w:hAnsi="宋体" w:eastAsia="宋体" w:cs="宋体"/>
          <w:color w:val="auto"/>
          <w:sz w:val="24"/>
          <w:szCs w:val="24"/>
          <w:highlight w:val="none"/>
          <w:u w:val="single"/>
        </w:rPr>
        <w:t>有效期：应当自本合同生效之日起至发包人签发并由监理人向承包人出具工程接受证书之日止</w:t>
      </w:r>
      <w:r>
        <w:rPr>
          <w:rFonts w:hint="eastAsia" w:ascii="宋体" w:hAnsi="宋体" w:eastAsia="宋体" w:cs="宋体"/>
          <w:color w:val="auto"/>
          <w:sz w:val="24"/>
          <w:szCs w:val="24"/>
          <w:highlight w:val="none"/>
        </w:rPr>
        <w:t>。</w:t>
      </w:r>
    </w:p>
    <w:p w14:paraId="563685C4">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131" w:name="_Toc351203636"/>
      <w:bookmarkStart w:id="132" w:name="_Toc15908"/>
      <w:r>
        <w:rPr>
          <w:rFonts w:hint="eastAsia" w:ascii="宋体" w:hAnsi="宋体" w:eastAsia="宋体" w:cs="宋体"/>
          <w:b w:val="0"/>
          <w:color w:val="auto"/>
          <w:sz w:val="24"/>
          <w:szCs w:val="24"/>
        </w:rPr>
        <w:t>4</w:t>
      </w:r>
      <w:bookmarkStart w:id="133" w:name="_Toc296890990"/>
      <w:bookmarkStart w:id="134" w:name="_Toc297048348"/>
      <w:bookmarkStart w:id="135" w:name="_Toc292559366"/>
      <w:bookmarkStart w:id="136" w:name="_Toc296347161"/>
      <w:bookmarkStart w:id="137" w:name="_Toc267251413"/>
      <w:bookmarkStart w:id="138" w:name="_Toc296891202"/>
      <w:bookmarkStart w:id="139" w:name="_Toc292559871"/>
      <w:bookmarkStart w:id="140" w:name="_Toc296346663"/>
      <w:bookmarkStart w:id="141" w:name="_Toc296944501"/>
      <w:bookmarkStart w:id="142" w:name="_Toc296503162"/>
      <w:bookmarkStart w:id="143" w:name="_Toc297120462"/>
      <w:r>
        <w:rPr>
          <w:rFonts w:hint="eastAsia" w:ascii="宋体" w:hAnsi="宋体" w:eastAsia="宋体" w:cs="宋体"/>
          <w:b w:val="0"/>
          <w:color w:val="auto"/>
          <w:sz w:val="24"/>
          <w:szCs w:val="24"/>
        </w:rPr>
        <w:t>. 监</w:t>
      </w:r>
      <w:bookmarkEnd w:id="133"/>
      <w:bookmarkEnd w:id="134"/>
      <w:bookmarkEnd w:id="135"/>
      <w:bookmarkEnd w:id="136"/>
      <w:bookmarkEnd w:id="137"/>
      <w:bookmarkEnd w:id="138"/>
      <w:bookmarkEnd w:id="139"/>
      <w:bookmarkEnd w:id="140"/>
      <w:bookmarkEnd w:id="141"/>
      <w:bookmarkEnd w:id="142"/>
      <w:bookmarkEnd w:id="143"/>
      <w:r>
        <w:rPr>
          <w:rFonts w:hint="eastAsia" w:ascii="宋体" w:hAnsi="宋体" w:eastAsia="宋体" w:cs="宋体"/>
          <w:b w:val="0"/>
          <w:color w:val="auto"/>
          <w:sz w:val="24"/>
          <w:szCs w:val="24"/>
        </w:rPr>
        <w:t>理人</w:t>
      </w:r>
      <w:bookmarkEnd w:id="131"/>
      <w:bookmarkEnd w:id="132"/>
    </w:p>
    <w:p w14:paraId="21DFBAA3">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4.1监理人的一般规定</w:t>
      </w:r>
    </w:p>
    <w:p w14:paraId="1CAF1E6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关于监理人的监理内容：</w:t>
      </w:r>
      <w:r>
        <w:rPr>
          <w:rFonts w:hint="eastAsia" w:ascii="宋体" w:hAnsi="宋体" w:eastAsia="宋体" w:cs="宋体"/>
          <w:color w:val="auto"/>
          <w:sz w:val="24"/>
          <w:szCs w:val="24"/>
          <w:u w:val="single"/>
        </w:rPr>
        <w:t xml:space="preserve">按监理规范的有关规定执行，包括但不限于四控两管一协调，即对工程进行进度、质量、投资、安全四控制，合同管理、信息管理，监督安全生产，协调施工现场各方面关系等，具体监理工作内容见监理合同   </w:t>
      </w:r>
      <w:r>
        <w:rPr>
          <w:rFonts w:hint="eastAsia" w:ascii="宋体" w:hAnsi="宋体" w:eastAsia="宋体" w:cs="宋体"/>
          <w:color w:val="auto"/>
          <w:sz w:val="24"/>
          <w:szCs w:val="24"/>
        </w:rPr>
        <w:t>。</w:t>
      </w:r>
    </w:p>
    <w:p w14:paraId="23C5185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关于监理人的监理权限：</w:t>
      </w:r>
      <w:r>
        <w:rPr>
          <w:rFonts w:hint="eastAsia" w:ascii="宋体" w:hAnsi="宋体" w:eastAsia="宋体" w:cs="宋体"/>
          <w:color w:val="auto"/>
          <w:sz w:val="24"/>
          <w:szCs w:val="24"/>
          <w:u w:val="single"/>
        </w:rPr>
        <w:t xml:space="preserve">监理人的职责包括但不限于就工程质量和进度发出指示、进行检查、现场管理、在权限范围内合理调整量价、进行变更估价、索赔等。一般情况下，需要发包人事先批准的事项主要是（1）工程变更（含设计变更及工程量变更）及现场签证单；（2）工期顺延及费用索赔的认可或确认；（3）承包人付款的审核及确认（含索赔）；（4）开工/停工（在紧急状态下的情况除外）/复工/竣工指令。（5）分包单位的确定；（6）材料设备价格及品牌的认定；（7）暂列金额、计日工、暂估价的使用和确认等  </w:t>
      </w:r>
      <w:r>
        <w:rPr>
          <w:rFonts w:hint="eastAsia" w:ascii="宋体" w:hAnsi="宋体" w:eastAsia="宋体" w:cs="宋体"/>
          <w:color w:val="auto"/>
          <w:sz w:val="24"/>
          <w:szCs w:val="24"/>
        </w:rPr>
        <w:t xml:space="preserve">。 </w:t>
      </w:r>
    </w:p>
    <w:p w14:paraId="5315EFAF">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关于监理人在施工现场的办公场所、生活场所的提供和费用承担的约定：</w:t>
      </w:r>
      <w:r>
        <w:rPr>
          <w:rFonts w:hint="eastAsia" w:ascii="宋体" w:hAnsi="宋体" w:eastAsia="宋体" w:cs="宋体"/>
          <w:color w:val="auto"/>
          <w:sz w:val="24"/>
          <w:szCs w:val="24"/>
          <w:u w:val="single"/>
        </w:rPr>
        <w:t xml:space="preserve">承包人免费负责提供发包人和监理人在施工现场的办公场所，并配备必备的办公桌椅、文件柜等设施，相关费用承包人投标时综合考虑，已包含在发包价内。发包人不再额外予以补偿。监理人的生活场所，由监理人自行解决。如果承包人向监理人提供食宿等，不论有偿或无偿，都将视为承包人违约，由承包人向发包人支付违约金每次不低于签约合同价的1%    </w:t>
      </w:r>
      <w:r>
        <w:rPr>
          <w:rFonts w:hint="eastAsia" w:ascii="宋体" w:hAnsi="宋体" w:eastAsia="宋体" w:cs="宋体"/>
          <w:color w:val="auto"/>
          <w:sz w:val="24"/>
          <w:szCs w:val="24"/>
        </w:rPr>
        <w:t>。</w:t>
      </w:r>
    </w:p>
    <w:p w14:paraId="43AED5F2">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监理人员</w:t>
      </w:r>
    </w:p>
    <w:p w14:paraId="2BB2927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p w14:paraId="090C5A6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D8A56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669A5C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EBC207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B4270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6F8903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3D152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47A2121">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 商定或确定</w:t>
      </w:r>
    </w:p>
    <w:p w14:paraId="5A5F3DB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bookmarkStart w:id="144" w:name="_Toc267251418"/>
      <w:r>
        <w:rPr>
          <w:rFonts w:hint="eastAsia" w:ascii="宋体" w:hAnsi="宋体" w:eastAsia="宋体" w:cs="宋体"/>
          <w:color w:val="auto"/>
          <w:sz w:val="24"/>
          <w:szCs w:val="24"/>
        </w:rPr>
        <w:t>在发包人和承包人不能通过协商达成一致意见时，发包人授权监理人对以下事项进行确定：</w:t>
      </w:r>
    </w:p>
    <w:p w14:paraId="14C9ED7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92E5A0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F1442F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04F38E">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145" w:name="_Toc351203637"/>
      <w:bookmarkStart w:id="146" w:name="_Toc12096"/>
      <w:r>
        <w:rPr>
          <w:rFonts w:hint="eastAsia" w:ascii="宋体" w:hAnsi="宋体" w:eastAsia="宋体" w:cs="宋体"/>
          <w:b w:val="0"/>
          <w:color w:val="auto"/>
          <w:sz w:val="24"/>
          <w:szCs w:val="24"/>
        </w:rPr>
        <w:t>5</w:t>
      </w:r>
      <w:bookmarkEnd w:id="144"/>
      <w:bookmarkStart w:id="147" w:name="_Toc296347162"/>
      <w:bookmarkStart w:id="148" w:name="_Toc292559367"/>
      <w:bookmarkStart w:id="149" w:name="_Toc296503163"/>
      <w:bookmarkStart w:id="150" w:name="_Toc292559872"/>
      <w:bookmarkStart w:id="151" w:name="_Toc296891203"/>
      <w:bookmarkStart w:id="152" w:name="_Toc296944502"/>
      <w:bookmarkStart w:id="153" w:name="_Toc296890991"/>
      <w:bookmarkStart w:id="154" w:name="_Toc297120463"/>
      <w:bookmarkStart w:id="155" w:name="_Toc297048349"/>
      <w:bookmarkStart w:id="156" w:name="_Toc296346664"/>
      <w:r>
        <w:rPr>
          <w:rFonts w:hint="eastAsia" w:ascii="宋体" w:hAnsi="宋体" w:eastAsia="宋体" w:cs="宋体"/>
          <w:b w:val="0"/>
          <w:color w:val="auto"/>
          <w:sz w:val="24"/>
          <w:szCs w:val="24"/>
        </w:rPr>
        <w:t>. 工程质量</w:t>
      </w:r>
      <w:bookmarkEnd w:id="145"/>
      <w:bookmarkEnd w:id="146"/>
    </w:p>
    <w:p w14:paraId="425AF8F9">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157" w:name="_Toc3669"/>
      <w:r>
        <w:rPr>
          <w:rFonts w:hint="eastAsia" w:ascii="宋体" w:hAnsi="宋体" w:eastAsia="宋体" w:cs="宋体"/>
          <w:color w:val="auto"/>
          <w:sz w:val="24"/>
          <w:szCs w:val="24"/>
        </w:rPr>
        <w:t>5.1 质量要求</w:t>
      </w:r>
      <w:bookmarkEnd w:id="157"/>
    </w:p>
    <w:p w14:paraId="755D629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5</w:t>
      </w:r>
      <w:bookmarkStart w:id="158" w:name="_Toc304295527"/>
      <w:bookmarkStart w:id="159" w:name="_Toc297216155"/>
      <w:bookmarkStart w:id="160" w:name="_Toc297123496"/>
      <w:bookmarkStart w:id="161" w:name="_Toc318581164"/>
      <w:bookmarkStart w:id="162" w:name="_Toc312677997"/>
      <w:bookmarkStart w:id="163" w:name="_Toc300934949"/>
      <w:bookmarkStart w:id="164" w:name="_Toc303539106"/>
      <w:r>
        <w:rPr>
          <w:rFonts w:hint="eastAsia" w:ascii="宋体" w:hAnsi="宋体" w:eastAsia="宋体" w:cs="宋体"/>
          <w:color w:val="auto"/>
          <w:sz w:val="24"/>
          <w:szCs w:val="24"/>
        </w:rPr>
        <w:t>.1.1 特殊质量标准和要求：</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none"/>
          <w:lang w:eastAsia="zh-CN"/>
        </w:rPr>
        <w:t>。</w:t>
      </w:r>
    </w:p>
    <w:p w14:paraId="45F001D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关于工程奖项的约定：</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1B3175B">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165" w:name="_Toc7119"/>
      <w:r>
        <w:rPr>
          <w:rFonts w:hint="eastAsia" w:ascii="宋体" w:hAnsi="宋体" w:eastAsia="宋体" w:cs="宋体"/>
          <w:color w:val="auto"/>
          <w:sz w:val="24"/>
          <w:szCs w:val="24"/>
        </w:rPr>
        <w:t>5.3 隐蔽工程检查</w:t>
      </w:r>
      <w:bookmarkEnd w:id="165"/>
    </w:p>
    <w:p w14:paraId="4D8EA9CC">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5.3.2承包人提前通知监理人隐蔽工程检查的期限的约定：</w:t>
      </w:r>
      <w:r>
        <w:rPr>
          <w:rFonts w:hint="eastAsia" w:ascii="宋体" w:hAnsi="宋体" w:eastAsia="宋体" w:cs="宋体"/>
          <w:color w:val="auto"/>
          <w:sz w:val="24"/>
          <w:szCs w:val="24"/>
          <w:u w:val="single"/>
        </w:rPr>
        <w:t xml:space="preserve">  承包人应在检查前48小时以书面形式通知监理人检查   </w:t>
      </w:r>
      <w:r>
        <w:rPr>
          <w:rFonts w:hint="eastAsia" w:ascii="宋体" w:hAnsi="宋体" w:eastAsia="宋体" w:cs="宋体"/>
          <w:color w:val="auto"/>
          <w:sz w:val="24"/>
          <w:szCs w:val="24"/>
        </w:rPr>
        <w:t>。</w:t>
      </w:r>
    </w:p>
    <w:p w14:paraId="4764ABD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监理人不能按时进行检查时，应提前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067FA9F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48     </w:t>
      </w:r>
      <w:r>
        <w:rPr>
          <w:rFonts w:hint="eastAsia" w:ascii="宋体" w:hAnsi="宋体" w:eastAsia="宋体" w:cs="宋体"/>
          <w:color w:val="auto"/>
          <w:sz w:val="24"/>
          <w:szCs w:val="24"/>
        </w:rPr>
        <w:t>小时。</w:t>
      </w:r>
    </w:p>
    <w:p w14:paraId="187BC01C">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166" w:name="_Toc28006"/>
      <w:bookmarkStart w:id="167" w:name="_Toc351203638"/>
      <w:r>
        <w:rPr>
          <w:rFonts w:hint="eastAsia" w:ascii="宋体" w:hAnsi="宋体" w:eastAsia="宋体" w:cs="宋体"/>
          <w:b w:val="0"/>
          <w:color w:val="auto"/>
          <w:sz w:val="24"/>
          <w:szCs w:val="24"/>
        </w:rPr>
        <w:t>6. 安全文明施工与环境保护</w:t>
      </w:r>
      <w:bookmarkEnd w:id="166"/>
      <w:bookmarkEnd w:id="167"/>
    </w:p>
    <w:p w14:paraId="00F489DF">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14:paraId="3F0977F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r>
        <w:rPr>
          <w:rFonts w:hint="eastAsia" w:ascii="宋体" w:hAnsi="宋体" w:eastAsia="宋体" w:cs="宋体"/>
          <w:color w:val="auto"/>
          <w:sz w:val="24"/>
          <w:szCs w:val="24"/>
          <w:u w:val="single"/>
        </w:rPr>
        <w:t>杜绝重大伤亡事故，重伤事故；达到安全文明工地合格要求；机电设备漏电保护装置安全有效率达到100%；塔吊等起重设备、限位装置安全有效率达到100%；施工现场安全达标合格率达到100%，优良率达到90%以上；安全管理人员及特种作业人员要全部经过专业培训，持证上岗要达到100%；工人入场三级安全教育要达到100%等。承包人在施工范围内的安全管理、教育和安全事故责任由承包人负责协调处理并承担全部责任，费用含在安全文明施工费中。承包人负责施工现场的安全及第三方的人身安全 ，承包人应当遵守工程建设安全生产有关管理规定，严格按安全管理规定组织施工，并随时接受发包人监督检查。承包人负责为安全检查进行的协调、配合、管理工作等以及自身施工区域与公共区域的安全设施的搭设和维修管理工作，并在开工前向监理人提供有关施工工器具设备合格证、年审证等证件核验；确保施工安全并承担相关费用。承包人应严格认真执行本</w:t>
      </w:r>
      <w:r>
        <w:rPr>
          <w:rFonts w:hint="eastAsia" w:ascii="宋体" w:hAnsi="宋体" w:eastAsia="宋体" w:cs="宋体"/>
          <w:color w:val="auto"/>
          <w:sz w:val="24"/>
          <w:szCs w:val="24"/>
          <w:u w:val="single"/>
          <w:lang w:val="en-US" w:eastAsia="zh-CN"/>
        </w:rPr>
        <w:t>合同</w:t>
      </w:r>
      <w:r>
        <w:rPr>
          <w:rFonts w:hint="eastAsia" w:ascii="宋体" w:hAnsi="宋体" w:eastAsia="宋体" w:cs="宋体"/>
          <w:color w:val="auto"/>
          <w:sz w:val="24"/>
          <w:szCs w:val="24"/>
          <w:u w:val="single"/>
        </w:rPr>
        <w:t>附件</w:t>
      </w:r>
      <w:r>
        <w:rPr>
          <w:rFonts w:hint="eastAsia" w:ascii="宋体" w:hAnsi="宋体" w:eastAsia="宋体" w:cs="宋体"/>
          <w:color w:val="auto"/>
          <w:sz w:val="24"/>
          <w:szCs w:val="24"/>
          <w:highlight w:val="none"/>
          <w:u w:val="single"/>
        </w:rPr>
        <w:t>《建设工程承发包安全管理协议》</w:t>
      </w:r>
      <w:r>
        <w:rPr>
          <w:rFonts w:hint="eastAsia" w:ascii="宋体" w:hAnsi="宋体" w:eastAsia="宋体" w:cs="宋体"/>
          <w:color w:val="auto"/>
          <w:sz w:val="24"/>
          <w:szCs w:val="24"/>
          <w:u w:val="single"/>
        </w:rPr>
        <w:t xml:space="preserve">中的有关要求，注重安全保障、安全教育，确保人员安全；承包人须制定各种切实有效、可行的规章制度，妥善安排和利用施工现场，必须做到安全施工、文明施工，建立、健全现场安全、文明施工网络。非发包人原因造成的安全事故，责任一律由承包人全部承担；无论发包人（或监理人）是否给予了批准或同意，承包人应对现场作业、施工方法及所施工工程的完备性、稳定性和安全性承担全部责任，负责完成对工程的稳定、完整、安全、可靠及有效运行所必需的全部工作。本工程承包人应精心组织，加强领导，针对不同的施工方案采取不同的安全措施，确保安全措施落到实处，做到文明施工，使本工程按质、按量、按期完成。安全生产及安全防护费用已包含在合同价款内  </w:t>
      </w:r>
      <w:r>
        <w:rPr>
          <w:rFonts w:hint="eastAsia" w:ascii="宋体" w:hAnsi="宋体" w:eastAsia="宋体" w:cs="宋体"/>
          <w:color w:val="auto"/>
          <w:sz w:val="24"/>
          <w:szCs w:val="24"/>
        </w:rPr>
        <w:t>。</w:t>
      </w:r>
    </w:p>
    <w:p w14:paraId="0CA4A42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由承包人负责统一管理施工现场的治安保卫事项，履行合同工程的治安保卫职责，其费用由承包人自行承担。主要包括但不限于①根据监理、发包人批准的施工方案，在施工现场适当地方设置门卫，并安排专人24小时看管，禁止非本工程施工、管理人员、车辆进入现场；②为保护本工程免遭损坏，或为现场附近和过往人群的安全与方便，在确有必要的时候和地方，或当监理工程师或有关主管部门要求时，承包人应自费提供照明、警卫、护栅、警告标志等安全防护措施；③在实施和完成本工程过程中，承包人应承担非夜间施工照明和照明设施的维护责任；④如承包人未履行上述约定及通用条款相关义务造成工程、财产和人身伤害，由承包人承担责任、赔偿损失及支付发生的费用 </w:t>
      </w:r>
      <w:r>
        <w:rPr>
          <w:rFonts w:hint="eastAsia" w:ascii="宋体" w:hAnsi="宋体" w:eastAsia="宋体" w:cs="宋体"/>
          <w:color w:val="auto"/>
          <w:sz w:val="24"/>
          <w:szCs w:val="24"/>
        </w:rPr>
        <w:t>。</w:t>
      </w:r>
    </w:p>
    <w:p w14:paraId="6E132D5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开工后7日内由承包人负责编制施工场地治安管理计划，制定应对突发治安事件紧急预案。主要包括但不限于①对进入到施工现场的参建单位相关人员的管理；②配合公安、交警等部门的管理；③承担治安管理工作相关费用   </w:t>
      </w:r>
      <w:r>
        <w:rPr>
          <w:rFonts w:hint="eastAsia" w:ascii="宋体" w:hAnsi="宋体" w:eastAsia="宋体" w:cs="宋体"/>
          <w:color w:val="auto"/>
          <w:sz w:val="24"/>
          <w:szCs w:val="24"/>
        </w:rPr>
        <w:t>。</w:t>
      </w:r>
    </w:p>
    <w:p w14:paraId="4EC9C4F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0DA0814F">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本工程施工场地须符合有关主管部门规定的标准化施工现场和文明工地要求，同时应满足市政、市容等有关主管部门的有关规定，承包人违反规定造成的损失和罚款由承包人负责 （1）按江苏省及淮安市有关规定执行，保证工完料尽、场地平整清洁、创达标化工地，交工前清理现场达到发包人的要求，并符合发包人和监理人提出的一切文明施工、环境卫生等管理规定；承包人须严格按投标文件中文明措施项目落实，因承包人违反规定造成的损失和罚款由承包人负责。（2）施工现场入口处应悬挂宣传标语横幅、承包人的所有机械及设备都应醒目地标注承包人的名称及相关部门要求建设单位对围挡、围墙（绿色围墙、围挡）等外围进行整改或张贴广告，均由承包人承担，相应费用已包含在现场安全文明施工措施费中。（3）现场废水和污水排放应按批准的方法处理后，排入指定的排水沟或排水井内，不得污染环境。（4）现场现有围挡及围墙的拆除，建筑垃圾应按照批准的方法运往指定的地点进行处理，生活垃圾应按照淮安市城市管理规定每天集中，纳入城市垃圾处理系统定期清运。（5）承包人应制定生活和环境卫生管理制度，要搞好职工宿舍卫生和食堂的饮食卫生，并做好厕所保洁工作。（6）临时搭建须经发包人书面批准，且应整齐美观。（7）承包人应保持道路畅通整洁，如污染城市道路和排水管网，一切责任由承包人负责。（8）施工过程中如遇地下管线、电缆、道路、道板、场地及其它设施等破坏修复费用及管网移位等施工过程中发生的一切安全责任，均由承包人自行承担；如低于原标准或未能及时修复的，发包人有权安排其他人修复处理，所发生的费用按现行计价办法两倍计算，由承包人承担并从当期工程款或履约保证金中扣回。（9）“防止建筑工地扬尘、工程车抛洒滴漏”。承包人须加强工程施工车辆的管理并有具体有效的防范措施，施工车辆不得堵塞道路交通，不得沿途抛洒弃土，疏于管理被有关部门处罚，承包人自行解决、费用自负。（10）承包人须严格执行绿色施工相关规范及标准等要求，如有一项达不到将处罚5000元，由发包人从承包人当前进度款中直接扣除。</w:t>
      </w:r>
    </w:p>
    <w:p w14:paraId="1B3F929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注：上述相关费用由承包人投标时自行考虑，已包含在发包价内。施工期间发生的该类一切费用发包人不予补偿  </w:t>
      </w:r>
      <w:r>
        <w:rPr>
          <w:rFonts w:hint="eastAsia" w:ascii="宋体" w:hAnsi="宋体" w:eastAsia="宋体" w:cs="宋体"/>
          <w:color w:val="auto"/>
          <w:sz w:val="24"/>
          <w:szCs w:val="24"/>
        </w:rPr>
        <w:t>。</w:t>
      </w:r>
    </w:p>
    <w:p w14:paraId="172E01B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按专用合同条款第12.4.1项〔付款周期〕的约定予以支付 </w:t>
      </w:r>
      <w:r>
        <w:rPr>
          <w:rFonts w:hint="eastAsia" w:ascii="宋体" w:hAnsi="宋体" w:eastAsia="宋体" w:cs="宋体"/>
          <w:color w:val="auto"/>
          <w:sz w:val="24"/>
          <w:szCs w:val="24"/>
        </w:rPr>
        <w:t>。</w:t>
      </w:r>
      <w:bookmarkEnd w:id="158"/>
      <w:bookmarkEnd w:id="159"/>
      <w:bookmarkEnd w:id="160"/>
      <w:bookmarkEnd w:id="161"/>
      <w:bookmarkEnd w:id="162"/>
      <w:bookmarkEnd w:id="163"/>
      <w:bookmarkEnd w:id="164"/>
    </w:p>
    <w:p w14:paraId="0B8620CB">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168" w:name="_Toc23552"/>
      <w:bookmarkStart w:id="169" w:name="_Toc351203639"/>
      <w:r>
        <w:rPr>
          <w:rFonts w:hint="eastAsia" w:ascii="宋体" w:hAnsi="宋体" w:eastAsia="宋体" w:cs="宋体"/>
          <w:b w:val="0"/>
          <w:color w:val="auto"/>
          <w:sz w:val="24"/>
          <w:szCs w:val="24"/>
        </w:rPr>
        <w:t>7. 工期和进度</w:t>
      </w:r>
      <w:bookmarkEnd w:id="168"/>
      <w:bookmarkEnd w:id="169"/>
    </w:p>
    <w:p w14:paraId="72C81EFE">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6A884C7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施工管理机构、资源保证计划、季节性施工的技术组织保证措施、危险性较大的分部分项工程的专项施工方案、施工现场全方位智能监控布置、已有设施、管线的加固与保护等特殊情况下的施工措施以及新技术、新产品、新工艺、新材料应用等 </w:t>
      </w:r>
      <w:r>
        <w:rPr>
          <w:rFonts w:hint="eastAsia" w:ascii="宋体" w:hAnsi="宋体" w:eastAsia="宋体" w:cs="宋体"/>
          <w:color w:val="auto"/>
          <w:sz w:val="24"/>
          <w:szCs w:val="24"/>
        </w:rPr>
        <w:t>。</w:t>
      </w:r>
    </w:p>
    <w:p w14:paraId="79DC3B79">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40DE58E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 xml:space="preserve">承包人应在合同签订后14天内提交详细的施工组织设计，但至迟不得晚于监理人发出开工通知中载明的开工日期前7天   </w:t>
      </w:r>
      <w:r>
        <w:rPr>
          <w:rFonts w:hint="eastAsia" w:ascii="宋体" w:hAnsi="宋体" w:eastAsia="宋体" w:cs="宋体"/>
          <w:color w:val="auto"/>
          <w:sz w:val="24"/>
          <w:szCs w:val="24"/>
        </w:rPr>
        <w:t>。</w:t>
      </w:r>
    </w:p>
    <w:p w14:paraId="615602B9">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 xml:space="preserve">  7日内  </w:t>
      </w:r>
      <w:r>
        <w:rPr>
          <w:rFonts w:hint="eastAsia" w:ascii="宋体" w:hAnsi="宋体" w:eastAsia="宋体" w:cs="宋体"/>
          <w:color w:val="auto"/>
          <w:sz w:val="24"/>
          <w:szCs w:val="24"/>
        </w:rPr>
        <w:t>。</w:t>
      </w:r>
    </w:p>
    <w:p w14:paraId="50839E03">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70" w:name="_Toc300934966"/>
      <w:bookmarkStart w:id="171" w:name="_Toc312677479"/>
      <w:bookmarkStart w:id="172" w:name="_Toc304295541"/>
      <w:bookmarkStart w:id="173" w:name="_Toc297216173"/>
      <w:bookmarkStart w:id="174" w:name="_Toc303539123"/>
      <w:bookmarkStart w:id="175" w:name="_Toc297123514"/>
      <w:bookmarkStart w:id="176" w:name="_Toc312678005"/>
      <w:r>
        <w:rPr>
          <w:rFonts w:hint="eastAsia" w:ascii="宋体" w:hAnsi="宋体" w:eastAsia="宋体" w:cs="宋体"/>
          <w:color w:val="auto"/>
          <w:sz w:val="24"/>
          <w:szCs w:val="24"/>
        </w:rPr>
        <w:t>.2 施工进度计划</w:t>
      </w:r>
    </w:p>
    <w:p w14:paraId="65F2561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7D2574E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7日内</w:t>
      </w:r>
      <w:r>
        <w:rPr>
          <w:rFonts w:hint="eastAsia" w:ascii="宋体" w:hAnsi="宋体" w:eastAsia="宋体" w:cs="宋体"/>
          <w:color w:val="auto"/>
          <w:sz w:val="24"/>
          <w:szCs w:val="24"/>
        </w:rPr>
        <w:t>。</w:t>
      </w:r>
    </w:p>
    <w:p w14:paraId="08AFDF1B">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53FBB8A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4BDF367C">
      <w:pPr>
        <w:pageBreakBefore w:val="0"/>
        <w:kinsoku/>
        <w:wordWrap w:val="0"/>
        <w:overflowPunct/>
        <w:topLinePunct w:val="0"/>
        <w:bidi w:val="0"/>
        <w:snapToGrid/>
        <w:spacing w:line="460" w:lineRule="exact"/>
        <w:ind w:firstLine="645"/>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 xml:space="preserve">  按通用合同条款执行  </w:t>
      </w:r>
      <w:r>
        <w:rPr>
          <w:rFonts w:hint="eastAsia" w:ascii="宋体" w:hAnsi="宋体" w:eastAsia="宋体" w:cs="宋体"/>
          <w:color w:val="auto"/>
          <w:sz w:val="24"/>
          <w:szCs w:val="24"/>
        </w:rPr>
        <w:t>。</w:t>
      </w:r>
    </w:p>
    <w:p w14:paraId="0DF4AFC2">
      <w:pPr>
        <w:pageBreakBefore w:val="0"/>
        <w:kinsoku/>
        <w:wordWrap w:val="0"/>
        <w:overflowPunct/>
        <w:topLinePunct w:val="0"/>
        <w:bidi w:val="0"/>
        <w:snapToGrid/>
        <w:spacing w:line="460" w:lineRule="exact"/>
        <w:ind w:firstLine="64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A9996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BF3409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14:paraId="42A460D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u w:val="single"/>
        </w:rPr>
        <w:t xml:space="preserve">  180  </w:t>
      </w:r>
      <w:r>
        <w:rPr>
          <w:rFonts w:hint="eastAsia" w:ascii="宋体" w:hAnsi="宋体" w:eastAsia="宋体" w:cs="宋体"/>
          <w:color w:val="auto"/>
          <w:sz w:val="24"/>
          <w:szCs w:val="24"/>
          <w:highlight w:val="none"/>
        </w:rPr>
        <w:t>天内</w:t>
      </w:r>
      <w:r>
        <w:rPr>
          <w:rFonts w:hint="eastAsia" w:ascii="宋体" w:hAnsi="宋体" w:eastAsia="宋体" w:cs="宋体"/>
          <w:color w:val="auto"/>
          <w:sz w:val="24"/>
          <w:szCs w:val="24"/>
        </w:rPr>
        <w:t>发出开工通知的，承包人有权提出价格调整要求，或者解除合同。</w:t>
      </w:r>
      <w:bookmarkEnd w:id="170"/>
      <w:bookmarkEnd w:id="171"/>
      <w:bookmarkEnd w:id="172"/>
      <w:bookmarkEnd w:id="173"/>
      <w:bookmarkEnd w:id="174"/>
      <w:bookmarkEnd w:id="175"/>
      <w:bookmarkEnd w:id="176"/>
    </w:p>
    <w:p w14:paraId="5401017A">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38D21F3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   按通用合同条款执行   </w:t>
      </w:r>
      <w:r>
        <w:rPr>
          <w:rFonts w:hint="eastAsia" w:ascii="宋体" w:hAnsi="宋体" w:eastAsia="宋体" w:cs="宋体"/>
          <w:color w:val="auto"/>
          <w:sz w:val="24"/>
          <w:szCs w:val="24"/>
        </w:rPr>
        <w:t>。</w:t>
      </w:r>
    </w:p>
    <w:p w14:paraId="4FF1960A">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77" w:name="_Toc304295546"/>
      <w:bookmarkStart w:id="178" w:name="_Toc300934968"/>
      <w:bookmarkStart w:id="179" w:name="_Toc312678010"/>
      <w:bookmarkStart w:id="180" w:name="_Toc297216175"/>
      <w:bookmarkStart w:id="181" w:name="_Toc303539125"/>
      <w:bookmarkStart w:id="182" w:name="_Toc297123516"/>
      <w:bookmarkStart w:id="183" w:name="_Toc312677484"/>
      <w:r>
        <w:rPr>
          <w:rFonts w:hint="eastAsia" w:ascii="宋体" w:hAnsi="宋体" w:eastAsia="宋体" w:cs="宋体"/>
          <w:color w:val="auto"/>
          <w:sz w:val="24"/>
          <w:szCs w:val="24"/>
        </w:rPr>
        <w:t>.5 工期延误</w:t>
      </w:r>
      <w:bookmarkEnd w:id="177"/>
      <w:bookmarkEnd w:id="178"/>
      <w:bookmarkEnd w:id="179"/>
      <w:bookmarkEnd w:id="180"/>
      <w:bookmarkEnd w:id="181"/>
      <w:bookmarkEnd w:id="182"/>
      <w:bookmarkEnd w:id="183"/>
    </w:p>
    <w:p w14:paraId="6DAB6C9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4379358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End w:id="147"/>
      <w:bookmarkEnd w:id="148"/>
      <w:bookmarkEnd w:id="149"/>
      <w:bookmarkEnd w:id="150"/>
      <w:bookmarkEnd w:id="151"/>
      <w:bookmarkEnd w:id="152"/>
      <w:bookmarkEnd w:id="153"/>
      <w:bookmarkEnd w:id="154"/>
      <w:bookmarkEnd w:id="155"/>
      <w:bookmarkEnd w:id="156"/>
    </w:p>
    <w:p w14:paraId="2EE379D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84" w:name="_Toc312678012"/>
      <w:bookmarkStart w:id="185" w:name="_Toc318581169"/>
      <w:bookmarkStart w:id="186" w:name="_Toc312677486"/>
      <w:bookmarkStart w:id="187" w:name="_Toc297123518"/>
      <w:bookmarkStart w:id="188" w:name="_Toc303539127"/>
      <w:bookmarkStart w:id="189" w:name="_Toc297216177"/>
      <w:bookmarkStart w:id="190" w:name="_Toc300934970"/>
      <w:bookmarkStart w:id="191" w:name="_Toc304295548"/>
      <w:r>
        <w:rPr>
          <w:rFonts w:hint="eastAsia" w:ascii="宋体" w:hAnsi="宋体" w:eastAsia="宋体" w:cs="宋体"/>
          <w:color w:val="auto"/>
          <w:sz w:val="24"/>
          <w:szCs w:val="24"/>
        </w:rPr>
        <w:t>.5.2 因承包人原因导致工期延误</w:t>
      </w:r>
      <w:bookmarkEnd w:id="184"/>
      <w:bookmarkEnd w:id="185"/>
      <w:bookmarkEnd w:id="186"/>
    </w:p>
    <w:p w14:paraId="5D0D513C">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w:t>
      </w:r>
      <w:bookmarkStart w:id="192" w:name="_Toc312677487"/>
      <w:bookmarkStart w:id="193" w:name="_Toc312678013"/>
      <w:bookmarkStart w:id="194" w:name="_Toc318581170"/>
      <w:r>
        <w:rPr>
          <w:rFonts w:hint="eastAsia" w:ascii="宋体" w:hAnsi="宋体" w:eastAsia="宋体" w:cs="宋体"/>
          <w:color w:val="auto"/>
          <w:sz w:val="24"/>
          <w:szCs w:val="24"/>
        </w:rPr>
        <w:t>承包人原因造成工期延误，逾期竣工违约金的计算方法为：</w:t>
      </w:r>
      <w:bookmarkEnd w:id="187"/>
      <w:bookmarkEnd w:id="188"/>
      <w:bookmarkEnd w:id="189"/>
      <w:bookmarkEnd w:id="190"/>
      <w:bookmarkEnd w:id="191"/>
      <w:bookmarkEnd w:id="192"/>
      <w:bookmarkEnd w:id="193"/>
      <w:bookmarkEnd w:id="194"/>
      <w:r>
        <w:rPr>
          <w:rFonts w:hint="eastAsia" w:ascii="宋体" w:hAnsi="宋体" w:eastAsia="宋体" w:cs="宋体"/>
          <w:color w:val="auto"/>
          <w:sz w:val="24"/>
          <w:szCs w:val="24"/>
          <w:u w:val="single"/>
        </w:rPr>
        <w:t>承包人向发包人支付合同价的万分之</w:t>
      </w:r>
      <w:r>
        <w:rPr>
          <w:rFonts w:hint="eastAsia" w:ascii="宋体" w:hAnsi="宋体" w:eastAsia="宋体" w:cs="宋体"/>
          <w:color w:val="auto"/>
          <w:sz w:val="24"/>
          <w:szCs w:val="24"/>
          <w:u w:val="single"/>
          <w:lang w:val="en-US" w:eastAsia="zh-CN"/>
        </w:rPr>
        <w:t>三</w:t>
      </w:r>
      <w:r>
        <w:rPr>
          <w:rFonts w:hint="eastAsia" w:ascii="宋体" w:hAnsi="宋体" w:eastAsia="宋体" w:cs="宋体"/>
          <w:color w:val="auto"/>
          <w:sz w:val="24"/>
          <w:szCs w:val="24"/>
          <w:u w:val="single"/>
        </w:rPr>
        <w:t>/天的违约金</w:t>
      </w:r>
      <w:r>
        <w:rPr>
          <w:rFonts w:hint="eastAsia" w:ascii="宋体" w:hAnsi="宋体" w:eastAsia="宋体" w:cs="宋体"/>
          <w:color w:val="auto"/>
          <w:sz w:val="24"/>
          <w:szCs w:val="24"/>
        </w:rPr>
        <w:t xml:space="preserve"> 。</w:t>
      </w:r>
    </w:p>
    <w:p w14:paraId="57EF5E85">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因承包人原因造成工期延误，逾</w:t>
      </w:r>
      <w:bookmarkStart w:id="195" w:name="_Toc318581171"/>
      <w:bookmarkStart w:id="196" w:name="_Toc312678014"/>
      <w:r>
        <w:rPr>
          <w:rFonts w:hint="eastAsia" w:ascii="宋体" w:hAnsi="宋体" w:eastAsia="宋体" w:cs="宋体"/>
          <w:color w:val="auto"/>
          <w:sz w:val="24"/>
          <w:szCs w:val="24"/>
        </w:rPr>
        <w:t>期竣工违约金的上限：</w:t>
      </w:r>
      <w:r>
        <w:rPr>
          <w:rFonts w:hint="eastAsia" w:ascii="宋体" w:hAnsi="宋体" w:eastAsia="宋体" w:cs="宋体"/>
          <w:color w:val="auto"/>
          <w:sz w:val="24"/>
          <w:szCs w:val="24"/>
          <w:u w:val="single"/>
        </w:rPr>
        <w:t>合同价的30%</w:t>
      </w:r>
      <w:r>
        <w:rPr>
          <w:rFonts w:hint="eastAsia" w:ascii="宋体" w:hAnsi="宋体" w:eastAsia="宋体" w:cs="宋体"/>
          <w:color w:val="auto"/>
          <w:sz w:val="24"/>
          <w:szCs w:val="24"/>
        </w:rPr>
        <w:t>。</w:t>
      </w:r>
      <w:bookmarkEnd w:id="195"/>
      <w:bookmarkEnd w:id="196"/>
    </w:p>
    <w:p w14:paraId="4CC07735">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7" w:name="_Toc312678015"/>
      <w:bookmarkStart w:id="198" w:name="_Toc300934971"/>
      <w:bookmarkStart w:id="199" w:name="_Toc297123519"/>
      <w:bookmarkStart w:id="200" w:name="_Toc297216178"/>
      <w:bookmarkStart w:id="201" w:name="_Toc304295549"/>
      <w:bookmarkStart w:id="202" w:name="_Toc303539128"/>
      <w:r>
        <w:rPr>
          <w:rFonts w:hint="eastAsia" w:ascii="宋体" w:hAnsi="宋体" w:eastAsia="宋体" w:cs="宋体"/>
          <w:color w:val="auto"/>
          <w:sz w:val="24"/>
          <w:szCs w:val="24"/>
        </w:rPr>
        <w:t>.6 不</w:t>
      </w:r>
      <w:bookmarkEnd w:id="197"/>
      <w:bookmarkEnd w:id="198"/>
      <w:bookmarkEnd w:id="199"/>
      <w:bookmarkEnd w:id="200"/>
      <w:bookmarkEnd w:id="201"/>
      <w:bookmarkEnd w:id="202"/>
      <w:r>
        <w:rPr>
          <w:rFonts w:hint="eastAsia" w:ascii="宋体" w:hAnsi="宋体" w:eastAsia="宋体" w:cs="宋体"/>
          <w:color w:val="auto"/>
          <w:sz w:val="24"/>
          <w:szCs w:val="24"/>
        </w:rPr>
        <w:t>利物质条件</w:t>
      </w:r>
    </w:p>
    <w:p w14:paraId="4F9A9E66">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bookmarkStart w:id="203" w:name="_Toc297216179"/>
      <w:bookmarkStart w:id="204" w:name="_Toc303539129"/>
      <w:bookmarkStart w:id="205" w:name="_Toc312678016"/>
      <w:bookmarkStart w:id="206" w:name="_Toc304295550"/>
      <w:bookmarkStart w:id="207" w:name="_Toc318581172"/>
      <w:bookmarkStart w:id="208" w:name="_Toc300934972"/>
      <w:bookmarkStart w:id="209" w:name="_Toc297123520"/>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bookmarkEnd w:id="203"/>
      <w:bookmarkEnd w:id="204"/>
      <w:bookmarkEnd w:id="205"/>
      <w:bookmarkEnd w:id="206"/>
      <w:bookmarkEnd w:id="207"/>
      <w:bookmarkEnd w:id="208"/>
      <w:bookmarkEnd w:id="209"/>
    </w:p>
    <w:p w14:paraId="4A320B81">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10" w:name="_Toc303539130"/>
      <w:bookmarkStart w:id="211" w:name="_Toc297123521"/>
      <w:bookmarkStart w:id="212" w:name="_Toc304295551"/>
      <w:bookmarkStart w:id="213" w:name="_Toc312678017"/>
      <w:bookmarkStart w:id="214" w:name="_Toc297216180"/>
      <w:bookmarkStart w:id="215" w:name="_Toc300934973"/>
      <w:r>
        <w:rPr>
          <w:rFonts w:hint="eastAsia" w:ascii="宋体" w:hAnsi="宋体" w:eastAsia="宋体" w:cs="宋体"/>
          <w:color w:val="auto"/>
          <w:sz w:val="24"/>
          <w:szCs w:val="24"/>
        </w:rPr>
        <w:t>.7异常恶劣的气候条件</w:t>
      </w:r>
      <w:bookmarkEnd w:id="210"/>
      <w:bookmarkEnd w:id="211"/>
      <w:bookmarkEnd w:id="212"/>
      <w:bookmarkEnd w:id="213"/>
      <w:bookmarkEnd w:id="214"/>
      <w:bookmarkEnd w:id="215"/>
    </w:p>
    <w:p w14:paraId="1638F4E9">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14:paraId="2AFB86C3">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u w:val="single"/>
        </w:rPr>
      </w:pPr>
      <w:bookmarkStart w:id="216" w:name="_Toc12740"/>
      <w:r>
        <w:rPr>
          <w:rFonts w:hint="eastAsia" w:ascii="宋体" w:hAnsi="宋体" w:eastAsia="宋体" w:cs="宋体"/>
          <w:color w:val="auto"/>
          <w:sz w:val="24"/>
          <w:szCs w:val="24"/>
          <w:u w:val="single"/>
        </w:rPr>
        <w:t>（1）日降雨量大于100㎜的雨日超过3天；</w:t>
      </w:r>
      <w:bookmarkEnd w:id="216"/>
    </w:p>
    <w:p w14:paraId="7138B14D">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u w:val="single"/>
        </w:rPr>
      </w:pPr>
      <w:bookmarkStart w:id="217" w:name="_Toc10415"/>
      <w:r>
        <w:rPr>
          <w:rFonts w:hint="eastAsia" w:ascii="宋体" w:hAnsi="宋体" w:eastAsia="宋体" w:cs="宋体"/>
          <w:color w:val="auto"/>
          <w:sz w:val="24"/>
          <w:szCs w:val="24"/>
          <w:u w:val="single"/>
        </w:rPr>
        <w:t>（2）风速大于17.2m/s的8级以上台风灾害；</w:t>
      </w:r>
      <w:bookmarkEnd w:id="217"/>
    </w:p>
    <w:p w14:paraId="1FC90C7F">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u w:val="single"/>
        </w:rPr>
      </w:pPr>
      <w:bookmarkStart w:id="218" w:name="_Toc1142"/>
      <w:r>
        <w:rPr>
          <w:rFonts w:hint="eastAsia" w:ascii="宋体" w:hAnsi="宋体" w:eastAsia="宋体" w:cs="宋体"/>
          <w:color w:val="auto"/>
          <w:sz w:val="24"/>
          <w:szCs w:val="24"/>
          <w:u w:val="single"/>
        </w:rPr>
        <w:t>（3）日气温超过37℃的高温大于3天或日气温超过35℃的高温连续5天及以上；</w:t>
      </w:r>
      <w:bookmarkEnd w:id="218"/>
    </w:p>
    <w:p w14:paraId="24F2FBA4">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u w:val="single"/>
        </w:rPr>
      </w:pPr>
      <w:bookmarkStart w:id="219" w:name="_Toc29693"/>
      <w:r>
        <w:rPr>
          <w:rFonts w:hint="eastAsia" w:ascii="宋体" w:hAnsi="宋体" w:eastAsia="宋体" w:cs="宋体"/>
          <w:color w:val="auto"/>
          <w:sz w:val="24"/>
          <w:szCs w:val="24"/>
          <w:u w:val="single"/>
        </w:rPr>
        <w:t>（4）日气温低于―10℃ 的大寒大于3天；</w:t>
      </w:r>
      <w:bookmarkEnd w:id="219"/>
    </w:p>
    <w:p w14:paraId="3A17ACD4">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u w:val="single"/>
        </w:rPr>
      </w:pPr>
      <w:bookmarkStart w:id="220" w:name="_Toc3970"/>
      <w:r>
        <w:rPr>
          <w:rFonts w:hint="eastAsia" w:ascii="宋体" w:hAnsi="宋体" w:eastAsia="宋体" w:cs="宋体"/>
          <w:color w:val="auto"/>
          <w:sz w:val="24"/>
          <w:szCs w:val="24"/>
          <w:u w:val="single"/>
        </w:rPr>
        <w:t>（5）造成工程损坏的冰雹和大雪灾害：日降雪量10㎜及以上；</w:t>
      </w:r>
      <w:bookmarkEnd w:id="220"/>
    </w:p>
    <w:p w14:paraId="00C244AF">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u w:val="single"/>
        </w:rPr>
      </w:pPr>
      <w:bookmarkStart w:id="221" w:name="_Toc26264"/>
      <w:r>
        <w:rPr>
          <w:rFonts w:hint="eastAsia" w:ascii="宋体" w:hAnsi="宋体" w:eastAsia="宋体" w:cs="宋体"/>
          <w:color w:val="auto"/>
          <w:sz w:val="24"/>
          <w:szCs w:val="24"/>
          <w:u w:val="single"/>
        </w:rPr>
        <w:t>（6）其它异常恶劣气候灾害 。</w:t>
      </w:r>
      <w:bookmarkEnd w:id="221"/>
    </w:p>
    <w:p w14:paraId="1AB8EC80">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u w:val="single"/>
        </w:rPr>
      </w:pPr>
      <w:bookmarkStart w:id="222" w:name="_Toc27800"/>
      <w:r>
        <w:rPr>
          <w:rFonts w:hint="eastAsia" w:ascii="宋体" w:hAnsi="宋体" w:eastAsia="宋体" w:cs="宋体"/>
          <w:color w:val="auto"/>
          <w:sz w:val="24"/>
          <w:szCs w:val="24"/>
          <w:u w:val="single"/>
        </w:rPr>
        <w:t>注：均以气象部门公布的为准。</w:t>
      </w:r>
      <w:bookmarkEnd w:id="222"/>
    </w:p>
    <w:p w14:paraId="6E267CBE">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223" w:name="_Toc24639"/>
      <w:r>
        <w:rPr>
          <w:rFonts w:hint="eastAsia" w:ascii="宋体" w:hAnsi="宋体" w:eastAsia="宋体" w:cs="宋体"/>
          <w:color w:val="auto"/>
          <w:sz w:val="24"/>
          <w:szCs w:val="24"/>
        </w:rPr>
        <w:t>7.9 提前竣工的奖励</w:t>
      </w:r>
      <w:bookmarkEnd w:id="223"/>
    </w:p>
    <w:p w14:paraId="6A54F6A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5947D2F">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224" w:name="_Toc15879"/>
      <w:bookmarkStart w:id="225" w:name="_Toc351203640"/>
      <w:r>
        <w:rPr>
          <w:rFonts w:hint="eastAsia" w:ascii="宋体" w:hAnsi="宋体" w:eastAsia="宋体" w:cs="宋体"/>
          <w:b w:val="0"/>
          <w:color w:val="auto"/>
          <w:sz w:val="24"/>
          <w:szCs w:val="24"/>
        </w:rPr>
        <w:t>8. 材料与设备</w:t>
      </w:r>
      <w:bookmarkEnd w:id="224"/>
      <w:bookmarkEnd w:id="225"/>
    </w:p>
    <w:p w14:paraId="09CE7CD3">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226" w:name="_Toc292559877"/>
      <w:bookmarkStart w:id="227" w:name="_Toc292559372"/>
      <w:bookmarkStart w:id="228" w:name="_Toc312677493"/>
      <w:bookmarkStart w:id="229" w:name="_Toc297120467"/>
      <w:bookmarkStart w:id="230" w:name="_Toc296346668"/>
      <w:bookmarkStart w:id="231" w:name="_Toc296890995"/>
      <w:bookmarkStart w:id="232" w:name="_Toc297123527"/>
      <w:bookmarkStart w:id="233" w:name="_Toc297216186"/>
      <w:bookmarkStart w:id="234" w:name="_Toc296347166"/>
      <w:bookmarkStart w:id="235" w:name="_Toc280868654"/>
      <w:bookmarkStart w:id="236" w:name="_Toc303539136"/>
      <w:bookmarkStart w:id="237" w:name="_Toc296503167"/>
      <w:bookmarkStart w:id="238" w:name="_Toc300934979"/>
      <w:bookmarkStart w:id="239" w:name="_Toc296891207"/>
      <w:bookmarkStart w:id="240" w:name="_Toc297048353"/>
      <w:bookmarkStart w:id="241" w:name="_Toc296944506"/>
      <w:bookmarkStart w:id="242" w:name="_Toc304295556"/>
      <w:bookmarkStart w:id="243" w:name="_Toc312678019"/>
      <w:bookmarkStart w:id="244" w:name="_Toc280868656"/>
      <w:bookmarkStart w:id="245" w:name="_Toc267251424"/>
      <w:bookmarkStart w:id="246" w:name="_Toc280868655"/>
      <w:r>
        <w:rPr>
          <w:rFonts w:hint="eastAsia" w:ascii="宋体" w:hAnsi="宋体" w:eastAsia="宋体" w:cs="宋体"/>
          <w:color w:val="auto"/>
          <w:sz w:val="24"/>
          <w:szCs w:val="24"/>
        </w:rPr>
        <w:t>.4材料与工程设备的保管与使用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FCE528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247" w:name="_Toc292559878"/>
      <w:bookmarkStart w:id="248" w:name="_Toc292559373"/>
      <w:bookmarkStart w:id="249" w:name="_Toc296890996"/>
      <w:bookmarkStart w:id="250" w:name="_Toc297216187"/>
      <w:bookmarkStart w:id="251" w:name="_Toc296891208"/>
      <w:bookmarkStart w:id="252" w:name="_Toc297048354"/>
      <w:bookmarkStart w:id="253" w:name="_Toc318581173"/>
      <w:bookmarkStart w:id="254" w:name="_Toc296503168"/>
      <w:bookmarkStart w:id="255" w:name="_Toc297123528"/>
      <w:bookmarkStart w:id="256" w:name="_Toc296347167"/>
      <w:bookmarkStart w:id="257" w:name="_Toc300934980"/>
      <w:bookmarkStart w:id="258" w:name="_Toc296346669"/>
      <w:bookmarkStart w:id="259" w:name="_Toc297120468"/>
      <w:bookmarkStart w:id="260" w:name="_Toc303539137"/>
      <w:bookmarkStart w:id="261" w:name="_Toc304295557"/>
      <w:bookmarkStart w:id="262" w:name="_Toc312678020"/>
      <w:bookmarkStart w:id="263" w:name="_Toc312677494"/>
      <w:bookmarkStart w:id="264" w:name="_Toc296944507"/>
      <w:r>
        <w:rPr>
          <w:rFonts w:hint="eastAsia" w:ascii="宋体" w:hAnsi="宋体" w:eastAsia="宋体" w:cs="宋体"/>
          <w:color w:val="auto"/>
          <w:sz w:val="24"/>
          <w:szCs w:val="24"/>
        </w:rPr>
        <w:t>.4.1发包人供应的材料设备的保管费用的承担：</w:t>
      </w:r>
      <w:bookmarkEnd w:id="247"/>
      <w:bookmarkEnd w:id="248"/>
      <w:r>
        <w:rPr>
          <w:rFonts w:hint="eastAsia" w:ascii="宋体" w:hAnsi="宋体" w:eastAsia="宋体" w:cs="宋体"/>
          <w:color w:val="auto"/>
          <w:sz w:val="24"/>
          <w:szCs w:val="24"/>
          <w:u w:val="single"/>
        </w:rPr>
        <w:t>承包人在投标时已综合考虑，已包含在发包价内，发包人不再额外予以补偿。</w:t>
      </w:r>
    </w:p>
    <w:p w14:paraId="257E8F22">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265" w:name="_Toc23915"/>
      <w:r>
        <w:rPr>
          <w:rFonts w:hint="eastAsia" w:ascii="宋体" w:hAnsi="宋体" w:eastAsia="宋体" w:cs="宋体"/>
          <w:color w:val="auto"/>
          <w:sz w:val="24"/>
          <w:szCs w:val="24"/>
        </w:rPr>
        <w:t>8.6 样品</w:t>
      </w:r>
      <w:bookmarkEnd w:id="265"/>
    </w:p>
    <w:p w14:paraId="18EC061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14:paraId="1B7EEC7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需要承包人报送样品的材料或工程设备，样品的种类、名称、规格、数量要求： </w:t>
      </w:r>
      <w:r>
        <w:rPr>
          <w:rFonts w:hint="eastAsia" w:ascii="宋体" w:hAnsi="宋体" w:eastAsia="宋体" w:cs="宋体"/>
          <w:color w:val="auto"/>
          <w:sz w:val="24"/>
          <w:szCs w:val="24"/>
          <w:u w:val="single"/>
        </w:rPr>
        <w:t>按有关规定和发包人要求执行。</w:t>
      </w:r>
    </w:p>
    <w:p w14:paraId="2DD44FE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（1）</w:t>
      </w:r>
      <w:r>
        <w:rPr>
          <w:rFonts w:hint="eastAsia" w:ascii="宋体" w:hAnsi="宋体" w:eastAsia="宋体" w:cs="宋体"/>
          <w:color w:val="auto"/>
          <w:sz w:val="24"/>
          <w:szCs w:val="24"/>
          <w:u w:val="single"/>
        </w:rPr>
        <w:t>用于本工程之任何材料或设备，承包人应提供样本作认可之用，使用前必须得到发包人、监理人认可或批准。发包人、监理人对任何样本之认可或批准，并不会解除承包人按合同须履行之责任；</w:t>
      </w:r>
    </w:p>
    <w:p w14:paraId="4806E93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w:t>
      </w:r>
      <w:r>
        <w:rPr>
          <w:rFonts w:hint="eastAsia" w:ascii="宋体" w:hAnsi="宋体" w:eastAsia="宋体" w:cs="宋体"/>
          <w:color w:val="auto"/>
          <w:sz w:val="24"/>
          <w:szCs w:val="24"/>
          <w:u w:val="single"/>
        </w:rPr>
        <w:t>如发包人、监理人要求承包人提供不少于三家或三家以上的材料或设备品牌供选择或考察时，承包人须无条件执行且推荐品牌质量在同类或同行中为优等品；</w:t>
      </w:r>
    </w:p>
    <w:p w14:paraId="119EC8E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（3）</w:t>
      </w:r>
      <w:r>
        <w:rPr>
          <w:rFonts w:hint="eastAsia" w:ascii="宋体" w:hAnsi="宋体" w:eastAsia="宋体" w:cs="宋体"/>
          <w:color w:val="auto"/>
          <w:sz w:val="24"/>
          <w:szCs w:val="24"/>
          <w:u w:val="single"/>
        </w:rPr>
        <w:t>承包人应在投标文件中明确材料或设备所选的品牌、厂家，如果承包人在投标文件中没有明确选用何种品牌，发包人可以指定其他任一品牌厂家，且合同价格不予调整；</w:t>
      </w:r>
    </w:p>
    <w:p w14:paraId="0517327C">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（4）</w:t>
      </w:r>
      <w:r>
        <w:rPr>
          <w:rFonts w:hint="eastAsia" w:ascii="宋体" w:hAnsi="宋体" w:eastAsia="宋体" w:cs="宋体"/>
          <w:color w:val="auto"/>
          <w:sz w:val="24"/>
          <w:szCs w:val="24"/>
          <w:u w:val="single"/>
        </w:rPr>
        <w:t>发包人推荐品牌及要求详见清单，承包人必须在发包人规定的推荐品牌范围内提供样品或样册，经监理人、发包人确认后方可使用。发包人有权在招标文件规定推荐品牌范围内更换或调整材料，同时仍按承包人相应投标价格进行竣工结算；</w:t>
      </w:r>
    </w:p>
    <w:p w14:paraId="52358BB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（5）</w:t>
      </w:r>
      <w:r>
        <w:rPr>
          <w:rFonts w:hint="eastAsia" w:ascii="宋体" w:hAnsi="宋体" w:eastAsia="宋体" w:cs="宋体"/>
          <w:color w:val="auto"/>
          <w:sz w:val="24"/>
          <w:szCs w:val="24"/>
          <w:u w:val="single"/>
        </w:rPr>
        <w:t>发包人有权对承包人的材料采购环节进行监控，对此承包人不得拒绝。相关风险承包人在投标时需综合考虑，已包含在发包价内。</w:t>
      </w:r>
    </w:p>
    <w:p w14:paraId="41E769DF">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266" w:name="_Toc27707"/>
      <w:r>
        <w:rPr>
          <w:rFonts w:hint="eastAsia" w:ascii="宋体" w:hAnsi="宋体" w:eastAsia="宋体" w:cs="宋体"/>
          <w:color w:val="auto"/>
          <w:sz w:val="24"/>
          <w:szCs w:val="24"/>
        </w:rPr>
        <w:t>8.8 施工设备和临时设施</w:t>
      </w:r>
      <w:bookmarkEnd w:id="266"/>
    </w:p>
    <w:p w14:paraId="3210D63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10FFD0F4">
      <w:pPr>
        <w:pageBreakBefore w:val="0"/>
        <w:kinsoku/>
        <w:wordWrap w:val="0"/>
        <w:overflowPunct/>
        <w:topLinePunct w:val="0"/>
        <w:bidi w:val="0"/>
        <w:snapToGrid/>
        <w:spacing w:line="460" w:lineRule="exact"/>
        <w:jc w:val="left"/>
        <w:textAlignment w:val="auto"/>
        <w:rPr>
          <w:rFonts w:hint="eastAsia" w:ascii="宋体" w:hAnsi="宋体" w:eastAsia="宋体" w:cs="宋体"/>
          <w:b w:val="0"/>
          <w:bCs/>
          <w:color w:val="auto"/>
          <w:sz w:val="24"/>
          <w:szCs w:val="24"/>
          <w:u w:val="single"/>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承包人应自行承担修建临时道路、交通、绿色围挡（围墙）并满足相关部门要求等临时设施的费用，并自行保养施工区域，满足施工运输的需要，保证施工期间的畅通，并应免费提供发包人、监理人及与本合同有关的其他承包人使用；相关费用由承包人在投标踏勘现场时综合考虑，已包含在发包价内。施工期间发生的该类一切费用发包人不予补偿，承包人所承担的临时设施建设须符合相关政策文件规定。发包人已建设完成的临时设施费用将</w:t>
      </w:r>
      <w:r>
        <w:rPr>
          <w:rFonts w:hint="eastAsia" w:ascii="宋体" w:hAnsi="宋体" w:eastAsia="宋体" w:cs="宋体"/>
          <w:b w:val="0"/>
          <w:bCs/>
          <w:color w:val="auto"/>
          <w:sz w:val="24"/>
          <w:szCs w:val="24"/>
          <w:u w:val="single"/>
        </w:rPr>
        <w:t xml:space="preserve">从承包人签约合同价款（临时设施费）中按实际发生的价款扣除。 </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A8B79B8">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267" w:name="_Toc29511"/>
      <w:bookmarkStart w:id="268" w:name="_Toc351203641"/>
      <w:r>
        <w:rPr>
          <w:rFonts w:hint="eastAsia" w:ascii="宋体" w:hAnsi="宋体" w:eastAsia="宋体" w:cs="宋体"/>
          <w:b w:val="0"/>
          <w:color w:val="auto"/>
          <w:sz w:val="24"/>
          <w:szCs w:val="24"/>
        </w:rPr>
        <w:t>9</w:t>
      </w:r>
      <w:bookmarkEnd w:id="244"/>
      <w:bookmarkEnd w:id="245"/>
      <w:bookmarkEnd w:id="246"/>
      <w:bookmarkStart w:id="269" w:name="_Toc297216192"/>
      <w:bookmarkStart w:id="270" w:name="_Toc304295559"/>
      <w:bookmarkStart w:id="271" w:name="_Toc312678021"/>
      <w:bookmarkStart w:id="272" w:name="_Toc297123533"/>
      <w:bookmarkStart w:id="273" w:name="_Toc312677495"/>
      <w:bookmarkStart w:id="274" w:name="_Toc300934982"/>
      <w:bookmarkStart w:id="275" w:name="_Toc303539139"/>
      <w:bookmarkStart w:id="276" w:name="_Toc267251428"/>
      <w:bookmarkStart w:id="277" w:name="_Toc296944512"/>
      <w:bookmarkStart w:id="278" w:name="_Toc297048359"/>
      <w:bookmarkStart w:id="279" w:name="_Toc296891213"/>
      <w:bookmarkStart w:id="280" w:name="_Toc292559378"/>
      <w:bookmarkStart w:id="281" w:name="_Toc267251427"/>
      <w:bookmarkStart w:id="282" w:name="_Toc296347172"/>
      <w:bookmarkStart w:id="283" w:name="_Toc296503173"/>
      <w:bookmarkStart w:id="284" w:name="_Toc296346674"/>
      <w:bookmarkStart w:id="285" w:name="_Toc296891001"/>
      <w:bookmarkStart w:id="286" w:name="_Toc297120473"/>
      <w:bookmarkStart w:id="287" w:name="_Toc292559883"/>
      <w:r>
        <w:rPr>
          <w:rFonts w:hint="eastAsia" w:ascii="宋体" w:hAnsi="宋体" w:eastAsia="宋体" w:cs="宋体"/>
          <w:b w:val="0"/>
          <w:color w:val="auto"/>
          <w:sz w:val="24"/>
          <w:szCs w:val="24"/>
        </w:rPr>
        <w:t>. 试验与检验</w:t>
      </w:r>
      <w:bookmarkEnd w:id="267"/>
      <w:bookmarkEnd w:id="268"/>
      <w:bookmarkEnd w:id="269"/>
      <w:bookmarkEnd w:id="270"/>
      <w:bookmarkEnd w:id="271"/>
      <w:bookmarkEnd w:id="272"/>
      <w:bookmarkEnd w:id="273"/>
      <w:bookmarkEnd w:id="274"/>
      <w:bookmarkEnd w:id="275"/>
    </w:p>
    <w:p w14:paraId="52D0A764">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288" w:name="_Toc297216193"/>
      <w:bookmarkStart w:id="289" w:name="_Toc297123534"/>
      <w:bookmarkStart w:id="290" w:name="_Toc304295560"/>
      <w:bookmarkStart w:id="291" w:name="_Toc312677496"/>
      <w:bookmarkStart w:id="292" w:name="_Toc303539140"/>
      <w:bookmarkStart w:id="293" w:name="_Toc300934983"/>
      <w:bookmarkStart w:id="294" w:name="_Toc312678022"/>
      <w:r>
        <w:rPr>
          <w:rFonts w:hint="eastAsia" w:ascii="宋体" w:hAnsi="宋体" w:eastAsia="宋体" w:cs="宋体"/>
          <w:color w:val="auto"/>
          <w:sz w:val="24"/>
          <w:szCs w:val="24"/>
        </w:rPr>
        <w:t>.1试验设备与试验人员</w:t>
      </w:r>
      <w:bookmarkEnd w:id="288"/>
      <w:bookmarkEnd w:id="289"/>
      <w:bookmarkEnd w:id="290"/>
      <w:bookmarkEnd w:id="291"/>
      <w:bookmarkEnd w:id="292"/>
      <w:bookmarkEnd w:id="293"/>
      <w:bookmarkEnd w:id="294"/>
    </w:p>
    <w:p w14:paraId="3340C3E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295" w:name="_Toc304295561"/>
      <w:bookmarkStart w:id="296" w:name="_Toc303539141"/>
      <w:bookmarkStart w:id="297" w:name="_Toc300934984"/>
      <w:bookmarkStart w:id="298" w:name="_Toc297216194"/>
      <w:bookmarkStart w:id="299" w:name="_Toc312678023"/>
      <w:bookmarkStart w:id="300" w:name="_Toc312677497"/>
      <w:bookmarkStart w:id="301" w:name="_Toc297123535"/>
      <w:bookmarkStart w:id="302" w:name="_Toc318581174"/>
      <w:r>
        <w:rPr>
          <w:rFonts w:hint="eastAsia" w:ascii="宋体" w:hAnsi="宋体" w:eastAsia="宋体" w:cs="宋体"/>
          <w:color w:val="auto"/>
          <w:sz w:val="24"/>
          <w:szCs w:val="24"/>
        </w:rPr>
        <w:t>.1.2 试验设备</w:t>
      </w:r>
    </w:p>
    <w:p w14:paraId="6FE0CDF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bookmarkEnd w:id="295"/>
      <w:bookmarkEnd w:id="296"/>
      <w:bookmarkEnd w:id="297"/>
      <w:bookmarkEnd w:id="298"/>
      <w:bookmarkEnd w:id="299"/>
      <w:bookmarkEnd w:id="300"/>
      <w:bookmarkEnd w:id="301"/>
      <w:bookmarkStart w:id="303" w:name="_Toc303539142"/>
      <w:bookmarkStart w:id="304" w:name="_Toc312678024"/>
      <w:bookmarkStart w:id="305" w:name="_Toc297123536"/>
      <w:bookmarkStart w:id="306" w:name="_Toc297216195"/>
      <w:bookmarkStart w:id="307" w:name="_Toc312677498"/>
      <w:bookmarkStart w:id="308" w:name="_Toc300934985"/>
      <w:bookmarkStart w:id="309" w:name="_Toc304295562"/>
      <w:r>
        <w:rPr>
          <w:rFonts w:hint="eastAsia" w:ascii="宋体" w:hAnsi="宋体" w:eastAsia="宋体" w:cs="宋体"/>
          <w:color w:val="auto"/>
          <w:sz w:val="24"/>
          <w:szCs w:val="24"/>
          <w:u w:val="single"/>
        </w:rPr>
        <w:t xml:space="preserve">按现行相关规定、质监部门的有关要求及监理人指示进行配置 </w:t>
      </w:r>
      <w:r>
        <w:rPr>
          <w:rFonts w:hint="eastAsia" w:ascii="宋体" w:hAnsi="宋体" w:eastAsia="宋体" w:cs="宋体"/>
          <w:color w:val="auto"/>
          <w:sz w:val="24"/>
          <w:szCs w:val="24"/>
        </w:rPr>
        <w:t xml:space="preserve">。 </w:t>
      </w:r>
    </w:p>
    <w:p w14:paraId="2F5CB86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按现行相关规定、质监部门的有关要求及监理人指示进行配置 </w:t>
      </w:r>
      <w:r>
        <w:rPr>
          <w:rFonts w:hint="eastAsia" w:ascii="宋体" w:hAnsi="宋体" w:eastAsia="宋体" w:cs="宋体"/>
          <w:color w:val="auto"/>
          <w:sz w:val="24"/>
          <w:szCs w:val="24"/>
        </w:rPr>
        <w:t xml:space="preserve">。 </w:t>
      </w:r>
    </w:p>
    <w:p w14:paraId="335B7C9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按现行相关规定、质监部门的有关要求及监理人指示进行配置 </w:t>
      </w:r>
      <w:r>
        <w:rPr>
          <w:rFonts w:hint="eastAsia" w:ascii="宋体" w:hAnsi="宋体" w:eastAsia="宋体" w:cs="宋体"/>
          <w:color w:val="auto"/>
          <w:sz w:val="24"/>
          <w:szCs w:val="24"/>
        </w:rPr>
        <w:t xml:space="preserve">。 </w:t>
      </w:r>
    </w:p>
    <w:p w14:paraId="345C646B">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310" w:name="_Toc5212"/>
      <w:r>
        <w:rPr>
          <w:rFonts w:hint="eastAsia" w:ascii="宋体" w:hAnsi="宋体" w:eastAsia="宋体" w:cs="宋体"/>
          <w:color w:val="auto"/>
          <w:sz w:val="24"/>
          <w:szCs w:val="24"/>
        </w:rPr>
        <w:t>9.4 现场工艺试验</w:t>
      </w:r>
      <w:bookmarkEnd w:id="310"/>
      <w:r>
        <w:rPr>
          <w:rFonts w:hint="eastAsia" w:ascii="宋体" w:hAnsi="宋体" w:eastAsia="宋体" w:cs="宋体"/>
          <w:color w:val="auto"/>
          <w:sz w:val="24"/>
          <w:szCs w:val="24"/>
        </w:rPr>
        <w:t xml:space="preserve"> </w:t>
      </w:r>
    </w:p>
    <w:p w14:paraId="23AA519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     按通用合同条款执行    </w:t>
      </w:r>
      <w:r>
        <w:rPr>
          <w:rFonts w:hint="eastAsia" w:ascii="宋体" w:hAnsi="宋体" w:eastAsia="宋体" w:cs="宋体"/>
          <w:color w:val="auto"/>
          <w:sz w:val="24"/>
          <w:szCs w:val="24"/>
        </w:rPr>
        <w:t>。</w:t>
      </w:r>
      <w:bookmarkEnd w:id="302"/>
      <w:bookmarkEnd w:id="303"/>
      <w:bookmarkEnd w:id="304"/>
      <w:bookmarkEnd w:id="305"/>
      <w:bookmarkEnd w:id="306"/>
      <w:bookmarkEnd w:id="307"/>
      <w:bookmarkEnd w:id="308"/>
      <w:bookmarkEnd w:id="309"/>
    </w:p>
    <w:p w14:paraId="3651E7AF">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311" w:name="_Toc23644"/>
      <w:bookmarkStart w:id="312" w:name="_Toc351203642"/>
      <w:r>
        <w:rPr>
          <w:rFonts w:hint="eastAsia" w:ascii="宋体" w:hAnsi="宋体" w:eastAsia="宋体" w:cs="宋体"/>
          <w:b w:val="0"/>
          <w:color w:val="auto"/>
          <w:sz w:val="24"/>
          <w:szCs w:val="24"/>
        </w:rPr>
        <w:t>1</w:t>
      </w:r>
      <w:bookmarkEnd w:id="276"/>
      <w:bookmarkEnd w:id="277"/>
      <w:bookmarkEnd w:id="278"/>
      <w:bookmarkEnd w:id="279"/>
      <w:bookmarkEnd w:id="280"/>
      <w:bookmarkEnd w:id="281"/>
      <w:bookmarkEnd w:id="282"/>
      <w:bookmarkEnd w:id="283"/>
      <w:bookmarkEnd w:id="284"/>
      <w:bookmarkEnd w:id="285"/>
      <w:bookmarkEnd w:id="286"/>
      <w:bookmarkEnd w:id="287"/>
      <w:bookmarkStart w:id="313" w:name="_Toc297120493"/>
      <w:bookmarkStart w:id="314" w:name="_Toc312677499"/>
      <w:bookmarkStart w:id="315" w:name="_Toc296346694"/>
      <w:bookmarkStart w:id="316" w:name="_Toc296891021"/>
      <w:bookmarkStart w:id="317" w:name="_Toc292559398"/>
      <w:bookmarkStart w:id="318" w:name="_Toc292559903"/>
      <w:bookmarkStart w:id="319" w:name="_Toc296347192"/>
      <w:bookmarkStart w:id="320" w:name="_Toc296503193"/>
      <w:bookmarkStart w:id="321" w:name="_Toc297123540"/>
      <w:bookmarkStart w:id="322" w:name="_Toc296944532"/>
      <w:bookmarkStart w:id="323" w:name="_Toc297216199"/>
      <w:bookmarkStart w:id="324" w:name="_Toc303539146"/>
      <w:bookmarkStart w:id="325" w:name="_Toc300934989"/>
      <w:bookmarkStart w:id="326" w:name="_Toc296891233"/>
      <w:bookmarkStart w:id="327" w:name="_Toc297048379"/>
      <w:bookmarkStart w:id="328" w:name="_Toc304295566"/>
      <w:bookmarkStart w:id="329" w:name="_Toc312678025"/>
      <w:bookmarkStart w:id="330" w:name="_Toc267251433"/>
      <w:bookmarkStart w:id="331" w:name="_Toc267251441"/>
      <w:bookmarkStart w:id="332" w:name="_Toc267251435"/>
      <w:bookmarkStart w:id="333" w:name="_Toc267251440"/>
      <w:bookmarkStart w:id="334" w:name="_Toc267251437"/>
      <w:bookmarkStart w:id="335" w:name="_Toc267251439"/>
      <w:bookmarkStart w:id="336" w:name="_Toc267251442"/>
      <w:r>
        <w:rPr>
          <w:rFonts w:hint="eastAsia" w:ascii="宋体" w:hAnsi="宋体" w:eastAsia="宋体" w:cs="宋体"/>
          <w:b w:val="0"/>
          <w:color w:val="auto"/>
          <w:sz w:val="24"/>
          <w:szCs w:val="24"/>
        </w:rPr>
        <w:t>0. 变更</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012D31FB">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337" w:name="_Toc296346695"/>
      <w:bookmarkStart w:id="338" w:name="_Toc296944533"/>
      <w:bookmarkStart w:id="339" w:name="_Toc296891234"/>
      <w:bookmarkStart w:id="340" w:name="_Toc297120494"/>
      <w:bookmarkStart w:id="341" w:name="_Toc296503194"/>
      <w:bookmarkStart w:id="342" w:name="_Toc292559399"/>
      <w:bookmarkStart w:id="343" w:name="_Toc303539147"/>
      <w:bookmarkStart w:id="344" w:name="_Toc312678026"/>
      <w:bookmarkStart w:id="345" w:name="_Toc304295567"/>
      <w:bookmarkStart w:id="346" w:name="_Toc292559904"/>
      <w:bookmarkStart w:id="347" w:name="_Toc296347193"/>
      <w:bookmarkStart w:id="348" w:name="_Toc297216200"/>
      <w:bookmarkStart w:id="349" w:name="_Toc300934990"/>
      <w:bookmarkStart w:id="350" w:name="_Toc296891022"/>
      <w:bookmarkStart w:id="351" w:name="_Toc297123541"/>
      <w:bookmarkStart w:id="352" w:name="_Toc312677500"/>
      <w:bookmarkStart w:id="353" w:name="_Toc297048380"/>
      <w:r>
        <w:rPr>
          <w:rFonts w:hint="eastAsia" w:ascii="宋体" w:hAnsi="宋体" w:eastAsia="宋体" w:cs="宋体"/>
          <w:color w:val="auto"/>
          <w:sz w:val="24"/>
          <w:szCs w:val="24"/>
        </w:rPr>
        <w:t>0.1变更的范围</w:t>
      </w:r>
    </w:p>
    <w:p w14:paraId="5EC9B9D4">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r>
        <w:rPr>
          <w:rFonts w:hint="eastAsia" w:ascii="宋体" w:hAnsi="宋体" w:eastAsia="宋体" w:cs="宋体"/>
          <w:color w:val="auto"/>
          <w:sz w:val="24"/>
          <w:szCs w:val="24"/>
          <w:u w:val="single"/>
        </w:rPr>
        <w:t>按通用合同条款执行</w:t>
      </w:r>
      <w:r>
        <w:rPr>
          <w:rFonts w:hint="eastAsia" w:ascii="宋体" w:hAnsi="宋体" w:eastAsia="宋体" w:cs="宋体"/>
          <w:color w:val="auto"/>
          <w:sz w:val="24"/>
          <w:szCs w:val="24"/>
        </w:rPr>
        <w:t>。</w:t>
      </w:r>
    </w:p>
    <w:p w14:paraId="1C5E79ED">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354" w:name="_Toc22733"/>
      <w:r>
        <w:rPr>
          <w:rFonts w:hint="eastAsia" w:ascii="宋体" w:hAnsi="宋体" w:eastAsia="宋体" w:cs="宋体"/>
          <w:color w:val="auto"/>
          <w:sz w:val="24"/>
          <w:szCs w:val="24"/>
        </w:rPr>
        <w:t>10.4 变更估价</w:t>
      </w:r>
      <w:bookmarkEnd w:id="354"/>
    </w:p>
    <w:p w14:paraId="5FA0D3F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705F4B1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关于变更估价的约定:</w:t>
      </w:r>
      <w:r>
        <w:rPr>
          <w:rFonts w:hint="eastAsia" w:ascii="宋体" w:hAnsi="宋体" w:eastAsia="宋体" w:cs="宋体"/>
          <w:color w:val="auto"/>
          <w:sz w:val="24"/>
          <w:szCs w:val="24"/>
          <w:u w:val="single"/>
        </w:rPr>
        <w:t xml:space="preserve">  有效的工程变更签证的认定原则：在工程项目实施过程中发生的变更，签证单上必须有发包人、监理人、承包人（项目部）的签字和盖章，方可作为结算的依据；签证单上必须明确签证的原因、图片资料、位置、尺寸、数量、材料、人工、机械台班等和签证时间，关于临时用工的签证事项，双方应在签证通知单上协商确定以下问题：工作内容及工作量、工作时间、工作人数。当变更的工作内容完成之后，承包人要及时督促监理人和发包人签字盖章确认，对于隐蔽工程的签证，必须在覆盖前完成验收手续、工程量的确认和费用的报送，否则发包人可以不予支付；对于其他签证，承包人要及时督促监理人和发包人必须在完工后七日内签字盖章确认，承包人每月底报送当月符合本合同范围的变更签证预算。每月初发包人和承包人应就截止上月末尚未确定最终审定价的变更的费用预算书，进行综合性核对和价格商谈，并形成核对与商谈记录清单。所有的变更必须严格按照发包人的相关程序执行，发包人指令以及盖有发包人受控章的变更图可作为结算依据，其它包括施工组织设计（施工方案）、会审记录、洽商、会议纪要等未经发包人和监理人签字盖章的均不作为结算依据。承包人须在事件发生后七天内办理签证，逾期未办的，均按有利于发包人一方的解释为准，发包人可自行决定是否调整合同价款以及如果发包人决定调整合同价款时，相应调整的具体金额。</w:t>
      </w:r>
    </w:p>
    <w:p w14:paraId="6B3C92E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今后双方签订补充协议等书面文件，必须经承、发包人双方法定代表人签章并加盖单位公章后生效（使用部门章或无法定代表人签章的无效），任何涉及到调整工程价款的变更、签证必须经发包人批准并签字盖章否则无效  </w:t>
      </w:r>
      <w:r>
        <w:rPr>
          <w:rFonts w:hint="eastAsia" w:ascii="宋体" w:hAnsi="宋体" w:eastAsia="宋体" w:cs="宋体"/>
          <w:color w:val="auto"/>
          <w:sz w:val="24"/>
          <w:szCs w:val="24"/>
        </w:rPr>
        <w:t>。</w:t>
      </w:r>
    </w:p>
    <w:p w14:paraId="72DC573E">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Start w:id="355" w:name="_Toc296346698"/>
      <w:bookmarkStart w:id="356" w:name="_Toc297216203"/>
      <w:bookmarkStart w:id="357" w:name="_Toc296503197"/>
      <w:bookmarkStart w:id="358" w:name="_Toc296347196"/>
      <w:bookmarkStart w:id="359" w:name="_Toc296891237"/>
      <w:bookmarkStart w:id="360" w:name="_Toc292559907"/>
      <w:bookmarkStart w:id="361" w:name="_Toc300934993"/>
      <w:bookmarkStart w:id="362" w:name="_Toc296944536"/>
      <w:bookmarkStart w:id="363" w:name="_Toc297048383"/>
      <w:bookmarkStart w:id="364" w:name="_Toc292559402"/>
      <w:bookmarkStart w:id="365" w:name="_Toc297123544"/>
      <w:bookmarkStart w:id="366" w:name="_Toc297120497"/>
      <w:bookmarkStart w:id="367" w:name="_Toc296891025"/>
      <w:bookmarkStart w:id="368" w:name="_Toc303539150"/>
      <w:bookmarkStart w:id="369" w:name="_Toc304295570"/>
      <w:bookmarkStart w:id="370" w:name="_Toc312677503"/>
      <w:bookmarkStart w:id="371" w:name="_Toc312678029"/>
      <w:r>
        <w:rPr>
          <w:rFonts w:hint="eastAsia" w:ascii="宋体" w:hAnsi="宋体" w:eastAsia="宋体" w:cs="宋体"/>
          <w:color w:val="auto"/>
          <w:sz w:val="24"/>
          <w:szCs w:val="24"/>
        </w:rPr>
        <w:t>0.5承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292559408"/>
      <w:bookmarkStart w:id="373" w:name="_Toc296891243"/>
      <w:bookmarkStart w:id="374" w:name="_Toc296346704"/>
      <w:bookmarkStart w:id="375" w:name="_Toc297048389"/>
      <w:bookmarkStart w:id="376" w:name="_Toc296503203"/>
      <w:bookmarkStart w:id="377" w:name="_Toc297120503"/>
      <w:bookmarkStart w:id="378" w:name="_Toc296891031"/>
      <w:bookmarkStart w:id="379" w:name="_Toc300934994"/>
      <w:bookmarkStart w:id="380" w:name="_Toc292559913"/>
      <w:bookmarkStart w:id="381" w:name="_Toc303539151"/>
      <w:bookmarkStart w:id="382" w:name="_Toc296944542"/>
      <w:bookmarkStart w:id="383" w:name="_Toc297123545"/>
      <w:bookmarkStart w:id="384" w:name="_Toc296347202"/>
      <w:bookmarkStart w:id="385" w:name="_Toc297216204"/>
      <w:r>
        <w:rPr>
          <w:rFonts w:hint="eastAsia" w:ascii="宋体" w:hAnsi="宋体" w:eastAsia="宋体" w:cs="宋体"/>
          <w:color w:val="auto"/>
          <w:sz w:val="24"/>
          <w:szCs w:val="24"/>
        </w:rPr>
        <w:t>包人的合理化建议</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575BDA9">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按通用合同条款执行 </w:t>
      </w:r>
      <w:r>
        <w:rPr>
          <w:rFonts w:hint="eastAsia" w:ascii="宋体" w:hAnsi="宋体" w:eastAsia="宋体" w:cs="宋体"/>
          <w:color w:val="auto"/>
          <w:sz w:val="24"/>
          <w:szCs w:val="24"/>
        </w:rPr>
        <w:t>。</w:t>
      </w:r>
    </w:p>
    <w:p w14:paraId="62961940">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按通用合同条款执行 </w:t>
      </w:r>
      <w:r>
        <w:rPr>
          <w:rFonts w:hint="eastAsia" w:ascii="宋体" w:hAnsi="宋体" w:eastAsia="宋体" w:cs="宋体"/>
          <w:color w:val="auto"/>
          <w:sz w:val="24"/>
          <w:szCs w:val="24"/>
        </w:rPr>
        <w:t>。</w:t>
      </w:r>
    </w:p>
    <w:p w14:paraId="47CF07D0">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w:t>
      </w:r>
      <w:bookmarkStart w:id="386" w:name="_Toc318581175"/>
      <w:bookmarkStart w:id="387" w:name="_Toc292559914"/>
      <w:bookmarkStart w:id="388" w:name="_Toc296346705"/>
      <w:bookmarkStart w:id="389" w:name="_Toc312678030"/>
      <w:bookmarkStart w:id="390" w:name="_Toc296503204"/>
      <w:bookmarkStart w:id="391" w:name="_Toc297123546"/>
      <w:bookmarkStart w:id="392" w:name="_Toc297120504"/>
      <w:bookmarkStart w:id="393" w:name="_Toc304295571"/>
      <w:bookmarkStart w:id="394" w:name="_Toc297216205"/>
      <w:bookmarkStart w:id="395" w:name="_Toc297048390"/>
      <w:bookmarkStart w:id="396" w:name="_Toc296944543"/>
      <w:bookmarkStart w:id="397" w:name="_Toc300934995"/>
      <w:bookmarkStart w:id="398" w:name="_Toc296347203"/>
      <w:bookmarkStart w:id="399" w:name="_Toc292559409"/>
      <w:bookmarkStart w:id="400" w:name="_Toc296891032"/>
      <w:bookmarkStart w:id="401" w:name="_Toc296891244"/>
      <w:bookmarkStart w:id="402" w:name="_Toc312677504"/>
      <w:bookmarkStart w:id="403" w:name="_Toc303539152"/>
      <w:r>
        <w:rPr>
          <w:rFonts w:hint="eastAsia" w:ascii="宋体" w:hAnsi="宋体" w:eastAsia="宋体" w:cs="宋体"/>
          <w:color w:val="auto"/>
          <w:sz w:val="24"/>
          <w:szCs w:val="24"/>
        </w:rPr>
        <w:t>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EDF7FE6">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404" w:name="_Toc9112"/>
      <w:r>
        <w:rPr>
          <w:rFonts w:hint="eastAsia" w:ascii="宋体" w:hAnsi="宋体" w:eastAsia="宋体" w:cs="宋体"/>
          <w:color w:val="auto"/>
          <w:sz w:val="24"/>
          <w:szCs w:val="24"/>
        </w:rPr>
        <w:t>1</w:t>
      </w:r>
      <w:bookmarkStart w:id="405" w:name="_Toc296346700"/>
      <w:bookmarkStart w:id="406" w:name="_Toc297048385"/>
      <w:bookmarkStart w:id="407" w:name="_Toc296503199"/>
      <w:bookmarkStart w:id="408" w:name="_Toc296891239"/>
      <w:bookmarkStart w:id="409" w:name="_Toc304295574"/>
      <w:bookmarkStart w:id="410" w:name="_Toc292559909"/>
      <w:bookmarkStart w:id="411" w:name="_Toc296944538"/>
      <w:bookmarkStart w:id="412" w:name="_Toc292559404"/>
      <w:bookmarkStart w:id="413" w:name="_Toc303539154"/>
      <w:bookmarkStart w:id="414" w:name="_Toc296891027"/>
      <w:bookmarkStart w:id="415" w:name="_Toc297120499"/>
      <w:bookmarkStart w:id="416" w:name="_Toc312678033"/>
      <w:bookmarkStart w:id="417" w:name="_Toc300934997"/>
      <w:bookmarkStart w:id="418" w:name="_Toc296347198"/>
      <w:bookmarkStart w:id="419" w:name="_Toc312677507"/>
      <w:bookmarkStart w:id="420" w:name="_Toc297216207"/>
      <w:bookmarkStart w:id="421" w:name="_Toc297123548"/>
      <w:r>
        <w:rPr>
          <w:rFonts w:hint="eastAsia" w:ascii="宋体" w:hAnsi="宋体" w:eastAsia="宋体" w:cs="宋体"/>
          <w:color w:val="auto"/>
          <w:sz w:val="24"/>
          <w:szCs w:val="24"/>
        </w:rPr>
        <w:t>0.7 暂估价</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6415ED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暂</w:t>
      </w:r>
      <w:bookmarkStart w:id="422" w:name="_Toc318581176"/>
      <w:bookmarkStart w:id="423" w:name="_Toc312678034"/>
      <w:bookmarkStart w:id="424" w:name="_Toc312677508"/>
      <w:r>
        <w:rPr>
          <w:rFonts w:hint="eastAsia" w:ascii="宋体" w:hAnsi="宋体" w:eastAsia="宋体" w:cs="宋体"/>
          <w:color w:val="auto"/>
          <w:sz w:val="24"/>
          <w:szCs w:val="24"/>
        </w:rPr>
        <w:t>估价材料和工程设备的明细详</w:t>
      </w:r>
      <w:r>
        <w:rPr>
          <w:rFonts w:hint="eastAsia" w:ascii="宋体" w:hAnsi="宋体" w:eastAsia="宋体" w:cs="宋体"/>
          <w:b/>
          <w:color w:val="auto"/>
          <w:sz w:val="24"/>
          <w:szCs w:val="24"/>
        </w:rPr>
        <w:t>见附件11：《暂估价一览表》。</w:t>
      </w:r>
      <w:bookmarkEnd w:id="422"/>
      <w:bookmarkEnd w:id="423"/>
      <w:bookmarkEnd w:id="424"/>
    </w:p>
    <w:p w14:paraId="35DADD5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25" w:name="_Toc312678035"/>
      <w:bookmarkStart w:id="426" w:name="_Toc312677509"/>
      <w:bookmarkStart w:id="427" w:name="_Toc318581177"/>
      <w:r>
        <w:rPr>
          <w:rFonts w:hint="eastAsia" w:ascii="宋体" w:hAnsi="宋体" w:eastAsia="宋体" w:cs="宋体"/>
          <w:color w:val="auto"/>
          <w:sz w:val="24"/>
          <w:szCs w:val="24"/>
        </w:rPr>
        <w:t>0.7.1 依法必须招标的暂估价项目</w:t>
      </w:r>
      <w:bookmarkEnd w:id="425"/>
      <w:bookmarkEnd w:id="426"/>
      <w:bookmarkEnd w:id="427"/>
    </w:p>
    <w:p w14:paraId="1363C84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种方式确定。</w:t>
      </w:r>
    </w:p>
    <w:p w14:paraId="6C03265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该种方式调整补充约定：发包人在工程量清单中给定的暂估价项目，承包人应按照施工进度计划，在招标工作启动前14天通知发包人，并提交暂估价招标方案和工作分工，发包人应在收到后7天内确认。发包人有权确定招标代理机构、招标控制价、付款比例、工期及质量标准等。暂估价合同所涉款项皆由承包人独立承担并按其合同约定向中标人及时足额予以支付，因承包人支付不及时或其他原因而导致中标人与承包人发生的纠纷、索赔等，皆由承包人自行承担。最终由审计单位依据总承包合同、暂估价合同及有关招标文件、投标文件和现场实际情况等进行审计。承包人已充分理解上述情况可能产生的风险及费用并在投标报价时已综合考虑，保证不再向发包人提出其它额外费用补偿 。</w:t>
      </w:r>
    </w:p>
    <w:p w14:paraId="57F638C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如果出现招投标监管平台仅允许发包人作为招标人实施暂估价项目招标时，承包人仍然同意按照上述条款执行 。</w:t>
      </w:r>
    </w:p>
    <w:p w14:paraId="65A622A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不属于依法必须招标的暂估价项目</w:t>
      </w:r>
    </w:p>
    <w:p w14:paraId="3E1CCBA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 xml:space="preserve"> 种方式确定。</w:t>
      </w:r>
    </w:p>
    <w:p w14:paraId="4E21648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发包人在工程量清单中给定的专业工程暂估价，按相关法律法规规定，如可直接发包给承包人的，须经发包人批准，但在竣工结算时，审计单位将依据原招标文件、投标文件、总承包合同、投标让利幅度及现场实际情况等进行审计，否则按照专用合同条款第10.7.1项约定执行 。</w:t>
      </w:r>
    </w:p>
    <w:p w14:paraId="05BFAE0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01477F0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E1BB14E">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 暂列金额</w:t>
      </w:r>
    </w:p>
    <w:p w14:paraId="33D615D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合同当事人关于暂列金额使用的约定：</w:t>
      </w:r>
      <w:r>
        <w:rPr>
          <w:rFonts w:hint="eastAsia" w:ascii="宋体" w:hAnsi="宋体" w:eastAsia="宋体" w:cs="宋体"/>
          <w:color w:val="auto"/>
          <w:sz w:val="24"/>
          <w:szCs w:val="24"/>
          <w:u w:val="single"/>
        </w:rPr>
        <w:t>暂列金额归发包人所有或使用</w:t>
      </w:r>
      <w:r>
        <w:rPr>
          <w:rFonts w:hint="eastAsia" w:ascii="宋体" w:hAnsi="宋体" w:eastAsia="宋体" w:cs="宋体"/>
          <w:color w:val="auto"/>
          <w:sz w:val="24"/>
          <w:szCs w:val="24"/>
        </w:rPr>
        <w:t>。</w:t>
      </w:r>
    </w:p>
    <w:p w14:paraId="7A32B238">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428" w:name="_Toc2702"/>
      <w:bookmarkStart w:id="429" w:name="_Toc351203643"/>
      <w:r>
        <w:rPr>
          <w:rFonts w:hint="eastAsia" w:ascii="宋体" w:hAnsi="宋体" w:eastAsia="宋体" w:cs="宋体"/>
          <w:b w:val="0"/>
          <w:color w:val="auto"/>
          <w:sz w:val="24"/>
          <w:szCs w:val="24"/>
        </w:rPr>
        <w:t>11. 价格调整</w:t>
      </w:r>
      <w:bookmarkEnd w:id="428"/>
      <w:bookmarkEnd w:id="429"/>
    </w:p>
    <w:p w14:paraId="3C190DA5">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bookmarkStart w:id="430" w:name="_Toc300935000"/>
      <w:bookmarkStart w:id="431" w:name="_Toc304295577"/>
      <w:bookmarkStart w:id="432" w:name="_Toc303539157"/>
      <w:bookmarkStart w:id="433" w:name="_Toc297048387"/>
      <w:bookmarkStart w:id="434" w:name="_Toc296347200"/>
      <w:bookmarkStart w:id="435" w:name="_Toc292559911"/>
      <w:bookmarkStart w:id="436" w:name="_Toc297120501"/>
      <w:bookmarkStart w:id="437" w:name="_Toc296503201"/>
      <w:bookmarkStart w:id="438" w:name="_Toc296346702"/>
      <w:bookmarkStart w:id="439" w:name="_Toc297123550"/>
      <w:bookmarkStart w:id="440" w:name="_Toc292559406"/>
      <w:bookmarkStart w:id="441" w:name="_Toc296891241"/>
      <w:bookmarkStart w:id="442" w:name="_Toc312678039"/>
      <w:bookmarkStart w:id="443" w:name="_Toc297216209"/>
      <w:bookmarkStart w:id="444" w:name="_Toc296891029"/>
      <w:bookmarkStart w:id="445" w:name="_Toc296944540"/>
      <w:r>
        <w:rPr>
          <w:rFonts w:hint="eastAsia" w:ascii="宋体" w:hAnsi="宋体" w:eastAsia="宋体" w:cs="宋体"/>
          <w:color w:val="auto"/>
          <w:sz w:val="24"/>
          <w:szCs w:val="24"/>
        </w:rPr>
        <w:t>11.1 市场价格波动引起的调整</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2ACC43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不予调整 </w:t>
      </w:r>
      <w:r>
        <w:rPr>
          <w:rFonts w:hint="eastAsia" w:ascii="宋体" w:hAnsi="宋体" w:eastAsia="宋体" w:cs="宋体"/>
          <w:color w:val="auto"/>
          <w:sz w:val="24"/>
          <w:szCs w:val="24"/>
        </w:rPr>
        <w:t>。</w:t>
      </w:r>
    </w:p>
    <w:p w14:paraId="445DD71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种方式对合同价格进行调整：</w:t>
      </w:r>
    </w:p>
    <w:p w14:paraId="61988FC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496F86B1">
      <w:pPr>
        <w:pageBreakBefore w:val="0"/>
        <w:kinsoku/>
        <w:wordWrap w:val="0"/>
        <w:overflowPunct/>
        <w:topLinePunct w:val="0"/>
        <w:bidi w:val="0"/>
        <w:snapToGrid/>
        <w:spacing w:line="240" w:lineRule="auto"/>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59C7B4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0730F54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D4111D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%时，其超过部分据实调整。</w:t>
      </w:r>
    </w:p>
    <w:p w14:paraId="2A47134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%时，其超过部分据实调整。</w:t>
      </w:r>
    </w:p>
    <w:p w14:paraId="59ACEFB0">
      <w:pPr>
        <w:pageBreakBefore w:val="0"/>
        <w:kinsoku/>
        <w:wordWrap w:val="0"/>
        <w:overflowPunct/>
        <w:topLinePunct w:val="0"/>
        <w:bidi w:val="0"/>
        <w:snapToGrid/>
        <w:spacing w:line="460" w:lineRule="exact"/>
        <w:ind w:firstLine="64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%时，其超过部分据实调整。</w:t>
      </w:r>
    </w:p>
    <w:p w14:paraId="48B2FF6C">
      <w:pPr>
        <w:pageBreakBefore w:val="0"/>
        <w:kinsoku/>
        <w:wordWrap w:val="0"/>
        <w:overflowPunct/>
        <w:topLinePunct w:val="0"/>
        <w:bidi w:val="0"/>
        <w:snapToGrid/>
        <w:spacing w:line="460" w:lineRule="exact"/>
        <w:ind w:firstLine="64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330"/>
      <w:bookmarkEnd w:id="331"/>
      <w:bookmarkEnd w:id="332"/>
      <w:bookmarkEnd w:id="333"/>
      <w:bookmarkEnd w:id="334"/>
      <w:bookmarkEnd w:id="335"/>
    </w:p>
    <w:p w14:paraId="776A22C5">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446" w:name="_Toc296944544"/>
      <w:bookmarkStart w:id="447" w:name="_Toc292559410"/>
      <w:bookmarkStart w:id="448" w:name="_Toc297048391"/>
      <w:bookmarkStart w:id="449" w:name="_Toc297120505"/>
      <w:bookmarkStart w:id="450" w:name="_Toc296891033"/>
      <w:bookmarkStart w:id="451" w:name="_Toc296346706"/>
      <w:bookmarkStart w:id="452" w:name="_Toc296503205"/>
      <w:bookmarkStart w:id="453" w:name="_Toc292559915"/>
      <w:bookmarkStart w:id="454" w:name="_Toc296891245"/>
      <w:bookmarkStart w:id="455" w:name="_Toc296347204"/>
      <w:bookmarkStart w:id="456" w:name="_Toc312678040"/>
      <w:bookmarkStart w:id="457" w:name="_Toc300935002"/>
      <w:bookmarkStart w:id="458" w:name="_Toc303539159"/>
      <w:bookmarkStart w:id="459" w:name="_Toc304295579"/>
      <w:bookmarkStart w:id="460" w:name="_Toc297123552"/>
      <w:bookmarkStart w:id="461" w:name="_Toc351203644"/>
      <w:bookmarkStart w:id="462" w:name="_Toc297216211"/>
      <w:bookmarkStart w:id="463" w:name="_Toc10396"/>
      <w:r>
        <w:rPr>
          <w:rFonts w:hint="eastAsia" w:ascii="宋体" w:hAnsi="宋体" w:eastAsia="宋体" w:cs="宋体"/>
          <w:b w:val="0"/>
          <w:color w:val="auto"/>
          <w:sz w:val="24"/>
          <w:szCs w:val="24"/>
        </w:rPr>
        <w:t xml:space="preserve">12. </w:t>
      </w:r>
      <w:bookmarkEnd w:id="446"/>
      <w:bookmarkEnd w:id="447"/>
      <w:bookmarkEnd w:id="448"/>
      <w:bookmarkEnd w:id="449"/>
      <w:bookmarkEnd w:id="450"/>
      <w:bookmarkEnd w:id="451"/>
      <w:bookmarkEnd w:id="452"/>
      <w:bookmarkEnd w:id="453"/>
      <w:bookmarkEnd w:id="454"/>
      <w:bookmarkEnd w:id="455"/>
      <w:r>
        <w:rPr>
          <w:rFonts w:hint="eastAsia" w:ascii="宋体" w:hAnsi="宋体" w:eastAsia="宋体" w:cs="宋体"/>
          <w:b w:val="0"/>
          <w:color w:val="auto"/>
          <w:sz w:val="24"/>
          <w:szCs w:val="24"/>
        </w:rPr>
        <w:t>合同价格、计量与支付</w:t>
      </w:r>
      <w:bookmarkEnd w:id="456"/>
      <w:bookmarkEnd w:id="457"/>
      <w:bookmarkEnd w:id="458"/>
      <w:bookmarkEnd w:id="459"/>
      <w:bookmarkEnd w:id="460"/>
      <w:bookmarkEnd w:id="461"/>
      <w:bookmarkEnd w:id="462"/>
      <w:bookmarkEnd w:id="463"/>
    </w:p>
    <w:p w14:paraId="0B57634C">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bookmarkStart w:id="464" w:name="_Toc267251461"/>
      <w:bookmarkStart w:id="465" w:name="_Toc292559916"/>
      <w:bookmarkStart w:id="466" w:name="_Toc292559411"/>
      <w:bookmarkStart w:id="467" w:name="_Toc296346707"/>
      <w:bookmarkStart w:id="468" w:name="_Toc297120506"/>
      <w:bookmarkStart w:id="469" w:name="_Toc296347205"/>
      <w:bookmarkStart w:id="470" w:name="_Toc296503206"/>
      <w:bookmarkStart w:id="471" w:name="_Toc296944545"/>
      <w:bookmarkStart w:id="472" w:name="_Toc296891246"/>
      <w:bookmarkStart w:id="473" w:name="_Toc297048392"/>
      <w:bookmarkStart w:id="474" w:name="_Toc296891034"/>
      <w:bookmarkStart w:id="475" w:name="_Toc297123553"/>
      <w:bookmarkStart w:id="476" w:name="_Toc304295580"/>
      <w:bookmarkStart w:id="477" w:name="_Toc312678041"/>
      <w:bookmarkStart w:id="478" w:name="_Toc303539160"/>
      <w:bookmarkStart w:id="479" w:name="_Toc300935003"/>
      <w:bookmarkStart w:id="480" w:name="_Toc297216212"/>
      <w:r>
        <w:rPr>
          <w:rFonts w:hint="eastAsia" w:ascii="宋体" w:hAnsi="宋体" w:eastAsia="宋体" w:cs="宋体"/>
          <w:color w:val="auto"/>
          <w:sz w:val="24"/>
          <w:szCs w:val="24"/>
        </w:rPr>
        <w:t>12.1 合</w:t>
      </w:r>
      <w:bookmarkEnd w:id="464"/>
      <w:bookmarkEnd w:id="465"/>
      <w:bookmarkEnd w:id="466"/>
      <w:r>
        <w:rPr>
          <w:rFonts w:hint="eastAsia" w:ascii="宋体" w:hAnsi="宋体" w:eastAsia="宋体" w:cs="宋体"/>
          <w:color w:val="auto"/>
          <w:sz w:val="24"/>
          <w:szCs w:val="24"/>
        </w:rPr>
        <w:t>同价</w:t>
      </w:r>
      <w:bookmarkEnd w:id="467"/>
      <w:bookmarkEnd w:id="468"/>
      <w:bookmarkEnd w:id="469"/>
      <w:bookmarkEnd w:id="470"/>
      <w:bookmarkEnd w:id="471"/>
      <w:bookmarkEnd w:id="472"/>
      <w:bookmarkEnd w:id="473"/>
      <w:bookmarkEnd w:id="474"/>
      <w:r>
        <w:rPr>
          <w:rFonts w:hint="eastAsia" w:ascii="宋体" w:hAnsi="宋体" w:eastAsia="宋体" w:cs="宋体"/>
          <w:color w:val="auto"/>
          <w:sz w:val="24"/>
          <w:szCs w:val="24"/>
        </w:rPr>
        <w:t>格形式</w:t>
      </w:r>
      <w:bookmarkEnd w:id="475"/>
      <w:bookmarkEnd w:id="476"/>
      <w:bookmarkEnd w:id="477"/>
      <w:bookmarkEnd w:id="478"/>
      <w:bookmarkEnd w:id="479"/>
      <w:bookmarkEnd w:id="480"/>
    </w:p>
    <w:p w14:paraId="6A1ACFBD">
      <w:pPr>
        <w:pageBreakBefore w:val="0"/>
        <w:kinsoku/>
        <w:wordWrap w:val="0"/>
        <w:overflowPunct/>
        <w:topLinePunct w:val="0"/>
        <w:bidi w:val="0"/>
        <w:snapToGrid/>
        <w:spacing w:line="460" w:lineRule="exact"/>
        <w:ind w:firstLine="480"/>
        <w:jc w:val="left"/>
        <w:textAlignment w:val="auto"/>
        <w:outlineLvl w:val="2"/>
        <w:rPr>
          <w:rFonts w:hint="eastAsia" w:ascii="宋体" w:hAnsi="宋体" w:eastAsia="宋体" w:cs="宋体"/>
          <w:color w:val="auto"/>
          <w:sz w:val="24"/>
          <w:szCs w:val="24"/>
        </w:rPr>
      </w:pPr>
      <w:bookmarkStart w:id="481" w:name="_Toc6868"/>
      <w:r>
        <w:rPr>
          <w:rFonts w:hint="eastAsia" w:ascii="宋体" w:hAnsi="宋体" w:eastAsia="宋体" w:cs="宋体"/>
          <w:color w:val="auto"/>
          <w:sz w:val="24"/>
          <w:szCs w:val="24"/>
        </w:rPr>
        <w:t>1、单价合同。</w:t>
      </w:r>
      <w:bookmarkEnd w:id="481"/>
    </w:p>
    <w:p w14:paraId="3D67C40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1、除允许调整的建材市场价格风险； 2、清单工程量发生变化的风险；3、招标文件中明示或暗示的风险费用；4、作为有丰富经验的承包人应可以预见的风险；</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rPr>
        <w:t xml:space="preserve">、法律法规、条例中规定的其他风险 </w:t>
      </w:r>
      <w:r>
        <w:rPr>
          <w:rFonts w:hint="eastAsia" w:ascii="宋体" w:hAnsi="宋体" w:eastAsia="宋体" w:cs="宋体"/>
          <w:color w:val="auto"/>
          <w:sz w:val="24"/>
          <w:szCs w:val="24"/>
        </w:rPr>
        <w:t>。</w:t>
      </w:r>
    </w:p>
    <w:p w14:paraId="34B28111">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承包人投标时充分考虑风险并计算风险费用，已包含在投标价中</w:t>
      </w:r>
      <w:r>
        <w:rPr>
          <w:rFonts w:hint="eastAsia" w:ascii="宋体" w:hAnsi="宋体" w:eastAsia="宋体" w:cs="宋体"/>
          <w:color w:val="auto"/>
          <w:sz w:val="24"/>
          <w:szCs w:val="24"/>
        </w:rPr>
        <w:t>。</w:t>
      </w:r>
    </w:p>
    <w:p w14:paraId="356B790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图纸变更须经发包人同意，实际变更按实调整，其增减部分按投标价执行，竣工后由审计部门核定  。</w:t>
      </w:r>
    </w:p>
    <w:p w14:paraId="28B172B2">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1</w:t>
      </w:r>
      <w:r>
        <w:rPr>
          <w:rFonts w:hint="eastAsia" w:ascii="宋体" w:hAnsi="宋体" w:cs="宋体"/>
          <w:color w:val="auto"/>
          <w:sz w:val="24"/>
          <w:szCs w:val="24"/>
          <w:u w:val="none"/>
          <w:lang w:eastAsia="zh-CN"/>
        </w:rPr>
        <w:t>）</w:t>
      </w:r>
      <w:r>
        <w:rPr>
          <w:rFonts w:hint="eastAsia" w:ascii="宋体" w:hAnsi="宋体" w:eastAsia="宋体" w:cs="宋体"/>
          <w:color w:val="auto"/>
          <w:sz w:val="24"/>
          <w:szCs w:val="24"/>
          <w:u w:val="single"/>
        </w:rPr>
        <w:t>设计变更、工程签证</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工程量清单漏项</w:t>
      </w:r>
      <w:r>
        <w:rPr>
          <w:rFonts w:hint="eastAsia" w:ascii="宋体" w:hAnsi="宋体" w:eastAsia="宋体" w:cs="宋体"/>
          <w:color w:val="auto"/>
          <w:sz w:val="24"/>
          <w:szCs w:val="24"/>
          <w:u w:val="single"/>
        </w:rPr>
        <w:t>的调整办法</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合同履行期间，工程变更（包括设计变更）或招标工程量清单的工程量偏差引起已标价工程量清单项目或其工程数量发生变化，其调整原则为：a、已标价工程量清单中有适用于变更工程项目的，采用该项目的单价；b、已标价工程量清单中没有适用、但有类似于变更工程项目的，可在合理范围内参照类似项目的单价c、已标价工程量清单中没有适用也没有类似于变更工程项目的，由承包人根据变更工程资料、计量规则和计价办法、专用合同条款约定的材料价格调整方法和中标价/标底价作同比例让利提出适当的变更工程项目单价调整结算（中标价或招标控制价中的预留金、暂列金额、暂估价部分应扣除） 。</w:t>
      </w:r>
    </w:p>
    <w:p w14:paraId="5C0A0AD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（2）</w:t>
      </w:r>
      <w:r>
        <w:rPr>
          <w:rFonts w:hint="eastAsia" w:ascii="宋体" w:hAnsi="宋体" w:eastAsia="宋体" w:cs="宋体"/>
          <w:color w:val="auto"/>
          <w:sz w:val="24"/>
          <w:szCs w:val="24"/>
          <w:u w:val="single"/>
        </w:rPr>
        <w:t>合同履行期间，市场价格波动引起人工、机械、材料等价格变化的，不予调整。</w:t>
      </w:r>
    </w:p>
    <w:p w14:paraId="3CD99D5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（3）</w:t>
      </w:r>
      <w:r>
        <w:rPr>
          <w:rFonts w:hint="eastAsia" w:ascii="宋体" w:hAnsi="宋体" w:eastAsia="宋体" w:cs="宋体"/>
          <w:color w:val="auto"/>
          <w:sz w:val="24"/>
          <w:szCs w:val="24"/>
          <w:u w:val="single"/>
        </w:rPr>
        <w:t>合同履行期间，法律法规变化引起规费和税金变化的：①相关规费承包人必须按有关部门规定要求先行代缴，工程结算时在规定范围内不高于招标文件规定比例审计后计取；其中工程排污费在工程竣工结算时，按环保部门实际收取排污费凭证按实结算；如有文件规定取消或减免相关规费，则在结算时予以扣除。②税金按照淮安市工程造价管理处最新发布的相关税金文件执行。</w:t>
      </w:r>
    </w:p>
    <w:p w14:paraId="0EA09EB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none"/>
        </w:rPr>
        <w:t>（4）</w:t>
      </w:r>
      <w:r>
        <w:rPr>
          <w:rFonts w:hint="eastAsia" w:ascii="宋体" w:hAnsi="宋体" w:eastAsia="宋体" w:cs="宋体"/>
          <w:color w:val="auto"/>
          <w:sz w:val="24"/>
          <w:szCs w:val="24"/>
          <w:u w:val="single"/>
        </w:rPr>
        <w:t>在总价措施项目清单中，具体报价由投标单位自行现场勘察后，根据本项目特点及实际情况增减相关措施费用，发包人不考虑在后期施工因招标文件未列出的项目而发生的其它相关费用。</w:t>
      </w:r>
    </w:p>
    <w:p w14:paraId="4CF4601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其他说明事项：</w:t>
      </w:r>
    </w:p>
    <w:p w14:paraId="73CF93C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⑴总承包服务费（如有）</w:t>
      </w:r>
    </w:p>
    <w:p w14:paraId="29EA423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①总承包服务费:总承包人为配合协调发包人进行的专业工程分包，发包人自行采购的设备、材料等进行保管以及施工现场管理、竣工资料汇总整理等服务所需的费用 。</w:t>
      </w:r>
    </w:p>
    <w:p w14:paraId="426BD30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②承包人负责整个项目的施工总承包管理工作，并为专业工程分包提供施工配合工作。包括但不限于：为各专业分包单位提供已有的、可以利用的脚手架、垂直运输设施、仓储设施、安全保卫等 。</w:t>
      </w:r>
    </w:p>
    <w:p w14:paraId="4A3F397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③发包人指定的专业工程分包，承包人按照招标文件给定计算基数，自报费率，总承包管理费计入报价中，竣工结算时按照分包工程合同价调整计算基数，费率不予调整。承包人自行分包项目的总承包管理费不计列，由承包人与分包单位自行商议 。</w:t>
      </w:r>
    </w:p>
    <w:p w14:paraId="13F6A782">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未尽事宜，由发承包双方协商解决，协商解决不能达成一致意见的按合同争议解决办法处理 。</w:t>
      </w:r>
    </w:p>
    <w:p w14:paraId="223B076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如发生风险范围以外合同价格调整因素，承包人应按相关规定和本合同约定条款及时申报，经监理人审核，发包人批准，最终审计部门审定（竣工结算时）。</w:t>
      </w:r>
    </w:p>
    <w:p w14:paraId="2673CC5B">
      <w:pPr>
        <w:pageBreakBefore w:val="0"/>
        <w:kinsoku/>
        <w:wordWrap w:val="0"/>
        <w:overflowPunct/>
        <w:topLinePunct w:val="0"/>
        <w:bidi w:val="0"/>
        <w:snapToGrid/>
        <w:spacing w:line="460" w:lineRule="exact"/>
        <w:ind w:firstLine="480"/>
        <w:jc w:val="left"/>
        <w:textAlignment w:val="auto"/>
        <w:outlineLvl w:val="2"/>
        <w:rPr>
          <w:rFonts w:hint="eastAsia" w:ascii="宋体" w:hAnsi="宋体" w:eastAsia="宋体" w:cs="宋体"/>
          <w:color w:val="auto"/>
          <w:sz w:val="24"/>
          <w:szCs w:val="24"/>
        </w:rPr>
      </w:pPr>
      <w:bookmarkStart w:id="482" w:name="_Toc20342"/>
      <w:r>
        <w:rPr>
          <w:rFonts w:hint="eastAsia" w:ascii="宋体" w:hAnsi="宋体" w:eastAsia="宋体" w:cs="宋体"/>
          <w:color w:val="auto"/>
          <w:sz w:val="24"/>
          <w:szCs w:val="24"/>
        </w:rPr>
        <w:t>2、总价合同。</w:t>
      </w:r>
      <w:bookmarkEnd w:id="482"/>
    </w:p>
    <w:p w14:paraId="6BBC1960">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9397FCA">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E5D2ED0">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571BC93">
      <w:pPr>
        <w:pageBreakBefore w:val="0"/>
        <w:kinsoku/>
        <w:wordWrap w:val="0"/>
        <w:overflowPunct/>
        <w:topLinePunct w:val="0"/>
        <w:bidi w:val="0"/>
        <w:snapToGrid/>
        <w:spacing w:line="460" w:lineRule="exact"/>
        <w:ind w:firstLine="480"/>
        <w:jc w:val="left"/>
        <w:textAlignment w:val="auto"/>
        <w:outlineLvl w:val="2"/>
        <w:rPr>
          <w:rFonts w:hint="eastAsia" w:ascii="宋体" w:hAnsi="宋体" w:eastAsia="宋体" w:cs="宋体"/>
          <w:color w:val="auto"/>
          <w:sz w:val="24"/>
          <w:szCs w:val="24"/>
        </w:rPr>
      </w:pPr>
      <w:bookmarkStart w:id="483" w:name="_Toc32349"/>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End w:id="483"/>
    </w:p>
    <w:p w14:paraId="2C9FE42F">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bookmarkStart w:id="484" w:name="_Toc300935004"/>
      <w:bookmarkStart w:id="485" w:name="_Toc312678042"/>
      <w:bookmarkStart w:id="486" w:name="_Toc304295581"/>
      <w:bookmarkStart w:id="487" w:name="_Toc297216213"/>
      <w:bookmarkStart w:id="488" w:name="_Toc303539161"/>
      <w:bookmarkStart w:id="489" w:name="_Toc297123554"/>
      <w:bookmarkStart w:id="490" w:name="_Toc292559917"/>
      <w:bookmarkStart w:id="491" w:name="_Toc296346708"/>
      <w:bookmarkStart w:id="492" w:name="_Toc296347206"/>
      <w:bookmarkStart w:id="493" w:name="_Toc297120507"/>
      <w:bookmarkStart w:id="494" w:name="_Toc297048393"/>
      <w:bookmarkStart w:id="495" w:name="_Toc296891247"/>
      <w:bookmarkStart w:id="496" w:name="_Toc296503207"/>
      <w:bookmarkStart w:id="497" w:name="_Toc296944546"/>
      <w:bookmarkStart w:id="498" w:name="_Toc296891035"/>
      <w:bookmarkStart w:id="499" w:name="_Toc292559412"/>
      <w:r>
        <w:rPr>
          <w:rFonts w:hint="eastAsia" w:ascii="宋体" w:hAnsi="宋体" w:eastAsia="宋体" w:cs="宋体"/>
          <w:color w:val="auto"/>
          <w:sz w:val="24"/>
          <w:szCs w:val="24"/>
        </w:rPr>
        <w:t>12.2 预付款</w:t>
      </w:r>
      <w:bookmarkEnd w:id="484"/>
      <w:bookmarkEnd w:id="485"/>
      <w:bookmarkEnd w:id="486"/>
      <w:bookmarkEnd w:id="487"/>
      <w:bookmarkEnd w:id="488"/>
      <w:bookmarkEnd w:id="489"/>
    </w:p>
    <w:p w14:paraId="0DAFFACC">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12.2.1 预付款的支付</w:t>
      </w:r>
    </w:p>
    <w:p w14:paraId="00804F3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预付款支付比例或金额</w:t>
      </w:r>
      <w:r>
        <w:rPr>
          <w:rFonts w:hint="default" w:ascii="宋体" w:hAnsi="宋体" w:cs="宋体"/>
          <w:color w:val="auto"/>
          <w:sz w:val="24"/>
          <w:szCs w:val="24"/>
          <w:highlight w:val="none"/>
        </w:rPr>
        <w:t>：</w:t>
      </w:r>
    </w:p>
    <w:p w14:paraId="214A1EC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p>
    <w:p w14:paraId="20B0773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预付款扣回的方式：</w:t>
      </w:r>
      <w:r>
        <w:rPr>
          <w:rStyle w:val="39"/>
          <w:rFonts w:hint="eastAsia" w:ascii="宋体" w:hAnsi="宋体" w:eastAsia="宋体" w:cs="宋体"/>
          <w:color w:val="auto"/>
          <w:sz w:val="24"/>
          <w:szCs w:val="24"/>
          <w:lang w:val="en-US" w:eastAsia="zh-CN"/>
        </w:rPr>
        <w:t xml:space="preserve">        </w:t>
      </w:r>
    </w:p>
    <w:p w14:paraId="167EE51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12.2.2 预付款担保</w:t>
      </w:r>
    </w:p>
    <w:p w14:paraId="57A9C26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承包人提交预付款担保的期限：</w:t>
      </w:r>
    </w:p>
    <w:p w14:paraId="7D627D9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预付款担保的形式为：</w:t>
      </w:r>
      <w:bookmarkEnd w:id="490"/>
      <w:bookmarkEnd w:id="491"/>
      <w:bookmarkEnd w:id="492"/>
      <w:bookmarkEnd w:id="493"/>
      <w:bookmarkEnd w:id="494"/>
      <w:bookmarkEnd w:id="495"/>
      <w:bookmarkEnd w:id="496"/>
      <w:bookmarkEnd w:id="497"/>
      <w:bookmarkEnd w:id="498"/>
      <w:bookmarkEnd w:id="499"/>
    </w:p>
    <w:p w14:paraId="3B44471A">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4583D94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2864657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工程量计算规则：《建设工程工程量清单计价规范》（GB50500-2013）及对应的2013版计量规范、《江苏省建设工程费用定额》（2014年版）、《江苏省建筑与装饰工程计价定额》、《江苏省安装工程计价定额》(2014版)《江苏省市政工程计价定额》（2014版）等       </w:t>
      </w:r>
    </w:p>
    <w:p w14:paraId="6F7FFDA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1ABC96A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关于计量周期的约定：按</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rPr>
        <w:t>计量</w:t>
      </w:r>
      <w:r>
        <w:rPr>
          <w:rFonts w:hint="eastAsia" w:ascii="宋体" w:hAnsi="宋体" w:eastAsia="宋体" w:cs="宋体"/>
          <w:color w:val="auto"/>
          <w:sz w:val="24"/>
          <w:szCs w:val="24"/>
          <w:lang w:val="en-US" w:eastAsia="zh-CN"/>
        </w:rPr>
        <w:t>支付</w:t>
      </w:r>
      <w:r>
        <w:rPr>
          <w:rFonts w:hint="eastAsia" w:ascii="宋体" w:hAnsi="宋体" w:eastAsia="宋体" w:cs="宋体"/>
          <w:color w:val="auto"/>
          <w:sz w:val="24"/>
          <w:szCs w:val="24"/>
        </w:rPr>
        <w:t>。</w:t>
      </w:r>
    </w:p>
    <w:p w14:paraId="01E8959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054AEA2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关于单价合同计量的约定：1）计量范围与要求</w:t>
      </w:r>
    </w:p>
    <w:p w14:paraId="176F4A3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①只能对工程量清单、变更工程、计日工等合同规定支付的项目计量，此范围以外的不得进行计量 ；</w:t>
      </w:r>
    </w:p>
    <w:p w14:paraId="54065A1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②计量必须严格按合同规定的方法、范围、内容、单位进行 ；</w:t>
      </w:r>
    </w:p>
    <w:p w14:paraId="1F9A023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③工程质量未经检验或检验不合格的，不得计量；因承包人原因造成返工的工程量不予计量 ；</w:t>
      </w:r>
    </w:p>
    <w:p w14:paraId="6D22A31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④无论一般的和当地的习惯如何，除合同中另有规定，工程的计量应以净值为准。因此，属于承包人超出设计图纸范围的工程量不予计量 。   </w:t>
      </w:r>
    </w:p>
    <w:p w14:paraId="272BAD1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0AF4ADC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p>
    <w:p w14:paraId="55E46D0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p>
    <w:p w14:paraId="5AEDE1D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3D3DE930">
      <w:pPr>
        <w:pageBreakBefore w:val="0"/>
        <w:kinsoku/>
        <w:wordWrap w:val="0"/>
        <w:overflowPunct/>
        <w:topLinePunct w:val="0"/>
        <w:bidi w:val="0"/>
        <w:snapToGrid/>
        <w:spacing w:line="460" w:lineRule="exact"/>
        <w:ind w:firstLine="24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p>
    <w:p w14:paraId="2BEA40E5">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14:paraId="04BFF07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bookmarkStart w:id="500" w:name="_Toc292559416"/>
      <w:bookmarkStart w:id="501" w:name="_Toc296944550"/>
      <w:bookmarkStart w:id="502" w:name="_Toc296891039"/>
      <w:bookmarkStart w:id="503" w:name="_Toc296347210"/>
      <w:bookmarkStart w:id="504" w:name="_Toc296891251"/>
      <w:bookmarkStart w:id="505" w:name="_Toc296503211"/>
      <w:bookmarkStart w:id="506" w:name="_Toc297123556"/>
      <w:bookmarkStart w:id="507" w:name="_Toc297216215"/>
      <w:bookmarkStart w:id="508" w:name="_Toc297048397"/>
      <w:bookmarkStart w:id="509" w:name="_Toc303539163"/>
      <w:bookmarkStart w:id="510" w:name="_Toc300935006"/>
      <w:bookmarkStart w:id="511" w:name="_Toc297120511"/>
      <w:bookmarkStart w:id="512" w:name="_Toc296346712"/>
      <w:bookmarkStart w:id="513" w:name="_Toc292559921"/>
      <w:r>
        <w:rPr>
          <w:rFonts w:hint="eastAsia" w:ascii="宋体" w:hAnsi="宋体" w:eastAsia="宋体" w:cs="宋体"/>
          <w:color w:val="auto"/>
          <w:sz w:val="24"/>
          <w:szCs w:val="24"/>
        </w:rPr>
        <w:t>12.4.1 付款周期</w:t>
      </w:r>
    </w:p>
    <w:p w14:paraId="723C9573">
      <w:pPr>
        <w:pageBreakBefore w:val="0"/>
        <w:kinsoku/>
        <w:wordWrap w:val="0"/>
        <w:overflowPunct/>
        <w:topLinePunct w:val="0"/>
        <w:bidi w:val="0"/>
        <w:snapToGrid/>
        <w:spacing w:line="400" w:lineRule="atLeast"/>
        <w:ind w:firstLine="632" w:firstLineChars="3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合同签订生效后付合同总价40%预付款，工程完工并竣工验收合格后，付至合同价70%，出具审计报告并待剩余专项资金到位后付至审定价的97%，余款待质保期满后无质量问题付清。（以上付款均待上级奖补资金到位后结算）。</w:t>
      </w:r>
    </w:p>
    <w:p w14:paraId="40B9DBC3">
      <w:pPr>
        <w:pageBreakBefore w:val="0"/>
        <w:kinsoku/>
        <w:wordWrap w:val="0"/>
        <w:overflowPunct/>
        <w:topLinePunct w:val="0"/>
        <w:bidi w:val="0"/>
        <w:snapToGrid/>
        <w:spacing w:line="400" w:lineRule="atLeast"/>
        <w:ind w:firstLine="630" w:firstLineChars="3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（以上付款均不包含利息及增项或签证应支付的费用，变更或增项应支付的费用待工程审计结束后纳入工程审定价内支付，也不包含预留金和暂列金额及专业工程暂估价）</w:t>
      </w:r>
    </w:p>
    <w:p w14:paraId="1C890C0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7B9CE8A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按专用合同条款第12.4.1项〔付款周期〕的约定，及时提交进度付款申请单。但如发生合同内调减的工程量，由发包人核实后，在同期工程款支付中予以全部扣除  </w:t>
      </w:r>
      <w:r>
        <w:rPr>
          <w:rFonts w:hint="eastAsia" w:ascii="宋体" w:hAnsi="宋体" w:eastAsia="宋体" w:cs="宋体"/>
          <w:color w:val="auto"/>
          <w:sz w:val="24"/>
          <w:szCs w:val="24"/>
        </w:rPr>
        <w:t>。</w:t>
      </w:r>
    </w:p>
    <w:p w14:paraId="4183447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hint="eastAsia" w:ascii="宋体" w:hAnsi="宋体" w:eastAsia="宋体" w:cs="宋体"/>
          <w:color w:val="auto"/>
          <w:sz w:val="24"/>
          <w:szCs w:val="24"/>
        </w:rPr>
        <w:t>2.4.3 进度付款申请单的提交</w:t>
      </w:r>
    </w:p>
    <w:p w14:paraId="6A5C545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单价合同进度付款申请单，按照专用合同条款第12.3.3项〔单价合同的计量〕约定及时向监理人提交，并附上已完成工程量报表和有关资料      </w:t>
      </w:r>
      <w:r>
        <w:rPr>
          <w:rFonts w:hint="eastAsia" w:ascii="宋体" w:hAnsi="宋体" w:eastAsia="宋体" w:cs="宋体"/>
          <w:color w:val="auto"/>
          <w:sz w:val="24"/>
          <w:szCs w:val="24"/>
        </w:rPr>
        <w:t xml:space="preserve"> 。</w:t>
      </w:r>
    </w:p>
    <w:p w14:paraId="256C7BA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p>
    <w:p w14:paraId="5B35F72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不采用   </w:t>
      </w:r>
      <w:r>
        <w:rPr>
          <w:rFonts w:hint="eastAsia" w:ascii="宋体" w:hAnsi="宋体" w:eastAsia="宋体" w:cs="宋体"/>
          <w:color w:val="auto"/>
          <w:sz w:val="24"/>
          <w:szCs w:val="24"/>
        </w:rPr>
        <w:t>。</w:t>
      </w:r>
    </w:p>
    <w:p w14:paraId="5055DE6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51DBDB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63F5C49C">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监理人应在收到承包人进度付款申请单以及相关资料后7天内完成审查并报送发包人   </w:t>
      </w:r>
      <w:r>
        <w:rPr>
          <w:rFonts w:hint="eastAsia" w:ascii="宋体" w:hAnsi="宋体" w:eastAsia="宋体" w:cs="宋体"/>
          <w:color w:val="auto"/>
          <w:sz w:val="24"/>
          <w:szCs w:val="24"/>
        </w:rPr>
        <w:t>。</w:t>
      </w:r>
    </w:p>
    <w:p w14:paraId="1F45BBCC">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14天 </w:t>
      </w:r>
    </w:p>
    <w:p w14:paraId="7BD9F2F3">
      <w:pPr>
        <w:pageBreakBefore w:val="0"/>
        <w:kinsoku/>
        <w:wordWrap w:val="0"/>
        <w:overflowPunct/>
        <w:topLinePunct w:val="0"/>
        <w:bidi w:val="0"/>
        <w:snapToGrid/>
        <w:spacing w:line="460" w:lineRule="exact"/>
        <w:ind w:firstLine="480"/>
        <w:textAlignment w:val="auto"/>
        <w:rPr>
          <w:rFonts w:hint="eastAsia" w:ascii="宋体" w:hAnsi="宋体" w:eastAsia="宋体" w:cs="宋体"/>
          <w:strike/>
          <w:color w:val="auto"/>
          <w:sz w:val="24"/>
          <w:szCs w:val="24"/>
        </w:rPr>
      </w:pPr>
      <w:r>
        <w:rPr>
          <w:rFonts w:hint="eastAsia" w:ascii="宋体" w:hAnsi="宋体" w:eastAsia="宋体" w:cs="宋体"/>
          <w:color w:val="auto"/>
          <w:sz w:val="24"/>
          <w:szCs w:val="24"/>
        </w:rPr>
        <w:t>（2）发包人支付进度款的期限：/。</w:t>
      </w:r>
    </w:p>
    <w:p w14:paraId="342C99C7">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p>
    <w:p w14:paraId="75932C6F">
      <w:pPr>
        <w:pageBreakBefore w:val="0"/>
        <w:kinsoku/>
        <w:wordWrap w:val="0"/>
        <w:overflowPunct/>
        <w:topLinePunct w:val="0"/>
        <w:bidi w:val="0"/>
        <w:snapToGrid/>
        <w:spacing w:line="460" w:lineRule="exact"/>
        <w:ind w:firstLine="6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14:paraId="49C4360D">
      <w:pPr>
        <w:pageBreakBefore w:val="0"/>
        <w:kinsoku/>
        <w:wordWrap w:val="0"/>
        <w:overflowPunct/>
        <w:topLinePunct w:val="0"/>
        <w:bidi w:val="0"/>
        <w:snapToGrid/>
        <w:spacing w:line="460" w:lineRule="exact"/>
        <w:ind w:left="6000" w:hanging="4800"/>
        <w:jc w:val="left"/>
        <w:textAlignment w:val="auto"/>
        <w:outlineLvl w:val="2"/>
        <w:rPr>
          <w:rFonts w:hint="eastAsia" w:ascii="宋体" w:hAnsi="宋体" w:eastAsia="宋体" w:cs="宋体"/>
          <w:color w:val="auto"/>
          <w:sz w:val="24"/>
          <w:szCs w:val="24"/>
        </w:rPr>
      </w:pPr>
      <w:bookmarkStart w:id="514" w:name="_Toc32565"/>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不采用 </w:t>
      </w:r>
      <w:r>
        <w:rPr>
          <w:rFonts w:hint="eastAsia" w:ascii="宋体" w:hAnsi="宋体" w:eastAsia="宋体" w:cs="宋体"/>
          <w:color w:val="auto"/>
          <w:sz w:val="24"/>
          <w:szCs w:val="24"/>
        </w:rPr>
        <w:t>。</w:t>
      </w:r>
      <w:bookmarkEnd w:id="514"/>
    </w:p>
    <w:p w14:paraId="5511250E">
      <w:pPr>
        <w:pageBreakBefore w:val="0"/>
        <w:kinsoku/>
        <w:wordWrap w:val="0"/>
        <w:overflowPunct/>
        <w:topLinePunct w:val="0"/>
        <w:bidi w:val="0"/>
        <w:snapToGrid/>
        <w:spacing w:line="460" w:lineRule="exact"/>
        <w:jc w:val="left"/>
        <w:textAlignment w:val="auto"/>
        <w:rPr>
          <w:rFonts w:hint="eastAsia" w:ascii="宋体" w:hAnsi="宋体" w:eastAsia="宋体" w:cs="宋体"/>
          <w:strike/>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本条通用合同条款不适用该项目 </w:t>
      </w:r>
      <w:r>
        <w:rPr>
          <w:rFonts w:hint="eastAsia" w:ascii="宋体" w:hAnsi="宋体" w:eastAsia="宋体" w:cs="宋体"/>
          <w:color w:val="auto"/>
          <w:sz w:val="24"/>
          <w:szCs w:val="24"/>
        </w:rPr>
        <w:t>。</w:t>
      </w:r>
      <w:bookmarkEnd w:id="336"/>
    </w:p>
    <w:p w14:paraId="6E5DEB77">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515" w:name="_Toc296944558"/>
      <w:bookmarkStart w:id="516" w:name="_Toc296891259"/>
      <w:bookmarkStart w:id="517" w:name="_Toc300935015"/>
      <w:bookmarkStart w:id="518" w:name="_Toc303539172"/>
      <w:bookmarkStart w:id="519" w:name="_Toc14395"/>
      <w:bookmarkStart w:id="520" w:name="_Toc297216223"/>
      <w:bookmarkStart w:id="521" w:name="_Toc296347218"/>
      <w:bookmarkStart w:id="522" w:name="_Toc297048405"/>
      <w:bookmarkStart w:id="523" w:name="_Toc292559929"/>
      <w:bookmarkStart w:id="524" w:name="_Toc304295593"/>
      <w:bookmarkStart w:id="525" w:name="_Toc296503219"/>
      <w:bookmarkStart w:id="526" w:name="_Toc296346720"/>
      <w:bookmarkStart w:id="527" w:name="_Toc297123564"/>
      <w:bookmarkStart w:id="528" w:name="_Toc312678053"/>
      <w:bookmarkStart w:id="529" w:name="_Toc351203645"/>
      <w:bookmarkStart w:id="530" w:name="_Toc292559424"/>
      <w:bookmarkStart w:id="531" w:name="_Toc297120519"/>
      <w:bookmarkStart w:id="532" w:name="_Toc296891047"/>
      <w:r>
        <w:rPr>
          <w:rFonts w:hint="eastAsia" w:ascii="宋体" w:hAnsi="宋体" w:eastAsia="宋体" w:cs="宋体"/>
          <w:b w:val="0"/>
          <w:color w:val="auto"/>
          <w:sz w:val="24"/>
          <w:szCs w:val="24"/>
        </w:rPr>
        <w:t>13. 验收和工程试车</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087F519">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14:paraId="0CB743E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70A47DF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48  </w:t>
      </w:r>
      <w:r>
        <w:rPr>
          <w:rFonts w:hint="eastAsia" w:ascii="宋体" w:hAnsi="宋体" w:eastAsia="宋体" w:cs="宋体"/>
          <w:color w:val="auto"/>
          <w:sz w:val="24"/>
          <w:szCs w:val="24"/>
        </w:rPr>
        <w:t>小时。</w:t>
      </w:r>
    </w:p>
    <w:p w14:paraId="1F2E5001">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bookmarkStart w:id="533" w:name="_Toc297216224"/>
      <w:bookmarkStart w:id="534" w:name="_Toc303539173"/>
      <w:bookmarkStart w:id="535" w:name="_Toc296891051"/>
      <w:bookmarkStart w:id="536" w:name="_Toc297123565"/>
      <w:bookmarkStart w:id="537" w:name="_Toc312678056"/>
      <w:bookmarkStart w:id="538" w:name="_Toc296944562"/>
      <w:bookmarkStart w:id="539" w:name="_Toc296346724"/>
      <w:bookmarkStart w:id="540" w:name="_Toc300935016"/>
      <w:bookmarkStart w:id="541" w:name="_Toc297048409"/>
      <w:bookmarkStart w:id="542" w:name="_Toc304295596"/>
      <w:bookmarkStart w:id="543" w:name="_Toc292559428"/>
      <w:bookmarkStart w:id="544" w:name="_Toc296347222"/>
      <w:bookmarkStart w:id="545" w:name="_Toc296891263"/>
      <w:bookmarkStart w:id="546" w:name="_Toc292559933"/>
      <w:bookmarkStart w:id="547" w:name="_Toc296503223"/>
      <w:bookmarkStart w:id="548" w:name="_Toc297120523"/>
      <w:bookmarkStart w:id="549" w:name="_Toc267251474"/>
      <w:bookmarkStart w:id="550" w:name="_Toc267251473"/>
      <w:bookmarkStart w:id="551" w:name="_Toc267251471"/>
      <w:bookmarkStart w:id="552" w:name="_Toc267251470"/>
      <w:bookmarkStart w:id="553" w:name="_Toc267251472"/>
      <w:bookmarkStart w:id="554" w:name="_Toc267251475"/>
      <w:bookmarkStart w:id="555" w:name="_Toc267251476"/>
      <w:r>
        <w:rPr>
          <w:rFonts w:hint="eastAsia" w:ascii="宋体" w:hAnsi="宋体" w:eastAsia="宋体" w:cs="宋体"/>
          <w:color w:val="auto"/>
          <w:sz w:val="24"/>
          <w:szCs w:val="24"/>
        </w:rPr>
        <w:t>13.2 竣工验收</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20F9896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bookmarkStart w:id="556" w:name="_Toc280868704"/>
      <w:bookmarkStart w:id="557" w:name="_Toc280868705"/>
      <w:bookmarkStart w:id="558" w:name="_Toc280868706"/>
      <w:bookmarkStart w:id="559" w:name="_Toc280868707"/>
      <w:bookmarkStart w:id="560" w:name="_Toc280868708"/>
      <w:bookmarkStart w:id="561" w:name="_Toc280868709"/>
      <w:r>
        <w:rPr>
          <w:rFonts w:hint="eastAsia" w:ascii="宋体" w:hAnsi="宋体" w:eastAsia="宋体" w:cs="宋体"/>
          <w:color w:val="auto"/>
          <w:sz w:val="24"/>
          <w:szCs w:val="24"/>
        </w:rPr>
        <w:t>13.2.2竣工验收程序</w:t>
      </w:r>
      <w:bookmarkEnd w:id="556"/>
    </w:p>
    <w:p w14:paraId="053F964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按管理部门有关要求，其它 按通用合同条款执行</w:t>
      </w:r>
      <w:r>
        <w:rPr>
          <w:rFonts w:hint="eastAsia" w:ascii="宋体" w:hAnsi="宋体" w:eastAsia="宋体" w:cs="宋体"/>
          <w:color w:val="auto"/>
          <w:sz w:val="24"/>
          <w:szCs w:val="24"/>
        </w:rPr>
        <w:t>。</w:t>
      </w:r>
    </w:p>
    <w:p w14:paraId="68067B42">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本条通用合同条款不适用该项目</w:t>
      </w:r>
      <w:r>
        <w:rPr>
          <w:rFonts w:hint="eastAsia" w:ascii="宋体" w:hAnsi="宋体" w:eastAsia="宋体" w:cs="宋体"/>
          <w:color w:val="auto"/>
          <w:sz w:val="24"/>
          <w:szCs w:val="24"/>
        </w:rPr>
        <w:t>。</w:t>
      </w:r>
    </w:p>
    <w:bookmarkEnd w:id="557"/>
    <w:p w14:paraId="18642412">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p>
    <w:p w14:paraId="4A80F39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bookmarkEnd w:id="558"/>
    </w:p>
    <w:p w14:paraId="12BFB7C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szCs w:val="24"/>
          <w:u w:val="single"/>
        </w:rPr>
        <w:t xml:space="preserve">按通用合同条款执行 </w:t>
      </w:r>
      <w:r>
        <w:rPr>
          <w:rFonts w:hint="eastAsia" w:ascii="宋体" w:hAnsi="宋体" w:eastAsia="宋体" w:cs="宋体"/>
          <w:color w:val="auto"/>
          <w:sz w:val="24"/>
          <w:szCs w:val="24"/>
        </w:rPr>
        <w:t xml:space="preserve">  。</w:t>
      </w:r>
    </w:p>
    <w:p w14:paraId="40FD4A1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发包人未按本合同约定接收全部或部分工程的，违约金的计算方法为：</w:t>
      </w:r>
      <w:bookmarkEnd w:id="559"/>
      <w:r>
        <w:rPr>
          <w:rFonts w:hint="eastAsia" w:ascii="宋体" w:hAnsi="宋体" w:eastAsia="宋体" w:cs="宋体"/>
          <w:color w:val="auto"/>
          <w:sz w:val="24"/>
          <w:szCs w:val="24"/>
          <w:u w:val="single"/>
        </w:rPr>
        <w:t xml:space="preserve">本条通用合同条款不适用该项目   </w:t>
      </w:r>
      <w:r>
        <w:rPr>
          <w:rFonts w:hint="eastAsia" w:ascii="宋体" w:hAnsi="宋体" w:eastAsia="宋体" w:cs="宋体"/>
          <w:color w:val="auto"/>
          <w:sz w:val="24"/>
          <w:szCs w:val="24"/>
        </w:rPr>
        <w:t xml:space="preserve"> 。</w:t>
      </w:r>
    </w:p>
    <w:p w14:paraId="4A49D370">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每逾期一天，承包人应向发包人支付</w:t>
      </w:r>
      <w:r>
        <w:rPr>
          <w:rFonts w:hint="eastAsia" w:ascii="宋体" w:hAnsi="宋体" w:eastAsia="宋体" w:cs="宋体"/>
          <w:color w:val="auto"/>
          <w:sz w:val="24"/>
          <w:szCs w:val="24"/>
          <w:highlight w:val="none"/>
          <w:u w:val="single"/>
        </w:rPr>
        <w:t>合同价的千分之一的违约</w:t>
      </w:r>
      <w:r>
        <w:rPr>
          <w:rFonts w:hint="eastAsia" w:ascii="宋体" w:hAnsi="宋体" w:eastAsia="宋体" w:cs="宋体"/>
          <w:color w:val="auto"/>
          <w:sz w:val="24"/>
          <w:szCs w:val="24"/>
          <w:u w:val="single"/>
        </w:rPr>
        <w:t xml:space="preserve">金，并赔偿由此给发包人造成的各种损失   </w:t>
      </w:r>
      <w:r>
        <w:rPr>
          <w:rFonts w:hint="eastAsia" w:ascii="宋体" w:hAnsi="宋体" w:eastAsia="宋体" w:cs="宋体"/>
          <w:color w:val="auto"/>
          <w:sz w:val="24"/>
          <w:szCs w:val="24"/>
        </w:rPr>
        <w:t>。</w:t>
      </w:r>
    </w:p>
    <w:p w14:paraId="3179F9B4">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bookmarkEnd w:id="560"/>
    </w:p>
    <w:p w14:paraId="3CABAA6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14:paraId="08DB944A">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16B6F08">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承担；</w:t>
      </w:r>
    </w:p>
    <w:p w14:paraId="0E8265F0">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承担。</w:t>
      </w:r>
    </w:p>
    <w:p w14:paraId="257EC6D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5D6E3E94">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364975D">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562" w:name="_Toc28142"/>
      <w:r>
        <w:rPr>
          <w:rFonts w:hint="eastAsia" w:ascii="宋体" w:hAnsi="宋体" w:eastAsia="宋体" w:cs="宋体"/>
          <w:color w:val="auto"/>
          <w:sz w:val="24"/>
          <w:szCs w:val="24"/>
        </w:rPr>
        <w:t>13.6 竣工退场</w:t>
      </w:r>
      <w:bookmarkEnd w:id="562"/>
    </w:p>
    <w:p w14:paraId="2E0B6E7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14:paraId="7663CB3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承包人完成竣工退场的期限：</w:t>
      </w:r>
      <w:r>
        <w:rPr>
          <w:rFonts w:hint="eastAsia" w:ascii="宋体" w:hAnsi="宋体" w:eastAsia="宋体" w:cs="宋体"/>
          <w:color w:val="auto"/>
          <w:sz w:val="24"/>
          <w:szCs w:val="24"/>
          <w:u w:val="single"/>
        </w:rPr>
        <w:t xml:space="preserve">在竣工验收后一周内，除了经监理人同意需在缺陷责任期内继续工作和使用的人员、施工设备和临时工程外，其余的人员、施工设备和临时工程均应撤离施工场地或拆除。缺陷责任期满时，承包人的人员和施工设备应全部撤离施工场地  </w:t>
      </w:r>
      <w:r>
        <w:rPr>
          <w:rFonts w:hint="eastAsia" w:ascii="宋体" w:hAnsi="宋体" w:eastAsia="宋体" w:cs="宋体"/>
          <w:color w:val="auto"/>
          <w:sz w:val="24"/>
          <w:szCs w:val="24"/>
        </w:rPr>
        <w:t>。</w:t>
      </w:r>
    </w:p>
    <w:p w14:paraId="625D5884">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563" w:name="_Toc12340"/>
      <w:bookmarkStart w:id="564" w:name="_Toc351203646"/>
      <w:r>
        <w:rPr>
          <w:rFonts w:hint="eastAsia" w:ascii="宋体" w:hAnsi="宋体" w:eastAsia="宋体" w:cs="宋体"/>
          <w:b w:val="0"/>
          <w:color w:val="auto"/>
          <w:sz w:val="24"/>
          <w:szCs w:val="24"/>
        </w:rPr>
        <w:t>14. 竣工结算</w:t>
      </w:r>
      <w:bookmarkEnd w:id="563"/>
      <w:bookmarkEnd w:id="564"/>
    </w:p>
    <w:p w14:paraId="059F6246">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14:paraId="66AE8121">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满足专用合同条款第12.4.1项〔付款周期〕中相应时间节点要求  </w:t>
      </w:r>
      <w:r>
        <w:rPr>
          <w:rFonts w:hint="eastAsia" w:ascii="宋体" w:hAnsi="宋体" w:eastAsia="宋体" w:cs="宋体"/>
          <w:color w:val="auto"/>
          <w:sz w:val="24"/>
          <w:szCs w:val="24"/>
        </w:rPr>
        <w:t>。</w:t>
      </w:r>
    </w:p>
    <w:p w14:paraId="5D301C1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r>
        <w:rPr>
          <w:rFonts w:hint="eastAsia" w:ascii="宋体" w:hAnsi="宋体" w:eastAsia="宋体" w:cs="宋体"/>
          <w:color w:val="auto"/>
          <w:sz w:val="24"/>
          <w:szCs w:val="24"/>
          <w:u w:val="single"/>
        </w:rPr>
        <w:t xml:space="preserve"> 按通用合同条款执行外，尚应提交相关的资料清单，包括但不限于（1）竣工结算书原件、工程量计算书原件及电子文件；（2）施工合同原件、中标通知书复印件（原件备查）；（3）招标文件、招标答疑、投标文件原件及电子文件；（4）施工图纸、竣工图纸（蓝图）及电子文件；（5）竣工资料原件（包括开竣工报告、分部分项工程验收记录以及材料检测等资料，经监理核查装订成册，拟报档案管存档的资料）；（6）设计变更、工程签证、图纸会审、会议纪要等结算资料；（7）电子录像及照片；（8）甲供材料结算单、水电费结算单（如有）；（9）其他需要的资料。资料清单一式不少于3份 </w:t>
      </w:r>
      <w:r>
        <w:rPr>
          <w:rFonts w:hint="eastAsia" w:ascii="宋体" w:hAnsi="宋体" w:eastAsia="宋体" w:cs="宋体"/>
          <w:color w:val="auto"/>
          <w:sz w:val="24"/>
          <w:szCs w:val="24"/>
        </w:rPr>
        <w:t>。</w:t>
      </w:r>
    </w:p>
    <w:p w14:paraId="1BCA94B1">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565" w:name="_Toc28213"/>
      <w:r>
        <w:rPr>
          <w:rFonts w:hint="eastAsia" w:ascii="宋体" w:hAnsi="宋体" w:eastAsia="宋体" w:cs="宋体"/>
          <w:color w:val="auto"/>
          <w:sz w:val="24"/>
          <w:szCs w:val="24"/>
        </w:rPr>
        <w:t>14.2 竣工结算审核</w:t>
      </w:r>
      <w:bookmarkEnd w:id="565"/>
    </w:p>
    <w:p w14:paraId="1617130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监理人应在收到竣工结算申请单后及时认真细致地完成核查并报送发包人。发包人应在收到监理人提交的经其审核的竣工结算申请单后及时初审并签署意见后报盱眙县审计局进行全面审计，最终根据盱眙县审计局出具的审计报告时间，结合专用合同条款第12.4.1项〔付款周期〕的约定，发包人审批竣工付款申请单。监理人或发包人对竣工结算申请单有异议的，有权要求承包人进行修正和提供补充资料，承包人应提交修正后的竣工结算申请单 。</w:t>
      </w:r>
    </w:p>
    <w:p w14:paraId="286D232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如因承包人提交的工程结算资料不完整，或者承包人不积极配合审计工作，或者承包人未及时确认审计结果，导致出具审核报告的时间延误，相应责任由承包人承担。</w:t>
      </w:r>
    </w:p>
    <w:p w14:paraId="0D58D33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本条通用条款不适用该项目，按专用合同条款第12.4.1项〔付款周期〕的约定执行  </w:t>
      </w:r>
      <w:r>
        <w:rPr>
          <w:rFonts w:hint="eastAsia" w:ascii="宋体" w:hAnsi="宋体" w:eastAsia="宋体" w:cs="宋体"/>
          <w:color w:val="auto"/>
          <w:sz w:val="24"/>
          <w:szCs w:val="24"/>
        </w:rPr>
        <w:t>。</w:t>
      </w:r>
    </w:p>
    <w:p w14:paraId="2D07C2B6">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szCs w:val="24"/>
          <w:u w:val="single"/>
        </w:rPr>
        <w:t xml:space="preserve">按照第20条〔争议解决〕约定处理 </w:t>
      </w:r>
      <w:r>
        <w:rPr>
          <w:rFonts w:hint="eastAsia" w:ascii="宋体" w:hAnsi="宋体" w:eastAsia="宋体" w:cs="宋体"/>
          <w:color w:val="auto"/>
          <w:sz w:val="24"/>
          <w:szCs w:val="24"/>
        </w:rPr>
        <w:t>。</w:t>
      </w:r>
    </w:p>
    <w:p w14:paraId="5938F8C8">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 最终结清</w:t>
      </w:r>
    </w:p>
    <w:p w14:paraId="2AF6045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796DF58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 不少于4份    </w:t>
      </w:r>
      <w:r>
        <w:rPr>
          <w:rFonts w:hint="eastAsia" w:ascii="宋体" w:hAnsi="宋体" w:eastAsia="宋体" w:cs="宋体"/>
          <w:color w:val="auto"/>
          <w:sz w:val="24"/>
          <w:szCs w:val="24"/>
        </w:rPr>
        <w:t>。</w:t>
      </w:r>
    </w:p>
    <w:p w14:paraId="49E920E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 xml:space="preserve"> 。</w:t>
      </w:r>
    </w:p>
    <w:p w14:paraId="77482DD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39DB9CE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按通用条款执行</w:t>
      </w:r>
      <w:r>
        <w:rPr>
          <w:rFonts w:hint="eastAsia" w:ascii="宋体" w:hAnsi="宋体" w:eastAsia="宋体" w:cs="宋体"/>
          <w:color w:val="auto"/>
          <w:sz w:val="24"/>
          <w:szCs w:val="24"/>
        </w:rPr>
        <w:t>。</w:t>
      </w:r>
    </w:p>
    <w:p w14:paraId="6012EFF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 xml:space="preserve">本条通用条款不适用该项目，按专用合同条款第12.4.1项〔付款周期〕的约定执行 </w:t>
      </w:r>
      <w:r>
        <w:rPr>
          <w:rFonts w:hint="eastAsia" w:ascii="宋体" w:hAnsi="宋体" w:eastAsia="宋体" w:cs="宋体"/>
          <w:color w:val="auto"/>
          <w:sz w:val="24"/>
          <w:szCs w:val="24"/>
        </w:rPr>
        <w:t>。</w:t>
      </w:r>
      <w:bookmarkEnd w:id="549"/>
      <w:bookmarkEnd w:id="550"/>
      <w:bookmarkEnd w:id="551"/>
      <w:bookmarkEnd w:id="552"/>
      <w:bookmarkEnd w:id="553"/>
      <w:bookmarkEnd w:id="554"/>
      <w:bookmarkEnd w:id="555"/>
      <w:bookmarkEnd w:id="561"/>
    </w:p>
    <w:p w14:paraId="2E11F01E">
      <w:pPr>
        <w:pStyle w:val="6"/>
        <w:pageBreakBefore w:val="0"/>
        <w:kinsoku/>
        <w:wordWrap w:val="0"/>
        <w:overflowPunct/>
        <w:topLinePunct w:val="0"/>
        <w:bidi w:val="0"/>
        <w:snapToGrid/>
        <w:spacing w:before="120" w:after="120" w:line="460" w:lineRule="exact"/>
        <w:textAlignment w:val="auto"/>
        <w:outlineLvl w:val="2"/>
        <w:rPr>
          <w:rFonts w:hint="eastAsia" w:ascii="宋体" w:hAnsi="宋体" w:eastAsia="宋体" w:cs="宋体"/>
          <w:b w:val="0"/>
          <w:color w:val="auto"/>
          <w:sz w:val="24"/>
          <w:szCs w:val="24"/>
        </w:rPr>
      </w:pPr>
      <w:bookmarkStart w:id="566" w:name="_Toc351203647"/>
      <w:bookmarkStart w:id="567" w:name="_Toc22761"/>
      <w:bookmarkStart w:id="568" w:name="_Toc267251483"/>
      <w:bookmarkStart w:id="569" w:name="_Toc267251484"/>
      <w:bookmarkStart w:id="570" w:name="_Toc267251482"/>
      <w:bookmarkStart w:id="571" w:name="_Toc267251485"/>
      <w:bookmarkStart w:id="572" w:name="_Toc267251488"/>
      <w:bookmarkStart w:id="573" w:name="_Toc267251486"/>
      <w:bookmarkStart w:id="574" w:name="_Toc267251489"/>
      <w:bookmarkStart w:id="575" w:name="_Toc267251490"/>
      <w:bookmarkStart w:id="576" w:name="_Toc267251497"/>
      <w:bookmarkStart w:id="577" w:name="_Toc267251493"/>
      <w:bookmarkStart w:id="578" w:name="_Toc267251499"/>
      <w:bookmarkStart w:id="579" w:name="_Toc267251498"/>
      <w:bookmarkStart w:id="580" w:name="_Toc267251494"/>
      <w:bookmarkStart w:id="581" w:name="_Toc267251495"/>
      <w:bookmarkStart w:id="582" w:name="_Toc267251502"/>
      <w:bookmarkStart w:id="583" w:name="_Toc267251492"/>
      <w:bookmarkStart w:id="584" w:name="_Toc267251491"/>
      <w:bookmarkStart w:id="585" w:name="_Toc267251503"/>
      <w:bookmarkStart w:id="586" w:name="_Toc267251496"/>
      <w:bookmarkStart w:id="587" w:name="_Toc267251501"/>
      <w:bookmarkStart w:id="588" w:name="_Toc267251506"/>
      <w:bookmarkStart w:id="589" w:name="_Toc267251504"/>
      <w:bookmarkStart w:id="590" w:name="_Toc267251507"/>
      <w:bookmarkStart w:id="591" w:name="_Toc267251508"/>
      <w:bookmarkStart w:id="592" w:name="_Toc267251511"/>
      <w:bookmarkStart w:id="593" w:name="_Toc267251509"/>
      <w:bookmarkStart w:id="594" w:name="_Toc267251510"/>
      <w:bookmarkStart w:id="595" w:name="_Toc267251513"/>
      <w:bookmarkStart w:id="596" w:name="_Toc267251515"/>
      <w:bookmarkStart w:id="597" w:name="_Toc267251514"/>
      <w:r>
        <w:rPr>
          <w:rFonts w:hint="eastAsia" w:ascii="宋体" w:hAnsi="宋体" w:eastAsia="宋体" w:cs="宋体"/>
          <w:b w:val="0"/>
          <w:color w:val="auto"/>
          <w:sz w:val="24"/>
          <w:szCs w:val="24"/>
        </w:rPr>
        <w:t>15. 缺陷责任期与保修</w:t>
      </w:r>
      <w:bookmarkEnd w:id="566"/>
      <w:bookmarkEnd w:id="567"/>
    </w:p>
    <w:p w14:paraId="0B5DA2F7">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bookmarkEnd w:id="568"/>
    </w:p>
    <w:p w14:paraId="51BDB050">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szCs w:val="24"/>
          <w:u w:val="single"/>
        </w:rPr>
        <w:t xml:space="preserve"> 按附件3《工程质量保修书》约定执行  </w:t>
      </w:r>
      <w:r>
        <w:rPr>
          <w:rFonts w:hint="eastAsia" w:ascii="宋体" w:hAnsi="宋体" w:eastAsia="宋体" w:cs="宋体"/>
          <w:color w:val="auto"/>
          <w:sz w:val="24"/>
          <w:szCs w:val="24"/>
        </w:rPr>
        <w:t>。</w:t>
      </w:r>
    </w:p>
    <w:p w14:paraId="229CED26">
      <w:pPr>
        <w:pageBreakBefore w:val="0"/>
        <w:kinsoku/>
        <w:wordWrap w:val="0"/>
        <w:overflowPunct/>
        <w:topLinePunct w:val="0"/>
        <w:bidi w:val="0"/>
        <w:snapToGrid/>
        <w:spacing w:after="120" w:line="460" w:lineRule="exact"/>
        <w:ind w:firstLine="480"/>
        <w:textAlignment w:val="auto"/>
        <w:outlineLvl w:val="0"/>
        <w:rPr>
          <w:rFonts w:hint="eastAsia" w:ascii="宋体" w:hAnsi="宋体" w:eastAsia="宋体" w:cs="宋体"/>
          <w:color w:val="auto"/>
          <w:sz w:val="24"/>
          <w:szCs w:val="24"/>
        </w:rPr>
      </w:pPr>
      <w:bookmarkStart w:id="598" w:name="_Toc20758"/>
      <w:r>
        <w:rPr>
          <w:rFonts w:hint="eastAsia" w:ascii="宋体" w:hAnsi="宋体" w:eastAsia="宋体" w:cs="宋体"/>
          <w:color w:val="auto"/>
          <w:sz w:val="24"/>
          <w:szCs w:val="24"/>
        </w:rPr>
        <w:t>15.3 质量保证金</w:t>
      </w:r>
      <w:bookmarkEnd w:id="598"/>
    </w:p>
    <w:p w14:paraId="661113C8">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。在工程项目竣工前，承包人按专用合同条款第3.7条提供履约担保的，发包人不得同时预留工程质量保证金。</w:t>
      </w:r>
    </w:p>
    <w:p w14:paraId="1EA15BD1">
      <w:pPr>
        <w:pageBreakBefore w:val="0"/>
        <w:kinsoku/>
        <w:wordWrap w:val="0"/>
        <w:overflowPunct/>
        <w:topLinePunct w:val="0"/>
        <w:bidi w:val="0"/>
        <w:snapToGrid/>
        <w:spacing w:line="460" w:lineRule="exact"/>
        <w:ind w:firstLine="480"/>
        <w:jc w:val="left"/>
        <w:textAlignment w:val="auto"/>
        <w:outlineLvl w:val="0"/>
        <w:rPr>
          <w:rFonts w:hint="eastAsia" w:ascii="宋体" w:hAnsi="宋体" w:eastAsia="宋体" w:cs="宋体"/>
          <w:color w:val="auto"/>
          <w:sz w:val="24"/>
          <w:szCs w:val="24"/>
        </w:rPr>
      </w:pPr>
      <w:bookmarkStart w:id="599" w:name="_Toc3166"/>
      <w:r>
        <w:rPr>
          <w:rFonts w:hint="eastAsia" w:ascii="宋体" w:hAnsi="宋体" w:eastAsia="宋体" w:cs="宋体"/>
          <w:color w:val="auto"/>
          <w:sz w:val="24"/>
          <w:szCs w:val="24"/>
        </w:rPr>
        <w:t>15.3.1 承包人提供质量保证金的方式</w:t>
      </w:r>
      <w:bookmarkEnd w:id="599"/>
    </w:p>
    <w:p w14:paraId="7826162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w:t>
      </w:r>
    </w:p>
    <w:p w14:paraId="003FD48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9292FF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%的工程款；</w:t>
      </w:r>
    </w:p>
    <w:p w14:paraId="4F2F1F7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A59788">
      <w:pPr>
        <w:pageBreakBefore w:val="0"/>
        <w:kinsoku/>
        <w:wordWrap w:val="0"/>
        <w:overflowPunct/>
        <w:topLinePunct w:val="0"/>
        <w:bidi w:val="0"/>
        <w:snapToGrid/>
        <w:spacing w:line="460" w:lineRule="exact"/>
        <w:ind w:firstLine="480"/>
        <w:jc w:val="left"/>
        <w:textAlignment w:val="auto"/>
        <w:outlineLvl w:val="0"/>
        <w:rPr>
          <w:rFonts w:hint="eastAsia" w:ascii="宋体" w:hAnsi="宋体" w:eastAsia="宋体" w:cs="宋体"/>
          <w:color w:val="auto"/>
          <w:sz w:val="24"/>
          <w:szCs w:val="24"/>
        </w:rPr>
      </w:pPr>
      <w:bookmarkStart w:id="600" w:name="_Toc18702"/>
      <w:r>
        <w:rPr>
          <w:rFonts w:hint="eastAsia" w:ascii="宋体" w:hAnsi="宋体" w:eastAsia="宋体" w:cs="宋体"/>
          <w:color w:val="auto"/>
          <w:sz w:val="24"/>
          <w:szCs w:val="24"/>
        </w:rPr>
        <w:t>15.3.2 质量保证金的扣留</w:t>
      </w:r>
      <w:bookmarkEnd w:id="600"/>
      <w:r>
        <w:rPr>
          <w:rFonts w:hint="eastAsia" w:ascii="宋体" w:hAnsi="宋体" w:eastAsia="宋体" w:cs="宋体"/>
          <w:color w:val="auto"/>
          <w:sz w:val="24"/>
          <w:szCs w:val="24"/>
        </w:rPr>
        <w:t xml:space="preserve"> </w:t>
      </w:r>
    </w:p>
    <w:p w14:paraId="6A21BAA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w:t>
      </w:r>
    </w:p>
    <w:p w14:paraId="0F4FD609">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4CF72776">
      <w:pPr>
        <w:pageBreakBefore w:val="0"/>
        <w:kinsoku/>
        <w:wordWrap w:val="0"/>
        <w:overflowPunct/>
        <w:topLinePunct w:val="0"/>
        <w:bidi w:val="0"/>
        <w:snapToGrid/>
        <w:spacing w:line="460" w:lineRule="exact"/>
        <w:ind w:firstLine="480"/>
        <w:jc w:val="left"/>
        <w:textAlignment w:val="auto"/>
        <w:outlineLvl w:val="0"/>
        <w:rPr>
          <w:rFonts w:hint="eastAsia" w:ascii="宋体" w:hAnsi="宋体" w:eastAsia="宋体" w:cs="宋体"/>
          <w:color w:val="auto"/>
          <w:sz w:val="24"/>
          <w:szCs w:val="24"/>
        </w:rPr>
      </w:pPr>
      <w:bookmarkStart w:id="601" w:name="_Toc31129"/>
      <w:r>
        <w:rPr>
          <w:rFonts w:hint="eastAsia" w:ascii="宋体" w:hAnsi="宋体" w:eastAsia="宋体" w:cs="宋体"/>
          <w:color w:val="auto"/>
          <w:sz w:val="24"/>
          <w:szCs w:val="24"/>
        </w:rPr>
        <w:t>（2）工程竣工结算时一次性扣留质量保证金；</w:t>
      </w:r>
      <w:bookmarkEnd w:id="601"/>
    </w:p>
    <w:p w14:paraId="721B487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33137FD">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End w:id="569"/>
      <w:bookmarkEnd w:id="570"/>
    </w:p>
    <w:p w14:paraId="35711298">
      <w:pPr>
        <w:pageBreakBefore w:val="0"/>
        <w:kinsoku/>
        <w:wordWrap w:val="0"/>
        <w:overflowPunct/>
        <w:topLinePunct w:val="0"/>
        <w:bidi w:val="0"/>
        <w:snapToGrid/>
        <w:spacing w:after="120" w:line="460" w:lineRule="exact"/>
        <w:ind w:firstLine="480"/>
        <w:textAlignment w:val="auto"/>
        <w:outlineLvl w:val="1"/>
        <w:rPr>
          <w:rFonts w:hint="eastAsia" w:ascii="宋体" w:hAnsi="宋体" w:eastAsia="宋体" w:cs="宋体"/>
          <w:color w:val="auto"/>
          <w:sz w:val="24"/>
          <w:szCs w:val="24"/>
        </w:rPr>
      </w:pPr>
      <w:bookmarkStart w:id="602" w:name="_Toc23958"/>
      <w:r>
        <w:rPr>
          <w:rFonts w:hint="eastAsia" w:ascii="宋体" w:hAnsi="宋体" w:eastAsia="宋体" w:cs="宋体"/>
          <w:color w:val="auto"/>
          <w:sz w:val="24"/>
          <w:szCs w:val="24"/>
        </w:rPr>
        <w:t>15.4保修</w:t>
      </w:r>
      <w:bookmarkEnd w:id="571"/>
      <w:bookmarkEnd w:id="602"/>
    </w:p>
    <w:p w14:paraId="040F35A8">
      <w:pPr>
        <w:pageBreakBefore w:val="0"/>
        <w:kinsoku/>
        <w:wordWrap w:val="0"/>
        <w:overflowPunct/>
        <w:topLinePunct w:val="0"/>
        <w:bidi w:val="0"/>
        <w:snapToGrid/>
        <w:spacing w:line="460" w:lineRule="exact"/>
        <w:ind w:firstLine="468"/>
        <w:jc w:val="left"/>
        <w:textAlignment w:val="auto"/>
        <w:outlineLvl w:val="2"/>
        <w:rPr>
          <w:rFonts w:hint="eastAsia" w:ascii="宋体" w:hAnsi="宋体" w:eastAsia="宋体" w:cs="宋体"/>
          <w:color w:val="auto"/>
          <w:sz w:val="24"/>
          <w:szCs w:val="24"/>
        </w:rPr>
      </w:pPr>
      <w:bookmarkStart w:id="603" w:name="_Toc5238"/>
      <w:r>
        <w:rPr>
          <w:rFonts w:hint="eastAsia" w:ascii="宋体" w:hAnsi="宋体" w:eastAsia="宋体" w:cs="宋体"/>
          <w:color w:val="auto"/>
          <w:sz w:val="24"/>
          <w:szCs w:val="24"/>
        </w:rPr>
        <w:t>15.4.1 保修责任</w:t>
      </w:r>
      <w:bookmarkEnd w:id="603"/>
    </w:p>
    <w:p w14:paraId="0B73351F">
      <w:pPr>
        <w:pageBreakBefore w:val="0"/>
        <w:kinsoku/>
        <w:wordWrap w:val="0"/>
        <w:overflowPunct/>
        <w:topLinePunct w:val="0"/>
        <w:bidi w:val="0"/>
        <w:snapToGrid/>
        <w:spacing w:line="460" w:lineRule="exact"/>
        <w:ind w:firstLine="46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 xml:space="preserve">按附件3《工程质量保修书》约定执行  </w:t>
      </w:r>
      <w:r>
        <w:rPr>
          <w:rFonts w:hint="eastAsia" w:ascii="宋体" w:hAnsi="宋体" w:eastAsia="宋体" w:cs="宋体"/>
          <w:color w:val="auto"/>
          <w:sz w:val="24"/>
          <w:szCs w:val="24"/>
        </w:rPr>
        <w:t>。</w:t>
      </w:r>
    </w:p>
    <w:p w14:paraId="455D1AC0">
      <w:pPr>
        <w:pageBreakBefore w:val="0"/>
        <w:kinsoku/>
        <w:wordWrap w:val="0"/>
        <w:overflowPunct/>
        <w:topLinePunct w:val="0"/>
        <w:bidi w:val="0"/>
        <w:snapToGrid/>
        <w:spacing w:line="460" w:lineRule="exact"/>
        <w:ind w:firstLine="468"/>
        <w:jc w:val="left"/>
        <w:textAlignment w:val="auto"/>
        <w:outlineLvl w:val="2"/>
        <w:rPr>
          <w:rFonts w:hint="eastAsia" w:ascii="宋体" w:hAnsi="宋体" w:eastAsia="宋体" w:cs="宋体"/>
          <w:color w:val="auto"/>
          <w:sz w:val="24"/>
          <w:szCs w:val="24"/>
        </w:rPr>
      </w:pPr>
      <w:bookmarkStart w:id="604" w:name="_Toc15421"/>
      <w:r>
        <w:rPr>
          <w:rFonts w:hint="eastAsia" w:ascii="宋体" w:hAnsi="宋体" w:eastAsia="宋体" w:cs="宋体"/>
          <w:color w:val="auto"/>
          <w:sz w:val="24"/>
          <w:szCs w:val="24"/>
        </w:rPr>
        <w:t>15.4.3 修复通知</w:t>
      </w:r>
      <w:bookmarkEnd w:id="604"/>
    </w:p>
    <w:p w14:paraId="2A92F456">
      <w:pPr>
        <w:pageBreakBefore w:val="0"/>
        <w:kinsoku/>
        <w:wordWrap w:val="0"/>
        <w:overflowPunct/>
        <w:topLinePunct w:val="0"/>
        <w:bidi w:val="0"/>
        <w:snapToGrid/>
        <w:spacing w:line="460" w:lineRule="exact"/>
        <w:ind w:firstLine="46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按附件3《工程质量保修书》约定</w:t>
      </w:r>
      <w:r>
        <w:rPr>
          <w:rFonts w:hint="eastAsia" w:ascii="宋体" w:hAnsi="宋体" w:eastAsia="宋体" w:cs="宋体"/>
          <w:color w:val="auto"/>
          <w:sz w:val="24"/>
          <w:szCs w:val="24"/>
        </w:rPr>
        <w:t>。</w:t>
      </w:r>
      <w:bookmarkEnd w:id="572"/>
      <w:bookmarkEnd w:id="573"/>
      <w:bookmarkEnd w:id="574"/>
      <w:bookmarkEnd w:id="575"/>
    </w:p>
    <w:p w14:paraId="3EA3C397">
      <w:pPr>
        <w:pStyle w:val="6"/>
        <w:pageBreakBefore w:val="0"/>
        <w:kinsoku/>
        <w:wordWrap w:val="0"/>
        <w:overflowPunct/>
        <w:topLinePunct w:val="0"/>
        <w:bidi w:val="0"/>
        <w:snapToGrid/>
        <w:spacing w:before="120" w:after="120" w:line="460" w:lineRule="exact"/>
        <w:textAlignment w:val="auto"/>
        <w:outlineLvl w:val="1"/>
        <w:rPr>
          <w:rFonts w:hint="eastAsia" w:ascii="宋体" w:hAnsi="宋体" w:eastAsia="宋体" w:cs="宋体"/>
          <w:b w:val="0"/>
          <w:color w:val="auto"/>
          <w:sz w:val="24"/>
          <w:szCs w:val="24"/>
        </w:rPr>
      </w:pPr>
      <w:bookmarkStart w:id="605" w:name="_Toc351203648"/>
      <w:bookmarkStart w:id="606" w:name="_Toc280868717"/>
      <w:bookmarkStart w:id="607" w:name="_Toc280868718"/>
      <w:r>
        <w:rPr>
          <w:rFonts w:hint="eastAsia" w:ascii="宋体" w:hAnsi="宋体" w:eastAsia="宋体" w:cs="宋体"/>
          <w:b w:val="0"/>
          <w:color w:val="auto"/>
          <w:sz w:val="24"/>
          <w:szCs w:val="24"/>
        </w:rPr>
        <w:t>16. 违约</w:t>
      </w:r>
      <w:bookmarkEnd w:id="605"/>
    </w:p>
    <w:p w14:paraId="0661EDDB">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08" w:name="_Toc23399"/>
      <w:r>
        <w:rPr>
          <w:rFonts w:hint="eastAsia" w:ascii="宋体" w:hAnsi="宋体" w:eastAsia="宋体" w:cs="宋体"/>
          <w:color w:val="auto"/>
          <w:sz w:val="24"/>
          <w:szCs w:val="24"/>
        </w:rPr>
        <w:t>16.1 发包人违约</w:t>
      </w:r>
      <w:bookmarkEnd w:id="608"/>
    </w:p>
    <w:p w14:paraId="54D637B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14:paraId="7A9967B1">
      <w:pPr>
        <w:pageBreakBefore w:val="0"/>
        <w:kinsoku/>
        <w:wordWrap w:val="0"/>
        <w:overflowPunct/>
        <w:topLinePunct w:val="0"/>
        <w:bidi w:val="0"/>
        <w:snapToGrid/>
        <w:spacing w:line="460" w:lineRule="exact"/>
        <w:ind w:left="1500" w:hanging="1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8874B5">
      <w:pPr>
        <w:pageBreakBefore w:val="0"/>
        <w:kinsoku/>
        <w:wordWrap w:val="0"/>
        <w:overflowPunct/>
        <w:topLinePunct w:val="0"/>
        <w:bidi w:val="0"/>
        <w:snapToGrid/>
        <w:spacing w:line="460" w:lineRule="exact"/>
        <w:ind w:left="1500" w:hanging="1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14:paraId="7F4538A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14:paraId="42BC216C">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工期顺延但不补偿费用  </w:t>
      </w:r>
      <w:r>
        <w:rPr>
          <w:rFonts w:hint="eastAsia" w:ascii="宋体" w:hAnsi="宋体" w:eastAsia="宋体" w:cs="宋体"/>
          <w:color w:val="auto"/>
          <w:sz w:val="24"/>
          <w:szCs w:val="24"/>
        </w:rPr>
        <w:t>。</w:t>
      </w:r>
    </w:p>
    <w:p w14:paraId="63D7CFB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发生时双方另行商定，但不记取延期利息    </w:t>
      </w:r>
      <w:r>
        <w:rPr>
          <w:rFonts w:hint="eastAsia" w:ascii="宋体" w:hAnsi="宋体" w:eastAsia="宋体" w:cs="宋体"/>
          <w:color w:val="auto"/>
          <w:sz w:val="24"/>
          <w:szCs w:val="24"/>
        </w:rPr>
        <w:t>。</w:t>
      </w:r>
    </w:p>
    <w:p w14:paraId="152C705D">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发包人不承担违约责任，承包人在投标时已慎重考虑可能发生的风险，已包含在发包价内 </w:t>
      </w:r>
      <w:r>
        <w:rPr>
          <w:rFonts w:hint="eastAsia" w:ascii="宋体" w:hAnsi="宋体" w:eastAsia="宋体" w:cs="宋体"/>
          <w:color w:val="auto"/>
          <w:sz w:val="24"/>
          <w:szCs w:val="24"/>
        </w:rPr>
        <w:t>。</w:t>
      </w:r>
    </w:p>
    <w:p w14:paraId="63E6072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21878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44F126C">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D94B1A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2F3917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02C1DA1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 xml:space="preserve">  180  </w:t>
      </w:r>
      <w:r>
        <w:rPr>
          <w:rFonts w:hint="eastAsia" w:ascii="宋体" w:hAnsi="宋体" w:eastAsia="宋体" w:cs="宋体"/>
          <w:color w:val="auto"/>
          <w:sz w:val="24"/>
          <w:szCs w:val="24"/>
        </w:rPr>
        <w:t>天后发包人仍不纠正其违约行为并致使合同目的不能实现的，承包人有权解除合同。</w:t>
      </w:r>
    </w:p>
    <w:p w14:paraId="71E04732">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09" w:name="_Toc32031"/>
      <w:r>
        <w:rPr>
          <w:rFonts w:hint="eastAsia" w:ascii="宋体" w:hAnsi="宋体" w:eastAsia="宋体" w:cs="宋体"/>
          <w:color w:val="auto"/>
          <w:sz w:val="24"/>
          <w:szCs w:val="24"/>
        </w:rPr>
        <w:t>16.2 承包人违约</w:t>
      </w:r>
      <w:bookmarkEnd w:id="609"/>
    </w:p>
    <w:p w14:paraId="35A19B27">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268A65F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承包人违约的其他情形： </w:t>
      </w:r>
    </w:p>
    <w:p w14:paraId="3E7EAE0B">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上道工序未经验收不得进入下道工序，否则视为承包人违约，承包人应向发包人支付违约金不少于10000元/次。各道工序施工质量无论是否通过监理工程师的验收确认，均不解除承包人对自己承包的工程的质量所负的责任 。</w:t>
      </w:r>
    </w:p>
    <w:p w14:paraId="150DB2B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（2）因承包人原因被责令停工和返工的，除无条件及时整改外，承包人须向发包人支付违约金不低于20000元/次 。</w:t>
      </w:r>
    </w:p>
    <w:p w14:paraId="166753F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（3）因承包人提供的竣工资料原因影响工程正常竣工验收的，每延迟一天，承包人应向发包人支付5000元的违约金 。</w:t>
      </w:r>
    </w:p>
    <w:p w14:paraId="3FCC985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（4）施工期间因承包人原因发生质量和安全事故，承包人除承担责任外，还必须承担事故处理的一切费用、工程的恢复费用及因此造成后续工程延期费用，并承担由此给发包人所造成的经济损失 。</w:t>
      </w:r>
    </w:p>
    <w:p w14:paraId="23FF19E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5）如承包人未经发包人同意擅自将其在施工过程中获悉的发包人商业秘密向第三人泄露（如发包人提供的图纸内容），发包人有权单方终止合同，同时发包人有权要求承包人按不少于合同价格的2%的标准支付违约金。如承包人支付了违约金后仍不能弥补因其泄露发包人商业秘密给发包人造成的经济损失的，承包人还应赔偿发包人的实际经济损失 。 </w:t>
      </w:r>
    </w:p>
    <w:p w14:paraId="5563DF2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（6）如承包人未能按本合同约定在工程竣工后及时清理垃圾、平整场地，则发包人有权自行清理垃圾、平整场地，承包人除应负担发包人因此而发生的费用外，还应按合同价格2%的标准向发包人支付违约金 。  </w:t>
      </w:r>
    </w:p>
    <w:p w14:paraId="4626115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（7）被有关部门检查通报批评的，除立即无条件整改外，承包人须向发包人支付违约金不低于10000元/次    </w:t>
      </w:r>
      <w:r>
        <w:rPr>
          <w:rFonts w:hint="eastAsia" w:ascii="宋体" w:hAnsi="宋体" w:eastAsia="宋体" w:cs="宋体"/>
          <w:color w:val="auto"/>
          <w:sz w:val="24"/>
          <w:szCs w:val="24"/>
        </w:rPr>
        <w:t>。</w:t>
      </w:r>
    </w:p>
    <w:p w14:paraId="39BB482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16.2.2承包人违约的责任</w:t>
      </w:r>
    </w:p>
    <w:p w14:paraId="26F280D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承包人违约责任的承担方式和计算方法：</w:t>
      </w:r>
    </w:p>
    <w:p w14:paraId="30FEBE8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承包人违反合同约定进行转包或违法分包的：本项目经发包人确认由承包人自行完成工程内容，承包人不准转包或违法分包，若发现擅自分包或确认有未经发包人批准的第三方单位进场，除按本合同的相关违约约定执行外，发包人有权要求分包人或第三方单位退场并视情形有权单方解除合同，一切损失和后果均由承包人承担,,且承包人须向发包人支付违约金不低于20万元。</w:t>
      </w:r>
    </w:p>
    <w:p w14:paraId="6833B03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承包人违反合同约定采购和使用不合格的材料和工程设备的如材料和工程设备采购前不通知发包人跟踪的或未按发包人（或监理人）要求提供样品的，发包人有权拒绝该材料和工程设备进场；如进场材料未经有资质的检测机构检测并检测合格，在结算时对该部分材料和人工及工程设备等费用不予计量；如果承包人未报经发包人和监理工程师共同签证核对即自行采购材料和工程设备，后再报发包人和监理工程师共同签证确认材料和工程设备价款的，如发包人或监理工程师不同意，则结算时不予计量；无论任何原因，出现不合格材料和工程设备用于本工程的情况，均不解除承包人所负的工程全面质量责任，承包人须在发包人指定时间内自费把任何被拒绝使用的材料和工程设备运离工地并承担更换材料和工程设备的一切损失，直至验收达标，因此造成工期延误的，承包人承担工期延误的违约责任。在任何情况下，承包人不得以异议未解决为由拖延施工，否则由此造成的一切后果及责任均由承包人承担，且承包人须向发包人支付违约金不低于20000元/次 。</w:t>
      </w:r>
    </w:p>
    <w:p w14:paraId="365B4B2A">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因承包人原因导致工程质量不符合合同要求的：凡经验收工程质量不符合合同要求的，承包人必须自费返工，由此而造成一切经济损失由承包人承担，需要鉴定的部分由承包人承担鉴定费用，因返工而造成工期延误的要执行工期违约处罚条款。工程二次验收工程质量仍不符合合同要求的，发包人有权对承包人索赔不少于人民币5万元的违约金；工程质量出现严重问题，经返工修复后工程质量仍不符合合同要求无法通过验收的，或已经完成但工程质量不符合合同要求并拒绝返工修复的，视承包人违约，发包人有权单方面解除合同，尚未支付的工程款及履约保证金将不再支付，同时承包人还应赔偿给发包人造成的全部经济损失。质量保修期内，由于承包人原因造成工程质量出现严重问题，尚未支付的质量保证金不再支付，发包人有权对承包人索赔不少于人民币10万元的违约金，同时承包人还应赔偿给发包人造成的全部经济损失，且发包人有权延期支付工程款 。</w:t>
      </w:r>
    </w:p>
    <w:p w14:paraId="3BF1D5D0">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（4）承包人违反第8.9款〔材料与设备专用要求〕的约定，未经批准，私自将已按照合同约定进入施工现场的材料或设备撤离施工现场的：承包人向发包人支付违约金不少于10000元/次 。</w:t>
      </w:r>
    </w:p>
    <w:p w14:paraId="22E1DF8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（5）承包人未能按施工进度计划及时完成合同约定的工作，造成工期延误的：按专用合同条款第7.5.2项执行 ，同时承包人还应赔偿给发包人造成的全部经济损失。</w:t>
      </w:r>
    </w:p>
    <w:p w14:paraId="4A7C4BF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承包人在缺陷责任期及保修期内，未能在合理期限对工程缺陷进行修复，或拒绝按发包人要求进行修复的：发包人可以直接委托他人修缮，修缮费用按相关现行江苏省计价表的两倍计算从承包人的工程质量保证金中支出，并承担鉴定及维修费用，不足部分发包人有权另行追索，且承包人向发包人支付违约金不少于20000元/次 。</w:t>
      </w:r>
    </w:p>
    <w:p w14:paraId="60ED9F3E">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承包人明确表示或者以其行为表明不履行合同主要义务的：属于承包人单方违约行为，发包人有权单方解除合同，并将承包人清退出场，履约保证金不予返还，且承包人还须向发包人支付违约金不少于200000元，同时承包人还应赔偿由此给发包人和相关第三方造成的全部经济损失 ，由此更换施工单位造成的一切损失也由承包人承担，在发包人更换其他单位进场施工之前，发包人有权对承包人索赔每天不少于人民币5仟元的违约金。</w:t>
      </w:r>
    </w:p>
    <w:p w14:paraId="176D9BA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承包人必须服从发包人、监理工程师及有关管理部门的管理监督，施工中发生的质量问题必须及时整改；有偷工减料现象及不符合规范的施工和质量问题发现一次由承包人支付违约金人民币5仟元，并及时整改返工，因承包人原因被责令停工和返工，所造成的一切损失由承包人负责，工期不予索赔；如承包人在施工过程中发生质量问题，承包人按发生质量问题的工程量价款的10%向发包人支付违约金，同时其它违约处罚条款继续有效。</w:t>
      </w:r>
    </w:p>
    <w:p w14:paraId="3E071A85">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如发现承包人有以下行为勒令整改并加以处罚，发包人有权对承包人每次索赔不少于人民币5仟元的违约金；整改无效视承包人违约，发包人有权另行组织施工队伍加强施工，按该部分所发生费用实际结算价的两倍从承包人合同价格中扣除，或视情节发包人有权单方解除合同直接将承包人清退出场，由此造成的一切损失由承包人承担：①工程质量、进度、安全与合同及投标文件有较大差距；②在建设、安全、卫生系统行业检查中未达标；③不服从监理单位管理；④如发包人或监理单位发现施工单位组织的人力、物力不足以按时完成工程进度，影响总工期，在催促通知书下发后，仍无反映的；⑤其它类似情况。</w:t>
      </w:r>
    </w:p>
    <w:p w14:paraId="56FE722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如因承包人原因未达到工程竣工验收要求，延误了工期，需要监理单位再对工程施工延长监理服务期的，则由承包人按延误天数，按发包人与监理单位签订的监理费用按合同工期（发包人及监理工程师签证的可顺延工期相应顺延）折算的每天费用支付其监理费用。</w:t>
      </w:r>
    </w:p>
    <w:p w14:paraId="27581A66">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在施工过程、工程移交中以及质量保修期内，由于承包人原因出现的质量问题、安全事故或其它原因，受到报纸，电视、网络等媒体的曝光或政府有关部门的通报，给本工程及发包人社会形象造成严重负面影响时，发包人可向承包人索赔不少于人民币5万元的名誉损失费，同时承包人还应赔偿给发包人造成的全部经济损失。</w:t>
      </w:r>
    </w:p>
    <w:p w14:paraId="118D5A03">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（12）工程竣工验收合格后7日内，承包人应将工程交付发包人，每延迟一天承包人交纳违约金人民币5仟元，延期超过15天的视承包人违约，发包人有权单方解除合同，自行接收工程。</w:t>
      </w:r>
    </w:p>
    <w:p w14:paraId="3DCD9CB9">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（13）承包人在投标文件中所列及的所有事项，都视为是对发包人及本工程的承诺，施工过程中若发现未经发包人同意而实际操作与投标文件不一致的情况，发包人将视情况给予违约处理。</w:t>
      </w:r>
    </w:p>
    <w:p w14:paraId="442B0EB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承包人财产被有关部门查封、扣押、冻结、拍卖、变卖及承包人发生合并、分立、破产等经营、财务状况发生较大变化或者存在违法行为或者承包人无资金能力等原因，引起的暂停施工或工期延误或影响工程进度和工程交付的，属于承包人单方违约行为，发包人有权单方解除合同，同时承包人还应赔偿给发包人造成的全部经济损失；将承包人清退出场，如安排其他施工单位进场施工，由此更换施工单位造成的一切损失也由承包人承担，在发包人更换其他单位进场施工之前，发包人有权对承包人索赔每天不少于人民币5仟元的违约金。</w:t>
      </w:r>
    </w:p>
    <w:p w14:paraId="46BC202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（15）在履行合同过程中，因承包人违约必须用现金向发包人交纳违约金，如承包人不及时交纳违约金，责任由承包人承担，发包人有权拒付工程款，或从当期工程款或履约保证金中双倍扣回。</w:t>
      </w:r>
    </w:p>
    <w:p w14:paraId="005E6C84">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（16）承包人未能按照合同约定履行其他义务的：视为承包人违约，届时根据具体情况，予以处理及处罚    </w:t>
      </w:r>
      <w:r>
        <w:rPr>
          <w:rFonts w:hint="eastAsia" w:ascii="宋体" w:hAnsi="宋体" w:eastAsia="宋体" w:cs="宋体"/>
          <w:color w:val="auto"/>
          <w:sz w:val="24"/>
          <w:szCs w:val="24"/>
        </w:rPr>
        <w:t>。</w:t>
      </w:r>
    </w:p>
    <w:p w14:paraId="1A4E32E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201CF575">
      <w:pPr>
        <w:pageBreakBefore w:val="0"/>
        <w:kinsoku/>
        <w:wordWrap w:val="0"/>
        <w:overflowPunct/>
        <w:topLinePunct w:val="0"/>
        <w:bidi w:val="0"/>
        <w:snapToGrid/>
        <w:spacing w:before="120"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关于承包人违约解除合同的特别约定： </w:t>
      </w:r>
      <w:r>
        <w:rPr>
          <w:rFonts w:hint="eastAsia" w:ascii="宋体" w:hAnsi="宋体" w:eastAsia="宋体" w:cs="宋体"/>
          <w:color w:val="auto"/>
          <w:sz w:val="24"/>
          <w:szCs w:val="24"/>
          <w:u w:val="single"/>
        </w:rPr>
        <w:t>因承包人违约，发包人解除合同的，尚未支付的工程款不再支付，履约保证金和中标差额担保（如有）不再返还，承包人应再向发包人支付违约金20万元，同时承包人还应赔偿因此而给发包人和相关第三方造成的全部经济损失</w:t>
      </w:r>
      <w:r>
        <w:rPr>
          <w:rFonts w:hint="eastAsia" w:ascii="宋体" w:hAnsi="宋体" w:eastAsia="宋体" w:cs="宋体"/>
          <w:color w:val="auto"/>
          <w:sz w:val="24"/>
          <w:szCs w:val="24"/>
        </w:rPr>
        <w:t>。</w:t>
      </w:r>
    </w:p>
    <w:p w14:paraId="298799AB">
      <w:pPr>
        <w:pageBreakBefore w:val="0"/>
        <w:kinsoku/>
        <w:wordWrap w:val="0"/>
        <w:overflowPunct/>
        <w:topLinePunct w:val="0"/>
        <w:bidi w:val="0"/>
        <w:snapToGrid/>
        <w:spacing w:before="120"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承包人承担 </w:t>
      </w:r>
      <w:r>
        <w:rPr>
          <w:rFonts w:hint="eastAsia" w:ascii="宋体" w:hAnsi="宋体" w:eastAsia="宋体" w:cs="宋体"/>
          <w:color w:val="auto"/>
          <w:sz w:val="24"/>
          <w:szCs w:val="24"/>
        </w:rPr>
        <w:t>。</w:t>
      </w:r>
    </w:p>
    <w:p w14:paraId="5CD62D7C">
      <w:pPr>
        <w:pStyle w:val="6"/>
        <w:pageBreakBefore w:val="0"/>
        <w:kinsoku/>
        <w:wordWrap w:val="0"/>
        <w:overflowPunct/>
        <w:topLinePunct w:val="0"/>
        <w:bidi w:val="0"/>
        <w:snapToGrid/>
        <w:spacing w:before="120" w:after="120" w:line="460" w:lineRule="exact"/>
        <w:textAlignment w:val="auto"/>
        <w:outlineLvl w:val="1"/>
        <w:rPr>
          <w:rFonts w:hint="eastAsia" w:ascii="宋体" w:hAnsi="宋体" w:eastAsia="宋体" w:cs="宋体"/>
          <w:b w:val="0"/>
          <w:color w:val="auto"/>
          <w:sz w:val="24"/>
          <w:szCs w:val="24"/>
        </w:rPr>
      </w:pPr>
      <w:bookmarkStart w:id="610" w:name="_Toc17450"/>
      <w:bookmarkStart w:id="611" w:name="_Toc351203649"/>
      <w:r>
        <w:rPr>
          <w:rFonts w:hint="eastAsia" w:ascii="宋体" w:hAnsi="宋体" w:eastAsia="宋体" w:cs="宋体"/>
          <w:b w:val="0"/>
          <w:color w:val="auto"/>
          <w:sz w:val="24"/>
          <w:szCs w:val="24"/>
        </w:rPr>
        <w:t>17. 不可抗力</w:t>
      </w:r>
      <w:bookmarkEnd w:id="610"/>
      <w:bookmarkEnd w:id="611"/>
      <w:r>
        <w:rPr>
          <w:rFonts w:hint="eastAsia" w:ascii="宋体" w:hAnsi="宋体" w:eastAsia="宋体" w:cs="宋体"/>
          <w:b w:val="0"/>
          <w:color w:val="auto"/>
          <w:sz w:val="24"/>
          <w:szCs w:val="24"/>
        </w:rPr>
        <w:t xml:space="preserve"> </w:t>
      </w:r>
      <w:bookmarkEnd w:id="606"/>
    </w:p>
    <w:p w14:paraId="542745A8">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12" w:name="_Toc10915"/>
      <w:r>
        <w:rPr>
          <w:rFonts w:hint="eastAsia" w:ascii="宋体" w:hAnsi="宋体" w:eastAsia="宋体" w:cs="宋体"/>
          <w:color w:val="auto"/>
          <w:sz w:val="24"/>
          <w:szCs w:val="24"/>
        </w:rPr>
        <w:t>17.1 不可抗力的确认</w:t>
      </w:r>
      <w:bookmarkEnd w:id="612"/>
    </w:p>
    <w:p w14:paraId="7E222667">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szCs w:val="24"/>
          <w:u w:val="single"/>
        </w:rPr>
        <w:t xml:space="preserve"> 国家权威部门发布且被界定为灾害的洪水、风灾、雪灾等；离子辐射或放射性污染；以音速或超音速飞行的飞机或其他飞行装置产生的压力波，飞行坠落；因适用法律的变更或任何适用的后续法律的颁布所导致本合同的履行不再合法  </w:t>
      </w:r>
      <w:r>
        <w:rPr>
          <w:rFonts w:hint="eastAsia" w:ascii="宋体" w:hAnsi="宋体" w:eastAsia="宋体" w:cs="宋体"/>
          <w:color w:val="auto"/>
          <w:sz w:val="24"/>
          <w:szCs w:val="24"/>
        </w:rPr>
        <w:t>。</w:t>
      </w:r>
    </w:p>
    <w:p w14:paraId="2D1DB37A">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13" w:name="_Toc17371"/>
      <w:r>
        <w:rPr>
          <w:rFonts w:hint="eastAsia" w:ascii="宋体" w:hAnsi="宋体" w:eastAsia="宋体" w:cs="宋体"/>
          <w:color w:val="auto"/>
          <w:sz w:val="24"/>
          <w:szCs w:val="24"/>
        </w:rPr>
        <w:t>17.4 因不可抗力解除合同</w:t>
      </w:r>
      <w:bookmarkEnd w:id="613"/>
    </w:p>
    <w:p w14:paraId="3B15E63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14:paraId="7B8B3028">
      <w:pPr>
        <w:pStyle w:val="6"/>
        <w:pageBreakBefore w:val="0"/>
        <w:kinsoku/>
        <w:wordWrap w:val="0"/>
        <w:overflowPunct/>
        <w:topLinePunct w:val="0"/>
        <w:bidi w:val="0"/>
        <w:snapToGrid/>
        <w:spacing w:before="120" w:after="120" w:line="460" w:lineRule="exact"/>
        <w:textAlignment w:val="auto"/>
        <w:outlineLvl w:val="1"/>
        <w:rPr>
          <w:rFonts w:hint="eastAsia" w:ascii="宋体" w:hAnsi="宋体" w:eastAsia="宋体" w:cs="宋体"/>
          <w:b w:val="0"/>
          <w:color w:val="auto"/>
          <w:sz w:val="24"/>
          <w:szCs w:val="24"/>
        </w:rPr>
      </w:pPr>
      <w:bookmarkStart w:id="614" w:name="_Toc21494"/>
      <w:bookmarkStart w:id="615" w:name="_Toc351203650"/>
      <w:r>
        <w:rPr>
          <w:rFonts w:hint="eastAsia" w:ascii="宋体" w:hAnsi="宋体" w:eastAsia="宋体" w:cs="宋体"/>
          <w:b w:val="0"/>
          <w:color w:val="auto"/>
          <w:sz w:val="24"/>
          <w:szCs w:val="24"/>
        </w:rPr>
        <w:t>18. 保险</w:t>
      </w:r>
      <w:bookmarkEnd w:id="607"/>
      <w:bookmarkEnd w:id="614"/>
      <w:bookmarkEnd w:id="615"/>
    </w:p>
    <w:p w14:paraId="7DBAF873">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16" w:name="_Toc2895"/>
      <w:r>
        <w:rPr>
          <w:rFonts w:hint="eastAsia" w:ascii="宋体" w:hAnsi="宋体" w:eastAsia="宋体" w:cs="宋体"/>
          <w:color w:val="auto"/>
          <w:sz w:val="24"/>
          <w:szCs w:val="24"/>
        </w:rPr>
        <w:t>18.1 工程保险</w:t>
      </w:r>
      <w:bookmarkEnd w:id="616"/>
    </w:p>
    <w:p w14:paraId="1D5D6080">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承担合同履行期间所有按规定投保的内容。承包人必须为从事危险作业的职工办理意外伤害保险  </w:t>
      </w:r>
      <w:r>
        <w:rPr>
          <w:rFonts w:hint="eastAsia" w:ascii="宋体" w:hAnsi="宋体" w:eastAsia="宋体" w:cs="宋体"/>
          <w:color w:val="auto"/>
          <w:sz w:val="24"/>
          <w:szCs w:val="24"/>
        </w:rPr>
        <w:t>。</w:t>
      </w:r>
    </w:p>
    <w:p w14:paraId="641E8725">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17" w:name="_Toc32117"/>
      <w:r>
        <w:rPr>
          <w:rFonts w:hint="eastAsia" w:ascii="宋体" w:hAnsi="宋体" w:eastAsia="宋体" w:cs="宋体"/>
          <w:color w:val="auto"/>
          <w:sz w:val="24"/>
          <w:szCs w:val="24"/>
        </w:rPr>
        <w:t>18.3 其他保险</w:t>
      </w:r>
      <w:bookmarkEnd w:id="617"/>
    </w:p>
    <w:p w14:paraId="5B4561B8">
      <w:pPr>
        <w:pageBreakBefore w:val="0"/>
        <w:kinsoku/>
        <w:wordWrap w:val="0"/>
        <w:overflowPunct/>
        <w:topLinePunct w:val="0"/>
        <w:bidi w:val="0"/>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承包人需为其施工现场的全部人员办理社会保险并支付保险费，包括其员工及为履行合同聘请的第三方的人员  </w:t>
      </w:r>
      <w:r>
        <w:rPr>
          <w:rFonts w:hint="eastAsia" w:ascii="宋体" w:hAnsi="宋体" w:eastAsia="宋体" w:cs="宋体"/>
          <w:color w:val="auto"/>
          <w:sz w:val="24"/>
          <w:szCs w:val="24"/>
        </w:rPr>
        <w:t>。</w:t>
      </w:r>
    </w:p>
    <w:p w14:paraId="041C9C96">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14:paraId="3F0E7BAF">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18" w:name="_Toc12510"/>
      <w:r>
        <w:rPr>
          <w:rFonts w:hint="eastAsia" w:ascii="宋体" w:hAnsi="宋体" w:eastAsia="宋体" w:cs="宋体"/>
          <w:color w:val="auto"/>
          <w:sz w:val="24"/>
          <w:szCs w:val="24"/>
        </w:rPr>
        <w:t>18.7 通知义务</w:t>
      </w:r>
      <w:bookmarkEnd w:id="618"/>
    </w:p>
    <w:p w14:paraId="33712728">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按通用合同条款执行  </w:t>
      </w:r>
      <w:r>
        <w:rPr>
          <w:rFonts w:hint="eastAsia" w:ascii="宋体" w:hAnsi="宋体" w:eastAsia="宋体" w:cs="宋体"/>
          <w:color w:val="auto"/>
          <w:sz w:val="24"/>
          <w:szCs w:val="24"/>
        </w:rPr>
        <w:t>。</w:t>
      </w:r>
      <w:bookmarkEnd w:id="576"/>
      <w:bookmarkEnd w:id="577"/>
      <w:bookmarkEnd w:id="578"/>
      <w:bookmarkEnd w:id="579"/>
      <w:bookmarkEnd w:id="580"/>
      <w:bookmarkEnd w:id="581"/>
      <w:bookmarkEnd w:id="582"/>
      <w:bookmarkEnd w:id="583"/>
      <w:bookmarkEnd w:id="584"/>
      <w:bookmarkEnd w:id="585"/>
      <w:bookmarkEnd w:id="586"/>
      <w:bookmarkEnd w:id="587"/>
    </w:p>
    <w:p w14:paraId="1D0CA087">
      <w:pPr>
        <w:pStyle w:val="6"/>
        <w:pageBreakBefore w:val="0"/>
        <w:kinsoku/>
        <w:wordWrap w:val="0"/>
        <w:overflowPunct/>
        <w:topLinePunct w:val="0"/>
        <w:bidi w:val="0"/>
        <w:snapToGrid/>
        <w:spacing w:before="120" w:after="120" w:line="460" w:lineRule="exact"/>
        <w:textAlignment w:val="auto"/>
        <w:outlineLvl w:val="1"/>
        <w:rPr>
          <w:rFonts w:hint="eastAsia" w:ascii="宋体" w:hAnsi="宋体" w:eastAsia="宋体" w:cs="宋体"/>
          <w:b w:val="0"/>
          <w:color w:val="auto"/>
          <w:sz w:val="24"/>
          <w:szCs w:val="24"/>
        </w:rPr>
      </w:pPr>
      <w:bookmarkStart w:id="619" w:name="_Toc16837"/>
      <w:bookmarkStart w:id="620" w:name="_Toc351203651"/>
      <w:r>
        <w:rPr>
          <w:rFonts w:hint="eastAsia" w:ascii="宋体" w:hAnsi="宋体" w:eastAsia="宋体" w:cs="宋体"/>
          <w:b w:val="0"/>
          <w:color w:val="auto"/>
          <w:sz w:val="24"/>
          <w:szCs w:val="24"/>
        </w:rPr>
        <w:t>20. 争议解决</w:t>
      </w:r>
      <w:bookmarkEnd w:id="588"/>
      <w:bookmarkEnd w:id="589"/>
      <w:bookmarkEnd w:id="619"/>
      <w:bookmarkEnd w:id="620"/>
    </w:p>
    <w:p w14:paraId="2D11D548">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21" w:name="_Toc29597"/>
      <w:r>
        <w:rPr>
          <w:rFonts w:hint="eastAsia" w:ascii="宋体" w:hAnsi="宋体" w:eastAsia="宋体" w:cs="宋体"/>
          <w:color w:val="auto"/>
          <w:sz w:val="24"/>
          <w:szCs w:val="24"/>
        </w:rPr>
        <w:t>20.3 争</w:t>
      </w:r>
      <w:bookmarkEnd w:id="590"/>
      <w:r>
        <w:rPr>
          <w:rFonts w:hint="eastAsia" w:ascii="宋体" w:hAnsi="宋体" w:eastAsia="宋体" w:cs="宋体"/>
          <w:color w:val="auto"/>
          <w:sz w:val="24"/>
          <w:szCs w:val="24"/>
        </w:rPr>
        <w:t>议评审</w:t>
      </w:r>
      <w:bookmarkEnd w:id="621"/>
    </w:p>
    <w:p w14:paraId="1E6813EB">
      <w:pPr>
        <w:pageBreakBefore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170DB6A6">
      <w:pPr>
        <w:pageBreakBefore w:val="0"/>
        <w:kinsoku/>
        <w:wordWrap w:val="0"/>
        <w:overflowPunct/>
        <w:topLinePunct w:val="0"/>
        <w:bidi w:val="0"/>
        <w:snapToGrid/>
        <w:spacing w:line="460" w:lineRule="exact"/>
        <w:ind w:firstLine="480"/>
        <w:jc w:val="left"/>
        <w:textAlignment w:val="auto"/>
        <w:outlineLvl w:val="0"/>
        <w:rPr>
          <w:rFonts w:hint="eastAsia" w:ascii="宋体" w:hAnsi="宋体" w:eastAsia="宋体" w:cs="宋体"/>
          <w:color w:val="auto"/>
          <w:sz w:val="24"/>
          <w:szCs w:val="24"/>
        </w:rPr>
      </w:pPr>
      <w:bookmarkStart w:id="622" w:name="_Toc16028"/>
      <w:r>
        <w:rPr>
          <w:rFonts w:hint="eastAsia" w:ascii="宋体" w:hAnsi="宋体" w:eastAsia="宋体" w:cs="宋体"/>
          <w:color w:val="auto"/>
          <w:sz w:val="24"/>
          <w:szCs w:val="24"/>
        </w:rPr>
        <w:t>20.3.1 争议评审小组的确定</w:t>
      </w:r>
      <w:bookmarkEnd w:id="622"/>
    </w:p>
    <w:p w14:paraId="61B4DC32">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748ED3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F5B9B08">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6E88E9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A84080C">
      <w:pPr>
        <w:pageBreakBefore w:val="0"/>
        <w:kinsoku/>
        <w:wordWrap w:val="0"/>
        <w:overflowPunct/>
        <w:topLinePunct w:val="0"/>
        <w:bidi w:val="0"/>
        <w:snapToGrid/>
        <w:spacing w:line="460" w:lineRule="exact"/>
        <w:ind w:firstLine="480"/>
        <w:jc w:val="left"/>
        <w:textAlignment w:val="auto"/>
        <w:outlineLvl w:val="0"/>
        <w:rPr>
          <w:rFonts w:hint="eastAsia" w:ascii="宋体" w:hAnsi="宋体" w:eastAsia="宋体" w:cs="宋体"/>
          <w:color w:val="auto"/>
          <w:sz w:val="24"/>
          <w:szCs w:val="24"/>
        </w:rPr>
      </w:pPr>
      <w:bookmarkStart w:id="623" w:name="_Toc20859"/>
      <w:r>
        <w:rPr>
          <w:rFonts w:hint="eastAsia" w:ascii="宋体" w:hAnsi="宋体" w:eastAsia="宋体" w:cs="宋体"/>
          <w:color w:val="auto"/>
          <w:sz w:val="24"/>
          <w:szCs w:val="24"/>
        </w:rPr>
        <w:t>20.3.2 争议评审小组的决定</w:t>
      </w:r>
      <w:bookmarkEnd w:id="623"/>
    </w:p>
    <w:p w14:paraId="34BE578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CA051BD">
      <w:pPr>
        <w:pageBreakBefore w:val="0"/>
        <w:kinsoku/>
        <w:wordWrap w:val="0"/>
        <w:overflowPunct/>
        <w:topLinePunct w:val="0"/>
        <w:bidi w:val="0"/>
        <w:snapToGrid/>
        <w:spacing w:after="120" w:line="460" w:lineRule="exact"/>
        <w:ind w:firstLine="480"/>
        <w:textAlignment w:val="auto"/>
        <w:outlineLvl w:val="2"/>
        <w:rPr>
          <w:rFonts w:hint="eastAsia" w:ascii="宋体" w:hAnsi="宋体" w:eastAsia="宋体" w:cs="宋体"/>
          <w:color w:val="auto"/>
          <w:sz w:val="24"/>
          <w:szCs w:val="24"/>
        </w:rPr>
      </w:pPr>
      <w:bookmarkStart w:id="624" w:name="_Toc15610"/>
      <w:r>
        <w:rPr>
          <w:rFonts w:hint="eastAsia" w:ascii="宋体" w:hAnsi="宋体" w:eastAsia="宋体" w:cs="宋体"/>
          <w:color w:val="auto"/>
          <w:sz w:val="24"/>
          <w:szCs w:val="24"/>
        </w:rPr>
        <w:t>20.4仲裁或诉讼</w:t>
      </w:r>
      <w:bookmarkEnd w:id="591"/>
      <w:bookmarkEnd w:id="624"/>
    </w:p>
    <w:p w14:paraId="22EFB408">
      <w:pPr>
        <w:pageBreakBefore w:val="0"/>
        <w:kinsoku/>
        <w:wordWrap w:val="0"/>
        <w:overflowPunct/>
        <w:topLinePunct w:val="0"/>
        <w:bidi w:val="0"/>
        <w:snapToGrid/>
        <w:spacing w:after="12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w:t>
      </w:r>
      <w:r>
        <w:rPr>
          <w:rFonts w:hint="eastAsia" w:ascii="宋体" w:hAnsi="宋体" w:eastAsia="宋体" w:cs="宋体"/>
          <w:color w:val="auto"/>
          <w:sz w:val="24"/>
          <w:szCs w:val="24"/>
        </w:rPr>
        <w:t>种方式解决：</w:t>
      </w:r>
    </w:p>
    <w:p w14:paraId="5727BE6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仲裁委员会申请仲裁；</w:t>
      </w:r>
    </w:p>
    <w:p w14:paraId="36BCE899">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盱眙县      </w:t>
      </w:r>
      <w:r>
        <w:rPr>
          <w:rFonts w:hint="eastAsia" w:ascii="宋体" w:hAnsi="宋体" w:eastAsia="宋体" w:cs="宋体"/>
          <w:color w:val="auto"/>
          <w:sz w:val="24"/>
          <w:szCs w:val="24"/>
        </w:rPr>
        <w:t>人民法院起诉。</w:t>
      </w:r>
      <w:bookmarkEnd w:id="592"/>
      <w:bookmarkEnd w:id="593"/>
      <w:bookmarkEnd w:id="594"/>
      <w:bookmarkEnd w:id="595"/>
      <w:bookmarkEnd w:id="596"/>
      <w:bookmarkEnd w:id="597"/>
    </w:p>
    <w:p w14:paraId="5BFF9346">
      <w:pPr>
        <w:pageBreakBefore w:val="0"/>
        <w:kinsoku/>
        <w:wordWrap w:val="0"/>
        <w:overflowPunct/>
        <w:topLinePunct w:val="0"/>
        <w:bidi w:val="0"/>
        <w:snapToGrid/>
        <w:spacing w:after="120" w:line="460" w:lineRule="exact"/>
        <w:textAlignment w:val="auto"/>
        <w:outlineLvl w:val="1"/>
        <w:rPr>
          <w:rFonts w:hint="eastAsia" w:ascii="宋体" w:hAnsi="宋体" w:eastAsia="宋体" w:cs="宋体"/>
          <w:color w:val="auto"/>
          <w:sz w:val="24"/>
          <w:szCs w:val="24"/>
          <w:u w:val="single"/>
        </w:rPr>
      </w:pPr>
      <w:bookmarkStart w:id="625" w:name="_Toc20251"/>
      <w:r>
        <w:rPr>
          <w:rFonts w:hint="eastAsia" w:ascii="宋体" w:hAnsi="宋体" w:eastAsia="宋体" w:cs="宋体"/>
          <w:bCs/>
          <w:color w:val="auto"/>
          <w:sz w:val="24"/>
          <w:szCs w:val="24"/>
        </w:rPr>
        <w:t>21</w:t>
      </w:r>
      <w:r>
        <w:rPr>
          <w:rFonts w:hint="eastAsia" w:ascii="宋体" w:hAnsi="宋体" w:eastAsia="宋体" w:cs="宋体"/>
          <w:color w:val="auto"/>
          <w:sz w:val="24"/>
          <w:szCs w:val="24"/>
          <w:u w:val="single"/>
        </w:rPr>
        <w:t>.补充条款</w:t>
      </w:r>
      <w:bookmarkEnd w:id="625"/>
    </w:p>
    <w:p w14:paraId="55C50BEE">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21.1本合同实施过程中，所有应由承包人负责又需发包人派驻代表/监理审批或确认的事情均不能免除或减轻承包人应负的合同责任。</w:t>
      </w:r>
    </w:p>
    <w:p w14:paraId="2B1235EC">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rPr>
        <w:t>21.2发包方或审计局委托的审计单位出具审计报告时，如果核减金额超出送审金额的5%时，超出部分的</w:t>
      </w:r>
      <w:r>
        <w:rPr>
          <w:rFonts w:hint="eastAsia" w:ascii="宋体" w:hAnsi="宋体" w:eastAsia="宋体" w:cs="宋体"/>
          <w:color w:val="auto"/>
          <w:sz w:val="24"/>
          <w:szCs w:val="24"/>
          <w:u w:val="single"/>
          <w:lang w:val="en-US" w:eastAsia="zh-CN"/>
        </w:rPr>
        <w:t>效益</w:t>
      </w:r>
      <w:r>
        <w:rPr>
          <w:rFonts w:hint="eastAsia" w:ascii="宋体" w:hAnsi="宋体" w:eastAsia="宋体" w:cs="宋体"/>
          <w:color w:val="auto"/>
          <w:sz w:val="24"/>
          <w:szCs w:val="24"/>
          <w:u w:val="single"/>
        </w:rPr>
        <w:t>费由承包人承担。</w:t>
      </w:r>
      <w:r>
        <w:rPr>
          <w:rFonts w:hint="eastAsia" w:ascii="宋体" w:hAnsi="宋体" w:eastAsia="宋体" w:cs="宋体"/>
          <w:color w:val="auto"/>
          <w:sz w:val="24"/>
          <w:szCs w:val="24"/>
          <w:u w:val="single"/>
          <w:lang w:val="en-US" w:eastAsia="zh-CN"/>
        </w:rPr>
        <w:t>如果核减金额超出送审金额的10%时，所有审计费均由承包人承担。</w:t>
      </w:r>
    </w:p>
    <w:p w14:paraId="27D6C30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21.3在付进度款时，承包人必须保证专款专用，若发现有擅自挪用资金的情况，发包人将有权无条件地解除合同，因此而造成的一切损失由承包人承担。</w:t>
      </w:r>
    </w:p>
    <w:p w14:paraId="108F67E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21.4承包人应按照政府相关规定，建立健全的雇员工资发放和劳动保障制度，并及时发放雇员工资，如造成民工上访及其它突发事件或公共事件给发包人造成不良社会影响的或引发纠纷的，承包人自愿接受人民币30000～50000元/次的违约金（从工程款或履约保证金中扣除），并接受发包人暂停承包人1年期间参加发包人招标项目投标资格的处罚，同时承包人接受上级行政主管部门依照有关规定作出的其它处罚决定。如发生拖欠且造成5人以上集体上访的，或承包人组织的施工人员以农民工工资拖欠为由投诉并影响发包人正常工作秩序，发包人有权同相关部门协调从承包人预交的农民工工资保证金中直接支付，不足部分发包人有权从承包人的工程款中预提部分资金用于发放员工工资（含农民工工资），同时承包人还应承担由此给发包人所造成的连带法律责任和经济损失，情节严重的，发包人有权单方面解除合同取消承包人承包资格。</w:t>
      </w:r>
    </w:p>
    <w:p w14:paraId="6C960553">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21.5对承包人因违约应支付的违约金，发包人有权从履约保证金中及时扣除，且承包人需及时重新补足履约保证金，或发包人有权从当期节点付款时扣除。</w:t>
      </w:r>
    </w:p>
    <w:p w14:paraId="3D1599C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21.6 本项目工程检测费用由发包人承担。如因质量不合格导致重复检测的费用由承包人承担。</w:t>
      </w:r>
    </w:p>
    <w:p w14:paraId="1E7E1A9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21.7  一般变更，工程竣工由审计部门审计，重大变更重新签订补充协议，具体要求按补充协议执行。</w:t>
      </w:r>
    </w:p>
    <w:p w14:paraId="5946F22C">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21.8 竣工验收后施工单位必须在业主要求的时间内对验收中提出的问题进行整改，否则将按工期延误处罚。</w:t>
      </w:r>
    </w:p>
    <w:p w14:paraId="20A2F965">
      <w:pPr>
        <w:pStyle w:val="200"/>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21.9 因拆除修复等出现工程量增减情况，必须及时通知建设、监理、审计单位现场签证。</w:t>
      </w:r>
    </w:p>
    <w:p w14:paraId="12F4B978">
      <w:pPr>
        <w:pStyle w:val="200"/>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21.10关于签证、变更：a、现场发生工程变更签证时，承包人将工程变更签证报监理组初审（如需现场计量，监理单位应提前24小时通知项目代表、建设单位人员到场）；甲方根据监理工程师审核意见，对所报资料进行审核，并按审批权限签署意见报相关领导或经审计单位审计。b、签证单位必须有发包人代表、监理工程师、承包人的签章，签证单必须明确签证的原因、位置、尺寸、数量、材料及签证时间，在签署意见时，各单位应明确签证意见，不得出现“情况属实，以XX单位意见为准”等类似签证意见。C、临时用工签证单上需注明工作内容、工作量及工作时间。</w:t>
      </w:r>
    </w:p>
    <w:p w14:paraId="55B82DD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21.11其他约定：1、有下列行为的发包人有权解除协议，并扣除履约保证金，缴纳风险保证金的一并扣除，承包人按照本合同专用条款16.2.3支付违约金，对发包人造成损失的发包人有权进行索赔：</w:t>
      </w:r>
    </w:p>
    <w:p w14:paraId="5E6EED72">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发包人在无违约责任的情况下，承包人擅自一周停工的，发包人有权单方面解除合同或安排其他施工队伍进场施工，施工费用从承包人工程款中扣除。如承包人擅自停工对发包人造成的损失，发包人有权追偿。</w:t>
      </w:r>
    </w:p>
    <w:p w14:paraId="38A8570A">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（2）、承包人施工进度缓慢或消极怠工，发包人或监理人认为承包人无法在合同工期内完成，发包人有权另行安排施工队进场施工，施工费用从承包人工程款中扣除。</w:t>
      </w:r>
    </w:p>
    <w:p w14:paraId="367A692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（3）、承包人必须服从现场发包人现场代表、监理人的调解或指挥，不得野蛮施工。如三次警告无效后，发包人有权单方面解除合同。</w:t>
      </w:r>
    </w:p>
    <w:p w14:paraId="27877BB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（4）、承包人不得以任何理由煽动施工人员攻击公务人员或行政机关，如有发现发包人可以单方面解除合同。</w:t>
      </w:r>
    </w:p>
    <w:p w14:paraId="23F2D936">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2、承包人必须严格按照设计文件的要求进行施工，所用的材料必须符合相关设计及规范要求，严禁使用劣质产品，如发现必须无条件返工。并处罚 20000 元/次。</w:t>
      </w:r>
    </w:p>
    <w:p w14:paraId="0E430304">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承包人对于发包人正式发出的变更、签证，应及时、完整地执行，并保证工程质量和进度的要求；发包人应按照变更、签证的内容及其完成情况及时审核。发包人、承包人双方都应设置变更、签证事项的单据交付记录，交付对方单据时应要求对方签收，接收方不得拒签。</w:t>
      </w:r>
    </w:p>
    <w:p w14:paraId="58F83BAB">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4、关于变更、签证计价及结算的约定：工程竣工由审计部门审计，在竣工审计结束后进行支付，期间不予支付变更、签证费用。</w:t>
      </w:r>
    </w:p>
    <w:p w14:paraId="4FCDDCCC">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5、合同及其附件中涉及的相关经济处罚，发包人签字盖章生效，不需承包人及监理签字确认。</w:t>
      </w:r>
    </w:p>
    <w:p w14:paraId="392A9A05">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6、所有往来文件必须采用 A4 纸打印，手写的一律视为无效文件（人员签名除外）。</w:t>
      </w:r>
    </w:p>
    <w:p w14:paraId="10E41B51">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7、承包人在施工时要对地下管线进行保护，因地下管线保护不力所造成的一切损失均由承包人承担。</w:t>
      </w:r>
    </w:p>
    <w:p w14:paraId="15F186AF">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在施工过程中，如遇阻工承包人需积极配合协调。对此造成的工程延误，由承包人书面向发包人申请，发包人批准后，方可对延误的工期给予顺延，但费用不予索赔。如发包人要求承包人继续施工的承包人应积极配合施工，如承包人不予施工的按照无故停工处理。</w:t>
      </w:r>
    </w:p>
    <w:p w14:paraId="26208FAD">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9、垃圾清运（含生活垃圾）的运距由承包人在投标时自主报价，如承包人未报价，视为给予的让利行为，发包人在结算时不予承担该项费用。</w:t>
      </w:r>
    </w:p>
    <w:p w14:paraId="301BFBD2">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10、因承包人在施工过程中造成他人经济损失及人身损失由承包人自行承担。</w:t>
      </w:r>
    </w:p>
    <w:p w14:paraId="10362902">
      <w:pPr>
        <w:pageBreakBefore w:val="0"/>
        <w:kinsoku/>
        <w:wordWrap w:val="0"/>
        <w:overflowPunct/>
        <w:topLinePunct w:val="0"/>
        <w:bidi w:val="0"/>
        <w:snapToGrid/>
        <w:spacing w:line="460" w:lineRule="exact"/>
        <w:ind w:firstLine="48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11、承包人在收到发包人单独解除协议通知单后，应积极配合发包人进行已完成并经合格的工作量结算工作。结算工作量的单位由甲乙双方、监理单位、</w:t>
      </w:r>
      <w:r>
        <w:rPr>
          <w:rFonts w:hint="eastAsia" w:ascii="宋体" w:hAnsi="宋体" w:eastAsia="宋体" w:cs="宋体"/>
          <w:color w:val="auto"/>
          <w:sz w:val="24"/>
          <w:szCs w:val="24"/>
          <w:highlight w:val="none"/>
          <w:u w:val="single"/>
        </w:rPr>
        <w:t>审计单位组成。现场清理工作需在 7 个日历天内完成，</w:t>
      </w:r>
      <w:r>
        <w:rPr>
          <w:rFonts w:hint="eastAsia" w:ascii="宋体" w:hAnsi="宋体" w:eastAsia="宋体" w:cs="宋体"/>
          <w:color w:val="auto"/>
          <w:sz w:val="24"/>
          <w:szCs w:val="24"/>
          <w:u w:val="single"/>
        </w:rPr>
        <w:t>并退场。如承包人有异议可向</w:t>
      </w:r>
      <w:r>
        <w:rPr>
          <w:rFonts w:hint="eastAsia" w:ascii="宋体" w:hAnsi="宋体" w:eastAsia="宋体" w:cs="宋体"/>
          <w:color w:val="auto"/>
          <w:sz w:val="24"/>
          <w:szCs w:val="24"/>
          <w:u w:val="single"/>
          <w:lang w:eastAsia="zh-CN"/>
        </w:rPr>
        <w:t>工程所在地</w:t>
      </w:r>
      <w:r>
        <w:rPr>
          <w:rFonts w:hint="eastAsia" w:ascii="宋体" w:hAnsi="宋体" w:eastAsia="宋体" w:cs="宋体"/>
          <w:color w:val="auto"/>
          <w:sz w:val="24"/>
          <w:szCs w:val="24"/>
          <w:u w:val="single"/>
        </w:rPr>
        <w:t>诉。如承包人拒不退场或阻扰发包人安排的其他施工队伍进场施工的，延迟退场或阻扰其他单位施工的按5万元每天进行处罚，同时发包人可以向</w:t>
      </w:r>
      <w:r>
        <w:rPr>
          <w:rFonts w:hint="eastAsia" w:ascii="宋体" w:hAnsi="宋体" w:eastAsia="宋体" w:cs="宋体"/>
          <w:color w:val="auto"/>
          <w:sz w:val="24"/>
          <w:szCs w:val="24"/>
          <w:u w:val="single"/>
          <w:lang w:eastAsia="zh-CN"/>
        </w:rPr>
        <w:t>工程所在地</w:t>
      </w:r>
      <w:r>
        <w:rPr>
          <w:rFonts w:hint="eastAsia" w:ascii="宋体" w:hAnsi="宋体" w:eastAsia="宋体" w:cs="宋体"/>
          <w:color w:val="auto"/>
          <w:sz w:val="24"/>
          <w:szCs w:val="24"/>
          <w:u w:val="single"/>
        </w:rPr>
        <w:t>诉。本项目中如有罚则不一致的，按重则执行。</w:t>
      </w:r>
    </w:p>
    <w:p w14:paraId="7F30EEC0">
      <w:pPr>
        <w:pStyle w:val="14"/>
        <w:pageBreakBefore w:val="0"/>
        <w:kinsoku/>
        <w:wordWrap w:val="0"/>
        <w:overflowPunct/>
        <w:topLinePunct w:val="0"/>
        <w:bidi w:val="0"/>
        <w:snapToGrid/>
        <w:spacing w:line="460" w:lineRule="exact"/>
        <w:textAlignment w:val="auto"/>
        <w:rPr>
          <w:rFonts w:hint="eastAsia"/>
        </w:rPr>
      </w:pPr>
    </w:p>
    <w:p w14:paraId="40CB9E73">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承包人：  (公章)                              </w:t>
      </w:r>
    </w:p>
    <w:p w14:paraId="4DD63000">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法定代表人或其委托代理人：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法定代表人或其委托代理人：</w:t>
      </w:r>
    </w:p>
    <w:p w14:paraId="31187AB0">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（签字）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（签字）</w:t>
      </w:r>
    </w:p>
    <w:p w14:paraId="6ED724F2">
      <w:pPr>
        <w:keepNext w:val="0"/>
        <w:keepLines w:val="0"/>
        <w:pageBreakBefore w:val="0"/>
        <w:widowControl/>
        <w:suppressLineNumbers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组织机构代码：</w:t>
      </w:r>
    </w:p>
    <w:p w14:paraId="083F2463">
      <w:pPr>
        <w:keepNext w:val="0"/>
        <w:keepLines w:val="0"/>
        <w:pageBreakBefore w:val="0"/>
        <w:widowControl/>
        <w:suppressLineNumbers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r>
        <w:rPr>
          <w:rFonts w:hint="eastAsia" w:ascii="宋体" w:hAnsi="宋体" w:eastAsia="宋体" w:cs="宋体"/>
          <w:sz w:val="21"/>
          <w:szCs w:val="21"/>
          <w:lang w:val="en-US" w:eastAsia="zh-CN" w:bidi="ar"/>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地  址：</w:t>
      </w:r>
    </w:p>
    <w:p w14:paraId="03CE51B0">
      <w:pPr>
        <w:keepNext w:val="0"/>
        <w:keepLines w:val="0"/>
        <w:pageBreakBefore w:val="0"/>
        <w:widowControl/>
        <w:suppressLineNumbers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邮政编码：</w:t>
      </w:r>
    </w:p>
    <w:p w14:paraId="1A7C7FB4">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法定代表人：</w:t>
      </w:r>
    </w:p>
    <w:p w14:paraId="0A3F08A8">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委托代理人：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委托代理人：</w:t>
      </w:r>
    </w:p>
    <w:p w14:paraId="54AE6705">
      <w:pPr>
        <w:keepNext w:val="0"/>
        <w:keepLines w:val="0"/>
        <w:pageBreakBefore w:val="0"/>
        <w:widowControl/>
        <w:suppressLineNumbers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b w:val="0"/>
          <w:bCs w:val="0"/>
          <w:sz w:val="21"/>
          <w:szCs w:val="21"/>
          <w:u w:val="none"/>
          <w:lang w:val="en-US" w:eastAsia="zh-CN" w:bidi="ar"/>
        </w:rPr>
        <w:t>：</w:t>
      </w:r>
      <w:r>
        <w:rPr>
          <w:rFonts w:hint="eastAsia" w:ascii="宋体" w:hAnsi="宋体" w:eastAsia="宋体" w:cs="宋体"/>
          <w:color w:val="auto"/>
          <w:sz w:val="24"/>
          <w:szCs w:val="24"/>
        </w:rPr>
        <w:t xml:space="preserve"> </w:t>
      </w:r>
    </w:p>
    <w:p w14:paraId="42B11D79">
      <w:pPr>
        <w:pageBreakBefore w:val="0"/>
        <w:kinsoku/>
        <w:wordWrap w:val="0"/>
        <w:overflowPunct/>
        <w:topLinePunct w:val="0"/>
        <w:bidi w:val="0"/>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电子信箱：</w:t>
      </w:r>
    </w:p>
    <w:p w14:paraId="64235E98">
      <w:pPr>
        <w:keepNext w:val="0"/>
        <w:keepLines w:val="0"/>
        <w:pageBreakBefore w:val="0"/>
        <w:widowControl/>
        <w:suppressLineNumbers w:val="0"/>
        <w:kinsoku/>
        <w:wordWrap w:val="0"/>
        <w:overflowPunct/>
        <w:topLinePunct w:val="0"/>
        <w:bidi w:val="0"/>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开户银行： </w:t>
      </w:r>
    </w:p>
    <w:p w14:paraId="4474823F">
      <w:pPr>
        <w:keepNext w:val="0"/>
        <w:keepLines w:val="0"/>
        <w:pageBreakBefore w:val="0"/>
        <w:widowControl/>
        <w:suppressLineNumbers w:val="0"/>
        <w:kinsoku/>
        <w:wordWrap w:val="0"/>
        <w:overflowPunct/>
        <w:topLinePunct w:val="0"/>
        <w:bidi w:val="0"/>
        <w:snapToGrid/>
        <w:spacing w:line="460" w:lineRule="exact"/>
        <w:jc w:val="left"/>
        <w:textAlignment w:val="auto"/>
        <w:rPr>
          <w:rFonts w:hint="eastAsia" w:ascii="宋体" w:hAnsi="宋体" w:eastAsia="宋体" w:cs="宋体"/>
          <w:b/>
          <w:color w:val="auto"/>
          <w:sz w:val="21"/>
          <w:szCs w:val="21"/>
        </w:rPr>
      </w:pPr>
      <w:r>
        <w:rPr>
          <w:rFonts w:hint="eastAsia" w:ascii="宋体" w:hAnsi="宋体" w:eastAsia="宋体" w:cs="宋体"/>
          <w:color w:val="auto"/>
          <w:sz w:val="24"/>
          <w:szCs w:val="24"/>
        </w:rPr>
        <w:t>账  号：</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账  号：</w:t>
      </w:r>
      <w:bookmarkStart w:id="626" w:name="_Toc351203652"/>
    </w:p>
    <w:bookmarkEnd w:id="626"/>
    <w:p w14:paraId="33B14682">
      <w:pPr>
        <w:keepNext w:val="0"/>
        <w:keepLines w:val="0"/>
        <w:pageBreakBefore w:val="0"/>
        <w:widowControl w:val="0"/>
        <w:kinsoku/>
        <w:wordWrap w:val="0"/>
        <w:overflowPunct/>
        <w:topLinePunct w:val="0"/>
        <w:bidi w:val="0"/>
        <w:snapToGrid/>
        <w:spacing w:line="400" w:lineRule="exact"/>
        <w:jc w:val="left"/>
        <w:textAlignment w:val="auto"/>
        <w:rPr>
          <w:rFonts w:hint="eastAsia" w:ascii="宋体" w:hAnsi="宋体" w:eastAsia="宋体" w:cs="宋体"/>
          <w:b/>
          <w:color w:val="auto"/>
          <w:sz w:val="21"/>
          <w:szCs w:val="21"/>
        </w:rPr>
      </w:pPr>
    </w:p>
    <w:p w14:paraId="688C5916">
      <w:pPr>
        <w:pageBreakBefore w:val="0"/>
        <w:kinsoku/>
        <w:wordWrap w:val="0"/>
        <w:overflowPunct/>
        <w:topLinePunct w:val="0"/>
        <w:bidi w:val="0"/>
        <w:snapToGrid/>
        <w:textAlignment w:val="auto"/>
        <w:rPr>
          <w:rFonts w:hint="eastAsia" w:ascii="宋体" w:hAnsi="宋体" w:eastAsia="宋体" w:cs="宋体"/>
          <w:sz w:val="21"/>
          <w:szCs w:val="21"/>
        </w:rPr>
        <w:sectPr>
          <w:footerReference r:id="rId4" w:type="first"/>
          <w:footerReference r:id="rId3" w:type="default"/>
          <w:pgSz w:w="11906" w:h="16838"/>
          <w:pgMar w:top="1418" w:right="1555" w:bottom="1418" w:left="1531" w:header="851" w:footer="992" w:gutter="0"/>
          <w:cols w:space="720" w:num="1"/>
          <w:titlePg/>
          <w:docGrid w:linePitch="360" w:charSpace="0"/>
        </w:sectPr>
      </w:pPr>
    </w:p>
    <w:p w14:paraId="40D8A2C6">
      <w:pPr>
        <w:pageBreakBefore w:val="0"/>
        <w:kinsoku/>
        <w:wordWrap w:val="0"/>
        <w:overflowPunct/>
        <w:topLinePunct w:val="0"/>
        <w:bidi w:val="0"/>
        <w:snapToGrid/>
        <w:spacing w:line="440" w:lineRule="exact"/>
        <w:textAlignment w:val="auto"/>
        <w:rPr>
          <w:rFonts w:hint="eastAsia" w:ascii="宋体" w:hAnsi="宋体" w:eastAsia="宋体" w:cs="宋体"/>
          <w:color w:val="000000"/>
          <w:sz w:val="30"/>
          <w:szCs w:val="30"/>
        </w:rPr>
      </w:pPr>
    </w:p>
    <w:p w14:paraId="19B47F8B">
      <w:pPr>
        <w:pageBreakBefore w:val="0"/>
        <w:kinsoku/>
        <w:wordWrap w:val="0"/>
        <w:overflowPunct/>
        <w:topLinePunct w:val="0"/>
        <w:bidi w:val="0"/>
        <w:snapToGrid/>
        <w:spacing w:before="120" w:after="120" w:line="440" w:lineRule="exact"/>
        <w:jc w:val="center"/>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工程质量保修书</w:t>
      </w:r>
    </w:p>
    <w:p w14:paraId="04427BD3">
      <w:pPr>
        <w:pageBreakBefore w:val="0"/>
        <w:kinsoku/>
        <w:wordWrap w:val="0"/>
        <w:overflowPunct/>
        <w:topLinePunct w:val="0"/>
        <w:bidi w:val="0"/>
        <w:snapToGrid/>
        <w:spacing w:line="440" w:lineRule="exact"/>
        <w:ind w:firstLine="600"/>
        <w:textAlignment w:val="auto"/>
        <w:rPr>
          <w:rFonts w:hint="eastAsia" w:ascii="宋体" w:hAnsi="宋体" w:eastAsia="宋体" w:cs="宋体"/>
          <w:color w:val="000000"/>
          <w:sz w:val="30"/>
          <w:szCs w:val="30"/>
        </w:rPr>
      </w:pPr>
    </w:p>
    <w:p w14:paraId="5887E1E6">
      <w:pPr>
        <w:keepNext w:val="0"/>
        <w:keepLines w:val="0"/>
        <w:pageBreakBefore w:val="0"/>
        <w:widowControl w:val="0"/>
        <w:kinsoku/>
        <w:wordWrap w:val="0"/>
        <w:overflowPunct/>
        <w:topLinePunct w:val="0"/>
        <w:bidi w:val="0"/>
        <w:snapToGrid/>
        <w:spacing w:line="360" w:lineRule="auto"/>
        <w:ind w:firstLine="42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发包人（全称）：</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 xml:space="preserve"> </w:t>
      </w:r>
    </w:p>
    <w:p w14:paraId="4A4E9B1C">
      <w:pPr>
        <w:keepNext w:val="0"/>
        <w:keepLines w:val="0"/>
        <w:pageBreakBefore w:val="0"/>
        <w:widowControl w:val="0"/>
        <w:kinsoku/>
        <w:wordWrap w:val="0"/>
        <w:overflowPunct/>
        <w:topLinePunct w:val="0"/>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b w:val="0"/>
          <w:bCs w:val="0"/>
          <w:color w:val="000000"/>
          <w:sz w:val="21"/>
          <w:szCs w:val="21"/>
        </w:rPr>
        <w:t>　　承包人（全称）：</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bCs/>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14:paraId="068D8303">
      <w:pPr>
        <w:keepNext w:val="0"/>
        <w:keepLines w:val="0"/>
        <w:pageBreakBefore w:val="0"/>
        <w:widowControl w:val="0"/>
        <w:kinsoku/>
        <w:wordWrap w:val="0"/>
        <w:overflowPunct/>
        <w:topLinePunct w:val="0"/>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发包人和承包人根据《中华人民共和国建筑法》和《建设工程质量管理条例》，经协商一致就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FF"/>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（工程全称）签订工程质量保修书。</w:t>
      </w:r>
    </w:p>
    <w:p w14:paraId="7431615B">
      <w:pPr>
        <w:keepNext w:val="0"/>
        <w:keepLines w:val="0"/>
        <w:pageBreakBefore w:val="0"/>
        <w:widowControl w:val="0"/>
        <w:kinsoku/>
        <w:wordWrap w:val="0"/>
        <w:overflowPunct/>
        <w:topLinePunct w:val="0"/>
        <w:bidi w:val="0"/>
        <w:snapToGrid/>
        <w:spacing w:line="360" w:lineRule="auto"/>
        <w:textAlignment w:val="auto"/>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　　一、工程质量保修范围和内容</w:t>
      </w:r>
    </w:p>
    <w:p w14:paraId="5FFBAF8B">
      <w:pPr>
        <w:keepNext w:val="0"/>
        <w:keepLines w:val="0"/>
        <w:pageBreakBefore w:val="0"/>
        <w:widowControl w:val="0"/>
        <w:kinsoku/>
        <w:wordWrap w:val="0"/>
        <w:overflowPunct/>
        <w:topLinePunct w:val="0"/>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承包人在质量保修期内，按照有关法律规定和合同约定，承担工程质量保修责任。</w:t>
      </w:r>
    </w:p>
    <w:p w14:paraId="07A81BD5">
      <w:pPr>
        <w:keepNext w:val="0"/>
        <w:keepLines w:val="0"/>
        <w:pageBreakBefore w:val="0"/>
        <w:widowControl w:val="0"/>
        <w:kinsoku/>
        <w:wordWrap w:val="0"/>
        <w:overflowPunct/>
        <w:topLinePunct w:val="0"/>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CC217F7">
      <w:pPr>
        <w:keepNext w:val="0"/>
        <w:keepLines w:val="0"/>
        <w:pageBreakBefore w:val="0"/>
        <w:widowControl w:val="0"/>
        <w:kinsoku/>
        <w:wordWrap w:val="0"/>
        <w:overflowPunct/>
        <w:topLinePunct w:val="0"/>
        <w:bidi w:val="0"/>
        <w:snapToGrid/>
        <w:spacing w:line="360" w:lineRule="auto"/>
        <w:textAlignment w:val="auto"/>
        <w:outlineLvl w:val="0"/>
        <w:rPr>
          <w:rFonts w:hint="eastAsia" w:ascii="宋体" w:hAnsi="宋体" w:eastAsia="宋体" w:cs="宋体"/>
          <w:color w:val="000000"/>
          <w:sz w:val="21"/>
          <w:szCs w:val="21"/>
        </w:rPr>
      </w:pPr>
      <w:r>
        <w:rPr>
          <w:rFonts w:hint="eastAsia" w:ascii="宋体" w:hAnsi="宋体" w:eastAsia="宋体" w:cs="宋体"/>
          <w:b/>
          <w:color w:val="000000"/>
          <w:sz w:val="21"/>
          <w:szCs w:val="21"/>
        </w:rPr>
        <w:t>　　</w:t>
      </w:r>
      <w:r>
        <w:rPr>
          <w:rFonts w:hint="eastAsia" w:ascii="宋体" w:hAnsi="宋体" w:eastAsia="宋体" w:cs="宋体"/>
          <w:color w:val="000000"/>
          <w:sz w:val="21"/>
          <w:szCs w:val="21"/>
        </w:rPr>
        <w:t>二、质量保修期</w:t>
      </w:r>
    </w:p>
    <w:p w14:paraId="2C9AF098">
      <w:pPr>
        <w:keepNext w:val="0"/>
        <w:keepLines w:val="0"/>
        <w:pageBreakBefore w:val="0"/>
        <w:widowControl w:val="0"/>
        <w:kinsoku/>
        <w:wordWrap w:val="0"/>
        <w:overflowPunct/>
        <w:topLinePunct w:val="0"/>
        <w:bidi w:val="0"/>
        <w:snapToGrid/>
        <w:spacing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根据《建设工程质量管理条例》及有关规定，工程的质量保修期如下：</w:t>
      </w:r>
    </w:p>
    <w:p w14:paraId="0214C63D">
      <w:pPr>
        <w:keepNext w:val="0"/>
        <w:keepLines w:val="0"/>
        <w:pageBreakBefore w:val="0"/>
        <w:widowControl w:val="0"/>
        <w:kinsoku/>
        <w:wordWrap w:val="0"/>
        <w:overflowPunct/>
        <w:topLinePunct w:val="0"/>
        <w:bidi w:val="0"/>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w:t>
      </w:r>
      <w:r>
        <w:rPr>
          <w:rFonts w:hint="eastAsia" w:ascii="宋体" w:hAnsi="宋体" w:eastAsia="宋体" w:cs="宋体"/>
          <w:sz w:val="21"/>
          <w:szCs w:val="21"/>
        </w:rPr>
        <w:t>地基基础工程和主体结构工程为设计文件规定的工程合理使用年限；</w:t>
      </w:r>
    </w:p>
    <w:p w14:paraId="659B272C">
      <w:pPr>
        <w:keepNext w:val="0"/>
        <w:keepLines w:val="0"/>
        <w:pageBreakBefore w:val="0"/>
        <w:widowControl w:val="0"/>
        <w:kinsoku/>
        <w:wordWrap w:val="0"/>
        <w:overflowPunct/>
        <w:topLinePunct w:val="0"/>
        <w:bidi w:val="0"/>
        <w:snapToGrid/>
        <w:spacing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w:t>
      </w:r>
      <w:r>
        <w:rPr>
          <w:rFonts w:hint="eastAsia" w:ascii="宋体" w:hAnsi="宋体" w:eastAsia="宋体" w:cs="宋体"/>
          <w:color w:val="000000"/>
          <w:sz w:val="21"/>
          <w:szCs w:val="21"/>
        </w:rPr>
        <w:t>屋面防水工程、有防水要求的卫生间、房间和外墙面的防渗为</w:t>
      </w:r>
      <w:r>
        <w:rPr>
          <w:rFonts w:hint="eastAsia" w:ascii="宋体" w:hAnsi="宋体" w:eastAsia="宋体" w:cs="宋体"/>
          <w:color w:val="000000"/>
          <w:sz w:val="21"/>
          <w:szCs w:val="21"/>
          <w:u w:val="single"/>
        </w:rPr>
        <w:t xml:space="preserve">  </w:t>
      </w:r>
      <w:r>
        <w:rPr>
          <w:rFonts w:hint="eastAsia" w:ascii="宋体" w:hAnsi="宋体" w:eastAsia="宋体" w:cs="宋体"/>
          <w:color w:val="0000FF"/>
          <w:sz w:val="21"/>
          <w:szCs w:val="21"/>
          <w:u w:val="single"/>
        </w:rPr>
        <w:t xml:space="preserve">5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6114B32B">
      <w:pPr>
        <w:keepNext w:val="0"/>
        <w:keepLines w:val="0"/>
        <w:pageBreakBefore w:val="0"/>
        <w:widowControl w:val="0"/>
        <w:kinsoku/>
        <w:wordWrap w:val="0"/>
        <w:overflowPunct/>
        <w:topLinePunct w:val="0"/>
        <w:bidi w:val="0"/>
        <w:snapToGrid/>
        <w:spacing w:line="360" w:lineRule="auto"/>
        <w:ind w:left="420" w:firstLine="1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rPr>
        <w:t>．</w:t>
      </w:r>
      <w:r>
        <w:rPr>
          <w:rFonts w:hint="eastAsia" w:ascii="宋体" w:hAnsi="宋体" w:eastAsia="宋体" w:cs="宋体"/>
          <w:color w:val="000000"/>
          <w:sz w:val="21"/>
          <w:szCs w:val="21"/>
        </w:rPr>
        <w:t>装修工程为</w:t>
      </w:r>
      <w:r>
        <w:rPr>
          <w:rFonts w:hint="eastAsia" w:ascii="宋体" w:hAnsi="宋体" w:eastAsia="宋体" w:cs="宋体"/>
          <w:color w:val="000000"/>
          <w:sz w:val="21"/>
          <w:szCs w:val="21"/>
          <w:u w:val="single"/>
        </w:rPr>
        <w:t xml:space="preserve">    </w:t>
      </w:r>
      <w:r>
        <w:rPr>
          <w:rFonts w:hint="eastAsia" w:ascii="宋体" w:hAnsi="宋体" w:eastAsia="宋体" w:cs="宋体"/>
          <w:color w:val="0000FF"/>
          <w:sz w:val="21"/>
          <w:szCs w:val="21"/>
          <w:u w:val="single"/>
        </w:rPr>
        <w:t xml:space="preserve">2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55110230">
      <w:pPr>
        <w:keepNext w:val="0"/>
        <w:keepLines w:val="0"/>
        <w:pageBreakBefore w:val="0"/>
        <w:widowControl w:val="0"/>
        <w:kinsoku/>
        <w:wordWrap w:val="0"/>
        <w:overflowPunct/>
        <w:topLinePunct w:val="0"/>
        <w:bidi w:val="0"/>
        <w:snapToGrid/>
        <w:spacing w:line="360" w:lineRule="auto"/>
        <w:ind w:left="420" w:firstLine="1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w:t>
      </w:r>
      <w:r>
        <w:rPr>
          <w:rFonts w:hint="eastAsia" w:ascii="宋体" w:hAnsi="宋体" w:eastAsia="宋体" w:cs="宋体"/>
          <w:color w:val="000000"/>
          <w:sz w:val="21"/>
          <w:szCs w:val="21"/>
        </w:rPr>
        <w:t>电气管线、给排水管道、设备安装工程为</w:t>
      </w:r>
      <w:r>
        <w:rPr>
          <w:rFonts w:hint="eastAsia" w:ascii="宋体" w:hAnsi="宋体" w:eastAsia="宋体" w:cs="宋体"/>
          <w:color w:val="000000"/>
          <w:sz w:val="21"/>
          <w:szCs w:val="21"/>
          <w:u w:val="single"/>
        </w:rPr>
        <w:t xml:space="preserve">     </w:t>
      </w:r>
      <w:r>
        <w:rPr>
          <w:rFonts w:hint="eastAsia" w:ascii="宋体" w:hAnsi="宋体" w:eastAsia="宋体" w:cs="宋体"/>
          <w:color w:val="0000FF"/>
          <w:sz w:val="21"/>
          <w:szCs w:val="21"/>
          <w:u w:val="single"/>
        </w:rPr>
        <w:t xml:space="preserve">2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47885DFD">
      <w:pPr>
        <w:keepNext w:val="0"/>
        <w:keepLines w:val="0"/>
        <w:pageBreakBefore w:val="0"/>
        <w:widowControl w:val="0"/>
        <w:kinsoku/>
        <w:wordWrap w:val="0"/>
        <w:overflowPunct/>
        <w:topLinePunct w:val="0"/>
        <w:bidi w:val="0"/>
        <w:snapToGrid/>
        <w:spacing w:line="360" w:lineRule="auto"/>
        <w:ind w:left="420" w:firstLine="1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sz w:val="21"/>
          <w:szCs w:val="21"/>
        </w:rPr>
        <w:t>．</w:t>
      </w:r>
      <w:r>
        <w:rPr>
          <w:rFonts w:hint="eastAsia" w:ascii="宋体" w:hAnsi="宋体" w:eastAsia="宋体" w:cs="宋体"/>
          <w:color w:val="000000"/>
          <w:sz w:val="21"/>
          <w:szCs w:val="21"/>
        </w:rPr>
        <w:t>供热与供冷系统为</w:t>
      </w:r>
      <w:r>
        <w:rPr>
          <w:rFonts w:hint="eastAsia" w:ascii="宋体" w:hAnsi="宋体" w:eastAsia="宋体" w:cs="宋体"/>
          <w:color w:val="000000"/>
          <w:sz w:val="21"/>
          <w:szCs w:val="21"/>
          <w:u w:val="single"/>
        </w:rPr>
        <w:t xml:space="preserve">  </w:t>
      </w:r>
      <w:r>
        <w:rPr>
          <w:rFonts w:hint="eastAsia" w:ascii="宋体" w:hAnsi="宋体" w:eastAsia="宋体" w:cs="宋体"/>
          <w:color w:val="0000FF"/>
          <w:sz w:val="21"/>
          <w:szCs w:val="21"/>
          <w:u w:val="single"/>
        </w:rPr>
        <w:t xml:space="preserve"> 2</w:t>
      </w:r>
      <w:r>
        <w:rPr>
          <w:rFonts w:hint="eastAsia" w:ascii="宋体" w:hAnsi="宋体" w:eastAsia="宋体" w:cs="宋体"/>
          <w:color w:val="FF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个采暖期、供冷期；</w:t>
      </w:r>
    </w:p>
    <w:p w14:paraId="7E34A0EB">
      <w:pPr>
        <w:keepNext w:val="0"/>
        <w:keepLines w:val="0"/>
        <w:pageBreakBefore w:val="0"/>
        <w:widowControl w:val="0"/>
        <w:kinsoku/>
        <w:wordWrap w:val="0"/>
        <w:overflowPunct/>
        <w:topLinePunct w:val="0"/>
        <w:bidi w:val="0"/>
        <w:snapToGrid/>
        <w:spacing w:line="360" w:lineRule="auto"/>
        <w:ind w:left="420" w:firstLine="1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sz w:val="21"/>
          <w:szCs w:val="21"/>
        </w:rPr>
        <w:t>．</w:t>
      </w:r>
      <w:r>
        <w:rPr>
          <w:rFonts w:hint="eastAsia" w:ascii="宋体" w:hAnsi="宋体" w:eastAsia="宋体" w:cs="宋体"/>
          <w:color w:val="000000"/>
          <w:sz w:val="21"/>
          <w:szCs w:val="21"/>
        </w:rPr>
        <w:t>住宅小区内的给排水设施、道路等配套工程为</w:t>
      </w:r>
      <w:r>
        <w:rPr>
          <w:rFonts w:hint="eastAsia" w:ascii="宋体" w:hAnsi="宋体" w:eastAsia="宋体" w:cs="宋体"/>
          <w:color w:val="000000"/>
          <w:sz w:val="21"/>
          <w:szCs w:val="21"/>
          <w:u w:val="single"/>
        </w:rPr>
        <w:t xml:space="preserve"> </w:t>
      </w:r>
      <w:r>
        <w:rPr>
          <w:rFonts w:hint="eastAsia" w:ascii="宋体" w:hAnsi="宋体" w:eastAsia="宋体" w:cs="宋体"/>
          <w:color w:val="0000FF"/>
          <w:sz w:val="21"/>
          <w:szCs w:val="21"/>
          <w:u w:val="single"/>
        </w:rPr>
        <w:t xml:space="preserve"> 2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p>
    <w:p w14:paraId="51764B74">
      <w:pPr>
        <w:keepNext w:val="0"/>
        <w:keepLines w:val="0"/>
        <w:pageBreakBefore w:val="0"/>
        <w:widowControl w:val="0"/>
        <w:kinsoku/>
        <w:wordWrap w:val="0"/>
        <w:overflowPunct/>
        <w:topLinePunct w:val="0"/>
        <w:bidi w:val="0"/>
        <w:snapToGrid/>
        <w:spacing w:line="360" w:lineRule="auto"/>
        <w:ind w:left="420" w:firstLine="1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sz w:val="21"/>
          <w:szCs w:val="21"/>
        </w:rPr>
        <w:t>．</w:t>
      </w:r>
      <w:r>
        <w:rPr>
          <w:rFonts w:hint="eastAsia" w:ascii="宋体" w:hAnsi="宋体" w:eastAsia="宋体" w:cs="宋体"/>
          <w:color w:val="000000"/>
          <w:sz w:val="21"/>
          <w:szCs w:val="21"/>
        </w:rPr>
        <w:t>其他项目保修期限约定如下：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893FE0A">
      <w:pPr>
        <w:keepNext w:val="0"/>
        <w:keepLines w:val="0"/>
        <w:pageBreakBefore w:val="0"/>
        <w:widowControl w:val="0"/>
        <w:kinsoku/>
        <w:wordWrap w:val="0"/>
        <w:overflowPunct/>
        <w:topLinePunct w:val="0"/>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质量保修期自工程竣工验收合格之日起计算。</w:t>
      </w:r>
    </w:p>
    <w:p w14:paraId="452D338D">
      <w:pPr>
        <w:keepNext w:val="0"/>
        <w:keepLines w:val="0"/>
        <w:pageBreakBefore w:val="0"/>
        <w:widowControl w:val="0"/>
        <w:kinsoku/>
        <w:wordWrap w:val="0"/>
        <w:overflowPunct/>
        <w:topLinePunct w:val="0"/>
        <w:bidi w:val="0"/>
        <w:snapToGrid/>
        <w:spacing w:line="360" w:lineRule="auto"/>
        <w:ind w:firstLine="420"/>
        <w:textAlignment w:val="auto"/>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三、缺陷责任期</w:t>
      </w:r>
    </w:p>
    <w:p w14:paraId="0EBBE344">
      <w:pPr>
        <w:keepNext w:val="0"/>
        <w:keepLines w:val="0"/>
        <w:pageBreakBefore w:val="0"/>
        <w:widowControl w:val="0"/>
        <w:kinsoku/>
        <w:wordWrap w:val="0"/>
        <w:overflowPunct/>
        <w:topLinePunct w:val="0"/>
        <w:bidi w:val="0"/>
        <w:snapToGrid/>
        <w:spacing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工程缺陷责任期为</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12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个月，缺陷责任期自工程通过竣工验收之日起计算。单位工程先于全部工程进行验收，单位工程缺陷责任期自单位工程验收合格之日起算。</w:t>
      </w:r>
    </w:p>
    <w:p w14:paraId="54ADD35C">
      <w:pPr>
        <w:keepNext w:val="0"/>
        <w:keepLines w:val="0"/>
        <w:pageBreakBefore w:val="0"/>
        <w:widowControl w:val="0"/>
        <w:kinsoku/>
        <w:wordWrap w:val="0"/>
        <w:overflowPunct/>
        <w:topLinePunct w:val="0"/>
        <w:bidi w:val="0"/>
        <w:snapToGrid/>
        <w:spacing w:line="360" w:lineRule="auto"/>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缺陷责任期终止后，发包人应退还剩余的质量保证金。</w:t>
      </w:r>
    </w:p>
    <w:p w14:paraId="0EB058C9">
      <w:pPr>
        <w:keepNext w:val="0"/>
        <w:keepLines w:val="0"/>
        <w:pageBreakBefore w:val="0"/>
        <w:widowControl w:val="0"/>
        <w:kinsoku/>
        <w:wordWrap w:val="0"/>
        <w:overflowPunct/>
        <w:topLinePunct w:val="0"/>
        <w:bidi w:val="0"/>
        <w:snapToGrid/>
        <w:spacing w:line="360" w:lineRule="auto"/>
        <w:textAlignment w:val="auto"/>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四、质量保修责任</w:t>
      </w:r>
    </w:p>
    <w:p w14:paraId="770B269B">
      <w:pPr>
        <w:keepNext w:val="0"/>
        <w:keepLines w:val="0"/>
        <w:pageBreakBefore w:val="0"/>
        <w:widowControl w:val="0"/>
        <w:kinsoku/>
        <w:wordWrap w:val="0"/>
        <w:overflowPunct/>
        <w:topLinePunct w:val="0"/>
        <w:bidi w:val="0"/>
        <w:snapToGrid/>
        <w:spacing w:line="360" w:lineRule="auto"/>
        <w:ind w:left="105" w:firstLine="43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w:t>
      </w:r>
      <w:r>
        <w:rPr>
          <w:rFonts w:hint="eastAsia" w:ascii="宋体" w:hAnsi="宋体" w:eastAsia="宋体" w:cs="宋体"/>
          <w:color w:val="000000"/>
          <w:sz w:val="21"/>
          <w:szCs w:val="21"/>
        </w:rPr>
        <w:t>属于保修范围、内容的项目，承包人应当在接到保修通知之日起7天内派人保修。承包人不在约定期限内派人保修的，发包人可以委托他人修理。</w:t>
      </w:r>
    </w:p>
    <w:p w14:paraId="774EDC98">
      <w:pPr>
        <w:keepNext w:val="0"/>
        <w:keepLines w:val="0"/>
        <w:pageBreakBefore w:val="0"/>
        <w:widowControl w:val="0"/>
        <w:kinsoku/>
        <w:wordWrap w:val="0"/>
        <w:overflowPunct/>
        <w:topLinePunct w:val="0"/>
        <w:bidi w:val="0"/>
        <w:snapToGrid/>
        <w:spacing w:line="360" w:lineRule="auto"/>
        <w:ind w:left="105" w:firstLine="43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w:t>
      </w:r>
      <w:r>
        <w:rPr>
          <w:rFonts w:hint="eastAsia" w:ascii="宋体" w:hAnsi="宋体" w:eastAsia="宋体" w:cs="宋体"/>
          <w:color w:val="000000"/>
          <w:sz w:val="21"/>
          <w:szCs w:val="21"/>
        </w:rPr>
        <w:t>发生紧急事故需抢修的，承包人在接到事故通知后，应当立即到达事故现场抢修。</w:t>
      </w:r>
    </w:p>
    <w:p w14:paraId="379B4E3E">
      <w:pPr>
        <w:keepNext w:val="0"/>
        <w:keepLines w:val="0"/>
        <w:pageBreakBefore w:val="0"/>
        <w:widowControl w:val="0"/>
        <w:kinsoku/>
        <w:wordWrap w:val="0"/>
        <w:overflowPunct/>
        <w:topLinePunct w:val="0"/>
        <w:bidi w:val="0"/>
        <w:snapToGrid/>
        <w:spacing w:line="360" w:lineRule="auto"/>
        <w:ind w:left="105" w:firstLine="43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rPr>
        <w:t>．</w:t>
      </w:r>
      <w:r>
        <w:rPr>
          <w:rFonts w:hint="eastAsia" w:ascii="宋体" w:hAnsi="宋体" w:eastAsia="宋体" w:cs="宋体"/>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4339D44">
      <w:pPr>
        <w:keepNext w:val="0"/>
        <w:keepLines w:val="0"/>
        <w:pageBreakBefore w:val="0"/>
        <w:widowControl w:val="0"/>
        <w:kinsoku/>
        <w:wordWrap w:val="0"/>
        <w:overflowPunct/>
        <w:topLinePunct w:val="0"/>
        <w:bidi w:val="0"/>
        <w:snapToGrid/>
        <w:spacing w:line="360" w:lineRule="auto"/>
        <w:ind w:left="420" w:firstLine="10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w:t>
      </w:r>
      <w:r>
        <w:rPr>
          <w:rFonts w:hint="eastAsia" w:ascii="宋体" w:hAnsi="宋体" w:eastAsia="宋体" w:cs="宋体"/>
          <w:color w:val="000000"/>
          <w:sz w:val="21"/>
          <w:szCs w:val="21"/>
        </w:rPr>
        <w:t>质量保修完成后，由发包人组织验收。</w:t>
      </w:r>
    </w:p>
    <w:p w14:paraId="1461B52E">
      <w:pPr>
        <w:keepNext w:val="0"/>
        <w:keepLines w:val="0"/>
        <w:pageBreakBefore w:val="0"/>
        <w:widowControl w:val="0"/>
        <w:kinsoku/>
        <w:wordWrap w:val="0"/>
        <w:overflowPunct/>
        <w:topLinePunct w:val="0"/>
        <w:bidi w:val="0"/>
        <w:snapToGrid/>
        <w:spacing w:line="360" w:lineRule="auto"/>
        <w:textAlignment w:val="auto"/>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　　五、保修费用</w:t>
      </w:r>
    </w:p>
    <w:p w14:paraId="46933236">
      <w:pPr>
        <w:keepNext w:val="0"/>
        <w:keepLines w:val="0"/>
        <w:pageBreakBefore w:val="0"/>
        <w:widowControl w:val="0"/>
        <w:kinsoku/>
        <w:wordWrap w:val="0"/>
        <w:overflowPunct/>
        <w:topLinePunct w:val="0"/>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保修费用由造成质量缺陷的责任方承担。</w:t>
      </w:r>
    </w:p>
    <w:p w14:paraId="25CCED40">
      <w:pPr>
        <w:keepNext w:val="0"/>
        <w:keepLines w:val="0"/>
        <w:pageBreakBefore w:val="0"/>
        <w:widowControl w:val="0"/>
        <w:kinsoku/>
        <w:wordWrap w:val="0"/>
        <w:overflowPunct/>
        <w:topLinePunct w:val="0"/>
        <w:bidi w:val="0"/>
        <w:snapToGrid/>
        <w:spacing w:line="360" w:lineRule="auto"/>
        <w:ind w:firstLine="600"/>
        <w:jc w:val="left"/>
        <w:textAlignment w:val="auto"/>
        <w:outlineLvl w:val="0"/>
        <w:rPr>
          <w:rFonts w:hint="eastAsia" w:ascii="宋体" w:hAnsi="宋体" w:eastAsia="宋体" w:cs="宋体"/>
          <w:color w:val="000000"/>
          <w:sz w:val="21"/>
          <w:szCs w:val="21"/>
        </w:rPr>
      </w:pPr>
      <w:r>
        <w:rPr>
          <w:rFonts w:hint="eastAsia" w:ascii="宋体" w:hAnsi="宋体" w:eastAsia="宋体" w:cs="宋体"/>
          <w:b/>
          <w:color w:val="000000"/>
          <w:sz w:val="21"/>
          <w:szCs w:val="21"/>
        </w:rPr>
        <w:t>六</w:t>
      </w:r>
      <w:r>
        <w:rPr>
          <w:rFonts w:hint="eastAsia" w:ascii="宋体" w:hAnsi="宋体" w:eastAsia="宋体" w:cs="宋体"/>
          <w:color w:val="000000"/>
          <w:sz w:val="21"/>
          <w:szCs w:val="21"/>
        </w:rPr>
        <w:t>、双方约定的其他工程质量保修事项：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EB2366F">
      <w:pPr>
        <w:keepNext w:val="0"/>
        <w:keepLines w:val="0"/>
        <w:pageBreakBefore w:val="0"/>
        <w:widowControl w:val="0"/>
        <w:kinsoku/>
        <w:wordWrap w:val="0"/>
        <w:overflowPunct/>
        <w:topLinePunct w:val="0"/>
        <w:bidi w:val="0"/>
        <w:snapToGrid/>
        <w:spacing w:line="360" w:lineRule="auto"/>
        <w:ind w:firstLine="39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工程质量保修书由发包人、承包人在工程竣工验收前共同签署，作为施工合同附件，其有效期限至保修期满。</w:t>
      </w:r>
    </w:p>
    <w:p w14:paraId="0A0A1500">
      <w:pPr>
        <w:keepNext w:val="0"/>
        <w:keepLines w:val="0"/>
        <w:pageBreakBefore w:val="0"/>
        <w:widowControl w:val="0"/>
        <w:kinsoku/>
        <w:wordWrap w:val="0"/>
        <w:overflowPunct/>
        <w:topLinePunct w:val="0"/>
        <w:bidi w:val="0"/>
        <w:snapToGrid/>
        <w:spacing w:line="360" w:lineRule="auto"/>
        <w:ind w:firstLine="420"/>
        <w:jc w:val="both"/>
        <w:textAlignment w:val="auto"/>
        <w:rPr>
          <w:rFonts w:hint="eastAsia" w:ascii="宋体" w:hAnsi="宋体" w:eastAsia="宋体" w:cs="宋体"/>
          <w:color w:val="000000"/>
          <w:sz w:val="21"/>
          <w:szCs w:val="21"/>
        </w:rPr>
      </w:pPr>
    </w:p>
    <w:p w14:paraId="3A303709">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u w:val="none"/>
        </w:rPr>
      </w:pPr>
      <w:r>
        <w:rPr>
          <w:rFonts w:hint="eastAsia" w:ascii="宋体" w:hAnsi="宋体" w:eastAsia="宋体" w:cs="宋体"/>
          <w:color w:val="000000"/>
          <w:sz w:val="21"/>
          <w:szCs w:val="21"/>
        </w:rPr>
        <w:t>发包人(公章)：</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承包人(公章)：</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u w:val="none"/>
        </w:rPr>
        <w:t xml:space="preserve">   </w:t>
      </w:r>
    </w:p>
    <w:p w14:paraId="16FD63AC">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14:paraId="045047CD">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法定代表人(签字)：</w:t>
      </w:r>
      <w:r>
        <w:rPr>
          <w:rFonts w:hint="eastAsia" w:ascii="宋体" w:hAnsi="宋体" w:eastAsia="宋体" w:cs="宋体"/>
          <w:color w:val="000000"/>
          <w:sz w:val="21"/>
          <w:szCs w:val="21"/>
          <w:u w:val="single"/>
        </w:rPr>
        <w:t xml:space="preserve">                  </w:t>
      </w:r>
    </w:p>
    <w:p w14:paraId="73FBB939">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委托代理人(签字)：</w:t>
      </w:r>
      <w:r>
        <w:rPr>
          <w:rFonts w:hint="eastAsia" w:ascii="宋体" w:hAnsi="宋体" w:eastAsia="宋体" w:cs="宋体"/>
          <w:color w:val="000000"/>
          <w:sz w:val="21"/>
          <w:szCs w:val="21"/>
          <w:u w:val="single"/>
        </w:rPr>
        <w:t xml:space="preserve">                  </w:t>
      </w:r>
    </w:p>
    <w:p w14:paraId="0A71E174">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p>
    <w:p w14:paraId="1969BAEC">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none"/>
          <w:lang w:val="en-US" w:eastAsia="zh-CN"/>
        </w:rPr>
        <w:t xml:space="preserve">    </w:t>
      </w: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p>
    <w:p w14:paraId="6BA68C4F">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p>
    <w:p w14:paraId="333D7777">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p>
    <w:p w14:paraId="2C314C15">
      <w:pPr>
        <w:keepNext w:val="0"/>
        <w:keepLines w:val="0"/>
        <w:pageBreakBefore w:val="0"/>
        <w:widowControl w:val="0"/>
        <w:kinsoku/>
        <w:wordWrap w:val="0"/>
        <w:overflowPunct/>
        <w:topLinePunct w:val="0"/>
        <w:bidi w:val="0"/>
        <w:snapToGrid/>
        <w:spacing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p>
    <w:p w14:paraId="30C6C415">
      <w:pPr>
        <w:pageBreakBefore w:val="0"/>
        <w:kinsoku/>
        <w:wordWrap w:val="0"/>
        <w:overflowPunct/>
        <w:topLinePunct w:val="0"/>
        <w:bidi w:val="0"/>
        <w:snapToGrid/>
        <w:spacing w:before="120" w:after="120" w:line="440" w:lineRule="exact"/>
        <w:textAlignment w:val="auto"/>
        <w:rPr>
          <w:rFonts w:hint="eastAsia" w:ascii="宋体" w:hAnsi="宋体" w:eastAsia="宋体" w:cs="宋体"/>
          <w:color w:val="000000"/>
          <w:sz w:val="30"/>
          <w:szCs w:val="30"/>
        </w:rPr>
      </w:pPr>
      <w:r>
        <w:rPr>
          <w:rFonts w:hint="eastAsia" w:ascii="宋体" w:hAnsi="宋体" w:eastAsia="宋体" w:cs="宋体"/>
          <w:b/>
          <w:color w:val="000000"/>
          <w:sz w:val="24"/>
          <w:szCs w:val="24"/>
        </w:rPr>
        <w:br w:type="page" w:clear="all"/>
      </w:r>
      <w:bookmarkEnd w:id="2"/>
    </w:p>
    <w:p w14:paraId="1209308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2873"/>
        <w:jc w:val="both"/>
        <w:textAlignment w:val="auto"/>
      </w:pPr>
      <w:r>
        <w:rPr>
          <w:rFonts w:ascii="仿宋" w:hAnsi="仿宋" w:eastAsia="仿宋" w:cs="仿宋"/>
          <w:b/>
          <w:color w:val="000000"/>
          <w:sz w:val="36"/>
        </w:rPr>
        <w:t>第五章项目采购需求</w:t>
      </w:r>
    </w:p>
    <w:p w14:paraId="1A9ED6F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rPr>
          <w:rFonts w:hint="default" w:eastAsia="宋体"/>
          <w:lang w:val="en-US" w:eastAsia="zh-CN"/>
        </w:rPr>
      </w:pPr>
      <w:r>
        <w:rPr>
          <w:rFonts w:hint="eastAsia" w:eastAsia="宋体"/>
          <w:sz w:val="32"/>
          <w:szCs w:val="32"/>
          <w:lang w:val="en-US" w:eastAsia="zh-CN"/>
        </w:rPr>
        <w:t>详见清单</w:t>
      </w:r>
    </w:p>
    <w:p w14:paraId="24D8189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6ECA39F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798D342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167E828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190272C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47C18FA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4A821EF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1279000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5948532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1749"/>
        <w:jc w:val="both"/>
        <w:textAlignment w:val="auto"/>
      </w:pPr>
      <w:r>
        <w:rPr>
          <w:rFonts w:ascii="宋体" w:hAnsi="宋体" w:eastAsia="宋体" w:cs="宋体"/>
          <w:b/>
          <w:color w:val="000000"/>
          <w:sz w:val="44"/>
        </w:rPr>
        <w:t> </w:t>
      </w:r>
    </w:p>
    <w:p w14:paraId="7E90DCD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pPr>
      <w:r>
        <w:rPr>
          <w:rFonts w:ascii="黑体" w:hAnsi="黑体" w:eastAsia="黑体" w:cs="黑体"/>
          <w:b/>
          <w:color w:val="000000"/>
          <w:sz w:val="36"/>
        </w:rPr>
        <w:t> </w:t>
      </w:r>
    </w:p>
    <w:p w14:paraId="1EF5DA5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2B7E258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6242470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26A2878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0C5AEF2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43F921C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50E0A98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64C3DB4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1F0F60C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5F17400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5893575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0F2C765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5950756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1F50C1D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0771A10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342"/>
        <w:jc w:val="both"/>
        <w:textAlignment w:val="auto"/>
        <w:rPr>
          <w:rFonts w:ascii="黑体" w:hAnsi="黑体" w:eastAsia="黑体" w:cs="黑体"/>
          <w:b/>
          <w:color w:val="000000"/>
          <w:sz w:val="36"/>
        </w:rPr>
      </w:pPr>
    </w:p>
    <w:p w14:paraId="5B55924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right="0" w:firstLine="2530" w:firstLineChars="700"/>
        <w:jc w:val="both"/>
        <w:textAlignment w:val="auto"/>
        <w:rPr>
          <w:rFonts w:ascii="黑体" w:hAnsi="黑体" w:eastAsia="黑体" w:cs="黑体"/>
          <w:b/>
          <w:color w:val="000000"/>
          <w:sz w:val="36"/>
        </w:rPr>
      </w:pPr>
    </w:p>
    <w:p w14:paraId="70AE694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right="0" w:firstLine="2530" w:firstLineChars="700"/>
        <w:jc w:val="both"/>
        <w:textAlignment w:val="auto"/>
        <w:rPr>
          <w:rFonts w:ascii="黑体" w:hAnsi="黑体" w:eastAsia="黑体" w:cs="黑体"/>
          <w:b/>
          <w:color w:val="000000"/>
          <w:sz w:val="36"/>
        </w:rPr>
      </w:pPr>
    </w:p>
    <w:p w14:paraId="757C9A1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right="0" w:firstLine="2530" w:firstLineChars="700"/>
        <w:jc w:val="both"/>
        <w:textAlignment w:val="auto"/>
      </w:pPr>
      <w:r>
        <w:rPr>
          <w:rFonts w:ascii="黑体" w:hAnsi="黑体" w:eastAsia="黑体" w:cs="黑体"/>
          <w:b/>
          <w:color w:val="000000"/>
          <w:sz w:val="36"/>
        </w:rPr>
        <w:t>第六章响应文件</w:t>
      </w:r>
    </w:p>
    <w:p w14:paraId="7BD9863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640"/>
        <w:jc w:val="both"/>
        <w:textAlignment w:val="auto"/>
      </w:pPr>
      <w:r>
        <w:rPr>
          <w:rFonts w:ascii="黑体" w:hAnsi="黑体" w:eastAsia="黑体" w:cs="黑体"/>
          <w:color w:val="000000"/>
          <w:sz w:val="44"/>
        </w:rPr>
        <w:t> </w:t>
      </w:r>
    </w:p>
    <w:p w14:paraId="391A612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color w:val="000000"/>
          <w:sz w:val="44"/>
        </w:rPr>
        <w:t> </w:t>
      </w:r>
    </w:p>
    <w:p w14:paraId="065246C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color w:val="000000"/>
          <w:sz w:val="44"/>
        </w:rPr>
        <w:t> </w:t>
      </w:r>
    </w:p>
    <w:p w14:paraId="7F40BED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color w:val="000000"/>
          <w:sz w:val="32"/>
        </w:rPr>
        <w:t> </w:t>
      </w:r>
    </w:p>
    <w:p w14:paraId="2ABD197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color w:val="000000"/>
          <w:sz w:val="32"/>
        </w:rPr>
        <w:t> </w:t>
      </w:r>
    </w:p>
    <w:p w14:paraId="0E9BC7F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00" w:lineRule="atLeast"/>
        <w:ind w:left="0" w:right="0" w:firstLine="1446"/>
        <w:jc w:val="both"/>
        <w:textAlignment w:val="auto"/>
      </w:pPr>
      <w:r>
        <w:rPr>
          <w:rFonts w:ascii="黑体" w:hAnsi="黑体" w:eastAsia="黑体" w:cs="黑体"/>
          <w:b/>
          <w:color w:val="000000"/>
          <w:sz w:val="36"/>
        </w:rPr>
        <w:t>项目名称:</w:t>
      </w:r>
    </w:p>
    <w:p w14:paraId="70DDD06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黑体" w:hAnsi="黑体" w:eastAsia="黑体" w:cs="黑体"/>
          <w:color w:val="000000"/>
          <w:sz w:val="32"/>
        </w:rPr>
        <w:t> </w:t>
      </w:r>
    </w:p>
    <w:p w14:paraId="21B13D7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1066"/>
        <w:jc w:val="both"/>
        <w:textAlignment w:val="auto"/>
      </w:pPr>
      <w:r>
        <w:rPr>
          <w:rFonts w:ascii="黑体" w:hAnsi="黑体" w:eastAsia="黑体" w:cs="黑体"/>
          <w:b/>
          <w:color w:val="000000"/>
          <w:sz w:val="36"/>
        </w:rPr>
        <w:t> </w:t>
      </w:r>
    </w:p>
    <w:p w14:paraId="6F6ABD3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1066"/>
        <w:jc w:val="both"/>
        <w:textAlignment w:val="auto"/>
      </w:pPr>
      <w:r>
        <w:rPr>
          <w:rFonts w:ascii="黑体" w:hAnsi="黑体" w:eastAsia="黑体" w:cs="黑体"/>
          <w:b/>
          <w:color w:val="000000"/>
          <w:sz w:val="36"/>
        </w:rPr>
        <w:t> </w:t>
      </w:r>
    </w:p>
    <w:p w14:paraId="6A4D31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1428"/>
        <w:jc w:val="both"/>
        <w:textAlignment w:val="auto"/>
      </w:pPr>
      <w:r>
        <w:rPr>
          <w:rFonts w:ascii="黑体" w:hAnsi="黑体" w:eastAsia="黑体" w:cs="黑体"/>
          <w:b/>
          <w:color w:val="000000"/>
          <w:sz w:val="36"/>
        </w:rPr>
        <w:t>项目编号:</w:t>
      </w:r>
    </w:p>
    <w:p w14:paraId="1DC2B15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00" w:lineRule="atLeast"/>
        <w:ind w:left="0" w:right="0" w:firstLine="0"/>
        <w:jc w:val="both"/>
        <w:textAlignment w:val="auto"/>
      </w:pPr>
      <w:r>
        <w:rPr>
          <w:rFonts w:ascii="黑体" w:hAnsi="黑体" w:eastAsia="黑体" w:cs="黑体"/>
          <w:color w:val="000000"/>
          <w:sz w:val="32"/>
        </w:rPr>
        <w:t> </w:t>
      </w:r>
    </w:p>
    <w:p w14:paraId="1834A63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00" w:lineRule="atLeast"/>
        <w:ind w:left="0" w:right="0" w:firstLine="0"/>
        <w:jc w:val="both"/>
        <w:textAlignment w:val="auto"/>
      </w:pPr>
      <w:r>
        <w:rPr>
          <w:rFonts w:ascii="黑体" w:hAnsi="黑体" w:eastAsia="黑体" w:cs="黑体"/>
          <w:color w:val="000000"/>
          <w:sz w:val="32"/>
        </w:rPr>
        <w:t> </w:t>
      </w:r>
    </w:p>
    <w:p w14:paraId="324F6A4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00" w:lineRule="atLeast"/>
        <w:ind w:left="0" w:right="0" w:firstLine="0"/>
        <w:jc w:val="both"/>
        <w:textAlignment w:val="auto"/>
      </w:pPr>
      <w:r>
        <w:rPr>
          <w:rFonts w:ascii="黑体" w:hAnsi="黑体" w:eastAsia="黑体" w:cs="黑体"/>
          <w:color w:val="000000"/>
          <w:sz w:val="32"/>
        </w:rPr>
        <w:t> </w:t>
      </w:r>
    </w:p>
    <w:p w14:paraId="32FBD48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00" w:lineRule="atLeast"/>
        <w:ind w:left="0" w:right="0" w:firstLine="0"/>
        <w:jc w:val="both"/>
        <w:textAlignment w:val="auto"/>
      </w:pPr>
      <w:r>
        <w:rPr>
          <w:rFonts w:ascii="黑体" w:hAnsi="黑体" w:eastAsia="黑体" w:cs="黑体"/>
          <w:color w:val="000000"/>
          <w:sz w:val="32"/>
        </w:rPr>
        <w:t> </w:t>
      </w:r>
    </w:p>
    <w:p w14:paraId="7C11108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00" w:lineRule="atLeast"/>
        <w:ind w:left="0" w:right="0" w:firstLine="0"/>
        <w:jc w:val="both"/>
        <w:textAlignment w:val="auto"/>
      </w:pPr>
      <w:r>
        <w:rPr>
          <w:rFonts w:ascii="黑体" w:hAnsi="黑体" w:eastAsia="黑体" w:cs="黑体"/>
          <w:color w:val="000000"/>
          <w:sz w:val="32"/>
        </w:rPr>
        <w:t> </w:t>
      </w:r>
    </w:p>
    <w:p w14:paraId="2AA7DC0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00" w:lineRule="atLeast"/>
        <w:ind w:left="0" w:right="0" w:firstLine="1428"/>
        <w:jc w:val="both"/>
        <w:textAlignment w:val="auto"/>
      </w:pPr>
      <w:r>
        <w:rPr>
          <w:rFonts w:ascii="黑体" w:hAnsi="黑体" w:eastAsia="黑体" w:cs="黑体"/>
          <w:b/>
          <w:color w:val="000000"/>
          <w:sz w:val="36"/>
        </w:rPr>
        <w:t>供应商:</w:t>
      </w:r>
    </w:p>
    <w:p w14:paraId="3DC2432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1904"/>
        <w:jc w:val="both"/>
        <w:textAlignment w:val="auto"/>
      </w:pPr>
      <w:r>
        <w:rPr>
          <w:rFonts w:ascii="黑体" w:hAnsi="黑体" w:eastAsia="黑体" w:cs="黑体"/>
          <w:color w:val="000000"/>
          <w:sz w:val="32"/>
        </w:rPr>
        <w:t> </w:t>
      </w:r>
    </w:p>
    <w:p w14:paraId="1218907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1904"/>
        <w:jc w:val="both"/>
        <w:textAlignment w:val="auto"/>
      </w:pPr>
      <w:r>
        <w:rPr>
          <w:rFonts w:ascii="黑体" w:hAnsi="黑体" w:eastAsia="黑体" w:cs="黑体"/>
          <w:color w:val="000000"/>
          <w:sz w:val="32"/>
        </w:rPr>
        <w:t> </w:t>
      </w:r>
    </w:p>
    <w:p w14:paraId="2BCC02E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1904"/>
        <w:jc w:val="both"/>
        <w:textAlignment w:val="auto"/>
      </w:pPr>
      <w:r>
        <w:rPr>
          <w:rFonts w:ascii="黑体" w:hAnsi="黑体" w:eastAsia="黑体" w:cs="黑体"/>
          <w:color w:val="000000"/>
          <w:sz w:val="32"/>
        </w:rPr>
        <w:t> </w:t>
      </w:r>
    </w:p>
    <w:p w14:paraId="4D18B1B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1904"/>
        <w:jc w:val="both"/>
        <w:textAlignment w:val="auto"/>
      </w:pPr>
      <w:r>
        <w:rPr>
          <w:rFonts w:ascii="黑体" w:hAnsi="黑体" w:eastAsia="黑体" w:cs="黑体"/>
          <w:color w:val="000000"/>
          <w:sz w:val="32"/>
        </w:rPr>
        <w:t> </w:t>
      </w:r>
    </w:p>
    <w:p w14:paraId="3DB740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2645"/>
        <w:jc w:val="both"/>
        <w:textAlignment w:val="auto"/>
      </w:pPr>
      <w:r>
        <w:rPr>
          <w:rFonts w:ascii="黑体" w:hAnsi="黑体" w:eastAsia="黑体" w:cs="黑体"/>
          <w:b/>
          <w:color w:val="000000"/>
          <w:sz w:val="36"/>
        </w:rPr>
        <w:t>二0二四年月日</w:t>
      </w:r>
    </w:p>
    <w:p w14:paraId="41FD5ED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both"/>
        <w:textAlignment w:val="auto"/>
      </w:pPr>
      <w:r>
        <w:rPr>
          <w:rFonts w:ascii="宋体" w:hAnsi="宋体" w:eastAsia="宋体" w:cs="宋体"/>
          <w:color w:val="000000"/>
          <w:sz w:val="28"/>
        </w:rPr>
        <w:t> </w:t>
      </w:r>
    </w:p>
    <w:p w14:paraId="4FF55AD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pPr>
      <w:r>
        <w:rPr>
          <w:rFonts w:ascii="仿宋" w:hAnsi="仿宋" w:eastAsia="仿宋" w:cs="仿宋"/>
          <w:b/>
          <w:color w:val="000000"/>
          <w:sz w:val="32"/>
        </w:rPr>
        <w:t> </w:t>
      </w:r>
    </w:p>
    <w:p w14:paraId="0037570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rPr>
          <w:rFonts w:ascii="仿宋" w:hAnsi="仿宋" w:eastAsia="仿宋" w:cs="仿宋"/>
          <w:b/>
          <w:color w:val="000000"/>
          <w:sz w:val="32"/>
        </w:rPr>
      </w:pPr>
    </w:p>
    <w:p w14:paraId="785F69E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rPr>
          <w:rFonts w:ascii="仿宋" w:hAnsi="仿宋" w:eastAsia="仿宋" w:cs="仿宋"/>
          <w:b/>
          <w:color w:val="000000"/>
          <w:sz w:val="32"/>
        </w:rPr>
      </w:pPr>
    </w:p>
    <w:p w14:paraId="166AAA4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rPr>
          <w:rFonts w:ascii="仿宋" w:hAnsi="仿宋" w:eastAsia="仿宋" w:cs="仿宋"/>
          <w:b/>
          <w:color w:val="000000"/>
          <w:sz w:val="32"/>
        </w:rPr>
      </w:pPr>
    </w:p>
    <w:p w14:paraId="0C31053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rPr>
          <w:rFonts w:ascii="仿宋" w:hAnsi="仿宋" w:eastAsia="仿宋" w:cs="仿宋"/>
          <w:b/>
          <w:color w:val="000000"/>
          <w:sz w:val="32"/>
        </w:rPr>
      </w:pPr>
    </w:p>
    <w:p w14:paraId="51FF251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rPr>
          <w:rFonts w:ascii="仿宋" w:hAnsi="仿宋" w:eastAsia="仿宋" w:cs="仿宋"/>
          <w:b/>
          <w:color w:val="000000"/>
          <w:sz w:val="32"/>
        </w:rPr>
      </w:pPr>
    </w:p>
    <w:p w14:paraId="1E3777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pPr>
      <w:r>
        <w:rPr>
          <w:rFonts w:ascii="仿宋" w:hAnsi="仿宋" w:eastAsia="仿宋" w:cs="仿宋"/>
          <w:b/>
          <w:color w:val="000000"/>
          <w:sz w:val="32"/>
        </w:rPr>
        <w:t> </w:t>
      </w:r>
    </w:p>
    <w:p w14:paraId="2CDE73D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3521"/>
        <w:jc w:val="both"/>
        <w:textAlignment w:val="auto"/>
      </w:pPr>
      <w:r>
        <w:rPr>
          <w:rFonts w:ascii="仿宋" w:hAnsi="仿宋" w:eastAsia="仿宋" w:cs="仿宋"/>
          <w:b/>
          <w:color w:val="000000"/>
          <w:sz w:val="32"/>
        </w:rPr>
        <w:t>一、磋商函</w:t>
      </w:r>
    </w:p>
    <w:p w14:paraId="4EFA4B7B">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0"/>
        <w:jc w:val="both"/>
        <w:textAlignment w:val="auto"/>
      </w:pPr>
      <w:r>
        <w:rPr>
          <w:rFonts w:ascii="仿宋" w:hAnsi="仿宋" w:eastAsia="仿宋" w:cs="仿宋"/>
          <w:color w:val="000000"/>
          <w:sz w:val="28"/>
        </w:rPr>
        <w:t>淮安市政府采购中心:</w:t>
      </w:r>
    </w:p>
    <w:p w14:paraId="39146068">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0"/>
        <w:textAlignment w:val="auto"/>
      </w:pPr>
      <w:r>
        <w:rPr>
          <w:rFonts w:ascii="仿宋" w:hAnsi="仿宋" w:eastAsia="仿宋" w:cs="仿宋"/>
          <w:color w:val="000000"/>
          <w:sz w:val="28"/>
        </w:rPr>
        <w:t>关于采购项目（项目编号:）磋商文件（包括更正公告，如果有的话）收悉，我们经详细审阅和研究，现决定参加本项目磋商。同时，正式授权下述签字人（姓名和职务）代表（供应商单位名称），全权处理本次项目磋商的有关事宜。</w:t>
      </w:r>
    </w:p>
    <w:p w14:paraId="530A3756">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0"/>
        <w:jc w:val="both"/>
        <w:textAlignment w:val="auto"/>
      </w:pPr>
      <w:r>
        <w:rPr>
          <w:rFonts w:ascii="仿宋" w:hAnsi="仿宋" w:eastAsia="仿宋" w:cs="仿宋"/>
          <w:color w:val="000000"/>
          <w:sz w:val="28"/>
        </w:rPr>
        <w:t>1、我公司没有为本项目提供整体设计、规范编制或者项目管理、监理、检测等服务。</w:t>
      </w:r>
    </w:p>
    <w:p w14:paraId="1DF7D781">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0"/>
        <w:jc w:val="both"/>
        <w:textAlignment w:val="auto"/>
      </w:pPr>
      <w:r>
        <w:rPr>
          <w:rFonts w:ascii="仿宋" w:hAnsi="仿宋" w:eastAsia="仿宋" w:cs="仿宋"/>
          <w:color w:val="000000"/>
          <w:sz w:val="28"/>
        </w:rPr>
        <w:t>2、参加本次采购活动前，我方没有被“信用中国”网站、“中国政府采购网”列入失信被执行人名单、重大税收违法案件当事人名单、政府采购严重违法失信行为记录名单。</w:t>
      </w:r>
    </w:p>
    <w:p w14:paraId="3C893B99">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0"/>
        <w:textAlignment w:val="auto"/>
      </w:pPr>
      <w:r>
        <w:rPr>
          <w:rFonts w:ascii="仿宋" w:hAnsi="仿宋" w:eastAsia="仿宋" w:cs="仿宋"/>
          <w:color w:val="000000"/>
          <w:sz w:val="28"/>
        </w:rPr>
        <w:t>3、按照磋商文件中规定各项要求，我方愿以（大写、人民币）元（RMB</w:t>
      </w:r>
      <w:r>
        <w:rPr>
          <w:rFonts w:ascii="仿宋" w:hAnsi="仿宋" w:eastAsia="仿宋" w:cs="仿宋"/>
          <w:color w:val="000000"/>
          <w:sz w:val="28"/>
          <w:u w:val="single"/>
        </w:rPr>
        <w:t>￥</w:t>
      </w:r>
      <w:r>
        <w:rPr>
          <w:rFonts w:ascii="仿宋" w:hAnsi="仿宋" w:eastAsia="仿宋" w:cs="仿宋"/>
          <w:color w:val="000000"/>
          <w:sz w:val="28"/>
        </w:rPr>
        <w:t>元）的磋商总报价并按磋商文件的规定要求提供货物和服务。</w:t>
      </w:r>
    </w:p>
    <w:p w14:paraId="279C298E">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0"/>
        <w:jc w:val="both"/>
        <w:textAlignment w:val="auto"/>
      </w:pPr>
      <w:r>
        <w:rPr>
          <w:rFonts w:ascii="仿宋" w:hAnsi="仿宋" w:eastAsia="仿宋" w:cs="仿宋"/>
          <w:color w:val="000000"/>
          <w:sz w:val="28"/>
        </w:rPr>
        <w:t>4、如果我们成交，我们将按磋商文件规定的时间提供货物和服务。</w:t>
      </w:r>
    </w:p>
    <w:p w14:paraId="56B17101">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7"/>
        <w:jc w:val="both"/>
        <w:textAlignment w:val="auto"/>
      </w:pPr>
      <w:r>
        <w:rPr>
          <w:rFonts w:ascii="仿宋" w:hAnsi="仿宋" w:eastAsia="仿宋" w:cs="仿宋"/>
          <w:color w:val="000000"/>
          <w:sz w:val="28"/>
        </w:rPr>
        <w:t>5、我方同意按照磋商文件中第17条规定，本响应文件的有效期为从磋商之日起计算60天，在此期间，本响应文件将始终对我们具有约束力，并可随时被接受。如果我们成交，本响应文件在此期间之后将继续保持有效，直到合同生效。</w:t>
      </w:r>
    </w:p>
    <w:p w14:paraId="67A87DD7">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7"/>
        <w:jc w:val="both"/>
        <w:textAlignment w:val="auto"/>
      </w:pPr>
      <w:r>
        <w:rPr>
          <w:rFonts w:ascii="仿宋" w:hAnsi="仿宋" w:eastAsia="仿宋" w:cs="仿宋"/>
          <w:color w:val="000000"/>
          <w:sz w:val="28"/>
        </w:rPr>
        <w:t>6、我们同意向贵方提供贵方可能要求的与磋商有关的任何证据或资料，并保证所提供的都是真实的、准确的。</w:t>
      </w:r>
    </w:p>
    <w:p w14:paraId="69B050AE">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7"/>
        <w:jc w:val="both"/>
        <w:textAlignment w:val="auto"/>
      </w:pPr>
      <w:r>
        <w:rPr>
          <w:rFonts w:ascii="仿宋" w:hAnsi="仿宋" w:eastAsia="仿宋" w:cs="仿宋"/>
          <w:color w:val="000000"/>
          <w:sz w:val="28"/>
        </w:rPr>
        <w:t>7、一旦我方成交，我方将按照磋商文件的规定，严格履行合同的责任和义务，并保证按磋商文件中规定的时间内提供货物和服务。</w:t>
      </w:r>
    </w:p>
    <w:p w14:paraId="6E431B7C">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7"/>
        <w:jc w:val="both"/>
        <w:textAlignment w:val="auto"/>
      </w:pPr>
      <w:r>
        <w:rPr>
          <w:rFonts w:ascii="仿宋" w:hAnsi="仿宋" w:eastAsia="仿宋" w:cs="仿宋"/>
          <w:color w:val="000000"/>
          <w:sz w:val="28"/>
        </w:rPr>
        <w:t> </w:t>
      </w:r>
    </w:p>
    <w:p w14:paraId="7115C8C4">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0" w:firstLine="567"/>
        <w:jc w:val="both"/>
        <w:textAlignment w:val="auto"/>
      </w:pPr>
      <w:r>
        <w:rPr>
          <w:rFonts w:ascii="仿宋" w:hAnsi="仿宋" w:eastAsia="仿宋" w:cs="仿宋"/>
          <w:color w:val="000000"/>
          <w:sz w:val="28"/>
        </w:rPr>
        <w:t> </w:t>
      </w:r>
    </w:p>
    <w:p w14:paraId="592F27E6">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561" w:firstLine="3360"/>
        <w:textAlignment w:val="auto"/>
      </w:pPr>
      <w:r>
        <w:rPr>
          <w:rFonts w:ascii="仿宋" w:hAnsi="仿宋" w:eastAsia="仿宋" w:cs="仿宋"/>
          <w:color w:val="000000"/>
          <w:sz w:val="28"/>
        </w:rPr>
        <w:t>供应商名称:</w:t>
      </w:r>
      <w:r>
        <w:rPr>
          <w:rFonts w:ascii="仿宋" w:hAnsi="仿宋" w:eastAsia="仿宋" w:cs="仿宋"/>
          <w:color w:val="000000"/>
          <w:sz w:val="28"/>
          <w:u w:val="single"/>
        </w:rPr>
        <w:t>（电子签章）</w:t>
      </w:r>
    </w:p>
    <w:p w14:paraId="2F29EF35">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561" w:firstLine="3360"/>
        <w:textAlignment w:val="auto"/>
      </w:pPr>
      <w:r>
        <w:rPr>
          <w:rFonts w:ascii="仿宋" w:hAnsi="仿宋" w:eastAsia="仿宋" w:cs="仿宋"/>
          <w:color w:val="000000"/>
          <w:sz w:val="28"/>
        </w:rPr>
        <w:t>地址:邮编:</w:t>
      </w:r>
    </w:p>
    <w:p w14:paraId="57CCFA8E">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561" w:firstLine="3360"/>
        <w:jc w:val="both"/>
        <w:textAlignment w:val="auto"/>
      </w:pPr>
      <w:r>
        <w:rPr>
          <w:rFonts w:ascii="仿宋" w:hAnsi="仿宋" w:eastAsia="仿宋" w:cs="仿宋"/>
          <w:color w:val="000000"/>
          <w:sz w:val="28"/>
        </w:rPr>
        <w:t>电话:传真:</w:t>
      </w:r>
    </w:p>
    <w:p w14:paraId="15F42F89">
      <w:pPr>
        <w:keepNext w:val="0"/>
        <w:keepLines w:val="0"/>
        <w:pageBreakBefore w:val="0"/>
        <w:widowControl/>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spacing w:before="0" w:after="0" w:line="500" w:lineRule="atLeast"/>
        <w:ind w:left="0" w:right="561" w:firstLine="420"/>
        <w:jc w:val="center"/>
        <w:textAlignment w:val="auto"/>
      </w:pPr>
      <w:r>
        <w:rPr>
          <w:rFonts w:ascii="仿宋" w:hAnsi="仿宋" w:eastAsia="仿宋" w:cs="仿宋"/>
          <w:color w:val="000000"/>
          <w:sz w:val="28"/>
        </w:rPr>
        <w:t>日期:年月日</w:t>
      </w:r>
    </w:p>
    <w:p w14:paraId="60BFA3C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0"/>
        <w:jc w:val="center"/>
        <w:textAlignment w:val="auto"/>
      </w:pPr>
      <w:r>
        <w:rPr>
          <w:rFonts w:ascii="仿宋" w:hAnsi="仿宋" w:eastAsia="仿宋" w:cs="仿宋"/>
          <w:color w:val="000000"/>
          <w:sz w:val="28"/>
        </w:rPr>
        <w:t> </w:t>
      </w:r>
    </w:p>
    <w:p w14:paraId="59D64A5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center"/>
        <w:textAlignment w:val="auto"/>
      </w:pPr>
      <w:r>
        <w:rPr>
          <w:rFonts w:ascii="仿宋" w:hAnsi="仿宋" w:eastAsia="仿宋" w:cs="仿宋"/>
          <w:b/>
          <w:color w:val="000000"/>
          <w:sz w:val="32"/>
        </w:rPr>
        <w:t>二、磋商报价明细表</w:t>
      </w:r>
    </w:p>
    <w:p w14:paraId="70CFE86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340" w:lineRule="atLeast"/>
        <w:ind w:left="0" w:right="0" w:firstLine="0"/>
        <w:jc w:val="center"/>
        <w:textAlignment w:val="auto"/>
      </w:pPr>
      <w:r>
        <w:rPr>
          <w:rFonts w:ascii="仿宋" w:hAnsi="仿宋" w:eastAsia="仿宋" w:cs="仿宋"/>
          <w:color w:val="000000"/>
          <w:sz w:val="24"/>
        </w:rPr>
        <w:t> </w:t>
      </w:r>
    </w:p>
    <w:p w14:paraId="5A40023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411"/>
        <w:jc w:val="both"/>
        <w:textAlignment w:val="auto"/>
        <w:rPr>
          <w:rFonts w:hint="default" w:eastAsia="仿宋"/>
          <w:lang w:val="en-US" w:eastAsia="zh-CN"/>
        </w:rPr>
      </w:pPr>
      <w:r>
        <w:rPr>
          <w:rFonts w:ascii="仿宋" w:hAnsi="仿宋" w:eastAsia="仿宋" w:cs="仿宋"/>
          <w:color w:val="000000"/>
          <w:sz w:val="28"/>
        </w:rPr>
        <w:t> </w:t>
      </w:r>
      <w:r>
        <w:rPr>
          <w:rFonts w:hint="eastAsia" w:ascii="仿宋" w:hAnsi="仿宋" w:eastAsia="仿宋" w:cs="仿宋"/>
          <w:color w:val="000000"/>
          <w:sz w:val="28"/>
          <w:lang w:val="en-US" w:eastAsia="zh-CN"/>
        </w:rPr>
        <w:t>详见清单</w:t>
      </w:r>
    </w:p>
    <w:p w14:paraId="1C0E41B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411"/>
        <w:jc w:val="both"/>
        <w:textAlignment w:val="auto"/>
      </w:pPr>
      <w:r>
        <w:rPr>
          <w:rFonts w:ascii="仿宋" w:hAnsi="仿宋" w:eastAsia="仿宋" w:cs="仿宋"/>
          <w:color w:val="000000"/>
          <w:sz w:val="28"/>
        </w:rPr>
        <w:t>备注：1、标报价采用总承包方式，“磋商总报价”应包括所投货物（包含与货物相关的服务）费用、安装调试费、测试验收费、培训费、运行维护费用、税金、国际国内运输保险、报关清关、开证、办理全套免税手续费用及其他有关的为完成本项目发生的所有费用，磋商文件中另有规定的除外。</w:t>
      </w:r>
    </w:p>
    <w:p w14:paraId="5C9014C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0"/>
        <w:jc w:val="both"/>
        <w:textAlignment w:val="auto"/>
      </w:pPr>
      <w:r>
        <w:rPr>
          <w:rFonts w:ascii="仿宋" w:hAnsi="仿宋" w:eastAsia="仿宋" w:cs="仿宋"/>
          <w:color w:val="000000"/>
          <w:sz w:val="28"/>
        </w:rPr>
        <w:t> </w:t>
      </w:r>
    </w:p>
    <w:p w14:paraId="2F21A1B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0"/>
        <w:jc w:val="both"/>
        <w:textAlignment w:val="auto"/>
      </w:pPr>
      <w:r>
        <w:rPr>
          <w:rFonts w:ascii="仿宋" w:hAnsi="仿宋" w:eastAsia="仿宋" w:cs="仿宋"/>
          <w:color w:val="000000"/>
          <w:sz w:val="28"/>
        </w:rPr>
        <w:t> </w:t>
      </w:r>
    </w:p>
    <w:p w14:paraId="7ED8929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0"/>
        <w:jc w:val="both"/>
        <w:textAlignment w:val="auto"/>
      </w:pPr>
      <w:r>
        <w:rPr>
          <w:rFonts w:ascii="仿宋" w:hAnsi="仿宋" w:eastAsia="仿宋" w:cs="仿宋"/>
          <w:color w:val="000000"/>
          <w:sz w:val="28"/>
        </w:rPr>
        <w:t> </w:t>
      </w:r>
    </w:p>
    <w:p w14:paraId="5DEC55E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0"/>
        <w:jc w:val="both"/>
        <w:textAlignment w:val="auto"/>
        <w:rPr>
          <w:rFonts w:ascii="仿宋" w:hAnsi="仿宋" w:eastAsia="仿宋" w:cs="仿宋"/>
          <w:color w:val="000000"/>
          <w:sz w:val="28"/>
        </w:rPr>
      </w:pPr>
      <w:r>
        <w:rPr>
          <w:rFonts w:ascii="仿宋" w:hAnsi="仿宋" w:eastAsia="仿宋" w:cs="仿宋"/>
          <w:color w:val="000000"/>
          <w:sz w:val="28"/>
        </w:rPr>
        <w:t> </w:t>
      </w:r>
    </w:p>
    <w:p w14:paraId="2949AE63">
      <w:pPr>
        <w:pStyle w:val="5"/>
        <w:pageBreakBefore w:val="0"/>
        <w:kinsoku/>
        <w:wordWrap w:val="0"/>
        <w:overflowPunct/>
        <w:topLinePunct w:val="0"/>
        <w:bidi w:val="0"/>
        <w:snapToGrid/>
        <w:textAlignment w:val="auto"/>
        <w:rPr>
          <w:rFonts w:ascii="仿宋" w:hAnsi="仿宋" w:eastAsia="仿宋" w:cs="仿宋"/>
          <w:color w:val="000000"/>
          <w:sz w:val="28"/>
        </w:rPr>
      </w:pPr>
    </w:p>
    <w:p w14:paraId="0057855D">
      <w:pPr>
        <w:pageBreakBefore w:val="0"/>
        <w:kinsoku/>
        <w:wordWrap w:val="0"/>
        <w:overflowPunct/>
        <w:topLinePunct w:val="0"/>
        <w:bidi w:val="0"/>
        <w:snapToGrid/>
        <w:textAlignment w:val="auto"/>
      </w:pPr>
    </w:p>
    <w:p w14:paraId="5503BD2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0"/>
        <w:jc w:val="both"/>
        <w:textAlignment w:val="auto"/>
      </w:pPr>
      <w:r>
        <w:rPr>
          <w:rFonts w:ascii="仿宋" w:hAnsi="仿宋" w:eastAsia="仿宋" w:cs="仿宋"/>
          <w:color w:val="000000"/>
          <w:sz w:val="28"/>
        </w:rPr>
        <w:t> </w:t>
      </w:r>
    </w:p>
    <w:p w14:paraId="7D8663E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316B510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448C843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0241C1A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698E964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2C431BE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2F86CC2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446970D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114514F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4CF3C2B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5C9A51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51DA3BF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59FF433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787A55C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7432D7C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01FAE13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01B852A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rPr>
          <w:rFonts w:ascii="仿宋" w:hAnsi="仿宋" w:eastAsia="仿宋" w:cs="仿宋"/>
          <w:b/>
          <w:color w:val="000000"/>
          <w:sz w:val="32"/>
        </w:rPr>
      </w:pPr>
    </w:p>
    <w:p w14:paraId="3CD9D6D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5"/>
        <w:jc w:val="both"/>
        <w:textAlignment w:val="auto"/>
      </w:pPr>
      <w:r>
        <w:rPr>
          <w:rFonts w:ascii="仿宋" w:hAnsi="仿宋" w:eastAsia="仿宋" w:cs="仿宋"/>
          <w:b/>
          <w:color w:val="000000"/>
          <w:sz w:val="32"/>
        </w:rPr>
        <w:t>三、技术要求响应偏离表</w:t>
      </w:r>
    </w:p>
    <w:tbl>
      <w:tblPr>
        <w:tblStyle w:val="3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899"/>
        <w:gridCol w:w="3418"/>
        <w:gridCol w:w="2878"/>
        <w:gridCol w:w="1079"/>
        <w:gridCol w:w="1079"/>
      </w:tblGrid>
      <w:tr w14:paraId="46620DC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704" w:hRule="atLeast"/>
        </w:trPr>
        <w:tc>
          <w:tcPr>
            <w:tcW w:w="899" w:type="dxa"/>
            <w:tcBorders>
              <w:top w:val="single" w:color="000000" w:sz="8" w:space="0"/>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390AAB5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序号</w:t>
            </w:r>
          </w:p>
        </w:tc>
        <w:tc>
          <w:tcPr>
            <w:tcW w:w="3418" w:type="dxa"/>
            <w:tcBorders>
              <w:top w:val="single" w:color="000000" w:sz="8" w:space="0"/>
              <w:left w:val="nil"/>
              <w:bottom w:val="single" w:color="000000" w:sz="8" w:space="0"/>
              <w:right w:val="single" w:color="000000" w:sz="8" w:space="0"/>
            </w:tcBorders>
            <w:noWrap w:val="0"/>
            <w:tcMar>
              <w:top w:w="0" w:type="dxa"/>
              <w:left w:w="3" w:type="dxa"/>
              <w:bottom w:w="0" w:type="dxa"/>
              <w:right w:w="3" w:type="dxa"/>
            </w:tcMar>
            <w:vAlign w:val="center"/>
          </w:tcPr>
          <w:p w14:paraId="5AEDFD7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项目采购需求中主要技术</w:t>
            </w:r>
          </w:p>
          <w:p w14:paraId="4AEB312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条款描述</w:t>
            </w:r>
          </w:p>
        </w:tc>
        <w:tc>
          <w:tcPr>
            <w:tcW w:w="2878" w:type="dxa"/>
            <w:tcBorders>
              <w:top w:val="single" w:color="000000" w:sz="8" w:space="0"/>
              <w:left w:val="nil"/>
              <w:bottom w:val="single" w:color="000000" w:sz="8" w:space="0"/>
              <w:right w:val="single" w:color="000000" w:sz="8" w:space="0"/>
            </w:tcBorders>
            <w:noWrap w:val="0"/>
            <w:tcMar>
              <w:top w:w="0" w:type="dxa"/>
              <w:left w:w="3" w:type="dxa"/>
              <w:bottom w:w="0" w:type="dxa"/>
              <w:right w:w="3" w:type="dxa"/>
            </w:tcMar>
            <w:vAlign w:val="center"/>
          </w:tcPr>
          <w:p w14:paraId="7A51EE2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所报产品规格、型号及相应技术参数描述</w:t>
            </w:r>
          </w:p>
        </w:tc>
        <w:tc>
          <w:tcPr>
            <w:tcW w:w="1079" w:type="dxa"/>
            <w:tcBorders>
              <w:top w:val="single" w:color="000000" w:sz="8" w:space="0"/>
              <w:left w:val="nil"/>
              <w:bottom w:val="single" w:color="000000" w:sz="8" w:space="0"/>
              <w:right w:val="single" w:color="000000" w:sz="8" w:space="0"/>
            </w:tcBorders>
            <w:noWrap w:val="0"/>
            <w:tcMar>
              <w:top w:w="0" w:type="dxa"/>
              <w:left w:w="3" w:type="dxa"/>
              <w:bottom w:w="0" w:type="dxa"/>
              <w:right w:w="3" w:type="dxa"/>
            </w:tcMar>
            <w:vAlign w:val="center"/>
          </w:tcPr>
          <w:p w14:paraId="1C98B81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240"/>
              <w:jc w:val="both"/>
              <w:textAlignment w:val="auto"/>
            </w:pPr>
            <w:r>
              <w:rPr>
                <w:rFonts w:ascii="仿宋" w:hAnsi="仿宋" w:eastAsia="仿宋" w:cs="仿宋"/>
                <w:color w:val="000000"/>
                <w:sz w:val="24"/>
              </w:rPr>
              <w:t>偏离</w:t>
            </w:r>
          </w:p>
          <w:p w14:paraId="02A5BFF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240"/>
              <w:jc w:val="both"/>
              <w:textAlignment w:val="auto"/>
            </w:pPr>
            <w:r>
              <w:rPr>
                <w:rFonts w:ascii="仿宋" w:hAnsi="仿宋" w:eastAsia="仿宋" w:cs="仿宋"/>
                <w:color w:val="000000"/>
                <w:sz w:val="24"/>
              </w:rPr>
              <w:t>情况</w:t>
            </w:r>
          </w:p>
        </w:tc>
        <w:tc>
          <w:tcPr>
            <w:tcW w:w="1079" w:type="dxa"/>
            <w:tcBorders>
              <w:top w:val="single" w:color="000000" w:sz="8" w:space="0"/>
              <w:left w:val="nil"/>
              <w:bottom w:val="single" w:color="000000" w:sz="8" w:space="0"/>
              <w:right w:val="single" w:color="000000" w:sz="8" w:space="0"/>
            </w:tcBorders>
            <w:noWrap w:val="0"/>
            <w:tcMar>
              <w:top w:w="0" w:type="dxa"/>
              <w:left w:w="3" w:type="dxa"/>
              <w:bottom w:w="0" w:type="dxa"/>
              <w:right w:w="3" w:type="dxa"/>
            </w:tcMar>
            <w:vAlign w:val="center"/>
          </w:tcPr>
          <w:p w14:paraId="0C062AF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备注</w:t>
            </w:r>
          </w:p>
        </w:tc>
      </w:tr>
      <w:tr w14:paraId="2B7BB5F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74" w:hRule="atLeast"/>
        </w:trPr>
        <w:tc>
          <w:tcPr>
            <w:tcW w:w="899" w:type="dxa"/>
            <w:tcBorders>
              <w:top w:val="nil"/>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745E1BA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57D7AAB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287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3A004AF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77E078D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229714A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1C50AF0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nil"/>
              <w:left w:val="single" w:color="000000" w:sz="8" w:space="0"/>
              <w:bottom w:val="single" w:color="auto" w:sz="4" w:space="0"/>
              <w:right w:val="single" w:color="000000" w:sz="8" w:space="0"/>
            </w:tcBorders>
            <w:noWrap w:val="0"/>
            <w:tcMar>
              <w:top w:w="0" w:type="dxa"/>
              <w:left w:w="3" w:type="dxa"/>
              <w:bottom w:w="0" w:type="dxa"/>
              <w:right w:w="3" w:type="dxa"/>
            </w:tcMar>
            <w:vAlign w:val="center"/>
          </w:tcPr>
          <w:p w14:paraId="26B0ED8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nil"/>
              <w:left w:val="nil"/>
              <w:bottom w:val="single" w:color="auto" w:sz="4" w:space="0"/>
              <w:right w:val="single" w:color="000000" w:sz="8" w:space="0"/>
            </w:tcBorders>
            <w:noWrap w:val="0"/>
            <w:tcMar>
              <w:top w:w="0" w:type="dxa"/>
              <w:left w:w="3" w:type="dxa"/>
              <w:bottom w:w="0" w:type="dxa"/>
              <w:right w:w="3" w:type="dxa"/>
            </w:tcMar>
            <w:vAlign w:val="center"/>
          </w:tcPr>
          <w:p w14:paraId="0EA052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pacing w:val="-6"/>
                <w:sz w:val="24"/>
              </w:rPr>
              <w:t> </w:t>
            </w:r>
          </w:p>
        </w:tc>
        <w:tc>
          <w:tcPr>
            <w:tcW w:w="2878" w:type="dxa"/>
            <w:tcBorders>
              <w:top w:val="nil"/>
              <w:left w:val="nil"/>
              <w:bottom w:val="single" w:color="auto" w:sz="4" w:space="0"/>
              <w:right w:val="single" w:color="000000" w:sz="8" w:space="0"/>
            </w:tcBorders>
            <w:noWrap w:val="0"/>
            <w:tcMar>
              <w:top w:w="0" w:type="dxa"/>
              <w:left w:w="3" w:type="dxa"/>
              <w:bottom w:w="0" w:type="dxa"/>
              <w:right w:w="3" w:type="dxa"/>
            </w:tcMar>
            <w:vAlign w:val="center"/>
          </w:tcPr>
          <w:p w14:paraId="263F4A2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auto" w:sz="4" w:space="0"/>
              <w:right w:val="single" w:color="000000" w:sz="8" w:space="0"/>
            </w:tcBorders>
            <w:noWrap w:val="0"/>
            <w:tcMar>
              <w:top w:w="0" w:type="dxa"/>
              <w:left w:w="3" w:type="dxa"/>
              <w:bottom w:w="0" w:type="dxa"/>
              <w:right w:w="3" w:type="dxa"/>
            </w:tcMar>
            <w:vAlign w:val="center"/>
          </w:tcPr>
          <w:p w14:paraId="78D7C91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auto" w:sz="4" w:space="0"/>
              <w:right w:val="single" w:color="000000" w:sz="8" w:space="0"/>
            </w:tcBorders>
            <w:noWrap w:val="0"/>
            <w:tcMar>
              <w:top w:w="0" w:type="dxa"/>
              <w:left w:w="3" w:type="dxa"/>
              <w:bottom w:w="0" w:type="dxa"/>
              <w:right w:w="3" w:type="dxa"/>
            </w:tcMar>
            <w:vAlign w:val="center"/>
          </w:tcPr>
          <w:p w14:paraId="2A061F3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50B00D4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42041DE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7D2BDDB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2878"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7F83281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3A9B48E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182D66D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1EE7DB0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4C76DB9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09405DF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2878"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5317925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4778957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7833A42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440D293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1" w:hRule="atLeast"/>
        </w:trPr>
        <w:tc>
          <w:tcPr>
            <w:tcW w:w="89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440522A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52AFD30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2878"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13FFE41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26CC3DD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single" w:color="auto" w:sz="4" w:space="0"/>
              <w:bottom w:val="single" w:color="auto" w:sz="4" w:space="0"/>
              <w:right w:val="single" w:color="auto" w:sz="4" w:space="0"/>
            </w:tcBorders>
            <w:noWrap w:val="0"/>
            <w:tcMar>
              <w:top w:w="0" w:type="dxa"/>
              <w:left w:w="3" w:type="dxa"/>
              <w:bottom w:w="0" w:type="dxa"/>
              <w:right w:w="3" w:type="dxa"/>
            </w:tcMar>
            <w:vAlign w:val="center"/>
          </w:tcPr>
          <w:p w14:paraId="22CED33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6EBAB34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single" w:color="auto" w:sz="4" w:space="0"/>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12D3DDA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single" w:color="auto" w:sz="4" w:space="0"/>
              <w:left w:val="nil"/>
              <w:bottom w:val="single" w:color="000000" w:sz="8" w:space="0"/>
              <w:right w:val="single" w:color="000000" w:sz="8" w:space="0"/>
            </w:tcBorders>
            <w:noWrap w:val="0"/>
            <w:tcMar>
              <w:top w:w="0" w:type="dxa"/>
              <w:left w:w="3" w:type="dxa"/>
              <w:bottom w:w="0" w:type="dxa"/>
              <w:right w:w="3" w:type="dxa"/>
            </w:tcMar>
            <w:vAlign w:val="center"/>
          </w:tcPr>
          <w:p w14:paraId="18E01B5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2878" w:type="dxa"/>
            <w:tcBorders>
              <w:top w:val="single" w:color="auto" w:sz="4" w:space="0"/>
              <w:left w:val="nil"/>
              <w:bottom w:val="single" w:color="000000" w:sz="8" w:space="0"/>
              <w:right w:val="single" w:color="000000" w:sz="8" w:space="0"/>
            </w:tcBorders>
            <w:noWrap w:val="0"/>
            <w:tcMar>
              <w:top w:w="0" w:type="dxa"/>
              <w:left w:w="3" w:type="dxa"/>
              <w:bottom w:w="0" w:type="dxa"/>
              <w:right w:w="3" w:type="dxa"/>
            </w:tcMar>
            <w:vAlign w:val="center"/>
          </w:tcPr>
          <w:p w14:paraId="7B170BC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nil"/>
              <w:bottom w:val="single" w:color="000000" w:sz="8" w:space="0"/>
              <w:right w:val="single" w:color="000000" w:sz="8" w:space="0"/>
            </w:tcBorders>
            <w:noWrap w:val="0"/>
            <w:tcMar>
              <w:top w:w="0" w:type="dxa"/>
              <w:left w:w="3" w:type="dxa"/>
              <w:bottom w:w="0" w:type="dxa"/>
              <w:right w:w="3" w:type="dxa"/>
            </w:tcMar>
            <w:vAlign w:val="center"/>
          </w:tcPr>
          <w:p w14:paraId="15AFE25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single" w:color="auto" w:sz="4" w:space="0"/>
              <w:left w:val="nil"/>
              <w:bottom w:val="single" w:color="000000" w:sz="8" w:space="0"/>
              <w:right w:val="single" w:color="000000" w:sz="8" w:space="0"/>
            </w:tcBorders>
            <w:noWrap w:val="0"/>
            <w:tcMar>
              <w:top w:w="0" w:type="dxa"/>
              <w:left w:w="3" w:type="dxa"/>
              <w:bottom w:w="0" w:type="dxa"/>
              <w:right w:w="3" w:type="dxa"/>
            </w:tcMar>
            <w:vAlign w:val="center"/>
          </w:tcPr>
          <w:p w14:paraId="149C327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1178F1E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nil"/>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0C61F92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4C8F93F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287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5FC4147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3A4A93C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1D993D0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43015C4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nil"/>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64D602E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292B3C8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both"/>
              <w:textAlignment w:val="auto"/>
            </w:pPr>
            <w:r>
              <w:rPr>
                <w:rFonts w:ascii="仿宋" w:hAnsi="仿宋" w:eastAsia="仿宋" w:cs="仿宋"/>
                <w:color w:val="000000"/>
                <w:spacing w:val="-6"/>
                <w:sz w:val="24"/>
              </w:rPr>
              <w:t> </w:t>
            </w:r>
          </w:p>
        </w:tc>
        <w:tc>
          <w:tcPr>
            <w:tcW w:w="287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3ABA664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6943C14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65E818E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1E2DBDB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nil"/>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68DAABF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73EAA58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both"/>
              <w:textAlignment w:val="auto"/>
            </w:pPr>
            <w:r>
              <w:rPr>
                <w:rFonts w:ascii="仿宋" w:hAnsi="仿宋" w:eastAsia="仿宋" w:cs="仿宋"/>
                <w:color w:val="000000"/>
                <w:spacing w:val="-10"/>
                <w:sz w:val="24"/>
              </w:rPr>
              <w:t> </w:t>
            </w:r>
          </w:p>
        </w:tc>
        <w:tc>
          <w:tcPr>
            <w:tcW w:w="287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5A6A344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6C57365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7324B2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03909C8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nil"/>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01B6326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1FFB60A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287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55E4B3B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2CA764A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73DFB64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r w14:paraId="685A21A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4" w:hRule="atLeast"/>
        </w:trPr>
        <w:tc>
          <w:tcPr>
            <w:tcW w:w="899" w:type="dxa"/>
            <w:tcBorders>
              <w:top w:val="nil"/>
              <w:left w:val="single" w:color="000000" w:sz="8" w:space="0"/>
              <w:bottom w:val="single" w:color="000000" w:sz="8" w:space="0"/>
              <w:right w:val="single" w:color="000000" w:sz="8" w:space="0"/>
            </w:tcBorders>
            <w:noWrap w:val="0"/>
            <w:tcMar>
              <w:top w:w="0" w:type="dxa"/>
              <w:left w:w="3" w:type="dxa"/>
              <w:bottom w:w="0" w:type="dxa"/>
              <w:right w:w="3" w:type="dxa"/>
            </w:tcMar>
            <w:vAlign w:val="center"/>
          </w:tcPr>
          <w:p w14:paraId="65E9A29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8"/>
              </w:rPr>
              <w:t> </w:t>
            </w:r>
          </w:p>
        </w:tc>
        <w:tc>
          <w:tcPr>
            <w:tcW w:w="341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1E49B11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both"/>
              <w:textAlignment w:val="auto"/>
            </w:pPr>
            <w:r>
              <w:rPr>
                <w:rFonts w:ascii="仿宋" w:hAnsi="仿宋" w:eastAsia="仿宋" w:cs="仿宋"/>
                <w:color w:val="000000"/>
                <w:spacing w:val="-10"/>
                <w:sz w:val="24"/>
              </w:rPr>
              <w:t> </w:t>
            </w:r>
          </w:p>
        </w:tc>
        <w:tc>
          <w:tcPr>
            <w:tcW w:w="2878"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67F6F63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240" w:lineRule="auto"/>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589F9BA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c>
          <w:tcPr>
            <w:tcW w:w="1079" w:type="dxa"/>
            <w:tcBorders>
              <w:top w:val="nil"/>
              <w:left w:val="nil"/>
              <w:bottom w:val="single" w:color="000000" w:sz="8" w:space="0"/>
              <w:right w:val="single" w:color="000000" w:sz="8" w:space="0"/>
            </w:tcBorders>
            <w:noWrap w:val="0"/>
            <w:tcMar>
              <w:top w:w="0" w:type="dxa"/>
              <w:left w:w="3" w:type="dxa"/>
              <w:bottom w:w="0" w:type="dxa"/>
              <w:right w:w="3" w:type="dxa"/>
            </w:tcMar>
            <w:vAlign w:val="center"/>
          </w:tcPr>
          <w:p w14:paraId="65B3FBA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85" w:lineRule="atLeast"/>
              <w:ind w:left="0" w:right="0" w:firstLine="0"/>
              <w:jc w:val="center"/>
              <w:textAlignment w:val="auto"/>
            </w:pPr>
            <w:r>
              <w:rPr>
                <w:rFonts w:ascii="仿宋" w:hAnsi="仿宋" w:eastAsia="仿宋" w:cs="仿宋"/>
                <w:color w:val="000000"/>
                <w:sz w:val="24"/>
              </w:rPr>
              <w:t> </w:t>
            </w:r>
          </w:p>
        </w:tc>
      </w:tr>
    </w:tbl>
    <w:p w14:paraId="75D01C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注:（1）是否偏离用符号“+、=、-”分别表示正偏离、完全响应、负偏离。</w:t>
      </w:r>
    </w:p>
    <w:p w14:paraId="4E2B120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（2）供应商必须仔细阅读本磋商文件第五章中所有技术规范条款和相关功能要求，并将响应情况及偏离情况逐项填入上表，响应时不得对原有技术规范进行直接复制粘贴及简单表述为完全响应。</w:t>
      </w:r>
    </w:p>
    <w:p w14:paraId="71DF8BB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3357"/>
        <w:jc w:val="both"/>
        <w:textAlignment w:val="auto"/>
      </w:pPr>
      <w:r>
        <w:rPr>
          <w:rFonts w:ascii="仿宋" w:hAnsi="仿宋" w:eastAsia="仿宋" w:cs="仿宋"/>
          <w:b/>
          <w:color w:val="000000"/>
          <w:sz w:val="32"/>
        </w:rPr>
        <w:t> </w:t>
      </w:r>
    </w:p>
    <w:p w14:paraId="16AB336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3357"/>
        <w:jc w:val="both"/>
        <w:textAlignment w:val="auto"/>
      </w:pPr>
      <w:r>
        <w:rPr>
          <w:rFonts w:ascii="仿宋" w:hAnsi="仿宋" w:eastAsia="仿宋" w:cs="仿宋"/>
          <w:b/>
          <w:color w:val="000000"/>
          <w:sz w:val="32"/>
        </w:rPr>
        <w:t> </w:t>
      </w:r>
    </w:p>
    <w:p w14:paraId="0587F8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3357"/>
        <w:jc w:val="both"/>
        <w:textAlignment w:val="auto"/>
      </w:pPr>
      <w:r>
        <w:rPr>
          <w:rFonts w:ascii="仿宋" w:hAnsi="仿宋" w:eastAsia="仿宋" w:cs="仿宋"/>
          <w:b/>
          <w:color w:val="000000"/>
          <w:sz w:val="32"/>
        </w:rPr>
        <w:t> </w:t>
      </w:r>
    </w:p>
    <w:p w14:paraId="6829A45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3357"/>
        <w:jc w:val="both"/>
        <w:textAlignment w:val="auto"/>
      </w:pPr>
      <w:r>
        <w:rPr>
          <w:rFonts w:ascii="仿宋" w:hAnsi="仿宋" w:eastAsia="仿宋" w:cs="仿宋"/>
          <w:b/>
          <w:color w:val="000000"/>
          <w:sz w:val="32"/>
        </w:rPr>
        <w:t> </w:t>
      </w:r>
    </w:p>
    <w:p w14:paraId="6824515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3357"/>
        <w:jc w:val="both"/>
        <w:textAlignment w:val="auto"/>
      </w:pPr>
      <w:r>
        <w:rPr>
          <w:rFonts w:ascii="仿宋" w:hAnsi="仿宋" w:eastAsia="仿宋" w:cs="仿宋"/>
          <w:b/>
          <w:color w:val="000000"/>
          <w:sz w:val="32"/>
        </w:rPr>
        <w:t> </w:t>
      </w:r>
    </w:p>
    <w:p w14:paraId="0B597F0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3357"/>
        <w:jc w:val="both"/>
        <w:textAlignment w:val="auto"/>
      </w:pPr>
      <w:r>
        <w:rPr>
          <w:rFonts w:ascii="仿宋" w:hAnsi="仿宋" w:eastAsia="仿宋" w:cs="仿宋"/>
          <w:b/>
          <w:color w:val="000000"/>
          <w:sz w:val="32"/>
        </w:rPr>
        <w:t> </w:t>
      </w:r>
    </w:p>
    <w:p w14:paraId="0AAFFE7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1285"/>
        <w:jc w:val="both"/>
        <w:textAlignment w:val="auto"/>
      </w:pPr>
      <w:r>
        <w:rPr>
          <w:rFonts w:ascii="仿宋" w:hAnsi="仿宋" w:eastAsia="仿宋" w:cs="仿宋"/>
          <w:b/>
          <w:color w:val="000000"/>
          <w:sz w:val="32"/>
        </w:rPr>
        <w:t>四、资质审查时供应商必须提交的资格证明文件</w:t>
      </w:r>
    </w:p>
    <w:p w14:paraId="532E64A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51"/>
        <w:jc w:val="both"/>
        <w:textAlignment w:val="auto"/>
      </w:pPr>
      <w:r>
        <w:rPr>
          <w:rFonts w:ascii="仿宋" w:hAnsi="仿宋" w:eastAsia="仿宋" w:cs="仿宋"/>
          <w:color w:val="000000"/>
          <w:sz w:val="28"/>
        </w:rPr>
        <w:t>1、供应商提供下列材料之一:</w:t>
      </w:r>
    </w:p>
    <w:p w14:paraId="6A730E0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420"/>
        <w:jc w:val="both"/>
        <w:textAlignment w:val="auto"/>
      </w:pPr>
      <w:r>
        <w:rPr>
          <w:rFonts w:ascii="仿宋" w:hAnsi="仿宋" w:eastAsia="仿宋" w:cs="仿宋"/>
          <w:color w:val="000000"/>
          <w:sz w:val="28"/>
        </w:rPr>
        <w:t>（1）法定代表人资格证明（格式详见示范格式一）和法定代表人身份证（加盖CA电子签章）；</w:t>
      </w:r>
    </w:p>
    <w:p w14:paraId="7D85B4B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420"/>
        <w:jc w:val="both"/>
        <w:textAlignment w:val="auto"/>
      </w:pPr>
      <w:r>
        <w:rPr>
          <w:rFonts w:ascii="仿宋" w:hAnsi="仿宋" w:eastAsia="仿宋" w:cs="仿宋"/>
          <w:color w:val="000000"/>
          <w:sz w:val="28"/>
        </w:rPr>
        <w:t>（2）授权委托书（格式详见示范格式二）和受托人身份证（加盖CA电子签章）。</w:t>
      </w:r>
    </w:p>
    <w:p w14:paraId="0259009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700"/>
        <w:jc w:val="both"/>
        <w:textAlignment w:val="auto"/>
      </w:pPr>
      <w:r>
        <w:rPr>
          <w:rFonts w:ascii="仿宋" w:hAnsi="仿宋" w:eastAsia="仿宋" w:cs="仿宋"/>
          <w:color w:val="000000"/>
          <w:sz w:val="28"/>
        </w:rPr>
        <w:t>2、供应商符合《政府采购法》第二十二条规定条件的承诺函（格式详见示范格式三）；</w:t>
      </w:r>
    </w:p>
    <w:p w14:paraId="2F7C9B8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700"/>
        <w:jc w:val="both"/>
        <w:textAlignment w:val="auto"/>
      </w:pPr>
      <w:r>
        <w:rPr>
          <w:rFonts w:ascii="仿宋" w:hAnsi="仿宋" w:eastAsia="仿宋" w:cs="仿宋"/>
          <w:color w:val="000000"/>
          <w:sz w:val="28"/>
        </w:rPr>
        <w:t>3、落实政府采购政策需满足的资格要求（提供下列任一项材料即可，非专门面向中小企业或者预留份额的采购项目，本项无需提供）:</w:t>
      </w:r>
    </w:p>
    <w:p w14:paraId="5BA3085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（1）企业声明函（详见示范格式四）；</w:t>
      </w:r>
    </w:p>
    <w:p w14:paraId="2759904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（2）《残疾人福利性单位声明函》（详见示范格式五）；</w:t>
      </w:r>
    </w:p>
    <w:p w14:paraId="4253E0B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（3）由省级以上监狱管理局、戒毒管理局（含新疆生产建设兵团）出具的属于监狱企业的证明文件）（加盖出具单位公章的电子件）。</w:t>
      </w:r>
    </w:p>
    <w:p w14:paraId="6650352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4、根据本项目的特定资格要求，供应商还须提供下列资料:</w:t>
      </w:r>
    </w:p>
    <w:p w14:paraId="25B41DC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23599D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4C2682A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4EC2CF7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2C73589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2EBBEA6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7CA6971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49B96AF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70A3A70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48"/>
        <w:jc w:val="both"/>
        <w:textAlignment w:val="auto"/>
      </w:pPr>
      <w:r>
        <w:rPr>
          <w:rFonts w:ascii="仿宋" w:hAnsi="仿宋" w:eastAsia="仿宋" w:cs="仿宋"/>
          <w:color w:val="000000"/>
          <w:sz w:val="28"/>
        </w:rPr>
        <w:t> </w:t>
      </w:r>
    </w:p>
    <w:p w14:paraId="3F008D9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p>
    <w:p w14:paraId="26FDFE9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p>
    <w:p w14:paraId="4271C02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p>
    <w:p w14:paraId="1B366301">
      <w:pPr>
        <w:pStyle w:val="5"/>
        <w:pageBreakBefore w:val="0"/>
        <w:kinsoku/>
        <w:wordWrap w:val="0"/>
        <w:overflowPunct/>
        <w:topLinePunct w:val="0"/>
        <w:bidi w:val="0"/>
        <w:snapToGrid/>
        <w:textAlignment w:val="auto"/>
      </w:pPr>
    </w:p>
    <w:p w14:paraId="01606B6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1269"/>
        <w:textAlignment w:val="auto"/>
      </w:pPr>
      <w:r>
        <w:rPr>
          <w:rFonts w:ascii="仿宋" w:hAnsi="仿宋" w:eastAsia="仿宋" w:cs="仿宋"/>
          <w:b/>
          <w:color w:val="000000"/>
          <w:sz w:val="32"/>
        </w:rPr>
        <w:t>五、综合评分时供应商需提供的证明文件</w:t>
      </w:r>
    </w:p>
    <w:p w14:paraId="649C765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840"/>
        <w:jc w:val="both"/>
        <w:textAlignment w:val="auto"/>
      </w:pPr>
      <w:r>
        <w:rPr>
          <w:rFonts w:ascii="仿宋" w:hAnsi="仿宋" w:eastAsia="仿宋" w:cs="仿宋"/>
          <w:color w:val="000000"/>
          <w:sz w:val="28"/>
        </w:rPr>
        <w:t>（供应商根据第三章评标标准的要求提供相关材料）</w:t>
      </w:r>
    </w:p>
    <w:p w14:paraId="02F129F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textAlignment w:val="auto"/>
      </w:pPr>
      <w:r>
        <w:rPr>
          <w:rFonts w:ascii="仿宋" w:hAnsi="仿宋" w:eastAsia="仿宋" w:cs="仿宋"/>
          <w:color w:val="000000"/>
          <w:sz w:val="28"/>
        </w:rPr>
        <w:t> </w:t>
      </w:r>
    </w:p>
    <w:p w14:paraId="2395D81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208C8B0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27A5B8F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2EB9F1F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118083E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36294B6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2695C8B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241BA87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0AA4C19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18014AA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74264C5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744453D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4E79A68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22C56E6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4B8F679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31F1B04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06D3300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7F88690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187C590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67BEBF3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53E8A29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0F995B7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100671E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41B22B2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5C0CDEA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r>
        <w:rPr>
          <w:rFonts w:ascii="宋体" w:hAnsi="宋体" w:eastAsia="宋体" w:cs="宋体"/>
          <w:b/>
          <w:color w:val="000000"/>
          <w:sz w:val="36"/>
        </w:rPr>
        <w:t> </w:t>
      </w:r>
    </w:p>
    <w:p w14:paraId="301A4DA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pPr>
    </w:p>
    <w:p w14:paraId="31A5C99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877"/>
        <w:jc w:val="both"/>
        <w:textAlignment w:val="auto"/>
        <w:rPr>
          <w:rFonts w:ascii="宋体" w:hAnsi="宋体" w:eastAsia="宋体" w:cs="宋体"/>
          <w:b/>
          <w:bCs/>
          <w:color w:val="000000"/>
          <w:sz w:val="36"/>
          <w:szCs w:val="36"/>
          <w:highlight w:val="none"/>
        </w:rPr>
      </w:pPr>
      <w:r>
        <w:rPr>
          <w:rFonts w:ascii="宋体" w:hAnsi="宋体" w:eastAsia="宋体" w:cs="宋体"/>
          <w:b/>
          <w:color w:val="000000"/>
          <w:sz w:val="36"/>
        </w:rPr>
        <w:t> </w:t>
      </w:r>
    </w:p>
    <w:p w14:paraId="29C894B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557"/>
        <w:jc w:val="left"/>
        <w:textAlignment w:val="auto"/>
      </w:pPr>
      <w:r>
        <w:rPr>
          <w:rFonts w:ascii="仿宋" w:hAnsi="仿宋" w:eastAsia="仿宋" w:cs="仿宋"/>
          <w:b/>
          <w:color w:val="000000"/>
          <w:sz w:val="32"/>
        </w:rPr>
        <w:t>六、示范格式</w:t>
      </w:r>
    </w:p>
    <w:p w14:paraId="36BC042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0"/>
        <w:jc w:val="both"/>
        <w:textAlignment w:val="auto"/>
      </w:pPr>
      <w:r>
        <w:rPr>
          <w:rFonts w:ascii="仿宋" w:hAnsi="仿宋" w:eastAsia="仿宋" w:cs="仿宋"/>
          <w:b/>
          <w:color w:val="000000"/>
          <w:sz w:val="32"/>
        </w:rPr>
        <w:t>示范格式一</w:t>
      </w:r>
    </w:p>
    <w:p w14:paraId="5AA2224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439" w:lineRule="atLeast"/>
        <w:ind w:left="0" w:right="0" w:firstLine="2570"/>
        <w:jc w:val="both"/>
        <w:textAlignment w:val="auto"/>
      </w:pPr>
      <w:r>
        <w:rPr>
          <w:rFonts w:ascii="仿宋" w:hAnsi="仿宋" w:eastAsia="仿宋" w:cs="仿宋"/>
          <w:b/>
          <w:color w:val="000000"/>
          <w:sz w:val="32"/>
        </w:rPr>
        <w:t> </w:t>
      </w:r>
    </w:p>
    <w:p w14:paraId="219CC97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2891"/>
        <w:jc w:val="both"/>
        <w:textAlignment w:val="auto"/>
      </w:pPr>
      <w:r>
        <w:rPr>
          <w:rFonts w:ascii="仿宋" w:hAnsi="仿宋" w:eastAsia="仿宋" w:cs="仿宋"/>
          <w:b/>
          <w:color w:val="000000"/>
          <w:sz w:val="32"/>
        </w:rPr>
        <w:t>法定代表人资格证明</w:t>
      </w:r>
    </w:p>
    <w:p w14:paraId="327BD2E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both"/>
        <w:textAlignment w:val="auto"/>
      </w:pPr>
      <w:r>
        <w:rPr>
          <w:rFonts w:ascii="仿宋" w:hAnsi="仿宋" w:eastAsia="仿宋" w:cs="仿宋"/>
          <w:color w:val="000000"/>
          <w:sz w:val="28"/>
        </w:rPr>
        <w:t>单位名称:</w:t>
      </w:r>
    </w:p>
    <w:p w14:paraId="0039EF5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both"/>
        <w:textAlignment w:val="auto"/>
      </w:pPr>
      <w:r>
        <w:rPr>
          <w:rFonts w:ascii="仿宋" w:hAnsi="仿宋" w:eastAsia="仿宋" w:cs="仿宋"/>
          <w:color w:val="000000"/>
          <w:sz w:val="28"/>
        </w:rPr>
        <w:t>地址:</w:t>
      </w:r>
    </w:p>
    <w:p w14:paraId="3972AE1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both"/>
        <w:textAlignment w:val="auto"/>
      </w:pPr>
      <w:r>
        <w:rPr>
          <w:rFonts w:ascii="仿宋" w:hAnsi="仿宋" w:eastAsia="仿宋" w:cs="仿宋"/>
          <w:color w:val="000000"/>
          <w:sz w:val="28"/>
        </w:rPr>
        <w:t>姓名:性别:年龄:职务:</w:t>
      </w:r>
    </w:p>
    <w:p w14:paraId="025C95A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1" w:right="0" w:firstLine="560"/>
        <w:jc w:val="both"/>
        <w:textAlignment w:val="auto"/>
      </w:pPr>
      <w:r>
        <w:rPr>
          <w:rFonts w:ascii="仿宋" w:hAnsi="仿宋" w:eastAsia="仿宋" w:cs="仿宋"/>
          <w:color w:val="000000"/>
          <w:sz w:val="28"/>
        </w:rPr>
        <w:t>系</w:t>
      </w:r>
      <w:r>
        <w:rPr>
          <w:rFonts w:ascii="仿宋" w:hAnsi="仿宋" w:eastAsia="仿宋" w:cs="仿宋"/>
          <w:color w:val="000000"/>
          <w:sz w:val="28"/>
          <w:u w:val="single"/>
        </w:rPr>
        <w:t>（投标人单位名称）</w:t>
      </w:r>
      <w:r>
        <w:rPr>
          <w:rFonts w:ascii="仿宋" w:hAnsi="仿宋" w:eastAsia="仿宋" w:cs="仿宋"/>
          <w:color w:val="000000"/>
          <w:sz w:val="28"/>
        </w:rPr>
        <w:t>的法定代表人。为参与项目，签署上述项目的投标文件、进行招标、签署合同和处理与之有关的一切事务。</w:t>
      </w:r>
    </w:p>
    <w:p w14:paraId="1C6191F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280"/>
        <w:jc w:val="both"/>
        <w:textAlignment w:val="auto"/>
      </w:pPr>
      <w:r>
        <w:rPr>
          <w:rFonts w:ascii="仿宋" w:hAnsi="仿宋" w:eastAsia="仿宋" w:cs="仿宋"/>
          <w:color w:val="000000"/>
          <w:sz w:val="28"/>
        </w:rPr>
        <w:t> </w:t>
      </w:r>
    </w:p>
    <w:p w14:paraId="57FB263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both"/>
        <w:textAlignment w:val="auto"/>
      </w:pPr>
      <w:r>
        <w:rPr>
          <w:rFonts w:ascii="仿宋" w:hAnsi="仿宋" w:eastAsia="仿宋" w:cs="仿宋"/>
          <w:color w:val="000000"/>
          <w:sz w:val="28"/>
        </w:rPr>
        <w:t> </w:t>
      </w:r>
    </w:p>
    <w:p w14:paraId="49857A1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280"/>
        <w:jc w:val="both"/>
        <w:textAlignment w:val="auto"/>
      </w:pPr>
      <w:r>
        <w:rPr>
          <w:rFonts w:ascii="仿宋" w:hAnsi="仿宋" w:eastAsia="仿宋" w:cs="仿宋"/>
          <w:color w:val="000000"/>
          <w:sz w:val="28"/>
        </w:rPr>
        <w:t>特此证明。</w:t>
      </w:r>
    </w:p>
    <w:p w14:paraId="131F4A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 </w:t>
      </w:r>
    </w:p>
    <w:p w14:paraId="75762AF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供应商:</w:t>
      </w:r>
      <w:r>
        <w:rPr>
          <w:rFonts w:ascii="仿宋" w:hAnsi="仿宋" w:eastAsia="仿宋" w:cs="仿宋"/>
          <w:color w:val="000000"/>
          <w:sz w:val="28"/>
          <w:u w:val="single"/>
        </w:rPr>
        <w:t>（电子签章）</w:t>
      </w:r>
    </w:p>
    <w:p w14:paraId="1BFE5F7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日期:年月日</w:t>
      </w:r>
    </w:p>
    <w:p w14:paraId="2C03EB2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4760" w:right="560" w:hanging="1820"/>
        <w:textAlignment w:val="auto"/>
      </w:pPr>
      <w:r>
        <w:rPr>
          <w:rFonts w:ascii="仿宋" w:hAnsi="仿宋" w:eastAsia="仿宋" w:cs="仿宋"/>
          <w:color w:val="000000"/>
          <w:sz w:val="28"/>
        </w:rPr>
        <w:t> </w:t>
      </w:r>
    </w:p>
    <w:p w14:paraId="21F3DE7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 </w:t>
      </w:r>
    </w:p>
    <w:p w14:paraId="57A9A01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jc w:val="both"/>
        <w:textAlignment w:val="auto"/>
      </w:pPr>
      <w:r>
        <w:rPr>
          <w:rFonts w:ascii="仿宋" w:hAnsi="仿宋" w:eastAsia="仿宋" w:cs="仿宋"/>
          <w:color w:val="000000"/>
          <w:sz w:val="28"/>
        </w:rPr>
        <w:t>注:供应商法定代表人参加磋商的，必须附法定代表人身份证扫描件加盖供应商电子签章。法定代表人授权其他人参加磋商的，仅需填写“授权委托书”。</w:t>
      </w:r>
    </w:p>
    <w:p w14:paraId="3759864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359" w:right="0" w:firstLine="357"/>
        <w:jc w:val="both"/>
        <w:textAlignment w:val="auto"/>
      </w:pPr>
      <w:r>
        <w:rPr>
          <w:rFonts w:ascii="仿宋" w:hAnsi="仿宋" w:eastAsia="仿宋" w:cs="仿宋"/>
          <w:b/>
          <w:color w:val="000000"/>
          <w:sz w:val="32"/>
        </w:rPr>
        <w:t> </w:t>
      </w:r>
    </w:p>
    <w:p w14:paraId="2989D9E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359" w:right="0" w:firstLine="357"/>
        <w:jc w:val="both"/>
        <w:textAlignment w:val="auto"/>
      </w:pPr>
      <w:r>
        <w:rPr>
          <w:rFonts w:ascii="仿宋" w:hAnsi="仿宋" w:eastAsia="仿宋" w:cs="仿宋"/>
          <w:b/>
          <w:color w:val="000000"/>
          <w:sz w:val="32"/>
        </w:rPr>
        <w:t> </w:t>
      </w:r>
    </w:p>
    <w:p w14:paraId="18AC572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359" w:right="0" w:firstLine="357"/>
        <w:jc w:val="both"/>
        <w:textAlignment w:val="auto"/>
      </w:pPr>
      <w:r>
        <w:rPr>
          <w:rFonts w:ascii="仿宋" w:hAnsi="仿宋" w:eastAsia="仿宋" w:cs="仿宋"/>
          <w:b/>
          <w:color w:val="000000"/>
          <w:sz w:val="32"/>
        </w:rPr>
        <w:t> </w:t>
      </w:r>
    </w:p>
    <w:p w14:paraId="6ADF95D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359" w:right="0" w:firstLine="357"/>
        <w:jc w:val="both"/>
        <w:textAlignment w:val="auto"/>
      </w:pPr>
      <w:r>
        <w:rPr>
          <w:rFonts w:ascii="仿宋" w:hAnsi="仿宋" w:eastAsia="仿宋" w:cs="仿宋"/>
          <w:b/>
          <w:color w:val="000000"/>
          <w:sz w:val="32"/>
        </w:rPr>
        <w:t>示范格式二</w:t>
      </w:r>
    </w:p>
    <w:p w14:paraId="3B185C2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3213"/>
        <w:jc w:val="both"/>
        <w:textAlignment w:val="auto"/>
      </w:pPr>
      <w:r>
        <w:rPr>
          <w:rFonts w:ascii="仿宋" w:hAnsi="仿宋" w:eastAsia="仿宋" w:cs="仿宋"/>
          <w:b/>
          <w:color w:val="000000"/>
          <w:sz w:val="32"/>
        </w:rPr>
        <w:t>授权委托书</w:t>
      </w:r>
    </w:p>
    <w:p w14:paraId="54F3B6D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30"/>
        </w:rPr>
        <w:t>致淮安市政府采购中心:</w:t>
      </w:r>
    </w:p>
    <w:p w14:paraId="1F43451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本授权书宣告:</w:t>
      </w:r>
    </w:p>
    <w:p w14:paraId="787931F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委托方:地址:</w:t>
      </w:r>
    </w:p>
    <w:p w14:paraId="209527E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法定代表人:</w:t>
      </w:r>
    </w:p>
    <w:p w14:paraId="604152D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受托人:姓名性别:出生日期:年月日</w:t>
      </w:r>
    </w:p>
    <w:p w14:paraId="0B7AC52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所在单位:职务:</w:t>
      </w:r>
    </w:p>
    <w:p w14:paraId="1E9383A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身份证:联系方式:</w:t>
      </w:r>
    </w:p>
    <w:p w14:paraId="36C83DC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兹委托受托人代表我公司参加淮安市政府采购中心组织的（项目编号:）采购项目的政府采购活动，受托人有权在该招标活动中，以我单位的名义签署投标函和投标文件，与采购中心协商、澄清、解释，签订合同书并执行一切与此有关的事项。</w:t>
      </w:r>
    </w:p>
    <w:p w14:paraId="70E9FBA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受托人在办理上述事宜过程中以其自己的名义所签署的所有文件我公司均予以承认。受托人无转委托权。</w:t>
      </w:r>
    </w:p>
    <w:p w14:paraId="2EBADDD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委托期限:至上述事宜处理完毕止。</w:t>
      </w:r>
    </w:p>
    <w:p w14:paraId="07BA71F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600"/>
        <w:jc w:val="both"/>
        <w:textAlignment w:val="auto"/>
      </w:pPr>
      <w:r>
        <w:rPr>
          <w:rFonts w:ascii="仿宋" w:hAnsi="仿宋" w:eastAsia="仿宋" w:cs="仿宋"/>
          <w:b/>
          <w:color w:val="000000"/>
          <w:sz w:val="28"/>
        </w:rPr>
        <w:t> </w:t>
      </w:r>
    </w:p>
    <w:p w14:paraId="5A89D2C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 </w:t>
      </w:r>
    </w:p>
    <w:p w14:paraId="25ED22B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供应商:</w:t>
      </w:r>
      <w:r>
        <w:rPr>
          <w:rFonts w:ascii="仿宋" w:hAnsi="仿宋" w:eastAsia="仿宋" w:cs="仿宋"/>
          <w:color w:val="000000"/>
          <w:sz w:val="28"/>
          <w:u w:val="single"/>
        </w:rPr>
        <w:t>（电子签章）</w:t>
      </w:r>
    </w:p>
    <w:p w14:paraId="5C94275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rPr>
        <w:t>日期:年月日</w:t>
      </w:r>
    </w:p>
    <w:p w14:paraId="44F31DF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359" w:right="0" w:firstLine="548"/>
        <w:jc w:val="both"/>
        <w:textAlignment w:val="auto"/>
      </w:pPr>
      <w:r>
        <w:rPr>
          <w:rFonts w:ascii="仿宋" w:hAnsi="仿宋" w:eastAsia="仿宋" w:cs="仿宋"/>
          <w:color w:val="000000"/>
          <w:sz w:val="28"/>
        </w:rPr>
        <w:t> </w:t>
      </w:r>
    </w:p>
    <w:p w14:paraId="5F6F924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注:供应商委托受托人参加磋商的，必须附受托人身份证扫描件加盖供应商电子签章。法定代表人直接参加磋商的，仅需填写“法定代表人资格证明”。</w:t>
      </w:r>
    </w:p>
    <w:p w14:paraId="730785E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359" w:right="0" w:firstLine="357"/>
        <w:jc w:val="both"/>
        <w:textAlignment w:val="auto"/>
        <w:rPr>
          <w:rFonts w:ascii="仿宋" w:hAnsi="仿宋" w:eastAsia="仿宋" w:cs="仿宋"/>
          <w:b/>
          <w:bCs/>
          <w:color w:val="000000"/>
          <w:sz w:val="32"/>
          <w:szCs w:val="32"/>
          <w:highlight w:val="none"/>
        </w:rPr>
      </w:pPr>
      <w:r>
        <w:rPr>
          <w:rFonts w:ascii="仿宋" w:hAnsi="仿宋" w:eastAsia="仿宋" w:cs="仿宋"/>
          <w:b/>
          <w:color w:val="000000"/>
          <w:sz w:val="32"/>
        </w:rPr>
        <w:t> </w:t>
      </w:r>
    </w:p>
    <w:p w14:paraId="6D1E8E7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359" w:right="0" w:firstLine="357"/>
        <w:jc w:val="both"/>
        <w:textAlignment w:val="auto"/>
      </w:pPr>
    </w:p>
    <w:p w14:paraId="501B418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仿宋" w:hAnsi="仿宋" w:eastAsia="仿宋" w:cs="仿宋"/>
          <w:b/>
          <w:color w:val="000000"/>
          <w:sz w:val="32"/>
        </w:rPr>
        <w:t> </w:t>
      </w:r>
    </w:p>
    <w:p w14:paraId="08767EB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仿宋" w:hAnsi="仿宋" w:eastAsia="仿宋" w:cs="仿宋"/>
          <w:b/>
          <w:color w:val="000000"/>
          <w:sz w:val="32"/>
        </w:rPr>
        <w:t>示范格式三</w:t>
      </w:r>
    </w:p>
    <w:p w14:paraId="448C507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仿宋" w:hAnsi="仿宋" w:eastAsia="仿宋" w:cs="仿宋"/>
          <w:b/>
          <w:color w:val="000000"/>
          <w:sz w:val="32"/>
        </w:rPr>
        <w:t> </w:t>
      </w:r>
    </w:p>
    <w:p w14:paraId="200DF18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center"/>
        <w:textAlignment w:val="auto"/>
      </w:pPr>
      <w:r>
        <w:rPr>
          <w:rFonts w:ascii="仿宋" w:hAnsi="仿宋" w:eastAsia="仿宋" w:cs="仿宋"/>
          <w:b/>
          <w:color w:val="000000"/>
          <w:sz w:val="32"/>
        </w:rPr>
        <w:t>符合《政府采购法》第二十二条规定条件的声明函</w:t>
      </w:r>
    </w:p>
    <w:p w14:paraId="38E5257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720" w:lineRule="atLeast"/>
        <w:ind w:left="0" w:right="0" w:firstLine="560"/>
        <w:jc w:val="both"/>
        <w:textAlignment w:val="auto"/>
      </w:pPr>
      <w:r>
        <w:rPr>
          <w:rFonts w:ascii="仿宋" w:hAnsi="仿宋" w:eastAsia="仿宋" w:cs="仿宋"/>
          <w:color w:val="000000"/>
          <w:sz w:val="28"/>
        </w:rPr>
        <w:t>致淮安市政府采购中心:</w:t>
      </w:r>
    </w:p>
    <w:p w14:paraId="37A67362">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840"/>
        <w:jc w:val="both"/>
        <w:textAlignment w:val="auto"/>
      </w:pPr>
      <w:r>
        <w:rPr>
          <w:rFonts w:ascii="仿宋" w:hAnsi="仿宋" w:eastAsia="仿宋" w:cs="仿宋"/>
          <w:color w:val="000000"/>
          <w:sz w:val="28"/>
        </w:rPr>
        <w:t>我公司参加贵中心组织实施的（项目编号:）采购项目的政府采购活动。针对《中华人民共和国政府采购法》第二十二条规定做出如下声明：</w:t>
      </w:r>
    </w:p>
    <w:p w14:paraId="7E72320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1、我单位具有独立承担民事责任的能力；</w:t>
      </w:r>
    </w:p>
    <w:p w14:paraId="3F92C75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2、我单位具有良好的商业信誉和健全的财务会计制度；</w:t>
      </w:r>
    </w:p>
    <w:p w14:paraId="23D7F86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3、我单位具有履行合同所必需的设备和专业技术能力；</w:t>
      </w:r>
    </w:p>
    <w:p w14:paraId="29F9575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560"/>
        <w:jc w:val="both"/>
        <w:textAlignment w:val="auto"/>
      </w:pPr>
      <w:r>
        <w:rPr>
          <w:rFonts w:ascii="仿宋" w:hAnsi="仿宋" w:eastAsia="仿宋" w:cs="仿宋"/>
          <w:color w:val="000000"/>
          <w:sz w:val="28"/>
        </w:rPr>
        <w:t>4、我单位有依法缴纳税收和社会保障资金的良好记录；</w:t>
      </w:r>
    </w:p>
    <w:p w14:paraId="7B4DA7D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textAlignment w:val="auto"/>
      </w:pPr>
      <w:r>
        <w:rPr>
          <w:rFonts w:ascii="仿宋" w:hAnsi="仿宋" w:eastAsia="仿宋" w:cs="仿宋"/>
          <w:color w:val="000000"/>
          <w:sz w:val="28"/>
        </w:rPr>
        <w:t>5、参加本次政府采购活动前三年内，我公司在经营活动中没有因违法经营受到刑事处罚或者责令停产停业、吊销许可证或者执照、较大数额罚款等行政处罚。</w:t>
      </w:r>
    </w:p>
    <w:p w14:paraId="2C44D7A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638"/>
        <w:jc w:val="both"/>
        <w:textAlignment w:val="auto"/>
      </w:pPr>
      <w:r>
        <w:rPr>
          <w:rFonts w:ascii="仿宋" w:hAnsi="仿宋" w:eastAsia="仿宋" w:cs="仿宋"/>
          <w:color w:val="000000"/>
          <w:sz w:val="28"/>
        </w:rPr>
        <w:t>6、我单位满足法律、行政法规规定的其他条件。</w:t>
      </w:r>
    </w:p>
    <w:p w14:paraId="7C8C5FA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u w:val="single"/>
        </w:rPr>
        <w:t> </w:t>
      </w:r>
    </w:p>
    <w:p w14:paraId="761F2A8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u w:val="single"/>
        </w:rPr>
        <w:t> </w:t>
      </w:r>
    </w:p>
    <w:p w14:paraId="0EB2875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right"/>
        <w:textAlignment w:val="auto"/>
      </w:pPr>
      <w:r>
        <w:rPr>
          <w:rFonts w:ascii="仿宋" w:hAnsi="仿宋" w:eastAsia="仿宋" w:cs="仿宋"/>
          <w:color w:val="000000"/>
          <w:sz w:val="28"/>
        </w:rPr>
        <w:t>承诺人:</w:t>
      </w:r>
      <w:r>
        <w:rPr>
          <w:rFonts w:ascii="仿宋" w:hAnsi="仿宋" w:eastAsia="仿宋" w:cs="仿宋"/>
          <w:color w:val="000000"/>
          <w:sz w:val="28"/>
          <w:u w:val="single"/>
        </w:rPr>
        <w:t>（电子签章）</w:t>
      </w:r>
    </w:p>
    <w:p w14:paraId="70E9A50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right"/>
        <w:textAlignment w:val="auto"/>
      </w:pPr>
      <w:r>
        <w:rPr>
          <w:rFonts w:ascii="仿宋" w:hAnsi="仿宋" w:eastAsia="仿宋" w:cs="仿宋"/>
          <w:color w:val="000000"/>
          <w:sz w:val="28"/>
        </w:rPr>
        <w:t>日期:年月日</w:t>
      </w:r>
    </w:p>
    <w:p w14:paraId="7971EF2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0"/>
        <w:jc w:val="both"/>
        <w:textAlignment w:val="auto"/>
      </w:pPr>
      <w:r>
        <w:rPr>
          <w:rFonts w:ascii="仿宋" w:hAnsi="仿宋" w:eastAsia="仿宋" w:cs="仿宋"/>
          <w:color w:val="000000"/>
          <w:sz w:val="28"/>
          <w:u w:val="single"/>
        </w:rPr>
        <w:t> </w:t>
      </w:r>
    </w:p>
    <w:p w14:paraId="4CF6F85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仿宋" w:hAnsi="仿宋" w:eastAsia="仿宋" w:cs="仿宋"/>
          <w:b/>
          <w:color w:val="000000"/>
          <w:sz w:val="32"/>
        </w:rPr>
        <w:t> </w:t>
      </w:r>
    </w:p>
    <w:p w14:paraId="482D585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仿宋" w:hAnsi="仿宋" w:eastAsia="仿宋" w:cs="仿宋"/>
          <w:b/>
          <w:color w:val="000000"/>
          <w:sz w:val="32"/>
        </w:rPr>
        <w:t> </w:t>
      </w:r>
    </w:p>
    <w:p w14:paraId="49C17EA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rPr>
          <w:rFonts w:ascii="仿宋" w:hAnsi="仿宋" w:eastAsia="仿宋" w:cs="仿宋"/>
          <w:b/>
          <w:bCs/>
          <w:color w:val="000000"/>
          <w:sz w:val="32"/>
          <w:szCs w:val="32"/>
          <w:highlight w:val="none"/>
        </w:rPr>
      </w:pPr>
      <w:r>
        <w:rPr>
          <w:rFonts w:ascii="仿宋" w:hAnsi="仿宋" w:eastAsia="仿宋" w:cs="仿宋"/>
          <w:b/>
          <w:color w:val="000000"/>
          <w:sz w:val="32"/>
        </w:rPr>
        <w:t> </w:t>
      </w:r>
    </w:p>
    <w:p w14:paraId="23465DD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00A247E5">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69FBA24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0EC60CD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751E642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23F7C5D9">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11815D8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791A7EE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1051E75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3E57EB1E">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32191B8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p>
    <w:p w14:paraId="1E4EF5E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仿宋" w:hAnsi="仿宋" w:eastAsia="仿宋" w:cs="仿宋"/>
          <w:b/>
          <w:color w:val="000000"/>
          <w:sz w:val="32"/>
        </w:rPr>
        <w:t> </w:t>
      </w:r>
    </w:p>
    <w:p w14:paraId="1D4F06D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0" w:right="0" w:firstLine="0"/>
        <w:jc w:val="both"/>
        <w:textAlignment w:val="auto"/>
      </w:pPr>
      <w:r>
        <w:rPr>
          <w:rFonts w:ascii="仿宋" w:hAnsi="仿宋" w:eastAsia="仿宋" w:cs="仿宋"/>
          <w:b/>
          <w:color w:val="000000"/>
          <w:sz w:val="32"/>
        </w:rPr>
        <w:t>示范格式四</w:t>
      </w:r>
    </w:p>
    <w:p w14:paraId="20883129">
      <w:pPr>
        <w:pageBreakBefore w:val="0"/>
        <w:numPr>
          <w:ilvl w:val="0"/>
          <w:numId w:val="0"/>
        </w:numPr>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ind w:leftChars="0" w:firstLine="4176" w:firstLineChars="1300"/>
        <w:jc w:val="both"/>
        <w:textAlignment w:val="auto"/>
      </w:pPr>
      <w:r>
        <w:rPr>
          <w:rFonts w:ascii="仿宋" w:hAnsi="仿宋" w:eastAsia="仿宋" w:cs="仿宋"/>
          <w:b/>
          <w:color w:val="000000"/>
          <w:sz w:val="32"/>
        </w:rPr>
        <w:t>企业声明函</w:t>
      </w:r>
    </w:p>
    <w:p w14:paraId="47F1A65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560"/>
        <w:jc w:val="both"/>
        <w:textAlignment w:val="auto"/>
      </w:pPr>
      <w:r>
        <w:rPr>
          <w:rFonts w:ascii="仿宋" w:hAnsi="仿宋" w:eastAsia="仿宋" w:cs="仿宋"/>
          <w:color w:val="000000"/>
          <w:sz w:val="28"/>
        </w:rPr>
        <w:t>致淮安市政府采购中心:</w:t>
      </w:r>
    </w:p>
    <w:p w14:paraId="76592B0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560"/>
        <w:jc w:val="both"/>
        <w:textAlignment w:val="auto"/>
      </w:pPr>
      <w:r>
        <w:rPr>
          <w:rFonts w:ascii="仿宋" w:hAnsi="仿宋" w:eastAsia="仿宋" w:cs="仿宋"/>
          <w:color w:val="000000"/>
          <w:sz w:val="28"/>
        </w:rPr>
        <w:t>本公司郑重声明，根据《政府采购促进中小企业发展管理办法》（财库﹝2020﹞46号）的规定，本公司参加</w:t>
      </w:r>
      <w:r>
        <w:rPr>
          <w:rFonts w:ascii="仿宋" w:hAnsi="仿宋" w:eastAsia="仿宋" w:cs="仿宋"/>
          <w:color w:val="000000"/>
          <w:sz w:val="28"/>
          <w:u w:val="single"/>
        </w:rPr>
        <w:t>（单位名称）</w:t>
      </w:r>
      <w:r>
        <w:rPr>
          <w:rFonts w:ascii="仿宋" w:hAnsi="仿宋" w:eastAsia="仿宋" w:cs="仿宋"/>
          <w:color w:val="000000"/>
          <w:sz w:val="28"/>
        </w:rPr>
        <w:t>的</w:t>
      </w:r>
      <w:r>
        <w:rPr>
          <w:rFonts w:ascii="仿宋" w:hAnsi="仿宋" w:eastAsia="仿宋" w:cs="仿宋"/>
          <w:color w:val="000000"/>
          <w:sz w:val="28"/>
          <w:u w:val="single"/>
        </w:rPr>
        <w:t>（项目名称）</w:t>
      </w:r>
      <w:r>
        <w:rPr>
          <w:rFonts w:ascii="仿宋" w:hAnsi="仿宋" w:eastAsia="仿宋" w:cs="仿宋"/>
          <w:color w:val="000000"/>
          <w:sz w:val="28"/>
        </w:rPr>
        <w:t>采购活动，提供的货物全部由符合政策要求的中小企业制造。相关企业的具体情况如下：</w:t>
      </w:r>
    </w:p>
    <w:p w14:paraId="7F9D23D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560"/>
        <w:jc w:val="both"/>
        <w:textAlignment w:val="auto"/>
      </w:pPr>
      <w:r>
        <w:rPr>
          <w:rFonts w:ascii="仿宋" w:hAnsi="仿宋" w:eastAsia="仿宋" w:cs="仿宋"/>
          <w:color w:val="000000"/>
          <w:sz w:val="28"/>
        </w:rPr>
        <w:t>1.</w:t>
      </w:r>
      <w:r>
        <w:rPr>
          <w:rFonts w:ascii="仿宋" w:hAnsi="仿宋" w:eastAsia="仿宋" w:cs="仿宋"/>
          <w:color w:val="000000"/>
          <w:sz w:val="28"/>
          <w:u w:val="single"/>
        </w:rPr>
        <w:t>（标的名称）</w:t>
      </w:r>
      <w:r>
        <w:rPr>
          <w:rFonts w:ascii="仿宋" w:hAnsi="仿宋" w:eastAsia="仿宋" w:cs="仿宋"/>
          <w:color w:val="000000"/>
          <w:sz w:val="28"/>
        </w:rPr>
        <w:t>，属于</w:t>
      </w:r>
      <w:r>
        <w:rPr>
          <w:rFonts w:ascii="仿宋" w:hAnsi="仿宋" w:eastAsia="仿宋" w:cs="仿宋"/>
          <w:color w:val="000000"/>
          <w:sz w:val="28"/>
          <w:u w:val="single"/>
        </w:rPr>
        <w:t>（采购文件中明确的所属行业）</w:t>
      </w:r>
      <w:r>
        <w:rPr>
          <w:rFonts w:ascii="仿宋" w:hAnsi="仿宋" w:eastAsia="仿宋" w:cs="仿宋"/>
          <w:color w:val="000000"/>
          <w:sz w:val="28"/>
        </w:rPr>
        <w:t>行业；制造商为（企业名称），从业人员人，营业收入为万元，资产总额为万元，属于（中型企业、小型企业、微型企业）；</w:t>
      </w:r>
    </w:p>
    <w:p w14:paraId="1BACF64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560"/>
        <w:jc w:val="both"/>
        <w:textAlignment w:val="auto"/>
      </w:pPr>
      <w:r>
        <w:rPr>
          <w:rFonts w:ascii="仿宋" w:hAnsi="仿宋" w:eastAsia="仿宋" w:cs="仿宋"/>
          <w:color w:val="000000"/>
          <w:sz w:val="28"/>
        </w:rPr>
        <w:t>2.</w:t>
      </w:r>
      <w:r>
        <w:rPr>
          <w:rFonts w:ascii="仿宋" w:hAnsi="仿宋" w:eastAsia="仿宋" w:cs="仿宋"/>
          <w:color w:val="000000"/>
          <w:sz w:val="28"/>
          <w:u w:val="single"/>
        </w:rPr>
        <w:t>（标的名称）</w:t>
      </w:r>
      <w:r>
        <w:rPr>
          <w:rFonts w:ascii="仿宋" w:hAnsi="仿宋" w:eastAsia="仿宋" w:cs="仿宋"/>
          <w:color w:val="000000"/>
          <w:sz w:val="28"/>
        </w:rPr>
        <w:t>，属于（采购文件中明确的所属行业）行业；制造商为（企业名称），从业人员人，营业收入为万元，资产总额为万元，属于（中型企业、小型企业、微型企业）。</w:t>
      </w:r>
    </w:p>
    <w:p w14:paraId="7C174D1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560"/>
        <w:jc w:val="both"/>
        <w:textAlignment w:val="auto"/>
      </w:pPr>
      <w:r>
        <w:rPr>
          <w:rFonts w:ascii="Arial" w:hAnsi="Arial" w:eastAsia="Arial" w:cs="Arial"/>
          <w:color w:val="000000"/>
          <w:sz w:val="28"/>
        </w:rPr>
        <w:t>……</w:t>
      </w:r>
    </w:p>
    <w:p w14:paraId="07DA6F6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560"/>
        <w:jc w:val="both"/>
        <w:textAlignment w:val="auto"/>
      </w:pPr>
      <w:r>
        <w:rPr>
          <w:rFonts w:ascii="仿宋" w:hAnsi="仿宋" w:eastAsia="仿宋" w:cs="仿宋"/>
          <w:color w:val="000000"/>
          <w:sz w:val="28"/>
        </w:rPr>
        <w:t>以上企业，不属于大企业的分支机构，不存在控股股东为大企业的情形，也不存在与大企业的负责人为同一人的情形。</w:t>
      </w:r>
    </w:p>
    <w:p w14:paraId="0932B74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560"/>
        <w:jc w:val="both"/>
        <w:textAlignment w:val="auto"/>
      </w:pPr>
      <w:r>
        <w:rPr>
          <w:rFonts w:ascii="仿宋" w:hAnsi="仿宋" w:eastAsia="仿宋" w:cs="仿宋"/>
          <w:color w:val="000000"/>
          <w:sz w:val="28"/>
        </w:rPr>
        <w:t>本企业对上述声明内容的真实性负责。如有虚假，将依法承担相应责任。</w:t>
      </w:r>
    </w:p>
    <w:p w14:paraId="6681880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供应商:</w:t>
      </w:r>
      <w:r>
        <w:rPr>
          <w:rFonts w:ascii="仿宋" w:hAnsi="仿宋" w:eastAsia="仿宋" w:cs="仿宋"/>
          <w:color w:val="000000"/>
          <w:sz w:val="28"/>
          <w:u w:val="single"/>
        </w:rPr>
        <w:t>（电子签章）</w:t>
      </w:r>
    </w:p>
    <w:p w14:paraId="44B66D6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法定代表人:</w:t>
      </w:r>
      <w:r>
        <w:rPr>
          <w:rFonts w:ascii="仿宋" w:hAnsi="仿宋" w:eastAsia="仿宋" w:cs="仿宋"/>
          <w:color w:val="000000"/>
          <w:sz w:val="28"/>
          <w:u w:val="single"/>
        </w:rPr>
        <w:t>（电子签章或电子签字）</w:t>
      </w:r>
    </w:p>
    <w:p w14:paraId="0121DFE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日期:年月日</w:t>
      </w:r>
    </w:p>
    <w:p w14:paraId="23464256">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480"/>
        <w:jc w:val="both"/>
        <w:textAlignment w:val="auto"/>
      </w:pPr>
      <w:r>
        <w:rPr>
          <w:rFonts w:ascii="仿宋" w:hAnsi="仿宋" w:eastAsia="仿宋" w:cs="仿宋"/>
          <w:color w:val="000000"/>
          <w:sz w:val="24"/>
        </w:rPr>
        <w:t>注：从业人员、营业收入、资产总额填报上一年度数据，无上一年度数据的新成立企业可不填报。</w:t>
      </w:r>
    </w:p>
    <w:p w14:paraId="3FFEA0DA">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00" w:lineRule="atLeast"/>
        <w:ind w:left="0" w:right="0" w:firstLine="480"/>
        <w:jc w:val="both"/>
        <w:textAlignment w:val="auto"/>
      </w:pPr>
      <w:r>
        <w:rPr>
          <w:rFonts w:ascii="仿宋" w:hAnsi="仿宋" w:eastAsia="仿宋" w:cs="仿宋"/>
          <w:color w:val="000000"/>
          <w:sz w:val="24"/>
        </w:rPr>
        <w:t> </w:t>
      </w:r>
    </w:p>
    <w:p w14:paraId="2B9FD82C">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519" w:lineRule="atLeast"/>
        <w:ind w:left="0" w:right="0" w:firstLine="643"/>
        <w:textAlignment w:val="auto"/>
      </w:pPr>
      <w:r>
        <w:rPr>
          <w:rFonts w:ascii="仿宋" w:hAnsi="仿宋" w:eastAsia="仿宋" w:cs="仿宋"/>
          <w:b/>
          <w:color w:val="000000"/>
          <w:sz w:val="32"/>
        </w:rPr>
        <w:t>示范格式五</w:t>
      </w:r>
    </w:p>
    <w:p w14:paraId="787679C4">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b/>
          <w:color w:val="000000"/>
          <w:sz w:val="32"/>
        </w:rPr>
        <w:t>残疾人福利性单位声明函</w:t>
      </w:r>
    </w:p>
    <w:p w14:paraId="61C98667">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jc w:val="both"/>
        <w:textAlignment w:val="auto"/>
      </w:pPr>
      <w:r>
        <w:rPr>
          <w:rFonts w:ascii="仿宋" w:hAnsi="仿宋" w:eastAsia="仿宋" w:cs="仿宋"/>
          <w:color w:val="000000"/>
          <w:sz w:val="28"/>
        </w:rPr>
        <w:t>致淮安市政府采购中心:</w:t>
      </w:r>
    </w:p>
    <w:p w14:paraId="01DAC10D">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jc w:val="both"/>
        <w:textAlignment w:val="auto"/>
      </w:pPr>
      <w:r>
        <w:rPr>
          <w:rFonts w:ascii="仿宋" w:hAnsi="仿宋" w:eastAsia="仿宋" w:cs="仿宋"/>
          <w:color w:val="000000"/>
          <w:sz w:val="28"/>
        </w:rPr>
        <w:t>本单位郑重声明，根据《财政部民政部中国残疾人联合会关于促进残疾人就业政府采购政策的通知》（财库〔2017〕141号）的规定，本单位为符合条件的残疾人福利性单位。即，本单位同时满足以下条件:</w:t>
      </w:r>
    </w:p>
    <w:p w14:paraId="48664970">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jc w:val="both"/>
        <w:textAlignment w:val="auto"/>
      </w:pPr>
      <w:r>
        <w:rPr>
          <w:rFonts w:ascii="仿宋" w:hAnsi="仿宋" w:eastAsia="仿宋" w:cs="仿宋"/>
          <w:color w:val="000000"/>
          <w:sz w:val="28"/>
        </w:rPr>
        <w:t>1、根据《财政部民政部中国残疾人联合会关于促进残疾人就业政府采购政策的通知》（财库〔2017〕141号）规定的划分标准，本公司为残疾人福利性企业。</w:t>
      </w:r>
    </w:p>
    <w:p w14:paraId="4E6BF4F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jc w:val="both"/>
        <w:textAlignment w:val="auto"/>
      </w:pPr>
      <w:r>
        <w:rPr>
          <w:rFonts w:ascii="仿宋" w:hAnsi="仿宋" w:eastAsia="仿宋" w:cs="仿宋"/>
          <w:color w:val="000000"/>
          <w:sz w:val="28"/>
        </w:rPr>
        <w:t>2、本单位参加（采购单位名称）的（采购项目名称）采购活动提供本企业制造的货物，由本企业承担工程、提供服务，或者提供其他残疾人福利性单位制造的货物（不包括使用非残疾人福利性单位注册商标的货物。</w:t>
      </w:r>
    </w:p>
    <w:p w14:paraId="168F03CB">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jc w:val="both"/>
        <w:textAlignment w:val="auto"/>
      </w:pPr>
      <w:r>
        <w:rPr>
          <w:rFonts w:ascii="仿宋" w:hAnsi="仿宋" w:eastAsia="仿宋" w:cs="仿宋"/>
          <w:color w:val="000000"/>
          <w:sz w:val="28"/>
        </w:rPr>
        <w:t>注:本公司对上述声明的真实性负责。如有虚假，将依法承担相应责任。</w:t>
      </w:r>
    </w:p>
    <w:p w14:paraId="1A2DAF71">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0"/>
        <w:jc w:val="both"/>
        <w:textAlignment w:val="auto"/>
      </w:pPr>
      <w:r>
        <w:rPr>
          <w:rFonts w:ascii="仿宋" w:hAnsi="仿宋" w:eastAsia="仿宋" w:cs="仿宋"/>
          <w:color w:val="000000"/>
          <w:sz w:val="28"/>
        </w:rPr>
        <w:t> </w:t>
      </w:r>
    </w:p>
    <w:p w14:paraId="15B1D17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供应商:</w:t>
      </w:r>
      <w:r>
        <w:rPr>
          <w:rFonts w:ascii="仿宋" w:hAnsi="仿宋" w:eastAsia="仿宋" w:cs="仿宋"/>
          <w:color w:val="000000"/>
          <w:sz w:val="28"/>
          <w:u w:val="single"/>
        </w:rPr>
        <w:t>（电子签章）</w:t>
      </w:r>
    </w:p>
    <w:p w14:paraId="0A508BFF">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法定代表人:</w:t>
      </w:r>
      <w:r>
        <w:rPr>
          <w:rFonts w:ascii="仿宋" w:hAnsi="仿宋" w:eastAsia="仿宋" w:cs="仿宋"/>
          <w:color w:val="000000"/>
          <w:sz w:val="28"/>
          <w:u w:val="single"/>
        </w:rPr>
        <w:t>（电子签章或电子签字）</w:t>
      </w:r>
    </w:p>
    <w:p w14:paraId="4377C103">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0"/>
        <w:jc w:val="center"/>
        <w:textAlignment w:val="auto"/>
      </w:pPr>
      <w:r>
        <w:rPr>
          <w:rFonts w:ascii="仿宋" w:hAnsi="仿宋" w:eastAsia="仿宋" w:cs="仿宋"/>
          <w:color w:val="000000"/>
          <w:sz w:val="28"/>
        </w:rPr>
        <w:t>日期:年月日</w:t>
      </w:r>
    </w:p>
    <w:p w14:paraId="76FE22A8">
      <w:pPr>
        <w:pageBreakBefore w:val="0"/>
        <w:pBdr>
          <w:top w:val="none" w:color="000000" w:sz="0" w:space="0"/>
          <w:left w:val="none" w:color="000000" w:sz="0" w:space="0"/>
          <w:bottom w:val="none" w:color="000000" w:sz="0" w:space="0"/>
          <w:right w:val="none" w:color="000000" w:sz="0" w:space="0"/>
        </w:pBdr>
        <w:kinsoku/>
        <w:wordWrap w:val="0"/>
        <w:overflowPunct/>
        <w:topLinePunct w:val="0"/>
        <w:bidi w:val="0"/>
        <w:snapToGrid/>
        <w:spacing w:before="0" w:after="0" w:line="640" w:lineRule="atLeast"/>
        <w:ind w:left="0" w:right="0" w:firstLine="565"/>
        <w:jc w:val="center"/>
        <w:textAlignment w:val="auto"/>
      </w:pPr>
      <w:r>
        <w:rPr>
          <w:rFonts w:ascii="仿宋" w:hAnsi="仿宋" w:eastAsia="仿宋" w:cs="仿宋"/>
          <w:color w:val="000000"/>
          <w:sz w:val="28"/>
        </w:rPr>
        <w:t>注:非残疾人福利性单位不需提供此函。</w:t>
      </w:r>
    </w:p>
    <w:p w14:paraId="03E5DF69">
      <w:pPr>
        <w:pageBreakBefore w:val="0"/>
        <w:kinsoku/>
        <w:wordWrap w:val="0"/>
        <w:overflowPunct/>
        <w:topLinePunct w:val="0"/>
        <w:bidi w:val="0"/>
        <w:snapToGrid/>
        <w:jc w:val="center"/>
        <w:textAlignment w:val="auto"/>
      </w:pPr>
    </w:p>
    <w:sectPr>
      <w:pgSz w:w="11906" w:h="16838"/>
      <w:pgMar w:top="1134" w:right="850" w:bottom="1134" w:left="1701" w:header="709" w:footer="709"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89D5">
    <w:pPr>
      <w:pStyle w:val="21"/>
      <w:tabs>
        <w:tab w:val="center" w:pos="4153"/>
        <w:tab w:val="right" w:pos="8306"/>
        <w:tab w:val="clear" w:pos="7143"/>
        <w:tab w:val="clear" w:pos="14287"/>
      </w:tabs>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14</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AF0A">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0"/>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WE4OTQ3YjFhNGE0MzllOWY1OWUwNzg4MzU0NDUifQ=="/>
  </w:docVars>
  <w:rsids>
    <w:rsidRoot w:val="00000000"/>
    <w:rsid w:val="00E84F23"/>
    <w:rsid w:val="035E5282"/>
    <w:rsid w:val="05C07B0D"/>
    <w:rsid w:val="06F56B15"/>
    <w:rsid w:val="0B3B7BEA"/>
    <w:rsid w:val="15F71307"/>
    <w:rsid w:val="16181D71"/>
    <w:rsid w:val="1BD4014E"/>
    <w:rsid w:val="1D8C4DAB"/>
    <w:rsid w:val="256B1F16"/>
    <w:rsid w:val="25DA0320"/>
    <w:rsid w:val="266122C2"/>
    <w:rsid w:val="2A4E1646"/>
    <w:rsid w:val="2C8D005C"/>
    <w:rsid w:val="2E620EB2"/>
    <w:rsid w:val="31F47FCC"/>
    <w:rsid w:val="342A62A3"/>
    <w:rsid w:val="346549E8"/>
    <w:rsid w:val="35C236B1"/>
    <w:rsid w:val="36287E11"/>
    <w:rsid w:val="3A064DE8"/>
    <w:rsid w:val="3B07442C"/>
    <w:rsid w:val="43FC474E"/>
    <w:rsid w:val="46EE37D3"/>
    <w:rsid w:val="5162471C"/>
    <w:rsid w:val="521371D4"/>
    <w:rsid w:val="52E576C4"/>
    <w:rsid w:val="533F2E25"/>
    <w:rsid w:val="54413F2F"/>
    <w:rsid w:val="59D05639"/>
    <w:rsid w:val="5D7473AD"/>
    <w:rsid w:val="62467BC8"/>
    <w:rsid w:val="63CF2543"/>
    <w:rsid w:val="67EB2960"/>
    <w:rsid w:val="697C2B34"/>
    <w:rsid w:val="6AE575B6"/>
    <w:rsid w:val="6E5174E6"/>
    <w:rsid w:val="6FAF104F"/>
    <w:rsid w:val="724F186E"/>
    <w:rsid w:val="74744A68"/>
    <w:rsid w:val="74931E98"/>
    <w:rsid w:val="74F130C9"/>
    <w:rsid w:val="76161047"/>
    <w:rsid w:val="77ED4F86"/>
    <w:rsid w:val="79FF7179"/>
    <w:rsid w:val="7B023854"/>
    <w:rsid w:val="7BC11131"/>
    <w:rsid w:val="7DEE3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1"/>
      <w:szCs w:val="22"/>
    </w:rPr>
  </w:style>
  <w:style w:type="paragraph" w:styleId="3">
    <w:name w:val="heading 1"/>
    <w:link w:val="42"/>
    <w:qFormat/>
    <w:uiPriority w:val="9"/>
    <w:pPr>
      <w:keepNext/>
      <w:keepLines/>
      <w:spacing w:before="480" w:after="200"/>
      <w:outlineLvl w:val="0"/>
    </w:pPr>
    <w:rPr>
      <w:rFonts w:ascii="Arial" w:hAnsi="Arial" w:eastAsia="Arial" w:cs="Arial"/>
      <w:sz w:val="40"/>
      <w:szCs w:val="40"/>
    </w:rPr>
  </w:style>
  <w:style w:type="paragraph" w:styleId="4">
    <w:name w:val="heading 2"/>
    <w:link w:val="43"/>
    <w:unhideWhenUsed/>
    <w:qFormat/>
    <w:uiPriority w:val="9"/>
    <w:pPr>
      <w:keepNext/>
      <w:keepLines/>
      <w:spacing w:before="360" w:after="200"/>
      <w:outlineLvl w:val="1"/>
    </w:pPr>
    <w:rPr>
      <w:rFonts w:ascii="Arial" w:hAnsi="Arial" w:eastAsia="Arial" w:cs="Arial"/>
      <w:sz w:val="34"/>
      <w:szCs w:val="22"/>
    </w:rPr>
  </w:style>
  <w:style w:type="paragraph" w:styleId="5">
    <w:name w:val="heading 3"/>
    <w:basedOn w:val="1"/>
    <w:next w:val="1"/>
    <w:link w:val="44"/>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5"/>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link w:val="46"/>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link w:val="47"/>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link w:val="48"/>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link w:val="49"/>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link w:val="50"/>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方正仿宋简体" w:hAnsi="方正仿宋简体" w:eastAsia="方正仿宋简体" w:cs="Courier New"/>
      <w:sz w:val="24"/>
      <w:szCs w:val="22"/>
      <w:lang w:val="zh-CN" w:eastAsia="zh-CN" w:bidi="ar-SA"/>
    </w:rPr>
  </w:style>
  <w:style w:type="paragraph" w:styleId="12">
    <w:name w:val="toc 7"/>
    <w:unhideWhenUsed/>
    <w:qFormat/>
    <w:uiPriority w:val="39"/>
    <w:pPr>
      <w:spacing w:after="57"/>
      <w:ind w:left="1701" w:right="0" w:firstLine="0"/>
    </w:pPr>
    <w:rPr>
      <w:rFonts w:asciiTheme="minorHAnsi" w:hAnsiTheme="minorHAnsi" w:eastAsiaTheme="minorEastAsia" w:cstheme="minorBidi"/>
      <w:sz w:val="21"/>
      <w:szCs w:val="22"/>
    </w:rPr>
  </w:style>
  <w:style w:type="paragraph" w:styleId="13">
    <w:name w:val="caption"/>
    <w:semiHidden/>
    <w:unhideWhenUsed/>
    <w:qFormat/>
    <w:uiPriority w:val="35"/>
    <w:pPr>
      <w:spacing w:line="276" w:lineRule="auto"/>
    </w:pPr>
    <w:rPr>
      <w:rFonts w:asciiTheme="minorHAnsi" w:hAnsiTheme="minorHAnsi" w:eastAsiaTheme="minorEastAsia" w:cstheme="minorBidi"/>
      <w:b/>
      <w:bCs/>
      <w:color w:val="4F81BD" w:themeColor="accent1"/>
      <w:sz w:val="18"/>
      <w:szCs w:val="18"/>
      <w14:textFill>
        <w14:solidFill>
          <w14:schemeClr w14:val="accent1"/>
        </w14:solidFill>
      </w14:textFill>
    </w:rPr>
  </w:style>
  <w:style w:type="paragraph" w:styleId="14">
    <w:name w:val="toa heading"/>
    <w:basedOn w:val="1"/>
    <w:next w:val="1"/>
    <w:qFormat/>
    <w:uiPriority w:val="0"/>
    <w:pPr>
      <w:keepNext w:val="0"/>
      <w:keepLines w:val="0"/>
      <w:widowControl w:val="0"/>
      <w:suppressLineNumbers w:val="0"/>
      <w:spacing w:before="120" w:beforeAutospacing="0"/>
      <w:jc w:val="both"/>
    </w:pPr>
    <w:rPr>
      <w:rFonts w:hint="default" w:ascii="Arial" w:hAnsi="Arial" w:eastAsia="宋体" w:cs="Times New Roman"/>
      <w:sz w:val="24"/>
      <w:szCs w:val="24"/>
      <w:lang w:val="en-US" w:eastAsia="zh-CN" w:bidi="ar"/>
    </w:rPr>
  </w:style>
  <w:style w:type="paragraph" w:styleId="15">
    <w:name w:val="Body Text Indent"/>
    <w:basedOn w:val="1"/>
    <w:next w:val="16"/>
    <w:qFormat/>
    <w:uiPriority w:val="0"/>
    <w:pPr>
      <w:ind w:firstLine="630"/>
    </w:pPr>
    <w:rPr>
      <w:rFonts w:ascii="楷体_GB2312" w:eastAsia="楷体_GB2312"/>
      <w:sz w:val="32"/>
      <w:szCs w:val="20"/>
    </w:rPr>
  </w:style>
  <w:style w:type="paragraph" w:styleId="16">
    <w:name w:val="envelope return"/>
    <w:basedOn w:val="1"/>
    <w:qFormat/>
    <w:uiPriority w:val="0"/>
    <w:pPr>
      <w:snapToGrid w:val="0"/>
    </w:pPr>
    <w:rPr>
      <w:rFonts w:ascii="Arial" w:hAnsi="Arial" w:eastAsia="宋体"/>
    </w:rPr>
  </w:style>
  <w:style w:type="paragraph" w:styleId="17">
    <w:name w:val="toc 5"/>
    <w:unhideWhenUsed/>
    <w:qFormat/>
    <w:uiPriority w:val="39"/>
    <w:pPr>
      <w:spacing w:after="57"/>
      <w:ind w:left="1134" w:right="0" w:firstLine="0"/>
    </w:pPr>
    <w:rPr>
      <w:rFonts w:asciiTheme="minorHAnsi" w:hAnsiTheme="minorHAnsi" w:eastAsiaTheme="minorEastAsia" w:cstheme="minorBidi"/>
      <w:sz w:val="21"/>
      <w:szCs w:val="22"/>
    </w:rPr>
  </w:style>
  <w:style w:type="paragraph" w:styleId="18">
    <w:name w:val="toc 3"/>
    <w:unhideWhenUsed/>
    <w:qFormat/>
    <w:uiPriority w:val="39"/>
    <w:pPr>
      <w:spacing w:after="57"/>
      <w:ind w:left="567" w:right="0" w:firstLine="0"/>
    </w:pPr>
    <w:rPr>
      <w:rFonts w:asciiTheme="minorHAnsi" w:hAnsiTheme="minorHAnsi" w:eastAsiaTheme="minorEastAsia" w:cstheme="minorBidi"/>
      <w:sz w:val="21"/>
      <w:szCs w:val="22"/>
    </w:rPr>
  </w:style>
  <w:style w:type="paragraph" w:styleId="19">
    <w:name w:val="toc 8"/>
    <w:unhideWhenUsed/>
    <w:qFormat/>
    <w:uiPriority w:val="39"/>
    <w:pPr>
      <w:spacing w:after="57"/>
      <w:ind w:left="1984" w:right="0" w:firstLine="0"/>
    </w:pPr>
    <w:rPr>
      <w:rFonts w:asciiTheme="minorHAnsi" w:hAnsiTheme="minorHAnsi" w:eastAsiaTheme="minorEastAsia" w:cstheme="minorBidi"/>
      <w:sz w:val="21"/>
      <w:szCs w:val="22"/>
    </w:rPr>
  </w:style>
  <w:style w:type="paragraph" w:styleId="20">
    <w:name w:val="endnote text"/>
    <w:link w:val="188"/>
    <w:semiHidden/>
    <w:unhideWhenUsed/>
    <w:qFormat/>
    <w:uiPriority w:val="99"/>
    <w:pPr>
      <w:spacing w:after="0" w:line="240" w:lineRule="auto"/>
    </w:pPr>
    <w:rPr>
      <w:rFonts w:asciiTheme="minorHAnsi" w:hAnsiTheme="minorHAnsi" w:eastAsiaTheme="minorEastAsia" w:cstheme="minorBidi"/>
      <w:sz w:val="20"/>
      <w:szCs w:val="22"/>
    </w:rPr>
  </w:style>
  <w:style w:type="paragraph" w:styleId="21">
    <w:name w:val="footer"/>
    <w:basedOn w:val="1"/>
    <w:link w:val="61"/>
    <w:unhideWhenUsed/>
    <w:qFormat/>
    <w:uiPriority w:val="99"/>
    <w:pPr>
      <w:tabs>
        <w:tab w:val="center" w:pos="7143"/>
        <w:tab w:val="right" w:pos="14287"/>
      </w:tabs>
      <w:spacing w:after="0" w:line="240" w:lineRule="auto"/>
    </w:pPr>
    <w:rPr>
      <w:rFonts w:asciiTheme="minorHAnsi" w:hAnsiTheme="minorHAnsi" w:eastAsiaTheme="minorEastAsia" w:cstheme="minorBidi"/>
      <w:sz w:val="21"/>
      <w:szCs w:val="22"/>
    </w:rPr>
  </w:style>
  <w:style w:type="paragraph" w:styleId="22">
    <w:name w:val="header"/>
    <w:link w:val="59"/>
    <w:unhideWhenUsed/>
    <w:qFormat/>
    <w:uiPriority w:val="99"/>
    <w:pPr>
      <w:tabs>
        <w:tab w:val="center" w:pos="7143"/>
        <w:tab w:val="right" w:pos="14287"/>
      </w:tabs>
      <w:spacing w:after="0" w:line="240" w:lineRule="auto"/>
    </w:pPr>
    <w:rPr>
      <w:rFonts w:asciiTheme="minorHAnsi" w:hAnsiTheme="minorHAnsi" w:eastAsiaTheme="minorEastAsia" w:cstheme="minorBidi"/>
      <w:sz w:val="21"/>
      <w:szCs w:val="22"/>
    </w:rPr>
  </w:style>
  <w:style w:type="paragraph" w:styleId="23">
    <w:name w:val="toc 1"/>
    <w:unhideWhenUsed/>
    <w:qFormat/>
    <w:uiPriority w:val="39"/>
    <w:pPr>
      <w:spacing w:after="57"/>
      <w:ind w:left="0" w:right="0" w:firstLine="0"/>
    </w:pPr>
    <w:rPr>
      <w:rFonts w:asciiTheme="minorHAnsi" w:hAnsiTheme="minorHAnsi" w:eastAsiaTheme="minorEastAsia" w:cstheme="minorBidi"/>
      <w:sz w:val="21"/>
      <w:szCs w:val="22"/>
    </w:rPr>
  </w:style>
  <w:style w:type="paragraph" w:styleId="24">
    <w:name w:val="toc 4"/>
    <w:unhideWhenUsed/>
    <w:qFormat/>
    <w:uiPriority w:val="39"/>
    <w:pPr>
      <w:spacing w:after="57"/>
      <w:ind w:left="850" w:right="0" w:firstLine="0"/>
    </w:pPr>
    <w:rPr>
      <w:rFonts w:asciiTheme="minorHAnsi" w:hAnsiTheme="minorHAnsi" w:eastAsiaTheme="minorEastAsia" w:cstheme="minorBidi"/>
      <w:sz w:val="21"/>
      <w:szCs w:val="22"/>
    </w:rPr>
  </w:style>
  <w:style w:type="paragraph" w:styleId="25">
    <w:name w:val="Subtitle"/>
    <w:link w:val="54"/>
    <w:qFormat/>
    <w:uiPriority w:val="11"/>
    <w:pPr>
      <w:spacing w:before="200" w:after="200"/>
    </w:pPr>
    <w:rPr>
      <w:rFonts w:asciiTheme="minorHAnsi" w:hAnsiTheme="minorHAnsi" w:eastAsiaTheme="minorEastAsia" w:cstheme="minorBidi"/>
      <w:sz w:val="24"/>
      <w:szCs w:val="24"/>
    </w:rPr>
  </w:style>
  <w:style w:type="paragraph" w:styleId="26">
    <w:name w:val="footnote text"/>
    <w:link w:val="187"/>
    <w:semiHidden/>
    <w:unhideWhenUsed/>
    <w:qFormat/>
    <w:uiPriority w:val="99"/>
    <w:pPr>
      <w:spacing w:after="40" w:line="240" w:lineRule="auto"/>
    </w:pPr>
    <w:rPr>
      <w:rFonts w:asciiTheme="minorHAnsi" w:hAnsiTheme="minorHAnsi" w:eastAsiaTheme="minorEastAsia" w:cstheme="minorBidi"/>
      <w:sz w:val="18"/>
      <w:szCs w:val="22"/>
    </w:rPr>
  </w:style>
  <w:style w:type="paragraph" w:styleId="27">
    <w:name w:val="toc 6"/>
    <w:unhideWhenUsed/>
    <w:qFormat/>
    <w:uiPriority w:val="39"/>
    <w:pPr>
      <w:spacing w:after="57"/>
      <w:ind w:left="1417" w:right="0" w:firstLine="0"/>
    </w:pPr>
    <w:rPr>
      <w:rFonts w:asciiTheme="minorHAnsi" w:hAnsiTheme="minorHAnsi" w:eastAsiaTheme="minorEastAsia" w:cstheme="minorBidi"/>
      <w:sz w:val="21"/>
      <w:szCs w:val="22"/>
    </w:rPr>
  </w:style>
  <w:style w:type="paragraph" w:styleId="28">
    <w:name w:val="table of figures"/>
    <w:unhideWhenUsed/>
    <w:qFormat/>
    <w:uiPriority w:val="99"/>
    <w:pPr>
      <w:spacing w:after="0" w:afterAutospacing="0"/>
    </w:pPr>
    <w:rPr>
      <w:rFonts w:asciiTheme="minorHAnsi" w:hAnsiTheme="minorHAnsi" w:eastAsiaTheme="minorEastAsia" w:cstheme="minorBidi"/>
      <w:sz w:val="21"/>
      <w:szCs w:val="22"/>
    </w:rPr>
  </w:style>
  <w:style w:type="paragraph" w:styleId="29">
    <w:name w:val="toc 2"/>
    <w:unhideWhenUsed/>
    <w:qFormat/>
    <w:uiPriority w:val="39"/>
    <w:pPr>
      <w:spacing w:after="57"/>
      <w:ind w:left="283" w:right="0" w:firstLine="0"/>
    </w:pPr>
    <w:rPr>
      <w:rFonts w:asciiTheme="minorHAnsi" w:hAnsiTheme="minorHAnsi" w:eastAsiaTheme="minorEastAsia" w:cstheme="minorBidi"/>
      <w:sz w:val="21"/>
      <w:szCs w:val="22"/>
    </w:rPr>
  </w:style>
  <w:style w:type="paragraph" w:styleId="30">
    <w:name w:val="toc 9"/>
    <w:unhideWhenUsed/>
    <w:qFormat/>
    <w:uiPriority w:val="39"/>
    <w:pPr>
      <w:spacing w:after="57"/>
      <w:ind w:left="2268" w:right="0" w:firstLine="0"/>
    </w:pPr>
    <w:rPr>
      <w:rFonts w:asciiTheme="minorHAnsi" w:hAnsiTheme="minorHAnsi" w:eastAsiaTheme="minorEastAsia" w:cstheme="minorBidi"/>
      <w:sz w:val="21"/>
      <w:szCs w:val="22"/>
    </w:rPr>
  </w:style>
  <w:style w:type="paragraph" w:styleId="31">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32">
    <w:name w:val="Title"/>
    <w:link w:val="53"/>
    <w:qFormat/>
    <w:uiPriority w:val="10"/>
    <w:pPr>
      <w:spacing w:before="300" w:after="200"/>
      <w:contextualSpacing/>
    </w:pPr>
    <w:rPr>
      <w:rFonts w:asciiTheme="minorHAnsi" w:hAnsiTheme="minorHAnsi" w:eastAsiaTheme="minorEastAsia" w:cstheme="minorBidi"/>
      <w:sz w:val="48"/>
      <w:szCs w:val="48"/>
    </w:rPr>
  </w:style>
  <w:style w:type="paragraph" w:styleId="33">
    <w:name w:val="Body Text First Indent 2"/>
    <w:basedOn w:val="15"/>
    <w:next w:val="1"/>
    <w:qFormat/>
    <w:uiPriority w:val="0"/>
    <w:pPr>
      <w:widowControl/>
      <w:spacing w:after="120"/>
      <w:ind w:left="420" w:firstLine="420"/>
    </w:pPr>
    <w:rPr>
      <w:rFonts w:ascii="仿宋_GB2312" w:eastAsia="仿宋_GB2312"/>
      <w:color w:val="FF6600"/>
      <w:sz w:val="21"/>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annotation reference"/>
    <w:basedOn w:val="36"/>
    <w:qFormat/>
    <w:uiPriority w:val="0"/>
    <w:rPr>
      <w:sz w:val="21"/>
      <w:szCs w:val="21"/>
    </w:rPr>
  </w:style>
  <w:style w:type="character" w:styleId="40">
    <w:name w:val="footnote reference"/>
    <w:unhideWhenUsed/>
    <w:qFormat/>
    <w:uiPriority w:val="99"/>
    <w:rPr>
      <w:vertAlign w:val="superscript"/>
    </w:rPr>
  </w:style>
  <w:style w:type="paragraph" w:customStyle="1" w:styleId="41">
    <w:name w:val="信息标题1"/>
    <w:basedOn w:val="1"/>
    <w:next w:val="1"/>
    <w:autoRedefine/>
    <w:unhideWhenUsed/>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line="120" w:lineRule="auto"/>
      <w:ind w:left="1080" w:hanging="1080"/>
    </w:pPr>
    <w:rPr>
      <w:rFonts w:ascii="Arial" w:hAnsi="Arial" w:cs="Arial"/>
    </w:rPr>
  </w:style>
  <w:style w:type="character" w:customStyle="1" w:styleId="42">
    <w:name w:val="Heading 1 Char"/>
    <w:link w:val="3"/>
    <w:qFormat/>
    <w:uiPriority w:val="9"/>
    <w:rPr>
      <w:rFonts w:ascii="Arial" w:hAnsi="Arial" w:eastAsia="Arial" w:cs="Arial"/>
      <w:sz w:val="40"/>
      <w:szCs w:val="40"/>
    </w:rPr>
  </w:style>
  <w:style w:type="character" w:customStyle="1" w:styleId="43">
    <w:name w:val="Heading 2 Char"/>
    <w:link w:val="4"/>
    <w:qFormat/>
    <w:uiPriority w:val="9"/>
    <w:rPr>
      <w:rFonts w:ascii="Arial" w:hAnsi="Arial" w:eastAsia="Arial" w:cs="Arial"/>
      <w:sz w:val="34"/>
    </w:rPr>
  </w:style>
  <w:style w:type="character" w:customStyle="1" w:styleId="44">
    <w:name w:val="Heading 3 Char"/>
    <w:link w:val="5"/>
    <w:qFormat/>
    <w:uiPriority w:val="9"/>
    <w:rPr>
      <w:rFonts w:ascii="Arial" w:hAnsi="Arial" w:eastAsia="Arial" w:cs="Arial"/>
      <w:sz w:val="30"/>
      <w:szCs w:val="30"/>
    </w:rPr>
  </w:style>
  <w:style w:type="character" w:customStyle="1" w:styleId="45">
    <w:name w:val="Heading 4 Char"/>
    <w:link w:val="6"/>
    <w:qFormat/>
    <w:uiPriority w:val="9"/>
    <w:rPr>
      <w:rFonts w:ascii="Arial" w:hAnsi="Arial" w:eastAsia="Arial" w:cs="Arial"/>
      <w:b/>
      <w:bCs/>
      <w:sz w:val="26"/>
      <w:szCs w:val="26"/>
    </w:rPr>
  </w:style>
  <w:style w:type="character" w:customStyle="1" w:styleId="46">
    <w:name w:val="Heading 5 Char"/>
    <w:link w:val="7"/>
    <w:qFormat/>
    <w:uiPriority w:val="9"/>
    <w:rPr>
      <w:rFonts w:ascii="Arial" w:hAnsi="Arial" w:eastAsia="Arial" w:cs="Arial"/>
      <w:b/>
      <w:bCs/>
      <w:sz w:val="24"/>
      <w:szCs w:val="24"/>
    </w:rPr>
  </w:style>
  <w:style w:type="character" w:customStyle="1" w:styleId="47">
    <w:name w:val="Heading 6 Char"/>
    <w:link w:val="8"/>
    <w:qFormat/>
    <w:uiPriority w:val="9"/>
    <w:rPr>
      <w:rFonts w:ascii="Arial" w:hAnsi="Arial" w:eastAsia="Arial" w:cs="Arial"/>
      <w:b/>
      <w:bCs/>
      <w:sz w:val="22"/>
      <w:szCs w:val="22"/>
    </w:rPr>
  </w:style>
  <w:style w:type="character" w:customStyle="1" w:styleId="48">
    <w:name w:val="Heading 7 Char"/>
    <w:link w:val="9"/>
    <w:qFormat/>
    <w:uiPriority w:val="9"/>
    <w:rPr>
      <w:rFonts w:ascii="Arial" w:hAnsi="Arial" w:eastAsia="Arial" w:cs="Arial"/>
      <w:b/>
      <w:bCs/>
      <w:i/>
      <w:iCs/>
      <w:sz w:val="22"/>
      <w:szCs w:val="22"/>
    </w:rPr>
  </w:style>
  <w:style w:type="character" w:customStyle="1" w:styleId="49">
    <w:name w:val="Heading 8 Char"/>
    <w:link w:val="10"/>
    <w:qFormat/>
    <w:uiPriority w:val="9"/>
    <w:rPr>
      <w:rFonts w:ascii="Arial" w:hAnsi="Arial" w:eastAsia="Arial" w:cs="Arial"/>
      <w:i/>
      <w:iCs/>
      <w:sz w:val="22"/>
      <w:szCs w:val="22"/>
    </w:rPr>
  </w:style>
  <w:style w:type="character" w:customStyle="1" w:styleId="50">
    <w:name w:val="Heading 9 Char"/>
    <w:link w:val="11"/>
    <w:qFormat/>
    <w:uiPriority w:val="9"/>
    <w:rPr>
      <w:rFonts w:ascii="Arial" w:hAnsi="Arial" w:eastAsia="Arial" w:cs="Arial"/>
      <w:i/>
      <w:iCs/>
      <w:sz w:val="21"/>
      <w:szCs w:val="21"/>
    </w:rPr>
  </w:style>
  <w:style w:type="paragraph" w:styleId="51">
    <w:name w:val="List Paragraph"/>
    <w:qFormat/>
    <w:uiPriority w:val="34"/>
    <w:pPr>
      <w:ind w:left="720"/>
      <w:contextualSpacing/>
    </w:pPr>
    <w:rPr>
      <w:rFonts w:asciiTheme="minorHAnsi" w:hAnsiTheme="minorHAnsi" w:eastAsiaTheme="minorEastAsia" w:cstheme="minorBidi"/>
      <w:sz w:val="21"/>
      <w:szCs w:val="22"/>
    </w:rPr>
  </w:style>
  <w:style w:type="paragraph" w:styleId="52">
    <w:name w:val="No Spacing"/>
    <w:qFormat/>
    <w:uiPriority w:val="1"/>
    <w:pPr>
      <w:spacing w:before="0" w:after="0" w:line="240" w:lineRule="auto"/>
    </w:pPr>
    <w:rPr>
      <w:rFonts w:asciiTheme="minorHAnsi" w:hAnsiTheme="minorHAnsi" w:eastAsiaTheme="minorEastAsia" w:cstheme="minorBidi"/>
      <w:sz w:val="21"/>
      <w:szCs w:val="22"/>
    </w:rPr>
  </w:style>
  <w:style w:type="character" w:customStyle="1" w:styleId="53">
    <w:name w:val="Title Char"/>
    <w:link w:val="32"/>
    <w:qFormat/>
    <w:uiPriority w:val="10"/>
    <w:rPr>
      <w:sz w:val="48"/>
      <w:szCs w:val="48"/>
    </w:rPr>
  </w:style>
  <w:style w:type="character" w:customStyle="1" w:styleId="54">
    <w:name w:val="Subtitle Char"/>
    <w:link w:val="25"/>
    <w:qFormat/>
    <w:uiPriority w:val="11"/>
    <w:rPr>
      <w:sz w:val="24"/>
      <w:szCs w:val="24"/>
    </w:rPr>
  </w:style>
  <w:style w:type="paragraph" w:styleId="55">
    <w:name w:val="Quote"/>
    <w:link w:val="56"/>
    <w:qFormat/>
    <w:uiPriority w:val="29"/>
    <w:pPr>
      <w:ind w:left="720" w:right="720"/>
    </w:pPr>
    <w:rPr>
      <w:rFonts w:asciiTheme="minorHAnsi" w:hAnsiTheme="minorHAnsi" w:eastAsiaTheme="minorEastAsia" w:cstheme="minorBidi"/>
      <w:i/>
      <w:sz w:val="21"/>
      <w:szCs w:val="22"/>
    </w:rPr>
  </w:style>
  <w:style w:type="character" w:customStyle="1" w:styleId="56">
    <w:name w:val="Quote Char"/>
    <w:link w:val="55"/>
    <w:qFormat/>
    <w:uiPriority w:val="29"/>
    <w:rPr>
      <w:i/>
    </w:rPr>
  </w:style>
  <w:style w:type="paragraph" w:styleId="57">
    <w:name w:val="Intense Quote"/>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rFonts w:asciiTheme="minorHAnsi" w:hAnsiTheme="minorHAnsi" w:eastAsiaTheme="minorEastAsia" w:cstheme="minorBidi"/>
      <w:i/>
      <w:sz w:val="21"/>
      <w:szCs w:val="22"/>
    </w:rPr>
  </w:style>
  <w:style w:type="character" w:customStyle="1" w:styleId="58">
    <w:name w:val="Intense Quote Char"/>
    <w:link w:val="57"/>
    <w:qFormat/>
    <w:uiPriority w:val="30"/>
    <w:rPr>
      <w:i/>
    </w:rPr>
  </w:style>
  <w:style w:type="character" w:customStyle="1" w:styleId="59">
    <w:name w:val="Header Char"/>
    <w:link w:val="22"/>
    <w:qFormat/>
    <w:uiPriority w:val="99"/>
  </w:style>
  <w:style w:type="character" w:customStyle="1" w:styleId="60">
    <w:name w:val="Footer Char"/>
    <w:link w:val="21"/>
    <w:qFormat/>
    <w:uiPriority w:val="99"/>
  </w:style>
  <w:style w:type="character" w:customStyle="1" w:styleId="61">
    <w:name w:val="Caption Char"/>
    <w:link w:val="21"/>
    <w:qFormat/>
    <w:uiPriority w:val="99"/>
  </w:style>
  <w:style w:type="table" w:customStyle="1" w:styleId="62">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3">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4">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5">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9">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0">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1">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2">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3">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4">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5">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1">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7">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8">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9">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0">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1">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2">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3">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0">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4">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7">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8">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9">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0">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1">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2">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3">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4">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5">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6">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7">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8">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9">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0">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1">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2">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3">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4">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5">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6">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7">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8">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0">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1">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2">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3">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4">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5">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6">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7">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8">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9">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0">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1">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2">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3">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0">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1">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2">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3">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4">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5">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6">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7">
    <w:name w:val="Footnote Text Char"/>
    <w:link w:val="26"/>
    <w:qFormat/>
    <w:uiPriority w:val="99"/>
    <w:rPr>
      <w:sz w:val="18"/>
    </w:rPr>
  </w:style>
  <w:style w:type="character" w:customStyle="1" w:styleId="188">
    <w:name w:val="Endnote Text Char"/>
    <w:link w:val="20"/>
    <w:qFormat/>
    <w:uiPriority w:val="99"/>
    <w:rPr>
      <w:sz w:val="20"/>
    </w:rPr>
  </w:style>
  <w:style w:type="paragraph" w:customStyle="1" w:styleId="189">
    <w:name w:val="TOC Heading"/>
    <w:unhideWhenUsed/>
    <w:qFormat/>
    <w:uiPriority w:val="39"/>
    <w:rPr>
      <w:rFonts w:asciiTheme="minorHAnsi" w:hAnsiTheme="minorHAnsi" w:eastAsiaTheme="minorEastAsia" w:cstheme="minorBidi"/>
      <w:sz w:val="21"/>
      <w:szCs w:val="22"/>
    </w:rPr>
  </w:style>
  <w:style w:type="paragraph" w:customStyle="1" w:styleId="190">
    <w:name w:val="Table Paragraph"/>
    <w:basedOn w:val="1"/>
    <w:qFormat/>
    <w:uiPriority w:val="1"/>
    <w:pPr>
      <w:jc w:val="left"/>
    </w:pPr>
    <w:rPr>
      <w:rFonts w:ascii="宋体" w:hAnsi="宋体" w:cs="宋体"/>
      <w:sz w:val="22"/>
      <w:szCs w:val="22"/>
      <w:lang w:val="zh-CN" w:bidi="zh-CN"/>
    </w:rPr>
  </w:style>
  <w:style w:type="paragraph" w:customStyle="1" w:styleId="191">
    <w:name w:val="正文1"/>
    <w:basedOn w:val="192"/>
    <w:qFormat/>
    <w:uiPriority w:val="0"/>
    <w:pPr>
      <w:tabs>
        <w:tab w:val="left" w:pos="420"/>
        <w:tab w:val="left" w:pos="1110"/>
      </w:tabs>
    </w:pPr>
    <w:rPr>
      <w:rFonts w:ascii="Calibri" w:hAnsi="Calibri" w:cs="宋体"/>
    </w:rPr>
  </w:style>
  <w:style w:type="paragraph" w:customStyle="1" w:styleId="192">
    <w:name w:val="样式1"/>
    <w:basedOn w:val="1"/>
    <w:qFormat/>
    <w:uiPriority w:val="0"/>
    <w:pPr>
      <w:tabs>
        <w:tab w:val="left" w:pos="420"/>
        <w:tab w:val="left" w:pos="1110"/>
      </w:tabs>
      <w:ind w:left="420" w:hanging="420"/>
    </w:pPr>
    <w:rPr>
      <w:rFonts w:ascii="宋体" w:hAnsi="宋体"/>
      <w:szCs w:val="21"/>
    </w:rPr>
  </w:style>
  <w:style w:type="character" w:customStyle="1" w:styleId="193">
    <w:name w:val="font11"/>
    <w:basedOn w:val="36"/>
    <w:qFormat/>
    <w:uiPriority w:val="0"/>
    <w:rPr>
      <w:rFonts w:hint="eastAsia" w:ascii="宋体" w:hAnsi="宋体" w:eastAsia="宋体" w:cs="宋体"/>
      <w:color w:val="000000"/>
      <w:sz w:val="21"/>
      <w:szCs w:val="21"/>
      <w:u w:val="none"/>
    </w:rPr>
  </w:style>
  <w:style w:type="character" w:customStyle="1" w:styleId="194">
    <w:name w:val="font41"/>
    <w:basedOn w:val="36"/>
    <w:qFormat/>
    <w:uiPriority w:val="0"/>
    <w:rPr>
      <w:rFonts w:hint="eastAsia" w:ascii="宋体" w:hAnsi="宋体" w:eastAsia="宋体" w:cs="宋体"/>
      <w:color w:val="000000"/>
      <w:sz w:val="21"/>
      <w:szCs w:val="21"/>
      <w:u w:val="none"/>
    </w:rPr>
  </w:style>
  <w:style w:type="character" w:customStyle="1" w:styleId="195">
    <w:name w:val="font21"/>
    <w:basedOn w:val="36"/>
    <w:qFormat/>
    <w:uiPriority w:val="0"/>
    <w:rPr>
      <w:rFonts w:hint="eastAsia" w:ascii="宋体" w:hAnsi="宋体" w:eastAsia="宋体" w:cs="宋体"/>
      <w:color w:val="000000"/>
      <w:sz w:val="20"/>
      <w:szCs w:val="20"/>
      <w:u w:val="none"/>
    </w:rPr>
  </w:style>
  <w:style w:type="paragraph" w:customStyle="1" w:styleId="196">
    <w:name w:val="Table Text"/>
    <w:basedOn w:val="1"/>
    <w:semiHidden/>
    <w:qFormat/>
    <w:uiPriority w:val="0"/>
    <w:rPr>
      <w:rFonts w:ascii="宋体" w:hAnsi="宋体" w:eastAsia="宋体" w:cs="宋体"/>
      <w:sz w:val="24"/>
      <w:szCs w:val="24"/>
      <w:lang w:val="en-US" w:eastAsia="en-US" w:bidi="ar-SA"/>
    </w:rPr>
  </w:style>
  <w:style w:type="table" w:customStyle="1" w:styleId="19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98">
    <w:name w:val="正文格式"/>
    <w:qFormat/>
    <w:uiPriority w:val="0"/>
    <w:pPr>
      <w:spacing w:line="360" w:lineRule="auto"/>
      <w:ind w:firstLine="200"/>
    </w:pPr>
    <w:rPr>
      <w:rFonts w:hint="default" w:ascii="宋体" w:hAnsi="宋体" w:eastAsia="宋体" w:cs="Times New Roman"/>
      <w:sz w:val="28"/>
      <w:szCs w:val="22"/>
      <w:lang w:val="en-US" w:eastAsia="zh-CN" w:bidi="ar-SA"/>
    </w:rPr>
  </w:style>
  <w:style w:type="paragraph" w:customStyle="1" w:styleId="199">
    <w:name w:val="样式 样式 左侧:  2 字符 + 左侧:  0.85 厘米 首行缩进:  2 字符1"/>
    <w:basedOn w:val="1"/>
    <w:qFormat/>
    <w:uiPriority w:val="0"/>
    <w:pPr>
      <w:ind w:left="482" w:firstLine="200"/>
    </w:pPr>
    <w:rPr>
      <w:rFonts w:ascii="Times New Roman" w:hAnsi="Times New Roman" w:cs="宋体"/>
      <w:szCs w:val="20"/>
    </w:rPr>
  </w:style>
  <w:style w:type="paragraph" w:customStyle="1" w:styleId="200">
    <w:name w:val="正文_0"/>
    <w:qFormat/>
    <w:uiPriority w:val="0"/>
    <w:pPr>
      <w:widowControl w:val="0"/>
      <w:jc w:val="both"/>
    </w:pPr>
    <w:rPr>
      <w:rFonts w:hint="default"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14999</Words>
  <Characters>16096</Characters>
  <TotalTime>4</TotalTime>
  <ScaleCrop>false</ScaleCrop>
  <LinksUpToDate>false</LinksUpToDate>
  <CharactersWithSpaces>16426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2024-09-06T07:56:00Z</dcterms:created>
  <dc:creator>Apache POI</dc:creator>
  <cp:lastModifiedBy>阿罗</cp:lastModifiedBy>
  <dcterms:modified xsi:type="dcterms:W3CDTF">2025-05-19T09:30:29Z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9D860EFD4F0F4567B2F3F99BA2C10CD3_13</vt:lpwstr>
  </property>
  <property fmtid="{D5CDD505-2E9C-101B-9397-08002B2CF9AE}" pid="4" name="KSOTemplateDocerSaveRecord">
    <vt:lpwstr>eyJoZGlkIjoiMTdhMWE4OTQ3YjFhNGE0MzllOWY1OWUwNzg4MzU0NDUiLCJ1c2VySWQiOiI1NjU4NjA2NjIifQ==</vt:lpwstr>
  </property>
</Properties>
</file>