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028FC">
      <w:pPr>
        <w:spacing w:before="117" w:line="225" w:lineRule="auto"/>
        <w:ind w:firstLine="1812" w:firstLineChars="600"/>
        <w:jc w:val="right"/>
        <w:rPr>
          <w:rFonts w:ascii="宋体" w:hAnsi="宋体" w:eastAsia="宋体"/>
        </w:rPr>
      </w:pPr>
      <w:r>
        <w:rPr>
          <w:rFonts w:hint="eastAsia" w:ascii="宋体" w:hAnsi="宋体" w:eastAsia="宋体" w:cs="楷体"/>
          <w:spacing w:val="-9"/>
          <w:sz w:val="32"/>
          <w:szCs w:val="32"/>
          <w:lang w:eastAsia="zh-CN"/>
        </w:rPr>
        <w:t>GYRXC-202502</w:t>
      </w:r>
    </w:p>
    <w:p w14:paraId="6267CD90">
      <w:pPr>
        <w:spacing w:line="247" w:lineRule="auto"/>
        <w:rPr>
          <w:rFonts w:ascii="宋体" w:hAnsi="宋体" w:eastAsia="宋体"/>
        </w:rPr>
      </w:pPr>
    </w:p>
    <w:p w14:paraId="5D615080">
      <w:pPr>
        <w:spacing w:line="247" w:lineRule="auto"/>
        <w:rPr>
          <w:rFonts w:ascii="宋体" w:hAnsi="宋体" w:eastAsia="宋体"/>
        </w:rPr>
      </w:pPr>
    </w:p>
    <w:p w14:paraId="3B1138E7">
      <w:pPr>
        <w:spacing w:line="248" w:lineRule="auto"/>
        <w:rPr>
          <w:rFonts w:ascii="宋体" w:hAnsi="宋体" w:eastAsia="宋体"/>
        </w:rPr>
      </w:pPr>
    </w:p>
    <w:p w14:paraId="175C658E">
      <w:pPr>
        <w:spacing w:line="259" w:lineRule="auto"/>
        <w:jc w:val="center"/>
        <w:rPr>
          <w:rFonts w:hint="eastAsia" w:ascii="宋体" w:hAnsi="宋体" w:eastAsia="宋体"/>
          <w:b/>
          <w:sz w:val="40"/>
          <w:szCs w:val="40"/>
          <w:lang w:eastAsia="zh-CN"/>
        </w:rPr>
      </w:pPr>
      <w:r>
        <w:rPr>
          <w:rFonts w:hint="eastAsia" w:ascii="宋体" w:hAnsi="宋体" w:eastAsia="宋体"/>
          <w:b/>
          <w:sz w:val="40"/>
          <w:szCs w:val="40"/>
          <w:lang w:eastAsia="zh-CN"/>
        </w:rPr>
        <w:t>高邮市高邮镇颐养社区养老服务委托社会管理运营项目</w:t>
      </w:r>
    </w:p>
    <w:p w14:paraId="31EE561A">
      <w:pPr>
        <w:spacing w:line="259" w:lineRule="auto"/>
        <w:jc w:val="center"/>
        <w:rPr>
          <w:rFonts w:hint="eastAsia" w:ascii="宋体" w:hAnsi="宋体" w:eastAsia="宋体"/>
          <w:b/>
          <w:sz w:val="36"/>
          <w:szCs w:val="36"/>
          <w:lang w:eastAsia="zh-CN"/>
        </w:rPr>
      </w:pPr>
    </w:p>
    <w:p w14:paraId="20E8CB21">
      <w:pPr>
        <w:spacing w:line="259" w:lineRule="auto"/>
        <w:jc w:val="center"/>
        <w:rPr>
          <w:rFonts w:hint="eastAsia" w:ascii="宋体" w:hAnsi="宋体" w:eastAsia="宋体"/>
          <w:b/>
          <w:sz w:val="36"/>
          <w:szCs w:val="36"/>
          <w:lang w:eastAsia="zh-CN"/>
        </w:rPr>
      </w:pPr>
    </w:p>
    <w:p w14:paraId="4A759041">
      <w:pPr>
        <w:spacing w:line="259" w:lineRule="auto"/>
        <w:jc w:val="center"/>
        <w:rPr>
          <w:rFonts w:ascii="宋体" w:hAnsi="宋体" w:eastAsia="宋体"/>
          <w:b/>
          <w:sz w:val="36"/>
          <w:szCs w:val="36"/>
        </w:rPr>
      </w:pPr>
      <w:r>
        <w:rPr>
          <w:rFonts w:ascii="宋体" w:hAnsi="宋体" w:eastAsia="宋体"/>
          <w:b/>
          <w:sz w:val="36"/>
          <w:szCs w:val="36"/>
        </w:rPr>
        <w:t>竞争性磋商文件</w:t>
      </w:r>
    </w:p>
    <w:p w14:paraId="0BB0887B">
      <w:pPr>
        <w:spacing w:line="259" w:lineRule="auto"/>
        <w:jc w:val="center"/>
        <w:rPr>
          <w:rFonts w:ascii="宋体" w:hAnsi="宋体" w:eastAsia="宋体"/>
          <w:b/>
          <w:sz w:val="36"/>
          <w:szCs w:val="36"/>
        </w:rPr>
      </w:pPr>
    </w:p>
    <w:p w14:paraId="145C0AF7">
      <w:pPr>
        <w:spacing w:line="259" w:lineRule="auto"/>
        <w:rPr>
          <w:rFonts w:ascii="宋体" w:hAnsi="宋体" w:eastAsia="宋体"/>
        </w:rPr>
      </w:pPr>
    </w:p>
    <w:p w14:paraId="1528D4D5">
      <w:pPr>
        <w:spacing w:line="246" w:lineRule="auto"/>
        <w:rPr>
          <w:rFonts w:hint="eastAsia" w:ascii="宋体" w:hAnsi="宋体" w:eastAsia="宋体"/>
          <w:lang w:eastAsia="zh-CN"/>
        </w:rPr>
      </w:pPr>
      <w:r>
        <w:rPr>
          <w:rFonts w:hint="eastAsia" w:ascii="宋体" w:hAnsi="宋体" w:eastAsia="宋体"/>
          <w:lang w:eastAsia="zh-CN"/>
        </w:rPr>
        <w:drawing>
          <wp:inline distT="0" distB="0" distL="114300" distR="114300">
            <wp:extent cx="5513705" cy="3329305"/>
            <wp:effectExtent l="0" t="0" r="10795" b="4445"/>
            <wp:docPr id="1" name="图片 1" descr="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1"/>
                    <pic:cNvPicPr>
                      <a:picLocks noChangeAspect="1"/>
                    </pic:cNvPicPr>
                  </pic:nvPicPr>
                  <pic:blipFill>
                    <a:blip r:embed="rId9"/>
                    <a:stretch>
                      <a:fillRect/>
                    </a:stretch>
                  </pic:blipFill>
                  <pic:spPr>
                    <a:xfrm>
                      <a:off x="0" y="0"/>
                      <a:ext cx="5513705" cy="3329305"/>
                    </a:xfrm>
                    <a:prstGeom prst="rect">
                      <a:avLst/>
                    </a:prstGeom>
                  </pic:spPr>
                </pic:pic>
              </a:graphicData>
            </a:graphic>
          </wp:inline>
        </w:drawing>
      </w:r>
    </w:p>
    <w:p w14:paraId="21AA9FCD">
      <w:pPr>
        <w:spacing w:line="246" w:lineRule="auto"/>
        <w:rPr>
          <w:rFonts w:ascii="宋体" w:hAnsi="宋体" w:eastAsia="宋体"/>
        </w:rPr>
      </w:pPr>
    </w:p>
    <w:p w14:paraId="0CE529A0">
      <w:pPr>
        <w:spacing w:line="246" w:lineRule="auto"/>
        <w:rPr>
          <w:rFonts w:ascii="宋体" w:hAnsi="宋体" w:eastAsia="宋体"/>
        </w:rPr>
      </w:pPr>
    </w:p>
    <w:p w14:paraId="764B2059">
      <w:pPr>
        <w:spacing w:line="246" w:lineRule="auto"/>
        <w:rPr>
          <w:rFonts w:ascii="宋体" w:hAnsi="宋体" w:eastAsia="宋体"/>
        </w:rPr>
      </w:pPr>
    </w:p>
    <w:p w14:paraId="7A6C86CA">
      <w:pPr>
        <w:spacing w:line="246" w:lineRule="auto"/>
        <w:rPr>
          <w:rFonts w:ascii="宋体" w:hAnsi="宋体" w:eastAsia="宋体"/>
        </w:rPr>
      </w:pPr>
    </w:p>
    <w:p w14:paraId="3114EF7D">
      <w:pPr>
        <w:spacing w:line="247" w:lineRule="auto"/>
        <w:rPr>
          <w:rFonts w:ascii="宋体" w:hAnsi="宋体" w:eastAsia="宋体"/>
        </w:rPr>
      </w:pPr>
    </w:p>
    <w:p w14:paraId="6F4A319A">
      <w:pPr>
        <w:spacing w:line="247" w:lineRule="auto"/>
        <w:rPr>
          <w:rFonts w:ascii="宋体" w:hAnsi="宋体" w:eastAsia="宋体"/>
        </w:rPr>
      </w:pPr>
    </w:p>
    <w:p w14:paraId="08F08CBA">
      <w:pPr>
        <w:spacing w:line="360" w:lineRule="auto"/>
      </w:pPr>
    </w:p>
    <w:p w14:paraId="3BD1E214">
      <w:pPr>
        <w:spacing w:line="360" w:lineRule="auto"/>
        <w:ind w:left="1627"/>
        <w:rPr>
          <w:rFonts w:hint="eastAsia" w:ascii="宋体" w:hAnsi="宋体" w:eastAsia="宋体" w:cs="宋体"/>
          <w:sz w:val="29"/>
          <w:szCs w:val="29"/>
          <w:lang w:eastAsia="zh-CN"/>
        </w:rPr>
      </w:pPr>
      <w:r>
        <w:rPr>
          <w:rFonts w:ascii="宋体" w:hAnsi="宋体" w:eastAsia="宋体" w:cs="宋体"/>
          <w:spacing w:val="15"/>
          <w:sz w:val="29"/>
          <w:szCs w:val="29"/>
        </w:rPr>
        <w:t>采</w:t>
      </w:r>
      <w:r>
        <w:rPr>
          <w:rFonts w:ascii="宋体" w:hAnsi="宋体" w:eastAsia="宋体" w:cs="宋体"/>
          <w:spacing w:val="9"/>
          <w:sz w:val="29"/>
          <w:szCs w:val="29"/>
        </w:rPr>
        <w:t>购人：</w:t>
      </w:r>
      <w:r>
        <w:rPr>
          <w:rFonts w:hint="eastAsia" w:ascii="宋体" w:hAnsi="宋体" w:eastAsia="宋体" w:cs="宋体"/>
          <w:spacing w:val="9"/>
          <w:sz w:val="29"/>
          <w:szCs w:val="29"/>
          <w:lang w:eastAsia="zh-CN"/>
        </w:rPr>
        <w:t>高邮市高邮镇人民政府</w:t>
      </w:r>
    </w:p>
    <w:p w14:paraId="02D69D96">
      <w:pPr>
        <w:spacing w:line="360" w:lineRule="auto"/>
        <w:ind w:left="1330"/>
        <w:rPr>
          <w:rFonts w:hint="eastAsia" w:ascii="宋体" w:hAnsi="宋体" w:eastAsia="宋体" w:cs="宋体"/>
          <w:sz w:val="29"/>
          <w:szCs w:val="29"/>
          <w:lang w:eastAsia="zh-CN"/>
        </w:rPr>
      </w:pPr>
      <w:r>
        <w:rPr>
          <w:rFonts w:ascii="宋体" w:hAnsi="宋体" w:eastAsia="宋体" w:cs="宋体"/>
          <w:spacing w:val="15"/>
          <w:sz w:val="29"/>
          <w:szCs w:val="29"/>
        </w:rPr>
        <w:t>招</w:t>
      </w:r>
      <w:r>
        <w:rPr>
          <w:rFonts w:ascii="宋体" w:hAnsi="宋体" w:eastAsia="宋体" w:cs="宋体"/>
          <w:spacing w:val="9"/>
          <w:sz w:val="29"/>
          <w:szCs w:val="29"/>
        </w:rPr>
        <w:t>标代理：</w:t>
      </w:r>
      <w:r>
        <w:rPr>
          <w:rFonts w:hint="eastAsia" w:ascii="宋体" w:hAnsi="宋体" w:eastAsia="宋体" w:cs="宋体"/>
          <w:spacing w:val="9"/>
          <w:sz w:val="29"/>
          <w:szCs w:val="29"/>
          <w:lang w:eastAsia="zh-CN"/>
        </w:rPr>
        <w:t>江苏润鑫项目管理有限公司</w:t>
      </w:r>
    </w:p>
    <w:p w14:paraId="6E0267D1">
      <w:pPr>
        <w:spacing w:line="360" w:lineRule="auto"/>
        <w:ind w:left="3133"/>
        <w:sectPr>
          <w:footerReference r:id="rId3" w:type="default"/>
          <w:pgSz w:w="11906" w:h="16839"/>
          <w:pgMar w:top="1431" w:right="1689" w:bottom="1171" w:left="1785" w:header="0" w:footer="992" w:gutter="0"/>
          <w:cols w:space="720" w:num="1"/>
        </w:sectPr>
      </w:pPr>
      <w:r>
        <w:rPr>
          <w:rFonts w:ascii="宋体" w:hAnsi="宋体" w:eastAsia="宋体" w:cs="宋体"/>
          <w:spacing w:val="-12"/>
          <w:sz w:val="29"/>
          <w:szCs w:val="29"/>
        </w:rPr>
        <w:t>二</w:t>
      </w:r>
      <w:r>
        <w:rPr>
          <w:rFonts w:hint="eastAsia" w:ascii="宋体" w:hAnsi="宋体" w:eastAsia="宋体" w:cs="宋体"/>
          <w:spacing w:val="-10"/>
          <w:sz w:val="29"/>
          <w:szCs w:val="29"/>
        </w:rPr>
        <w:t>〇</w:t>
      </w:r>
      <w:r>
        <w:rPr>
          <w:rFonts w:ascii="宋体" w:hAnsi="宋体" w:eastAsia="宋体" w:cs="宋体"/>
          <w:spacing w:val="-10"/>
          <w:sz w:val="29"/>
          <w:szCs w:val="29"/>
        </w:rPr>
        <w:t>二</w:t>
      </w:r>
      <w:r>
        <w:rPr>
          <w:rFonts w:hint="eastAsia" w:ascii="宋体" w:hAnsi="宋体" w:eastAsia="宋体" w:cs="宋体"/>
          <w:spacing w:val="-10"/>
          <w:sz w:val="29"/>
          <w:szCs w:val="29"/>
          <w:lang w:val="en-US" w:eastAsia="zh-CN"/>
        </w:rPr>
        <w:t>五</w:t>
      </w:r>
      <w:r>
        <w:rPr>
          <w:rFonts w:ascii="宋体" w:hAnsi="宋体" w:eastAsia="宋体" w:cs="宋体"/>
          <w:spacing w:val="-10"/>
          <w:sz w:val="29"/>
          <w:szCs w:val="29"/>
        </w:rPr>
        <w:t>年</w:t>
      </w:r>
      <w:r>
        <w:rPr>
          <w:rFonts w:hint="eastAsia" w:ascii="宋体" w:hAnsi="宋体" w:eastAsia="宋体" w:cs="宋体"/>
          <w:spacing w:val="-10"/>
          <w:sz w:val="29"/>
          <w:szCs w:val="29"/>
          <w:lang w:val="en-US" w:eastAsia="zh-CN"/>
        </w:rPr>
        <w:t>九</w:t>
      </w:r>
      <w:r>
        <w:rPr>
          <w:rFonts w:ascii="宋体" w:hAnsi="宋体" w:eastAsia="宋体" w:cs="宋体"/>
          <w:spacing w:val="-10"/>
          <w:sz w:val="29"/>
          <w:szCs w:val="29"/>
        </w:rPr>
        <w:t>月</w:t>
      </w:r>
    </w:p>
    <w:p w14:paraId="1A0190E7">
      <w:pPr>
        <w:rPr>
          <w:rFonts w:ascii="宋体" w:hAnsi="宋体" w:eastAsia="宋体"/>
        </w:rPr>
      </w:pPr>
    </w:p>
    <w:p w14:paraId="412D14BA">
      <w:pPr>
        <w:spacing w:before="139" w:line="231" w:lineRule="auto"/>
        <w:ind w:left="4081"/>
        <w:rPr>
          <w:rFonts w:ascii="宋体" w:hAnsi="宋体" w:eastAsia="宋体" w:cs="楷体"/>
          <w:sz w:val="43"/>
          <w:szCs w:val="43"/>
        </w:rPr>
      </w:pPr>
      <w:r>
        <w:rPr>
          <w:rFonts w:ascii="宋体" w:hAnsi="宋体" w:eastAsia="宋体" w:cs="楷体"/>
          <w:spacing w:val="-17"/>
          <w:sz w:val="43"/>
          <w:szCs w:val="43"/>
          <w14:textOutline w14:w="7962" w14:cap="flat" w14:cmpd="sng" w14:algn="ctr">
            <w14:solidFill>
              <w14:srgbClr w14:val="000000"/>
            </w14:solidFill>
            <w14:prstDash w14:val="solid"/>
            <w14:miter w14:val="0"/>
          </w14:textOutline>
        </w:rPr>
        <w:t>目</w:t>
      </w:r>
      <w:r>
        <w:rPr>
          <w:rFonts w:ascii="宋体" w:hAnsi="宋体" w:eastAsia="宋体" w:cs="楷体"/>
          <w:spacing w:val="-16"/>
          <w:sz w:val="43"/>
          <w:szCs w:val="43"/>
        </w:rPr>
        <w:t xml:space="preserve"> </w:t>
      </w:r>
      <w:r>
        <w:rPr>
          <w:rFonts w:hint="eastAsia" w:ascii="宋体" w:hAnsi="宋体" w:eastAsia="宋体" w:cs="楷体"/>
          <w:spacing w:val="-16"/>
          <w:sz w:val="43"/>
          <w:szCs w:val="43"/>
        </w:rPr>
        <w:t xml:space="preserve">  </w:t>
      </w:r>
      <w:r>
        <w:rPr>
          <w:rFonts w:ascii="宋体" w:hAnsi="宋体" w:eastAsia="宋体" w:cs="楷体"/>
          <w:spacing w:val="-16"/>
          <w:sz w:val="43"/>
          <w:szCs w:val="43"/>
          <w14:textOutline w14:w="7962" w14:cap="flat" w14:cmpd="sng" w14:algn="ctr">
            <w14:solidFill>
              <w14:srgbClr w14:val="000000"/>
            </w14:solidFill>
            <w14:prstDash w14:val="solid"/>
            <w14:miter w14:val="0"/>
          </w14:textOutline>
        </w:rPr>
        <w:t>录</w:t>
      </w:r>
    </w:p>
    <w:p w14:paraId="096398DE">
      <w:pPr>
        <w:spacing w:line="373" w:lineRule="auto"/>
        <w:rPr>
          <w:rFonts w:ascii="宋体" w:hAnsi="宋体" w:eastAsia="宋体"/>
        </w:rPr>
      </w:pPr>
    </w:p>
    <w:p w14:paraId="38B8FBB3">
      <w:pPr>
        <w:keepNext w:val="0"/>
        <w:keepLines w:val="0"/>
        <w:pageBreakBefore w:val="0"/>
        <w:widowControl/>
        <w:tabs>
          <w:tab w:val="right" w:leader="dot" w:pos="8780"/>
        </w:tabs>
        <w:kinsoku w:val="0"/>
        <w:wordWrap/>
        <w:overflowPunct/>
        <w:topLinePunct w:val="0"/>
        <w:autoSpaceDE w:val="0"/>
        <w:autoSpaceDN w:val="0"/>
        <w:bidi w:val="0"/>
        <w:adjustRightInd/>
        <w:snapToGrid w:val="0"/>
        <w:spacing w:line="360" w:lineRule="auto"/>
        <w:ind w:left="0"/>
        <w:textAlignment w:val="baseline"/>
        <w:rPr>
          <w:rFonts w:hint="eastAsia" w:ascii="宋体" w:hAnsi="宋体" w:eastAsia="宋体" w:cs="楷体"/>
          <w:spacing w:val="-1"/>
          <w:sz w:val="24"/>
          <w:szCs w:val="24"/>
          <w:lang w:eastAsia="zh-CN"/>
        </w:rPr>
      </w:pPr>
      <w:r>
        <w:rPr>
          <w:rFonts w:ascii="宋体" w:hAnsi="宋体" w:eastAsia="宋体" w:cs="楷体"/>
          <w:spacing w:val="-1"/>
          <w:sz w:val="24"/>
          <w:szCs w:val="24"/>
        </w:rPr>
        <w:t xml:space="preserve">第一章 </w:t>
      </w:r>
      <w:r>
        <w:rPr>
          <w:rFonts w:hint="eastAsia" w:ascii="宋体" w:hAnsi="宋体" w:eastAsia="宋体" w:cs="楷体"/>
          <w:spacing w:val="-1"/>
          <w:sz w:val="24"/>
          <w:szCs w:val="24"/>
          <w:lang w:eastAsia="zh-CN"/>
        </w:rPr>
        <w:t>高邮市高邮镇人民政府</w:t>
      </w:r>
      <w:r>
        <w:rPr>
          <w:rFonts w:ascii="宋体" w:hAnsi="宋体" w:eastAsia="宋体" w:cs="楷体"/>
          <w:spacing w:val="-1"/>
          <w:sz w:val="24"/>
          <w:szCs w:val="24"/>
        </w:rPr>
        <w:t>关于</w:t>
      </w:r>
      <w:r>
        <w:rPr>
          <w:rFonts w:hint="eastAsia" w:ascii="宋体" w:hAnsi="宋体" w:eastAsia="宋体" w:cs="楷体"/>
          <w:spacing w:val="-1"/>
          <w:sz w:val="24"/>
          <w:szCs w:val="24"/>
          <w:lang w:eastAsia="zh-CN"/>
        </w:rPr>
        <w:t>高邮市高邮镇颐养社区养老服务委托社会管理运营项目</w:t>
      </w:r>
      <w:r>
        <w:rPr>
          <w:rFonts w:ascii="宋体" w:hAnsi="宋体" w:eastAsia="宋体" w:cs="楷体"/>
          <w:spacing w:val="-1"/>
          <w:sz w:val="24"/>
          <w:szCs w:val="24"/>
        </w:rPr>
        <w:t xml:space="preserve">竞争性磋商公告 </w:t>
      </w:r>
      <w:r>
        <w:rPr>
          <w:rFonts w:ascii="宋体" w:hAnsi="宋体" w:eastAsia="宋体" w:cs="楷体"/>
          <w:spacing w:val="-1"/>
          <w:sz w:val="24"/>
          <w:szCs w:val="24"/>
        </w:rPr>
        <w:tab/>
      </w:r>
      <w:r>
        <w:rPr>
          <w:rFonts w:hint="eastAsia" w:ascii="宋体" w:hAnsi="宋体" w:eastAsia="宋体" w:cs="楷体"/>
          <w:spacing w:val="-1"/>
          <w:sz w:val="24"/>
          <w:szCs w:val="24"/>
          <w:lang w:val="en-US" w:eastAsia="zh-CN"/>
        </w:rPr>
        <w:t>2</w:t>
      </w:r>
    </w:p>
    <w:p w14:paraId="26C94A71">
      <w:pPr>
        <w:keepNext w:val="0"/>
        <w:keepLines w:val="0"/>
        <w:pageBreakBefore w:val="0"/>
        <w:widowControl/>
        <w:tabs>
          <w:tab w:val="right" w:leader="dot" w:pos="8780"/>
        </w:tabs>
        <w:kinsoku w:val="0"/>
        <w:wordWrap/>
        <w:overflowPunct/>
        <w:topLinePunct w:val="0"/>
        <w:autoSpaceDE w:val="0"/>
        <w:autoSpaceDN w:val="0"/>
        <w:bidi w:val="0"/>
        <w:adjustRightInd/>
        <w:snapToGrid w:val="0"/>
        <w:spacing w:line="360" w:lineRule="auto"/>
        <w:ind w:left="0"/>
        <w:textAlignment w:val="baseline"/>
        <w:rPr>
          <w:rFonts w:ascii="宋体" w:hAnsi="宋体" w:eastAsia="宋体" w:cs="楷体"/>
          <w:spacing w:val="-1"/>
          <w:sz w:val="24"/>
          <w:szCs w:val="24"/>
        </w:rPr>
      </w:pPr>
      <w:r>
        <w:rPr>
          <w:rFonts w:ascii="宋体" w:hAnsi="宋体" w:eastAsia="宋体" w:cs="楷体"/>
          <w:spacing w:val="-1"/>
          <w:sz w:val="24"/>
          <w:szCs w:val="24"/>
        </w:rPr>
        <w:t xml:space="preserve">第二章 </w:t>
      </w:r>
      <w:r>
        <w:rPr>
          <w:rFonts w:hint="eastAsia" w:ascii="宋体" w:hAnsi="宋体" w:eastAsia="宋体" w:cs="楷体"/>
          <w:spacing w:val="-1"/>
          <w:sz w:val="24"/>
          <w:szCs w:val="24"/>
        </w:rPr>
        <w:t>磋商须知</w:t>
      </w:r>
      <w:r>
        <w:rPr>
          <w:rFonts w:ascii="宋体" w:hAnsi="宋体" w:eastAsia="宋体" w:cs="楷体"/>
          <w:spacing w:val="-1"/>
          <w:sz w:val="24"/>
          <w:szCs w:val="24"/>
        </w:rPr>
        <w:t xml:space="preserve"> </w:t>
      </w:r>
      <w:r>
        <w:rPr>
          <w:rFonts w:ascii="宋体" w:hAnsi="宋体" w:eastAsia="宋体" w:cs="楷体"/>
          <w:spacing w:val="-1"/>
          <w:sz w:val="24"/>
          <w:szCs w:val="24"/>
        </w:rPr>
        <w:tab/>
      </w:r>
      <w:r>
        <w:rPr>
          <w:rFonts w:hint="eastAsia" w:ascii="宋体" w:hAnsi="宋体" w:eastAsia="宋体" w:cs="楷体"/>
          <w:spacing w:val="-1"/>
          <w:sz w:val="24"/>
          <w:szCs w:val="24"/>
          <w:lang w:val="en-US" w:eastAsia="zh-CN"/>
        </w:rPr>
        <w:t>6</w:t>
      </w:r>
      <w:r>
        <w:rPr>
          <w:rFonts w:ascii="宋体" w:hAnsi="宋体" w:eastAsia="宋体" w:cs="楷体"/>
          <w:spacing w:val="-1"/>
          <w:sz w:val="24"/>
          <w:szCs w:val="24"/>
        </w:rPr>
        <w:t xml:space="preserve"> </w:t>
      </w:r>
    </w:p>
    <w:p w14:paraId="541F45AE">
      <w:pPr>
        <w:keepNext w:val="0"/>
        <w:keepLines w:val="0"/>
        <w:pageBreakBefore w:val="0"/>
        <w:widowControl/>
        <w:tabs>
          <w:tab w:val="right" w:leader="dot" w:pos="8954"/>
        </w:tabs>
        <w:kinsoku w:val="0"/>
        <w:wordWrap/>
        <w:overflowPunct/>
        <w:topLinePunct w:val="0"/>
        <w:autoSpaceDE w:val="0"/>
        <w:autoSpaceDN w:val="0"/>
        <w:bidi w:val="0"/>
        <w:adjustRightInd/>
        <w:snapToGrid w:val="0"/>
        <w:spacing w:line="360" w:lineRule="auto"/>
        <w:ind w:left="0"/>
        <w:textAlignment w:val="baseline"/>
        <w:rPr>
          <w:rFonts w:ascii="宋体" w:hAnsi="宋体" w:eastAsia="宋体" w:cs="楷体"/>
          <w:spacing w:val="-1"/>
          <w:sz w:val="24"/>
          <w:szCs w:val="24"/>
        </w:rPr>
      </w:pPr>
      <w:r>
        <w:rPr>
          <w:rFonts w:ascii="宋体" w:hAnsi="宋体" w:eastAsia="宋体" w:cs="楷体"/>
          <w:spacing w:val="-1"/>
          <w:sz w:val="24"/>
          <w:szCs w:val="24"/>
        </w:rPr>
        <w:t>第三章 合同条款</w:t>
      </w:r>
      <w:r>
        <w:rPr>
          <w:rFonts w:hint="eastAsia" w:ascii="宋体" w:hAnsi="宋体" w:eastAsia="宋体" w:cs="楷体"/>
          <w:spacing w:val="-1"/>
          <w:sz w:val="24"/>
          <w:szCs w:val="24"/>
        </w:rPr>
        <w:t>及格式</w:t>
      </w:r>
      <w:r>
        <w:rPr>
          <w:rFonts w:ascii="宋体" w:hAnsi="宋体" w:eastAsia="宋体" w:cs="楷体"/>
          <w:spacing w:val="-1"/>
          <w:sz w:val="24"/>
          <w:szCs w:val="24"/>
        </w:rPr>
        <w:tab/>
      </w:r>
      <w:r>
        <w:rPr>
          <w:rFonts w:hint="eastAsia" w:ascii="宋体" w:hAnsi="宋体" w:eastAsia="宋体" w:cs="楷体"/>
          <w:spacing w:val="-1"/>
          <w:sz w:val="24"/>
          <w:szCs w:val="24"/>
        </w:rPr>
        <w:t>1</w:t>
      </w:r>
      <w:r>
        <w:rPr>
          <w:rFonts w:hint="eastAsia" w:ascii="宋体" w:hAnsi="宋体" w:eastAsia="宋体" w:cs="楷体"/>
          <w:spacing w:val="-1"/>
          <w:sz w:val="24"/>
          <w:szCs w:val="24"/>
          <w:lang w:val="en-US" w:eastAsia="zh-CN"/>
        </w:rPr>
        <w:t>5</w:t>
      </w:r>
      <w:r>
        <w:rPr>
          <w:rFonts w:ascii="宋体" w:hAnsi="宋体" w:eastAsia="宋体" w:cs="楷体"/>
          <w:spacing w:val="-1"/>
          <w:sz w:val="24"/>
          <w:szCs w:val="24"/>
        </w:rPr>
        <w:t xml:space="preserve"> </w:t>
      </w:r>
    </w:p>
    <w:p w14:paraId="733BBC82">
      <w:pPr>
        <w:keepNext w:val="0"/>
        <w:keepLines w:val="0"/>
        <w:pageBreakBefore w:val="0"/>
        <w:widowControl/>
        <w:tabs>
          <w:tab w:val="right" w:leader="dot" w:pos="8954"/>
        </w:tabs>
        <w:kinsoku w:val="0"/>
        <w:wordWrap/>
        <w:overflowPunct/>
        <w:topLinePunct w:val="0"/>
        <w:autoSpaceDE w:val="0"/>
        <w:autoSpaceDN w:val="0"/>
        <w:bidi w:val="0"/>
        <w:adjustRightInd/>
        <w:snapToGrid w:val="0"/>
        <w:spacing w:line="360" w:lineRule="auto"/>
        <w:ind w:left="0"/>
        <w:textAlignment w:val="baseline"/>
        <w:rPr>
          <w:rFonts w:ascii="宋体" w:hAnsi="宋体" w:eastAsia="宋体" w:cs="楷体"/>
          <w:spacing w:val="-1"/>
          <w:sz w:val="24"/>
          <w:szCs w:val="24"/>
        </w:rPr>
      </w:pPr>
      <w:r>
        <w:rPr>
          <w:rFonts w:ascii="宋体" w:hAnsi="宋体" w:eastAsia="宋体" w:cs="楷体"/>
          <w:spacing w:val="-1"/>
          <w:sz w:val="24"/>
          <w:szCs w:val="24"/>
        </w:rPr>
        <w:t xml:space="preserve">第四章 </w:t>
      </w:r>
      <w:r>
        <w:rPr>
          <w:rFonts w:hint="eastAsia" w:ascii="宋体" w:hAnsi="宋体" w:eastAsia="宋体" w:cs="楷体"/>
          <w:spacing w:val="-1"/>
          <w:sz w:val="24"/>
          <w:szCs w:val="24"/>
        </w:rPr>
        <w:t>项目需求</w:t>
      </w:r>
      <w:r>
        <w:rPr>
          <w:rFonts w:ascii="宋体" w:hAnsi="宋体" w:eastAsia="宋体" w:cs="楷体"/>
          <w:spacing w:val="-1"/>
          <w:sz w:val="24"/>
          <w:szCs w:val="24"/>
        </w:rPr>
        <w:t xml:space="preserve"> </w:t>
      </w:r>
      <w:r>
        <w:rPr>
          <w:rFonts w:ascii="宋体" w:hAnsi="宋体" w:eastAsia="宋体" w:cs="楷体"/>
          <w:spacing w:val="-1"/>
          <w:sz w:val="24"/>
          <w:szCs w:val="24"/>
        </w:rPr>
        <w:tab/>
      </w:r>
      <w:r>
        <w:rPr>
          <w:rFonts w:hint="eastAsia" w:ascii="宋体" w:hAnsi="宋体" w:eastAsia="宋体" w:cs="楷体"/>
          <w:spacing w:val="-1"/>
          <w:sz w:val="24"/>
          <w:szCs w:val="24"/>
        </w:rPr>
        <w:t>1</w:t>
      </w:r>
      <w:r>
        <w:rPr>
          <w:rFonts w:hint="eastAsia" w:ascii="宋体" w:hAnsi="宋体" w:eastAsia="宋体" w:cs="楷体"/>
          <w:spacing w:val="-1"/>
          <w:sz w:val="24"/>
          <w:szCs w:val="24"/>
          <w:lang w:val="en-US" w:eastAsia="zh-CN"/>
        </w:rPr>
        <w:t>8</w:t>
      </w:r>
      <w:r>
        <w:rPr>
          <w:rFonts w:ascii="宋体" w:hAnsi="宋体" w:eastAsia="宋体" w:cs="楷体"/>
          <w:spacing w:val="-1"/>
          <w:sz w:val="24"/>
          <w:szCs w:val="24"/>
        </w:rPr>
        <w:t xml:space="preserve"> </w:t>
      </w:r>
    </w:p>
    <w:p w14:paraId="0C52A528">
      <w:pPr>
        <w:keepNext w:val="0"/>
        <w:keepLines w:val="0"/>
        <w:pageBreakBefore w:val="0"/>
        <w:widowControl/>
        <w:tabs>
          <w:tab w:val="right" w:leader="dot" w:pos="8954"/>
        </w:tabs>
        <w:kinsoku w:val="0"/>
        <w:wordWrap/>
        <w:overflowPunct/>
        <w:topLinePunct w:val="0"/>
        <w:autoSpaceDE w:val="0"/>
        <w:autoSpaceDN w:val="0"/>
        <w:bidi w:val="0"/>
        <w:adjustRightInd/>
        <w:snapToGrid w:val="0"/>
        <w:spacing w:line="360" w:lineRule="auto"/>
        <w:ind w:left="0"/>
        <w:textAlignment w:val="baseline"/>
        <w:rPr>
          <w:rFonts w:hint="default" w:ascii="宋体" w:hAnsi="宋体" w:eastAsia="宋体" w:cs="楷体"/>
          <w:spacing w:val="-1"/>
          <w:sz w:val="24"/>
          <w:szCs w:val="24"/>
          <w:lang w:val="en-US" w:eastAsia="zh-CN"/>
        </w:rPr>
      </w:pPr>
      <w:r>
        <w:rPr>
          <w:rFonts w:ascii="宋体" w:hAnsi="宋体" w:eastAsia="宋体" w:cs="楷体"/>
          <w:spacing w:val="-1"/>
          <w:sz w:val="24"/>
          <w:szCs w:val="24"/>
        </w:rPr>
        <w:t xml:space="preserve">第五章 </w:t>
      </w:r>
      <w:r>
        <w:rPr>
          <w:rFonts w:hint="eastAsia" w:ascii="宋体" w:hAnsi="宋体" w:eastAsia="宋体" w:cs="楷体"/>
          <w:spacing w:val="-1"/>
          <w:sz w:val="24"/>
          <w:szCs w:val="24"/>
        </w:rPr>
        <w:t>评标方法</w:t>
      </w:r>
      <w:r>
        <w:rPr>
          <w:rFonts w:ascii="宋体" w:hAnsi="宋体" w:eastAsia="宋体" w:cs="楷体"/>
          <w:spacing w:val="-1"/>
          <w:sz w:val="24"/>
          <w:szCs w:val="24"/>
        </w:rPr>
        <w:t xml:space="preserve"> </w:t>
      </w:r>
      <w:r>
        <w:rPr>
          <w:rFonts w:ascii="宋体" w:hAnsi="宋体" w:eastAsia="宋体" w:cs="楷体"/>
          <w:spacing w:val="-1"/>
          <w:sz w:val="24"/>
          <w:szCs w:val="24"/>
        </w:rPr>
        <w:tab/>
      </w:r>
      <w:r>
        <w:rPr>
          <w:rFonts w:hint="eastAsia" w:ascii="宋体" w:hAnsi="宋体" w:eastAsia="宋体" w:cs="楷体"/>
          <w:spacing w:val="-1"/>
          <w:sz w:val="24"/>
          <w:szCs w:val="24"/>
          <w:lang w:val="en-US" w:eastAsia="zh-CN"/>
        </w:rPr>
        <w:t>20</w:t>
      </w:r>
    </w:p>
    <w:p w14:paraId="0E3E23E0">
      <w:pPr>
        <w:keepNext w:val="0"/>
        <w:keepLines w:val="0"/>
        <w:pageBreakBefore w:val="0"/>
        <w:widowControl/>
        <w:tabs>
          <w:tab w:val="right" w:leader="dot" w:pos="8954"/>
        </w:tabs>
        <w:kinsoku w:val="0"/>
        <w:wordWrap/>
        <w:overflowPunct/>
        <w:topLinePunct w:val="0"/>
        <w:autoSpaceDE w:val="0"/>
        <w:autoSpaceDN w:val="0"/>
        <w:bidi w:val="0"/>
        <w:adjustRightInd/>
        <w:snapToGrid w:val="0"/>
        <w:spacing w:line="360" w:lineRule="auto"/>
        <w:ind w:left="0"/>
        <w:textAlignment w:val="baseline"/>
        <w:rPr>
          <w:rFonts w:hint="eastAsia" w:ascii="宋体" w:hAnsi="宋体" w:eastAsia="宋体" w:cs="楷体"/>
          <w:spacing w:val="-1"/>
          <w:lang w:eastAsia="zh-CN"/>
        </w:rPr>
      </w:pPr>
      <w:r>
        <w:rPr>
          <w:rFonts w:ascii="宋体" w:hAnsi="宋体" w:eastAsia="宋体" w:cs="楷体"/>
          <w:spacing w:val="-1"/>
          <w:sz w:val="24"/>
          <w:szCs w:val="24"/>
        </w:rPr>
        <w:t xml:space="preserve">第六章 磋商响应文件格式 </w:t>
      </w:r>
      <w:r>
        <w:rPr>
          <w:rFonts w:ascii="宋体" w:hAnsi="宋体" w:eastAsia="宋体" w:cs="楷体"/>
          <w:spacing w:val="-1"/>
          <w:sz w:val="24"/>
          <w:szCs w:val="24"/>
        </w:rPr>
        <w:tab/>
      </w:r>
      <w:r>
        <w:rPr>
          <w:rFonts w:ascii="宋体" w:hAnsi="宋体" w:eastAsia="宋体" w:cs="楷体"/>
          <w:spacing w:val="-1"/>
          <w:sz w:val="24"/>
          <w:szCs w:val="24"/>
        </w:rPr>
        <w:t xml:space="preserve"> </w:t>
      </w:r>
      <w:r>
        <w:rPr>
          <w:rFonts w:hint="eastAsia" w:ascii="宋体" w:hAnsi="宋体" w:eastAsia="宋体" w:cs="楷体"/>
          <w:spacing w:val="-1"/>
          <w:sz w:val="24"/>
          <w:szCs w:val="24"/>
          <w:lang w:val="en-US" w:eastAsia="zh-CN"/>
        </w:rPr>
        <w:t>24</w:t>
      </w:r>
    </w:p>
    <w:p w14:paraId="6E181CD7">
      <w:pPr>
        <w:rPr>
          <w:rFonts w:ascii="宋体" w:hAnsi="宋体" w:eastAsia="宋体"/>
        </w:rPr>
        <w:sectPr>
          <w:footerReference r:id="rId4" w:type="default"/>
          <w:pgSz w:w="11907" w:h="16839"/>
          <w:pgMar w:top="1431" w:right="1520" w:bottom="1445" w:left="1431" w:header="0" w:footer="1134" w:gutter="0"/>
          <w:pgNumType w:fmt="decimal" w:start="1"/>
          <w:cols w:space="720" w:num="1"/>
          <w:docGrid w:linePitch="286" w:charSpace="0"/>
        </w:sectPr>
      </w:pPr>
    </w:p>
    <w:p w14:paraId="4AAE71F6">
      <w:pPr>
        <w:spacing w:before="314" w:line="227" w:lineRule="auto"/>
        <w:jc w:val="center"/>
        <w:outlineLvl w:val="0"/>
        <w:rPr>
          <w:rFonts w:ascii="宋体" w:hAnsi="宋体" w:eastAsia="宋体" w:cs="楷体"/>
          <w:sz w:val="31"/>
          <w:szCs w:val="31"/>
          <w14:textOutline w14:w="5791" w14:cap="flat" w14:cmpd="sng" w14:algn="ctr">
            <w14:solidFill>
              <w14:srgbClr w14:val="000000"/>
            </w14:solidFill>
            <w14:prstDash w14:val="solid"/>
            <w14:miter w14:val="0"/>
          </w14:textOutline>
        </w:rPr>
      </w:pPr>
      <w:bookmarkStart w:id="0" w:name="_bookmark1"/>
      <w:bookmarkEnd w:id="0"/>
      <w:r>
        <w:rPr>
          <w:rFonts w:ascii="宋体" w:hAnsi="宋体" w:eastAsia="宋体" w:cs="楷体"/>
          <w:spacing w:val="1"/>
          <w:sz w:val="31"/>
          <w:szCs w:val="31"/>
          <w14:textOutline w14:w="5791" w14:cap="flat" w14:cmpd="sng" w14:algn="ctr">
            <w14:solidFill>
              <w14:srgbClr w14:val="000000"/>
            </w14:solidFill>
            <w14:prstDash w14:val="solid"/>
            <w14:miter w14:val="0"/>
          </w14:textOutline>
        </w:rPr>
        <w:t>第一章</w:t>
      </w:r>
      <w:r>
        <w:rPr>
          <w:rFonts w:hint="eastAsia" w:ascii="宋体" w:hAnsi="宋体" w:eastAsia="宋体" w:cs="楷体"/>
          <w:spacing w:val="1"/>
          <w:sz w:val="31"/>
          <w:szCs w:val="31"/>
          <w14:textOutline w14:w="5791" w14:cap="flat" w14:cmpd="sng" w14:algn="ctr">
            <w14:solidFill>
              <w14:srgbClr w14:val="000000"/>
            </w14:solidFill>
            <w14:prstDash w14:val="solid"/>
            <w14:miter w14:val="0"/>
          </w14:textOutline>
        </w:rPr>
        <w:t xml:space="preserve">  </w:t>
      </w:r>
      <w:r>
        <w:rPr>
          <w:rFonts w:hint="eastAsia" w:ascii="宋体" w:hAnsi="宋体" w:eastAsia="宋体" w:cs="楷体"/>
          <w:spacing w:val="1"/>
          <w:sz w:val="31"/>
          <w:szCs w:val="31"/>
          <w:lang w:eastAsia="zh-CN"/>
          <w14:textOutline w14:w="5791" w14:cap="flat" w14:cmpd="sng" w14:algn="ctr">
            <w14:solidFill>
              <w14:srgbClr w14:val="000000"/>
            </w14:solidFill>
            <w14:prstDash w14:val="solid"/>
            <w14:miter w14:val="0"/>
          </w14:textOutline>
        </w:rPr>
        <w:t>高邮市高邮镇人民政府</w:t>
      </w:r>
      <w:r>
        <w:rPr>
          <w:rFonts w:hint="eastAsia" w:ascii="宋体" w:hAnsi="宋体" w:eastAsia="宋体" w:cs="楷体"/>
          <w:spacing w:val="1"/>
          <w:sz w:val="31"/>
          <w:szCs w:val="31"/>
          <w14:textOutline w14:w="5791" w14:cap="flat" w14:cmpd="sng" w14:algn="ctr">
            <w14:solidFill>
              <w14:srgbClr w14:val="000000"/>
            </w14:solidFill>
            <w14:prstDash w14:val="solid"/>
            <w14:miter w14:val="0"/>
          </w14:textOutline>
        </w:rPr>
        <w:t>关于</w:t>
      </w:r>
      <w:r>
        <w:rPr>
          <w:rFonts w:hint="eastAsia" w:ascii="宋体" w:hAnsi="宋体" w:eastAsia="宋体" w:cs="楷体"/>
          <w:spacing w:val="1"/>
          <w:sz w:val="31"/>
          <w:szCs w:val="31"/>
          <w:lang w:eastAsia="zh-CN"/>
          <w14:textOutline w14:w="5791" w14:cap="flat" w14:cmpd="sng" w14:algn="ctr">
            <w14:solidFill>
              <w14:srgbClr w14:val="000000"/>
            </w14:solidFill>
            <w14:prstDash w14:val="solid"/>
            <w14:miter w14:val="0"/>
          </w14:textOutline>
        </w:rPr>
        <w:t>高邮市高邮镇颐养社区养老服务委托社会管理运营项目</w:t>
      </w:r>
      <w:r>
        <w:rPr>
          <w:rFonts w:ascii="宋体" w:hAnsi="宋体" w:eastAsia="宋体" w:cs="楷体"/>
          <w:spacing w:val="1"/>
          <w:sz w:val="31"/>
          <w:szCs w:val="31"/>
          <w14:textOutline w14:w="5791" w14:cap="flat" w14:cmpd="sng" w14:algn="ctr">
            <w14:solidFill>
              <w14:srgbClr w14:val="000000"/>
            </w14:solidFill>
            <w14:prstDash w14:val="solid"/>
            <w14:miter w14:val="0"/>
          </w14:textOutline>
        </w:rPr>
        <w:t>竞争性磋</w:t>
      </w:r>
      <w:r>
        <w:rPr>
          <w:rFonts w:ascii="宋体" w:hAnsi="宋体" w:eastAsia="宋体" w:cs="楷体"/>
          <w:sz w:val="31"/>
          <w:szCs w:val="31"/>
          <w14:textOutline w14:w="5791" w14:cap="flat" w14:cmpd="sng" w14:algn="ctr">
            <w14:solidFill>
              <w14:srgbClr w14:val="000000"/>
            </w14:solidFill>
            <w14:prstDash w14:val="solid"/>
            <w14:miter w14:val="0"/>
          </w14:textOutline>
        </w:rPr>
        <w:t>商公告</w:t>
      </w:r>
    </w:p>
    <w:p w14:paraId="4EBCFBBF">
      <w:pPr>
        <w:spacing w:before="314" w:line="227" w:lineRule="auto"/>
        <w:jc w:val="center"/>
        <w:outlineLvl w:val="0"/>
        <w:rPr>
          <w:rFonts w:ascii="宋体" w:hAnsi="宋体" w:eastAsia="宋体" w:cs="楷体"/>
          <w:sz w:val="31"/>
          <w:szCs w:val="31"/>
          <w14:textOutline w14:w="5791" w14:cap="flat" w14:cmpd="sng" w14:algn="ctr">
            <w14:solidFill>
              <w14:srgbClr w14:val="000000"/>
            </w14:solidFill>
            <w14:prstDash w14:val="solid"/>
            <w14:miter w14:val="0"/>
          </w14:textOutline>
        </w:rPr>
      </w:pPr>
    </w:p>
    <w:p w14:paraId="621E5B3F">
      <w:pPr>
        <w:spacing w:line="360" w:lineRule="auto"/>
        <w:ind w:right="98" w:firstLine="624"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u w:val="single"/>
          <w:lang w:eastAsia="zh-CN"/>
        </w:rPr>
        <w:t>江苏润鑫项目管理有限公司</w:t>
      </w:r>
      <w:r>
        <w:rPr>
          <w:rFonts w:hint="eastAsia" w:asciiTheme="minorEastAsia" w:hAnsiTheme="minorEastAsia" w:eastAsiaTheme="minorEastAsia" w:cstheme="minorEastAsia"/>
          <w:spacing w:val="-1"/>
          <w:sz w:val="21"/>
          <w:szCs w:val="21"/>
        </w:rPr>
        <w:t>（以下简称“招标代理”）受</w:t>
      </w:r>
      <w:r>
        <w:rPr>
          <w:rFonts w:hint="eastAsia" w:asciiTheme="minorEastAsia" w:hAnsiTheme="minorEastAsia" w:eastAsiaTheme="minorEastAsia" w:cstheme="minorEastAsia"/>
          <w:spacing w:val="-1"/>
          <w:sz w:val="21"/>
          <w:szCs w:val="21"/>
          <w:u w:val="single"/>
          <w:lang w:eastAsia="zh-CN"/>
        </w:rPr>
        <w:t>高邮市高邮镇人民政府</w:t>
      </w:r>
      <w:r>
        <w:rPr>
          <w:rFonts w:hint="eastAsia" w:asciiTheme="minorEastAsia" w:hAnsiTheme="minorEastAsia" w:eastAsiaTheme="minorEastAsia" w:cstheme="minorEastAsia"/>
          <w:spacing w:val="-1"/>
          <w:sz w:val="21"/>
          <w:szCs w:val="21"/>
        </w:rPr>
        <w:t>（以下简称“采购人”）的委托，就</w:t>
      </w:r>
      <w:r>
        <w:rPr>
          <w:rFonts w:hint="eastAsia" w:asciiTheme="minorEastAsia" w:hAnsiTheme="minorEastAsia" w:eastAsiaTheme="minorEastAsia" w:cstheme="minorEastAsia"/>
          <w:spacing w:val="-1"/>
          <w:sz w:val="21"/>
          <w:szCs w:val="21"/>
          <w:u w:val="single"/>
        </w:rPr>
        <w:t xml:space="preserve"> </w:t>
      </w:r>
      <w:r>
        <w:rPr>
          <w:rFonts w:hint="eastAsia" w:asciiTheme="minorEastAsia" w:hAnsiTheme="minorEastAsia" w:eastAsiaTheme="minorEastAsia" w:cstheme="minorEastAsia"/>
          <w:spacing w:val="-1"/>
          <w:sz w:val="21"/>
          <w:szCs w:val="21"/>
          <w:u w:val="single"/>
          <w:lang w:eastAsia="zh-CN"/>
        </w:rPr>
        <w:t>高邮市高邮镇颐养社区养老服务委托社会管理运营项目</w:t>
      </w:r>
      <w:r>
        <w:rPr>
          <w:rFonts w:hint="eastAsia" w:asciiTheme="minorEastAsia" w:hAnsiTheme="minorEastAsia" w:eastAsiaTheme="minorEastAsia" w:cstheme="minorEastAsia"/>
          <w:spacing w:val="-1"/>
          <w:sz w:val="21"/>
          <w:szCs w:val="21"/>
          <w:u w:val="single"/>
        </w:rPr>
        <w:t xml:space="preserve"> </w:t>
      </w:r>
      <w:r>
        <w:rPr>
          <w:rFonts w:hint="eastAsia" w:asciiTheme="minorEastAsia" w:hAnsiTheme="minorEastAsia" w:eastAsiaTheme="minorEastAsia" w:cstheme="minorEastAsia"/>
          <w:spacing w:val="-1"/>
          <w:sz w:val="21"/>
          <w:szCs w:val="21"/>
        </w:rPr>
        <w:t>进行竞争性磋商采购，欢迎符合条件的供应商投标。</w:t>
      </w:r>
    </w:p>
    <w:tbl>
      <w:tblPr>
        <w:tblStyle w:val="22"/>
        <w:tblW w:w="850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06"/>
      </w:tblGrid>
      <w:tr w14:paraId="17F05A8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4" w:hRule="atLeast"/>
        </w:trPr>
        <w:tc>
          <w:tcPr>
            <w:tcW w:w="8506" w:type="dxa"/>
          </w:tcPr>
          <w:p w14:paraId="1023E61D">
            <w:pPr>
              <w:spacing w:line="360" w:lineRule="auto"/>
              <w:ind w:left="622" w:right="111" w:hanging="4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项目概况：</w:t>
            </w:r>
          </w:p>
          <w:p w14:paraId="2A73FAD5">
            <w:pPr>
              <w:spacing w:line="360" w:lineRule="auto"/>
              <w:ind w:right="111"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u w:val="single"/>
                <w:lang w:eastAsia="zh-CN"/>
              </w:rPr>
              <w:t>高邮市高邮镇颐养社区养老服务委托社会管理运营项目</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的潜在供应商可在</w:t>
            </w:r>
            <w:r>
              <w:rPr>
                <w:rFonts w:hint="eastAsia" w:asciiTheme="minorEastAsia" w:hAnsiTheme="minorEastAsia" w:eastAsiaTheme="minorEastAsia" w:cstheme="minorEastAsia"/>
                <w:sz w:val="21"/>
                <w:szCs w:val="21"/>
                <w:u w:val="single"/>
              </w:rPr>
              <w:t>“江苏省政府采购网”、“扬州市政府采购网”</w:t>
            </w:r>
            <w:r>
              <w:rPr>
                <w:rFonts w:hint="eastAsia" w:asciiTheme="minorEastAsia" w:hAnsiTheme="minorEastAsia" w:eastAsiaTheme="minorEastAsia" w:cstheme="minorEastAsia"/>
                <w:sz w:val="21"/>
                <w:szCs w:val="21"/>
              </w:rPr>
              <w:t>自行免费下载采购文件，并于</w:t>
            </w:r>
            <w:r>
              <w:rPr>
                <w:rFonts w:hint="eastAsia" w:asciiTheme="minorEastAsia" w:hAnsiTheme="minorEastAsia" w:eastAsiaTheme="minorEastAsia" w:cstheme="minorEastAsia"/>
                <w:sz w:val="21"/>
                <w:szCs w:val="21"/>
                <w:u w:val="single"/>
                <w:shd w:val="clear"/>
              </w:rPr>
              <w:t>202</w:t>
            </w:r>
            <w:r>
              <w:rPr>
                <w:rFonts w:hint="eastAsia" w:asciiTheme="minorEastAsia" w:hAnsiTheme="minorEastAsia" w:eastAsiaTheme="minorEastAsia" w:cstheme="minorEastAsia"/>
                <w:sz w:val="21"/>
                <w:szCs w:val="21"/>
                <w:u w:val="single"/>
                <w:shd w:val="clear"/>
                <w:lang w:val="en-US" w:eastAsia="zh-CN"/>
              </w:rPr>
              <w:t>5</w:t>
            </w:r>
            <w:r>
              <w:rPr>
                <w:rFonts w:hint="eastAsia" w:asciiTheme="minorEastAsia" w:hAnsiTheme="minorEastAsia" w:eastAsiaTheme="minorEastAsia" w:cstheme="minorEastAsia"/>
                <w:sz w:val="21"/>
                <w:szCs w:val="21"/>
                <w:u w:val="single"/>
                <w:shd w:val="clear"/>
              </w:rPr>
              <w:t>年</w:t>
            </w:r>
            <w:r>
              <w:rPr>
                <w:rFonts w:hint="eastAsia" w:asciiTheme="minorEastAsia" w:hAnsiTheme="minorEastAsia" w:eastAsiaTheme="minorEastAsia" w:cstheme="minorEastAsia"/>
                <w:sz w:val="21"/>
                <w:szCs w:val="21"/>
                <w:u w:val="single"/>
                <w:shd w:val="clear"/>
                <w:lang w:val="en-US" w:eastAsia="zh-CN"/>
              </w:rPr>
              <w:t>10月27日</w:t>
            </w:r>
            <w:r>
              <w:rPr>
                <w:rFonts w:hint="eastAsia" w:asciiTheme="minorEastAsia" w:hAnsiTheme="minorEastAsia" w:eastAsiaTheme="minorEastAsia" w:cstheme="minorEastAsia"/>
                <w:sz w:val="21"/>
                <w:szCs w:val="21"/>
                <w:u w:val="single"/>
                <w:shd w:val="clear"/>
              </w:rPr>
              <w:t>09点30分</w:t>
            </w:r>
            <w:r>
              <w:rPr>
                <w:rFonts w:hint="eastAsia" w:asciiTheme="minorEastAsia" w:hAnsiTheme="minorEastAsia" w:eastAsiaTheme="minorEastAsia" w:cstheme="minorEastAsia"/>
                <w:sz w:val="21"/>
                <w:szCs w:val="21"/>
              </w:rPr>
              <w:t xml:space="preserve"> (北京时间)前提交响应文件。</w:t>
            </w:r>
          </w:p>
        </w:tc>
      </w:tr>
    </w:tbl>
    <w:p w14:paraId="551A3B71">
      <w:pPr>
        <w:spacing w:line="360" w:lineRule="auto"/>
        <w:ind w:left="6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56" w14:cap="flat" w14:cmpd="sng" w14:algn="ctr">
            <w14:solidFill>
              <w14:srgbClr w14:val="000000"/>
            </w14:solidFill>
            <w14:prstDash w14:val="solid"/>
            <w14:miter w14:val="0"/>
          </w14:textOutline>
        </w:rPr>
        <w:t>一、项目基本</w:t>
      </w:r>
      <w:r>
        <w:rPr>
          <w:rFonts w:hint="eastAsia" w:asciiTheme="minorEastAsia" w:hAnsiTheme="minorEastAsia" w:eastAsiaTheme="minorEastAsia" w:cstheme="minorEastAsia"/>
          <w:sz w:val="21"/>
          <w:szCs w:val="21"/>
          <w14:textOutline w14:w="4356" w14:cap="flat" w14:cmpd="sng" w14:algn="ctr">
            <w14:solidFill>
              <w14:srgbClr w14:val="000000"/>
            </w14:solidFill>
            <w14:prstDash w14:val="solid"/>
            <w14:miter w14:val="0"/>
          </w14:textOutline>
        </w:rPr>
        <w:t>情况</w:t>
      </w:r>
    </w:p>
    <w:p w14:paraId="0BBA33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spacing w:val="0"/>
          <w:position w:val="0"/>
          <w:sz w:val="21"/>
          <w:szCs w:val="21"/>
          <w:lang w:eastAsia="zh-CN"/>
        </w:rPr>
      </w:pPr>
      <w:r>
        <w:rPr>
          <w:rFonts w:hint="eastAsia" w:asciiTheme="minorEastAsia" w:hAnsiTheme="minorEastAsia" w:eastAsiaTheme="minorEastAsia" w:cstheme="minorEastAsia"/>
          <w:spacing w:val="0"/>
          <w:position w:val="0"/>
          <w:sz w:val="21"/>
          <w:szCs w:val="21"/>
        </w:rPr>
        <w:t>项目编号：</w:t>
      </w:r>
      <w:r>
        <w:rPr>
          <w:rFonts w:hint="eastAsia" w:asciiTheme="minorEastAsia" w:hAnsiTheme="minorEastAsia" w:eastAsiaTheme="minorEastAsia" w:cstheme="minorEastAsia"/>
          <w:spacing w:val="0"/>
          <w:position w:val="0"/>
          <w:sz w:val="21"/>
          <w:szCs w:val="21"/>
          <w:lang w:eastAsia="zh-CN"/>
        </w:rPr>
        <w:t>GYRXC-202502</w:t>
      </w:r>
    </w:p>
    <w:p w14:paraId="4EE255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spacing w:val="0"/>
          <w:position w:val="0"/>
          <w:sz w:val="21"/>
          <w:szCs w:val="21"/>
          <w:u w:val="single"/>
          <w:lang w:eastAsia="zh-CN"/>
        </w:rPr>
      </w:pPr>
      <w:r>
        <w:rPr>
          <w:rFonts w:hint="eastAsia" w:asciiTheme="minorEastAsia" w:hAnsiTheme="minorEastAsia" w:eastAsiaTheme="minorEastAsia" w:cstheme="minorEastAsia"/>
          <w:spacing w:val="0"/>
          <w:position w:val="0"/>
          <w:sz w:val="21"/>
          <w:szCs w:val="21"/>
        </w:rPr>
        <w:t>项目名称：</w:t>
      </w:r>
      <w:r>
        <w:rPr>
          <w:rFonts w:hint="eastAsia" w:asciiTheme="minorEastAsia" w:hAnsiTheme="minorEastAsia" w:eastAsiaTheme="minorEastAsia" w:cstheme="minorEastAsia"/>
          <w:spacing w:val="0"/>
          <w:position w:val="0"/>
          <w:sz w:val="21"/>
          <w:szCs w:val="21"/>
          <w:lang w:eastAsia="zh-CN"/>
        </w:rPr>
        <w:t>高邮市高邮镇颐养社区养老服务委托社会管理运营项目</w:t>
      </w:r>
    </w:p>
    <w:p w14:paraId="4F634A9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spacing w:val="0"/>
          <w:position w:val="0"/>
          <w:sz w:val="21"/>
          <w:szCs w:val="21"/>
          <w:lang w:val="en-US" w:eastAsia="zh-CN"/>
        </w:rPr>
      </w:pPr>
      <w:r>
        <w:rPr>
          <w:rFonts w:hint="eastAsia" w:asciiTheme="minorEastAsia" w:hAnsiTheme="minorEastAsia" w:eastAsiaTheme="minorEastAsia" w:cstheme="minorEastAsia"/>
          <w:spacing w:val="0"/>
          <w:position w:val="0"/>
          <w:sz w:val="21"/>
          <w:szCs w:val="21"/>
        </w:rPr>
        <w:t>采购方式：竞争性磋商</w:t>
      </w:r>
    </w:p>
    <w:p w14:paraId="4E01A4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asciiTheme="minorEastAsia" w:hAnsiTheme="minorEastAsia" w:eastAsiaTheme="minorEastAsia" w:cstheme="minorEastAsia"/>
          <w:color w:val="auto"/>
          <w:spacing w:val="0"/>
          <w:position w:val="0"/>
          <w:sz w:val="21"/>
          <w:szCs w:val="21"/>
          <w:lang w:val="en-US" w:eastAsia="zh-CN"/>
        </w:rPr>
      </w:pPr>
      <w:r>
        <w:rPr>
          <w:rFonts w:hint="eastAsia" w:asciiTheme="minorEastAsia" w:hAnsiTheme="minorEastAsia" w:eastAsiaTheme="minorEastAsia" w:cstheme="minorEastAsia"/>
          <w:color w:val="auto"/>
          <w:spacing w:val="0"/>
          <w:position w:val="0"/>
          <w:sz w:val="21"/>
          <w:szCs w:val="21"/>
        </w:rPr>
        <w:t>预算金额：</w:t>
      </w:r>
      <w:r>
        <w:rPr>
          <w:rFonts w:hint="eastAsia" w:asciiTheme="minorEastAsia" w:hAnsiTheme="minorEastAsia" w:eastAsiaTheme="minorEastAsia" w:cstheme="minorEastAsia"/>
          <w:color w:val="auto"/>
          <w:spacing w:val="0"/>
          <w:position w:val="0"/>
          <w:sz w:val="21"/>
          <w:szCs w:val="21"/>
          <w:lang w:val="en-US" w:eastAsia="zh-CN"/>
        </w:rPr>
        <w:t>98</w:t>
      </w:r>
      <w:r>
        <w:rPr>
          <w:rFonts w:hint="eastAsia" w:asciiTheme="minorEastAsia" w:hAnsiTheme="minorEastAsia" w:eastAsiaTheme="minorEastAsia" w:cstheme="minorEastAsia"/>
          <w:color w:val="auto"/>
          <w:spacing w:val="0"/>
          <w:position w:val="0"/>
          <w:sz w:val="21"/>
          <w:szCs w:val="21"/>
        </w:rPr>
        <w:t>万元</w:t>
      </w:r>
      <w:r>
        <w:rPr>
          <w:rFonts w:hint="eastAsia" w:asciiTheme="minorEastAsia" w:hAnsiTheme="minorEastAsia" w:eastAsiaTheme="minorEastAsia" w:cstheme="minorEastAsia"/>
          <w:color w:val="auto"/>
          <w:spacing w:val="0"/>
          <w:position w:val="0"/>
          <w:sz w:val="21"/>
          <w:szCs w:val="21"/>
          <w:lang w:val="en-US" w:eastAsia="zh-CN"/>
        </w:rPr>
        <w:t>/年</w:t>
      </w:r>
    </w:p>
    <w:p w14:paraId="7D7030EE">
      <w:pPr>
        <w:keepNext w:val="0"/>
        <w:keepLines w:val="0"/>
        <w:pageBreakBefore w:val="0"/>
        <w:widowControl/>
        <w:shd w:val="clea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rPr>
        <w:t>最高限价：</w:t>
      </w:r>
      <w:r>
        <w:rPr>
          <w:rFonts w:hint="eastAsia" w:asciiTheme="minorEastAsia" w:hAnsiTheme="minorEastAsia" w:eastAsiaTheme="minorEastAsia" w:cstheme="minorEastAsia"/>
          <w:color w:val="auto"/>
          <w:spacing w:val="0"/>
          <w:position w:val="0"/>
          <w:sz w:val="21"/>
          <w:szCs w:val="21"/>
          <w:lang w:val="en-US" w:eastAsia="zh-CN"/>
        </w:rPr>
        <w:t>98</w:t>
      </w:r>
      <w:r>
        <w:rPr>
          <w:rFonts w:hint="eastAsia" w:asciiTheme="minorEastAsia" w:hAnsiTheme="minorEastAsia" w:eastAsiaTheme="minorEastAsia" w:cstheme="minorEastAsia"/>
          <w:color w:val="auto"/>
          <w:spacing w:val="0"/>
          <w:position w:val="0"/>
          <w:sz w:val="21"/>
          <w:szCs w:val="21"/>
        </w:rPr>
        <w:t>万元</w:t>
      </w:r>
      <w:r>
        <w:rPr>
          <w:rFonts w:hint="eastAsia" w:asciiTheme="minorEastAsia" w:hAnsiTheme="minorEastAsia" w:eastAsiaTheme="minorEastAsia" w:cstheme="minorEastAsia"/>
          <w:color w:val="auto"/>
          <w:spacing w:val="0"/>
          <w:position w:val="0"/>
          <w:sz w:val="21"/>
          <w:szCs w:val="21"/>
          <w:lang w:val="en-US" w:eastAsia="zh-CN"/>
        </w:rPr>
        <w:t>/年</w:t>
      </w:r>
      <w:r>
        <w:rPr>
          <w:rFonts w:hint="eastAsia" w:asciiTheme="minorEastAsia" w:hAnsiTheme="minorEastAsia" w:eastAsiaTheme="minorEastAsia" w:cstheme="minorEastAsia"/>
          <w:color w:val="auto"/>
          <w:spacing w:val="0"/>
          <w:position w:val="0"/>
          <w:sz w:val="21"/>
          <w:szCs w:val="21"/>
        </w:rPr>
        <w:t>，报价高于最高限价的为无效投标。</w:t>
      </w:r>
    </w:p>
    <w:p w14:paraId="6692ED3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lang w:val="en-US" w:eastAsia="zh-CN"/>
        </w:rPr>
        <w:t>服务内容</w:t>
      </w:r>
      <w:r>
        <w:rPr>
          <w:rFonts w:hint="eastAsia" w:asciiTheme="minorEastAsia" w:hAnsiTheme="minorEastAsia" w:eastAsiaTheme="minorEastAsia" w:cstheme="minorEastAsia"/>
          <w:color w:val="auto"/>
          <w:spacing w:val="0"/>
          <w:position w:val="0"/>
          <w:sz w:val="21"/>
          <w:szCs w:val="21"/>
        </w:rPr>
        <w:t>：高邮镇大淖、武安、水部楼、御码、南海、北海、黄渡、宝塔、新联社区、十里村、康华、怡嘉12家颐养社区、高邮镇街道日间照料中心、中心厨房按照运营方案开展运营服务，其他社区根据个性化需求开展服务活动。</w:t>
      </w:r>
    </w:p>
    <w:p w14:paraId="31C9422A">
      <w:pPr>
        <w:keepNext w:val="0"/>
        <w:keepLines w:val="0"/>
        <w:pageBreakBefore w:val="0"/>
        <w:widowControl/>
        <w:shd w:val="clear"/>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lang w:val="en-US" w:eastAsia="zh-CN"/>
        </w:rPr>
        <w:t>服务</w:t>
      </w:r>
      <w:r>
        <w:rPr>
          <w:rFonts w:hint="eastAsia" w:asciiTheme="minorEastAsia" w:hAnsiTheme="minorEastAsia" w:eastAsiaTheme="minorEastAsia" w:cstheme="minorEastAsia"/>
          <w:color w:val="auto"/>
          <w:spacing w:val="0"/>
          <w:position w:val="0"/>
          <w:sz w:val="21"/>
          <w:szCs w:val="21"/>
        </w:rPr>
        <w:t>期限：</w:t>
      </w:r>
      <w:r>
        <w:rPr>
          <w:rFonts w:hint="eastAsia" w:asciiTheme="minorEastAsia" w:hAnsiTheme="minorEastAsia" w:eastAsiaTheme="minorEastAsia" w:cstheme="minorEastAsia"/>
          <w:color w:val="auto"/>
          <w:spacing w:val="0"/>
          <w:position w:val="0"/>
          <w:sz w:val="21"/>
          <w:szCs w:val="21"/>
          <w:lang w:val="en-US" w:eastAsia="zh-CN"/>
        </w:rPr>
        <w:t>1年</w:t>
      </w:r>
      <w:r>
        <w:rPr>
          <w:rFonts w:hint="eastAsia" w:asciiTheme="minorEastAsia" w:hAnsiTheme="minorEastAsia" w:eastAsiaTheme="minorEastAsia" w:cstheme="minorEastAsia"/>
          <w:color w:val="auto"/>
          <w:spacing w:val="0"/>
          <w:position w:val="0"/>
          <w:sz w:val="21"/>
          <w:szCs w:val="21"/>
        </w:rPr>
        <w:t>。</w:t>
      </w:r>
    </w:p>
    <w:p w14:paraId="4E5A18D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Theme="minorEastAsia" w:hAnsiTheme="minorEastAsia" w:eastAsiaTheme="minorEastAsia" w:cstheme="minorEastAsia"/>
          <w:spacing w:val="0"/>
          <w:position w:val="0"/>
          <w:sz w:val="21"/>
          <w:szCs w:val="21"/>
        </w:rPr>
      </w:pPr>
      <w:r>
        <w:rPr>
          <w:rFonts w:hint="eastAsia" w:asciiTheme="minorEastAsia" w:hAnsiTheme="minorEastAsia" w:eastAsiaTheme="minorEastAsia" w:cstheme="minorEastAsia"/>
          <w:spacing w:val="0"/>
          <w:position w:val="0"/>
          <w:sz w:val="21"/>
          <w:szCs w:val="21"/>
        </w:rPr>
        <w:t>本项目（不）接受联合体投标，中标后禁止转包和分包。</w:t>
      </w:r>
    </w:p>
    <w:p w14:paraId="0313F383">
      <w:pPr>
        <w:spacing w:line="360" w:lineRule="auto"/>
        <w:ind w:left="6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56" w14:cap="flat" w14:cmpd="sng" w14:algn="ctr">
            <w14:solidFill>
              <w14:srgbClr w14:val="000000"/>
            </w14:solidFill>
            <w14:prstDash w14:val="solid"/>
            <w14:miter w14:val="0"/>
          </w14:textOutline>
        </w:rPr>
        <w:t>二</w:t>
      </w:r>
      <w:r>
        <w:rPr>
          <w:rFonts w:hint="eastAsia" w:asciiTheme="minorEastAsia" w:hAnsiTheme="minorEastAsia" w:eastAsiaTheme="minorEastAsia" w:cstheme="minorEastAsia"/>
          <w:sz w:val="21"/>
          <w:szCs w:val="21"/>
          <w14:textOutline w14:w="4356" w14:cap="flat" w14:cmpd="sng" w14:algn="ctr">
            <w14:solidFill>
              <w14:srgbClr w14:val="000000"/>
            </w14:solidFill>
            <w14:prstDash w14:val="solid"/>
            <w14:miter w14:val="0"/>
          </w14:textOutline>
        </w:rPr>
        <w:t>、申请人的资格要求</w:t>
      </w:r>
    </w:p>
    <w:p w14:paraId="45F2E110">
      <w:pPr>
        <w:spacing w:line="360" w:lineRule="auto"/>
        <w:ind w:firstLine="404" w:firstLineChars="200"/>
        <w:rPr>
          <w:rFonts w:hint="eastAsia" w:asciiTheme="minorEastAsia" w:hAnsiTheme="minorEastAsia" w:eastAsiaTheme="minorEastAsia" w:cstheme="minorEastAsia"/>
          <w:spacing w:val="-2"/>
          <w:position w:val="1"/>
          <w:sz w:val="21"/>
          <w:szCs w:val="21"/>
        </w:rPr>
      </w:pPr>
      <w:r>
        <w:rPr>
          <w:rFonts w:hint="eastAsia" w:asciiTheme="minorEastAsia" w:hAnsiTheme="minorEastAsia" w:eastAsiaTheme="minorEastAsia" w:cstheme="minorEastAsia"/>
          <w:spacing w:val="-4"/>
          <w:position w:val="1"/>
          <w:sz w:val="21"/>
          <w:szCs w:val="21"/>
        </w:rPr>
        <w:t>1.满足《</w:t>
      </w:r>
      <w:r>
        <w:rPr>
          <w:rFonts w:hint="eastAsia" w:asciiTheme="minorEastAsia" w:hAnsiTheme="minorEastAsia" w:eastAsiaTheme="minorEastAsia" w:cstheme="minorEastAsia"/>
          <w:spacing w:val="-2"/>
          <w:position w:val="1"/>
          <w:sz w:val="21"/>
          <w:szCs w:val="21"/>
        </w:rPr>
        <w:t>中华人民共和国政府采购法》第二十二条规定，</w:t>
      </w:r>
      <w:r>
        <w:rPr>
          <w:rFonts w:hint="eastAsia" w:asciiTheme="minorEastAsia" w:hAnsiTheme="minorEastAsia" w:eastAsiaTheme="minorEastAsia" w:cstheme="minorEastAsia"/>
          <w:color w:val="auto"/>
          <w:spacing w:val="-2"/>
          <w:position w:val="1"/>
          <w:sz w:val="21"/>
          <w:szCs w:val="21"/>
        </w:rPr>
        <w:t>并提供下列材料：</w:t>
      </w:r>
    </w:p>
    <w:p w14:paraId="53EB6C98">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1.1法人或者其他组织的营业执照等证明文件，自然人的身份证明；</w:t>
      </w:r>
    </w:p>
    <w:p w14:paraId="57FDBFCA">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1.2 依法缴纳职工社会保障资金的证明材料(税务、银行或社会保险基金管理部门出具的近三个月内任意一个月缴纳职工社会保障资金的缴款凭证或缴款证明)（</w:t>
      </w:r>
      <w:r>
        <w:rPr>
          <w:rFonts w:hint="eastAsia" w:asciiTheme="minorEastAsia" w:hAnsiTheme="minorEastAsia" w:eastAsiaTheme="minorEastAsia" w:cstheme="minorEastAsia"/>
          <w:i/>
          <w:iCs/>
          <w:sz w:val="21"/>
          <w:szCs w:val="21"/>
          <w:u w:val="single"/>
          <w:lang w:val="en-US" w:eastAsia="zh-CN"/>
        </w:rPr>
        <w:t>供应商</w:t>
      </w:r>
      <w:r>
        <w:rPr>
          <w:rFonts w:hint="eastAsia" w:asciiTheme="minorEastAsia" w:hAnsiTheme="minorEastAsia" w:eastAsiaTheme="minorEastAsia" w:cstheme="minorEastAsia"/>
          <w:i/>
          <w:iCs/>
          <w:sz w:val="21"/>
          <w:szCs w:val="21"/>
          <w:u w:val="single"/>
        </w:rPr>
        <w:t>依法享受缓缴、免缴的提供证明材料）；</w:t>
      </w:r>
    </w:p>
    <w:p w14:paraId="11194BAA">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 xml:space="preserve">1.3 </w:t>
      </w:r>
      <w:r>
        <w:rPr>
          <w:rFonts w:hint="eastAsia" w:asciiTheme="minorEastAsia" w:hAnsiTheme="minorEastAsia" w:eastAsiaTheme="minorEastAsia" w:cstheme="minorEastAsia"/>
          <w:i/>
          <w:iCs/>
          <w:sz w:val="21"/>
          <w:szCs w:val="21"/>
          <w:u w:val="single"/>
          <w:lang w:eastAsia="zh-CN"/>
        </w:rPr>
        <w:t>供应商</w:t>
      </w:r>
      <w:r>
        <w:rPr>
          <w:rFonts w:hint="eastAsia" w:asciiTheme="minorEastAsia" w:hAnsiTheme="minorEastAsia" w:eastAsiaTheme="minorEastAsia" w:cstheme="minorEastAsia"/>
          <w:i/>
          <w:iCs/>
          <w:sz w:val="21"/>
          <w:szCs w:val="21"/>
          <w:u w:val="single"/>
        </w:rPr>
        <w:t>近三个月内任意一份依法纳税的缴款凭证（</w:t>
      </w:r>
      <w:r>
        <w:rPr>
          <w:rFonts w:hint="eastAsia" w:asciiTheme="minorEastAsia" w:hAnsiTheme="minorEastAsia" w:eastAsiaTheme="minorEastAsia" w:cstheme="minorEastAsia"/>
          <w:i/>
          <w:iCs/>
          <w:sz w:val="21"/>
          <w:szCs w:val="21"/>
          <w:u w:val="single"/>
          <w:lang w:val="en-US" w:eastAsia="zh-CN"/>
        </w:rPr>
        <w:t>供应商</w:t>
      </w:r>
      <w:r>
        <w:rPr>
          <w:rFonts w:hint="eastAsia" w:asciiTheme="minorEastAsia" w:hAnsiTheme="minorEastAsia" w:eastAsiaTheme="minorEastAsia" w:cstheme="minorEastAsia"/>
          <w:i/>
          <w:iCs/>
          <w:sz w:val="21"/>
          <w:szCs w:val="21"/>
          <w:u w:val="single"/>
        </w:rPr>
        <w:t>依法享受缓缴、免缴的提供证明材料）；</w:t>
      </w:r>
    </w:p>
    <w:p w14:paraId="07BBF243">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1.4 上一年度的财务报告情况</w:t>
      </w:r>
      <w:r>
        <w:rPr>
          <w:rFonts w:hint="eastAsia" w:asciiTheme="minorEastAsia" w:hAnsiTheme="minorEastAsia" w:eastAsiaTheme="minorEastAsia" w:cstheme="minorEastAsia"/>
          <w:b/>
          <w:bCs/>
          <w:i/>
          <w:iCs/>
          <w:sz w:val="21"/>
          <w:szCs w:val="21"/>
          <w:u w:val="single"/>
        </w:rPr>
        <w:t>（成立不满一年不需提供）</w:t>
      </w:r>
      <w:r>
        <w:rPr>
          <w:rFonts w:hint="eastAsia" w:asciiTheme="minorEastAsia" w:hAnsiTheme="minorEastAsia" w:eastAsiaTheme="minorEastAsia" w:cstheme="minorEastAsia"/>
          <w:i/>
          <w:iCs/>
          <w:sz w:val="21"/>
          <w:szCs w:val="21"/>
          <w:u w:val="single"/>
        </w:rPr>
        <w:t>；</w:t>
      </w:r>
    </w:p>
    <w:p w14:paraId="76CB3AC0">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1.5 具备履行合同所必需的设备和专业技术能力的证明材料；</w:t>
      </w:r>
    </w:p>
    <w:p w14:paraId="1C2310B8">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1.6 参加本次政府采购活动前3年内在经营活动中没有重大违法记录的书面声明；</w:t>
      </w:r>
    </w:p>
    <w:p w14:paraId="587C9910">
      <w:pPr>
        <w:spacing w:line="360" w:lineRule="auto"/>
        <w:ind w:firstLine="420" w:firstLineChars="200"/>
        <w:rPr>
          <w:rFonts w:hint="eastAsia" w:asciiTheme="minorEastAsia" w:hAnsiTheme="minorEastAsia" w:eastAsiaTheme="minorEastAsia" w:cstheme="minorEastAsia"/>
          <w:i/>
          <w:iCs/>
          <w:sz w:val="21"/>
          <w:szCs w:val="21"/>
          <w:u w:val="single"/>
        </w:rPr>
      </w:pPr>
      <w:r>
        <w:rPr>
          <w:rFonts w:hint="eastAsia" w:asciiTheme="minorEastAsia" w:hAnsiTheme="minorEastAsia" w:eastAsiaTheme="minorEastAsia" w:cstheme="minorEastAsia"/>
          <w:i/>
          <w:iCs/>
          <w:sz w:val="21"/>
          <w:szCs w:val="21"/>
          <w:u w:val="single"/>
        </w:rPr>
        <w:t>1.7 未被“信用中国”网站（www.creditchina.gov.cn）、“中国政府采购网"(www.ccgp.gov.cn)列入失信被执行人、重大税收违法案件当事人名单、政府采购严重违法失信行为记录名单；</w:t>
      </w:r>
    </w:p>
    <w:p w14:paraId="683B52D0">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iCs/>
          <w:sz w:val="21"/>
          <w:szCs w:val="21"/>
          <w:u w:val="single"/>
        </w:rPr>
        <w:t>1.8供应商信用承诺函。</w:t>
      </w:r>
    </w:p>
    <w:p w14:paraId="20950E71">
      <w:pPr>
        <w:keepNext w:val="0"/>
        <w:keepLines w:val="0"/>
        <w:pageBreakBefore w:val="0"/>
        <w:widowControl/>
        <w:kinsoku w:val="0"/>
        <w:wordWrap/>
        <w:overflowPunct/>
        <w:topLinePunct w:val="0"/>
        <w:autoSpaceDE w:val="0"/>
        <w:autoSpaceDN w:val="0"/>
        <w:bidi w:val="0"/>
        <w:adjustRightInd w:val="0"/>
        <w:snapToGrid w:val="0"/>
        <w:spacing w:line="360" w:lineRule="auto"/>
        <w:ind w:firstLine="384" w:firstLineChars="200"/>
        <w:textAlignment w:val="baseline"/>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spacing w:val="-9"/>
          <w:sz w:val="21"/>
          <w:szCs w:val="21"/>
        </w:rPr>
        <w:t>2</w:t>
      </w:r>
      <w:r>
        <w:rPr>
          <w:rFonts w:hint="eastAsia" w:asciiTheme="minorEastAsia" w:hAnsiTheme="minorEastAsia" w:eastAsiaTheme="minorEastAsia" w:cstheme="minorEastAsia"/>
          <w:spacing w:val="-5"/>
          <w:sz w:val="21"/>
          <w:szCs w:val="21"/>
        </w:rPr>
        <w:t>.落实政府采购政策需满足的资格要求；根据《政府采购促进中小企业发展管理办法》规定，本项目专门面向</w:t>
      </w:r>
      <w:r>
        <w:rPr>
          <w:rFonts w:hint="eastAsia" w:asciiTheme="minorEastAsia" w:hAnsiTheme="minorEastAsia" w:eastAsiaTheme="minorEastAsia" w:cstheme="minorEastAsia"/>
          <w:spacing w:val="-5"/>
          <w:sz w:val="21"/>
          <w:szCs w:val="21"/>
          <w:lang w:val="en-US" w:eastAsia="zh-CN"/>
        </w:rPr>
        <w:t>中小</w:t>
      </w:r>
      <w:r>
        <w:rPr>
          <w:rFonts w:hint="eastAsia" w:asciiTheme="minorEastAsia" w:hAnsiTheme="minorEastAsia" w:eastAsiaTheme="minorEastAsia" w:cstheme="minorEastAsia"/>
          <w:spacing w:val="-5"/>
          <w:sz w:val="21"/>
          <w:szCs w:val="21"/>
        </w:rPr>
        <w:t>企业采购，不接受大型企业报名，项目类型为</w:t>
      </w:r>
      <w:r>
        <w:rPr>
          <w:rFonts w:hint="eastAsia" w:asciiTheme="minorEastAsia" w:hAnsiTheme="minorEastAsia" w:eastAsiaTheme="minorEastAsia" w:cstheme="minorEastAsia"/>
          <w:spacing w:val="-5"/>
          <w:sz w:val="21"/>
          <w:szCs w:val="21"/>
          <w:lang w:val="en-US" w:eastAsia="zh-CN"/>
        </w:rPr>
        <w:t>其他未列明行业</w:t>
      </w:r>
      <w:r>
        <w:rPr>
          <w:rFonts w:hint="eastAsia" w:asciiTheme="minorEastAsia" w:hAnsiTheme="minorEastAsia" w:eastAsiaTheme="minorEastAsia" w:cstheme="minorEastAsia"/>
          <w:spacing w:val="-5"/>
          <w:sz w:val="21"/>
          <w:szCs w:val="21"/>
        </w:rPr>
        <w:t>。未按规定填写或未提交《企业声明函》的投标无效。</w:t>
      </w:r>
    </w:p>
    <w:p w14:paraId="3EC47934">
      <w:pPr>
        <w:keepNext w:val="0"/>
        <w:keepLines w:val="0"/>
        <w:pageBreakBefore w:val="0"/>
        <w:widowControl/>
        <w:kinsoku w:val="0"/>
        <w:wordWrap/>
        <w:overflowPunct/>
        <w:topLinePunct w:val="0"/>
        <w:autoSpaceDE w:val="0"/>
        <w:autoSpaceDN w:val="0"/>
        <w:bidi w:val="0"/>
        <w:adjustRightInd w:val="0"/>
        <w:snapToGrid w:val="0"/>
        <w:spacing w:line="360" w:lineRule="auto"/>
        <w:ind w:firstLine="400" w:firstLineChars="200"/>
        <w:textAlignment w:val="baseline"/>
        <w:rPr>
          <w:rFonts w:hint="eastAsia" w:asciiTheme="minorEastAsia" w:hAnsiTheme="minorEastAsia" w:eastAsiaTheme="minorEastAsia" w:cstheme="minorEastAsia"/>
          <w:spacing w:val="-5"/>
          <w:sz w:val="21"/>
          <w:szCs w:val="21"/>
          <w:lang w:val="en-US" w:eastAsia="zh-CN"/>
        </w:rPr>
      </w:pPr>
      <w:r>
        <w:rPr>
          <w:rFonts w:hint="eastAsia" w:asciiTheme="minorEastAsia" w:hAnsiTheme="minorEastAsia" w:eastAsiaTheme="minorEastAsia" w:cstheme="minorEastAsia"/>
          <w:spacing w:val="-5"/>
          <w:sz w:val="21"/>
          <w:szCs w:val="21"/>
        </w:rPr>
        <w:t>3.本项目的特定资格要求：</w:t>
      </w:r>
      <w:r>
        <w:rPr>
          <w:rFonts w:hint="eastAsia" w:asciiTheme="minorEastAsia" w:hAnsiTheme="minorEastAsia" w:eastAsiaTheme="minorEastAsia" w:cstheme="minorEastAsia"/>
          <w:spacing w:val="-5"/>
          <w:sz w:val="21"/>
          <w:szCs w:val="21"/>
          <w:lang w:val="en-US" w:eastAsia="zh-CN"/>
        </w:rPr>
        <w:t>无</w:t>
      </w:r>
    </w:p>
    <w:p w14:paraId="30B2E48F">
      <w:pPr>
        <w:spacing w:line="360" w:lineRule="auto"/>
        <w:ind w:firstLine="424"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4356" w14:cap="flat" w14:cmpd="sng" w14:algn="ctr">
            <w14:solidFill>
              <w14:srgbClr w14:val="000000"/>
            </w14:solidFill>
            <w14:prstDash w14:val="solid"/>
            <w14:miter w14:val="0"/>
          </w14:textOutline>
        </w:rPr>
        <w:t>三</w:t>
      </w:r>
      <w:r>
        <w:rPr>
          <w:rFonts w:hint="eastAsia" w:asciiTheme="minorEastAsia" w:hAnsiTheme="minorEastAsia" w:eastAsiaTheme="minorEastAsia" w:cstheme="minorEastAsia"/>
          <w:sz w:val="21"/>
          <w:szCs w:val="21"/>
          <w14:textOutline w14:w="4356" w14:cap="flat" w14:cmpd="sng" w14:algn="ctr">
            <w14:solidFill>
              <w14:srgbClr w14:val="000000"/>
            </w14:solidFill>
            <w14:prstDash w14:val="solid"/>
            <w14:miter w14:val="0"/>
          </w14:textOutline>
        </w:rPr>
        <w:t>、获取采购文件</w:t>
      </w:r>
    </w:p>
    <w:p w14:paraId="5A329BD3">
      <w:pPr>
        <w:spacing w:line="360" w:lineRule="auto"/>
        <w:ind w:firstLine="54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1.时间：自</w:t>
      </w:r>
      <w:r>
        <w:rPr>
          <w:rFonts w:hint="eastAsia" w:asciiTheme="minorEastAsia" w:hAnsiTheme="minorEastAsia" w:eastAsiaTheme="minorEastAsia" w:cstheme="minorEastAsia"/>
          <w:sz w:val="21"/>
          <w:szCs w:val="21"/>
          <w:lang w:val="en-US" w:eastAsia="zh-CN"/>
        </w:rPr>
        <w:t>磋商</w:t>
      </w:r>
      <w:r>
        <w:rPr>
          <w:rFonts w:hint="eastAsia" w:asciiTheme="minorEastAsia" w:hAnsiTheme="minorEastAsia" w:eastAsiaTheme="minorEastAsia" w:cstheme="minorEastAsia"/>
          <w:sz w:val="21"/>
          <w:szCs w:val="21"/>
        </w:rPr>
        <w:t>公告发布之日起</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个工作日。</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个工作日后仍可在网站查阅采购文件，但不作为供应商权益受到损害的证明材料和依据。</w:t>
      </w:r>
    </w:p>
    <w:p w14:paraId="2160B3A1">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2.获取方式：本项目采用网上注册登记方式。</w:t>
      </w:r>
    </w:p>
    <w:p w14:paraId="76CFE288">
      <w:pPr>
        <w:spacing w:line="360" w:lineRule="auto"/>
        <w:ind w:firstLine="540"/>
        <w:rPr>
          <w:rFonts w:hint="eastAsia" w:asciiTheme="minorEastAsia" w:hAnsiTheme="minorEastAsia" w:eastAsiaTheme="minorEastAsia" w:cstheme="minorEastAsia"/>
          <w:b/>
          <w:bCs/>
          <w:sz w:val="21"/>
          <w:szCs w:val="21"/>
        </w:rPr>
      </w:pPr>
      <w:bookmarkStart w:id="1" w:name="_Toc109304966"/>
      <w:r>
        <w:rPr>
          <w:rFonts w:hint="eastAsia" w:asciiTheme="minorEastAsia" w:hAnsiTheme="minorEastAsia" w:eastAsiaTheme="minorEastAsia" w:cstheme="minorEastAsia"/>
          <w:b/>
          <w:bCs/>
          <w:sz w:val="21"/>
          <w:szCs w:val="21"/>
        </w:rPr>
        <w:t>3.潜在供应商访问政府采购管理交易系统（苏采云）的网络地址和方法：</w:t>
      </w:r>
    </w:p>
    <w:p w14:paraId="7E0A73F2">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潜在供应商访问政府采购管理交易系统（苏采云）的方法：“苏采云”系统用户注册--获取“CA数字证书”--CA绑定与登录--网上报名--下载采购文件（后缀名为“.kedt”）--将后缀名为“.kedt”的采购文件导入政府采购客户端工具--制作投标文件--导出加密的投标文件（后缀名为zip）--通过“苏采云”系统上传投标文件。</w:t>
      </w:r>
    </w:p>
    <w:p w14:paraId="50F8863D">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（2）“CA数字证书”的获取：供应商需办理CA锁，“苏采云”系统目前仅支持“苏采云”系统下的政务CA，省内各地区办理的“苏采云”系统下的政务CA全省通用。</w:t>
      </w:r>
    </w:p>
    <w:p w14:paraId="346E036F">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（3）“CA数字证书”的办理材料以及供应商操作手册详见：</w:t>
      </w:r>
    </w:p>
    <w:p w14:paraId="48EFAD96">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http://zfcg.yangzhou.gov.cn/zfcg/xzzx/202309/4d7de1f7865f4a2894fc22bc452f94d8.shtml。</w:t>
      </w:r>
    </w:p>
    <w:p w14:paraId="7DAB01C8">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（4）潜在供应商访问“苏采云”系统的网络地址和方法：“苏采云”系统的网址：http://jszfcg.jsczt.cn/。</w:t>
      </w:r>
    </w:p>
    <w:p w14:paraId="0C9BE772">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（5）采购文件（后缀名为“.kedt”）、供应商操作手册及政府采购客户端工具也可通过“苏采云”系统--已报名项目--报名详情页面内相应链接进行下载。</w:t>
      </w:r>
    </w:p>
    <w:p w14:paraId="76851242">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（6）招标代理机构（采购代理机构）将数据电文形式的采购文件加载至“苏采云”系统，供潜在供应商下载或者查阅。</w:t>
      </w:r>
    </w:p>
    <w:p w14:paraId="647CC2FA">
      <w:pPr>
        <w:spacing w:line="360" w:lineRule="auto"/>
        <w:ind w:firstLine="54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（7）苏采云系统使用谷歌浏览器参与不见面开标。</w:t>
      </w:r>
    </w:p>
    <w:p w14:paraId="7486DEFC">
      <w:pPr>
        <w:spacing w:line="36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四、响应文件提交</w:t>
      </w:r>
      <w:bookmarkEnd w:id="1"/>
    </w:p>
    <w:p w14:paraId="069EE186">
      <w:pPr>
        <w:spacing w:line="360" w:lineRule="auto"/>
        <w:ind w:firstLine="420" w:firstLineChars="200"/>
        <w:rPr>
          <w:rFonts w:hint="eastAsia" w:asciiTheme="minorEastAsia" w:hAnsiTheme="minorEastAsia" w:eastAsiaTheme="minorEastAsia" w:cstheme="minorEastAsia"/>
          <w:bCs/>
          <w:sz w:val="21"/>
          <w:szCs w:val="21"/>
          <w:u w:val="single"/>
        </w:rPr>
      </w:pPr>
      <w:r>
        <w:rPr>
          <w:rFonts w:hint="eastAsia" w:asciiTheme="minorEastAsia" w:hAnsiTheme="minorEastAsia" w:eastAsiaTheme="minorEastAsia" w:cstheme="minorEastAsia"/>
          <w:sz w:val="21"/>
          <w:szCs w:val="21"/>
        </w:rPr>
        <w:t>1.截止时间：</w:t>
      </w:r>
      <w:bookmarkStart w:id="40" w:name="_GoBack"/>
      <w:r>
        <w:rPr>
          <w:rFonts w:hint="eastAsia" w:asciiTheme="minorEastAsia" w:hAnsiTheme="minorEastAsia" w:eastAsiaTheme="minorEastAsia" w:cstheme="minorEastAsia"/>
          <w:bCs/>
          <w:sz w:val="21"/>
          <w:szCs w:val="21"/>
          <w:u w:val="single"/>
          <w:lang w:val="en-US" w:eastAsia="zh-CN"/>
        </w:rPr>
        <w:t>2025</w:t>
      </w:r>
      <w:r>
        <w:rPr>
          <w:rFonts w:hint="eastAsia" w:asciiTheme="minorEastAsia" w:hAnsiTheme="minorEastAsia" w:eastAsiaTheme="minorEastAsia" w:cstheme="minorEastAsia"/>
          <w:bCs/>
          <w:sz w:val="21"/>
          <w:szCs w:val="21"/>
          <w:u w:val="single"/>
          <w:lang w:eastAsia="zh-CN"/>
        </w:rPr>
        <w:t>年</w:t>
      </w:r>
      <w:r>
        <w:rPr>
          <w:rFonts w:hint="eastAsia" w:asciiTheme="minorEastAsia" w:hAnsiTheme="minorEastAsia" w:eastAsiaTheme="minorEastAsia" w:cstheme="minorEastAsia"/>
          <w:bCs/>
          <w:sz w:val="21"/>
          <w:szCs w:val="21"/>
          <w:u w:val="single"/>
          <w:lang w:val="en-US" w:eastAsia="zh-CN"/>
        </w:rPr>
        <w:t>10月</w:t>
      </w:r>
      <w:bookmarkEnd w:id="40"/>
      <w:r>
        <w:rPr>
          <w:rFonts w:hint="eastAsia" w:asciiTheme="minorEastAsia" w:hAnsiTheme="minorEastAsia" w:eastAsiaTheme="minorEastAsia" w:cstheme="minorEastAsia"/>
          <w:bCs/>
          <w:sz w:val="21"/>
          <w:szCs w:val="21"/>
          <w:u w:val="single"/>
          <w:lang w:val="en-US" w:eastAsia="zh-CN"/>
        </w:rPr>
        <w:t>27</w:t>
      </w:r>
      <w:r>
        <w:rPr>
          <w:rFonts w:hint="eastAsia" w:asciiTheme="minorEastAsia" w:hAnsiTheme="minorEastAsia" w:eastAsiaTheme="minorEastAsia" w:cstheme="minorEastAsia"/>
          <w:bCs/>
          <w:sz w:val="21"/>
          <w:szCs w:val="21"/>
          <w:u w:val="single"/>
          <w:lang w:eastAsia="zh-CN"/>
        </w:rPr>
        <w:t>日</w:t>
      </w:r>
      <w:r>
        <w:rPr>
          <w:rFonts w:hint="eastAsia" w:asciiTheme="minorEastAsia" w:hAnsiTheme="minorEastAsia" w:eastAsiaTheme="minorEastAsia" w:cstheme="minorEastAsia"/>
          <w:bCs/>
          <w:sz w:val="21"/>
          <w:szCs w:val="21"/>
          <w:u w:val="single"/>
          <w:lang w:val="en-US" w:eastAsia="zh-CN"/>
        </w:rPr>
        <w:t>09</w:t>
      </w:r>
      <w:r>
        <w:rPr>
          <w:rFonts w:hint="eastAsia" w:asciiTheme="minorEastAsia" w:hAnsiTheme="minorEastAsia" w:eastAsiaTheme="minorEastAsia" w:cstheme="minorEastAsia"/>
          <w:bCs/>
          <w:sz w:val="21"/>
          <w:szCs w:val="21"/>
          <w:u w:val="single"/>
          <w:lang w:eastAsia="zh-CN"/>
        </w:rPr>
        <w:t>点</w:t>
      </w:r>
      <w:r>
        <w:rPr>
          <w:rFonts w:hint="eastAsia" w:asciiTheme="minorEastAsia" w:hAnsiTheme="minorEastAsia" w:eastAsiaTheme="minorEastAsia" w:cstheme="minorEastAsia"/>
          <w:bCs/>
          <w:sz w:val="21"/>
          <w:szCs w:val="21"/>
          <w:u w:val="single"/>
          <w:lang w:val="en-US" w:eastAsia="zh-CN"/>
        </w:rPr>
        <w:t>3</w:t>
      </w:r>
      <w:r>
        <w:rPr>
          <w:rFonts w:hint="eastAsia" w:asciiTheme="minorEastAsia" w:hAnsiTheme="minorEastAsia" w:eastAsiaTheme="minorEastAsia" w:cstheme="minorEastAsia"/>
          <w:bCs/>
          <w:sz w:val="21"/>
          <w:szCs w:val="21"/>
          <w:u w:val="single"/>
          <w:lang w:eastAsia="zh-CN"/>
        </w:rPr>
        <w:t>0分</w:t>
      </w:r>
      <w:r>
        <w:rPr>
          <w:rFonts w:hint="eastAsia" w:asciiTheme="minorEastAsia" w:hAnsiTheme="minorEastAsia" w:eastAsiaTheme="minorEastAsia" w:cstheme="minorEastAsia"/>
          <w:bCs/>
          <w:sz w:val="21"/>
          <w:szCs w:val="21"/>
        </w:rPr>
        <w:t>（北京时间）</w:t>
      </w:r>
    </w:p>
    <w:p w14:paraId="3E729B42">
      <w:pPr>
        <w:spacing w:line="360" w:lineRule="auto"/>
        <w:ind w:firstLine="422" w:firstLineChars="200"/>
        <w:rPr>
          <w:rFonts w:hint="eastAsia" w:asciiTheme="minorEastAsia" w:hAnsiTheme="minorEastAsia" w:eastAsiaTheme="minorEastAsia" w:cstheme="minorEastAsia"/>
          <w:bCs/>
          <w:sz w:val="21"/>
          <w:szCs w:val="21"/>
          <w:u w:val="single"/>
        </w:rPr>
      </w:pPr>
      <w:bookmarkStart w:id="2" w:name="_Toc109304967"/>
      <w:r>
        <w:rPr>
          <w:rFonts w:hint="eastAsia" w:asciiTheme="minorEastAsia" w:hAnsiTheme="minorEastAsia" w:eastAsiaTheme="minorEastAsia" w:cstheme="minorEastAsia"/>
          <w:b/>
          <w:bCs/>
          <w:sz w:val="21"/>
          <w:szCs w:val="21"/>
        </w:rPr>
        <w:t>2.投标地点：“苏采云”系统（网址：http://jszfcg.jsczt.cn/）“报名详情”</w:t>
      </w:r>
    </w:p>
    <w:p w14:paraId="2396B9CC">
      <w:pPr>
        <w:spacing w:line="36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五、开启</w:t>
      </w:r>
      <w:bookmarkEnd w:id="2"/>
    </w:p>
    <w:p w14:paraId="55BAA7E5">
      <w:pPr>
        <w:pStyle w:val="4"/>
        <w:spacing w:line="36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1.时间：</w:t>
      </w:r>
      <w:r>
        <w:rPr>
          <w:rFonts w:hint="eastAsia" w:asciiTheme="minorEastAsia" w:hAnsiTheme="minorEastAsia" w:eastAsiaTheme="minorEastAsia" w:cstheme="minorEastAsia"/>
          <w:bCs/>
          <w:sz w:val="21"/>
          <w:szCs w:val="21"/>
          <w:u w:val="single"/>
          <w:lang w:val="en-US" w:eastAsia="zh-CN"/>
        </w:rPr>
        <w:t>2025</w:t>
      </w:r>
      <w:r>
        <w:rPr>
          <w:rFonts w:hint="eastAsia" w:asciiTheme="minorEastAsia" w:hAnsiTheme="minorEastAsia" w:eastAsiaTheme="minorEastAsia" w:cstheme="minorEastAsia"/>
          <w:bCs/>
          <w:sz w:val="21"/>
          <w:szCs w:val="21"/>
          <w:u w:val="single"/>
          <w:lang w:eastAsia="zh-CN"/>
        </w:rPr>
        <w:t>年</w:t>
      </w:r>
      <w:r>
        <w:rPr>
          <w:rFonts w:hint="eastAsia" w:asciiTheme="minorEastAsia" w:hAnsiTheme="minorEastAsia" w:eastAsiaTheme="minorEastAsia" w:cstheme="minorEastAsia"/>
          <w:bCs/>
          <w:sz w:val="21"/>
          <w:szCs w:val="21"/>
          <w:u w:val="single"/>
          <w:lang w:val="en-US" w:eastAsia="zh-CN"/>
        </w:rPr>
        <w:t>10月27</w:t>
      </w:r>
      <w:r>
        <w:rPr>
          <w:rFonts w:hint="eastAsia" w:asciiTheme="minorEastAsia" w:hAnsiTheme="minorEastAsia" w:eastAsiaTheme="minorEastAsia" w:cstheme="minorEastAsia"/>
          <w:bCs/>
          <w:sz w:val="21"/>
          <w:szCs w:val="21"/>
          <w:u w:val="single"/>
          <w:lang w:eastAsia="zh-CN"/>
        </w:rPr>
        <w:t>日</w:t>
      </w:r>
      <w:r>
        <w:rPr>
          <w:rFonts w:hint="eastAsia" w:asciiTheme="minorEastAsia" w:hAnsiTheme="minorEastAsia" w:eastAsiaTheme="minorEastAsia" w:cstheme="minorEastAsia"/>
          <w:bCs/>
          <w:sz w:val="21"/>
          <w:szCs w:val="21"/>
          <w:u w:val="single"/>
          <w:lang w:val="en-US" w:eastAsia="zh-CN"/>
        </w:rPr>
        <w:t>09</w:t>
      </w:r>
      <w:r>
        <w:rPr>
          <w:rFonts w:hint="eastAsia" w:asciiTheme="minorEastAsia" w:hAnsiTheme="minorEastAsia" w:eastAsiaTheme="minorEastAsia" w:cstheme="minorEastAsia"/>
          <w:bCs/>
          <w:sz w:val="21"/>
          <w:szCs w:val="21"/>
          <w:u w:val="single"/>
          <w:lang w:eastAsia="zh-CN"/>
        </w:rPr>
        <w:t>点</w:t>
      </w:r>
      <w:r>
        <w:rPr>
          <w:rFonts w:hint="eastAsia" w:asciiTheme="minorEastAsia" w:hAnsiTheme="minorEastAsia" w:eastAsiaTheme="minorEastAsia" w:cstheme="minorEastAsia"/>
          <w:bCs/>
          <w:sz w:val="21"/>
          <w:szCs w:val="21"/>
          <w:u w:val="single"/>
          <w:lang w:val="en-US" w:eastAsia="zh-CN"/>
        </w:rPr>
        <w:t>3</w:t>
      </w:r>
      <w:r>
        <w:rPr>
          <w:rFonts w:hint="eastAsia" w:asciiTheme="minorEastAsia" w:hAnsiTheme="minorEastAsia" w:eastAsiaTheme="minorEastAsia" w:cstheme="minorEastAsia"/>
          <w:bCs/>
          <w:sz w:val="21"/>
          <w:szCs w:val="21"/>
          <w:u w:val="single"/>
          <w:lang w:eastAsia="zh-CN"/>
        </w:rPr>
        <w:t>0分</w:t>
      </w:r>
      <w:r>
        <w:rPr>
          <w:rFonts w:hint="eastAsia" w:asciiTheme="minorEastAsia" w:hAnsiTheme="minorEastAsia" w:eastAsiaTheme="minorEastAsia" w:cstheme="minorEastAsia"/>
          <w:bCs/>
          <w:sz w:val="21"/>
          <w:szCs w:val="21"/>
        </w:rPr>
        <w:t>（北京时间）</w:t>
      </w:r>
    </w:p>
    <w:p w14:paraId="7DBAC71C">
      <w:pPr>
        <w:spacing w:line="360" w:lineRule="auto"/>
        <w:ind w:firstLine="422" w:firstLineChars="200"/>
        <w:rPr>
          <w:rFonts w:hint="eastAsia" w:asciiTheme="minorEastAsia" w:hAnsiTheme="minorEastAsia" w:eastAsiaTheme="minorEastAsia" w:cstheme="minorEastAsia"/>
          <w:b/>
          <w:sz w:val="21"/>
          <w:szCs w:val="21"/>
        </w:rPr>
      </w:pPr>
      <w:bookmarkStart w:id="3" w:name="_Toc109304968"/>
      <w:r>
        <w:rPr>
          <w:rFonts w:hint="eastAsia" w:asciiTheme="minorEastAsia" w:hAnsiTheme="minorEastAsia" w:eastAsiaTheme="minorEastAsia" w:cstheme="minorEastAsia"/>
          <w:b/>
          <w:sz w:val="21"/>
          <w:szCs w:val="21"/>
        </w:rPr>
        <w:t>2.开标地点：“苏采云”系统（网址：http://jszfcg.jsczt.cn/）“开标大厅”</w:t>
      </w:r>
    </w:p>
    <w:p w14:paraId="52871C18">
      <w:pPr>
        <w:spacing w:line="36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六、公告期限</w:t>
      </w:r>
      <w:bookmarkEnd w:id="3"/>
    </w:p>
    <w:p w14:paraId="53E9D866">
      <w:pPr>
        <w:spacing w:line="360" w:lineRule="auto"/>
        <w:ind w:firstLine="422" w:firstLineChars="200"/>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自本公告发布之日起</w:t>
      </w:r>
      <w:r>
        <w:rPr>
          <w:rFonts w:hint="eastAsia" w:asciiTheme="minorEastAsia" w:hAnsiTheme="minorEastAsia" w:eastAsiaTheme="minorEastAsia" w:cstheme="minorEastAsia"/>
          <w:b/>
          <w:bCs/>
          <w:kern w:val="0"/>
          <w:sz w:val="21"/>
          <w:szCs w:val="21"/>
          <w:lang w:val="en-US" w:eastAsia="zh-CN"/>
        </w:rPr>
        <w:t>5</w:t>
      </w:r>
      <w:r>
        <w:rPr>
          <w:rFonts w:hint="eastAsia" w:asciiTheme="minorEastAsia" w:hAnsiTheme="minorEastAsia" w:eastAsiaTheme="minorEastAsia" w:cstheme="minorEastAsia"/>
          <w:b/>
          <w:bCs/>
          <w:kern w:val="0"/>
          <w:sz w:val="21"/>
          <w:szCs w:val="21"/>
        </w:rPr>
        <w:t>个工作日。</w:t>
      </w:r>
    </w:p>
    <w:p w14:paraId="149C86F8">
      <w:pPr>
        <w:spacing w:line="360" w:lineRule="auto"/>
        <w:rPr>
          <w:rFonts w:hint="eastAsia" w:asciiTheme="minorEastAsia" w:hAnsiTheme="minorEastAsia" w:eastAsiaTheme="minorEastAsia" w:cstheme="minorEastAsia"/>
          <w:b/>
          <w:sz w:val="21"/>
          <w:szCs w:val="21"/>
        </w:rPr>
      </w:pPr>
      <w:bookmarkStart w:id="4" w:name="_Toc109304969"/>
      <w:r>
        <w:rPr>
          <w:rFonts w:hint="eastAsia" w:asciiTheme="minorEastAsia" w:hAnsiTheme="minorEastAsia" w:eastAsiaTheme="minorEastAsia" w:cstheme="minorEastAsia"/>
          <w:b/>
          <w:sz w:val="21"/>
          <w:szCs w:val="21"/>
        </w:rPr>
        <w:t>七、其他补充事宜</w:t>
      </w:r>
      <w:bookmarkEnd w:id="4"/>
    </w:p>
    <w:p w14:paraId="4600C859">
      <w:pPr>
        <w:spacing w:line="360" w:lineRule="auto"/>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1.有关本次招标的事项若存在变动或修改，敬请及时关注“扬州市政府采购网”、“江苏省政府采购网”发布的信息或更正公告。</w:t>
      </w:r>
    </w:p>
    <w:p w14:paraId="54E2D8F7">
      <w:pPr>
        <w:spacing w:line="360" w:lineRule="auto"/>
        <w:ind w:left="4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14:textOutline w14:w="4356" w14:cap="flat" w14:cmpd="sng" w14:algn="ctr">
            <w14:solidFill>
              <w14:srgbClr w14:val="000000"/>
            </w14:solidFill>
            <w14:prstDash w14:val="solid"/>
            <w14:miter w14:val="0"/>
          </w14:textOutline>
        </w:rPr>
        <w:t>八</w:t>
      </w:r>
      <w:r>
        <w:rPr>
          <w:rFonts w:hint="eastAsia" w:asciiTheme="minorEastAsia" w:hAnsiTheme="minorEastAsia" w:eastAsiaTheme="minorEastAsia" w:cstheme="minorEastAsia"/>
          <w:spacing w:val="-5"/>
          <w:sz w:val="21"/>
          <w:szCs w:val="21"/>
          <w14:textOutline w14:w="4356" w14:cap="flat" w14:cmpd="sng" w14:algn="ctr">
            <w14:solidFill>
              <w14:srgbClr w14:val="000000"/>
            </w14:solidFill>
            <w14:prstDash w14:val="solid"/>
            <w14:miter w14:val="0"/>
          </w14:textOutline>
        </w:rPr>
        <w:t>、凡对本次采购提出询问，</w:t>
      </w:r>
      <w:r>
        <w:rPr>
          <w:rFonts w:hint="eastAsia" w:asciiTheme="minorEastAsia" w:hAnsiTheme="minorEastAsia" w:eastAsiaTheme="minorEastAsia" w:cstheme="minorEastAsia"/>
          <w:spacing w:val="-5"/>
          <w:sz w:val="21"/>
          <w:szCs w:val="21"/>
        </w:rPr>
        <w:t xml:space="preserve"> </w:t>
      </w:r>
      <w:r>
        <w:rPr>
          <w:rFonts w:hint="eastAsia" w:asciiTheme="minorEastAsia" w:hAnsiTheme="minorEastAsia" w:eastAsiaTheme="minorEastAsia" w:cstheme="minorEastAsia"/>
          <w:spacing w:val="-5"/>
          <w:sz w:val="21"/>
          <w:szCs w:val="21"/>
          <w14:textOutline w14:w="4356" w14:cap="flat" w14:cmpd="sng" w14:algn="ctr">
            <w14:solidFill>
              <w14:srgbClr w14:val="000000"/>
            </w14:solidFill>
            <w14:prstDash w14:val="solid"/>
            <w14:miter w14:val="0"/>
          </w14:textOutline>
        </w:rPr>
        <w:t>请按以下方式联系</w:t>
      </w:r>
    </w:p>
    <w:p w14:paraId="390D1ECB">
      <w:pPr>
        <w:spacing w:line="360" w:lineRule="auto"/>
        <w:ind w:left="4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1.采购人信息</w:t>
      </w:r>
    </w:p>
    <w:p w14:paraId="4A883355">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名    称： </w:t>
      </w:r>
      <w:r>
        <w:rPr>
          <w:rFonts w:hint="eastAsia" w:asciiTheme="minorEastAsia" w:hAnsiTheme="minorEastAsia" w:eastAsiaTheme="minorEastAsia" w:cstheme="minorEastAsia"/>
          <w:sz w:val="21"/>
          <w:szCs w:val="21"/>
          <w:u w:val="single"/>
          <w:lang w:eastAsia="zh-CN"/>
        </w:rPr>
        <w:t>高邮市高邮镇人民政府</w:t>
      </w:r>
    </w:p>
    <w:p w14:paraId="7D9CC98C">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地    址： </w:t>
      </w:r>
      <w:r>
        <w:rPr>
          <w:rFonts w:hint="eastAsia" w:asciiTheme="minorEastAsia" w:hAnsiTheme="minorEastAsia" w:eastAsiaTheme="minorEastAsia" w:cstheme="minorEastAsia"/>
          <w:color w:val="auto"/>
          <w:sz w:val="21"/>
          <w:szCs w:val="21"/>
          <w:u w:val="single"/>
        </w:rPr>
        <w:t>高邮市</w:t>
      </w:r>
      <w:r>
        <w:rPr>
          <w:rFonts w:hint="eastAsia" w:asciiTheme="minorEastAsia" w:hAnsiTheme="minorEastAsia" w:eastAsiaTheme="minorEastAsia" w:cstheme="minorEastAsia"/>
          <w:color w:val="auto"/>
          <w:sz w:val="21"/>
          <w:szCs w:val="21"/>
          <w:u w:val="single"/>
          <w:lang w:eastAsia="zh-CN"/>
        </w:rPr>
        <w:t>高邮镇</w:t>
      </w:r>
      <w:r>
        <w:rPr>
          <w:rFonts w:hint="eastAsia" w:asciiTheme="minorEastAsia" w:hAnsiTheme="minorEastAsia" w:eastAsiaTheme="minorEastAsia" w:cstheme="minorEastAsia"/>
          <w:color w:val="auto"/>
          <w:sz w:val="21"/>
          <w:szCs w:val="21"/>
          <w:u w:val="single"/>
        </w:rPr>
        <w:t xml:space="preserve">  </w:t>
      </w:r>
    </w:p>
    <w:p w14:paraId="2DB8B8CD">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color w:val="auto"/>
          <w:sz w:val="21"/>
          <w:szCs w:val="21"/>
          <w:u w:val="single"/>
        </w:rPr>
      </w:pPr>
      <w:r>
        <w:rPr>
          <w:rFonts w:hint="eastAsia" w:asciiTheme="minorEastAsia" w:hAnsiTheme="minorEastAsia" w:eastAsiaTheme="minorEastAsia" w:cstheme="minorEastAsia"/>
          <w:color w:val="auto"/>
          <w:sz w:val="21"/>
          <w:szCs w:val="21"/>
        </w:rPr>
        <w:t>联</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系</w:t>
      </w:r>
      <w:r>
        <w:rPr>
          <w:rFonts w:hint="eastAsia" w:asciiTheme="minorEastAsia" w:hAnsiTheme="minorEastAsia" w:eastAsiaTheme="minorEastAsia" w:cstheme="minorEastAsia"/>
          <w:color w:val="auto"/>
          <w:sz w:val="21"/>
          <w:szCs w:val="21"/>
          <w:lang w:val="en-US" w:eastAsia="zh-CN"/>
        </w:rPr>
        <w:t xml:space="preserve"> 人</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b/>
          <w:bCs/>
          <w:color w:val="auto"/>
          <w:sz w:val="21"/>
          <w:szCs w:val="21"/>
          <w:u w:val="single"/>
          <w:lang w:val="en-US" w:eastAsia="zh-CN"/>
        </w:rPr>
        <w:t xml:space="preserve"> </w:t>
      </w:r>
      <w:r>
        <w:rPr>
          <w:rFonts w:hint="eastAsia" w:asciiTheme="minorEastAsia" w:hAnsiTheme="minorEastAsia" w:eastAsiaTheme="minorEastAsia" w:cstheme="minorEastAsia"/>
          <w:b w:val="0"/>
          <w:bCs w:val="0"/>
          <w:color w:val="auto"/>
          <w:sz w:val="21"/>
          <w:szCs w:val="21"/>
          <w:u w:val="single"/>
          <w:lang w:val="en-US" w:eastAsia="zh-CN"/>
        </w:rPr>
        <w:t xml:space="preserve">陈主任 </w:t>
      </w:r>
    </w:p>
    <w:p w14:paraId="3DA510F4">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u w:val="none"/>
          <w:lang w:val="en-US" w:eastAsia="zh-CN"/>
        </w:rPr>
        <w:t>联系方式：</w:t>
      </w:r>
      <w:r>
        <w:rPr>
          <w:rFonts w:hint="eastAsia" w:asciiTheme="minorEastAsia" w:hAnsiTheme="minorEastAsia" w:eastAsiaTheme="minorEastAsia" w:cstheme="minorEastAsia"/>
          <w:color w:val="auto"/>
          <w:sz w:val="21"/>
          <w:szCs w:val="21"/>
          <w:u w:val="single"/>
          <w:lang w:val="en-US" w:eastAsia="zh-CN"/>
        </w:rPr>
        <w:t xml:space="preserve"> 13511735595 </w:t>
      </w:r>
    </w:p>
    <w:p w14:paraId="0252834F">
      <w:pPr>
        <w:shd w:val="clear"/>
        <w:spacing w:line="360" w:lineRule="auto"/>
        <w:ind w:left="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2.采购代理机构信息</w:t>
      </w:r>
    </w:p>
    <w:p w14:paraId="4400609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rPr>
        <w:t>名    称：</w:t>
      </w:r>
      <w:r>
        <w:rPr>
          <w:rFonts w:hint="eastAsia" w:asciiTheme="minorEastAsia" w:hAnsiTheme="minorEastAsia" w:eastAsiaTheme="minorEastAsia" w:cstheme="minorEastAsia"/>
          <w:sz w:val="21"/>
          <w:szCs w:val="21"/>
          <w:u w:val="single"/>
          <w:lang w:eastAsia="zh-CN"/>
        </w:rPr>
        <w:t>江苏润鑫项目管理有限公司</w:t>
      </w:r>
    </w:p>
    <w:p w14:paraId="6213D18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地    址：</w:t>
      </w:r>
      <w:r>
        <w:rPr>
          <w:rFonts w:hint="eastAsia" w:asciiTheme="minorEastAsia" w:hAnsiTheme="minorEastAsia" w:eastAsiaTheme="minorEastAsia" w:cstheme="minorEastAsia"/>
          <w:sz w:val="21"/>
          <w:szCs w:val="21"/>
          <w:u w:val="single"/>
        </w:rPr>
        <w:t xml:space="preserve">高邮市中心大道20号润扬大厦6楼  </w:t>
      </w:r>
    </w:p>
    <w:p w14:paraId="2B2E3F0E">
      <w:pPr>
        <w:pStyle w:val="21"/>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联 系 人：</w:t>
      </w:r>
      <w:r>
        <w:rPr>
          <w:rFonts w:hint="eastAsia" w:asciiTheme="minorEastAsia" w:hAnsiTheme="minorEastAsia" w:eastAsiaTheme="minorEastAsia" w:cstheme="minorEastAsia"/>
          <w:sz w:val="21"/>
          <w:szCs w:val="21"/>
          <w:u w:val="single"/>
          <w:lang w:val="en-US" w:eastAsia="zh-CN"/>
        </w:rPr>
        <w:t>侯</w:t>
      </w:r>
      <w:r>
        <w:rPr>
          <w:rFonts w:hint="eastAsia" w:asciiTheme="minorEastAsia" w:hAnsiTheme="minorEastAsia" w:eastAsiaTheme="minorEastAsia" w:cstheme="minorEastAsia"/>
          <w:sz w:val="21"/>
          <w:szCs w:val="21"/>
          <w:u w:val="single"/>
        </w:rPr>
        <w:t xml:space="preserve">工  </w:t>
      </w:r>
    </w:p>
    <w:p w14:paraId="19EF0D8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u w:val="single"/>
        </w:rPr>
        <w:t xml:space="preserve"> 0514-84642776  </w:t>
      </w:r>
      <w:bookmarkStart w:id="5" w:name="_bookmark2"/>
      <w:bookmarkEnd w:id="5"/>
    </w:p>
    <w:p w14:paraId="1B8E86EA">
      <w:pPr>
        <w:pStyle w:val="1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九、</w:t>
      </w:r>
      <w:r>
        <w:rPr>
          <w:rFonts w:hint="eastAsia" w:asciiTheme="minorEastAsia" w:hAnsiTheme="minorEastAsia" w:eastAsiaTheme="minorEastAsia" w:cstheme="minorEastAsia"/>
          <w:b/>
          <w:sz w:val="21"/>
          <w:szCs w:val="21"/>
        </w:rPr>
        <w:t>为提升政府采购供应商的融资可得性，解决中小企业融资难问题，中国人民银行、市财政局、市公共资源交易中心推出了政府采购线上应收账款融资模式。各供应商如果有融资需求，可以凭借政府采购中标（成交）通知书或政府采购合同，通过中国人民银行征信中心“中征应收账款融资服务平台（https://www.crcrfsp.com）”向参与政府采购融资业务的金融机构申请线上融资，相关事宜可向市人民银行咨询，联系电话：0514-87936653。</w:t>
      </w:r>
    </w:p>
    <w:p w14:paraId="3719CF97">
      <w:pPr>
        <w:spacing w:line="360" w:lineRule="auto"/>
        <w:rPr>
          <w:rFonts w:hint="eastAsia" w:asciiTheme="minorEastAsia" w:hAnsiTheme="minorEastAsia" w:eastAsiaTheme="minorEastAsia" w:cstheme="minorEastAsia"/>
          <w:sz w:val="21"/>
          <w:szCs w:val="21"/>
        </w:rPr>
      </w:pPr>
      <w:bookmarkStart w:id="6" w:name="_Toc109304971"/>
      <w:r>
        <w:rPr>
          <w:rFonts w:hint="eastAsia" w:asciiTheme="minorEastAsia" w:hAnsiTheme="minorEastAsia" w:eastAsiaTheme="minorEastAsia" w:cstheme="minorEastAsia"/>
          <w:sz w:val="21"/>
          <w:szCs w:val="21"/>
        </w:rPr>
        <w:t>十、其他</w:t>
      </w:r>
      <w:bookmarkEnd w:id="6"/>
    </w:p>
    <w:p w14:paraId="56175A80">
      <w:pPr>
        <w:spacing w:line="360" w:lineRule="auto"/>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本次采购采用“政府采购管理交易系统（苏采云）”，招标、投标、评标和中标结果发布全程电子化，开标方式为不见面开标。供应商应当按照《政府采购管理交易系统（苏采云）供应商操作手册》参加投标活动。如供应商未按要求操作，由此所产生的风险由供应商自行承担。</w:t>
      </w:r>
    </w:p>
    <w:p w14:paraId="5B4F66F4">
      <w:pPr>
        <w:spacing w:line="360" w:lineRule="auto"/>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2.供应商如确定参加</w:t>
      </w:r>
      <w:r>
        <w:rPr>
          <w:rFonts w:hint="eastAsia" w:asciiTheme="minorEastAsia" w:hAnsiTheme="minorEastAsia" w:eastAsiaTheme="minorEastAsia" w:cstheme="minorEastAsia"/>
          <w:b/>
          <w:bCs/>
          <w:sz w:val="21"/>
          <w:szCs w:val="21"/>
          <w:lang w:val="en-US" w:eastAsia="zh-CN"/>
        </w:rPr>
        <w:t>磋商</w:t>
      </w:r>
      <w:r>
        <w:rPr>
          <w:rFonts w:hint="eastAsia" w:asciiTheme="minorEastAsia" w:hAnsiTheme="minorEastAsia" w:eastAsiaTheme="minorEastAsia" w:cstheme="minorEastAsia"/>
          <w:b/>
          <w:bCs/>
          <w:sz w:val="21"/>
          <w:szCs w:val="21"/>
        </w:rPr>
        <w:t>，可自行下载采购文件及有关资料，按照《操作手册》进行注册，领取CA和办理电子签章，并按《操作手册》要求制作、上传电子投标文件，技术支持联系方式：:13813140731。</w:t>
      </w:r>
    </w:p>
    <w:p w14:paraId="14321613">
      <w:pPr>
        <w:widowControl/>
        <w:spacing w:line="360" w:lineRule="auto"/>
        <w:ind w:firstLine="422" w:firstLineChars="200"/>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竞争性磋商、竞争性谈判、单一来源采购项目将与供应商就谈判（磋商）文件进行线上谈判（磋商），请供应商在开标前登录谷歌浏览器进入不见面大厅，并准备好耳麦和摄像设备。因供应商网络与电源不稳定、未按要求配置上述设备、上述设备发生故障等自身原因，导致谈判（磋商）失败，供应商自行承担其后果。</w:t>
      </w:r>
    </w:p>
    <w:p w14:paraId="002EA10B">
      <w:pPr>
        <w:widowControl/>
        <w:spacing w:line="360" w:lineRule="auto"/>
        <w:ind w:firstLine="422" w:firstLineChars="200"/>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4.潜在供应商对采购文件项目需求部分的询问、质疑请向采购人提出，由采购人负责答复。</w:t>
      </w:r>
    </w:p>
    <w:p w14:paraId="1BFDFCF1">
      <w:pPr>
        <w:adjustRightInd w:val="0"/>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5.</w:t>
      </w:r>
      <w:r>
        <w:rPr>
          <w:rFonts w:hint="eastAsia" w:asciiTheme="minorEastAsia" w:hAnsiTheme="minorEastAsia" w:eastAsiaTheme="minorEastAsia" w:cstheme="minorEastAsia"/>
          <w:sz w:val="21"/>
          <w:szCs w:val="21"/>
        </w:rPr>
        <w:t>本次采购不收取投标保证金。本项目</w:t>
      </w:r>
      <w:r>
        <w:rPr>
          <w:rFonts w:hint="eastAsia" w:asciiTheme="minorEastAsia" w:hAnsiTheme="minorEastAsia" w:eastAsiaTheme="minorEastAsia" w:cstheme="minorEastAsia"/>
          <w:sz w:val="21"/>
          <w:szCs w:val="21"/>
          <w:lang w:val="en-US" w:eastAsia="zh-CN"/>
        </w:rPr>
        <w:t>不</w:t>
      </w:r>
      <w:r>
        <w:rPr>
          <w:rFonts w:hint="eastAsia" w:asciiTheme="minorEastAsia" w:hAnsiTheme="minorEastAsia" w:eastAsiaTheme="minorEastAsia" w:cstheme="minorEastAsia"/>
          <w:sz w:val="21"/>
          <w:szCs w:val="21"/>
        </w:rPr>
        <w:t>收取履约保证金。</w:t>
      </w:r>
    </w:p>
    <w:p w14:paraId="1F01B7C8">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6.</w:t>
      </w:r>
      <w:r>
        <w:rPr>
          <w:rFonts w:hint="eastAsia" w:asciiTheme="minorEastAsia" w:hAnsiTheme="minorEastAsia" w:eastAsiaTheme="minorEastAsia" w:cstheme="minorEastAsia"/>
          <w:bCs/>
          <w:sz w:val="21"/>
          <w:szCs w:val="21"/>
        </w:rPr>
        <w:t>有关本次采购的事项若存在变动或修改，敬请及时关注“扬州市政府采购网”、“江苏省政府采购网”发布的信息。</w:t>
      </w:r>
    </w:p>
    <w:p w14:paraId="21EF7791">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7.落实好政府采购履约资金扶持政策。中标/成交供应商可凭政府采购合同办理融资贷款，详见江苏政府采购网“政采贷”专栏。</w:t>
      </w:r>
    </w:p>
    <w:p w14:paraId="64BD4A74">
      <w:pPr>
        <w:spacing w:line="360" w:lineRule="auto"/>
        <w:ind w:firstLine="420" w:firstLineChars="20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应当优先采购节能产品、环境标志产品。</w:t>
      </w:r>
    </w:p>
    <w:p w14:paraId="2AE2A316">
      <w:pPr>
        <w:spacing w:line="360" w:lineRule="auto"/>
        <w:ind w:firstLine="422" w:firstLineChars="200"/>
        <w:rPr>
          <w:rFonts w:hint="eastAsia" w:asciiTheme="minorEastAsia" w:hAnsiTheme="minorEastAsia" w:eastAsiaTheme="minorEastAsia" w:cstheme="minorEastAsia"/>
          <w:b/>
          <w:i/>
          <w:iCs/>
          <w:sz w:val="21"/>
          <w:szCs w:val="21"/>
          <w:u w:val="single"/>
        </w:rPr>
      </w:pPr>
      <w:r>
        <w:rPr>
          <w:rFonts w:hint="eastAsia" w:asciiTheme="minorEastAsia" w:hAnsiTheme="minorEastAsia" w:eastAsiaTheme="minorEastAsia" w:cstheme="minorEastAsia"/>
          <w:b/>
          <w:i/>
          <w:iCs/>
          <w:sz w:val="21"/>
          <w:szCs w:val="21"/>
          <w:u w:val="single"/>
        </w:rPr>
        <w:t>9.本项目采购文件中所有斜体下划线部分为实质性条款，如不满足，则为无效响应。</w:t>
      </w:r>
    </w:p>
    <w:p w14:paraId="5737F067">
      <w:pPr>
        <w:spacing w:before="272" w:line="230" w:lineRule="auto"/>
        <w:jc w:val="center"/>
        <w:outlineLvl w:val="0"/>
        <w:rPr>
          <w:rFonts w:ascii="宋体" w:hAnsi="宋体" w:eastAsia="宋体" w:cs="楷体"/>
          <w:spacing w:val="7"/>
          <w:sz w:val="31"/>
          <w:szCs w:val="31"/>
          <w14:textOutline w14:w="5791" w14:cap="flat" w14:cmpd="sng" w14:algn="ctr">
            <w14:solidFill>
              <w14:srgbClr w14:val="000000"/>
            </w14:solidFill>
            <w14:prstDash w14:val="solid"/>
            <w14:miter w14:val="0"/>
          </w14:textOutline>
        </w:rPr>
      </w:pPr>
    </w:p>
    <w:p w14:paraId="078F67BB">
      <w:pPr>
        <w:rPr>
          <w:rFonts w:ascii="宋体" w:hAnsi="宋体" w:eastAsia="宋体" w:cs="楷体"/>
          <w:spacing w:val="7"/>
          <w:sz w:val="31"/>
          <w:szCs w:val="31"/>
          <w14:textOutline w14:w="5791" w14:cap="flat" w14:cmpd="sng" w14:algn="ctr">
            <w14:solidFill>
              <w14:srgbClr w14:val="000000"/>
            </w14:solidFill>
            <w14:prstDash w14:val="solid"/>
            <w14:miter w14:val="0"/>
          </w14:textOutline>
        </w:rPr>
      </w:pPr>
      <w:r>
        <w:rPr>
          <w:rFonts w:ascii="宋体" w:hAnsi="宋体" w:eastAsia="宋体" w:cs="楷体"/>
          <w:spacing w:val="7"/>
          <w:sz w:val="31"/>
          <w:szCs w:val="31"/>
          <w14:textOutline w14:w="5791" w14:cap="flat" w14:cmpd="sng" w14:algn="ctr">
            <w14:solidFill>
              <w14:srgbClr w14:val="000000"/>
            </w14:solidFill>
            <w14:prstDash w14:val="solid"/>
            <w14:miter w14:val="0"/>
          </w14:textOutline>
        </w:rPr>
        <w:br w:type="page"/>
      </w:r>
    </w:p>
    <w:p w14:paraId="3930390B">
      <w:pPr>
        <w:spacing w:before="272" w:line="230" w:lineRule="auto"/>
        <w:jc w:val="center"/>
        <w:outlineLvl w:val="0"/>
        <w:rPr>
          <w:rFonts w:ascii="宋体" w:hAnsi="宋体" w:eastAsia="宋体" w:cs="楷体"/>
          <w:sz w:val="31"/>
          <w:szCs w:val="31"/>
        </w:rPr>
      </w:pPr>
      <w:r>
        <w:rPr>
          <w:rFonts w:ascii="宋体" w:hAnsi="宋体" w:eastAsia="宋体" w:cs="楷体"/>
          <w:spacing w:val="7"/>
          <w:sz w:val="31"/>
          <w:szCs w:val="31"/>
          <w14:textOutline w14:w="5791" w14:cap="flat" w14:cmpd="sng" w14:algn="ctr">
            <w14:solidFill>
              <w14:srgbClr w14:val="000000"/>
            </w14:solidFill>
            <w14:prstDash w14:val="solid"/>
            <w14:miter w14:val="0"/>
          </w14:textOutline>
        </w:rPr>
        <w:t>第二章</w:t>
      </w:r>
      <w:r>
        <w:rPr>
          <w:rFonts w:hint="eastAsia" w:ascii="宋体" w:hAnsi="宋体" w:eastAsia="宋体" w:cs="楷体"/>
          <w:spacing w:val="7"/>
          <w:sz w:val="31"/>
          <w:szCs w:val="31"/>
          <w14:textOutline w14:w="5791" w14:cap="flat" w14:cmpd="sng" w14:algn="ctr">
            <w14:solidFill>
              <w14:srgbClr w14:val="000000"/>
            </w14:solidFill>
            <w14:prstDash w14:val="solid"/>
            <w14:miter w14:val="0"/>
          </w14:textOutline>
        </w:rPr>
        <w:t xml:space="preserve">  磋商须知</w:t>
      </w:r>
    </w:p>
    <w:p w14:paraId="5BE5664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bookmarkStart w:id="7" w:name="_bookmark4"/>
      <w:bookmarkEnd w:id="7"/>
      <w:r>
        <w:rPr>
          <w:rFonts w:hint="eastAsia" w:asciiTheme="minorEastAsia" w:hAnsiTheme="minorEastAsia" w:eastAsiaTheme="minorEastAsia" w:cstheme="minorEastAsia"/>
          <w:snapToGrid/>
          <w:color w:val="auto"/>
          <w:kern w:val="2"/>
          <w:sz w:val="21"/>
          <w:szCs w:val="21"/>
        </w:rPr>
        <w:t>1、采购方式</w:t>
      </w:r>
    </w:p>
    <w:p w14:paraId="7FDBB4F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 本次采购采取竞争性磋商方式，本采购文件仅适用于</w:t>
      </w:r>
      <w:r>
        <w:rPr>
          <w:rFonts w:hint="eastAsia" w:asciiTheme="minorEastAsia" w:hAnsiTheme="minorEastAsia" w:eastAsiaTheme="minorEastAsia" w:cstheme="minorEastAsia"/>
          <w:snapToGrid/>
          <w:color w:val="auto"/>
          <w:kern w:val="2"/>
          <w:sz w:val="21"/>
          <w:szCs w:val="21"/>
          <w:lang w:val="en-US" w:eastAsia="zh-CN"/>
        </w:rPr>
        <w:t>该</w:t>
      </w:r>
      <w:r>
        <w:rPr>
          <w:rFonts w:hint="eastAsia" w:asciiTheme="minorEastAsia" w:hAnsiTheme="minorEastAsia" w:eastAsiaTheme="minorEastAsia" w:cstheme="minorEastAsia"/>
          <w:snapToGrid/>
          <w:color w:val="auto"/>
          <w:kern w:val="2"/>
          <w:sz w:val="21"/>
          <w:szCs w:val="21"/>
        </w:rPr>
        <w:t>项目。</w:t>
      </w:r>
    </w:p>
    <w:p w14:paraId="15333EB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2、供应商</w:t>
      </w:r>
    </w:p>
    <w:p w14:paraId="6ABE8F05">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2.1 参加竞争性磋商的供应商以下简称“供应商”，是指参加磋商并符合采购文件规定资格条件的法人、其他组织或者自然人。</w:t>
      </w:r>
    </w:p>
    <w:p w14:paraId="3D3488B6">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2.2合格的供应商</w:t>
      </w:r>
    </w:p>
    <w:p w14:paraId="63889A9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2.2.1 满足采购公告中供应商的资格条件要求的规定。</w:t>
      </w:r>
    </w:p>
    <w:p w14:paraId="6E323E7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2.2.2 满足本文件实质性条款的规定。</w:t>
      </w:r>
    </w:p>
    <w:p w14:paraId="452B104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3、适用法律</w:t>
      </w:r>
    </w:p>
    <w:p w14:paraId="002A4959">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3.1 本次采购及由此产生的合同受中华人民共和国有关的法律法规制约和保护。</w:t>
      </w:r>
    </w:p>
    <w:p w14:paraId="6250C486">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4、参加磋商费用</w:t>
      </w:r>
    </w:p>
    <w:p w14:paraId="2F2E6B8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4.1 供应商应自行承担所有与参加磋商有关的费用，无论磋商过程中的做法和结果如何，（代理公司）(以下简称代理机构)在任何情况下均无义务和责任承担这些费用。</w:t>
      </w:r>
    </w:p>
    <w:p w14:paraId="111E22B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bookmarkStart w:id="8" w:name="_Hlk115095815"/>
      <w:r>
        <w:rPr>
          <w:rFonts w:hint="eastAsia" w:asciiTheme="minorEastAsia" w:hAnsiTheme="minorEastAsia" w:eastAsiaTheme="minorEastAsia" w:cstheme="minorEastAsia"/>
          <w:snapToGrid/>
          <w:color w:val="auto"/>
          <w:kern w:val="2"/>
          <w:sz w:val="21"/>
          <w:szCs w:val="21"/>
        </w:rPr>
        <w:t>4.2本次采购由成交单位在领取成交通知书前按照国家计委印发的《招标代理服务收费管理暂行办法》(计价格【2002】1980号文)</w:t>
      </w:r>
      <w:r>
        <w:rPr>
          <w:rFonts w:hint="eastAsia" w:asciiTheme="minorEastAsia" w:hAnsiTheme="minorEastAsia" w:eastAsiaTheme="minorEastAsia" w:cstheme="minorEastAsia"/>
          <w:snapToGrid/>
          <w:color w:val="0000FF"/>
          <w:kern w:val="2"/>
          <w:sz w:val="21"/>
          <w:szCs w:val="21"/>
          <w:lang w:val="en-US" w:eastAsia="zh-CN"/>
        </w:rPr>
        <w:t>服务</w:t>
      </w:r>
      <w:r>
        <w:rPr>
          <w:rFonts w:hint="eastAsia" w:asciiTheme="minorEastAsia" w:hAnsiTheme="minorEastAsia" w:eastAsiaTheme="minorEastAsia" w:cstheme="minorEastAsia"/>
          <w:snapToGrid/>
          <w:color w:val="auto"/>
          <w:kern w:val="2"/>
          <w:sz w:val="21"/>
          <w:szCs w:val="21"/>
        </w:rPr>
        <w:t>类标准一次性支付给招标代理机构代理服务费。</w:t>
      </w:r>
    </w:p>
    <w:p w14:paraId="593B495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（1）代理服务费以人民币支付；</w:t>
      </w:r>
    </w:p>
    <w:p w14:paraId="7BA446C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（2）代理服务费一次性以电汇、转账等非现金形式支付；</w:t>
      </w:r>
    </w:p>
    <w:p w14:paraId="0736B43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（3）招标代理服务费不在报价中单列，包含在总价中，由成交单位支付给代理机构。</w:t>
      </w:r>
    </w:p>
    <w:p w14:paraId="40FA80B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4.3专家评审费按扬财购[2020]40号文《关于进一步规范扬州市政府采购专家评审费标准的通知》执行。</w:t>
      </w:r>
    </w:p>
    <w:bookmarkEnd w:id="8"/>
    <w:p w14:paraId="6E7AF39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5、采购文件的约束力</w:t>
      </w:r>
    </w:p>
    <w:p w14:paraId="41E448A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5.1 供应商一旦参加本项目采购活动，即被认为接受了本采购文件的规定和约束。</w:t>
      </w:r>
    </w:p>
    <w:p w14:paraId="6E9BF82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6、采购文件构成</w:t>
      </w:r>
    </w:p>
    <w:p w14:paraId="2025CF4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6.1 采购文件有以下部分组成：</w:t>
      </w:r>
    </w:p>
    <w:p w14:paraId="62F66BA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（1）采购公告</w:t>
      </w:r>
    </w:p>
    <w:p w14:paraId="31C9B1E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（2）磋商须知</w:t>
      </w:r>
      <w:r>
        <w:rPr>
          <w:rFonts w:hint="eastAsia" w:asciiTheme="minorEastAsia" w:hAnsiTheme="minorEastAsia" w:eastAsiaTheme="minorEastAsia" w:cstheme="minorEastAsia"/>
          <w:snapToGrid/>
          <w:color w:val="auto"/>
          <w:kern w:val="2"/>
          <w:sz w:val="21"/>
          <w:szCs w:val="21"/>
        </w:rPr>
        <w:tab/>
      </w:r>
    </w:p>
    <w:p w14:paraId="7D7A3B1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（3）合同条款及格式</w:t>
      </w:r>
    </w:p>
    <w:p w14:paraId="67F3BDF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（4）项目需求</w:t>
      </w:r>
    </w:p>
    <w:p w14:paraId="20D1D7C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（5）评审方法与评审标准</w:t>
      </w:r>
    </w:p>
    <w:p w14:paraId="378874B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（6）竞争性磋商响应文件格式</w:t>
      </w:r>
    </w:p>
    <w:p w14:paraId="3418D68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请仔细检查采购文件是否齐全，如有缺漏请立即与代理机构联系解决。</w:t>
      </w:r>
    </w:p>
    <w:p w14:paraId="110D326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6.2 采购的最小单位是包。采购服务数量及技术要求中未分包的，供应商对要求提供的服务不得部分响应；采购服务数量及技术要求中已经分包的，应当以包为单位响应。</w:t>
      </w:r>
    </w:p>
    <w:p w14:paraId="1280B68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6.3 采购文件如果要求供应商提交备选响应方案的，供应商可以提交备选方案；否则，备选方案将被拒绝。</w:t>
      </w:r>
    </w:p>
    <w:p w14:paraId="3231F50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6.4 供应商应认真阅读采购文件中所有的事项、格式、条款和规范等要求。按采购文件要求和规定编制响应文件，并保证所提供的全部资料的真实性，以使其响应文件对采购文件作出实质性响应，否则其风险由供应商自行承担。</w:t>
      </w:r>
    </w:p>
    <w:p w14:paraId="199813C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7</w:t>
      </w:r>
      <w:r>
        <w:rPr>
          <w:rFonts w:hint="eastAsia" w:asciiTheme="minorEastAsia" w:hAnsiTheme="minorEastAsia" w:eastAsiaTheme="minorEastAsia" w:cstheme="minorEastAsia"/>
          <w:b/>
          <w:bCs/>
          <w:snapToGrid/>
          <w:color w:val="auto"/>
          <w:kern w:val="2"/>
          <w:sz w:val="21"/>
          <w:szCs w:val="21"/>
        </w:rPr>
        <w:t>、</w:t>
      </w:r>
      <w:r>
        <w:rPr>
          <w:rFonts w:hint="eastAsia" w:asciiTheme="minorEastAsia" w:hAnsiTheme="minorEastAsia" w:eastAsiaTheme="minorEastAsia" w:cstheme="minorEastAsia"/>
          <w:snapToGrid/>
          <w:color w:val="auto"/>
          <w:kern w:val="2"/>
          <w:sz w:val="21"/>
          <w:szCs w:val="21"/>
        </w:rPr>
        <w:t>采购文件的澄清</w:t>
      </w:r>
    </w:p>
    <w:p w14:paraId="167FBB1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7.1 任何要求对采购文件进行澄清的供应商，应在提交首次响应文件截止时间至少5日前按采购公告中的通讯地址，以书面形式通知代理机构。</w:t>
      </w:r>
    </w:p>
    <w:p w14:paraId="6A7B595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8</w:t>
      </w:r>
      <w:r>
        <w:rPr>
          <w:rFonts w:hint="eastAsia" w:asciiTheme="minorEastAsia" w:hAnsiTheme="minorEastAsia" w:eastAsiaTheme="minorEastAsia" w:cstheme="minorEastAsia"/>
          <w:b/>
          <w:bCs/>
          <w:snapToGrid/>
          <w:color w:val="auto"/>
          <w:kern w:val="2"/>
          <w:sz w:val="21"/>
          <w:szCs w:val="21"/>
        </w:rPr>
        <w:t>、</w:t>
      </w:r>
      <w:r>
        <w:rPr>
          <w:rFonts w:hint="eastAsia" w:asciiTheme="minorEastAsia" w:hAnsiTheme="minorEastAsia" w:eastAsiaTheme="minorEastAsia" w:cstheme="minorEastAsia"/>
          <w:snapToGrid/>
          <w:color w:val="auto"/>
          <w:kern w:val="2"/>
          <w:sz w:val="21"/>
          <w:szCs w:val="21"/>
        </w:rPr>
        <w:t>采购文件的修改</w:t>
      </w:r>
    </w:p>
    <w:p w14:paraId="1C6A0DB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8.1 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通知所有获取磋商文件的供应商；不足5日的，采购人、采购代理机构应当顺延提交首次响应文件截止时间。</w:t>
      </w:r>
    </w:p>
    <w:p w14:paraId="5A6C965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8.2采购文件的修改将在“扬州市政府采购网”、“江苏省政府采购网”公布，补充文件将作为采购文件的组成部分，并对供应商具有约束力。</w:t>
      </w:r>
    </w:p>
    <w:p w14:paraId="6F5E093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9、采购文件的语言、度量衡单位、货币</w:t>
      </w:r>
    </w:p>
    <w:p w14:paraId="414C5DE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9.1供应商提交的响应文件以及供应商与代理机构就有关磋商的所有来往通知、函件和文件均应使用简体中文。</w:t>
      </w:r>
    </w:p>
    <w:p w14:paraId="51D6CC7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9.2 除技术性能另有规定外，采购文件所使用的度量衡单位，均须采用国家法定计量单位。</w:t>
      </w:r>
    </w:p>
    <w:p w14:paraId="30C43A5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9.3采购文件中的服务单价和总价无特殊规定的采用人民币报价，以元为单位标注。采购文件中另有规定的按规定执行。</w:t>
      </w:r>
    </w:p>
    <w:p w14:paraId="4F9D1CC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10、响应文件构成</w:t>
      </w:r>
    </w:p>
    <w:p w14:paraId="3427738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10.1磋商文件由以下部分组成</w:t>
      </w:r>
    </w:p>
    <w:p w14:paraId="1B96F5B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（1）资格审查响应对照表</w:t>
      </w:r>
    </w:p>
    <w:p w14:paraId="03C0546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（2）符合性审查响应对照表</w:t>
      </w:r>
    </w:p>
    <w:p w14:paraId="415884B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（3）非实质性响应对照表</w:t>
      </w:r>
    </w:p>
    <w:p w14:paraId="62B2A4A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 xml:space="preserve">（4）磋商响应报价表 </w:t>
      </w:r>
    </w:p>
    <w:p w14:paraId="6805546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（5）分项报价表</w:t>
      </w:r>
    </w:p>
    <w:p w14:paraId="03D6196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 xml:space="preserve">（6）技术参数响应及偏离表 </w:t>
      </w:r>
    </w:p>
    <w:p w14:paraId="31D2FF6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 xml:space="preserve">（7）商务条款响应及偏离表 </w:t>
      </w:r>
    </w:p>
    <w:p w14:paraId="18D1BFE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（8）其他（供应商认为有必要提供的声明和文件，如有自拟并自行添加。设计方案）</w:t>
      </w:r>
    </w:p>
    <w:p w14:paraId="30C4F123">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10.2 供应商应当根据采购文件要求编制响应文件，响应文件应对采购文件提出的要求和条件作出响应，并在相应的响应文件中逐条标明满足与否。</w:t>
      </w:r>
    </w:p>
    <w:p w14:paraId="01E4C1B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11、证明供应商资格及符合采购文件规定的文件</w:t>
      </w:r>
    </w:p>
    <w:p w14:paraId="64CAFC7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11.1供应商应按要求提交资格证明文件及符合采购文件规定的文件。</w:t>
      </w:r>
    </w:p>
    <w:p w14:paraId="2C4BBB9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11.2供应商应提交证明其有资格参加磋商和成交后有能力独立履行合同的文件。</w:t>
      </w:r>
    </w:p>
    <w:p w14:paraId="598C2B0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11.3供应商除必须具有履行合同所需提供的产品或服务的能力外，还必须具备相应的财务、技术方面的能力。</w:t>
      </w:r>
    </w:p>
    <w:p w14:paraId="515545D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11.4供应商应提交根据合同要求提供的证明服务质量合格以及符合采购文件规定的证明文件。</w:t>
      </w:r>
    </w:p>
    <w:p w14:paraId="6BA11DA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11.5证明供应商所提供服务与采购文件的要求相一致的文件可以是手册、图纸、文字资料和数据。</w:t>
      </w:r>
    </w:p>
    <w:p w14:paraId="6DA1122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12、磋商响应报价表</w:t>
      </w:r>
    </w:p>
    <w:p w14:paraId="05A1A32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12.1 供应商应按照采购文件规定格式填报磋商响应报价表，每项服务只允许有一个报价，任何有选择的报价将不予接受。</w:t>
      </w:r>
    </w:p>
    <w:p w14:paraId="7A8BAE5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12.2 标的物</w:t>
      </w:r>
    </w:p>
    <w:p w14:paraId="7C2249A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采购人需求的服务供应、安装，调试及有关技术服务等。</w:t>
      </w:r>
    </w:p>
    <w:p w14:paraId="30ADBC1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12.3其它费用处理</w:t>
      </w:r>
    </w:p>
    <w:p w14:paraId="5A5BBAD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采购文件未列明，而供应商认为必需的费用也需列入报价。</w:t>
      </w:r>
    </w:p>
    <w:p w14:paraId="3A4BB460">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13、技术参数响应及偏离表、商务条款响应及偏离表及磋商服务说明</w:t>
      </w:r>
    </w:p>
    <w:p w14:paraId="0EDC70E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13.1 对采购文件中的技术与商务条款要求逐项作出响应或偏离，并说明原因；</w:t>
      </w:r>
    </w:p>
    <w:p w14:paraId="7A9476B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13.2 提供参加本项目类似案例简介；</w:t>
      </w:r>
    </w:p>
    <w:p w14:paraId="6D3395A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13.3 详细阐述所投服务的主要组成部分、功能设计、实现思路及关键技术；</w:t>
      </w:r>
    </w:p>
    <w:p w14:paraId="0186569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13.4 供应商认为需要的其他技术文件或说明。</w:t>
      </w:r>
    </w:p>
    <w:p w14:paraId="4CDBADDE">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14、服务承诺及售后服务机构、人员的情况介绍</w:t>
      </w:r>
    </w:p>
    <w:p w14:paraId="7D75B78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14.1供应商的服务承诺应按不低于采购文件中商务要求的标准。</w:t>
      </w:r>
    </w:p>
    <w:p w14:paraId="297A750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14.2提供供应商有关售后服务的管理制度、售后服务机构的分布情况、售后服务人员的数量、素质、技术水平及售后服务的反应能力。</w:t>
      </w:r>
    </w:p>
    <w:p w14:paraId="27C82DE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15、磋商响应函</w:t>
      </w:r>
    </w:p>
    <w:p w14:paraId="207F0F7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15.1 供应商应按照扬州市政府采购交易管理系统提供的格式完整、正确填写磋商响应函。</w:t>
      </w:r>
    </w:p>
    <w:p w14:paraId="576B361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16、磋商响应有效期</w:t>
      </w:r>
    </w:p>
    <w:p w14:paraId="1E78C23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16.1 磋商响应有效期为代理机构规定的响应文件接收截止时间后</w:t>
      </w:r>
      <w:r>
        <w:rPr>
          <w:rFonts w:hint="eastAsia" w:asciiTheme="minorEastAsia" w:hAnsiTheme="minorEastAsia" w:eastAsiaTheme="minorEastAsia" w:cstheme="minorEastAsia"/>
          <w:b/>
          <w:bCs/>
          <w:snapToGrid/>
          <w:color w:val="auto"/>
          <w:kern w:val="2"/>
          <w:sz w:val="21"/>
          <w:szCs w:val="21"/>
          <w:u w:val="single"/>
        </w:rPr>
        <w:t>六十（60）天</w:t>
      </w:r>
      <w:r>
        <w:rPr>
          <w:rFonts w:hint="eastAsia" w:asciiTheme="minorEastAsia" w:hAnsiTheme="minorEastAsia" w:eastAsiaTheme="minorEastAsia" w:cstheme="minorEastAsia"/>
          <w:snapToGrid/>
          <w:color w:val="auto"/>
          <w:kern w:val="2"/>
          <w:sz w:val="21"/>
          <w:szCs w:val="21"/>
        </w:rPr>
        <w:t>。磋商响应有效期比规定短的将被视为非实质性响应性而予以拒绝。</w:t>
      </w:r>
    </w:p>
    <w:p w14:paraId="7C4B377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16.2 在特殊情况下，代理机构于原磋商响应有效期满之前，可向供应商提出延长磋商响应有效期的要求。这种要求与答复均应采用书面形式。供应商可以拒绝代理机构的这一要求而放弃磋商响应；同意延长磋商响应有效期的供应商既不能要求也不允许修改其响应文件。本采购文件受磋商响应有效期约束的所有权利与义务均延长至新的有效期。</w:t>
      </w:r>
    </w:p>
    <w:p w14:paraId="7919B5A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bookmarkStart w:id="9" w:name="_Toc20823297"/>
      <w:bookmarkStart w:id="10" w:name="_Toc16938541"/>
      <w:r>
        <w:rPr>
          <w:rFonts w:hint="eastAsia" w:asciiTheme="minorEastAsia" w:hAnsiTheme="minorEastAsia" w:eastAsiaTheme="minorEastAsia" w:cstheme="minorEastAsia"/>
          <w:snapToGrid/>
          <w:color w:val="auto"/>
          <w:kern w:val="2"/>
          <w:sz w:val="21"/>
          <w:szCs w:val="21"/>
        </w:rPr>
        <w:t>17、响应文件</w:t>
      </w:r>
      <w:bookmarkEnd w:id="9"/>
      <w:bookmarkEnd w:id="10"/>
      <w:r>
        <w:rPr>
          <w:rFonts w:hint="eastAsia" w:asciiTheme="minorEastAsia" w:hAnsiTheme="minorEastAsia" w:eastAsiaTheme="minorEastAsia" w:cstheme="minorEastAsia"/>
          <w:snapToGrid/>
          <w:color w:val="auto"/>
          <w:kern w:val="2"/>
          <w:sz w:val="21"/>
          <w:szCs w:val="21"/>
        </w:rPr>
        <w:t>的递交</w:t>
      </w:r>
    </w:p>
    <w:p w14:paraId="1257DE9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17.1 电子响应文件的递交供应商应当按照《操作手册》规定，在磋商响应截止时间前制作并上传电子响应文件。</w:t>
      </w:r>
      <w:bookmarkStart w:id="11" w:name="_Toc20823298"/>
      <w:bookmarkStart w:id="12" w:name="_Toc16938542"/>
    </w:p>
    <w:p w14:paraId="059FE1AF">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b/>
          <w:snapToGrid/>
          <w:color w:val="auto"/>
          <w:kern w:val="2"/>
          <w:sz w:val="21"/>
          <w:szCs w:val="21"/>
        </w:rPr>
      </w:pPr>
      <w:r>
        <w:rPr>
          <w:rFonts w:hint="eastAsia" w:asciiTheme="minorEastAsia" w:hAnsiTheme="minorEastAsia" w:eastAsiaTheme="minorEastAsia" w:cstheme="minorEastAsia"/>
          <w:b/>
          <w:snapToGrid/>
          <w:color w:val="auto"/>
          <w:kern w:val="2"/>
          <w:sz w:val="21"/>
          <w:szCs w:val="21"/>
        </w:rPr>
        <w:t>17.2</w:t>
      </w:r>
      <w:r>
        <w:rPr>
          <w:rFonts w:hint="eastAsia" w:asciiTheme="minorEastAsia" w:hAnsiTheme="minorEastAsia" w:eastAsiaTheme="minorEastAsia" w:cstheme="minorEastAsia"/>
          <w:b/>
          <w:bCs/>
          <w:snapToGrid/>
          <w:color w:val="auto"/>
          <w:kern w:val="2"/>
          <w:sz w:val="21"/>
          <w:szCs w:val="21"/>
        </w:rPr>
        <w:t>政府采购管理交易系统（苏采云）</w:t>
      </w:r>
      <w:r>
        <w:rPr>
          <w:rFonts w:hint="eastAsia" w:asciiTheme="minorEastAsia" w:hAnsiTheme="minorEastAsia" w:eastAsiaTheme="minorEastAsia" w:cstheme="minorEastAsia"/>
          <w:b/>
          <w:snapToGrid/>
          <w:color w:val="auto"/>
          <w:kern w:val="2"/>
          <w:sz w:val="21"/>
          <w:szCs w:val="21"/>
        </w:rPr>
        <w:t>相关要求是本采购文件的组成部分。</w:t>
      </w:r>
    </w:p>
    <w:p w14:paraId="6E3BC2A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b/>
          <w:snapToGrid/>
          <w:color w:val="auto"/>
          <w:kern w:val="2"/>
          <w:sz w:val="21"/>
          <w:szCs w:val="21"/>
        </w:rPr>
      </w:pPr>
      <w:r>
        <w:rPr>
          <w:rFonts w:hint="eastAsia" w:asciiTheme="minorEastAsia" w:hAnsiTheme="minorEastAsia" w:eastAsiaTheme="minorEastAsia" w:cstheme="minorEastAsia"/>
          <w:b/>
          <w:snapToGrid/>
          <w:color w:val="auto"/>
          <w:kern w:val="2"/>
          <w:sz w:val="21"/>
          <w:szCs w:val="21"/>
        </w:rPr>
        <w:t>17.3供应商应对 CA 证书妥善保管，如被他人盗用投标，因此带来的结果均由供应商自行承担。</w:t>
      </w:r>
    </w:p>
    <w:p w14:paraId="5EE91B3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b/>
          <w:snapToGrid/>
          <w:color w:val="auto"/>
          <w:kern w:val="2"/>
          <w:sz w:val="21"/>
          <w:szCs w:val="21"/>
        </w:rPr>
      </w:pPr>
      <w:r>
        <w:rPr>
          <w:rFonts w:hint="eastAsia" w:asciiTheme="minorEastAsia" w:hAnsiTheme="minorEastAsia" w:eastAsiaTheme="minorEastAsia" w:cstheme="minorEastAsia"/>
          <w:b/>
          <w:snapToGrid/>
          <w:color w:val="auto"/>
          <w:kern w:val="2"/>
          <w:sz w:val="21"/>
          <w:szCs w:val="21"/>
        </w:rPr>
        <w:t>17.4供应商应当对采购文件提出的要求和条件作出实质性响应，并在电子投标系统逐条应答。</w:t>
      </w:r>
    </w:p>
    <w:p w14:paraId="6826438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b/>
          <w:snapToGrid/>
          <w:color w:val="auto"/>
          <w:kern w:val="2"/>
          <w:sz w:val="21"/>
          <w:szCs w:val="21"/>
        </w:rPr>
      </w:pPr>
      <w:r>
        <w:rPr>
          <w:rFonts w:hint="eastAsia" w:asciiTheme="minorEastAsia" w:hAnsiTheme="minorEastAsia" w:eastAsiaTheme="minorEastAsia" w:cstheme="minorEastAsia"/>
          <w:b/>
          <w:snapToGrid/>
          <w:color w:val="auto"/>
          <w:kern w:val="2"/>
          <w:sz w:val="21"/>
          <w:szCs w:val="21"/>
        </w:rPr>
        <w:t>17.5</w:t>
      </w:r>
      <w:r>
        <w:rPr>
          <w:rFonts w:hint="eastAsia" w:asciiTheme="minorEastAsia" w:hAnsiTheme="minorEastAsia" w:eastAsiaTheme="minorEastAsia" w:cstheme="minorEastAsia"/>
          <w:b/>
          <w:bCs/>
          <w:snapToGrid/>
          <w:color w:val="auto"/>
          <w:kern w:val="2"/>
          <w:sz w:val="21"/>
          <w:szCs w:val="21"/>
        </w:rPr>
        <w:t>供应商</w:t>
      </w:r>
      <w:r>
        <w:rPr>
          <w:rFonts w:hint="eastAsia" w:asciiTheme="minorEastAsia" w:hAnsiTheme="minorEastAsia" w:eastAsiaTheme="minorEastAsia" w:cstheme="minorEastAsia"/>
          <w:b/>
          <w:snapToGrid/>
          <w:color w:val="auto"/>
          <w:kern w:val="2"/>
          <w:sz w:val="21"/>
          <w:szCs w:val="21"/>
        </w:rPr>
        <w:t>应对要求提供的资格证明文件（如资质证书、资格证书）、技术资料（如白皮书、彩页、手册、检测报告等）扫描上传至投标系统。</w:t>
      </w:r>
    </w:p>
    <w:p w14:paraId="3BF6FE3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b/>
          <w:snapToGrid/>
          <w:color w:val="auto"/>
          <w:kern w:val="2"/>
          <w:sz w:val="21"/>
          <w:szCs w:val="21"/>
        </w:rPr>
        <w:t>17.6各</w:t>
      </w:r>
      <w:r>
        <w:rPr>
          <w:rFonts w:hint="eastAsia" w:asciiTheme="minorEastAsia" w:hAnsiTheme="minorEastAsia" w:eastAsiaTheme="minorEastAsia" w:cstheme="minorEastAsia"/>
          <w:b/>
          <w:bCs/>
          <w:snapToGrid/>
          <w:color w:val="auto"/>
          <w:kern w:val="2"/>
          <w:sz w:val="21"/>
          <w:szCs w:val="21"/>
        </w:rPr>
        <w:t>供应商</w:t>
      </w:r>
      <w:r>
        <w:rPr>
          <w:rFonts w:hint="eastAsia" w:asciiTheme="minorEastAsia" w:hAnsiTheme="minorEastAsia" w:eastAsiaTheme="minorEastAsia" w:cstheme="minorEastAsia"/>
          <w:b/>
          <w:snapToGrid/>
          <w:color w:val="auto"/>
          <w:kern w:val="2"/>
          <w:sz w:val="21"/>
          <w:szCs w:val="21"/>
        </w:rPr>
        <w:t>应在规定时间内凭CA证书进行网上解密。</w:t>
      </w:r>
    </w:p>
    <w:p w14:paraId="73868B4C">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
          <w:bCs/>
          <w:snapToGrid/>
          <w:color w:val="auto"/>
          <w:sz w:val="21"/>
          <w:szCs w:val="21"/>
        </w:rPr>
        <w:t>18、磋商响应截止日期</w:t>
      </w:r>
      <w:bookmarkEnd w:id="11"/>
      <w:bookmarkEnd w:id="12"/>
    </w:p>
    <w:p w14:paraId="2A35E69D">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i/>
          <w:snapToGrid/>
          <w:color w:val="auto"/>
          <w:kern w:val="2"/>
          <w:sz w:val="21"/>
          <w:szCs w:val="21"/>
          <w:u w:val="single"/>
        </w:rPr>
      </w:pPr>
      <w:r>
        <w:rPr>
          <w:rFonts w:hint="eastAsia" w:asciiTheme="minorEastAsia" w:hAnsiTheme="minorEastAsia" w:eastAsiaTheme="minorEastAsia" w:cstheme="minorEastAsia"/>
          <w:b/>
          <w:i/>
          <w:snapToGrid/>
          <w:color w:val="auto"/>
          <w:kern w:val="2"/>
          <w:sz w:val="21"/>
          <w:szCs w:val="21"/>
          <w:u w:val="single"/>
        </w:rPr>
        <w:t>18.1</w:t>
      </w:r>
      <w:r>
        <w:rPr>
          <w:rFonts w:hint="eastAsia" w:asciiTheme="minorEastAsia" w:hAnsiTheme="minorEastAsia" w:eastAsiaTheme="minorEastAsia" w:cstheme="minorEastAsia"/>
          <w:b/>
          <w:bCs/>
          <w:i/>
          <w:snapToGrid/>
          <w:color w:val="auto"/>
          <w:kern w:val="2"/>
          <w:sz w:val="21"/>
          <w:szCs w:val="21"/>
          <w:u w:val="single"/>
        </w:rPr>
        <w:t xml:space="preserve"> 供应商上传电子响应文件的时间不得迟于采购公告中规定的磋商响应截止时间。</w:t>
      </w:r>
    </w:p>
    <w:p w14:paraId="40F0167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供应商应充分考虑到网络环境、网络带宽等风险因素，如因供应商自身原因造成的电子响应文件上传不成功由供应商自行承担全部责任。</w:t>
      </w:r>
    </w:p>
    <w:p w14:paraId="72F591B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18.2 代理机构可以按照规定，通过修改采购文件延长磋商截止日期，在此情况下，供应商的所有权利和义务以及供应商受制的截止日期均应以延长后新的截止日期为准。</w:t>
      </w:r>
    </w:p>
    <w:p w14:paraId="1B81503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bookmarkStart w:id="13" w:name="_Toc20823299"/>
      <w:bookmarkStart w:id="14" w:name="_Toc16938543"/>
      <w:r>
        <w:rPr>
          <w:rFonts w:hint="eastAsia" w:asciiTheme="minorEastAsia" w:hAnsiTheme="minorEastAsia" w:eastAsiaTheme="minorEastAsia" w:cstheme="minorEastAsia"/>
          <w:snapToGrid/>
          <w:color w:val="auto"/>
          <w:kern w:val="2"/>
          <w:sz w:val="21"/>
          <w:szCs w:val="21"/>
        </w:rPr>
        <w:t>19、响应文件</w:t>
      </w:r>
      <w:bookmarkEnd w:id="13"/>
      <w:bookmarkEnd w:id="14"/>
      <w:r>
        <w:rPr>
          <w:rFonts w:hint="eastAsia" w:asciiTheme="minorEastAsia" w:hAnsiTheme="minorEastAsia" w:eastAsiaTheme="minorEastAsia" w:cstheme="minorEastAsia"/>
          <w:snapToGrid/>
          <w:color w:val="auto"/>
          <w:kern w:val="2"/>
          <w:sz w:val="21"/>
          <w:szCs w:val="21"/>
        </w:rPr>
        <w:t>的拒收</w:t>
      </w:r>
    </w:p>
    <w:p w14:paraId="569BA55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19.1代理机构拒绝接收在其规定的磋商截止时间后上传的任何响应文件。</w:t>
      </w:r>
    </w:p>
    <w:p w14:paraId="37F5625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bookmarkStart w:id="15" w:name="_Toc20823300"/>
      <w:bookmarkStart w:id="16" w:name="_Toc16938544"/>
      <w:r>
        <w:rPr>
          <w:rFonts w:hint="eastAsia" w:asciiTheme="minorEastAsia" w:hAnsiTheme="minorEastAsia" w:eastAsiaTheme="minorEastAsia" w:cstheme="minorEastAsia"/>
          <w:snapToGrid/>
          <w:color w:val="auto"/>
          <w:kern w:val="2"/>
          <w:sz w:val="21"/>
          <w:szCs w:val="21"/>
        </w:rPr>
        <w:t>20、响应文件的撤回和修改</w:t>
      </w:r>
      <w:bookmarkEnd w:id="15"/>
      <w:bookmarkEnd w:id="16"/>
    </w:p>
    <w:p w14:paraId="6CCFE46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20.1 响应文件的撤回</w:t>
      </w:r>
    </w:p>
    <w:p w14:paraId="5CB95AC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20.1.1 电子响应文件的撤回</w:t>
      </w:r>
    </w:p>
    <w:p w14:paraId="5060616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供应商可在磋商截止时间前，撤回其电子响应文件，具体操作方法见《操作手册》。</w:t>
      </w:r>
    </w:p>
    <w:p w14:paraId="163FF76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20.1.2 供应商撤回电子响应文件，则认为其不再参与本项目磋商</w:t>
      </w:r>
      <w:r>
        <w:rPr>
          <w:rFonts w:hint="eastAsia" w:asciiTheme="minorEastAsia" w:hAnsiTheme="minorEastAsia" w:eastAsiaTheme="minorEastAsia" w:cstheme="minorEastAsia"/>
          <w:snapToGrid/>
          <w:color w:val="auto"/>
          <w:kern w:val="2"/>
          <w:sz w:val="21"/>
          <w:szCs w:val="21"/>
          <w:lang w:eastAsia="zh-CN"/>
        </w:rPr>
        <w:t>（</w:t>
      </w:r>
      <w:r>
        <w:rPr>
          <w:rFonts w:hint="eastAsia" w:asciiTheme="minorEastAsia" w:hAnsiTheme="minorEastAsia" w:eastAsiaTheme="minorEastAsia" w:cstheme="minorEastAsia"/>
          <w:snapToGrid/>
          <w:color w:val="auto"/>
          <w:kern w:val="2"/>
          <w:sz w:val="21"/>
          <w:szCs w:val="21"/>
        </w:rPr>
        <w:t>谈判</w:t>
      </w:r>
      <w:r>
        <w:rPr>
          <w:rFonts w:hint="eastAsia" w:asciiTheme="minorEastAsia" w:hAnsiTheme="minorEastAsia" w:eastAsiaTheme="minorEastAsia" w:cstheme="minorEastAsia"/>
          <w:snapToGrid/>
          <w:color w:val="auto"/>
          <w:kern w:val="2"/>
          <w:sz w:val="21"/>
          <w:szCs w:val="21"/>
          <w:lang w:eastAsia="zh-CN"/>
        </w:rPr>
        <w:t>）</w:t>
      </w:r>
      <w:r>
        <w:rPr>
          <w:rFonts w:hint="eastAsia" w:asciiTheme="minorEastAsia" w:hAnsiTheme="minorEastAsia" w:eastAsiaTheme="minorEastAsia" w:cstheme="minorEastAsia"/>
          <w:snapToGrid/>
          <w:color w:val="auto"/>
          <w:kern w:val="2"/>
          <w:sz w:val="21"/>
          <w:szCs w:val="21"/>
        </w:rPr>
        <w:t>。</w:t>
      </w:r>
    </w:p>
    <w:p w14:paraId="770DFE2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20.2 响应文件的修改</w:t>
      </w:r>
    </w:p>
    <w:p w14:paraId="6355A22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供应商可在磋商截止时间前，对其电子响应文件进行修改，具体操作方法见《操作手册》。</w:t>
      </w:r>
    </w:p>
    <w:p w14:paraId="1FB6BD1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20.3 在磋商截止时间之后，供应商不得对其电子响应文件作任何修改。</w:t>
      </w:r>
    </w:p>
    <w:p w14:paraId="1EF9BBB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20.4 在磋商截止时间至采购文件中规定的磋商有效期满之间的这段时间内，供应商不得撤回其响应文件。</w:t>
      </w:r>
    </w:p>
    <w:p w14:paraId="2E9C4AA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21、磋商</w:t>
      </w:r>
    </w:p>
    <w:p w14:paraId="4957CC5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21.1 代理机构将在采购公告中规定的时间和地点组织磋商开始仪式。供应商应当按照《操作手册》规定，参加磋商活动。</w:t>
      </w:r>
    </w:p>
    <w:p w14:paraId="7C46B32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21.2供应商在磋商过程中涉及到的响应文件解密等工作，应按照《操作手册》规定执行。</w:t>
      </w:r>
    </w:p>
    <w:p w14:paraId="57F1390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22、磋商小组</w:t>
      </w:r>
    </w:p>
    <w:p w14:paraId="18291E3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22.1</w:t>
      </w:r>
      <w:r>
        <w:rPr>
          <w:rFonts w:hint="eastAsia" w:asciiTheme="minorEastAsia" w:hAnsiTheme="minorEastAsia" w:eastAsiaTheme="minorEastAsia" w:cstheme="minorEastAsia"/>
          <w:b/>
          <w:bCs/>
          <w:snapToGrid/>
          <w:color w:val="auto"/>
          <w:kern w:val="2"/>
          <w:sz w:val="21"/>
          <w:szCs w:val="21"/>
        </w:rPr>
        <w:t xml:space="preserve"> </w:t>
      </w:r>
      <w:r>
        <w:rPr>
          <w:rFonts w:hint="eastAsia" w:asciiTheme="minorEastAsia" w:hAnsiTheme="minorEastAsia" w:eastAsiaTheme="minorEastAsia" w:cstheme="minorEastAsia"/>
          <w:snapToGrid/>
          <w:color w:val="auto"/>
          <w:kern w:val="2"/>
          <w:sz w:val="21"/>
          <w:szCs w:val="21"/>
        </w:rPr>
        <w:t>磋商开始后，代理机构将立即组织磋商小组进行评审。</w:t>
      </w:r>
    </w:p>
    <w:p w14:paraId="3146917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22.2磋商小组由采购人代表和有关技术、经济等方面的专家组成，且人员构成符合政府采购有关规定。</w:t>
      </w:r>
    </w:p>
    <w:p w14:paraId="05D9D9D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22.3磋商小组独立工作，负责评审有效响应文件并确定成交候选供应商。</w:t>
      </w:r>
    </w:p>
    <w:p w14:paraId="45621A8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23、评审过程的保密与公正</w:t>
      </w:r>
    </w:p>
    <w:p w14:paraId="5081969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23.1评审专家应当遵守评审工作纪律，不得泄露评审情况和评审中获悉的商业秘密。</w:t>
      </w:r>
    </w:p>
    <w:p w14:paraId="42C8932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23.2在评审过程中，供应商不得以任何行为影响评审过程，否则其响应文件将被作为无效响应文件。</w:t>
      </w:r>
    </w:p>
    <w:p w14:paraId="68FC7184">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23.3 在评审期间，代理机构将设专门工作人员与供应商联系。</w:t>
      </w:r>
    </w:p>
    <w:p w14:paraId="29889EB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23.4 代理机构和磋商小组不向未成交的供应商解释未成交原因，也不公布评审过程中的相关细节。</w:t>
      </w:r>
    </w:p>
    <w:p w14:paraId="09E15E3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24、磋商的澄清</w:t>
      </w:r>
    </w:p>
    <w:p w14:paraId="6A1CB88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24.1评审期间，磋商小组要求供应商澄清、说明或者更正响应文件以电子函件形式提交但并非对每个供应商都作澄清要求。</w:t>
      </w:r>
    </w:p>
    <w:p w14:paraId="7FDFC53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24.2接到磋商小组澄清要求的供应商应按磋商小组规定的时间和格式在</w:t>
      </w:r>
      <w:r>
        <w:rPr>
          <w:rFonts w:hint="eastAsia" w:asciiTheme="minorEastAsia" w:hAnsiTheme="minorEastAsia" w:eastAsiaTheme="minorEastAsia" w:cstheme="minorEastAsia"/>
          <w:b/>
          <w:bCs/>
          <w:snapToGrid/>
          <w:color w:val="auto"/>
          <w:kern w:val="2"/>
          <w:sz w:val="21"/>
          <w:szCs w:val="21"/>
        </w:rPr>
        <w:t>”政府采购管理交易系统（苏采云）”</w:t>
      </w:r>
      <w:r>
        <w:rPr>
          <w:rFonts w:hint="eastAsia" w:asciiTheme="minorEastAsia" w:hAnsiTheme="minorEastAsia" w:eastAsiaTheme="minorEastAsia" w:cstheme="minorEastAsia"/>
          <w:snapToGrid/>
          <w:color w:val="auto"/>
          <w:kern w:val="2"/>
          <w:sz w:val="21"/>
          <w:szCs w:val="21"/>
        </w:rPr>
        <w:t>中做出澄清，澄清的内容作为响应文件的补充部分。具体操作方式见</w:t>
      </w:r>
      <w:r>
        <w:rPr>
          <w:rFonts w:hint="eastAsia" w:asciiTheme="minorEastAsia" w:hAnsiTheme="minorEastAsia" w:eastAsiaTheme="minorEastAsia" w:cstheme="minorEastAsia"/>
          <w:bCs/>
          <w:snapToGrid/>
          <w:color w:val="auto"/>
          <w:kern w:val="2"/>
          <w:sz w:val="21"/>
          <w:szCs w:val="21"/>
        </w:rPr>
        <w:t>《操作手册》</w:t>
      </w:r>
      <w:r>
        <w:rPr>
          <w:rFonts w:hint="eastAsia" w:asciiTheme="minorEastAsia" w:hAnsiTheme="minorEastAsia" w:eastAsiaTheme="minorEastAsia" w:cstheme="minorEastAsia"/>
          <w:snapToGrid/>
          <w:color w:val="auto"/>
          <w:kern w:val="2"/>
          <w:sz w:val="21"/>
          <w:szCs w:val="21"/>
        </w:rPr>
        <w:t>。</w:t>
      </w:r>
    </w:p>
    <w:p w14:paraId="10665AF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24.3 接到磋商小组澄清要求的供应商如未按规定做出澄清，其风险由供应商自行承担。</w:t>
      </w:r>
    </w:p>
    <w:p w14:paraId="2A99491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25、对响应文件的初审</w:t>
      </w:r>
    </w:p>
    <w:p w14:paraId="215C379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25.1响应文件初审分为资格审查和符合性审查。</w:t>
      </w:r>
    </w:p>
    <w:p w14:paraId="48FD650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25.1.1资格审查：依据法律法规和采购文件的规定，对响应文件中的资格证明文件进行审查。以确定供应商是否具备参加磋商的资格。</w:t>
      </w:r>
    </w:p>
    <w:p w14:paraId="7BD62174">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25.1.2符合性检查：依据采购文件的规定，由磋商小组从响应文件的有效性、完整性和对采购文件的响应程度进行审查，以确定是否对采购文件的实质性要求作出响应。</w:t>
      </w:r>
    </w:p>
    <w:p w14:paraId="51DD899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25.1.3 未通过资格审查或符合性审查的供应商，代理机构将在</w:t>
      </w:r>
      <w:r>
        <w:rPr>
          <w:rFonts w:hint="eastAsia" w:asciiTheme="minorEastAsia" w:hAnsiTheme="minorEastAsia" w:eastAsiaTheme="minorEastAsia" w:cstheme="minorEastAsia"/>
          <w:b/>
          <w:bCs/>
          <w:snapToGrid/>
          <w:color w:val="auto"/>
          <w:kern w:val="2"/>
          <w:sz w:val="21"/>
          <w:szCs w:val="21"/>
        </w:rPr>
        <w:t>”政府采购管理交易系统（苏采云）”</w:t>
      </w:r>
      <w:r>
        <w:rPr>
          <w:rFonts w:hint="eastAsia" w:asciiTheme="minorEastAsia" w:hAnsiTheme="minorEastAsia" w:eastAsiaTheme="minorEastAsia" w:cstheme="minorEastAsia"/>
          <w:snapToGrid/>
          <w:color w:val="auto"/>
          <w:kern w:val="2"/>
          <w:sz w:val="21"/>
          <w:szCs w:val="21"/>
        </w:rPr>
        <w:t>中告知未通过资格审查或符合性审查的原因，评审结束后，代理机构将不再告知未通过资格审查或符合性审查的原因。</w:t>
      </w:r>
    </w:p>
    <w:p w14:paraId="75B8EDB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25.2在详细评审之前，磋商小组将首先审查每份响应文件是否实质性响应了采购文件的要求。实质性响应的响应文件应该是与采购文件要求的全部条款、条件和规格相符，没有重大偏离或保留。</w:t>
      </w:r>
    </w:p>
    <w:p w14:paraId="73870DC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所谓重大偏离或保留是指与采购文件规定的实质性要求存在负偏离，或者在实质上与采购文件不一致，而且限制了合同中买方（采购人）和见证方（代理机构）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357903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25.3如果响应文件实质上没有响应采购文件的要求，磋商小组将予以拒绝，供应商不得通过修改或撤销不合要求的偏离或保留而使其响应文件成为实质性响应的文件。</w:t>
      </w:r>
    </w:p>
    <w:p w14:paraId="2158A1A4">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25.4 供应商在开、评标全过程中应保持通讯畅通，并安排专人与代理机构及磋商小组联系。</w:t>
      </w:r>
    </w:p>
    <w:p w14:paraId="1BCA0D3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26、磋商程序及评审方法和标准</w:t>
      </w:r>
    </w:p>
    <w:p w14:paraId="4ECBDA79">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26.1磋商程序</w:t>
      </w:r>
    </w:p>
    <w:p w14:paraId="28F80302">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26.1.1 对于通过资格性和符合性审查的供应商，磋商小组所有成员将集中与单一供应商在“</w:t>
      </w:r>
      <w:r>
        <w:rPr>
          <w:rFonts w:hint="eastAsia" w:asciiTheme="minorEastAsia" w:hAnsiTheme="minorEastAsia" w:eastAsiaTheme="minorEastAsia" w:cstheme="minorEastAsia"/>
          <w:b/>
          <w:bCs/>
          <w:snapToGrid/>
          <w:color w:val="auto"/>
          <w:kern w:val="2"/>
          <w:sz w:val="21"/>
          <w:szCs w:val="21"/>
          <w:shd w:val="clear" w:color="FFFFFF" w:fill="FFFFFF"/>
        </w:rPr>
        <w:t>政府采购管理交易系统（苏采云）</w:t>
      </w:r>
      <w:r>
        <w:rPr>
          <w:rFonts w:hint="eastAsia" w:asciiTheme="minorEastAsia" w:hAnsiTheme="minorEastAsia" w:eastAsiaTheme="minorEastAsia" w:cstheme="minorEastAsia"/>
          <w:b/>
          <w:bCs/>
          <w:snapToGrid/>
          <w:color w:val="auto"/>
          <w:kern w:val="2"/>
          <w:sz w:val="21"/>
          <w:szCs w:val="21"/>
        </w:rPr>
        <w:t>”中分别进行磋商。</w:t>
      </w:r>
    </w:p>
    <w:p w14:paraId="21806339">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在磋商过程中，磋商小组可能根据磋商文件和磋商情况实质性变动的内容有：采购需求中的技术、服务要求以及合同草案条款。对磋商文件作出的实质性变动是磋商文件的有效组成部分，磋商小组将以电子函件形式同时通知所有参加磋商的供应商。供应商应当按照磋商文件的变动情况和磋商小组的要求重新提交响应文件，并加盖电子签章。</w:t>
      </w:r>
    </w:p>
    <w:p w14:paraId="1E1170E6">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 xml:space="preserve"> 26.1.2 采购文件能够详细列明采购标的的技术、服务要求的，磋商结束后，磋商小组将要求所有实质性响应的供应商在规定时间内提交最后报价。</w:t>
      </w:r>
    </w:p>
    <w:p w14:paraId="4FB63486">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 xml:space="preserve"> 采购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0F5F6BCE">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4C49EF41">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26.1.3 供应商未在磋商小组规定的时间内完成最后报价的视为放弃磋商，其响应按无效响应处理。最后报价须加盖电子签章。已提交响应文件的供应商，在提交最后报价之前，可以根据磋商情况退出磋商。</w:t>
      </w:r>
    </w:p>
    <w:p w14:paraId="4DCCA5E1">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26.2 评审方法和标准</w:t>
      </w:r>
    </w:p>
    <w:p w14:paraId="41D9109B">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26.2.1评审方法。经磋商确定最终采购需求和提交最后报价的供应商后，由磋商小组采用综合评分法对提交最后报价的供应商的响应文件和最后报价进行综合评分。</w:t>
      </w:r>
    </w:p>
    <w:p w14:paraId="0CAF5E8A">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26EEC46B">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26.2.2评审标准</w:t>
      </w:r>
    </w:p>
    <w:p w14:paraId="7B8EFB6C">
      <w:pPr>
        <w:keepNext w:val="0"/>
        <w:keepLines w:val="0"/>
        <w:pageBreakBefore w:val="0"/>
        <w:widowControl w:val="0"/>
        <w:kinsoku/>
        <w:wordWrap/>
        <w:overflowPunct/>
        <w:topLinePunct w:val="0"/>
        <w:autoSpaceDE/>
        <w:autoSpaceDN/>
        <w:bidi w:val="0"/>
        <w:snapToGrid/>
        <w:spacing w:line="360" w:lineRule="auto"/>
        <w:ind w:firstLine="422"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b/>
          <w:bCs/>
          <w:snapToGrid/>
          <w:color w:val="auto"/>
          <w:kern w:val="2"/>
          <w:sz w:val="21"/>
          <w:szCs w:val="21"/>
        </w:rPr>
        <w:t>见本采购文件第五章规定。</w:t>
      </w:r>
    </w:p>
    <w:p w14:paraId="3E113CF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27、无效响应及采购活动终止的情况</w:t>
      </w:r>
    </w:p>
    <w:p w14:paraId="269548B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27.1无效响应条款</w:t>
      </w:r>
    </w:p>
    <w:p w14:paraId="7C4D6C7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27.1.1 供应商未按照采购文件要求上传电子磋商响应文件的。</w:t>
      </w:r>
    </w:p>
    <w:p w14:paraId="1D8CC64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27.1.2 供应商未成功解密电子磋商响应文件的。</w:t>
      </w:r>
    </w:p>
    <w:p w14:paraId="008A612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27.1.3 供应商不具备采购文件中规定资格要求的。</w:t>
      </w:r>
    </w:p>
    <w:p w14:paraId="4064B85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i/>
          <w:snapToGrid/>
          <w:color w:val="auto"/>
          <w:kern w:val="2"/>
          <w:sz w:val="21"/>
          <w:szCs w:val="21"/>
          <w:u w:val="single"/>
        </w:rPr>
      </w:pPr>
      <w:r>
        <w:rPr>
          <w:rFonts w:hint="eastAsia" w:asciiTheme="minorEastAsia" w:hAnsiTheme="minorEastAsia" w:eastAsiaTheme="minorEastAsia" w:cstheme="minorEastAsia"/>
          <w:bCs/>
          <w:snapToGrid/>
          <w:color w:val="auto"/>
          <w:kern w:val="2"/>
          <w:sz w:val="21"/>
          <w:szCs w:val="21"/>
        </w:rPr>
        <w:t>27.1.4 未通过符合性审查的。</w:t>
      </w:r>
    </w:p>
    <w:p w14:paraId="5AF1C43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i/>
          <w:snapToGrid/>
          <w:color w:val="auto"/>
          <w:kern w:val="2"/>
          <w:sz w:val="21"/>
          <w:szCs w:val="21"/>
          <w:u w:val="single"/>
        </w:rPr>
      </w:pPr>
      <w:r>
        <w:rPr>
          <w:rFonts w:hint="eastAsia" w:asciiTheme="minorEastAsia" w:hAnsiTheme="minorEastAsia" w:eastAsiaTheme="minorEastAsia" w:cstheme="minorEastAsia"/>
          <w:bCs/>
          <w:snapToGrid/>
          <w:color w:val="auto"/>
          <w:kern w:val="2"/>
          <w:sz w:val="21"/>
          <w:szCs w:val="21"/>
        </w:rPr>
        <w:t>27.1.5 不符合采购文件中规定的其他实质性要求和条件的</w:t>
      </w:r>
      <w:r>
        <w:rPr>
          <w:rFonts w:hint="eastAsia" w:asciiTheme="minorEastAsia" w:hAnsiTheme="minorEastAsia" w:eastAsiaTheme="minorEastAsia" w:cstheme="minorEastAsia"/>
          <w:b/>
          <w:bCs/>
          <w:snapToGrid/>
          <w:color w:val="auto"/>
          <w:kern w:val="2"/>
          <w:sz w:val="21"/>
          <w:szCs w:val="21"/>
        </w:rPr>
        <w:t>（</w:t>
      </w:r>
      <w:r>
        <w:rPr>
          <w:rFonts w:hint="eastAsia" w:asciiTheme="minorEastAsia" w:hAnsiTheme="minorEastAsia" w:eastAsiaTheme="minorEastAsia" w:cstheme="minorEastAsia"/>
          <w:b/>
          <w:bCs/>
          <w:i/>
          <w:snapToGrid/>
          <w:color w:val="auto"/>
          <w:kern w:val="2"/>
          <w:sz w:val="21"/>
          <w:szCs w:val="21"/>
          <w:u w:val="single"/>
        </w:rPr>
        <w:t>本采购文件中斜体且有下划线部分为实质性要求和条件）</w:t>
      </w:r>
      <w:r>
        <w:rPr>
          <w:rFonts w:hint="eastAsia" w:asciiTheme="minorEastAsia" w:hAnsiTheme="minorEastAsia" w:eastAsiaTheme="minorEastAsia" w:cstheme="minorEastAsia"/>
          <w:bCs/>
          <w:i/>
          <w:snapToGrid/>
          <w:color w:val="auto"/>
          <w:kern w:val="2"/>
          <w:sz w:val="21"/>
          <w:szCs w:val="21"/>
          <w:u w:val="single"/>
        </w:rPr>
        <w:t>。</w:t>
      </w:r>
    </w:p>
    <w:p w14:paraId="5E10A85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 xml:space="preserve">27.1.6 </w:t>
      </w:r>
      <w:r>
        <w:rPr>
          <w:rFonts w:hint="eastAsia" w:asciiTheme="minorEastAsia" w:hAnsiTheme="minorEastAsia" w:eastAsiaTheme="minorEastAsia" w:cstheme="minorEastAsia"/>
          <w:snapToGrid/>
          <w:color w:val="auto"/>
          <w:kern w:val="2"/>
          <w:sz w:val="21"/>
          <w:szCs w:val="21"/>
        </w:rPr>
        <w:t>供应商被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14:paraId="6B40FA8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27.1.7 本项目采购产品被财政部、国家发改委、生态环境部等列入“节能产品品目清单”、“环境标志产品品目清单”强制采购范围，而供应商所磋商产品不在强制采购范围内的。</w:t>
      </w:r>
    </w:p>
    <w:p w14:paraId="25031E1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27.1.8 响应文件未按照采购文件要求加盖电子签章。</w:t>
      </w:r>
    </w:p>
    <w:p w14:paraId="4F4AC59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27.1.9 其他法律、法规及本采购文件规定的属无效响应的情形。</w:t>
      </w:r>
    </w:p>
    <w:p w14:paraId="767450E8">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 xml:space="preserve">27.2 </w:t>
      </w:r>
      <w:r>
        <w:rPr>
          <w:rFonts w:hint="eastAsia" w:asciiTheme="minorEastAsia" w:hAnsiTheme="minorEastAsia" w:eastAsiaTheme="minorEastAsia" w:cstheme="minorEastAsia"/>
          <w:snapToGrid/>
          <w:color w:val="auto"/>
          <w:kern w:val="2"/>
          <w:sz w:val="21"/>
          <w:szCs w:val="21"/>
        </w:rPr>
        <w:t>采购活动终止的情况</w:t>
      </w:r>
      <w:r>
        <w:rPr>
          <w:rFonts w:hint="eastAsia" w:asciiTheme="minorEastAsia" w:hAnsiTheme="minorEastAsia" w:eastAsiaTheme="minorEastAsia" w:cstheme="minorEastAsia"/>
          <w:bCs/>
          <w:snapToGrid/>
          <w:color w:val="auto"/>
          <w:kern w:val="2"/>
          <w:sz w:val="21"/>
          <w:szCs w:val="21"/>
        </w:rPr>
        <w:t>：</w:t>
      </w:r>
    </w:p>
    <w:p w14:paraId="75B1166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27.2.1 因情况变化，不再符合规定的竞争性磋商采购方式适用情形的；</w:t>
      </w:r>
    </w:p>
    <w:p w14:paraId="114A824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27.2.2 出现影响采购公正的违法、违规行为的；</w:t>
      </w:r>
    </w:p>
    <w:p w14:paraId="5B8047D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 xml:space="preserve">27.2.3 </w:t>
      </w:r>
      <w:r>
        <w:rPr>
          <w:rFonts w:hint="eastAsia" w:asciiTheme="minorEastAsia" w:hAnsiTheme="minorEastAsia" w:eastAsiaTheme="minorEastAsia" w:cstheme="minorEastAsia"/>
          <w:snapToGrid/>
          <w:color w:val="auto"/>
          <w:kern w:val="2"/>
          <w:sz w:val="21"/>
          <w:szCs w:val="21"/>
        </w:rPr>
        <w:t>除本磋商文件第26.1.2条第三款规定的情形外，在采购过程中符合要求的供应商或者报价未超过采购预算的供应商不足3家的。</w:t>
      </w:r>
    </w:p>
    <w:p w14:paraId="293FA144">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Cs/>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27.2.4 因重大变故，采购任务取消的。</w:t>
      </w:r>
    </w:p>
    <w:p w14:paraId="40C7CA8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28、确定成交单位</w:t>
      </w:r>
    </w:p>
    <w:p w14:paraId="7F26DFB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28.1 磋商小组根据综合评分情况，按照评审得分由高到低顺序推荐3名以上成交候选供应商，并编写评审报告。符合本文件第26.1.2条情形的，可以推荐2家成交候选供应商。评审得分相同的，按照最后报价由低到高的顺序推荐。评审得分且最后报价相同的，按照技术指标优劣顺序推荐。</w:t>
      </w:r>
    </w:p>
    <w:p w14:paraId="3FD312B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28.2 采购人应根据磋商推荐的成交候选人，按照排序由高到低的原件确定成交供应商。</w:t>
      </w:r>
    </w:p>
    <w:p w14:paraId="793AA69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28.3 代理机构将在“扬州市政府采购网”、”江苏省政府采购网”发布成交公告，公告期限为1个工作日。</w:t>
      </w:r>
    </w:p>
    <w:p w14:paraId="61E8340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 若有充分证据证明，成交供应商出现下列情况之一的，一经查实，将被取消成交资格：</w:t>
      </w:r>
    </w:p>
    <w:p w14:paraId="572F3316">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28.4.1 提供虚假材料谋取成交的；</w:t>
      </w:r>
    </w:p>
    <w:p w14:paraId="7C3DA502">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28.4.2 向采购人、代理机构行贿或者提供其他不正当利益的；</w:t>
      </w:r>
    </w:p>
    <w:p w14:paraId="4C53B57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28.4.3 恶意竞争，最终总报价明显低于其自身合理成本且又无法提供证明的；</w:t>
      </w:r>
    </w:p>
    <w:p w14:paraId="0F882DF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28.4.4 属于本文件规定的无效条件，但在评审过程中又未被磋商小组发现的；</w:t>
      </w:r>
    </w:p>
    <w:p w14:paraId="15D7C1E9">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28.4.5 与采购人或者其他供应商恶意串通的；</w:t>
      </w:r>
    </w:p>
    <w:p w14:paraId="1F61436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28.4.6 采取不正当手段诋毁、排挤其他供应商的；</w:t>
      </w:r>
    </w:p>
    <w:p w14:paraId="7AB4C2F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28.4.7 不符合法律、法规的规定的。</w:t>
      </w:r>
    </w:p>
    <w:p w14:paraId="05E564C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29、质疑处理</w:t>
      </w:r>
    </w:p>
    <w:p w14:paraId="4F2FB9F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29.1提出质疑的供应商应当是参与所质疑项目采购活动的供应商。潜在供应商依法获取其可质疑的采购文件的，可以对采购文件提出质疑。</w:t>
      </w:r>
    </w:p>
    <w:p w14:paraId="4D5362E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对项目需求部分的质疑，潜在供应商应向采购人提出，由采购人负责答复。</w:t>
      </w:r>
    </w:p>
    <w:p w14:paraId="3922C43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29.2供应商认为采购文件、采购过程和中标或成交结果使自己的权益受到损害的，可以在知道或应知其权益受到损害之日起7个工作日内，以书面形式向采购人或代理机构提出质疑。</w:t>
      </w:r>
    </w:p>
    <w:p w14:paraId="7C0D97F2">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29.2.1对采购文件提出质疑的，应当在获取采购文件之日或者采购文件公告期限届满之日起7个工作日内提出。</w:t>
      </w:r>
    </w:p>
    <w:p w14:paraId="2561B6A2">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29.2.2对采购过程提出质疑的，为各采购程序环节结束之日起7个工作日内提出。</w:t>
      </w:r>
    </w:p>
    <w:p w14:paraId="371CF494">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29.2.3对成交结果提出质疑的，为成交结果公告期限届满之日起7个工作日内提出。</w:t>
      </w:r>
    </w:p>
    <w:p w14:paraId="3E29F46C">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29.3供应商应在法定质疑期内一次性提出针对同一采购程序环节的质疑。供应商如在法定期限内对同一采购程序环节提出多次质疑的，代理机构、采购人将只对供应商第一次质疑作出答复。</w:t>
      </w:r>
    </w:p>
    <w:p w14:paraId="0B9F430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29.4质疑函必须按照《质疑函范本》及《授权委托书》要求的格式和内容进行填写，格式见网址：http://zfcg.yangzhou.gov.cn。供应商如组成联合体参加磋商，则《质疑函范本》及《授权委托书》中要求签字、盖章、加盖公章之处，联合体各方均须按要求签字、盖章、加盖公章。</w:t>
      </w:r>
    </w:p>
    <w:p w14:paraId="3DDC888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29.5 代理机构及采购人只接收以纸质原件形式送达的质疑。</w:t>
      </w:r>
    </w:p>
    <w:p w14:paraId="731F897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采购人质疑接收人及联系方式见采购文件第一章。</w:t>
      </w:r>
    </w:p>
    <w:p w14:paraId="12CA2D2B">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29.6代理机构收到质疑申请后，将对质疑的形式和内容进行审查，如质疑内容、格式不符合规定，代理机构将告知质疑人进行补正。</w:t>
      </w:r>
    </w:p>
    <w:p w14:paraId="42448C5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29.7质疑人应当在法定质疑期限内进行补正并重新提交质疑函。</w:t>
      </w:r>
    </w:p>
    <w:p w14:paraId="2C73A530">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 以下情形的质疑不予受理</w:t>
      </w:r>
    </w:p>
    <w:p w14:paraId="5975A7D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29.8.1 内容不符合《政府采购质疑和投诉办法》第十二条规定的质疑。</w:t>
      </w:r>
    </w:p>
    <w:p w14:paraId="682492F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29.8.2 超出政府采购法定期限的质疑。</w:t>
      </w:r>
    </w:p>
    <w:p w14:paraId="220BF71F">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29.8.3 以传真、电子邮件等方式递交的非原件形式的质疑。</w:t>
      </w:r>
    </w:p>
    <w:p w14:paraId="64FF7C9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29.8.4 未参加磋商活动的供应商或在磋商活动中自身权益未受到损害的供应商所提出的质疑。</w:t>
      </w:r>
    </w:p>
    <w:p w14:paraId="1D9A435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29.8.5供应商组成联合体参加磋商，联合体中任何一方或多方未按要求签字、盖章、加盖公章的质疑。</w:t>
      </w:r>
    </w:p>
    <w:p w14:paraId="5ED63A8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 xml:space="preserve">29.9 供应商提出书面质疑必须有理、有据，不得捏造事实、提供虚假材料进行恶意质疑。否则，一经查实，代理机构有权依据政府采购的有关规定，报请政府采购监管部门对该供应商进行相应的行政处罚和记录该供应商的失信信息。 </w:t>
      </w:r>
    </w:p>
    <w:p w14:paraId="3462C29E">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29.10代理机构应当在收到供应商的书面质疑后7个工作日内作出答复，并以书面形式通知质疑供应商和其他有关供应商，但答复的内容不得涉及商业秘密。</w:t>
      </w:r>
    </w:p>
    <w:p w14:paraId="58FECFC5">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b/>
          <w:bCs/>
          <w:snapToGrid/>
          <w:color w:val="auto"/>
          <w:kern w:val="2"/>
          <w:sz w:val="21"/>
          <w:szCs w:val="21"/>
        </w:rPr>
      </w:pPr>
      <w:r>
        <w:rPr>
          <w:rFonts w:hint="eastAsia" w:asciiTheme="minorEastAsia" w:hAnsiTheme="minorEastAsia" w:eastAsiaTheme="minorEastAsia" w:cstheme="minorEastAsia"/>
          <w:snapToGrid/>
          <w:color w:val="auto"/>
          <w:kern w:val="2"/>
          <w:sz w:val="21"/>
          <w:szCs w:val="21"/>
        </w:rPr>
        <w:t>30、成交通知书</w:t>
      </w:r>
    </w:p>
    <w:p w14:paraId="47861B0D">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30.l</w:t>
      </w:r>
      <w:r>
        <w:rPr>
          <w:rFonts w:hint="eastAsia" w:asciiTheme="minorEastAsia" w:hAnsiTheme="minorEastAsia" w:eastAsiaTheme="minorEastAsia" w:cstheme="minorEastAsia"/>
          <w:b/>
          <w:bCs/>
          <w:snapToGrid/>
          <w:color w:val="auto"/>
          <w:kern w:val="2"/>
          <w:sz w:val="21"/>
          <w:szCs w:val="21"/>
        </w:rPr>
        <w:t xml:space="preserve"> </w:t>
      </w:r>
      <w:r>
        <w:rPr>
          <w:rFonts w:hint="eastAsia" w:asciiTheme="minorEastAsia" w:hAnsiTheme="minorEastAsia" w:eastAsiaTheme="minorEastAsia" w:cstheme="minorEastAsia"/>
          <w:snapToGrid/>
          <w:color w:val="auto"/>
          <w:kern w:val="2"/>
          <w:sz w:val="21"/>
          <w:szCs w:val="21"/>
        </w:rPr>
        <w:t>成交结果确定后，代理机构将向成交供应商发出成通知书。</w:t>
      </w:r>
    </w:p>
    <w:p w14:paraId="434A014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30.2 成交供应商可在”扬州市政府采购交易管理系统（苏采云）”成交通知书下载模块中自行下载成交通知书。</w:t>
      </w:r>
    </w:p>
    <w:p w14:paraId="02EF9A31">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30.3成交通知书将是合同的一个组成部分。对采购人和成交供应商均具有法律效力。成交通知书发出后，采购人改变成交结果的，或者成交供应商放弃成交项目的，应当依法承担法律责任。</w:t>
      </w:r>
    </w:p>
    <w:p w14:paraId="65FC1F9A">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31、</w:t>
      </w:r>
      <w:r>
        <w:rPr>
          <w:rFonts w:hint="eastAsia" w:asciiTheme="minorEastAsia" w:hAnsiTheme="minorEastAsia" w:eastAsiaTheme="minorEastAsia" w:cstheme="minorEastAsia"/>
          <w:b/>
          <w:bCs/>
          <w:snapToGrid/>
          <w:color w:val="auto"/>
          <w:kern w:val="2"/>
          <w:sz w:val="21"/>
          <w:szCs w:val="21"/>
        </w:rPr>
        <w:t xml:space="preserve"> </w:t>
      </w:r>
      <w:r>
        <w:rPr>
          <w:rFonts w:hint="eastAsia" w:asciiTheme="minorEastAsia" w:hAnsiTheme="minorEastAsia" w:eastAsiaTheme="minorEastAsia" w:cstheme="minorEastAsia"/>
          <w:snapToGrid/>
          <w:color w:val="auto"/>
          <w:kern w:val="2"/>
          <w:sz w:val="21"/>
          <w:szCs w:val="21"/>
        </w:rPr>
        <w:t>签订合同</w:t>
      </w:r>
    </w:p>
    <w:p w14:paraId="53EFC843">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31.l成交供应商应在成交通知书发出之日起十五日内，按照采购文件确定的事项与采购人签订政府采购合同。</w:t>
      </w:r>
    </w:p>
    <w:p w14:paraId="4A9892B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31.2</w:t>
      </w:r>
      <w:r>
        <w:rPr>
          <w:rFonts w:hint="eastAsia" w:asciiTheme="minorEastAsia" w:hAnsiTheme="minorEastAsia" w:eastAsiaTheme="minorEastAsia" w:cstheme="minorEastAsia"/>
          <w:b/>
          <w:bCs/>
          <w:snapToGrid/>
          <w:color w:val="auto"/>
          <w:kern w:val="2"/>
          <w:sz w:val="21"/>
          <w:szCs w:val="21"/>
        </w:rPr>
        <w:t xml:space="preserve"> </w:t>
      </w:r>
      <w:r>
        <w:rPr>
          <w:rFonts w:hint="eastAsia" w:asciiTheme="minorEastAsia" w:hAnsiTheme="minorEastAsia" w:eastAsiaTheme="minorEastAsia" w:cstheme="minorEastAsia"/>
          <w:snapToGrid/>
          <w:color w:val="auto"/>
          <w:kern w:val="2"/>
          <w:sz w:val="21"/>
          <w:szCs w:val="21"/>
        </w:rPr>
        <w:t>采购文件、成交供应商的响应文件及磋商过程中有关澄清、承诺文件均应作为合同附件。</w:t>
      </w:r>
    </w:p>
    <w:p w14:paraId="4AAF906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bCs/>
          <w:snapToGrid/>
          <w:color w:val="auto"/>
          <w:kern w:val="2"/>
          <w:sz w:val="21"/>
          <w:szCs w:val="21"/>
        </w:rPr>
        <w:t>31.3 合同在“政府采购管理交易系统（苏采云）”中签订，签订合同后，</w:t>
      </w:r>
      <w:r>
        <w:rPr>
          <w:rFonts w:hint="eastAsia" w:asciiTheme="minorEastAsia" w:hAnsiTheme="minorEastAsia" w:eastAsiaTheme="minorEastAsia" w:cstheme="minorEastAsia"/>
          <w:b/>
          <w:bCs/>
          <w:i/>
          <w:iCs/>
          <w:snapToGrid/>
          <w:color w:val="auto"/>
          <w:kern w:val="2"/>
          <w:sz w:val="21"/>
          <w:szCs w:val="21"/>
          <w:u w:val="single"/>
        </w:rPr>
        <w:t>成交供应商不得将货物或服务及其他服务进行转包</w:t>
      </w:r>
      <w:r>
        <w:rPr>
          <w:rFonts w:hint="eastAsia" w:asciiTheme="minorEastAsia" w:hAnsiTheme="minorEastAsia" w:eastAsiaTheme="minorEastAsia" w:cstheme="minorEastAsia"/>
          <w:bCs/>
          <w:snapToGrid/>
          <w:color w:val="auto"/>
          <w:kern w:val="2"/>
          <w:sz w:val="21"/>
          <w:szCs w:val="21"/>
        </w:rPr>
        <w:t>。未经采购人同意，成交供应商也不得采用分包的形式履行合同，否则采购人有权终止合同，成交供应商的履约保证金将不予退还。转包或分包造成采购人损失的，成交供应商应承担赔偿责任。</w:t>
      </w:r>
    </w:p>
    <w:p w14:paraId="3868CEE7">
      <w:pPr>
        <w:keepNext w:val="0"/>
        <w:keepLines w:val="0"/>
        <w:pageBreakBefore w:val="0"/>
        <w:widowControl w:val="0"/>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31.4采购人不得向成交供应商提出任何不合理的要求作为签订合同的条件，不得与成交供应商私下订立背离合同实质性内容的协议。所签订的合同不得对采购文件确定事项和成交供应商响应文件作实质性修改。</w:t>
      </w:r>
    </w:p>
    <w:p w14:paraId="4568364D">
      <w:pPr>
        <w:keepNext w:val="0"/>
        <w:keepLines w:val="0"/>
        <w:pageBreakBefore w:val="0"/>
        <w:widowControl w:val="0"/>
        <w:numPr>
          <w:ilvl w:val="0"/>
          <w:numId w:val="1"/>
        </w:numPr>
        <w:kinsoku/>
        <w:wordWrap/>
        <w:overflowPunct/>
        <w:topLinePunct w:val="0"/>
        <w:autoSpaceDE/>
        <w:autoSpaceDN/>
        <w:bidi w:val="0"/>
        <w:snapToGrid/>
        <w:spacing w:line="360" w:lineRule="auto"/>
        <w:ind w:firstLine="420" w:firstLineChars="200"/>
        <w:jc w:val="both"/>
        <w:textAlignment w:val="auto"/>
        <w:rPr>
          <w:rFonts w:hint="eastAsia" w:asciiTheme="minorEastAsia" w:hAnsiTheme="minorEastAsia" w:eastAsiaTheme="minorEastAsia" w:cstheme="minorEastAsia"/>
          <w:snapToGrid/>
          <w:color w:val="auto"/>
          <w:kern w:val="2"/>
          <w:sz w:val="21"/>
          <w:szCs w:val="21"/>
        </w:rPr>
      </w:pPr>
      <w:r>
        <w:rPr>
          <w:rFonts w:hint="eastAsia" w:asciiTheme="minorEastAsia" w:hAnsiTheme="minorEastAsia" w:eastAsiaTheme="minorEastAsia" w:cstheme="minorEastAsia"/>
          <w:snapToGrid/>
          <w:color w:val="auto"/>
          <w:kern w:val="2"/>
          <w:sz w:val="21"/>
          <w:szCs w:val="21"/>
        </w:rPr>
        <w:t>其他</w:t>
      </w:r>
    </w:p>
    <w:p w14:paraId="73F10FA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Times New Roman"/>
          <w:b w:val="0"/>
          <w:bCs w:val="0"/>
          <w:snapToGrid/>
          <w:color w:val="auto"/>
          <w:kern w:val="2"/>
          <w:sz w:val="21"/>
          <w:szCs w:val="22"/>
        </w:rPr>
      </w:pPr>
      <w:r>
        <w:rPr>
          <w:rFonts w:hint="eastAsia" w:asciiTheme="minorEastAsia" w:hAnsiTheme="minorEastAsia" w:eastAsiaTheme="minorEastAsia" w:cstheme="minorEastAsia"/>
          <w:b w:val="0"/>
          <w:bCs w:val="0"/>
          <w:snapToGrid/>
          <w:color w:val="auto"/>
          <w:kern w:val="2"/>
          <w:sz w:val="21"/>
          <w:szCs w:val="21"/>
        </w:rPr>
        <w:t>32.1 依据《政府采购促进中小企业发展管理办法》享受享受扶持政策获得政府采购合同的，小微企业不得将合同分包给大中型企业，中型企业不得将合同分包给大型企业。</w:t>
      </w:r>
      <w:r>
        <w:rPr>
          <w:rFonts w:hint="eastAsia" w:ascii="宋体" w:hAnsi="宋体" w:eastAsia="宋体" w:cs="Times New Roman"/>
          <w:b w:val="0"/>
          <w:bCs w:val="0"/>
          <w:snapToGrid/>
          <w:color w:val="auto"/>
          <w:kern w:val="2"/>
          <w:sz w:val="21"/>
          <w:szCs w:val="22"/>
        </w:rPr>
        <w:br w:type="page"/>
      </w:r>
    </w:p>
    <w:p w14:paraId="64B4E740">
      <w:pPr>
        <w:pStyle w:val="2"/>
        <w:spacing w:line="360" w:lineRule="auto"/>
        <w:jc w:val="center"/>
        <w:rPr>
          <w:rFonts w:ascii="宋体" w:hAnsi="宋体" w:eastAsia="宋体" w:cs="宋体"/>
          <w:sz w:val="28"/>
          <w:szCs w:val="28"/>
        </w:rPr>
      </w:pPr>
      <w:r>
        <w:rPr>
          <w:rFonts w:hint="eastAsia" w:ascii="宋体" w:hAnsi="宋体" w:eastAsia="宋体" w:cs="宋体"/>
          <w:sz w:val="28"/>
          <w:szCs w:val="28"/>
        </w:rPr>
        <w:t>第三章 合同条款及格式</w:t>
      </w:r>
    </w:p>
    <w:p w14:paraId="10C95CD7">
      <w:pPr>
        <w:rPr>
          <w:rFonts w:ascii="宋体" w:hAnsi="宋体" w:eastAsia="宋体" w:cs="楷体"/>
          <w:color w:val="FF0000"/>
          <w:lang w:bidi="ar"/>
        </w:rPr>
      </w:pPr>
    </w:p>
    <w:p w14:paraId="3F7C6D5A">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center"/>
        <w:textAlignment w:val="baseline"/>
        <w:rPr>
          <w:rFonts w:hint="eastAsia" w:asciiTheme="minorEastAsia" w:hAnsiTheme="minorEastAsia" w:eastAsiaTheme="minorEastAsia" w:cstheme="minorEastAsia"/>
          <w:b w:val="0"/>
          <w:bCs w:val="0"/>
          <w:color w:val="auto"/>
          <w:sz w:val="21"/>
          <w:szCs w:val="21"/>
          <w:highlight w:val="none"/>
        </w:rPr>
      </w:pPr>
      <w:bookmarkStart w:id="17" w:name="_bookmark5"/>
      <w:bookmarkEnd w:id="17"/>
      <w:r>
        <w:rPr>
          <w:rFonts w:hint="eastAsia" w:asciiTheme="minorEastAsia" w:hAnsiTheme="minorEastAsia" w:eastAsiaTheme="minorEastAsia" w:cstheme="minorEastAsia"/>
          <w:b w:val="0"/>
          <w:bCs w:val="0"/>
          <w:color w:val="auto"/>
          <w:sz w:val="21"/>
          <w:szCs w:val="21"/>
          <w:highlight w:val="none"/>
        </w:rPr>
        <w:t>高邮市政府采购合同（服务）（合同编号）</w:t>
      </w:r>
    </w:p>
    <w:p w14:paraId="05771A5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项目名称：</w:t>
      </w:r>
      <w:r>
        <w:rPr>
          <w:rFonts w:hint="eastAsia" w:asciiTheme="minorEastAsia" w:hAnsiTheme="minorEastAsia" w:eastAsiaTheme="minorEastAsia" w:cstheme="minorEastAsia"/>
          <w:b w:val="0"/>
          <w:bCs w:val="0"/>
          <w:color w:val="auto"/>
          <w:sz w:val="21"/>
          <w:szCs w:val="21"/>
          <w:highlight w:val="none"/>
          <w:u w:val="single"/>
        </w:rPr>
        <w:t>（项目名称）</w:t>
      </w:r>
    </w:p>
    <w:p w14:paraId="602F9198">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项目编号：</w:t>
      </w:r>
    </w:p>
    <w:p w14:paraId="1E586339">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甲方：（买方）_________</w:t>
      </w:r>
    </w:p>
    <w:p w14:paraId="6B741F3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乙方：（卖方）_________</w:t>
      </w:r>
    </w:p>
    <w:p w14:paraId="7CA01C37">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甲、乙双方根据（代理公司）项目</w:t>
      </w:r>
      <w:r>
        <w:rPr>
          <w:rFonts w:hint="eastAsia" w:asciiTheme="minorEastAsia" w:hAnsiTheme="minorEastAsia" w:eastAsiaTheme="minorEastAsia" w:cstheme="minorEastAsia"/>
          <w:b w:val="0"/>
          <w:bCs w:val="0"/>
          <w:color w:val="auto"/>
          <w:sz w:val="21"/>
          <w:szCs w:val="21"/>
          <w:highlight w:val="none"/>
          <w:lang w:val="en-US" w:eastAsia="zh-CN"/>
        </w:rPr>
        <w:t>招标</w:t>
      </w:r>
      <w:r>
        <w:rPr>
          <w:rFonts w:hint="eastAsia" w:asciiTheme="minorEastAsia" w:hAnsiTheme="minorEastAsia" w:eastAsiaTheme="minorEastAsia" w:cstheme="minorEastAsia"/>
          <w:b w:val="0"/>
          <w:bCs w:val="0"/>
          <w:color w:val="auto"/>
          <w:sz w:val="21"/>
          <w:szCs w:val="21"/>
          <w:highlight w:val="none"/>
        </w:rPr>
        <w:t>的结果，签署本合同。</w:t>
      </w:r>
    </w:p>
    <w:p w14:paraId="21BCA45C">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一、服务及产品内容</w:t>
      </w:r>
    </w:p>
    <w:p w14:paraId="712D151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1.1项目（产品）名称：</w:t>
      </w:r>
    </w:p>
    <w:p w14:paraId="26A63BA5">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1.2项目服务内容：</w:t>
      </w:r>
    </w:p>
    <w:p w14:paraId="7762334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二、合同金额</w:t>
      </w:r>
    </w:p>
    <w:p w14:paraId="25348DE8">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2.1本合同金额为（大写）：____________________________________圆（_______________元）人民币。</w:t>
      </w:r>
    </w:p>
    <w:p w14:paraId="4097B73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三、技术资料</w:t>
      </w:r>
    </w:p>
    <w:p w14:paraId="4E77A2BB">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3.1乙方应按采购文件规定的时间向甲方提供使用服务或产品的有关技术资料。</w:t>
      </w:r>
    </w:p>
    <w:p w14:paraId="1CBA714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C661D7E">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四、知识产权</w:t>
      </w:r>
    </w:p>
    <w:p w14:paraId="72CE6E0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4.1乙方应保证甲方在使用、接受本合同服务或产品或其任何一部分时不受第三方提出侵犯其专利权、版权、商标权和工业设计权等知识产权的起诉。一旦出现侵权，由乙方负全部责任。</w:t>
      </w:r>
    </w:p>
    <w:p w14:paraId="5ECA39CB">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五、产权担保</w:t>
      </w:r>
    </w:p>
    <w:p w14:paraId="31E6A85E">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5.1乙方保证所交付的服务或产品的所有权完全属于乙方且无任何抵押、查封等产权瑕疵。</w:t>
      </w:r>
    </w:p>
    <w:p w14:paraId="13833FC2">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六、履约保证金</w:t>
      </w:r>
    </w:p>
    <w:p w14:paraId="6DAEA8E8">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FF0000"/>
          <w:sz w:val="21"/>
          <w:szCs w:val="21"/>
          <w:highlight w:val="none"/>
        </w:rPr>
      </w:pPr>
      <w:r>
        <w:rPr>
          <w:rFonts w:hint="eastAsia" w:asciiTheme="minorEastAsia" w:hAnsiTheme="minorEastAsia" w:eastAsiaTheme="minorEastAsia" w:cstheme="minorEastAsia"/>
          <w:b w:val="0"/>
          <w:bCs w:val="0"/>
          <w:color w:val="FF0000"/>
          <w:sz w:val="21"/>
          <w:szCs w:val="21"/>
          <w:highlight w:val="none"/>
          <w:u w:val="single"/>
        </w:rPr>
        <w:t>本项目不收取履约保证金。</w:t>
      </w:r>
    </w:p>
    <w:p w14:paraId="04A8CB4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七、转包或分包</w:t>
      </w:r>
    </w:p>
    <w:p w14:paraId="25105112">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7.1本合同范围的服务，应由乙方直接提供，不得转让他人；</w:t>
      </w:r>
    </w:p>
    <w:p w14:paraId="57C9DA2E">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7.2除非得到甲方的书面同意，乙方不得部分分包给他人供应。</w:t>
      </w:r>
    </w:p>
    <w:p w14:paraId="15C4DAAC">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7.3如有转让和未经甲方同意的分包行为，甲方有权给予终止合同。</w:t>
      </w:r>
    </w:p>
    <w:p w14:paraId="0F1BC55F">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八、服务期</w:t>
      </w:r>
    </w:p>
    <w:p w14:paraId="12859205">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bCs/>
          <w:i/>
          <w:iCs/>
          <w:color w:val="FF0000"/>
          <w:sz w:val="21"/>
          <w:szCs w:val="21"/>
          <w:highlight w:val="none"/>
          <w:u w:val="single"/>
        </w:rPr>
        <w:t>本项目服务期为</w:t>
      </w:r>
      <w:r>
        <w:rPr>
          <w:rFonts w:hint="eastAsia" w:asciiTheme="minorEastAsia" w:hAnsiTheme="minorEastAsia" w:eastAsiaTheme="minorEastAsia" w:cstheme="minorEastAsia"/>
          <w:b/>
          <w:bCs/>
          <w:i/>
          <w:iCs/>
          <w:color w:val="FF0000"/>
          <w:sz w:val="21"/>
          <w:szCs w:val="21"/>
          <w:highlight w:val="none"/>
          <w:u w:val="single"/>
          <w:lang w:val="en-US" w:eastAsia="zh-CN"/>
        </w:rPr>
        <w:t>1</w:t>
      </w:r>
      <w:r>
        <w:rPr>
          <w:rFonts w:hint="eastAsia" w:asciiTheme="minorEastAsia" w:hAnsiTheme="minorEastAsia" w:eastAsiaTheme="minorEastAsia" w:cstheme="minorEastAsia"/>
          <w:b/>
          <w:bCs/>
          <w:i/>
          <w:iCs/>
          <w:color w:val="FF0000"/>
          <w:sz w:val="21"/>
          <w:szCs w:val="21"/>
          <w:highlight w:val="none"/>
          <w:u w:val="single"/>
        </w:rPr>
        <w:t>年。</w:t>
      </w:r>
    </w:p>
    <w:p w14:paraId="491CDC9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九、移交方式及交付地点</w:t>
      </w:r>
    </w:p>
    <w:p w14:paraId="59D5FEB9">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9.1交付方式：</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 xml:space="preserve"> 。</w:t>
      </w:r>
    </w:p>
    <w:p w14:paraId="46F2A255">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9.2交付地点：</w:t>
      </w:r>
      <w:r>
        <w:rPr>
          <w:rFonts w:hint="eastAsia" w:asciiTheme="minorEastAsia" w:hAnsiTheme="minorEastAsia" w:eastAsiaTheme="minorEastAsia" w:cstheme="minorEastAsia"/>
          <w:b w:val="0"/>
          <w:bCs w:val="0"/>
          <w:color w:val="auto"/>
          <w:sz w:val="21"/>
          <w:szCs w:val="21"/>
          <w:highlight w:val="none"/>
          <w:u w:val="single"/>
        </w:rPr>
        <w:t xml:space="preserve">     </w:t>
      </w:r>
      <w:r>
        <w:rPr>
          <w:rFonts w:hint="eastAsia" w:asciiTheme="minorEastAsia" w:hAnsiTheme="minorEastAsia" w:eastAsiaTheme="minorEastAsia" w:cstheme="minorEastAsia"/>
          <w:b w:val="0"/>
          <w:bCs w:val="0"/>
          <w:color w:val="auto"/>
          <w:sz w:val="21"/>
          <w:szCs w:val="21"/>
          <w:highlight w:val="none"/>
        </w:rPr>
        <w:t xml:space="preserve"> 。</w:t>
      </w:r>
    </w:p>
    <w:p w14:paraId="7E0729F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十、货款支付</w:t>
      </w:r>
    </w:p>
    <w:p w14:paraId="7A0E079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10.1本合同项下所有款项均以人民币支付。</w:t>
      </w:r>
    </w:p>
    <w:p w14:paraId="70D14E0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10.2本合同项下的采购资金由甲方支付，付款前乙方向甲方开具发票。</w:t>
      </w:r>
    </w:p>
    <w:p w14:paraId="5E841FF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bCs/>
          <w:i/>
          <w:iCs/>
          <w:color w:val="FF0000"/>
          <w:sz w:val="21"/>
          <w:szCs w:val="21"/>
          <w:highlight w:val="none"/>
          <w:u w:val="single"/>
        </w:rPr>
      </w:pPr>
      <w:r>
        <w:rPr>
          <w:rFonts w:hint="eastAsia" w:asciiTheme="minorEastAsia" w:hAnsiTheme="minorEastAsia" w:eastAsiaTheme="minorEastAsia" w:cstheme="minorEastAsia"/>
          <w:b w:val="0"/>
          <w:bCs w:val="0"/>
          <w:color w:val="auto"/>
          <w:sz w:val="21"/>
          <w:szCs w:val="21"/>
          <w:highlight w:val="none"/>
        </w:rPr>
        <w:t>10.3甲方付款方式：</w:t>
      </w:r>
      <w:r>
        <w:rPr>
          <w:rFonts w:hint="eastAsia" w:asciiTheme="minorEastAsia" w:hAnsiTheme="minorEastAsia" w:eastAsiaTheme="minorEastAsia" w:cstheme="minorEastAsia"/>
          <w:b/>
          <w:bCs/>
          <w:i/>
          <w:iCs/>
          <w:color w:val="FF0000"/>
          <w:sz w:val="21"/>
          <w:szCs w:val="21"/>
          <w:highlight w:val="none"/>
          <w:u w:val="single"/>
        </w:rPr>
        <w:t>合同签订后，乙方向甲方开具发票，甲方自收到发票后的30日内支付合同价</w:t>
      </w:r>
      <w:r>
        <w:rPr>
          <w:rFonts w:hint="eastAsia" w:asciiTheme="minorEastAsia" w:hAnsiTheme="minorEastAsia" w:eastAsiaTheme="minorEastAsia" w:cstheme="minorEastAsia"/>
          <w:b/>
          <w:bCs/>
          <w:i/>
          <w:iCs/>
          <w:color w:val="FF0000"/>
          <w:sz w:val="21"/>
          <w:szCs w:val="21"/>
          <w:highlight w:val="none"/>
          <w:u w:val="single"/>
          <w:lang w:val="en-US" w:eastAsia="zh-CN"/>
        </w:rPr>
        <w:t>3</w:t>
      </w:r>
      <w:r>
        <w:rPr>
          <w:rFonts w:hint="eastAsia" w:asciiTheme="minorEastAsia" w:hAnsiTheme="minorEastAsia" w:eastAsiaTheme="minorEastAsia" w:cstheme="minorEastAsia"/>
          <w:b/>
          <w:bCs/>
          <w:i/>
          <w:iCs/>
          <w:color w:val="FF0000"/>
          <w:sz w:val="21"/>
          <w:szCs w:val="21"/>
          <w:highlight w:val="none"/>
          <w:u w:val="single"/>
        </w:rPr>
        <w:t>0%的预付款</w:t>
      </w:r>
      <w:r>
        <w:rPr>
          <w:rFonts w:hint="eastAsia" w:asciiTheme="minorEastAsia" w:hAnsiTheme="minorEastAsia" w:eastAsiaTheme="minorEastAsia" w:cstheme="minorEastAsia"/>
          <w:b/>
          <w:bCs/>
          <w:i/>
          <w:iCs/>
          <w:color w:val="FF0000"/>
          <w:sz w:val="21"/>
          <w:szCs w:val="21"/>
          <w:highlight w:val="none"/>
          <w:u w:val="single"/>
          <w:lang w:eastAsia="zh-CN"/>
        </w:rPr>
        <w:t>（</w:t>
      </w:r>
      <w:r>
        <w:rPr>
          <w:rFonts w:hint="eastAsia" w:asciiTheme="minorEastAsia" w:hAnsiTheme="minorEastAsia" w:eastAsiaTheme="minorEastAsia" w:cstheme="minorEastAsia"/>
          <w:b/>
          <w:bCs/>
          <w:i/>
          <w:iCs/>
          <w:color w:val="FF0000"/>
          <w:sz w:val="21"/>
          <w:szCs w:val="21"/>
          <w:highlight w:val="none"/>
          <w:u w:val="single"/>
          <w:lang w:val="en-US" w:eastAsia="zh-CN"/>
        </w:rPr>
        <w:t>在前期应支付的款项中支付）</w:t>
      </w:r>
      <w:r>
        <w:rPr>
          <w:rFonts w:hint="eastAsia" w:asciiTheme="minorEastAsia" w:hAnsiTheme="minorEastAsia" w:eastAsiaTheme="minorEastAsia" w:cstheme="minorEastAsia"/>
          <w:b/>
          <w:bCs/>
          <w:i/>
          <w:iCs/>
          <w:color w:val="FF0000"/>
          <w:sz w:val="21"/>
          <w:szCs w:val="21"/>
          <w:highlight w:val="none"/>
          <w:u w:val="single"/>
        </w:rPr>
        <w:t>，于下季度第一个月10日前凭乙方提供的发票支付上季度的服务费用，服务期满达到离场要求且按时撤场后，结清全部账目</w:t>
      </w:r>
    </w:p>
    <w:p w14:paraId="2E74AFDB">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Theme="minorEastAsia" w:hAnsiTheme="minorEastAsia" w:eastAsiaTheme="minorEastAsia" w:cstheme="minorEastAsia"/>
          <w:b w:val="0"/>
          <w:bCs w:val="0"/>
          <w:color w:val="FF0000"/>
          <w:sz w:val="21"/>
          <w:szCs w:val="21"/>
          <w:highlight w:val="none"/>
        </w:rPr>
      </w:pPr>
      <w:r>
        <w:rPr>
          <w:rFonts w:hint="eastAsia" w:asciiTheme="minorEastAsia" w:hAnsiTheme="minorEastAsia" w:eastAsiaTheme="minorEastAsia" w:cstheme="minorEastAsia"/>
          <w:b/>
          <w:bCs/>
          <w:i/>
          <w:iCs/>
          <w:color w:val="FF0000"/>
          <w:sz w:val="21"/>
          <w:szCs w:val="21"/>
          <w:highlight w:val="none"/>
          <w:u w:val="single"/>
        </w:rPr>
        <w:t>本合同期内，如政府有关部门政策性调整最低工资标准和社会保险标准，乙方向甲方提供相关政策性文件后，甲方支付乙方的服务费用亦作相应调整。</w:t>
      </w:r>
    </w:p>
    <w:p w14:paraId="7244323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十一、税</w:t>
      </w:r>
    </w:p>
    <w:p w14:paraId="25BA4282">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11.1本合同执行中相关的一切税费均由乙方负担。</w:t>
      </w:r>
    </w:p>
    <w:p w14:paraId="7DD12C7C">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十二、质量保证及售后服务</w:t>
      </w:r>
    </w:p>
    <w:p w14:paraId="38AB7CDD">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12.1乙方应按采购文件规定的服务性能、技术要求、质量标准向甲方提供。</w:t>
      </w:r>
    </w:p>
    <w:p w14:paraId="74449D9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12.2乙方提供的服务因服务本身的质量问题发生故障，乙方应负责免费更换。对达不到技术要求者，根据实际情况，经双方协商。</w:t>
      </w:r>
    </w:p>
    <w:p w14:paraId="61C530FF">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12.3如在使用过程中发生质量问题，乙方在接到甲方通知后在半小时内到达甲方现场。</w:t>
      </w:r>
    </w:p>
    <w:p w14:paraId="74BF184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12.4所有人员工作安全为乙方承担，与甲方无关。工作人员工作中因安全不措施到位，引起的安全责任，均由乙方负责。</w:t>
      </w:r>
    </w:p>
    <w:p w14:paraId="46CE30BA">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十三、违约责任</w:t>
      </w:r>
    </w:p>
    <w:p w14:paraId="2662731B">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13.1甲方无故逾期办理款项支付手续的,甲方应按逾期付款总额每日万分之五向乙方支付违约金。</w:t>
      </w:r>
    </w:p>
    <w:p w14:paraId="504FB187">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13.2乙方逾期提供服务的，乙方应按逾期交付总额每日千分之六向甲方支付违约金，由甲方从待付款项中扣除。逾期超过约定日期10个工作日不能提供的，甲方可解除本合同。乙方因逾期提供服务或因其他违约行为导致甲方解除合同的，乙方应向甲方支付合同总值5%的违约金，如造成甲方损失超过违约金的，超出部分由乙方继续承担赔偿责任。</w:t>
      </w:r>
    </w:p>
    <w:p w14:paraId="24FFA34D">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w:t>
      </w:r>
      <w:r>
        <w:rPr>
          <w:rFonts w:hint="eastAsia" w:asciiTheme="minorEastAsia" w:hAnsiTheme="minorEastAsia" w:eastAsiaTheme="minorEastAsia" w:cstheme="minorEastAsia"/>
          <w:b w:val="0"/>
          <w:bCs w:val="0"/>
          <w:color w:val="auto"/>
          <w:sz w:val="21"/>
          <w:szCs w:val="21"/>
          <w:highlight w:val="none"/>
          <w:lang w:val="en-US" w:eastAsia="zh-CN"/>
        </w:rPr>
        <w:t>3</w:t>
      </w:r>
      <w:r>
        <w:rPr>
          <w:rFonts w:hint="eastAsia" w:asciiTheme="minorEastAsia" w:hAnsiTheme="minorEastAsia" w:eastAsiaTheme="minorEastAsia" w:cstheme="minorEastAsia"/>
          <w:b w:val="0"/>
          <w:bCs w:val="0"/>
          <w:color w:val="auto"/>
          <w:sz w:val="21"/>
          <w:szCs w:val="21"/>
          <w:highlight w:val="none"/>
        </w:rPr>
        <w:t>.3乙方所交的服务不符合合同规定及采购文件规定标准的，甲方有权拒绝该服务，甲方可单方面解除合同，给甲方造成损失的，乙方应向甲方支付合同总值5%的赔偿。</w:t>
      </w:r>
    </w:p>
    <w:p w14:paraId="7A284BA2">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十四、交付</w:t>
      </w:r>
    </w:p>
    <w:p w14:paraId="097DA16F">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14.1合同期满后，乙方应将所有的服务资料完整地交付甲方。</w:t>
      </w:r>
    </w:p>
    <w:p w14:paraId="0B63ED9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14.2乙方及其工作人员在本合同期满后让出甲方所提供的服务用房，逾期未搬离的，视为乙方对房屋内物品所有权利的放弃，交由甲方享有或处置，所产生的一切法律后果由乙方承担。</w:t>
      </w:r>
    </w:p>
    <w:p w14:paraId="2F8A7E8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十五、不可抗力事件处理</w:t>
      </w:r>
    </w:p>
    <w:p w14:paraId="4729EFF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15.1在合同有效期内，任何一方因不可抗力事件导致不能履行合同，则合同履行期可延长，其延长期与不可抗力影响期相同。</w:t>
      </w:r>
    </w:p>
    <w:p w14:paraId="2CF660B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15.2不可抗力事件发生后，应立即通知对方，并寄送有关权威机构出具的证明。</w:t>
      </w:r>
    </w:p>
    <w:p w14:paraId="06FBAE45">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15.3不可抗力事件延续120天以上，双方应通过友好协商，确定是否继续履行合同。</w:t>
      </w:r>
    </w:p>
    <w:p w14:paraId="4140F34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十六、诉讼</w:t>
      </w:r>
    </w:p>
    <w:p w14:paraId="609FCE26">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16.1双方在执行合同中所发生的一切争议，应通过协商解决。如协商不成，可向合同签订地法院起诉，合同签订地在此约定为高邮市。</w:t>
      </w:r>
    </w:p>
    <w:p w14:paraId="72FE15B7">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七、为提升政府采购供应商的融资可得性，解决中小企业融资难问题，中国人民银行、市财政局、市公共资源交易中心推出了政府采购线上应收账款融资模式。各供应商如果有融资需求，可以凭借政府采购中标（成交）通知书或政府采购合同，通过中国人民银行征信中心“中征应收账款融资服务平台（www.crcrfsp.com）”向参与政府采购融资业务的金融机构申请线上融资，相关事宜可向市人民银行咨询，联系电话：0514-87936653。</w:t>
      </w:r>
    </w:p>
    <w:p w14:paraId="714A7FE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十八、合同生效及其它</w:t>
      </w:r>
    </w:p>
    <w:p w14:paraId="35B16BB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18.1合同经双方法定代表人签章并加盖单位公章，并经（代理公司）见证盖章后生效。</w:t>
      </w:r>
    </w:p>
    <w:p w14:paraId="60535FCB">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18.2本合同未尽事宜，遵照《民法典》有关条文执行。</w:t>
      </w:r>
    </w:p>
    <w:p w14:paraId="2CAAA7C1">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18.3本合同正本一式陆份，具有同等法律效力，甲方、乙方、见证方及财政监管部门（高邮市财政局政府采购管理处）各执一份。</w:t>
      </w:r>
    </w:p>
    <w:tbl>
      <w:tblPr>
        <w:tblStyle w:val="15"/>
        <w:tblW w:w="0" w:type="auto"/>
        <w:jc w:val="center"/>
        <w:tblLayout w:type="fixed"/>
        <w:tblCellMar>
          <w:top w:w="0" w:type="dxa"/>
          <w:left w:w="108" w:type="dxa"/>
          <w:bottom w:w="0" w:type="dxa"/>
          <w:right w:w="108" w:type="dxa"/>
        </w:tblCellMar>
      </w:tblPr>
      <w:tblGrid>
        <w:gridCol w:w="4785"/>
        <w:gridCol w:w="4734"/>
      </w:tblGrid>
      <w:tr w14:paraId="746C834E">
        <w:tblPrEx>
          <w:tblCellMar>
            <w:top w:w="0" w:type="dxa"/>
            <w:left w:w="108" w:type="dxa"/>
            <w:bottom w:w="0" w:type="dxa"/>
            <w:right w:w="108" w:type="dxa"/>
          </w:tblCellMar>
        </w:tblPrEx>
        <w:trPr>
          <w:trHeight w:val="601" w:hRule="atLeast"/>
          <w:jc w:val="center"/>
        </w:trPr>
        <w:tc>
          <w:tcPr>
            <w:tcW w:w="4785" w:type="dxa"/>
            <w:tcBorders>
              <w:top w:val="nil"/>
              <w:left w:val="nil"/>
              <w:bottom w:val="nil"/>
              <w:right w:val="nil"/>
            </w:tcBorders>
            <w:noWrap w:val="0"/>
            <w:vAlign w:val="top"/>
          </w:tcPr>
          <w:p w14:paraId="3FBFF1BF">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甲方：（采购单位）</w:t>
            </w:r>
          </w:p>
        </w:tc>
        <w:tc>
          <w:tcPr>
            <w:tcW w:w="4734" w:type="dxa"/>
            <w:tcBorders>
              <w:top w:val="nil"/>
              <w:left w:val="nil"/>
              <w:bottom w:val="nil"/>
              <w:right w:val="nil"/>
            </w:tcBorders>
            <w:noWrap w:val="0"/>
            <w:vAlign w:val="top"/>
          </w:tcPr>
          <w:p w14:paraId="68A76EB2">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乙方：</w:t>
            </w:r>
          </w:p>
        </w:tc>
      </w:tr>
      <w:tr w14:paraId="505131A9">
        <w:tblPrEx>
          <w:tblCellMar>
            <w:top w:w="0" w:type="dxa"/>
            <w:left w:w="108" w:type="dxa"/>
            <w:bottom w:w="0" w:type="dxa"/>
            <w:right w:w="108" w:type="dxa"/>
          </w:tblCellMar>
        </w:tblPrEx>
        <w:trPr>
          <w:trHeight w:val="601" w:hRule="atLeast"/>
          <w:jc w:val="center"/>
        </w:trPr>
        <w:tc>
          <w:tcPr>
            <w:tcW w:w="4785" w:type="dxa"/>
            <w:tcBorders>
              <w:top w:val="nil"/>
              <w:left w:val="nil"/>
              <w:bottom w:val="nil"/>
              <w:right w:val="nil"/>
            </w:tcBorders>
            <w:noWrap w:val="0"/>
            <w:vAlign w:val="top"/>
          </w:tcPr>
          <w:p w14:paraId="06030A5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地址：</w:t>
            </w:r>
          </w:p>
        </w:tc>
        <w:tc>
          <w:tcPr>
            <w:tcW w:w="4734" w:type="dxa"/>
            <w:tcBorders>
              <w:top w:val="nil"/>
              <w:left w:val="nil"/>
              <w:bottom w:val="nil"/>
              <w:right w:val="nil"/>
            </w:tcBorders>
            <w:noWrap w:val="0"/>
            <w:vAlign w:val="top"/>
          </w:tcPr>
          <w:p w14:paraId="2B7C874F">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地址：</w:t>
            </w:r>
          </w:p>
        </w:tc>
      </w:tr>
      <w:tr w14:paraId="26E58A59">
        <w:tblPrEx>
          <w:tblCellMar>
            <w:top w:w="0" w:type="dxa"/>
            <w:left w:w="108" w:type="dxa"/>
            <w:bottom w:w="0" w:type="dxa"/>
            <w:right w:w="108" w:type="dxa"/>
          </w:tblCellMar>
        </w:tblPrEx>
        <w:trPr>
          <w:trHeight w:val="601" w:hRule="atLeast"/>
          <w:jc w:val="center"/>
        </w:trPr>
        <w:tc>
          <w:tcPr>
            <w:tcW w:w="4785" w:type="dxa"/>
            <w:tcBorders>
              <w:top w:val="nil"/>
              <w:left w:val="nil"/>
              <w:bottom w:val="nil"/>
              <w:right w:val="nil"/>
            </w:tcBorders>
            <w:noWrap w:val="0"/>
            <w:vAlign w:val="top"/>
          </w:tcPr>
          <w:p w14:paraId="52819214">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法定代表人或授权代表：</w:t>
            </w:r>
          </w:p>
        </w:tc>
        <w:tc>
          <w:tcPr>
            <w:tcW w:w="4734" w:type="dxa"/>
            <w:tcBorders>
              <w:top w:val="nil"/>
              <w:left w:val="nil"/>
              <w:bottom w:val="nil"/>
              <w:right w:val="nil"/>
            </w:tcBorders>
            <w:noWrap w:val="0"/>
            <w:vAlign w:val="top"/>
          </w:tcPr>
          <w:p w14:paraId="693E306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法定代表人或授权代表：</w:t>
            </w:r>
          </w:p>
        </w:tc>
      </w:tr>
      <w:tr w14:paraId="10CAB784">
        <w:tblPrEx>
          <w:tblCellMar>
            <w:top w:w="0" w:type="dxa"/>
            <w:left w:w="108" w:type="dxa"/>
            <w:bottom w:w="0" w:type="dxa"/>
            <w:right w:w="108" w:type="dxa"/>
          </w:tblCellMar>
        </w:tblPrEx>
        <w:trPr>
          <w:trHeight w:val="601" w:hRule="atLeast"/>
          <w:jc w:val="center"/>
        </w:trPr>
        <w:tc>
          <w:tcPr>
            <w:tcW w:w="4785" w:type="dxa"/>
            <w:tcBorders>
              <w:top w:val="nil"/>
              <w:left w:val="nil"/>
              <w:bottom w:val="nil"/>
              <w:right w:val="nil"/>
            </w:tcBorders>
            <w:noWrap w:val="0"/>
            <w:vAlign w:val="top"/>
          </w:tcPr>
          <w:p w14:paraId="447719FD">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kern w:val="2"/>
                <w:sz w:val="21"/>
                <w:szCs w:val="21"/>
                <w:highlight w:val="none"/>
              </w:rPr>
            </w:pPr>
            <w:r>
              <w:rPr>
                <w:rFonts w:hint="eastAsia" w:asciiTheme="minorEastAsia" w:hAnsiTheme="minorEastAsia" w:eastAsiaTheme="minorEastAsia" w:cstheme="minorEastAsia"/>
                <w:b w:val="0"/>
                <w:bCs w:val="0"/>
                <w:color w:val="auto"/>
                <w:kern w:val="2"/>
                <w:sz w:val="21"/>
                <w:szCs w:val="21"/>
                <w:highlight w:val="none"/>
              </w:rPr>
              <w:t>联系电话：</w:t>
            </w:r>
          </w:p>
        </w:tc>
        <w:tc>
          <w:tcPr>
            <w:tcW w:w="4734" w:type="dxa"/>
            <w:tcBorders>
              <w:top w:val="nil"/>
              <w:left w:val="nil"/>
              <w:bottom w:val="nil"/>
              <w:right w:val="nil"/>
            </w:tcBorders>
            <w:noWrap w:val="0"/>
            <w:vAlign w:val="top"/>
          </w:tcPr>
          <w:p w14:paraId="7134FC2A">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kern w:val="2"/>
                <w:sz w:val="21"/>
                <w:szCs w:val="21"/>
                <w:highlight w:val="none"/>
              </w:rPr>
            </w:pPr>
            <w:r>
              <w:rPr>
                <w:rFonts w:hint="eastAsia" w:asciiTheme="minorEastAsia" w:hAnsiTheme="minorEastAsia" w:eastAsiaTheme="minorEastAsia" w:cstheme="minorEastAsia"/>
                <w:b w:val="0"/>
                <w:bCs w:val="0"/>
                <w:color w:val="auto"/>
                <w:kern w:val="2"/>
                <w:sz w:val="21"/>
                <w:szCs w:val="21"/>
                <w:highlight w:val="none"/>
              </w:rPr>
              <w:t>联系电话：</w:t>
            </w:r>
          </w:p>
        </w:tc>
      </w:tr>
      <w:tr w14:paraId="148695D6">
        <w:tblPrEx>
          <w:tblCellMar>
            <w:top w:w="0" w:type="dxa"/>
            <w:left w:w="108" w:type="dxa"/>
            <w:bottom w:w="0" w:type="dxa"/>
            <w:right w:w="108" w:type="dxa"/>
          </w:tblCellMar>
        </w:tblPrEx>
        <w:trPr>
          <w:trHeight w:val="601" w:hRule="atLeast"/>
          <w:jc w:val="center"/>
        </w:trPr>
        <w:tc>
          <w:tcPr>
            <w:tcW w:w="4785" w:type="dxa"/>
            <w:tcBorders>
              <w:top w:val="nil"/>
              <w:left w:val="nil"/>
              <w:bottom w:val="nil"/>
              <w:right w:val="nil"/>
            </w:tcBorders>
            <w:noWrap w:val="0"/>
            <w:vAlign w:val="top"/>
          </w:tcPr>
          <w:p w14:paraId="4982EBB3">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kern w:val="2"/>
                <w:sz w:val="21"/>
                <w:szCs w:val="21"/>
                <w:highlight w:val="none"/>
              </w:rPr>
            </w:pPr>
            <w:r>
              <w:rPr>
                <w:rFonts w:hint="eastAsia" w:asciiTheme="minorEastAsia" w:hAnsiTheme="minorEastAsia" w:eastAsiaTheme="minorEastAsia" w:cstheme="minorEastAsia"/>
                <w:b w:val="0"/>
                <w:bCs w:val="0"/>
                <w:color w:val="auto"/>
                <w:kern w:val="2"/>
                <w:sz w:val="21"/>
                <w:szCs w:val="21"/>
                <w:highlight w:val="none"/>
              </w:rPr>
              <w:t>日期：年月日</w:t>
            </w:r>
          </w:p>
        </w:tc>
        <w:tc>
          <w:tcPr>
            <w:tcW w:w="4734" w:type="dxa"/>
            <w:tcBorders>
              <w:top w:val="nil"/>
              <w:left w:val="nil"/>
              <w:bottom w:val="nil"/>
              <w:right w:val="nil"/>
            </w:tcBorders>
            <w:noWrap w:val="0"/>
            <w:vAlign w:val="top"/>
          </w:tcPr>
          <w:p w14:paraId="75D5EF5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kern w:val="2"/>
                <w:sz w:val="21"/>
                <w:szCs w:val="21"/>
                <w:highlight w:val="none"/>
              </w:rPr>
            </w:pPr>
            <w:r>
              <w:rPr>
                <w:rFonts w:hint="eastAsia" w:asciiTheme="minorEastAsia" w:hAnsiTheme="minorEastAsia" w:eastAsiaTheme="minorEastAsia" w:cstheme="minorEastAsia"/>
                <w:b w:val="0"/>
                <w:bCs w:val="0"/>
                <w:color w:val="auto"/>
                <w:kern w:val="2"/>
                <w:sz w:val="21"/>
                <w:szCs w:val="21"/>
                <w:highlight w:val="none"/>
              </w:rPr>
              <w:t>日期：年月日</w:t>
            </w:r>
          </w:p>
        </w:tc>
      </w:tr>
    </w:tbl>
    <w:p w14:paraId="027C1670">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见证方：（代理公司）</w:t>
      </w:r>
    </w:p>
    <w:p w14:paraId="5D6A2A19">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项目经办人：</w:t>
      </w:r>
    </w:p>
    <w:p w14:paraId="28B177E3">
      <w:pPr>
        <w:pStyle w:val="10"/>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日期：</w:t>
      </w:r>
      <w:r>
        <w:rPr>
          <w:rFonts w:hint="eastAsia" w:asciiTheme="minorEastAsia" w:hAnsiTheme="minorEastAsia" w:eastAsiaTheme="minorEastAsia" w:cstheme="minorEastAsia"/>
          <w:b w:val="0"/>
          <w:bCs w:val="0"/>
          <w:color w:val="auto"/>
          <w:sz w:val="21"/>
          <w:szCs w:val="21"/>
          <w:highlight w:val="none"/>
          <w:lang w:val="en-US" w:eastAsia="zh-CN"/>
        </w:rPr>
        <w:t xml:space="preserve">   </w:t>
      </w:r>
      <w:r>
        <w:rPr>
          <w:rFonts w:hint="eastAsia" w:asciiTheme="minorEastAsia" w:hAnsiTheme="minorEastAsia" w:eastAsiaTheme="minorEastAsia" w:cstheme="minorEastAsia"/>
          <w:b w:val="0"/>
          <w:bCs w:val="0"/>
          <w:color w:val="auto"/>
          <w:sz w:val="21"/>
          <w:szCs w:val="21"/>
          <w:highlight w:val="none"/>
        </w:rPr>
        <w:t>年</w:t>
      </w:r>
      <w:r>
        <w:rPr>
          <w:rFonts w:hint="eastAsia" w:asciiTheme="minorEastAsia" w:hAnsiTheme="minorEastAsia" w:eastAsiaTheme="minorEastAsia" w:cstheme="minorEastAsia"/>
          <w:b w:val="0"/>
          <w:bCs w:val="0"/>
          <w:color w:val="auto"/>
          <w:sz w:val="21"/>
          <w:szCs w:val="21"/>
          <w:highlight w:val="none"/>
          <w:lang w:val="en-US" w:eastAsia="zh-CN"/>
        </w:rPr>
        <w:t xml:space="preserve">   </w:t>
      </w:r>
      <w:r>
        <w:rPr>
          <w:rFonts w:hint="eastAsia" w:asciiTheme="minorEastAsia" w:hAnsiTheme="minorEastAsia" w:eastAsiaTheme="minorEastAsia" w:cstheme="minorEastAsia"/>
          <w:b w:val="0"/>
          <w:bCs w:val="0"/>
          <w:color w:val="auto"/>
          <w:sz w:val="21"/>
          <w:szCs w:val="21"/>
          <w:highlight w:val="none"/>
        </w:rPr>
        <w:t>月</w:t>
      </w:r>
      <w:r>
        <w:rPr>
          <w:rFonts w:hint="eastAsia" w:asciiTheme="minorEastAsia" w:hAnsiTheme="minorEastAsia" w:eastAsiaTheme="minorEastAsia" w:cstheme="minorEastAsia"/>
          <w:b w:val="0"/>
          <w:bCs w:val="0"/>
          <w:color w:val="auto"/>
          <w:sz w:val="21"/>
          <w:szCs w:val="21"/>
          <w:highlight w:val="none"/>
          <w:lang w:val="en-US" w:eastAsia="zh-CN"/>
        </w:rPr>
        <w:t xml:space="preserve">   </w:t>
      </w:r>
      <w:r>
        <w:rPr>
          <w:rFonts w:hint="eastAsia" w:asciiTheme="minorEastAsia" w:hAnsiTheme="minorEastAsia" w:eastAsiaTheme="minorEastAsia" w:cstheme="minorEastAsia"/>
          <w:b w:val="0"/>
          <w:bCs w:val="0"/>
          <w:color w:val="auto"/>
          <w:sz w:val="21"/>
          <w:szCs w:val="21"/>
          <w:highlight w:val="none"/>
        </w:rPr>
        <w:t>日</w:t>
      </w:r>
    </w:p>
    <w:p w14:paraId="73A9352E">
      <w:pPr>
        <w:rPr>
          <w:rFonts w:hint="eastAsia"/>
          <w:b/>
          <w:bCs/>
          <w:sz w:val="28"/>
        </w:rPr>
      </w:pPr>
    </w:p>
    <w:p w14:paraId="3BA9D57F">
      <w:pPr>
        <w:rPr>
          <w:rFonts w:hint="eastAsia"/>
          <w:b/>
          <w:bCs/>
          <w:sz w:val="28"/>
        </w:rPr>
      </w:pPr>
      <w:r>
        <w:rPr>
          <w:rFonts w:hint="eastAsia"/>
          <w:b/>
          <w:bCs/>
          <w:sz w:val="28"/>
        </w:rPr>
        <w:br w:type="page"/>
      </w:r>
    </w:p>
    <w:p w14:paraId="5D19B5C6">
      <w:pPr>
        <w:pStyle w:val="7"/>
        <w:rPr>
          <w:rFonts w:hint="eastAsia"/>
        </w:rPr>
      </w:pPr>
    </w:p>
    <w:p w14:paraId="2051203C">
      <w:pPr>
        <w:pStyle w:val="2"/>
        <w:spacing w:before="0" w:after="0" w:line="360" w:lineRule="auto"/>
        <w:jc w:val="center"/>
        <w:rPr>
          <w:rFonts w:ascii="宋体" w:hAnsi="宋体" w:eastAsia="宋体" w:cs="宋体"/>
          <w:sz w:val="28"/>
          <w:szCs w:val="28"/>
        </w:rPr>
      </w:pPr>
      <w:r>
        <w:rPr>
          <w:rFonts w:hint="eastAsia" w:ascii="宋体" w:hAnsi="宋体" w:eastAsia="宋体" w:cs="宋体"/>
          <w:sz w:val="28"/>
          <w:szCs w:val="28"/>
        </w:rPr>
        <w:t>第四章  项目需求</w:t>
      </w:r>
    </w:p>
    <w:p w14:paraId="66065A5B">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 xml:space="preserve">一、运营管理服务范围 </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p>
    <w:p w14:paraId="64B8A3D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bookmarkStart w:id="18" w:name="OLE_LINK90"/>
      <w:bookmarkStart w:id="19" w:name="OLE_LINK89"/>
      <w:bookmarkStart w:id="20" w:name="OLE_LINK92"/>
      <w:bookmarkStart w:id="21" w:name="OLE_LINK91"/>
      <w:r>
        <w:rPr>
          <w:rFonts w:hint="eastAsia" w:asciiTheme="minorEastAsia" w:hAnsiTheme="minorEastAsia" w:eastAsiaTheme="minorEastAsia" w:cstheme="minorEastAsia"/>
          <w:color w:val="000000" w:themeColor="text1"/>
          <w:sz w:val="21"/>
          <w:szCs w:val="21"/>
          <w14:textFill>
            <w14:solidFill>
              <w14:schemeClr w14:val="tx1"/>
            </w14:solidFill>
          </w14:textFill>
        </w:rPr>
        <w:t>高邮镇大淖、武安、水部楼、御码、南海、北海、黄渡、宝塔、新联社区、十里村、康华、怡嘉12家颐养社区、高邮镇街道日间照料中心、中心厨房按照运营方案开展运营服务</w:t>
      </w:r>
      <w:bookmarkEnd w:id="18"/>
      <w:bookmarkEnd w:id="19"/>
      <w:r>
        <w:rPr>
          <w:rFonts w:hint="eastAsia" w:asciiTheme="minorEastAsia" w:hAnsiTheme="minorEastAsia" w:eastAsiaTheme="minorEastAsia" w:cstheme="minorEastAsia"/>
          <w:color w:val="000000" w:themeColor="text1"/>
          <w:sz w:val="21"/>
          <w:szCs w:val="21"/>
          <w14:textFill>
            <w14:solidFill>
              <w14:schemeClr w14:val="tx1"/>
            </w14:solidFill>
          </w14:textFill>
        </w:rPr>
        <w:t>，其他社区根据个性化需求开展服务活动。</w:t>
      </w:r>
    </w:p>
    <w:bookmarkEnd w:id="20"/>
    <w:bookmarkEnd w:id="21"/>
    <w:p w14:paraId="0D1F1DFB">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二、开展日常养老服务项目：</w:t>
      </w:r>
    </w:p>
    <w:p w14:paraId="3D98EEA5">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中心使用“实体+媒介”的运行模式，以“老年人日间照料中心”为实体平台，开展丰富多彩的主题活动，最大限度地方便老人，充分丰富老年人的晚年生活。</w:t>
      </w:r>
    </w:p>
    <w:p w14:paraId="0067485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（1）生活照料：提供托老、用餐（配、送餐）、家政服务等一般生活照料服务。 </w:t>
      </w:r>
    </w:p>
    <w:p w14:paraId="122E8B89">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（2）老有所学：开设舞蹈、健身、书画、戏曲等学习兴趣班，让老人们能学习到知识、丰富晚年生活，同时还能结识到有共同兴趣的朋友，扩大自己的交际圈。 </w:t>
      </w:r>
    </w:p>
    <w:p w14:paraId="6DC7F07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（3）知识讲堂：定期举办健康、养生、保健等多方面的知识讲座。</w:t>
      </w:r>
    </w:p>
    <w:p w14:paraId="58D75B06">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（4）老有所乐：定期开展掼蛋、乒乓球、戏迷表演等竞赛活动，让老人们在比赛中得到身心的愉悦和放松、得到体现自我价值的乐趣。 </w:t>
      </w:r>
    </w:p>
    <w:p w14:paraId="35D57C0C">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三、建立多层级助餐服务体系：</w:t>
      </w:r>
    </w:p>
    <w:p w14:paraId="43F799E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老年人买菜难、做饭难、吃饭难，是不少家庭的棘手问题,老年助餐服务是关系老年人切身利益的民生实事。为了化解这一“痛点”,进一步提升全镇老年人助餐服务水平，高邮镇计划通过强化党建引领工作，依托颐养社区建设，在武安、大淖社区成立镇级“中心厨房”，积极履行新时期下“居家养老”服务的创新行动。着力构建“中心厨房+集中配送+社区就餐+送餐入户”社区老年人助餐服务模式，为广大老年人尤其是行动不便的失能、半失能老年人等解决“做饭难”“吃饭难”问题，让老年人吃上幸福餐。</w:t>
      </w:r>
    </w:p>
    <w:p w14:paraId="72FF2061">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四、整合资源完善养老工作体系建设：</w:t>
      </w:r>
    </w:p>
    <w:p w14:paraId="1AFBD7D7">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当前形势下，颐养社区项目应该顺应数字时代的变迁，有效利用互联网在社会资源分配和优化中的作用，将社区、居家养老延伸出无限可能。利用互联网跨地域、无边界、及时服务的优势和链接作用，将社区养老各个分散的环节有机地整合在一起，利用大数据对老年人的健康状况进行评估监测，提供针对性的服务和提醒。同时，为更好的消除“数字鸿沟”给老人带来的不便，试点开展“养老管家”服务，从被动接受居民咨询到主动出击、向老人了解需求。根据现有政策和服务为老人提出综合养老方案，解决老人的需求和问题，在整合社区资源的基础上，解决现有服务难以覆盖到的问题。从“最后一公里”到“最后1米”，为社区老人提供丰富、便捷、体贴的多样化、精细化、专业化养老服务，最终形成一个完整的服务闭环。</w:t>
      </w:r>
    </w:p>
    <w:p w14:paraId="431A0A8D">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五、推动创新打造时间银行互助养老：</w:t>
      </w:r>
    </w:p>
    <w:p w14:paraId="1D30EDB6">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积分养老其实质上是一种互助式养老，依托“互联网+时间银行”概念，把社区里愿意从事家政服务、老人护理服务的闲散剩余劳动力、爱心社区志愿者组织起来，经过专业化技能培训后，就近为社区内的失独、空巢老人及残疾老人提供以护理为主的专业性上门服务。志愿者可以根据服务的内容领取积分，等到自己家的老人需要帮助时，由其他志愿者提供“对等”的服务。通过互联网联起了供需之间的两端，达到了个性对个性，多元对多元，让“菜单式需求”与“精准化供给”有效结合。</w:t>
      </w:r>
    </w:p>
    <w:p w14:paraId="54AB18EC">
      <w:pPr>
        <w:pStyle w:val="7"/>
        <w:pageBreakBefore w:val="0"/>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六、开展文化活动（各站点根据实际情况轮番开展下列活动）：</w:t>
      </w:r>
    </w:p>
    <w:p w14:paraId="0D09A9C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1、“相聚春节、欢聚一堂”困难群体团圆饭；</w:t>
      </w:r>
    </w:p>
    <w:p w14:paraId="559B0699">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2、知识讲堂：定期举办一些生活知识讲座。</w:t>
      </w:r>
    </w:p>
    <w:p w14:paraId="22E7DE4C">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3、“相聚元宵、老少同乐”吃汤圆猜灯谜；</w:t>
      </w:r>
    </w:p>
    <w:p w14:paraId="32887F6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4、春之健：举办一些健康知识讲座；</w:t>
      </w:r>
    </w:p>
    <w:p w14:paraId="6052CD90">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5、“相聚端午·传递爱心”包粽子大赛；</w:t>
      </w:r>
    </w:p>
    <w:p w14:paraId="3AF51B08">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6、夏之博：夏季分别组织一次乒乓球、象棋、掼蛋比赛；</w:t>
      </w:r>
    </w:p>
    <w:p w14:paraId="2F9B242F">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7、“相聚中秋·牵手幸福”送节日月饼或DIY做月饼；</w:t>
      </w:r>
    </w:p>
    <w:p w14:paraId="7D3A352A">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8、秋之音：秋季组织一次戏曲、舞蹈等自娱自乐的文艺活动；</w:t>
      </w:r>
    </w:p>
    <w:p w14:paraId="2A5430BC">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9、“相聚重阳·放飞心情”送重阳糕等活动。</w:t>
      </w:r>
    </w:p>
    <w:p w14:paraId="0FD37271">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10、冬之趣：冬季开展一次简单、趣味的小游戏比赛；</w:t>
      </w:r>
    </w:p>
    <w:p w14:paraId="3592FB23">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11、生日派对：组织老人们一起参加集体生日共享天伦；</w:t>
      </w:r>
    </w:p>
    <w:p w14:paraId="55EAE677">
      <w:pPr>
        <w:pStyle w:val="7"/>
        <w:pageBreakBefore w:val="0"/>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12、才艺表演：组织有爱好特长的老人开展一次自娱自乐演出。</w:t>
      </w:r>
    </w:p>
    <w:p w14:paraId="1B442751">
      <w:pPr>
        <w:rPr>
          <w:rFonts w:hint="eastAsia" w:ascii="宋体" w:hAnsi="宋体" w:eastAsia="宋体" w:cs="楷体"/>
          <w:b w:val="0"/>
          <w:bCs w:val="0"/>
          <w:snapToGrid w:val="0"/>
          <w:color w:val="000000"/>
          <w:kern w:val="0"/>
          <w:sz w:val="21"/>
          <w:szCs w:val="21"/>
          <w:lang w:val="en-US" w:eastAsia="zh-CN" w:bidi="ar-SA"/>
        </w:rPr>
      </w:pPr>
      <w:r>
        <w:rPr>
          <w:rFonts w:hint="eastAsia" w:ascii="宋体" w:hAnsi="宋体" w:eastAsia="宋体" w:cs="楷体"/>
          <w:b w:val="0"/>
          <w:bCs w:val="0"/>
          <w:snapToGrid w:val="0"/>
          <w:color w:val="000000"/>
          <w:kern w:val="0"/>
          <w:sz w:val="21"/>
          <w:szCs w:val="21"/>
          <w:lang w:val="en-US" w:eastAsia="zh-CN" w:bidi="ar-SA"/>
        </w:rPr>
        <w:br w:type="page"/>
      </w:r>
    </w:p>
    <w:p w14:paraId="0CB6D3B0">
      <w:pPr>
        <w:pStyle w:val="2"/>
        <w:spacing w:line="360" w:lineRule="auto"/>
        <w:jc w:val="center"/>
        <w:rPr>
          <w:rFonts w:ascii="宋体" w:hAnsi="宋体" w:eastAsia="宋体" w:cs="宋体"/>
          <w:sz w:val="28"/>
          <w:szCs w:val="28"/>
        </w:rPr>
      </w:pPr>
      <w:r>
        <w:rPr>
          <w:rFonts w:hint="eastAsia" w:ascii="宋体" w:hAnsi="宋体" w:eastAsia="宋体" w:cs="宋体"/>
          <w:sz w:val="28"/>
          <w:szCs w:val="28"/>
        </w:rPr>
        <w:t>第五章 评标方法</w:t>
      </w:r>
    </w:p>
    <w:p w14:paraId="4F5D5234">
      <w:pPr>
        <w:spacing w:line="360" w:lineRule="auto"/>
        <w:ind w:right="352"/>
        <w:rPr>
          <w:rFonts w:ascii="宋体" w:hAnsi="宋体" w:eastAsia="宋体" w:cs="楷体"/>
          <w14:textOutline w14:w="4356" w14:cap="flat" w14:cmpd="sng" w14:algn="ctr">
            <w14:solidFill>
              <w14:srgbClr w14:val="000000"/>
            </w14:solidFill>
            <w14:prstDash w14:val="solid"/>
            <w14:miter w14:val="0"/>
          </w14:textOutline>
        </w:rPr>
      </w:pPr>
      <w:r>
        <w:rPr>
          <w:rFonts w:ascii="宋体" w:hAnsi="宋体" w:eastAsia="宋体" w:cs="楷体"/>
          <w:spacing w:val="-15"/>
          <w14:textOutline w14:w="4356" w14:cap="flat" w14:cmpd="sng" w14:algn="ctr">
            <w14:solidFill>
              <w14:srgbClr w14:val="000000"/>
            </w14:solidFill>
            <w14:prstDash w14:val="solid"/>
            <w14:miter w14:val="0"/>
          </w14:textOutline>
        </w:rPr>
        <w:t>一、</w:t>
      </w:r>
      <w:r>
        <w:rPr>
          <w:rFonts w:ascii="宋体" w:hAnsi="宋体" w:eastAsia="宋体" w:cs="楷体"/>
          <w14:textOutline w14:w="4356" w14:cap="flat" w14:cmpd="sng" w14:algn="ctr">
            <w14:solidFill>
              <w14:srgbClr w14:val="000000"/>
            </w14:solidFill>
            <w14:prstDash w14:val="solid"/>
            <w14:miter w14:val="0"/>
          </w14:textOutline>
        </w:rPr>
        <w:t>评审方法</w:t>
      </w:r>
    </w:p>
    <w:p w14:paraId="0BC9CC55">
      <w:pPr>
        <w:pStyle w:val="5"/>
        <w:widowControl w:val="0"/>
        <w:kinsoku/>
        <w:autoSpaceDE/>
        <w:autoSpaceDN/>
        <w:spacing w:before="0" w:after="0" w:line="360" w:lineRule="auto"/>
        <w:ind w:firstLine="422" w:firstLineChars="200"/>
        <w:textAlignment w:val="auto"/>
        <w:rPr>
          <w:rFonts w:ascii="宋体" w:hAnsi="宋体" w:eastAsia="宋体" w:cs="楷体"/>
          <w:b w:val="0"/>
          <w:bCs w:val="0"/>
          <w:sz w:val="21"/>
          <w:szCs w:val="21"/>
        </w:rPr>
      </w:pPr>
      <w:r>
        <w:rPr>
          <w:rFonts w:hint="eastAsia" w:ascii="宋体" w:hAnsi="宋体" w:eastAsia="宋体" w:cs="楷体"/>
          <w:sz w:val="21"/>
          <w:szCs w:val="21"/>
        </w:rPr>
        <w:t>本项目采用综合评分法，</w:t>
      </w:r>
      <w:r>
        <w:rPr>
          <w:rFonts w:hint="eastAsia" w:ascii="宋体" w:hAnsi="宋体" w:eastAsia="宋体" w:cs="楷体"/>
          <w:b w:val="0"/>
          <w:bCs w:val="0"/>
          <w:sz w:val="21"/>
          <w:szCs w:val="21"/>
        </w:rPr>
        <w:t xml:space="preserve"> 评标委员会将对通过资格后审的各</w:t>
      </w:r>
      <w:r>
        <w:rPr>
          <w:rFonts w:hint="eastAsia" w:ascii="宋体" w:hAnsi="宋体" w:eastAsia="宋体" w:cs="楷体"/>
          <w:b w:val="0"/>
          <w:bCs w:val="0"/>
          <w:sz w:val="21"/>
          <w:szCs w:val="21"/>
          <w:lang w:eastAsia="zh-CN"/>
        </w:rPr>
        <w:t>供应商</w:t>
      </w:r>
      <w:r>
        <w:rPr>
          <w:rFonts w:hint="eastAsia" w:ascii="宋体" w:hAnsi="宋体" w:eastAsia="宋体" w:cs="楷体"/>
          <w:b w:val="0"/>
          <w:bCs w:val="0"/>
          <w:sz w:val="21"/>
          <w:szCs w:val="21"/>
        </w:rPr>
        <w:t>的投标报价、技术和服务方案等方面进行综合评审，评标委员会各成员应当独立对每个有效</w:t>
      </w:r>
      <w:r>
        <w:rPr>
          <w:rFonts w:hint="eastAsia" w:ascii="宋体" w:hAnsi="宋体" w:eastAsia="宋体" w:cs="楷体"/>
          <w:b w:val="0"/>
          <w:bCs w:val="0"/>
          <w:sz w:val="21"/>
          <w:szCs w:val="21"/>
          <w:lang w:eastAsia="zh-CN"/>
        </w:rPr>
        <w:t>供应商</w:t>
      </w:r>
      <w:r>
        <w:rPr>
          <w:rFonts w:hint="eastAsia" w:ascii="宋体" w:hAnsi="宋体" w:eastAsia="宋体" w:cs="楷体"/>
          <w:b w:val="0"/>
          <w:bCs w:val="0"/>
          <w:sz w:val="21"/>
          <w:szCs w:val="21"/>
        </w:rPr>
        <w:t>的投标文件进行评价、打分。经统计，得出各</w:t>
      </w:r>
      <w:r>
        <w:rPr>
          <w:rFonts w:hint="eastAsia" w:ascii="宋体" w:hAnsi="宋体" w:eastAsia="宋体" w:cs="楷体"/>
          <w:b w:val="0"/>
          <w:bCs w:val="0"/>
          <w:sz w:val="21"/>
          <w:szCs w:val="21"/>
          <w:lang w:eastAsia="zh-CN"/>
        </w:rPr>
        <w:t>供应商</w:t>
      </w:r>
      <w:r>
        <w:rPr>
          <w:rFonts w:hint="eastAsia" w:ascii="宋体" w:hAnsi="宋体" w:eastAsia="宋体" w:cs="楷体"/>
          <w:b w:val="0"/>
          <w:bCs w:val="0"/>
          <w:sz w:val="21"/>
          <w:szCs w:val="21"/>
        </w:rPr>
        <w:t>的最终评审分,按最终评审分由高到低顺序排列。得分相同的，按投标报价由低到高顺序排列。得分且投标报价相同的，按技术指标优劣顺序排列，并形成评标意见。</w:t>
      </w:r>
    </w:p>
    <w:p w14:paraId="3A1380BA">
      <w:pPr>
        <w:spacing w:line="360" w:lineRule="auto"/>
        <w:ind w:right="352"/>
        <w:rPr>
          <w:rFonts w:ascii="宋体" w:hAnsi="宋体" w:eastAsia="宋体" w:cs="楷体"/>
          <w14:textOutline w14:w="4356" w14:cap="flat" w14:cmpd="sng" w14:algn="ctr">
            <w14:solidFill>
              <w14:srgbClr w14:val="000000"/>
            </w14:solidFill>
            <w14:prstDash w14:val="solid"/>
            <w14:miter w14:val="0"/>
          </w14:textOutline>
        </w:rPr>
      </w:pPr>
      <w:r>
        <w:rPr>
          <w:rFonts w:hint="eastAsia" w:ascii="宋体" w:hAnsi="宋体" w:eastAsia="宋体" w:cs="楷体"/>
          <w14:textOutline w14:w="4356" w14:cap="flat" w14:cmpd="sng" w14:algn="ctr">
            <w14:solidFill>
              <w14:srgbClr w14:val="000000"/>
            </w14:solidFill>
            <w14:prstDash w14:val="solid"/>
            <w14:miter w14:val="0"/>
          </w14:textOutline>
        </w:rPr>
        <w:t xml:space="preserve">二、政府采购政策功能落实 </w:t>
      </w:r>
    </w:p>
    <w:p w14:paraId="73660CB0">
      <w:pPr>
        <w:pStyle w:val="5"/>
        <w:widowControl w:val="0"/>
        <w:kinsoku/>
        <w:autoSpaceDE/>
        <w:autoSpaceDN/>
        <w:spacing w:before="0" w:after="0" w:line="360" w:lineRule="auto"/>
        <w:ind w:firstLine="420" w:firstLineChars="200"/>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 </w:t>
      </w:r>
    </w:p>
    <w:p w14:paraId="09EF3D31">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1、小微型企业价格扣除 </w:t>
      </w:r>
    </w:p>
    <w:p w14:paraId="5A24F114">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（1）本项目对小型和微型企业产品给予20%的扣除价格，用扣除后的价格参与评审。 </w:t>
      </w:r>
    </w:p>
    <w:p w14:paraId="2E4E9EE1">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（2）供应商需按照采购文件的要求提供相应的《企业声明函》。 </w:t>
      </w:r>
    </w:p>
    <w:p w14:paraId="336F4BE6">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2、残疾人福利单位价格扣除 </w:t>
      </w:r>
    </w:p>
    <w:p w14:paraId="70B53EA2">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（1）本项目对残疾人福利性单位视同小型、微型企业，给予20%的价格扣除，用扣除后的价格参与评审。 </w:t>
      </w:r>
    </w:p>
    <w:p w14:paraId="57034C75">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（2）残疾人福利单位需按照采购文件的要求提供《残疾人福利性单位声明函。 </w:t>
      </w:r>
    </w:p>
    <w:p w14:paraId="7AA06CC0">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（3）残疾人福利单位标准请参照《关于促进残疾人就业政府采购政策的通知》（财库 〔2017〕141号）。 </w:t>
      </w:r>
    </w:p>
    <w:p w14:paraId="1202CEF4">
      <w:pPr>
        <w:pStyle w:val="5"/>
        <w:widowControl w:val="0"/>
        <w:kinsoku/>
        <w:autoSpaceDE/>
        <w:autoSpaceDN/>
        <w:spacing w:before="0" w:after="0" w:line="360" w:lineRule="auto"/>
        <w:textAlignment w:val="auto"/>
        <w:rPr>
          <w:rFonts w:ascii="宋体" w:hAnsi="宋体" w:eastAsia="宋体" w:cs="楷体"/>
          <w:b w:val="0"/>
          <w:bCs w:val="0"/>
          <w:sz w:val="21"/>
          <w:szCs w:val="21"/>
        </w:rPr>
      </w:pPr>
      <w:r>
        <w:rPr>
          <w:rFonts w:hint="eastAsia" w:ascii="宋体" w:hAnsi="宋体" w:eastAsia="宋体" w:cs="楷体"/>
          <w:b w:val="0"/>
          <w:bCs w:val="0"/>
          <w:sz w:val="21"/>
          <w:szCs w:val="21"/>
        </w:rPr>
        <w:t xml:space="preserve">3、监狱和戒毒企业价格扣除 </w:t>
      </w:r>
    </w:p>
    <w:p w14:paraId="1EEE49AF">
      <w:pPr>
        <w:spacing w:line="360" w:lineRule="auto"/>
        <w:ind w:right="352"/>
        <w:rPr>
          <w:rFonts w:ascii="宋体" w:hAnsi="宋体" w:eastAsia="宋体" w:cs="楷体"/>
        </w:rPr>
      </w:pPr>
      <w:r>
        <w:rPr>
          <w:rFonts w:hint="eastAsia" w:ascii="宋体" w:hAnsi="宋体" w:eastAsia="宋体" w:cs="楷体"/>
        </w:rPr>
        <w:t xml:space="preserve">（1）本项目对监狱和戒毒企业（简称监狱企业）视同小型、微型企业，给予20%的价格扣除，用扣除后的价格参与评审。 </w:t>
      </w:r>
    </w:p>
    <w:p w14:paraId="25404574">
      <w:pPr>
        <w:spacing w:line="360" w:lineRule="auto"/>
        <w:ind w:right="352"/>
        <w:rPr>
          <w:rFonts w:ascii="宋体" w:hAnsi="宋体" w:eastAsia="宋体" w:cs="楷体"/>
        </w:rPr>
      </w:pPr>
      <w:r>
        <w:rPr>
          <w:rFonts w:hint="eastAsia" w:ascii="宋体" w:hAnsi="宋体" w:eastAsia="宋体" w:cs="楷体"/>
        </w:rPr>
        <w:t>（2）监狱企业参加政府采购活动时，需提供由省级以上监狱管理局、戒毒管理局(含新疆生产建设兵团)出具的属于监狱企业的证明文件。供应商如不提供上述证明文件，价格将 不做相应扣除。</w:t>
      </w:r>
    </w:p>
    <w:p w14:paraId="0BF1F1CB">
      <w:pPr>
        <w:spacing w:line="360" w:lineRule="auto"/>
        <w:ind w:right="352"/>
        <w:rPr>
          <w:rFonts w:ascii="宋体" w:hAnsi="宋体" w:eastAsia="宋体" w:cs="楷体"/>
        </w:rPr>
      </w:pPr>
      <w:r>
        <w:rPr>
          <w:rFonts w:hint="eastAsia" w:ascii="宋体" w:hAnsi="宋体" w:eastAsia="宋体" w:cs="楷体"/>
        </w:rPr>
        <w:t xml:space="preserve">（3）监狱企业标准请参照《关于政府采购支持监狱企业发展有关问题的通知》（财库[2014]68号）。 </w:t>
      </w:r>
    </w:p>
    <w:p w14:paraId="04424398">
      <w:pPr>
        <w:spacing w:line="360" w:lineRule="auto"/>
        <w:ind w:right="352"/>
        <w:rPr>
          <w:rFonts w:ascii="宋体" w:hAnsi="宋体" w:eastAsia="宋体" w:cs="楷体"/>
        </w:rPr>
      </w:pPr>
      <w:r>
        <w:rPr>
          <w:rFonts w:hint="eastAsia" w:ascii="宋体" w:hAnsi="宋体" w:eastAsia="宋体" w:cs="楷体"/>
        </w:rPr>
        <w:t>4、残疾人福利单位、监狱企业属于小型、微型企业的，不重复享受政策。</w:t>
      </w:r>
    </w:p>
    <w:p w14:paraId="76F435E1">
      <w:pPr>
        <w:spacing w:line="360" w:lineRule="auto"/>
        <w:ind w:right="352"/>
        <w:rPr>
          <w:rFonts w:ascii="宋体" w:hAnsi="宋体" w:eastAsia="宋体" w:cs="楷体"/>
        </w:rPr>
      </w:pPr>
      <w:r>
        <w:rPr>
          <w:rFonts w:hint="eastAsia" w:ascii="宋体" w:hAnsi="宋体" w:eastAsia="宋体" w:cs="楷体"/>
        </w:rPr>
        <w:t>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6%的价格扣除，用扣除后的价格参与评审。</w:t>
      </w:r>
      <w:r>
        <w:rPr>
          <w:rFonts w:hint="eastAsia" w:ascii="宋体" w:hAnsi="宋体" w:eastAsia="宋体" w:cs="楷体"/>
        </w:rPr>
        <w:cr/>
      </w:r>
      <w:r>
        <w:rPr>
          <w:rFonts w:hint="eastAsia" w:ascii="宋体" w:hAnsi="宋体" w:eastAsia="宋体" w:cs="楷体"/>
        </w:rPr>
        <w:t xml:space="preserve">  6、联合体各方均为小型、微型企业（残疾人福利单位、监狱企业）的，联合体享受20%价格扣除，用扣除后的价格参与评审。</w:t>
      </w:r>
    </w:p>
    <w:p w14:paraId="6C3190EB">
      <w:pPr>
        <w:pStyle w:val="5"/>
        <w:widowControl w:val="0"/>
        <w:kinsoku/>
        <w:autoSpaceDE/>
        <w:autoSpaceDN/>
        <w:spacing w:before="0" w:after="0" w:line="360" w:lineRule="auto"/>
        <w:textAlignment w:val="auto"/>
        <w:rPr>
          <w:rFonts w:ascii="宋体" w:hAnsi="宋体" w:eastAsia="宋体"/>
        </w:rPr>
      </w:pPr>
      <w:r>
        <w:rPr>
          <w:rFonts w:hint="eastAsia" w:ascii="宋体" w:hAnsi="宋体" w:eastAsia="宋体" w:cs="楷体"/>
          <w:b w:val="0"/>
          <w:bCs w:val="0"/>
          <w:sz w:val="21"/>
          <w:szCs w:val="21"/>
          <w14:textOutline w14:w="4356" w14:cap="flat" w14:cmpd="sng" w14:algn="ctr">
            <w14:solidFill>
              <w14:srgbClr w14:val="000000"/>
            </w14:solidFill>
            <w14:prstDash w14:val="solid"/>
            <w14:miter w14:val="0"/>
          </w14:textOutline>
        </w:rPr>
        <w:t>三、评审标准</w:t>
      </w:r>
    </w:p>
    <w:tbl>
      <w:tblPr>
        <w:tblStyle w:val="15"/>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379"/>
        <w:gridCol w:w="6520"/>
      </w:tblGrid>
      <w:tr w14:paraId="004C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95" w:type="dxa"/>
            <w:noWrap/>
            <w:vAlign w:val="center"/>
          </w:tcPr>
          <w:p w14:paraId="03FCF559">
            <w:pPr>
              <w:keepNext w:val="0"/>
              <w:keepLines w:val="0"/>
              <w:pageBreakBefore w:val="0"/>
              <w:wordWrap/>
              <w:overflowPunct/>
              <w:topLinePunct w:val="0"/>
              <w:autoSpaceDE w:val="0"/>
              <w:autoSpaceDN w:val="0"/>
              <w:bidi w:val="0"/>
              <w:adjustRightInd w:val="0"/>
              <w:spacing w:line="360" w:lineRule="auto"/>
              <w:ind w:left="0" w:leftChars="0" w:right="0"/>
              <w:jc w:val="center"/>
              <w:textAlignment w:val="baseline"/>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评审分项</w:t>
            </w:r>
          </w:p>
        </w:tc>
        <w:tc>
          <w:tcPr>
            <w:tcW w:w="7899" w:type="dxa"/>
            <w:gridSpan w:val="2"/>
            <w:noWrap/>
            <w:vAlign w:val="center"/>
          </w:tcPr>
          <w:p w14:paraId="29C955AD">
            <w:pPr>
              <w:keepNext w:val="0"/>
              <w:keepLines w:val="0"/>
              <w:pageBreakBefore w:val="0"/>
              <w:wordWrap/>
              <w:overflowPunct/>
              <w:topLinePunct w:val="0"/>
              <w:autoSpaceDE w:val="0"/>
              <w:autoSpaceDN w:val="0"/>
              <w:bidi w:val="0"/>
              <w:adjustRightInd w:val="0"/>
              <w:spacing w:line="360" w:lineRule="auto"/>
              <w:ind w:left="0" w:leftChars="0" w:right="0"/>
              <w:jc w:val="center"/>
              <w:textAlignment w:val="baseline"/>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评审细则</w:t>
            </w:r>
          </w:p>
        </w:tc>
      </w:tr>
      <w:tr w14:paraId="0F61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1295" w:type="dxa"/>
            <w:noWrap/>
            <w:vAlign w:val="center"/>
          </w:tcPr>
          <w:p w14:paraId="2CB3D2BC">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磋商报价</w:t>
            </w:r>
          </w:p>
          <w:p w14:paraId="05EAB299">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（30分）</w:t>
            </w:r>
          </w:p>
        </w:tc>
        <w:tc>
          <w:tcPr>
            <w:tcW w:w="7899" w:type="dxa"/>
            <w:gridSpan w:val="2"/>
            <w:noWrap/>
            <w:vAlign w:val="center"/>
          </w:tcPr>
          <w:p w14:paraId="60822336">
            <w:pPr>
              <w:pStyle w:val="27"/>
              <w:keepNext w:val="0"/>
              <w:keepLines w:val="0"/>
              <w:pageBreakBefore w:val="0"/>
              <w:wordWrap/>
              <w:overflowPunct/>
              <w:topLinePunct w:val="0"/>
              <w:autoSpaceDE w:val="0"/>
              <w:autoSpaceDN w:val="0"/>
              <w:bidi w:val="0"/>
              <w:adjustRightInd w:val="0"/>
              <w:spacing w:line="360" w:lineRule="auto"/>
              <w:ind w:left="0" w:leftChars="0" w:right="0" w:firstLine="8" w:firstLineChars="4"/>
              <w:rPr>
                <w:rFonts w:hint="eastAsia" w:asciiTheme="minorEastAsia" w:hAnsiTheme="minorEastAsia" w:eastAsiaTheme="minorEastAsia" w:cstheme="minorEastAsia"/>
                <w:bCs/>
                <w:snapToGrid w:val="0"/>
                <w:kern w:val="0"/>
                <w:sz w:val="21"/>
                <w:szCs w:val="21"/>
                <w:lang w:eastAsia="zh-CN"/>
              </w:rPr>
            </w:pPr>
            <w:r>
              <w:rPr>
                <w:rFonts w:hint="eastAsia" w:asciiTheme="minorEastAsia" w:hAnsiTheme="minorEastAsia" w:eastAsiaTheme="minorEastAsia" w:cstheme="minorEastAsia"/>
                <w:bCs/>
                <w:snapToGrid w:val="0"/>
                <w:kern w:val="0"/>
                <w:sz w:val="21"/>
                <w:szCs w:val="21"/>
                <w:lang w:eastAsia="zh-CN"/>
              </w:rPr>
              <w:t>以满足磋商文件要求且最后报价最低的供应商的价格为磋商基准价，其价格分为满分，其他投标人的价格分统一按照下列公式计算（小数点保留两位）：磋商报价得分＝（磋商基准价/最后磋商报价）×30分*100%（保留小数点后两位）。</w:t>
            </w:r>
          </w:p>
          <w:p w14:paraId="5C6B63F5">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注：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14:paraId="22B5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295" w:type="dxa"/>
            <w:vMerge w:val="restart"/>
            <w:noWrap/>
            <w:vAlign w:val="center"/>
          </w:tcPr>
          <w:p w14:paraId="7F24ECC8">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123EB86B">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62156791">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1332DD5A">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6F82F7D3">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73F58384">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74A6A5BC">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5022FCDF">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021BB9F6">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07B77C1F">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04BA18D8">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13EBE81E">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2F69DC8E">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p w14:paraId="36D8E1E4">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服务方案</w:t>
            </w:r>
          </w:p>
          <w:p w14:paraId="39340A42">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（46分）</w:t>
            </w:r>
          </w:p>
        </w:tc>
        <w:tc>
          <w:tcPr>
            <w:tcW w:w="1379" w:type="dxa"/>
            <w:noWrap/>
            <w:vAlign w:val="center"/>
          </w:tcPr>
          <w:p w14:paraId="03484B38">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项目实施总体方案（7分） </w:t>
            </w:r>
          </w:p>
          <w:p w14:paraId="7A27129C">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3A16F5EA">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投标人针对本项目制定服务总体方案。投标人提供的实施方案的总体思路是否完整可行，实施方案是否符合本项目的要求。项目实施方案总体思路清晰、内容完整、合理性针对性强，完全能满足本项目的需求的得7分；项目实施方案总体思路较清晰、内容较完整、合理性针对性较强，能满足项目需求的得5分；项目实施方案总体思路混乱，内容不完整、合理性针对性差，无法满足项目需求的得3分；未提供的不得分。 </w:t>
            </w:r>
          </w:p>
        </w:tc>
      </w:tr>
      <w:tr w14:paraId="2DFF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410B01FD">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6C83FE67">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服务项目的具体实施方案（7分） </w:t>
            </w:r>
          </w:p>
          <w:p w14:paraId="02C24390">
            <w:pPr>
              <w:keepNext w:val="0"/>
              <w:keepLines w:val="0"/>
              <w:pageBreakBefore w:val="0"/>
              <w:tabs>
                <w:tab w:val="left" w:pos="960"/>
              </w:tabs>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1D97A60C">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napToGrid w:val="0"/>
                <w:color w:val="auto"/>
                <w:sz w:val="21"/>
                <w:szCs w:val="21"/>
              </w:rPr>
              <w:t>根据投标人提供的居家养老服务内容，是否能够切实满足老年人的</w:t>
            </w:r>
            <w:r>
              <w:rPr>
                <w:rFonts w:hint="eastAsia" w:asciiTheme="minorEastAsia" w:hAnsiTheme="minorEastAsia" w:eastAsiaTheme="minorEastAsia" w:cstheme="minorEastAsia"/>
                <w:bCs/>
                <w:snapToGrid w:val="0"/>
                <w:color w:val="auto"/>
                <w:sz w:val="21"/>
                <w:szCs w:val="21"/>
                <w:lang w:val="en-US" w:eastAsia="zh-CN"/>
              </w:rPr>
              <w:t>助餐</w:t>
            </w:r>
            <w:r>
              <w:rPr>
                <w:rFonts w:hint="eastAsia" w:asciiTheme="minorEastAsia" w:hAnsiTheme="minorEastAsia" w:eastAsiaTheme="minorEastAsia" w:cstheme="minorEastAsia"/>
                <w:bCs/>
                <w:snapToGrid w:val="0"/>
                <w:color w:val="auto"/>
                <w:sz w:val="21"/>
                <w:szCs w:val="21"/>
              </w:rPr>
              <w:t>基础需求，有效改善和提高老人生活质量和健康管理能力。服务内容丰富，可操作性强的得7分；服务内容较丰富，具有较强的可操作性的得5分；服务内容不够丰富，可操作性一般但不影响项目开展的得3分；未提供的不得分。</w:t>
            </w:r>
            <w:r>
              <w:rPr>
                <w:rFonts w:hint="eastAsia" w:asciiTheme="minorEastAsia" w:hAnsiTheme="minorEastAsia" w:eastAsiaTheme="minorEastAsia" w:cstheme="minorEastAsia"/>
                <w:sz w:val="21"/>
                <w:szCs w:val="21"/>
              </w:rPr>
              <w:t xml:space="preserve"> </w:t>
            </w:r>
          </w:p>
        </w:tc>
      </w:tr>
      <w:tr w14:paraId="066B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78DBB18B">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5084B11F">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特色服务方案（8分） </w:t>
            </w:r>
          </w:p>
          <w:p w14:paraId="0252FCF6">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117C5FA9">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针对老年人的不同需求，为老年人提供个性化、专业化护理方案。方案完整、细致，符合个性化需求，专业性强得8分；方案较完整、较细致，基本符合个性化需求，专业性较强得5分；方案不完整、不细致，与个性化需求响应度低，专业性一般得3分；未提供的不得分。 </w:t>
            </w:r>
          </w:p>
        </w:tc>
      </w:tr>
      <w:tr w14:paraId="7A60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1DC77563">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11557C39">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内部管理制度（7分） </w:t>
            </w:r>
          </w:p>
          <w:p w14:paraId="78AF7ABC">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119D9C23">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投标人根据本项目制定具有针对性的内部管理架构和各类规章制度。内部管理构架完整针对性强，各类规章制度健全的得7分；内部管理构架不够完整针对性较强，各类规章制度健全的较完善的得5分；内部管理构架不完整针对性较差，各类规章制度健全的不完善的得3分；未提供的不得分。 </w:t>
            </w:r>
          </w:p>
        </w:tc>
      </w:tr>
      <w:tr w14:paraId="22FB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7C0D1FBF">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64176B97">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服务质量控制（7分） </w:t>
            </w:r>
          </w:p>
          <w:p w14:paraId="2394650A">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39FC1F4F">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投标人针对本项目具备规范的居家养老服务作业流程，是否具有质量控制措施且符合服务实际汇编成册的规范文件。服务作业流程流畅，质量控制措施完善，具有符合服务实际需求的服务规范文件的得7分；服务作业流程一般，质量控制措施不够完善，具有较符合实际需求的服务规范文件的得5分；服务作业流程不流畅，质量控制措施差，具有不符合实际服务需求服务规范文件的得3分；未提供的不得分。 </w:t>
            </w:r>
          </w:p>
        </w:tc>
      </w:tr>
      <w:tr w14:paraId="04E5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5BFEA765">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20BE552F">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培训计划方案（5 分）</w:t>
            </w:r>
          </w:p>
        </w:tc>
        <w:tc>
          <w:tcPr>
            <w:tcW w:w="6520" w:type="dxa"/>
            <w:noWrap/>
            <w:vAlign w:val="center"/>
          </w:tcPr>
          <w:p w14:paraId="067D1F61">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针对本项目特点提供完善的人员培训计划及措 施，如入职培训、岗前培训、文明礼仪及专业 业务技能培训等。人员培训计划及措施完善， 能有效提高服务人员的综合素质的得 5 分；人 员培训计划及措施较完善，对提高服务人员的 综合素质效果一般的得 3 分；人员培训计划及措施不完善，对提高服务人员的综合素质效果 差的得 1 分；未提供的不得分。</w:t>
            </w:r>
          </w:p>
        </w:tc>
      </w:tr>
      <w:tr w14:paraId="7BDF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noWrap/>
            <w:vAlign w:val="center"/>
          </w:tcPr>
          <w:p w14:paraId="11357669">
            <w:pPr>
              <w:keepNext w:val="0"/>
              <w:keepLines w:val="0"/>
              <w:pageBreakBefore w:val="0"/>
              <w:wordWrap/>
              <w:overflowPunct/>
              <w:topLinePunct w:val="0"/>
              <w:autoSpaceDE w:val="0"/>
              <w:autoSpaceDN w:val="0"/>
              <w:bidi w:val="0"/>
              <w:adjustRightInd w:val="0"/>
              <w:spacing w:line="360" w:lineRule="auto"/>
              <w:ind w:left="0" w:leftChars="0" w:right="0" w:firstLine="558" w:firstLineChars="266"/>
              <w:jc w:val="left"/>
              <w:textAlignment w:val="baseline"/>
              <w:rPr>
                <w:rFonts w:hint="eastAsia" w:asciiTheme="minorEastAsia" w:hAnsiTheme="minorEastAsia" w:eastAsiaTheme="minorEastAsia" w:cstheme="minorEastAsia"/>
                <w:bCs/>
                <w:snapToGrid w:val="0"/>
                <w:kern w:val="0"/>
                <w:sz w:val="21"/>
                <w:szCs w:val="21"/>
              </w:rPr>
            </w:pPr>
          </w:p>
        </w:tc>
        <w:tc>
          <w:tcPr>
            <w:tcW w:w="1379" w:type="dxa"/>
            <w:noWrap/>
            <w:vAlign w:val="center"/>
          </w:tcPr>
          <w:p w14:paraId="1B2E07B9">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服务承诺（5分） </w:t>
            </w:r>
          </w:p>
          <w:p w14:paraId="2B83F044">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6520" w:type="dxa"/>
            <w:noWrap/>
            <w:vAlign w:val="center"/>
          </w:tcPr>
          <w:p w14:paraId="19E13A12">
            <w:pPr>
              <w:pStyle w:val="20"/>
              <w:keepNext w:val="0"/>
              <w:keepLines w:val="0"/>
              <w:pageBreakBefore w:val="0"/>
              <w:wordWrap/>
              <w:overflowPunct/>
              <w:topLinePunct w:val="0"/>
              <w:autoSpaceDE w:val="0"/>
              <w:autoSpaceDN w:val="0"/>
              <w:bidi w:val="0"/>
              <w:adjustRightInd w:val="0"/>
              <w:spacing w:line="360" w:lineRule="auto"/>
              <w:ind w:right="0"/>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对所有委托服务事项有具体的管理指标承诺及具体措施，与采购人之间建立有效的沟通、回访机制，及时有效的处理采购人所提出的合理要求与建议：措施合理、建议合理、合理性高的得5分；措施比较合理、建议较合理、合理性较好的得3分；措施一般、建议合理性一般的得1分；未提供的不得分。 </w:t>
            </w:r>
          </w:p>
        </w:tc>
      </w:tr>
      <w:tr w14:paraId="2B8E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295" w:type="dxa"/>
            <w:noWrap/>
            <w:vAlign w:val="center"/>
          </w:tcPr>
          <w:p w14:paraId="5089DE14">
            <w:pPr>
              <w:pStyle w:val="20"/>
              <w:keepNext w:val="0"/>
              <w:keepLines w:val="0"/>
              <w:pageBreakBefore w:val="0"/>
              <w:wordWrap/>
              <w:overflowPunct/>
              <w:topLinePunct w:val="0"/>
              <w:autoSpaceDE w:val="0"/>
              <w:autoSpaceDN w:val="0"/>
              <w:bidi w:val="0"/>
              <w:adjustRightInd w:val="0"/>
              <w:spacing w:line="360" w:lineRule="auto"/>
              <w:ind w:left="0" w:leftChars="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napToGrid w:val="0"/>
                <w:color w:val="auto"/>
                <w:sz w:val="21"/>
                <w:szCs w:val="21"/>
              </w:rPr>
              <w:t>配备服务设施（8分）</w:t>
            </w:r>
            <w:r>
              <w:rPr>
                <w:rFonts w:hint="eastAsia" w:asciiTheme="minorEastAsia" w:hAnsiTheme="minorEastAsia" w:eastAsiaTheme="minorEastAsia" w:cstheme="minorEastAsia"/>
                <w:sz w:val="21"/>
                <w:szCs w:val="21"/>
              </w:rPr>
              <w:t xml:space="preserve"> </w:t>
            </w:r>
          </w:p>
          <w:p w14:paraId="2397655D">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p>
        </w:tc>
        <w:tc>
          <w:tcPr>
            <w:tcW w:w="7899" w:type="dxa"/>
            <w:gridSpan w:val="2"/>
            <w:noWrap/>
            <w:vAlign w:val="center"/>
          </w:tcPr>
          <w:p w14:paraId="6D76F917">
            <w:pPr>
              <w:pStyle w:val="20"/>
              <w:keepNext w:val="0"/>
              <w:keepLines w:val="0"/>
              <w:pageBreakBefore w:val="0"/>
              <w:wordWrap/>
              <w:overflowPunct/>
              <w:topLinePunct w:val="0"/>
              <w:autoSpaceDE w:val="0"/>
              <w:autoSpaceDN w:val="0"/>
              <w:bidi w:val="0"/>
              <w:adjustRightInd w:val="0"/>
              <w:spacing w:line="360" w:lineRule="auto"/>
              <w:ind w:left="0" w:leftChars="0" w:right="0" w:firstLine="459"/>
              <w:rPr>
                <w:rFonts w:hint="eastAsia" w:asciiTheme="minorEastAsia" w:hAnsiTheme="minorEastAsia" w:eastAsiaTheme="minorEastAsia" w:cstheme="minorEastAsia"/>
                <w:bCs/>
                <w:snapToGrid w:val="0"/>
                <w:color w:val="auto"/>
                <w:sz w:val="21"/>
                <w:szCs w:val="21"/>
              </w:rPr>
            </w:pPr>
            <w:r>
              <w:rPr>
                <w:rFonts w:hint="eastAsia" w:asciiTheme="minorEastAsia" w:hAnsiTheme="minorEastAsia" w:eastAsiaTheme="minorEastAsia" w:cstheme="minorEastAsia"/>
                <w:bCs/>
                <w:snapToGrid w:val="0"/>
                <w:color w:val="auto"/>
                <w:sz w:val="21"/>
                <w:szCs w:val="21"/>
              </w:rPr>
              <w:t xml:space="preserve">投标人应根据实际需求合理配备线上管理系统（有老人信息、服务订单、助餐服务、志愿者服务等）：配备完整合理合规得8分；基本满足需求的得5分；不太合理的得3分，不提供不得分。 </w:t>
            </w:r>
          </w:p>
          <w:p w14:paraId="73AFA153">
            <w:pPr>
              <w:keepNext w:val="0"/>
              <w:keepLines w:val="0"/>
              <w:pageBreakBefore w:val="0"/>
              <w:wordWrap/>
              <w:overflowPunct/>
              <w:topLinePunct w:val="0"/>
              <w:autoSpaceDE w:val="0"/>
              <w:autoSpaceDN w:val="0"/>
              <w:bidi w:val="0"/>
              <w:adjustRightInd w:val="0"/>
              <w:spacing w:line="360" w:lineRule="auto"/>
              <w:ind w:left="0" w:leftChars="0" w:right="0" w:firstLine="420" w:firstLineChars="200"/>
              <w:jc w:val="left"/>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 xml:space="preserve">注：投标人提供的线上管理系统可自有、可租赁、可作出配备到位的承诺函。 </w:t>
            </w:r>
          </w:p>
          <w:p w14:paraId="3F1665DD">
            <w:pPr>
              <w:keepNext w:val="0"/>
              <w:keepLines w:val="0"/>
              <w:pageBreakBefore w:val="0"/>
              <w:wordWrap/>
              <w:overflowPunct/>
              <w:topLinePunct w:val="0"/>
              <w:autoSpaceDE w:val="0"/>
              <w:autoSpaceDN w:val="0"/>
              <w:bidi w:val="0"/>
              <w:adjustRightInd w:val="0"/>
              <w:spacing w:line="360" w:lineRule="auto"/>
              <w:ind w:left="0" w:leftChars="0" w:right="0"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napToGrid w:val="0"/>
                <w:kern w:val="0"/>
                <w:sz w:val="21"/>
                <w:szCs w:val="21"/>
              </w:rPr>
              <w:t xml:space="preserve">以上管理系统自有的须提供实物照片及发票原件；租赁的服务设施须提供实物照片及租赁协议原件；作出承诺配备的提供承诺函原件，且须在取得中标通知书后签订合同前将所有承诺的服务设施配备到位，并提交设施的发票。 </w:t>
            </w:r>
          </w:p>
          <w:p w14:paraId="5597DD6E">
            <w:pPr>
              <w:pStyle w:val="7"/>
              <w:keepNext w:val="0"/>
              <w:keepLines w:val="0"/>
              <w:pageBreakBefore w:val="0"/>
              <w:wordWrap/>
              <w:overflowPunct/>
              <w:topLinePunct w:val="0"/>
              <w:autoSpaceDE w:val="0"/>
              <w:autoSpaceDN w:val="0"/>
              <w:bidi w:val="0"/>
              <w:adjustRightInd w:val="0"/>
              <w:spacing w:after="0" w:line="360" w:lineRule="auto"/>
              <w:ind w:left="0" w:leftChars="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注：以上相关材料原件扫描上传，未提供不得分。</w:t>
            </w:r>
          </w:p>
        </w:tc>
      </w:tr>
      <w:tr w14:paraId="367D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295" w:type="dxa"/>
            <w:noWrap/>
            <w:vAlign w:val="center"/>
          </w:tcPr>
          <w:p w14:paraId="7AEF84F3">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企业综合实力</w:t>
            </w:r>
          </w:p>
          <w:p w14:paraId="3856EA3A">
            <w:pPr>
              <w:keepNext w:val="0"/>
              <w:keepLines w:val="0"/>
              <w:pageBreakBefore w:val="0"/>
              <w:wordWrap/>
              <w:overflowPunct/>
              <w:topLinePunct w:val="0"/>
              <w:autoSpaceDE w:val="0"/>
              <w:autoSpaceDN w:val="0"/>
              <w:bidi w:val="0"/>
              <w:adjustRightInd w:val="0"/>
              <w:spacing w:line="360" w:lineRule="auto"/>
              <w:ind w:left="0" w:leftChars="0" w:right="0"/>
              <w:jc w:val="left"/>
              <w:textAlignment w:val="baseline"/>
              <w:rPr>
                <w:rFonts w:hint="eastAsia" w:asciiTheme="minorEastAsia" w:hAnsiTheme="minorEastAsia" w:eastAsiaTheme="minorEastAsia" w:cstheme="minorEastAsia"/>
                <w:bCs/>
                <w:snapToGrid w:val="0"/>
                <w:kern w:val="0"/>
                <w:sz w:val="21"/>
                <w:szCs w:val="21"/>
              </w:rPr>
            </w:pPr>
            <w:r>
              <w:rPr>
                <w:rFonts w:hint="eastAsia" w:asciiTheme="minorEastAsia" w:hAnsiTheme="minorEastAsia" w:eastAsiaTheme="minorEastAsia" w:cstheme="minorEastAsia"/>
                <w:bCs/>
                <w:snapToGrid w:val="0"/>
                <w:kern w:val="0"/>
                <w:sz w:val="21"/>
                <w:szCs w:val="21"/>
              </w:rPr>
              <w:t>（16分）</w:t>
            </w:r>
          </w:p>
        </w:tc>
        <w:tc>
          <w:tcPr>
            <w:tcW w:w="7899" w:type="dxa"/>
            <w:gridSpan w:val="2"/>
            <w:noWrap/>
            <w:vAlign w:val="center"/>
          </w:tcPr>
          <w:p w14:paraId="6B895F5F">
            <w:pPr>
              <w:pStyle w:val="20"/>
              <w:keepNext w:val="0"/>
              <w:keepLines w:val="0"/>
              <w:pageBreakBefore w:val="0"/>
              <w:wordWrap/>
              <w:overflowPunct/>
              <w:topLinePunct w:val="0"/>
              <w:autoSpaceDE w:val="0"/>
              <w:autoSpaceDN w:val="0"/>
              <w:bidi w:val="0"/>
              <w:adjustRightInd w:val="0"/>
              <w:spacing w:line="360" w:lineRule="auto"/>
              <w:ind w:left="0" w:leftChars="0" w:right="0" w:firstLine="46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napToGrid w:val="0"/>
                <w:sz w:val="21"/>
                <w:szCs w:val="21"/>
              </w:rPr>
              <w:t>（1）投标人在其养老服务项目中，有合作医疗机构及兼职心理咨询师、营养师、医师、护师、健康管理师等资质，每有一个资质得1分；本项最高不超过4分。以有效医疗服务团队组建证明资料及医护人员的注册证书为准。</w:t>
            </w:r>
          </w:p>
          <w:p w14:paraId="361911AE">
            <w:pPr>
              <w:pStyle w:val="20"/>
              <w:keepNext w:val="0"/>
              <w:keepLines w:val="0"/>
              <w:pageBreakBefore w:val="0"/>
              <w:wordWrap/>
              <w:overflowPunct/>
              <w:topLinePunct w:val="0"/>
              <w:autoSpaceDE w:val="0"/>
              <w:autoSpaceDN w:val="0"/>
              <w:bidi w:val="0"/>
              <w:adjustRightInd w:val="0"/>
              <w:spacing w:line="360" w:lineRule="auto"/>
              <w:ind w:left="0" w:leftChars="0" w:right="0" w:firstLine="460"/>
              <w:jc w:val="both"/>
              <w:rPr>
                <w:rFonts w:hint="eastAsia" w:asciiTheme="minorEastAsia" w:hAnsiTheme="minorEastAsia" w:eastAsiaTheme="minorEastAsia" w:cstheme="minorEastAsia"/>
                <w:bCs/>
                <w:snapToGrid w:val="0"/>
                <w:sz w:val="21"/>
                <w:szCs w:val="21"/>
              </w:rPr>
            </w:pPr>
            <w:r>
              <w:rPr>
                <w:rFonts w:hint="eastAsia" w:asciiTheme="minorEastAsia" w:hAnsiTheme="minorEastAsia" w:eastAsiaTheme="minorEastAsia" w:cstheme="minorEastAsia"/>
                <w:bCs/>
                <w:snapToGrid w:val="0"/>
                <w:color w:val="auto"/>
                <w:sz w:val="21"/>
                <w:szCs w:val="21"/>
              </w:rPr>
              <w:t>（2）拟派项目负责人具有养老评估员或中级以上社会工作师证书得3分,助理社会工作师证书得1分</w:t>
            </w:r>
            <w:r>
              <w:rPr>
                <w:rFonts w:hint="eastAsia" w:asciiTheme="minorEastAsia" w:hAnsiTheme="minorEastAsia" w:eastAsiaTheme="minorEastAsia" w:cstheme="minorEastAsia"/>
                <w:bCs/>
                <w:snapToGrid w:val="0"/>
                <w:color w:val="auto"/>
                <w:sz w:val="21"/>
                <w:szCs w:val="21"/>
                <w:lang w:val="en-US" w:eastAsia="zh-CN"/>
              </w:rPr>
              <w:t>;</w:t>
            </w:r>
            <w:r>
              <w:rPr>
                <w:rFonts w:hint="eastAsia" w:asciiTheme="minorEastAsia" w:hAnsiTheme="minorEastAsia" w:eastAsiaTheme="minorEastAsia" w:cstheme="minorEastAsia"/>
                <w:bCs/>
                <w:snapToGrid w:val="0"/>
                <w:color w:val="auto"/>
                <w:sz w:val="21"/>
                <w:szCs w:val="21"/>
              </w:rPr>
              <w:t>拟派项目负责人中级及以上养老护理员证书得3分,初级护理员证书得1分，此项不累加，最高得3分。</w:t>
            </w:r>
            <w:r>
              <w:rPr>
                <w:rFonts w:hint="eastAsia" w:asciiTheme="minorEastAsia" w:hAnsiTheme="minorEastAsia" w:eastAsiaTheme="minorEastAsia" w:cstheme="minorEastAsia"/>
                <w:bCs/>
                <w:snapToGrid w:val="0"/>
                <w:sz w:val="21"/>
                <w:szCs w:val="21"/>
              </w:rPr>
              <w:t>拟派项目负责人须为本单位专职人员，应提供近三个月内任意一个月的社保缴费记录。</w:t>
            </w:r>
          </w:p>
          <w:p w14:paraId="05C4394A">
            <w:pPr>
              <w:pStyle w:val="8"/>
              <w:keepNext w:val="0"/>
              <w:keepLines w:val="0"/>
              <w:pageBreakBefore w:val="0"/>
              <w:wordWrap/>
              <w:overflowPunct/>
              <w:topLinePunct w:val="0"/>
              <w:autoSpaceDE w:val="0"/>
              <w:autoSpaceDN w:val="0"/>
              <w:bidi w:val="0"/>
              <w:adjustRightInd w:val="0"/>
              <w:spacing w:line="360" w:lineRule="auto"/>
              <w:ind w:left="0" w:leftChars="0" w:right="0" w:firstLine="420" w:firstLineChars="200"/>
              <w:rPr>
                <w:rFonts w:hint="eastAsia" w:asciiTheme="minorEastAsia" w:hAnsiTheme="minorEastAsia" w:eastAsiaTheme="minorEastAsia" w:cstheme="minorEastAsia"/>
                <w:bCs/>
                <w:snapToGrid w:val="0"/>
                <w:color w:val="0000FF"/>
                <w:kern w:val="0"/>
                <w:sz w:val="21"/>
                <w:szCs w:val="21"/>
              </w:rPr>
            </w:pPr>
            <w:r>
              <w:rPr>
                <w:rFonts w:hint="eastAsia" w:asciiTheme="minorEastAsia" w:hAnsiTheme="minorEastAsia" w:eastAsiaTheme="minorEastAsia" w:cstheme="minorEastAsia"/>
                <w:bCs/>
                <w:snapToGrid w:val="0"/>
                <w:kern w:val="0"/>
                <w:sz w:val="21"/>
                <w:szCs w:val="21"/>
              </w:rPr>
              <w:t>（3）投标人具有为老助餐运营食堂的资质的得3分，</w:t>
            </w:r>
            <w:r>
              <w:rPr>
                <w:rFonts w:hint="eastAsia" w:asciiTheme="minorEastAsia" w:hAnsiTheme="minorEastAsia" w:eastAsiaTheme="minorEastAsia" w:cstheme="minorEastAsia"/>
                <w:bCs/>
                <w:snapToGrid w:val="0"/>
                <w:sz w:val="21"/>
                <w:szCs w:val="21"/>
              </w:rPr>
              <w:t>不提供不得分</w:t>
            </w:r>
            <w:r>
              <w:rPr>
                <w:rFonts w:hint="eastAsia" w:asciiTheme="minorEastAsia" w:hAnsiTheme="minorEastAsia" w:eastAsiaTheme="minorEastAsia" w:cstheme="minorEastAsia"/>
                <w:bCs/>
                <w:snapToGrid w:val="0"/>
                <w:kern w:val="0"/>
                <w:sz w:val="21"/>
                <w:szCs w:val="21"/>
              </w:rPr>
              <w:t>。</w:t>
            </w:r>
            <w:r>
              <w:rPr>
                <w:rFonts w:hint="eastAsia" w:asciiTheme="minorEastAsia" w:hAnsiTheme="minorEastAsia" w:eastAsiaTheme="minorEastAsia" w:cstheme="minorEastAsia"/>
                <w:bCs/>
                <w:snapToGrid w:val="0"/>
                <w:color w:val="0000FF"/>
                <w:kern w:val="0"/>
                <w:sz w:val="21"/>
                <w:szCs w:val="21"/>
                <w:lang w:eastAsia="zh-CN"/>
              </w:rPr>
              <w:t>（</w:t>
            </w:r>
            <w:r>
              <w:rPr>
                <w:rFonts w:hint="eastAsia" w:asciiTheme="minorEastAsia" w:hAnsiTheme="minorEastAsia" w:eastAsiaTheme="minorEastAsia" w:cstheme="minorEastAsia"/>
                <w:bCs/>
                <w:snapToGrid w:val="0"/>
                <w:color w:val="0000FF"/>
                <w:kern w:val="0"/>
                <w:sz w:val="21"/>
                <w:szCs w:val="21"/>
                <w:lang w:val="en-US" w:eastAsia="zh-CN"/>
              </w:rPr>
              <w:t>必须具有</w:t>
            </w:r>
            <w:r>
              <w:rPr>
                <w:rFonts w:hint="eastAsia" w:asciiTheme="minorEastAsia" w:hAnsiTheme="minorEastAsia" w:eastAsiaTheme="minorEastAsia" w:cstheme="minorEastAsia"/>
                <w:bCs/>
                <w:snapToGrid w:val="0"/>
                <w:color w:val="0000FF"/>
                <w:kern w:val="0"/>
                <w:sz w:val="21"/>
                <w:szCs w:val="21"/>
              </w:rPr>
              <w:t>市场食品经营许可证或卫生许可证</w:t>
            </w:r>
            <w:r>
              <w:rPr>
                <w:rFonts w:hint="eastAsia" w:asciiTheme="minorEastAsia" w:hAnsiTheme="minorEastAsia" w:eastAsiaTheme="minorEastAsia" w:cstheme="minorEastAsia"/>
                <w:bCs/>
                <w:snapToGrid w:val="0"/>
                <w:color w:val="0000FF"/>
                <w:kern w:val="0"/>
                <w:sz w:val="21"/>
                <w:szCs w:val="21"/>
                <w:lang w:eastAsia="zh-CN"/>
              </w:rPr>
              <w:t>）</w:t>
            </w:r>
          </w:p>
          <w:p w14:paraId="4DA2A567">
            <w:pPr>
              <w:pStyle w:val="8"/>
              <w:keepNext w:val="0"/>
              <w:keepLines w:val="0"/>
              <w:pageBreakBefore w:val="0"/>
              <w:wordWrap/>
              <w:overflowPunct/>
              <w:topLinePunct w:val="0"/>
              <w:autoSpaceDE w:val="0"/>
              <w:autoSpaceDN w:val="0"/>
              <w:bidi w:val="0"/>
              <w:adjustRightInd w:val="0"/>
              <w:spacing w:line="360" w:lineRule="auto"/>
              <w:ind w:left="0" w:leftChars="0" w:right="0" w:firstLine="420" w:firstLineChars="200"/>
              <w:rPr>
                <w:rFonts w:hint="eastAsia" w:asciiTheme="minorEastAsia" w:hAnsiTheme="minorEastAsia" w:eastAsiaTheme="minorEastAsia" w:cstheme="minorEastAsia"/>
                <w:bCs/>
                <w:snapToGrid w:val="0"/>
                <w:sz w:val="21"/>
                <w:szCs w:val="21"/>
              </w:rPr>
            </w:pPr>
            <w:r>
              <w:rPr>
                <w:rFonts w:hint="eastAsia" w:asciiTheme="minorEastAsia" w:hAnsiTheme="minorEastAsia" w:eastAsiaTheme="minorEastAsia" w:cstheme="minorEastAsia"/>
                <w:bCs/>
                <w:snapToGrid w:val="0"/>
                <w:sz w:val="21"/>
                <w:szCs w:val="21"/>
              </w:rPr>
              <w:t>（4）投标人2022年1月1日（以合同签订日期为准）以来承接过类似的养老运营服务项目，每有一个得2分，本项最高得6分；以服务合同为准。</w:t>
            </w:r>
          </w:p>
          <w:p w14:paraId="12005F42">
            <w:pPr>
              <w:pStyle w:val="8"/>
              <w:keepNext w:val="0"/>
              <w:keepLines w:val="0"/>
              <w:pageBreakBefore w:val="0"/>
              <w:wordWrap/>
              <w:overflowPunct/>
              <w:topLinePunct w:val="0"/>
              <w:autoSpaceDE w:val="0"/>
              <w:autoSpaceDN w:val="0"/>
              <w:bidi w:val="0"/>
              <w:adjustRightInd w:val="0"/>
              <w:spacing w:line="360" w:lineRule="auto"/>
              <w:ind w:left="0" w:leftChars="0" w:right="0"/>
              <w:jc w:val="left"/>
              <w:rPr>
                <w:rFonts w:hint="eastAsia" w:asciiTheme="minorEastAsia" w:hAnsiTheme="minorEastAsia" w:eastAsiaTheme="minorEastAsia" w:cstheme="minorEastAsia"/>
                <w:bCs/>
                <w:snapToGrid w:val="0"/>
                <w:kern w:val="0"/>
                <w:sz w:val="21"/>
                <w:szCs w:val="21"/>
              </w:rPr>
            </w:pPr>
            <w:bookmarkStart w:id="22" w:name="OLE_LINK161"/>
            <w:bookmarkStart w:id="23" w:name="OLE_LINK162"/>
            <w:r>
              <w:rPr>
                <w:rFonts w:hint="eastAsia" w:asciiTheme="minorEastAsia" w:hAnsiTheme="minorEastAsia" w:eastAsiaTheme="minorEastAsia" w:cstheme="minorEastAsia"/>
                <w:bCs/>
                <w:snapToGrid w:val="0"/>
                <w:kern w:val="0"/>
                <w:sz w:val="21"/>
                <w:szCs w:val="21"/>
              </w:rPr>
              <w:t>注：</w:t>
            </w:r>
            <w:r>
              <w:rPr>
                <w:rFonts w:hint="eastAsia" w:asciiTheme="minorEastAsia" w:hAnsiTheme="minorEastAsia" w:eastAsiaTheme="minorEastAsia" w:cstheme="minorEastAsia"/>
                <w:bCs/>
                <w:snapToGrid w:val="0"/>
                <w:sz w:val="21"/>
                <w:szCs w:val="21"/>
              </w:rPr>
              <w:t>以上</w:t>
            </w:r>
            <w:r>
              <w:rPr>
                <w:rFonts w:hint="eastAsia" w:asciiTheme="minorEastAsia" w:hAnsiTheme="minorEastAsia" w:eastAsiaTheme="minorEastAsia" w:cstheme="minorEastAsia"/>
                <w:sz w:val="21"/>
                <w:szCs w:val="21"/>
              </w:rPr>
              <w:t>相关材料原件扫描上传，未提供不得分</w:t>
            </w:r>
            <w:bookmarkEnd w:id="22"/>
            <w:bookmarkEnd w:id="23"/>
            <w:r>
              <w:rPr>
                <w:rFonts w:hint="eastAsia" w:asciiTheme="minorEastAsia" w:hAnsiTheme="minorEastAsia" w:eastAsiaTheme="minorEastAsia" w:cstheme="minorEastAsia"/>
                <w:sz w:val="21"/>
                <w:szCs w:val="21"/>
              </w:rPr>
              <w:t>。</w:t>
            </w:r>
          </w:p>
        </w:tc>
      </w:tr>
    </w:tbl>
    <w:p w14:paraId="43C5CE74">
      <w:pPr>
        <w:widowControl w:val="0"/>
        <w:kinsoku/>
        <w:autoSpaceDE/>
        <w:autoSpaceDN/>
        <w:adjustRightInd/>
        <w:snapToGrid/>
        <w:jc w:val="both"/>
        <w:textAlignment w:val="auto"/>
        <w:rPr>
          <w:rFonts w:ascii="Times New Roman" w:hAnsi="Times New Roman" w:eastAsia="宋体" w:cs="Times New Roman"/>
          <w:snapToGrid/>
          <w:color w:val="auto"/>
          <w:kern w:val="2"/>
          <w:szCs w:val="22"/>
        </w:rPr>
      </w:pPr>
    </w:p>
    <w:p w14:paraId="1138EBEF">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注：</w:t>
      </w:r>
    </w:p>
    <w:p w14:paraId="645CBF9E">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1、评委应对以上各得分项独立评分，投标人最终得分为所有评委评分汇总的平均值。</w:t>
      </w:r>
    </w:p>
    <w:p w14:paraId="0A165725">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2、根据《关于推动解决政府采购异常低价问题相关工作的通知》（苏财购〔2025〕62号）</w:t>
      </w:r>
    </w:p>
    <w:p w14:paraId="3BB734C9">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（一）评审过程中出现下列情形之一的，评审委员会将启动异常低价投标（响应）审查程序：</w:t>
      </w:r>
    </w:p>
    <w:p w14:paraId="77A2D2F8">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（1）投标（响应）报价低于采购项目预算50%的，即投标（响应）报价&lt;采购项目预算×50%；</w:t>
      </w:r>
    </w:p>
    <w:p w14:paraId="55C58E23">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（2）投标（响应）报价低于采购项目最高限价45%的，即投标（响应）报价&lt;采购项目最高限价×45%；</w:t>
      </w:r>
    </w:p>
    <w:p w14:paraId="36754EC3">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（3）评审委员会认定的供应商报价过低、有可能影响产品质量或者不能诚信履约的其他情形。</w:t>
      </w:r>
    </w:p>
    <w:p w14:paraId="44DC69D5">
      <w:pPr>
        <w:spacing w:line="256" w:lineRule="auto"/>
        <w:rPr>
          <w:rFonts w:hint="eastAsia" w:ascii="宋体" w:hAnsi="宋体" w:eastAsia="宋体" w:cs="楷体"/>
          <w:b w:val="0"/>
          <w:bCs w:val="0"/>
          <w:snapToGrid w:val="0"/>
          <w:color w:val="000000"/>
          <w:sz w:val="21"/>
          <w:szCs w:val="21"/>
          <w:lang w:val="en-US" w:eastAsia="zh-CN" w:bidi="ar-SA"/>
        </w:rPr>
      </w:pPr>
      <w:r>
        <w:rPr>
          <w:rFonts w:hint="eastAsia" w:ascii="宋体" w:hAnsi="宋体" w:eastAsia="宋体" w:cs="楷体"/>
          <w:b w:val="0"/>
          <w:bCs w:val="0"/>
          <w:snapToGrid w:val="0"/>
          <w:color w:val="000000"/>
          <w:sz w:val="21"/>
          <w:szCs w:val="21"/>
          <w:lang w:val="en-US" w:eastAsia="zh-CN" w:bidi="ar-SA"/>
        </w:rPr>
        <w:t>（二）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将其作为无效投标（响应）处理。审查相关情况在评审报告中进行记录。</w:t>
      </w:r>
    </w:p>
    <w:p w14:paraId="21438301">
      <w:pPr>
        <w:spacing w:line="256" w:lineRule="auto"/>
        <w:rPr>
          <w:rFonts w:ascii="宋体" w:hAnsi="宋体" w:eastAsia="宋体"/>
        </w:rPr>
      </w:pPr>
    </w:p>
    <w:p w14:paraId="4A32CF39">
      <w:pPr>
        <w:rPr>
          <w:rFonts w:eastAsiaTheme="minorEastAsia"/>
        </w:rPr>
      </w:pPr>
      <w:bookmarkStart w:id="24" w:name="_Toc109304976"/>
      <w:r>
        <w:rPr>
          <w:rFonts w:eastAsiaTheme="minorEastAsia"/>
        </w:rPr>
        <w:br w:type="page"/>
      </w:r>
    </w:p>
    <w:p w14:paraId="75B5AA3B">
      <w:pPr>
        <w:pStyle w:val="2"/>
        <w:spacing w:line="480" w:lineRule="auto"/>
        <w:jc w:val="center"/>
        <w:rPr>
          <w:rFonts w:ascii="宋体" w:hAnsi="宋体" w:eastAsia="宋体"/>
          <w:sz w:val="32"/>
          <w:szCs w:val="32"/>
        </w:rPr>
      </w:pPr>
      <w:r>
        <w:rPr>
          <w:rFonts w:hint="eastAsia" w:ascii="宋体" w:hAnsi="宋体" w:eastAsia="宋体"/>
          <w:sz w:val="32"/>
          <w:szCs w:val="32"/>
        </w:rPr>
        <w:t>第六章 竞争性磋商响应文件格式</w:t>
      </w:r>
      <w:bookmarkEnd w:id="24"/>
    </w:p>
    <w:p w14:paraId="234882D4">
      <w:pPr>
        <w:spacing w:line="480" w:lineRule="auto"/>
        <w:jc w:val="center"/>
        <w:rPr>
          <w:rFonts w:ascii="宋体" w:hAnsi="宋体" w:eastAsia="宋体"/>
          <w:b/>
          <w:sz w:val="22"/>
        </w:rPr>
      </w:pPr>
    </w:p>
    <w:p w14:paraId="6D0916FA">
      <w:pPr>
        <w:pStyle w:val="5"/>
        <w:rPr>
          <w:rFonts w:ascii="宋体" w:hAnsi="宋体" w:eastAsia="宋体"/>
        </w:rPr>
      </w:pPr>
    </w:p>
    <w:p w14:paraId="550B3947">
      <w:pPr>
        <w:rPr>
          <w:rFonts w:ascii="宋体" w:hAnsi="宋体" w:eastAsia="宋体"/>
        </w:rPr>
      </w:pPr>
    </w:p>
    <w:p w14:paraId="610952F2">
      <w:pPr>
        <w:spacing w:line="480" w:lineRule="auto"/>
        <w:jc w:val="center"/>
        <w:rPr>
          <w:rFonts w:ascii="宋体" w:hAnsi="宋体" w:eastAsia="宋体"/>
          <w:b/>
          <w:sz w:val="36"/>
        </w:rPr>
      </w:pPr>
      <w:r>
        <w:rPr>
          <w:rFonts w:hint="eastAsia" w:ascii="宋体" w:hAnsi="宋体" w:eastAsia="宋体"/>
          <w:b/>
          <w:bCs/>
          <w:sz w:val="72"/>
          <w:szCs w:val="72"/>
        </w:rPr>
        <w:t>竞争性磋商响应文件</w:t>
      </w:r>
    </w:p>
    <w:p w14:paraId="772187F7">
      <w:pPr>
        <w:spacing w:line="480" w:lineRule="auto"/>
        <w:rPr>
          <w:rFonts w:ascii="宋体" w:hAnsi="宋体" w:eastAsia="宋体"/>
          <w:b/>
          <w:sz w:val="36"/>
        </w:rPr>
      </w:pPr>
    </w:p>
    <w:p w14:paraId="27A4E16D">
      <w:pPr>
        <w:spacing w:line="480" w:lineRule="auto"/>
        <w:jc w:val="center"/>
        <w:rPr>
          <w:rFonts w:ascii="宋体" w:hAnsi="宋体" w:eastAsia="宋体"/>
          <w:b/>
          <w:sz w:val="36"/>
        </w:rPr>
      </w:pPr>
    </w:p>
    <w:p w14:paraId="2600F317">
      <w:pPr>
        <w:spacing w:line="480" w:lineRule="auto"/>
        <w:jc w:val="center"/>
        <w:rPr>
          <w:rFonts w:ascii="宋体" w:hAnsi="宋体" w:eastAsia="宋体"/>
          <w:b/>
          <w:sz w:val="36"/>
        </w:rPr>
      </w:pPr>
    </w:p>
    <w:p w14:paraId="793EB6C4">
      <w:pPr>
        <w:spacing w:line="480" w:lineRule="auto"/>
        <w:ind w:firstLine="1687" w:firstLineChars="600"/>
        <w:rPr>
          <w:rFonts w:ascii="宋体" w:hAnsi="宋体" w:eastAsia="宋体"/>
          <w:b/>
          <w:sz w:val="28"/>
          <w:szCs w:val="28"/>
        </w:rPr>
      </w:pPr>
      <w:r>
        <w:rPr>
          <w:rFonts w:hint="eastAsia" w:ascii="宋体" w:hAnsi="宋体" w:eastAsia="宋体"/>
          <w:b/>
          <w:sz w:val="28"/>
          <w:szCs w:val="28"/>
        </w:rPr>
        <w:t>项 目 名 称：</w:t>
      </w:r>
      <w:r>
        <w:rPr>
          <w:rFonts w:hint="eastAsia" w:ascii="宋体" w:hAnsi="宋体" w:eastAsia="宋体"/>
          <w:b/>
          <w:sz w:val="28"/>
          <w:szCs w:val="28"/>
          <w:u w:val="single"/>
        </w:rPr>
        <w:t xml:space="preserve">                   </w:t>
      </w:r>
    </w:p>
    <w:p w14:paraId="36949A3A">
      <w:pPr>
        <w:spacing w:line="480" w:lineRule="auto"/>
        <w:ind w:firstLine="1687" w:firstLineChars="600"/>
        <w:rPr>
          <w:rFonts w:ascii="宋体" w:hAnsi="宋体" w:eastAsia="宋体"/>
          <w:b/>
          <w:sz w:val="28"/>
          <w:szCs w:val="28"/>
          <w:u w:val="single"/>
        </w:rPr>
      </w:pPr>
      <w:r>
        <w:rPr>
          <w:rFonts w:hint="eastAsia" w:ascii="宋体" w:hAnsi="宋体" w:eastAsia="宋体"/>
          <w:b/>
          <w:sz w:val="28"/>
          <w:szCs w:val="28"/>
        </w:rPr>
        <w:t>项 目 编 号：</w:t>
      </w:r>
      <w:r>
        <w:rPr>
          <w:rFonts w:hint="eastAsia" w:ascii="宋体" w:hAnsi="宋体" w:eastAsia="宋体"/>
          <w:b/>
          <w:sz w:val="28"/>
          <w:szCs w:val="28"/>
          <w:u w:val="single"/>
        </w:rPr>
        <w:t xml:space="preserve">                   </w:t>
      </w:r>
    </w:p>
    <w:p w14:paraId="0C327DC8">
      <w:pPr>
        <w:spacing w:line="480" w:lineRule="auto"/>
        <w:rPr>
          <w:rFonts w:ascii="宋体" w:hAnsi="宋体" w:eastAsia="宋体"/>
          <w:b/>
          <w:sz w:val="28"/>
          <w:szCs w:val="28"/>
          <w:u w:val="single"/>
        </w:rPr>
      </w:pPr>
      <w:r>
        <w:rPr>
          <w:rFonts w:hint="eastAsia" w:ascii="宋体" w:hAnsi="宋体" w:eastAsia="宋体"/>
          <w:b/>
          <w:sz w:val="28"/>
          <w:szCs w:val="28"/>
        </w:rPr>
        <w:t xml:space="preserve">            磋商供应商名称 ：</w:t>
      </w:r>
      <w:r>
        <w:rPr>
          <w:rFonts w:hint="eastAsia" w:ascii="宋体" w:hAnsi="宋体" w:eastAsia="宋体"/>
          <w:b/>
          <w:sz w:val="28"/>
          <w:szCs w:val="28"/>
          <w:u w:val="single"/>
        </w:rPr>
        <w:t xml:space="preserve">               </w:t>
      </w:r>
    </w:p>
    <w:p w14:paraId="5268066E">
      <w:pPr>
        <w:spacing w:line="480" w:lineRule="auto"/>
        <w:rPr>
          <w:rFonts w:ascii="宋体" w:hAnsi="宋体" w:eastAsia="宋体"/>
          <w:b/>
          <w:sz w:val="28"/>
          <w:szCs w:val="28"/>
          <w:u w:val="single"/>
        </w:rPr>
      </w:pPr>
      <w:r>
        <w:rPr>
          <w:rFonts w:hint="eastAsia" w:ascii="宋体" w:hAnsi="宋体" w:eastAsia="宋体"/>
          <w:b/>
          <w:sz w:val="28"/>
          <w:szCs w:val="28"/>
        </w:rPr>
        <w:t xml:space="preserve">            日      期 ：</w:t>
      </w:r>
      <w:r>
        <w:rPr>
          <w:rFonts w:hint="eastAsia" w:ascii="宋体" w:hAnsi="宋体" w:eastAsia="宋体"/>
          <w:b/>
          <w:sz w:val="28"/>
          <w:szCs w:val="28"/>
          <w:u w:val="single"/>
        </w:rPr>
        <w:t xml:space="preserve">                   </w:t>
      </w:r>
    </w:p>
    <w:p w14:paraId="0D11A1B8">
      <w:pPr>
        <w:spacing w:line="480" w:lineRule="auto"/>
        <w:ind w:firstLine="1687" w:firstLineChars="600"/>
        <w:rPr>
          <w:rFonts w:ascii="宋体" w:hAnsi="宋体" w:eastAsia="宋体"/>
          <w:b/>
          <w:sz w:val="28"/>
          <w:szCs w:val="28"/>
        </w:rPr>
      </w:pPr>
      <w:r>
        <w:rPr>
          <w:rFonts w:hint="eastAsia" w:ascii="宋体" w:hAnsi="宋体" w:eastAsia="宋体"/>
          <w:b/>
          <w:sz w:val="28"/>
          <w:szCs w:val="28"/>
        </w:rPr>
        <w:t>供  应  商：</w:t>
      </w:r>
      <w:r>
        <w:rPr>
          <w:rFonts w:hint="eastAsia" w:ascii="宋体" w:hAnsi="宋体" w:eastAsia="宋体"/>
          <w:b/>
          <w:sz w:val="28"/>
          <w:szCs w:val="28"/>
          <w:u w:val="single"/>
        </w:rPr>
        <w:t xml:space="preserve">         </w:t>
      </w:r>
      <w:r>
        <w:rPr>
          <w:rFonts w:hint="eastAsia" w:ascii="宋体" w:hAnsi="宋体" w:eastAsia="宋体"/>
          <w:b/>
          <w:sz w:val="28"/>
          <w:szCs w:val="28"/>
        </w:rPr>
        <w:t>（电子签章）</w:t>
      </w:r>
    </w:p>
    <w:p w14:paraId="4081EA95">
      <w:pPr>
        <w:spacing w:line="480" w:lineRule="auto"/>
        <w:jc w:val="center"/>
        <w:rPr>
          <w:rFonts w:ascii="宋体" w:hAnsi="宋体" w:eastAsia="宋体"/>
          <w:b/>
          <w:bCs/>
          <w:sz w:val="32"/>
          <w:szCs w:val="32"/>
        </w:rPr>
      </w:pPr>
      <w:r>
        <w:rPr>
          <w:rFonts w:hint="eastAsia" w:ascii="宋体" w:hAnsi="宋体" w:eastAsia="宋体"/>
          <w:sz w:val="24"/>
        </w:rPr>
        <w:br w:type="page"/>
      </w:r>
      <w:r>
        <w:rPr>
          <w:rFonts w:hint="eastAsia" w:ascii="宋体" w:hAnsi="宋体" w:eastAsia="宋体"/>
          <w:b/>
          <w:bCs/>
          <w:sz w:val="32"/>
          <w:szCs w:val="32"/>
        </w:rPr>
        <w:t>磋商主要文件目录</w:t>
      </w:r>
    </w:p>
    <w:p w14:paraId="0B090C30">
      <w:pPr>
        <w:spacing w:line="480" w:lineRule="auto"/>
        <w:ind w:firstLine="480" w:firstLineChars="200"/>
        <w:rPr>
          <w:rFonts w:ascii="宋体" w:hAnsi="宋体" w:eastAsia="宋体"/>
          <w:sz w:val="24"/>
        </w:rPr>
      </w:pPr>
      <w:r>
        <w:rPr>
          <w:rFonts w:hint="eastAsia" w:ascii="宋体" w:hAnsi="宋体" w:eastAsia="宋体"/>
          <w:sz w:val="24"/>
        </w:rPr>
        <w:t>一、资格审查响应对照表</w:t>
      </w:r>
    </w:p>
    <w:p w14:paraId="285BD5A9">
      <w:pPr>
        <w:spacing w:line="480" w:lineRule="auto"/>
        <w:ind w:left="480"/>
        <w:rPr>
          <w:rFonts w:ascii="宋体" w:hAnsi="宋体" w:eastAsia="宋体"/>
          <w:sz w:val="24"/>
        </w:rPr>
      </w:pPr>
      <w:r>
        <w:rPr>
          <w:rFonts w:hint="eastAsia" w:ascii="宋体" w:hAnsi="宋体" w:eastAsia="宋体"/>
          <w:sz w:val="24"/>
        </w:rPr>
        <w:t>二、符合性审查响应对照表</w:t>
      </w:r>
    </w:p>
    <w:p w14:paraId="6E0C1BE0">
      <w:pPr>
        <w:spacing w:line="480" w:lineRule="auto"/>
        <w:ind w:left="480"/>
        <w:rPr>
          <w:rFonts w:ascii="宋体" w:hAnsi="宋体" w:eastAsia="宋体"/>
          <w:sz w:val="24"/>
        </w:rPr>
      </w:pPr>
      <w:r>
        <w:rPr>
          <w:rFonts w:hint="eastAsia" w:ascii="宋体" w:hAnsi="宋体" w:eastAsia="宋体"/>
          <w:sz w:val="24"/>
        </w:rPr>
        <w:t>三、非实质性响应对照表</w:t>
      </w:r>
    </w:p>
    <w:p w14:paraId="3087C50D">
      <w:pPr>
        <w:spacing w:line="480" w:lineRule="auto"/>
        <w:ind w:firstLine="480" w:firstLineChars="200"/>
        <w:rPr>
          <w:rFonts w:ascii="宋体" w:hAnsi="宋体" w:eastAsia="宋体"/>
          <w:b/>
          <w:bCs/>
          <w:sz w:val="24"/>
        </w:rPr>
      </w:pPr>
      <w:r>
        <w:rPr>
          <w:rFonts w:hint="eastAsia" w:ascii="宋体" w:hAnsi="宋体" w:eastAsia="宋体"/>
          <w:sz w:val="24"/>
        </w:rPr>
        <w:t>四</w:t>
      </w:r>
      <w:r>
        <w:rPr>
          <w:rFonts w:hint="eastAsia" w:ascii="宋体" w:hAnsi="宋体" w:eastAsia="宋体"/>
          <w:b/>
          <w:bCs/>
          <w:sz w:val="24"/>
        </w:rPr>
        <w:t>、</w:t>
      </w:r>
      <w:r>
        <w:rPr>
          <w:rFonts w:hint="eastAsia" w:ascii="宋体" w:hAnsi="宋体" w:eastAsia="宋体"/>
          <w:i/>
          <w:sz w:val="24"/>
          <w:u w:val="single"/>
        </w:rPr>
        <w:t>磋商响应报价表</w:t>
      </w:r>
    </w:p>
    <w:p w14:paraId="68664543">
      <w:pPr>
        <w:spacing w:line="480" w:lineRule="auto"/>
        <w:ind w:firstLine="480" w:firstLineChars="200"/>
        <w:rPr>
          <w:rFonts w:ascii="宋体" w:hAnsi="宋体" w:eastAsia="宋体"/>
          <w:sz w:val="24"/>
        </w:rPr>
      </w:pPr>
      <w:r>
        <w:rPr>
          <w:rFonts w:hint="eastAsia" w:ascii="宋体" w:hAnsi="宋体" w:eastAsia="宋体"/>
          <w:sz w:val="24"/>
        </w:rPr>
        <w:t>五、</w:t>
      </w:r>
      <w:r>
        <w:rPr>
          <w:rFonts w:hint="eastAsia" w:ascii="宋体" w:hAnsi="宋体" w:eastAsia="宋体"/>
          <w:sz w:val="24"/>
          <w:szCs w:val="24"/>
        </w:rPr>
        <w:t>技术参数响应及偏离表</w:t>
      </w:r>
    </w:p>
    <w:p w14:paraId="6571CDD6">
      <w:pPr>
        <w:spacing w:line="480" w:lineRule="auto"/>
        <w:ind w:firstLine="480" w:firstLineChars="200"/>
        <w:rPr>
          <w:rFonts w:ascii="宋体" w:hAnsi="宋体" w:eastAsia="宋体"/>
          <w:sz w:val="24"/>
        </w:rPr>
      </w:pPr>
      <w:r>
        <w:rPr>
          <w:rFonts w:hint="eastAsia" w:ascii="宋体" w:hAnsi="宋体" w:eastAsia="宋体"/>
          <w:sz w:val="24"/>
        </w:rPr>
        <w:t>六</w:t>
      </w:r>
      <w:r>
        <w:rPr>
          <w:rFonts w:hint="eastAsia" w:ascii="宋体" w:hAnsi="宋体" w:eastAsia="宋体" w:cs="Courier New"/>
          <w:sz w:val="24"/>
          <w:szCs w:val="24"/>
        </w:rPr>
        <w:t>、</w:t>
      </w:r>
      <w:r>
        <w:rPr>
          <w:rFonts w:hint="eastAsia" w:ascii="宋体" w:hAnsi="宋体" w:eastAsia="宋体"/>
          <w:sz w:val="24"/>
        </w:rPr>
        <w:t>商务条款响应及偏离表</w:t>
      </w:r>
    </w:p>
    <w:p w14:paraId="23F47A09">
      <w:pPr>
        <w:spacing w:line="480" w:lineRule="auto"/>
        <w:ind w:firstLine="480" w:firstLineChars="200"/>
        <w:rPr>
          <w:rFonts w:ascii="宋体" w:hAnsi="宋体" w:eastAsia="宋体"/>
          <w:sz w:val="24"/>
        </w:rPr>
      </w:pPr>
      <w:r>
        <w:rPr>
          <w:rFonts w:hint="eastAsia" w:ascii="宋体" w:hAnsi="宋体" w:eastAsia="宋体"/>
          <w:sz w:val="24"/>
        </w:rPr>
        <w:t>七、其他 （供应商认为有必要提供的声明和文件，如有自拟并自行添加）</w:t>
      </w:r>
    </w:p>
    <w:p w14:paraId="377D40E2">
      <w:pPr>
        <w:pStyle w:val="3"/>
        <w:rPr>
          <w:rFonts w:ascii="宋体" w:hAnsi="宋体" w:eastAsia="宋体"/>
          <w:b w:val="0"/>
        </w:rPr>
      </w:pPr>
      <w:r>
        <w:rPr>
          <w:rFonts w:ascii="宋体" w:hAnsi="宋体" w:eastAsia="宋体"/>
        </w:rPr>
        <w:br w:type="page"/>
      </w:r>
      <w:r>
        <w:rPr>
          <w:rFonts w:hint="eastAsia" w:ascii="宋体" w:hAnsi="宋体" w:eastAsia="宋体"/>
        </w:rPr>
        <w:t>一、资格审查响应对照表</w:t>
      </w:r>
    </w:p>
    <w:tbl>
      <w:tblPr>
        <w:tblStyle w:val="15"/>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5584"/>
        <w:gridCol w:w="2212"/>
      </w:tblGrid>
      <w:tr w14:paraId="0CE3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62" w:type="dxa"/>
            <w:vAlign w:val="center"/>
          </w:tcPr>
          <w:p w14:paraId="1B025DE3">
            <w:pPr>
              <w:spacing w:line="240" w:lineRule="atLeast"/>
              <w:jc w:val="center"/>
              <w:rPr>
                <w:rFonts w:ascii="宋体" w:hAnsi="宋体" w:eastAsia="宋体"/>
                <w:b/>
              </w:rPr>
            </w:pPr>
            <w:r>
              <w:rPr>
                <w:rFonts w:hint="eastAsia" w:ascii="宋体" w:hAnsi="宋体" w:eastAsia="宋体"/>
                <w:b/>
              </w:rPr>
              <w:t>序号</w:t>
            </w:r>
          </w:p>
        </w:tc>
        <w:tc>
          <w:tcPr>
            <w:tcW w:w="5584" w:type="dxa"/>
            <w:vAlign w:val="center"/>
          </w:tcPr>
          <w:p w14:paraId="021D512A">
            <w:pPr>
              <w:spacing w:line="240" w:lineRule="atLeast"/>
              <w:jc w:val="center"/>
              <w:rPr>
                <w:rFonts w:ascii="宋体" w:hAnsi="宋体" w:eastAsia="宋体"/>
                <w:b/>
              </w:rPr>
            </w:pPr>
            <w:r>
              <w:rPr>
                <w:rFonts w:hint="eastAsia" w:ascii="宋体" w:hAnsi="宋体" w:eastAsia="宋体"/>
                <w:b/>
              </w:rPr>
              <w:t>资格审查响应内容</w:t>
            </w:r>
          </w:p>
        </w:tc>
        <w:tc>
          <w:tcPr>
            <w:tcW w:w="2212" w:type="dxa"/>
            <w:vAlign w:val="center"/>
          </w:tcPr>
          <w:p w14:paraId="78013EFA">
            <w:pPr>
              <w:spacing w:line="240" w:lineRule="atLeast"/>
              <w:jc w:val="center"/>
              <w:rPr>
                <w:rFonts w:ascii="宋体" w:hAnsi="宋体" w:eastAsia="宋体"/>
                <w:b/>
              </w:rPr>
            </w:pPr>
            <w:r>
              <w:rPr>
                <w:rFonts w:hint="eastAsia" w:ascii="宋体" w:hAnsi="宋体" w:eastAsia="宋体"/>
                <w:b/>
              </w:rPr>
              <w:t>是否响应</w:t>
            </w:r>
          </w:p>
          <w:p w14:paraId="62B81A21">
            <w:pPr>
              <w:spacing w:line="240" w:lineRule="atLeast"/>
              <w:jc w:val="center"/>
              <w:rPr>
                <w:rFonts w:ascii="宋体" w:hAnsi="宋体" w:eastAsia="宋体"/>
                <w:b/>
              </w:rPr>
            </w:pPr>
            <w:r>
              <w:rPr>
                <w:rFonts w:hint="eastAsia" w:ascii="宋体" w:hAnsi="宋体" w:eastAsia="宋体"/>
                <w:b/>
              </w:rPr>
              <w:t>（填是或者否）</w:t>
            </w:r>
          </w:p>
        </w:tc>
      </w:tr>
      <w:tr w14:paraId="6F28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58" w:type="dxa"/>
            <w:gridSpan w:val="3"/>
            <w:vAlign w:val="center"/>
          </w:tcPr>
          <w:p w14:paraId="05494EA2">
            <w:pPr>
              <w:rPr>
                <w:rFonts w:ascii="宋体" w:hAnsi="宋体" w:eastAsia="宋体"/>
                <w:b/>
              </w:rPr>
            </w:pPr>
            <w:r>
              <w:rPr>
                <w:rFonts w:hint="eastAsia" w:ascii="宋体" w:hAnsi="宋体" w:eastAsia="宋体"/>
                <w:b/>
              </w:rPr>
              <w:t>通用资格条件</w:t>
            </w:r>
          </w:p>
        </w:tc>
      </w:tr>
      <w:tr w14:paraId="2174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662" w:type="dxa"/>
            <w:vAlign w:val="center"/>
          </w:tcPr>
          <w:p w14:paraId="094D46CF">
            <w:pPr>
              <w:jc w:val="center"/>
              <w:rPr>
                <w:rFonts w:ascii="宋体" w:hAnsi="宋体" w:eastAsia="宋体"/>
                <w:b/>
              </w:rPr>
            </w:pPr>
            <w:r>
              <w:rPr>
                <w:rFonts w:hint="eastAsia" w:ascii="宋体" w:hAnsi="宋体" w:eastAsia="宋体"/>
              </w:rPr>
              <w:t>1</w:t>
            </w:r>
          </w:p>
        </w:tc>
        <w:tc>
          <w:tcPr>
            <w:tcW w:w="5584" w:type="dxa"/>
            <w:vAlign w:val="center"/>
          </w:tcPr>
          <w:p w14:paraId="151F717A">
            <w:pPr>
              <w:spacing w:line="360" w:lineRule="auto"/>
              <w:rPr>
                <w:rFonts w:ascii="宋体" w:hAnsi="宋体" w:eastAsia="宋体"/>
                <w:iCs/>
              </w:rPr>
            </w:pPr>
            <w:r>
              <w:rPr>
                <w:rFonts w:hint="eastAsia" w:ascii="宋体" w:hAnsi="宋体" w:eastAsia="宋体" w:cs="宋体"/>
              </w:rPr>
              <w:t>法人或者其他组织的营业执照等证明文件，自然人的身份证明</w:t>
            </w:r>
            <w:r>
              <w:rPr>
                <w:rFonts w:hint="eastAsia" w:ascii="宋体" w:hAnsi="宋体" w:eastAsia="宋体"/>
              </w:rPr>
              <w:t>（身份证为正、反面）</w:t>
            </w:r>
          </w:p>
        </w:tc>
        <w:tc>
          <w:tcPr>
            <w:tcW w:w="2212" w:type="dxa"/>
            <w:vAlign w:val="center"/>
          </w:tcPr>
          <w:p w14:paraId="0293089B">
            <w:pPr>
              <w:rPr>
                <w:rFonts w:ascii="宋体" w:hAnsi="宋体" w:eastAsia="宋体"/>
                <w:b/>
              </w:rPr>
            </w:pPr>
          </w:p>
        </w:tc>
      </w:tr>
      <w:tr w14:paraId="519D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662" w:type="dxa"/>
            <w:vAlign w:val="center"/>
          </w:tcPr>
          <w:p w14:paraId="782459B8">
            <w:pPr>
              <w:jc w:val="center"/>
              <w:rPr>
                <w:rFonts w:ascii="宋体" w:hAnsi="宋体" w:eastAsia="宋体"/>
              </w:rPr>
            </w:pPr>
            <w:r>
              <w:rPr>
                <w:rFonts w:hint="eastAsia" w:ascii="宋体" w:hAnsi="宋体" w:eastAsia="宋体"/>
              </w:rPr>
              <w:t>2</w:t>
            </w:r>
          </w:p>
        </w:tc>
        <w:tc>
          <w:tcPr>
            <w:tcW w:w="5584" w:type="dxa"/>
            <w:vAlign w:val="center"/>
          </w:tcPr>
          <w:p w14:paraId="6911AB86">
            <w:pPr>
              <w:spacing w:line="360" w:lineRule="auto"/>
              <w:rPr>
                <w:rFonts w:ascii="宋体" w:hAnsi="宋体" w:eastAsia="宋体"/>
                <w:iCs/>
              </w:rPr>
            </w:pPr>
            <w:r>
              <w:rPr>
                <w:rFonts w:hint="eastAsia" w:ascii="宋体" w:hAnsi="宋体" w:eastAsia="宋体" w:cs="宋体"/>
              </w:rPr>
              <w:t>依法缴纳职工社会保障资金的证明材料</w:t>
            </w:r>
            <w:r>
              <w:rPr>
                <w:rFonts w:hint="eastAsia" w:ascii="宋体" w:hAnsi="宋体" w:eastAsia="宋体" w:cs="宋体"/>
                <w:b/>
                <w:bCs/>
              </w:rPr>
              <w:t>(税务、银行或社会保险基金管理部门出具的近三个月内任意一个月缴纳职工社会保障资金的缴款凭证或缴款证明)</w:t>
            </w:r>
          </w:p>
        </w:tc>
        <w:tc>
          <w:tcPr>
            <w:tcW w:w="2212" w:type="dxa"/>
            <w:vAlign w:val="center"/>
          </w:tcPr>
          <w:p w14:paraId="4509E6E4">
            <w:pPr>
              <w:rPr>
                <w:rFonts w:ascii="宋体" w:hAnsi="宋体" w:eastAsia="宋体"/>
              </w:rPr>
            </w:pPr>
          </w:p>
        </w:tc>
      </w:tr>
      <w:tr w14:paraId="0B1D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662" w:type="dxa"/>
            <w:vAlign w:val="center"/>
          </w:tcPr>
          <w:p w14:paraId="17563F36">
            <w:pPr>
              <w:jc w:val="center"/>
              <w:rPr>
                <w:rFonts w:ascii="宋体" w:hAnsi="宋体" w:eastAsia="宋体"/>
              </w:rPr>
            </w:pPr>
            <w:r>
              <w:rPr>
                <w:rFonts w:hint="eastAsia" w:ascii="宋体" w:hAnsi="宋体" w:eastAsia="宋体"/>
              </w:rPr>
              <w:t>3</w:t>
            </w:r>
          </w:p>
        </w:tc>
        <w:tc>
          <w:tcPr>
            <w:tcW w:w="5584" w:type="dxa"/>
            <w:vAlign w:val="center"/>
          </w:tcPr>
          <w:p w14:paraId="0F5E66AD">
            <w:pPr>
              <w:spacing w:line="360" w:lineRule="auto"/>
              <w:rPr>
                <w:rFonts w:ascii="宋体" w:hAnsi="宋体" w:eastAsia="宋体"/>
                <w:iCs/>
              </w:rPr>
            </w:pPr>
            <w:r>
              <w:rPr>
                <w:rFonts w:hint="eastAsia" w:ascii="宋体" w:hAnsi="宋体" w:eastAsia="宋体" w:cs="宋体"/>
                <w:lang w:eastAsia="zh-CN"/>
              </w:rPr>
              <w:t>供应商</w:t>
            </w:r>
            <w:r>
              <w:rPr>
                <w:rFonts w:hint="eastAsia" w:ascii="宋体" w:hAnsi="宋体" w:eastAsia="宋体" w:cs="宋体"/>
              </w:rPr>
              <w:t>近三个月内任意一份依法纳税的缴款凭证</w:t>
            </w:r>
          </w:p>
        </w:tc>
        <w:tc>
          <w:tcPr>
            <w:tcW w:w="2212" w:type="dxa"/>
            <w:vAlign w:val="center"/>
          </w:tcPr>
          <w:p w14:paraId="5E1CDE80">
            <w:pPr>
              <w:rPr>
                <w:rFonts w:ascii="宋体" w:hAnsi="宋体" w:eastAsia="宋体"/>
              </w:rPr>
            </w:pPr>
          </w:p>
        </w:tc>
      </w:tr>
      <w:tr w14:paraId="7463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62" w:type="dxa"/>
            <w:vAlign w:val="center"/>
          </w:tcPr>
          <w:p w14:paraId="0D767DA6">
            <w:pPr>
              <w:jc w:val="center"/>
              <w:rPr>
                <w:rFonts w:ascii="宋体" w:hAnsi="宋体" w:eastAsia="宋体"/>
              </w:rPr>
            </w:pPr>
            <w:r>
              <w:rPr>
                <w:rFonts w:hint="eastAsia" w:ascii="宋体" w:hAnsi="宋体" w:eastAsia="宋体"/>
              </w:rPr>
              <w:t>4</w:t>
            </w:r>
          </w:p>
        </w:tc>
        <w:tc>
          <w:tcPr>
            <w:tcW w:w="5584" w:type="dxa"/>
            <w:vAlign w:val="center"/>
          </w:tcPr>
          <w:p w14:paraId="1E887F39">
            <w:pPr>
              <w:spacing w:line="360" w:lineRule="auto"/>
              <w:rPr>
                <w:rFonts w:ascii="宋体" w:hAnsi="宋体" w:eastAsia="宋体"/>
                <w:iCs/>
              </w:rPr>
            </w:pPr>
            <w:r>
              <w:rPr>
                <w:rFonts w:hint="eastAsia" w:ascii="宋体" w:hAnsi="宋体" w:eastAsia="宋体" w:cs="宋体"/>
              </w:rPr>
              <w:t>上一年度的财务状况情况</w:t>
            </w:r>
            <w:r>
              <w:rPr>
                <w:rFonts w:hint="eastAsia" w:ascii="宋体" w:hAnsi="宋体" w:eastAsia="宋体" w:cs="宋体"/>
                <w:b/>
                <w:bCs/>
              </w:rPr>
              <w:t>（成立不满一年不需提供）</w:t>
            </w:r>
          </w:p>
        </w:tc>
        <w:tc>
          <w:tcPr>
            <w:tcW w:w="2212" w:type="dxa"/>
            <w:vAlign w:val="center"/>
          </w:tcPr>
          <w:p w14:paraId="4789B2D8">
            <w:pPr>
              <w:rPr>
                <w:rFonts w:ascii="宋体" w:hAnsi="宋体" w:eastAsia="宋体"/>
              </w:rPr>
            </w:pPr>
          </w:p>
        </w:tc>
      </w:tr>
      <w:tr w14:paraId="1605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62" w:type="dxa"/>
            <w:vAlign w:val="center"/>
          </w:tcPr>
          <w:p w14:paraId="660E0698">
            <w:pPr>
              <w:jc w:val="center"/>
              <w:rPr>
                <w:rFonts w:ascii="宋体" w:hAnsi="宋体" w:eastAsia="宋体"/>
              </w:rPr>
            </w:pPr>
            <w:r>
              <w:rPr>
                <w:rFonts w:hint="eastAsia" w:ascii="宋体" w:hAnsi="宋体" w:eastAsia="宋体"/>
              </w:rPr>
              <w:t>5</w:t>
            </w:r>
          </w:p>
        </w:tc>
        <w:tc>
          <w:tcPr>
            <w:tcW w:w="5584" w:type="dxa"/>
            <w:vAlign w:val="center"/>
          </w:tcPr>
          <w:p w14:paraId="29DD69D4">
            <w:pPr>
              <w:spacing w:line="360" w:lineRule="auto"/>
              <w:rPr>
                <w:rFonts w:ascii="宋体" w:hAnsi="宋体" w:eastAsia="宋体"/>
                <w:iCs/>
              </w:rPr>
            </w:pPr>
            <w:r>
              <w:rPr>
                <w:rFonts w:hint="eastAsia" w:ascii="宋体" w:hAnsi="宋体" w:eastAsia="宋体" w:cs="宋体"/>
              </w:rPr>
              <w:t>具备履行合同所必需的设备和专业技术能力的证明材料</w:t>
            </w:r>
          </w:p>
        </w:tc>
        <w:tc>
          <w:tcPr>
            <w:tcW w:w="2212" w:type="dxa"/>
            <w:vAlign w:val="center"/>
          </w:tcPr>
          <w:p w14:paraId="253A656F">
            <w:pPr>
              <w:rPr>
                <w:rFonts w:ascii="宋体" w:hAnsi="宋体" w:eastAsia="宋体"/>
              </w:rPr>
            </w:pPr>
          </w:p>
        </w:tc>
      </w:tr>
      <w:tr w14:paraId="25D4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662" w:type="dxa"/>
            <w:vAlign w:val="center"/>
          </w:tcPr>
          <w:p w14:paraId="49F9A1AC">
            <w:pPr>
              <w:jc w:val="center"/>
              <w:rPr>
                <w:rFonts w:ascii="宋体" w:hAnsi="宋体" w:eastAsia="宋体"/>
              </w:rPr>
            </w:pPr>
            <w:r>
              <w:rPr>
                <w:rFonts w:hint="eastAsia" w:ascii="宋体" w:hAnsi="宋体" w:eastAsia="宋体"/>
              </w:rPr>
              <w:t>6</w:t>
            </w:r>
          </w:p>
        </w:tc>
        <w:tc>
          <w:tcPr>
            <w:tcW w:w="5584" w:type="dxa"/>
            <w:vAlign w:val="center"/>
          </w:tcPr>
          <w:p w14:paraId="089C2C59">
            <w:pPr>
              <w:spacing w:line="360" w:lineRule="auto"/>
              <w:rPr>
                <w:rFonts w:ascii="宋体" w:hAnsi="宋体" w:eastAsia="宋体"/>
                <w:iCs/>
              </w:rPr>
            </w:pPr>
            <w:r>
              <w:rPr>
                <w:rFonts w:hint="eastAsia" w:ascii="宋体" w:hAnsi="宋体" w:eastAsia="宋体" w:cs="宋体"/>
              </w:rPr>
              <w:t xml:space="preserve"> 参加本次政府采购活动前3年内在经营活动中没有重大违法记录的书面声明</w:t>
            </w:r>
          </w:p>
        </w:tc>
        <w:tc>
          <w:tcPr>
            <w:tcW w:w="2212" w:type="dxa"/>
            <w:vAlign w:val="center"/>
          </w:tcPr>
          <w:p w14:paraId="02FD45CB">
            <w:pPr>
              <w:rPr>
                <w:rFonts w:ascii="宋体" w:hAnsi="宋体" w:eastAsia="宋体"/>
              </w:rPr>
            </w:pPr>
          </w:p>
        </w:tc>
      </w:tr>
      <w:tr w14:paraId="3BC3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662" w:type="dxa"/>
            <w:vAlign w:val="center"/>
          </w:tcPr>
          <w:p w14:paraId="4BB24094">
            <w:pPr>
              <w:jc w:val="center"/>
              <w:rPr>
                <w:rFonts w:ascii="宋体" w:hAnsi="宋体" w:eastAsia="宋体"/>
              </w:rPr>
            </w:pPr>
            <w:r>
              <w:rPr>
                <w:rFonts w:hint="eastAsia" w:ascii="宋体" w:hAnsi="宋体" w:eastAsia="宋体"/>
              </w:rPr>
              <w:t>7</w:t>
            </w:r>
          </w:p>
        </w:tc>
        <w:tc>
          <w:tcPr>
            <w:tcW w:w="5584" w:type="dxa"/>
            <w:vAlign w:val="center"/>
          </w:tcPr>
          <w:p w14:paraId="5D147909">
            <w:pPr>
              <w:spacing w:line="360" w:lineRule="auto"/>
              <w:rPr>
                <w:rFonts w:ascii="宋体" w:hAnsi="宋体" w:eastAsia="宋体" w:cs="宋体"/>
              </w:rPr>
            </w:pPr>
            <w:r>
              <w:rPr>
                <w:rFonts w:hint="eastAsia" w:ascii="宋体" w:hAnsi="宋体" w:eastAsia="宋体" w:cs="宋体"/>
              </w:rPr>
              <w:t>未被“信用中国”网站（www.creditchina.gov.cn）、“中国政府采购网"(www.ccgp.gov.cn)列入失信被执行人、重大税收违法案件当事人名单、政府采购严重违法失信行为记录名单</w:t>
            </w:r>
          </w:p>
        </w:tc>
        <w:tc>
          <w:tcPr>
            <w:tcW w:w="2212" w:type="dxa"/>
            <w:vAlign w:val="center"/>
          </w:tcPr>
          <w:p w14:paraId="5F40FCA4">
            <w:pPr>
              <w:rPr>
                <w:rFonts w:ascii="宋体" w:hAnsi="宋体" w:eastAsia="宋体"/>
              </w:rPr>
            </w:pPr>
          </w:p>
        </w:tc>
      </w:tr>
      <w:tr w14:paraId="4AAB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62" w:type="dxa"/>
            <w:vAlign w:val="center"/>
          </w:tcPr>
          <w:p w14:paraId="16C52B0F">
            <w:pPr>
              <w:jc w:val="center"/>
              <w:rPr>
                <w:rFonts w:ascii="宋体" w:hAnsi="宋体" w:eastAsia="宋体"/>
              </w:rPr>
            </w:pPr>
            <w:r>
              <w:rPr>
                <w:rFonts w:hint="eastAsia" w:ascii="宋体" w:hAnsi="宋体" w:eastAsia="宋体"/>
              </w:rPr>
              <w:t>8</w:t>
            </w:r>
          </w:p>
        </w:tc>
        <w:tc>
          <w:tcPr>
            <w:tcW w:w="5584" w:type="dxa"/>
            <w:vAlign w:val="center"/>
          </w:tcPr>
          <w:p w14:paraId="72F2CDF8">
            <w:pPr>
              <w:spacing w:line="360" w:lineRule="auto"/>
              <w:rPr>
                <w:rFonts w:ascii="宋体" w:hAnsi="宋体" w:eastAsia="宋体" w:cs="宋体"/>
              </w:rPr>
            </w:pPr>
            <w:r>
              <w:rPr>
                <w:rFonts w:hint="eastAsia" w:ascii="宋体" w:hAnsi="宋体" w:eastAsia="宋体" w:cs="宋体"/>
              </w:rPr>
              <w:t>供应商信用承诺函</w:t>
            </w:r>
          </w:p>
        </w:tc>
        <w:tc>
          <w:tcPr>
            <w:tcW w:w="2212" w:type="dxa"/>
            <w:vAlign w:val="center"/>
          </w:tcPr>
          <w:p w14:paraId="1C05B526">
            <w:pPr>
              <w:rPr>
                <w:rFonts w:ascii="宋体" w:hAnsi="宋体" w:eastAsia="宋体"/>
              </w:rPr>
            </w:pPr>
          </w:p>
        </w:tc>
      </w:tr>
      <w:tr w14:paraId="6745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58" w:type="dxa"/>
            <w:gridSpan w:val="3"/>
            <w:vAlign w:val="center"/>
          </w:tcPr>
          <w:p w14:paraId="0C448C03">
            <w:pPr>
              <w:rPr>
                <w:rFonts w:ascii="宋体" w:hAnsi="宋体" w:eastAsia="宋体"/>
              </w:rPr>
            </w:pPr>
            <w:r>
              <w:rPr>
                <w:rFonts w:hint="eastAsia" w:ascii="宋体" w:hAnsi="宋体" w:eastAsia="宋体" w:cs="宋体"/>
                <w:b/>
                <w:bCs/>
              </w:rPr>
              <w:t>落实政府采购政策需满足的资格要求</w:t>
            </w:r>
          </w:p>
        </w:tc>
      </w:tr>
      <w:tr w14:paraId="49FE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62" w:type="dxa"/>
            <w:vAlign w:val="center"/>
          </w:tcPr>
          <w:p w14:paraId="64783B4F">
            <w:pPr>
              <w:jc w:val="center"/>
              <w:rPr>
                <w:rFonts w:ascii="宋体" w:hAnsi="宋体" w:eastAsia="宋体"/>
              </w:rPr>
            </w:pPr>
            <w:r>
              <w:rPr>
                <w:rFonts w:hint="eastAsia" w:ascii="宋体" w:hAnsi="宋体" w:eastAsia="宋体"/>
              </w:rPr>
              <w:t>9</w:t>
            </w:r>
          </w:p>
        </w:tc>
        <w:tc>
          <w:tcPr>
            <w:tcW w:w="5584" w:type="dxa"/>
            <w:vAlign w:val="center"/>
          </w:tcPr>
          <w:p w14:paraId="42FAA7A5">
            <w:pPr>
              <w:pStyle w:val="5"/>
              <w:rPr>
                <w:rFonts w:ascii="宋体" w:hAnsi="宋体" w:eastAsia="宋体"/>
              </w:rPr>
            </w:pPr>
            <w:bookmarkStart w:id="25" w:name="_Toc28357"/>
            <w:r>
              <w:rPr>
                <w:rFonts w:hint="eastAsia" w:ascii="宋体" w:hAnsi="宋体" w:eastAsia="宋体"/>
                <w:b w:val="0"/>
                <w:bCs w:val="0"/>
                <w:sz w:val="21"/>
                <w:szCs w:val="21"/>
              </w:rPr>
              <w:t>《企业声明函》</w:t>
            </w:r>
            <w:bookmarkEnd w:id="25"/>
          </w:p>
        </w:tc>
        <w:tc>
          <w:tcPr>
            <w:tcW w:w="2212" w:type="dxa"/>
            <w:vAlign w:val="center"/>
          </w:tcPr>
          <w:p w14:paraId="5E8D8AB2">
            <w:pPr>
              <w:rPr>
                <w:rFonts w:ascii="宋体" w:hAnsi="宋体" w:eastAsia="宋体"/>
              </w:rPr>
            </w:pPr>
          </w:p>
        </w:tc>
      </w:tr>
      <w:tr w14:paraId="3D80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458" w:type="dxa"/>
            <w:gridSpan w:val="3"/>
            <w:vAlign w:val="center"/>
          </w:tcPr>
          <w:p w14:paraId="361ED9A7">
            <w:pPr>
              <w:spacing w:line="360" w:lineRule="auto"/>
              <w:rPr>
                <w:rFonts w:ascii="宋体" w:hAnsi="宋体" w:eastAsia="宋体"/>
              </w:rPr>
            </w:pPr>
            <w:r>
              <w:rPr>
                <w:rFonts w:hint="eastAsia" w:ascii="宋体" w:hAnsi="宋体" w:eastAsia="宋体"/>
                <w:b/>
              </w:rPr>
              <w:t>特定资格条件</w:t>
            </w:r>
          </w:p>
        </w:tc>
      </w:tr>
      <w:tr w14:paraId="5118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62" w:type="dxa"/>
            <w:vAlign w:val="center"/>
          </w:tcPr>
          <w:p w14:paraId="5BD5166A">
            <w:pPr>
              <w:jc w:val="center"/>
              <w:rPr>
                <w:rFonts w:ascii="宋体" w:hAnsi="宋体" w:eastAsia="宋体"/>
              </w:rPr>
            </w:pPr>
            <w:r>
              <w:rPr>
                <w:rFonts w:hint="eastAsia" w:ascii="宋体" w:hAnsi="宋体" w:eastAsia="宋体"/>
              </w:rPr>
              <w:t>10</w:t>
            </w:r>
          </w:p>
        </w:tc>
        <w:tc>
          <w:tcPr>
            <w:tcW w:w="5584" w:type="dxa"/>
            <w:vAlign w:val="center"/>
          </w:tcPr>
          <w:p w14:paraId="086DC7C0">
            <w:pPr>
              <w:rPr>
                <w:rFonts w:hint="eastAsia" w:ascii="宋体" w:hAnsi="宋体" w:eastAsia="宋体"/>
                <w:iCs/>
                <w:lang w:eastAsia="zh-CN"/>
              </w:rPr>
            </w:pPr>
            <w:r>
              <w:rPr>
                <w:rFonts w:hint="eastAsia" w:ascii="宋体" w:hAnsi="宋体" w:eastAsia="宋体"/>
                <w:iCs/>
                <w:lang w:val="en-US" w:eastAsia="zh-CN"/>
              </w:rPr>
              <w:t>无</w:t>
            </w:r>
          </w:p>
        </w:tc>
        <w:tc>
          <w:tcPr>
            <w:tcW w:w="2212" w:type="dxa"/>
            <w:vAlign w:val="center"/>
          </w:tcPr>
          <w:p w14:paraId="589CC021">
            <w:pPr>
              <w:rPr>
                <w:rFonts w:ascii="宋体" w:hAnsi="宋体" w:eastAsia="宋体"/>
              </w:rPr>
            </w:pPr>
          </w:p>
        </w:tc>
      </w:tr>
      <w:tr w14:paraId="4D88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458" w:type="dxa"/>
            <w:gridSpan w:val="3"/>
            <w:vAlign w:val="center"/>
          </w:tcPr>
          <w:p w14:paraId="741BE306">
            <w:pPr>
              <w:rPr>
                <w:rFonts w:ascii="宋体" w:hAnsi="宋体" w:eastAsia="宋体"/>
              </w:rPr>
            </w:pPr>
            <w:r>
              <w:rPr>
                <w:rFonts w:hint="eastAsia" w:ascii="宋体" w:hAnsi="宋体" w:eastAsia="宋体"/>
                <w:b/>
              </w:rPr>
              <w:t>其他资格条件</w:t>
            </w:r>
          </w:p>
        </w:tc>
      </w:tr>
      <w:tr w14:paraId="5CA4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662" w:type="dxa"/>
            <w:vAlign w:val="center"/>
          </w:tcPr>
          <w:p w14:paraId="48F8FFC5">
            <w:pPr>
              <w:jc w:val="center"/>
              <w:rPr>
                <w:rFonts w:ascii="宋体" w:hAnsi="宋体" w:eastAsia="宋体"/>
              </w:rPr>
            </w:pPr>
            <w:r>
              <w:rPr>
                <w:rFonts w:hint="eastAsia" w:ascii="宋体" w:hAnsi="宋体" w:eastAsia="宋体"/>
              </w:rPr>
              <w:t>11</w:t>
            </w:r>
          </w:p>
        </w:tc>
        <w:tc>
          <w:tcPr>
            <w:tcW w:w="5584" w:type="dxa"/>
            <w:vAlign w:val="center"/>
          </w:tcPr>
          <w:p w14:paraId="7E8F403C">
            <w:pPr>
              <w:spacing w:line="0" w:lineRule="atLeast"/>
              <w:rPr>
                <w:rFonts w:ascii="宋体" w:hAnsi="宋体" w:eastAsia="宋体"/>
                <w:iCs/>
              </w:rPr>
            </w:pPr>
            <w:r>
              <w:rPr>
                <w:rFonts w:hint="eastAsia" w:ascii="宋体" w:hAnsi="宋体" w:eastAsia="宋体"/>
                <w:iCs/>
              </w:rPr>
              <w:t>磋商响应函</w:t>
            </w:r>
          </w:p>
        </w:tc>
        <w:tc>
          <w:tcPr>
            <w:tcW w:w="2212" w:type="dxa"/>
            <w:vAlign w:val="center"/>
          </w:tcPr>
          <w:p w14:paraId="56413F9D">
            <w:pPr>
              <w:rPr>
                <w:rFonts w:ascii="宋体" w:hAnsi="宋体" w:eastAsia="宋体"/>
              </w:rPr>
            </w:pPr>
          </w:p>
        </w:tc>
      </w:tr>
      <w:tr w14:paraId="2106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62" w:type="dxa"/>
            <w:vAlign w:val="center"/>
          </w:tcPr>
          <w:p w14:paraId="3E6A187E">
            <w:pPr>
              <w:jc w:val="center"/>
              <w:rPr>
                <w:rFonts w:ascii="宋体" w:hAnsi="宋体" w:eastAsia="宋体"/>
              </w:rPr>
            </w:pPr>
            <w:r>
              <w:rPr>
                <w:rFonts w:hint="eastAsia" w:ascii="宋体" w:hAnsi="宋体" w:eastAsia="宋体"/>
              </w:rPr>
              <w:t>12</w:t>
            </w:r>
          </w:p>
        </w:tc>
        <w:tc>
          <w:tcPr>
            <w:tcW w:w="5584" w:type="dxa"/>
            <w:vAlign w:val="center"/>
          </w:tcPr>
          <w:p w14:paraId="6B8A0CC1">
            <w:pPr>
              <w:spacing w:line="0" w:lineRule="atLeast"/>
              <w:rPr>
                <w:rFonts w:ascii="宋体" w:hAnsi="宋体" w:eastAsia="宋体"/>
                <w:iCs/>
              </w:rPr>
            </w:pPr>
            <w:r>
              <w:rPr>
                <w:rFonts w:hint="eastAsia" w:ascii="宋体" w:hAnsi="宋体" w:eastAsia="宋体"/>
                <w:iCs/>
              </w:rPr>
              <w:t>法人授权书</w:t>
            </w:r>
          </w:p>
        </w:tc>
        <w:tc>
          <w:tcPr>
            <w:tcW w:w="2212" w:type="dxa"/>
            <w:vAlign w:val="center"/>
          </w:tcPr>
          <w:p w14:paraId="6F42EB56">
            <w:pPr>
              <w:rPr>
                <w:rFonts w:ascii="宋体" w:hAnsi="宋体" w:eastAsia="宋体"/>
              </w:rPr>
            </w:pPr>
          </w:p>
        </w:tc>
      </w:tr>
    </w:tbl>
    <w:p w14:paraId="2E4EB917">
      <w:pPr>
        <w:spacing w:before="156" w:beforeLines="50" w:after="156" w:afterLines="50" w:line="480" w:lineRule="auto"/>
        <w:jc w:val="center"/>
        <w:rPr>
          <w:rFonts w:ascii="宋体" w:hAnsi="宋体" w:eastAsia="宋体"/>
          <w:b/>
          <w:bCs/>
          <w:sz w:val="24"/>
          <w:szCs w:val="24"/>
        </w:rPr>
      </w:pPr>
      <w:r>
        <w:rPr>
          <w:rFonts w:hint="eastAsia" w:ascii="宋体" w:hAnsi="宋体" w:eastAsia="宋体"/>
          <w:b/>
          <w:bCs/>
          <w:sz w:val="24"/>
          <w:szCs w:val="24"/>
        </w:rPr>
        <w:t>具备履行合同所必需的设备和专业技术能力的书面声明</w:t>
      </w:r>
    </w:p>
    <w:p w14:paraId="26D05F6A">
      <w:pPr>
        <w:spacing w:line="480" w:lineRule="auto"/>
        <w:ind w:firstLine="492"/>
        <w:rPr>
          <w:rFonts w:ascii="宋体" w:hAnsi="宋体" w:eastAsia="宋体"/>
          <w:bCs/>
        </w:rPr>
      </w:pPr>
      <w:r>
        <w:rPr>
          <w:rFonts w:hint="eastAsia" w:ascii="宋体" w:hAnsi="宋体" w:eastAsia="宋体"/>
          <w:bCs/>
        </w:rPr>
        <w:t>我单位郑重声明：我单位具备履行本项采购合同所必需的设备和专业技术能力，为履行本项采购合同我公司具备如下主要设备和主要专业技术能力：</w:t>
      </w:r>
    </w:p>
    <w:p w14:paraId="428B0AB2">
      <w:pPr>
        <w:spacing w:line="480" w:lineRule="auto"/>
        <w:ind w:firstLine="492"/>
        <w:rPr>
          <w:rFonts w:ascii="宋体" w:hAnsi="宋体" w:eastAsia="宋体"/>
          <w:bCs/>
        </w:rPr>
      </w:pPr>
      <w:r>
        <w:rPr>
          <w:rFonts w:hint="eastAsia" w:ascii="宋体" w:hAnsi="宋体" w:eastAsia="宋体"/>
          <w:bCs/>
        </w:rPr>
        <w:t>主要设备有：</w:t>
      </w:r>
      <w:r>
        <w:rPr>
          <w:rFonts w:hint="eastAsia" w:ascii="宋体" w:hAnsi="宋体" w:eastAsia="宋体"/>
          <w:bCs/>
          <w:u w:val="single"/>
        </w:rPr>
        <w:t xml:space="preserve">       </w:t>
      </w:r>
      <w:r>
        <w:rPr>
          <w:rFonts w:hint="eastAsia" w:ascii="宋体" w:hAnsi="宋体" w:eastAsia="宋体"/>
          <w:bCs/>
        </w:rPr>
        <w:t>。</w:t>
      </w:r>
    </w:p>
    <w:p w14:paraId="71321112">
      <w:pPr>
        <w:spacing w:line="480" w:lineRule="auto"/>
        <w:ind w:firstLine="492"/>
        <w:rPr>
          <w:rFonts w:ascii="宋体" w:hAnsi="宋体" w:eastAsia="宋体"/>
          <w:bCs/>
        </w:rPr>
      </w:pPr>
      <w:r>
        <w:rPr>
          <w:rFonts w:hint="eastAsia" w:ascii="宋体" w:hAnsi="宋体" w:eastAsia="宋体"/>
          <w:bCs/>
        </w:rPr>
        <w:t>主要专业技术能力有：</w:t>
      </w:r>
      <w:r>
        <w:rPr>
          <w:rFonts w:hint="eastAsia" w:ascii="宋体" w:hAnsi="宋体" w:eastAsia="宋体"/>
          <w:bCs/>
          <w:u w:val="single"/>
        </w:rPr>
        <w:t xml:space="preserve">       </w:t>
      </w:r>
      <w:r>
        <w:rPr>
          <w:rFonts w:hint="eastAsia" w:ascii="宋体" w:hAnsi="宋体" w:eastAsia="宋体"/>
          <w:bCs/>
        </w:rPr>
        <w:t>。</w:t>
      </w:r>
    </w:p>
    <w:p w14:paraId="40FD6A38">
      <w:pPr>
        <w:spacing w:line="480" w:lineRule="auto"/>
        <w:jc w:val="center"/>
        <w:rPr>
          <w:rFonts w:ascii="宋体" w:hAnsi="宋体" w:eastAsia="宋体"/>
          <w:b/>
          <w:bCs/>
        </w:rPr>
      </w:pPr>
      <w:r>
        <w:rPr>
          <w:rFonts w:ascii="宋体" w:hAnsi="宋体" w:eastAsia="宋体"/>
          <w:b/>
          <w:bCs/>
        </w:rPr>
        <w:br w:type="page"/>
      </w:r>
    </w:p>
    <w:p w14:paraId="0BD74C92">
      <w:pPr>
        <w:spacing w:line="480" w:lineRule="auto"/>
        <w:jc w:val="center"/>
        <w:rPr>
          <w:rFonts w:ascii="宋体" w:hAnsi="宋体" w:eastAsia="宋体"/>
          <w:b/>
          <w:bCs/>
        </w:rPr>
      </w:pPr>
    </w:p>
    <w:p w14:paraId="13CAFA45">
      <w:pPr>
        <w:spacing w:line="480" w:lineRule="auto"/>
        <w:jc w:val="center"/>
        <w:rPr>
          <w:rFonts w:ascii="宋体" w:hAnsi="宋体" w:eastAsia="宋体"/>
          <w:b/>
          <w:bCs/>
          <w:sz w:val="24"/>
          <w:szCs w:val="24"/>
        </w:rPr>
      </w:pPr>
      <w:r>
        <w:rPr>
          <w:rFonts w:hint="eastAsia" w:ascii="宋体" w:hAnsi="宋体" w:eastAsia="宋体"/>
          <w:b/>
          <w:bCs/>
          <w:sz w:val="24"/>
          <w:szCs w:val="24"/>
        </w:rPr>
        <w:t>参加本次政府采购活动前 3 年内在经营活动中没有重大违法记录的书面声明</w:t>
      </w:r>
    </w:p>
    <w:p w14:paraId="4F52B0CE">
      <w:pPr>
        <w:spacing w:line="480" w:lineRule="auto"/>
        <w:rPr>
          <w:rFonts w:ascii="宋体" w:hAnsi="宋体" w:eastAsia="宋体"/>
          <w:sz w:val="24"/>
          <w:szCs w:val="24"/>
        </w:rPr>
      </w:pPr>
    </w:p>
    <w:p w14:paraId="3D55069F">
      <w:pPr>
        <w:spacing w:after="312" w:afterLines="100" w:line="480" w:lineRule="auto"/>
        <w:jc w:val="center"/>
        <w:rPr>
          <w:rFonts w:ascii="宋体" w:hAnsi="宋体" w:eastAsia="宋体"/>
          <w:b/>
          <w:bCs/>
          <w:sz w:val="24"/>
          <w:szCs w:val="24"/>
        </w:rPr>
      </w:pPr>
      <w:r>
        <w:rPr>
          <w:rFonts w:hint="eastAsia" w:ascii="宋体" w:hAnsi="宋体" w:eastAsia="宋体"/>
          <w:b/>
          <w:bCs/>
          <w:sz w:val="24"/>
          <w:szCs w:val="24"/>
        </w:rPr>
        <w:t>声  明</w:t>
      </w:r>
    </w:p>
    <w:p w14:paraId="680E2972">
      <w:pPr>
        <w:spacing w:line="480" w:lineRule="auto"/>
        <w:rPr>
          <w:rFonts w:ascii="宋体" w:hAnsi="宋体" w:eastAsia="宋体"/>
          <w:bCs/>
        </w:rPr>
      </w:pPr>
      <w:r>
        <w:rPr>
          <w:rFonts w:hint="eastAsia" w:ascii="宋体" w:hAnsi="宋体" w:eastAsia="宋体"/>
          <w:b/>
          <w:bCs/>
        </w:rPr>
        <w:t xml:space="preserve">    </w:t>
      </w:r>
      <w:r>
        <w:rPr>
          <w:rFonts w:hint="eastAsia" w:ascii="宋体" w:hAnsi="宋体" w:eastAsia="宋体"/>
          <w:bCs/>
        </w:rPr>
        <w:t>我公司郑重声明：参加本次政府采购活动前 3 年内，我公司在经营活动中没有因违法经营受到刑事处罚或者责令停产停业、吊销许可证或者执照、较大数额罚款等行政处罚。</w:t>
      </w:r>
    </w:p>
    <w:p w14:paraId="1E1DDC67">
      <w:pPr>
        <w:spacing w:line="480" w:lineRule="auto"/>
        <w:rPr>
          <w:rFonts w:ascii="宋体" w:hAnsi="宋体" w:eastAsia="宋体"/>
          <w:bCs/>
        </w:rPr>
      </w:pPr>
      <w:r>
        <w:rPr>
          <w:rFonts w:hint="eastAsia" w:ascii="宋体" w:hAnsi="宋体" w:eastAsia="宋体"/>
          <w:bCs/>
        </w:rPr>
        <w:t xml:space="preserve">                               供应商名称（公章）：</w:t>
      </w:r>
    </w:p>
    <w:p w14:paraId="24533CA0">
      <w:pPr>
        <w:spacing w:line="480" w:lineRule="auto"/>
        <w:rPr>
          <w:rFonts w:ascii="宋体" w:hAnsi="宋体" w:eastAsia="宋体"/>
          <w:bCs/>
        </w:rPr>
      </w:pPr>
      <w:r>
        <w:rPr>
          <w:rFonts w:hint="eastAsia" w:ascii="宋体" w:hAnsi="宋体" w:eastAsia="宋体"/>
          <w:bCs/>
        </w:rPr>
        <w:t xml:space="preserve">                               法定代表人签章：</w:t>
      </w:r>
      <w:r>
        <w:rPr>
          <w:rFonts w:hint="eastAsia" w:ascii="宋体" w:hAnsi="宋体" w:eastAsia="宋体"/>
          <w:bCs/>
          <w:u w:val="single"/>
        </w:rPr>
        <w:t>_______________________</w:t>
      </w:r>
    </w:p>
    <w:p w14:paraId="6DD480CC">
      <w:pPr>
        <w:spacing w:line="480" w:lineRule="auto"/>
        <w:rPr>
          <w:rFonts w:ascii="宋体" w:hAnsi="宋体" w:eastAsia="宋体"/>
          <w:bCs/>
        </w:rPr>
      </w:pPr>
      <w:r>
        <w:rPr>
          <w:rFonts w:hint="eastAsia" w:ascii="宋体" w:hAnsi="宋体" w:eastAsia="宋体"/>
          <w:bCs/>
        </w:rPr>
        <w:t xml:space="preserve">                               日期：</w:t>
      </w:r>
      <w:r>
        <w:rPr>
          <w:rFonts w:hint="eastAsia" w:ascii="宋体" w:hAnsi="宋体" w:eastAsia="宋体"/>
          <w:bCs/>
          <w:u w:val="single"/>
        </w:rPr>
        <w:t>______</w:t>
      </w:r>
      <w:r>
        <w:rPr>
          <w:rFonts w:hint="eastAsia" w:ascii="宋体" w:hAnsi="宋体" w:eastAsia="宋体"/>
          <w:bCs/>
        </w:rPr>
        <w:t>年</w:t>
      </w:r>
      <w:r>
        <w:rPr>
          <w:rFonts w:hint="eastAsia" w:ascii="宋体" w:hAnsi="宋体" w:eastAsia="宋体"/>
          <w:bCs/>
          <w:u w:val="single"/>
        </w:rPr>
        <w:t xml:space="preserve">    </w:t>
      </w:r>
      <w:r>
        <w:rPr>
          <w:rFonts w:hint="eastAsia" w:ascii="宋体" w:hAnsi="宋体" w:eastAsia="宋体"/>
          <w:bCs/>
        </w:rPr>
        <w:t>月</w:t>
      </w:r>
      <w:r>
        <w:rPr>
          <w:rFonts w:hint="eastAsia" w:ascii="宋体" w:hAnsi="宋体" w:eastAsia="宋体"/>
          <w:bCs/>
          <w:u w:val="single"/>
        </w:rPr>
        <w:t xml:space="preserve">    </w:t>
      </w:r>
      <w:r>
        <w:rPr>
          <w:rFonts w:hint="eastAsia" w:ascii="宋体" w:hAnsi="宋体" w:eastAsia="宋体"/>
          <w:bCs/>
        </w:rPr>
        <w:t>日</w:t>
      </w:r>
    </w:p>
    <w:p w14:paraId="620DC0AF">
      <w:pPr>
        <w:spacing w:line="480" w:lineRule="auto"/>
        <w:rPr>
          <w:rFonts w:ascii="宋体" w:hAnsi="宋体" w:eastAsia="宋体"/>
          <w:b/>
          <w:bCs/>
        </w:rPr>
        <w:sectPr>
          <w:headerReference r:id="rId5" w:type="default"/>
          <w:footerReference r:id="rId6" w:type="default"/>
          <w:pgSz w:w="11906" w:h="16838"/>
          <w:pgMar w:top="1440" w:right="1416" w:bottom="1440" w:left="1800" w:header="851" w:footer="992" w:gutter="0"/>
          <w:pgNumType w:fmt="decimal"/>
          <w:cols w:space="720" w:num="1"/>
          <w:docGrid w:type="lines" w:linePitch="312" w:charSpace="0"/>
        </w:sectPr>
      </w:pPr>
    </w:p>
    <w:p w14:paraId="6ACAFBAF">
      <w:pPr>
        <w:spacing w:line="520" w:lineRule="exact"/>
        <w:jc w:val="center"/>
        <w:rPr>
          <w:rFonts w:ascii="宋体" w:hAnsi="宋体" w:eastAsia="宋体"/>
          <w:b/>
          <w:sz w:val="24"/>
          <w:szCs w:val="24"/>
        </w:rPr>
      </w:pPr>
      <w:r>
        <w:rPr>
          <w:rFonts w:hint="eastAsia" w:ascii="宋体" w:hAnsi="宋体" w:eastAsia="宋体"/>
          <w:b/>
          <w:sz w:val="24"/>
          <w:szCs w:val="24"/>
        </w:rPr>
        <w:t>供应商信用承诺书</w:t>
      </w:r>
    </w:p>
    <w:p w14:paraId="1816558D">
      <w:pPr>
        <w:spacing w:line="520" w:lineRule="exact"/>
        <w:jc w:val="center"/>
        <w:rPr>
          <w:rFonts w:ascii="宋体" w:hAnsi="宋体" w:eastAsia="宋体"/>
          <w:b/>
        </w:rPr>
      </w:pPr>
    </w:p>
    <w:p w14:paraId="3A593E5E">
      <w:pPr>
        <w:spacing w:line="360" w:lineRule="auto"/>
        <w:rPr>
          <w:rFonts w:ascii="宋体" w:hAnsi="宋体" w:eastAsia="宋体"/>
        </w:rPr>
      </w:pPr>
      <w:r>
        <w:rPr>
          <w:rFonts w:hint="eastAsia" w:ascii="宋体" w:hAnsi="宋体" w:eastAsia="宋体"/>
        </w:rPr>
        <w:t>承诺主体名称：</w:t>
      </w:r>
      <w:r>
        <w:rPr>
          <w:rFonts w:hint="eastAsia" w:ascii="宋体" w:hAnsi="宋体" w:eastAsia="宋体"/>
          <w:u w:val="single"/>
        </w:rPr>
        <w:t xml:space="preserve">                           </w:t>
      </w:r>
      <w:r>
        <w:rPr>
          <w:rFonts w:hint="eastAsia" w:ascii="宋体" w:hAnsi="宋体" w:eastAsia="宋体"/>
        </w:rPr>
        <w:t xml:space="preserve"> </w:t>
      </w:r>
    </w:p>
    <w:p w14:paraId="0EFF5D92">
      <w:pPr>
        <w:spacing w:line="360" w:lineRule="auto"/>
        <w:rPr>
          <w:rFonts w:ascii="宋体" w:hAnsi="宋体" w:eastAsia="宋体"/>
          <w:u w:val="single"/>
        </w:rPr>
      </w:pPr>
      <w:r>
        <w:rPr>
          <w:rFonts w:hint="eastAsia" w:ascii="宋体" w:hAnsi="宋体" w:eastAsia="宋体"/>
        </w:rPr>
        <w:t>统一社会信用代码：</w:t>
      </w:r>
      <w:r>
        <w:rPr>
          <w:rFonts w:hint="eastAsia" w:ascii="宋体" w:hAnsi="宋体" w:eastAsia="宋体"/>
          <w:u w:val="single"/>
        </w:rPr>
        <w:t xml:space="preserve">                       </w:t>
      </w:r>
    </w:p>
    <w:p w14:paraId="4BF890EE">
      <w:pPr>
        <w:spacing w:line="360" w:lineRule="auto"/>
        <w:ind w:firstLine="420" w:firstLineChars="200"/>
        <w:rPr>
          <w:rFonts w:ascii="宋体" w:hAnsi="宋体" w:eastAsia="宋体"/>
        </w:rPr>
      </w:pPr>
      <w:r>
        <w:rPr>
          <w:rFonts w:hint="eastAsia" w:ascii="宋体" w:hAnsi="宋体" w:eastAsia="宋体"/>
        </w:rPr>
        <w:t>为维护公平竞争、规范有序的市场秩序，营造诚实守信的信用环境，共同推进社会信用体系建设完善，树立企业诚信守法形象，本企业对________________________项目政府采购活动郑重承诺如下:</w:t>
      </w:r>
    </w:p>
    <w:p w14:paraId="3086278F">
      <w:pPr>
        <w:spacing w:line="360" w:lineRule="auto"/>
        <w:ind w:firstLine="420" w:firstLineChars="200"/>
        <w:rPr>
          <w:rFonts w:ascii="宋体" w:hAnsi="宋体" w:eastAsia="宋体"/>
        </w:rPr>
      </w:pPr>
      <w:r>
        <w:rPr>
          <w:rFonts w:hint="eastAsia" w:ascii="宋体" w:hAnsi="宋体" w:eastAsia="宋体"/>
        </w:rPr>
        <w:t>一、对提供给注册登记部门、行业管理部门、司法部门、行业组织以及在政府采购活动中提交的所有资料的合法性、真实性、准确性和有效性负责；</w:t>
      </w:r>
    </w:p>
    <w:p w14:paraId="2C859658">
      <w:pPr>
        <w:spacing w:line="360" w:lineRule="auto"/>
        <w:ind w:firstLine="420" w:firstLineChars="200"/>
        <w:rPr>
          <w:rFonts w:ascii="宋体" w:hAnsi="宋体" w:eastAsia="宋体"/>
        </w:rPr>
      </w:pPr>
      <w:r>
        <w:rPr>
          <w:rFonts w:hint="eastAsia" w:ascii="宋体" w:hAnsi="宋体" w:eastAsia="宋体"/>
        </w:rPr>
        <w:t>二、严格按照国家法律、法规和规章开展采购活动，全面履行应尽的责任和义务，全面做到履约守信，具备《中华人民共和国政府采购法》第二十二条第一款规定的条件;</w:t>
      </w:r>
    </w:p>
    <w:p w14:paraId="3A04ABC1">
      <w:pPr>
        <w:spacing w:line="360" w:lineRule="auto"/>
        <w:ind w:firstLine="420" w:firstLineChars="200"/>
        <w:rPr>
          <w:rFonts w:ascii="宋体" w:hAnsi="宋体" w:eastAsia="宋体"/>
        </w:rPr>
      </w:pPr>
      <w:r>
        <w:rPr>
          <w:rFonts w:hint="eastAsia" w:ascii="宋体" w:hAnsi="宋体" w:eastAsia="宋体"/>
        </w:rPr>
        <w:t>三、严格依法开展生产经营活动，主动接受行业监管，自愿接受依法开展的日常检查；违法失信经营后将自愿接受约束和惩戒，并依法承担相应责任；</w:t>
      </w:r>
    </w:p>
    <w:p w14:paraId="3C9C97DA">
      <w:pPr>
        <w:spacing w:line="360" w:lineRule="auto"/>
        <w:ind w:firstLine="420" w:firstLineChars="200"/>
        <w:rPr>
          <w:rFonts w:ascii="宋体" w:hAnsi="宋体" w:eastAsia="宋体"/>
        </w:rPr>
      </w:pPr>
      <w:r>
        <w:rPr>
          <w:rFonts w:hint="eastAsia" w:ascii="宋体" w:hAnsi="宋体" w:eastAsia="宋体"/>
        </w:rPr>
        <w:t>四、自觉接受行政管理部门、行业组织、社会公众、新闻舆论的监督；</w:t>
      </w:r>
    </w:p>
    <w:p w14:paraId="4126E6C1">
      <w:pPr>
        <w:spacing w:line="360" w:lineRule="auto"/>
        <w:ind w:firstLine="420" w:firstLineChars="200"/>
        <w:rPr>
          <w:rFonts w:ascii="宋体" w:hAnsi="宋体" w:eastAsia="宋体"/>
        </w:rPr>
      </w:pPr>
      <w:r>
        <w:rPr>
          <w:rFonts w:hint="eastAsia" w:ascii="宋体" w:hAnsi="宋体" w:eastAsia="宋体"/>
        </w:rPr>
        <w:t>五、自觉做到自我约束、自我管理，不制假售假、商标侵权、虚假宣传、违约毁约、恶意逃债、偷税漏税、垄断和不正当竞争，维护经营者、消费者的合法权益；</w:t>
      </w:r>
    </w:p>
    <w:p w14:paraId="4EF91B0B">
      <w:pPr>
        <w:spacing w:line="360" w:lineRule="auto"/>
        <w:ind w:firstLine="420" w:firstLineChars="200"/>
        <w:rPr>
          <w:rFonts w:ascii="宋体" w:hAnsi="宋体" w:eastAsia="宋体"/>
        </w:rPr>
      </w:pPr>
      <w:r>
        <w:rPr>
          <w:rFonts w:hint="eastAsia" w:ascii="宋体" w:hAnsi="宋体" w:eastAsia="宋体"/>
        </w:rPr>
        <w:t>六、提出政府采购质疑和投诉坚持依法依规、诚实信用原则，在全国范围12个月内没有三次以上查无实据的政府采购投诉；</w:t>
      </w:r>
    </w:p>
    <w:p w14:paraId="4350C716">
      <w:pPr>
        <w:spacing w:line="360" w:lineRule="auto"/>
        <w:ind w:firstLine="420" w:firstLineChars="200"/>
        <w:rPr>
          <w:rFonts w:ascii="宋体" w:hAnsi="宋体" w:eastAsia="宋体"/>
        </w:rPr>
      </w:pPr>
      <w:r>
        <w:rPr>
          <w:rFonts w:hint="eastAsia" w:ascii="宋体" w:hAnsi="宋体" w:eastAsia="宋体"/>
        </w:rPr>
        <w:t>七、严格遵守信用信息公示相关规定，向社会公示信用信息；</w:t>
      </w:r>
    </w:p>
    <w:p w14:paraId="1AC1A8BB">
      <w:pPr>
        <w:spacing w:line="360" w:lineRule="auto"/>
        <w:ind w:firstLine="420" w:firstLineChars="200"/>
        <w:rPr>
          <w:rFonts w:ascii="宋体" w:hAnsi="宋体" w:eastAsia="宋体"/>
        </w:rPr>
      </w:pPr>
      <w:r>
        <w:rPr>
          <w:rFonts w:hint="eastAsia" w:ascii="宋体" w:hAnsi="宋体" w:eastAsia="宋体"/>
        </w:rPr>
        <w:t>八、在“信用中国”和“中国政府采购网”网站中无违法违规、较重或严重失信记录；</w:t>
      </w:r>
    </w:p>
    <w:p w14:paraId="419F5C00">
      <w:pPr>
        <w:spacing w:line="360" w:lineRule="auto"/>
        <w:ind w:firstLine="420" w:firstLineChars="200"/>
        <w:rPr>
          <w:rFonts w:ascii="宋体" w:hAnsi="宋体" w:eastAsia="宋体"/>
        </w:rPr>
      </w:pPr>
      <w:r>
        <w:rPr>
          <w:rFonts w:hint="eastAsia" w:ascii="宋体" w:hAnsi="宋体" w:eastAsia="宋体"/>
        </w:rPr>
        <w:t>九、如违反承诺，自愿接受管理部门依法给予的行政处罚，同意将违反承诺的行为作为不良记录记入信用档案，依法依规进行信息公示，并承担所产生的一切法律责任和经济损失。</w:t>
      </w:r>
    </w:p>
    <w:p w14:paraId="042478A9">
      <w:pPr>
        <w:spacing w:line="360" w:lineRule="auto"/>
        <w:ind w:firstLine="420" w:firstLineChars="200"/>
        <w:rPr>
          <w:rFonts w:ascii="宋体" w:hAnsi="宋体" w:eastAsia="宋体"/>
        </w:rPr>
      </w:pPr>
      <w:r>
        <w:rPr>
          <w:rFonts w:hint="eastAsia" w:ascii="宋体" w:hAnsi="宋体" w:eastAsia="宋体"/>
        </w:rPr>
        <w:t>十、本承诺书自签订之日起生效。</w:t>
      </w:r>
    </w:p>
    <w:p w14:paraId="5B26F5E9">
      <w:pPr>
        <w:spacing w:line="360" w:lineRule="auto"/>
        <w:ind w:firstLine="420" w:firstLineChars="200"/>
        <w:rPr>
          <w:rFonts w:ascii="宋体" w:hAnsi="宋体" w:eastAsia="宋体"/>
        </w:rPr>
      </w:pPr>
      <w:r>
        <w:rPr>
          <w:rFonts w:hint="eastAsia" w:ascii="宋体" w:hAnsi="宋体" w:eastAsia="宋体"/>
        </w:rPr>
        <w:t>（注：法定代表人或负责人、主体名称发生变更的应当重新做出承诺。）</w:t>
      </w:r>
    </w:p>
    <w:p w14:paraId="144E2E49">
      <w:pPr>
        <w:spacing w:line="360" w:lineRule="auto"/>
        <w:jc w:val="center"/>
        <w:rPr>
          <w:rFonts w:ascii="宋体" w:hAnsi="宋体" w:eastAsia="宋体"/>
        </w:rPr>
      </w:pPr>
      <w:r>
        <w:rPr>
          <w:rFonts w:hint="eastAsia" w:ascii="宋体" w:hAnsi="宋体" w:eastAsia="宋体"/>
        </w:rPr>
        <w:t xml:space="preserve"> </w:t>
      </w:r>
    </w:p>
    <w:p w14:paraId="61852318">
      <w:pPr>
        <w:spacing w:line="360" w:lineRule="auto"/>
        <w:jc w:val="center"/>
        <w:rPr>
          <w:rFonts w:ascii="宋体" w:hAnsi="宋体" w:eastAsia="宋体"/>
        </w:rPr>
      </w:pPr>
      <w:r>
        <w:rPr>
          <w:rFonts w:hint="eastAsia" w:ascii="宋体" w:hAnsi="宋体" w:eastAsia="宋体"/>
        </w:rPr>
        <w:t xml:space="preserve">                承诺单位（签章）： </w:t>
      </w:r>
    </w:p>
    <w:p w14:paraId="0C2D2051">
      <w:pPr>
        <w:spacing w:line="360" w:lineRule="auto"/>
        <w:jc w:val="center"/>
        <w:rPr>
          <w:rFonts w:ascii="宋体" w:hAnsi="宋体" w:eastAsia="宋体"/>
        </w:rPr>
      </w:pPr>
      <w:r>
        <w:rPr>
          <w:rFonts w:hint="eastAsia" w:ascii="宋体" w:hAnsi="宋体" w:eastAsia="宋体"/>
        </w:rPr>
        <w:t xml:space="preserve">                   法定代表人（负责人）：</w:t>
      </w:r>
    </w:p>
    <w:p w14:paraId="1E50E9CA">
      <w:pPr>
        <w:spacing w:line="360" w:lineRule="auto"/>
        <w:jc w:val="center"/>
        <w:rPr>
          <w:rFonts w:ascii="宋体" w:hAnsi="宋体" w:eastAsia="宋体"/>
        </w:rPr>
      </w:pPr>
      <w:r>
        <w:rPr>
          <w:rFonts w:hint="eastAsia" w:ascii="宋体" w:hAnsi="宋体" w:eastAsia="宋体"/>
        </w:rPr>
        <w:t xml:space="preserve">                  年   月   日</w:t>
      </w:r>
    </w:p>
    <w:p w14:paraId="39B1FF8A">
      <w:pPr>
        <w:spacing w:line="480" w:lineRule="auto"/>
        <w:rPr>
          <w:rFonts w:ascii="宋体" w:hAnsi="宋体" w:eastAsia="宋体"/>
          <w:b/>
          <w:bCs/>
        </w:rPr>
        <w:sectPr>
          <w:pgSz w:w="11906" w:h="16838"/>
          <w:pgMar w:top="1440" w:right="1800" w:bottom="1440" w:left="1800" w:header="851" w:footer="992" w:gutter="0"/>
          <w:pgNumType w:fmt="decimal"/>
          <w:cols w:space="720" w:num="1"/>
          <w:docGrid w:type="lines" w:linePitch="312" w:charSpace="0"/>
        </w:sectPr>
      </w:pPr>
    </w:p>
    <w:p w14:paraId="29F910B1">
      <w:pPr>
        <w:spacing w:line="480" w:lineRule="auto"/>
        <w:jc w:val="center"/>
        <w:rPr>
          <w:rFonts w:ascii="宋体" w:hAnsi="宋体" w:eastAsia="宋体"/>
          <w:b/>
          <w:sz w:val="24"/>
          <w:szCs w:val="24"/>
        </w:rPr>
      </w:pPr>
      <w:r>
        <w:rPr>
          <w:rFonts w:hint="eastAsia" w:ascii="宋体" w:hAnsi="宋体" w:eastAsia="宋体"/>
          <w:b/>
          <w:sz w:val="24"/>
          <w:szCs w:val="24"/>
        </w:rPr>
        <w:t>磋商响应函</w:t>
      </w:r>
    </w:p>
    <w:p w14:paraId="7D0027B2">
      <w:pPr>
        <w:spacing w:line="480" w:lineRule="auto"/>
        <w:rPr>
          <w:rFonts w:ascii="宋体" w:hAnsi="宋体" w:eastAsia="宋体"/>
        </w:rPr>
      </w:pPr>
    </w:p>
    <w:p w14:paraId="551E0939">
      <w:pPr>
        <w:spacing w:line="480" w:lineRule="auto"/>
        <w:rPr>
          <w:rFonts w:ascii="宋体" w:hAnsi="宋体" w:eastAsia="宋体"/>
          <w:b/>
        </w:rPr>
      </w:pPr>
      <w:r>
        <w:rPr>
          <w:rFonts w:hint="eastAsia" w:ascii="宋体" w:hAnsi="宋体" w:eastAsia="宋体"/>
        </w:rPr>
        <w:t>致：（代理公司）</w:t>
      </w:r>
    </w:p>
    <w:p w14:paraId="6CFEA1C8">
      <w:pPr>
        <w:pStyle w:val="23"/>
        <w:spacing w:line="480" w:lineRule="auto"/>
        <w:ind w:firstLine="420"/>
        <w:rPr>
          <w:rFonts w:ascii="宋体" w:hAnsi="宋体"/>
          <w:sz w:val="21"/>
          <w:szCs w:val="21"/>
        </w:rPr>
      </w:pPr>
      <w:r>
        <w:rPr>
          <w:rFonts w:hint="eastAsia" w:ascii="宋体" w:hAnsi="宋体"/>
          <w:sz w:val="21"/>
          <w:szCs w:val="21"/>
        </w:rPr>
        <w:t>根据贵方的</w:t>
      </w:r>
      <w:r>
        <w:rPr>
          <w:rFonts w:hint="eastAsia" w:ascii="宋体" w:hAnsi="宋体"/>
          <w:sz w:val="21"/>
          <w:szCs w:val="21"/>
          <w:u w:val="single"/>
        </w:rPr>
        <w:t xml:space="preserve">        </w:t>
      </w:r>
      <w:r>
        <w:rPr>
          <w:rFonts w:hint="eastAsia" w:ascii="宋体" w:hAnsi="宋体"/>
          <w:sz w:val="21"/>
          <w:szCs w:val="21"/>
        </w:rPr>
        <w:t>号磋商文件，正式授权下述签字人_________ (姓名和职务)代表我方______________（供应商的名称），全权处理本次项目磋商采购的有关事宜。</w:t>
      </w:r>
    </w:p>
    <w:p w14:paraId="1DD75898">
      <w:pPr>
        <w:pStyle w:val="23"/>
        <w:spacing w:line="480" w:lineRule="auto"/>
        <w:ind w:firstLine="420"/>
        <w:rPr>
          <w:rFonts w:ascii="宋体" w:hAnsi="宋体"/>
          <w:sz w:val="21"/>
          <w:szCs w:val="21"/>
        </w:rPr>
      </w:pPr>
      <w:r>
        <w:rPr>
          <w:rFonts w:hint="eastAsia" w:ascii="宋体" w:hAnsi="宋体"/>
          <w:sz w:val="21"/>
          <w:szCs w:val="21"/>
        </w:rPr>
        <w:t>据此函，__________（签字人）兹宣布同意如下：</w:t>
      </w:r>
    </w:p>
    <w:p w14:paraId="6DC50EBB">
      <w:pPr>
        <w:pStyle w:val="23"/>
        <w:spacing w:line="480" w:lineRule="auto"/>
        <w:ind w:firstLine="420"/>
        <w:rPr>
          <w:rFonts w:ascii="宋体" w:hAnsi="宋体"/>
          <w:sz w:val="21"/>
          <w:szCs w:val="21"/>
        </w:rPr>
      </w:pPr>
      <w:r>
        <w:rPr>
          <w:rFonts w:hint="eastAsia" w:ascii="宋体" w:hAnsi="宋体"/>
          <w:sz w:val="21"/>
          <w:szCs w:val="21"/>
        </w:rPr>
        <w:t>1.按磋商文件规定的各项要求，向买方提供所需服务。</w:t>
      </w:r>
    </w:p>
    <w:p w14:paraId="5D93EBBC">
      <w:pPr>
        <w:pStyle w:val="23"/>
        <w:spacing w:line="480" w:lineRule="auto"/>
        <w:ind w:firstLine="420"/>
        <w:rPr>
          <w:rFonts w:ascii="宋体" w:hAnsi="宋体"/>
          <w:sz w:val="21"/>
          <w:szCs w:val="21"/>
        </w:rPr>
      </w:pPr>
      <w:r>
        <w:rPr>
          <w:rFonts w:hint="eastAsia" w:ascii="宋体" w:hAnsi="宋体"/>
          <w:sz w:val="21"/>
          <w:szCs w:val="21"/>
        </w:rPr>
        <w:t>2.我们已详细审核全部磋商文件及其有效补充文件，我们知道必须放弃提出含糊不清或误解问题的权利。</w:t>
      </w:r>
    </w:p>
    <w:p w14:paraId="7CF88603">
      <w:pPr>
        <w:pStyle w:val="23"/>
        <w:spacing w:line="480" w:lineRule="auto"/>
        <w:ind w:firstLine="420"/>
        <w:rPr>
          <w:rFonts w:ascii="宋体" w:hAnsi="宋体"/>
          <w:sz w:val="21"/>
          <w:szCs w:val="21"/>
        </w:rPr>
      </w:pPr>
      <w:r>
        <w:rPr>
          <w:rFonts w:hint="eastAsia" w:ascii="宋体" w:hAnsi="宋体"/>
          <w:sz w:val="21"/>
          <w:szCs w:val="21"/>
        </w:rPr>
        <w:t>3.我们同意从规定的响应文件接收截止时间起遵循本响应文件，并在规定的磋商有效期期满之前均具有约束力。</w:t>
      </w:r>
    </w:p>
    <w:p w14:paraId="747D1EC4">
      <w:pPr>
        <w:pStyle w:val="23"/>
        <w:spacing w:line="480" w:lineRule="auto"/>
        <w:ind w:firstLine="420"/>
        <w:rPr>
          <w:rFonts w:ascii="宋体" w:hAnsi="宋体"/>
          <w:sz w:val="21"/>
          <w:szCs w:val="21"/>
        </w:rPr>
      </w:pPr>
      <w:r>
        <w:rPr>
          <w:rFonts w:hint="eastAsia" w:ascii="宋体" w:hAnsi="宋体"/>
          <w:sz w:val="21"/>
          <w:szCs w:val="21"/>
        </w:rPr>
        <w:t>4.同意向贵方提供贵方可能另外要求的与磋商采购有关的任何证据或资料，并保证我方已提供和将要提供的文件是真实的、准确的。</w:t>
      </w:r>
    </w:p>
    <w:p w14:paraId="0720B9CD">
      <w:pPr>
        <w:pStyle w:val="23"/>
        <w:spacing w:line="480" w:lineRule="auto"/>
        <w:ind w:firstLine="420"/>
        <w:rPr>
          <w:rFonts w:ascii="宋体" w:hAnsi="宋体"/>
          <w:sz w:val="21"/>
          <w:szCs w:val="21"/>
        </w:rPr>
      </w:pPr>
      <w:r>
        <w:rPr>
          <w:rFonts w:hint="eastAsia" w:ascii="宋体" w:hAnsi="宋体"/>
          <w:sz w:val="21"/>
          <w:szCs w:val="21"/>
        </w:rPr>
        <w:t>5.一旦我方成交，我方将根据磋商文件的规定，严格履行合同的责任和义务，并保证在磋商文件规定的时间完成项目，交付买方验收、使用。</w:t>
      </w:r>
    </w:p>
    <w:p w14:paraId="1F6409D9">
      <w:pPr>
        <w:pStyle w:val="23"/>
        <w:spacing w:line="480" w:lineRule="auto"/>
        <w:ind w:firstLine="420"/>
        <w:rPr>
          <w:rFonts w:ascii="宋体" w:hAnsi="宋体"/>
          <w:sz w:val="21"/>
          <w:szCs w:val="21"/>
        </w:rPr>
      </w:pPr>
      <w:r>
        <w:rPr>
          <w:rFonts w:hint="eastAsia" w:ascii="宋体" w:hAnsi="宋体"/>
          <w:sz w:val="21"/>
          <w:szCs w:val="21"/>
        </w:rPr>
        <w:t>6.遵守磋商文件中要求的收费项目和标准。</w:t>
      </w:r>
    </w:p>
    <w:p w14:paraId="60AF7CE2">
      <w:pPr>
        <w:pStyle w:val="23"/>
        <w:spacing w:line="480" w:lineRule="auto"/>
        <w:ind w:firstLine="420"/>
        <w:rPr>
          <w:rFonts w:ascii="宋体" w:hAnsi="宋体"/>
          <w:sz w:val="21"/>
          <w:szCs w:val="21"/>
        </w:rPr>
      </w:pPr>
      <w:r>
        <w:rPr>
          <w:rFonts w:hint="eastAsia" w:ascii="宋体" w:hAnsi="宋体"/>
          <w:sz w:val="21"/>
          <w:szCs w:val="21"/>
        </w:rPr>
        <w:t>7.与本磋商采购有关的正式通讯地址为：</w:t>
      </w:r>
    </w:p>
    <w:p w14:paraId="3616E358">
      <w:pPr>
        <w:pStyle w:val="23"/>
        <w:spacing w:line="480" w:lineRule="auto"/>
        <w:ind w:firstLine="420"/>
        <w:rPr>
          <w:rFonts w:ascii="宋体" w:hAnsi="宋体"/>
          <w:sz w:val="21"/>
          <w:szCs w:val="21"/>
        </w:rPr>
      </w:pPr>
    </w:p>
    <w:p w14:paraId="4E76B70F">
      <w:pPr>
        <w:pStyle w:val="23"/>
        <w:spacing w:line="480" w:lineRule="auto"/>
        <w:ind w:firstLine="420"/>
        <w:rPr>
          <w:rFonts w:ascii="宋体" w:hAnsi="宋体"/>
          <w:sz w:val="21"/>
          <w:szCs w:val="21"/>
        </w:rPr>
      </w:pPr>
      <w:r>
        <w:rPr>
          <w:rFonts w:hint="eastAsia" w:ascii="宋体" w:hAnsi="宋体"/>
          <w:sz w:val="21"/>
          <w:szCs w:val="21"/>
        </w:rPr>
        <w:t>地 址：                          邮 编：</w:t>
      </w:r>
    </w:p>
    <w:p w14:paraId="5BC46A67">
      <w:pPr>
        <w:pStyle w:val="23"/>
        <w:spacing w:line="480" w:lineRule="auto"/>
        <w:ind w:firstLine="420"/>
        <w:rPr>
          <w:rFonts w:ascii="宋体" w:hAnsi="宋体"/>
          <w:sz w:val="21"/>
          <w:szCs w:val="21"/>
        </w:rPr>
      </w:pPr>
      <w:r>
        <w:rPr>
          <w:rFonts w:hint="eastAsia" w:ascii="宋体" w:hAnsi="宋体"/>
          <w:sz w:val="21"/>
          <w:szCs w:val="21"/>
        </w:rPr>
        <w:t>电 话：                          传 真：</w:t>
      </w:r>
    </w:p>
    <w:p w14:paraId="35199BAB">
      <w:pPr>
        <w:pStyle w:val="23"/>
        <w:spacing w:line="480" w:lineRule="auto"/>
        <w:ind w:firstLine="420"/>
        <w:rPr>
          <w:rFonts w:ascii="宋体" w:hAnsi="宋体"/>
          <w:sz w:val="21"/>
          <w:szCs w:val="21"/>
        </w:rPr>
      </w:pPr>
      <w:r>
        <w:rPr>
          <w:rFonts w:hint="eastAsia" w:ascii="宋体" w:hAnsi="宋体"/>
          <w:sz w:val="21"/>
          <w:szCs w:val="21"/>
        </w:rPr>
        <w:t xml:space="preserve">供应商开户行：                   账 户： </w:t>
      </w:r>
    </w:p>
    <w:p w14:paraId="745D0C27">
      <w:pPr>
        <w:pStyle w:val="23"/>
        <w:spacing w:line="480" w:lineRule="auto"/>
        <w:ind w:firstLine="420"/>
        <w:rPr>
          <w:rFonts w:ascii="宋体" w:hAnsi="宋体"/>
          <w:sz w:val="21"/>
          <w:szCs w:val="21"/>
        </w:rPr>
      </w:pPr>
      <w:r>
        <w:rPr>
          <w:rFonts w:hint="eastAsia" w:ascii="宋体" w:hAnsi="宋体"/>
          <w:sz w:val="21"/>
          <w:szCs w:val="21"/>
        </w:rPr>
        <w:t>法定代表人姓名（签章）：         联系电话：</w:t>
      </w:r>
    </w:p>
    <w:p w14:paraId="07F7BA84">
      <w:pPr>
        <w:pStyle w:val="23"/>
        <w:spacing w:line="480" w:lineRule="auto"/>
        <w:ind w:firstLine="420"/>
        <w:rPr>
          <w:rFonts w:ascii="宋体" w:hAnsi="宋体"/>
          <w:sz w:val="21"/>
          <w:szCs w:val="21"/>
        </w:rPr>
      </w:pPr>
      <w:r>
        <w:rPr>
          <w:rFonts w:hint="eastAsia" w:ascii="宋体" w:hAnsi="宋体"/>
          <w:sz w:val="21"/>
          <w:szCs w:val="21"/>
        </w:rPr>
        <w:t xml:space="preserve">供应商名称（公章）：            </w:t>
      </w:r>
    </w:p>
    <w:p w14:paraId="3F86DB40">
      <w:pPr>
        <w:pStyle w:val="23"/>
        <w:spacing w:line="480" w:lineRule="auto"/>
        <w:ind w:firstLine="420"/>
        <w:rPr>
          <w:rFonts w:ascii="宋体" w:hAnsi="宋体"/>
          <w:sz w:val="21"/>
          <w:szCs w:val="21"/>
        </w:rPr>
      </w:pPr>
      <w:r>
        <w:rPr>
          <w:rFonts w:hint="eastAsia" w:ascii="宋体" w:hAnsi="宋体"/>
          <w:sz w:val="21"/>
          <w:szCs w:val="21"/>
        </w:rPr>
        <w:t>日 期：________年____月____日</w:t>
      </w:r>
    </w:p>
    <w:p w14:paraId="35881F84">
      <w:pPr>
        <w:pStyle w:val="23"/>
        <w:spacing w:after="312" w:afterLines="100" w:line="480" w:lineRule="auto"/>
        <w:ind w:firstLine="422"/>
        <w:jc w:val="center"/>
        <w:rPr>
          <w:rFonts w:ascii="宋体" w:hAnsi="宋体"/>
          <w:b/>
          <w:sz w:val="21"/>
          <w:szCs w:val="21"/>
        </w:rPr>
      </w:pPr>
      <w:r>
        <w:rPr>
          <w:rFonts w:ascii="宋体" w:hAnsi="宋体"/>
          <w:b/>
          <w:sz w:val="21"/>
          <w:szCs w:val="21"/>
        </w:rPr>
        <w:br w:type="page"/>
      </w:r>
    </w:p>
    <w:p w14:paraId="54928732">
      <w:pPr>
        <w:pStyle w:val="23"/>
        <w:spacing w:after="312" w:afterLines="100" w:line="480" w:lineRule="auto"/>
        <w:ind w:firstLine="482"/>
        <w:jc w:val="center"/>
        <w:rPr>
          <w:rFonts w:ascii="宋体" w:hAnsi="宋体"/>
          <w:b/>
          <w:sz w:val="24"/>
          <w:szCs w:val="24"/>
        </w:rPr>
      </w:pPr>
      <w:r>
        <w:rPr>
          <w:rFonts w:hint="eastAsia" w:ascii="宋体" w:hAnsi="宋体"/>
          <w:b/>
          <w:sz w:val="24"/>
          <w:szCs w:val="24"/>
        </w:rPr>
        <w:t>法人授权书</w:t>
      </w:r>
    </w:p>
    <w:p w14:paraId="17F6E561">
      <w:pPr>
        <w:pStyle w:val="23"/>
        <w:spacing w:line="480" w:lineRule="auto"/>
        <w:ind w:firstLine="420"/>
        <w:rPr>
          <w:rFonts w:ascii="宋体" w:hAnsi="宋体"/>
          <w:sz w:val="21"/>
          <w:szCs w:val="21"/>
        </w:rPr>
      </w:pPr>
      <w:r>
        <w:rPr>
          <w:rFonts w:hint="eastAsia" w:ascii="宋体" w:hAnsi="宋体"/>
          <w:sz w:val="21"/>
          <w:szCs w:val="21"/>
        </w:rPr>
        <w:t>本授权书声明：</w:t>
      </w:r>
      <w:r>
        <w:rPr>
          <w:rFonts w:ascii="宋体" w:hAnsi="宋体"/>
          <w:sz w:val="21"/>
          <w:szCs w:val="21"/>
        </w:rPr>
        <w:t>________________</w:t>
      </w:r>
      <w:r>
        <w:rPr>
          <w:rFonts w:hint="eastAsia" w:ascii="宋体" w:hAnsi="宋体"/>
          <w:sz w:val="21"/>
          <w:szCs w:val="21"/>
        </w:rPr>
        <w:t>（供应商名称）授权</w:t>
      </w:r>
      <w:r>
        <w:rPr>
          <w:rFonts w:ascii="宋体" w:hAnsi="宋体"/>
          <w:sz w:val="21"/>
          <w:szCs w:val="21"/>
        </w:rPr>
        <w:t>________________</w:t>
      </w:r>
      <w:r>
        <w:rPr>
          <w:rFonts w:hint="eastAsia" w:ascii="宋体" w:hAnsi="宋体"/>
          <w:sz w:val="21"/>
          <w:szCs w:val="21"/>
        </w:rPr>
        <w:t>（被授权人的姓名）为我方就（项目编号）号（项目名称）项目采购活动的合法代理人，以本公司名义全权处理一切与该项目采购有关的事务。</w:t>
      </w:r>
    </w:p>
    <w:p w14:paraId="37BB6C2E">
      <w:pPr>
        <w:pStyle w:val="23"/>
        <w:spacing w:line="480" w:lineRule="auto"/>
        <w:ind w:firstLine="420"/>
        <w:rPr>
          <w:rFonts w:ascii="宋体" w:hAnsi="宋体"/>
          <w:sz w:val="21"/>
          <w:szCs w:val="21"/>
        </w:rPr>
      </w:pPr>
      <w:r>
        <w:rPr>
          <w:rFonts w:hint="eastAsia" w:ascii="宋体" w:hAnsi="宋体"/>
          <w:sz w:val="21"/>
          <w:szCs w:val="21"/>
        </w:rPr>
        <w:t>本授权书于</w:t>
      </w:r>
      <w:r>
        <w:rPr>
          <w:rFonts w:ascii="宋体" w:hAnsi="宋体"/>
          <w:sz w:val="21"/>
          <w:szCs w:val="21"/>
        </w:rPr>
        <w:t>______</w:t>
      </w:r>
      <w:r>
        <w:rPr>
          <w:rFonts w:hint="eastAsia" w:ascii="宋体" w:hAnsi="宋体"/>
          <w:sz w:val="21"/>
          <w:szCs w:val="21"/>
        </w:rPr>
        <w:t>年</w:t>
      </w:r>
      <w:r>
        <w:rPr>
          <w:rFonts w:ascii="宋体" w:hAnsi="宋体"/>
          <w:sz w:val="21"/>
          <w:szCs w:val="21"/>
        </w:rPr>
        <w:t>____</w:t>
      </w:r>
      <w:r>
        <w:rPr>
          <w:rFonts w:hint="eastAsia" w:ascii="宋体" w:hAnsi="宋体"/>
          <w:sz w:val="21"/>
          <w:szCs w:val="21"/>
        </w:rPr>
        <w:t>月</w:t>
      </w:r>
      <w:r>
        <w:rPr>
          <w:rFonts w:ascii="宋体" w:hAnsi="宋体"/>
          <w:sz w:val="21"/>
          <w:szCs w:val="21"/>
        </w:rPr>
        <w:t>____</w:t>
      </w:r>
      <w:r>
        <w:rPr>
          <w:rFonts w:hint="eastAsia" w:ascii="宋体" w:hAnsi="宋体"/>
          <w:sz w:val="21"/>
          <w:szCs w:val="21"/>
        </w:rPr>
        <w:t>日起生效，特此声明。</w:t>
      </w:r>
    </w:p>
    <w:p w14:paraId="67EFB871">
      <w:pPr>
        <w:pStyle w:val="23"/>
        <w:spacing w:line="480" w:lineRule="auto"/>
        <w:ind w:firstLine="420"/>
        <w:rPr>
          <w:rFonts w:ascii="宋体" w:hAnsi="宋体"/>
          <w:sz w:val="21"/>
          <w:szCs w:val="21"/>
        </w:rPr>
      </w:pPr>
      <w:r>
        <w:rPr>
          <w:rFonts w:hint="eastAsia" w:ascii="宋体" w:hAnsi="宋体"/>
          <w:sz w:val="21"/>
          <w:szCs w:val="21"/>
        </w:rPr>
        <w:t>被授权人姓名：</w:t>
      </w:r>
      <w:r>
        <w:rPr>
          <w:rFonts w:ascii="宋体" w:hAnsi="宋体"/>
          <w:sz w:val="21"/>
          <w:szCs w:val="21"/>
        </w:rPr>
        <w:t>_____________________</w:t>
      </w:r>
      <w:r>
        <w:rPr>
          <w:rFonts w:hint="eastAsia" w:ascii="宋体" w:hAnsi="宋体"/>
          <w:sz w:val="21"/>
          <w:szCs w:val="21"/>
          <w:u w:val="single"/>
        </w:rPr>
        <w:t xml:space="preserve">         </w:t>
      </w:r>
      <w:r>
        <w:rPr>
          <w:rFonts w:ascii="宋体" w:hAnsi="宋体"/>
          <w:sz w:val="21"/>
          <w:szCs w:val="21"/>
        </w:rPr>
        <w:t>__</w:t>
      </w:r>
      <w:r>
        <w:rPr>
          <w:rFonts w:hint="eastAsia" w:ascii="宋体" w:hAnsi="宋体"/>
          <w:sz w:val="21"/>
          <w:szCs w:val="21"/>
        </w:rPr>
        <w:t xml:space="preserve">     </w:t>
      </w:r>
    </w:p>
    <w:p w14:paraId="1F8D8E15">
      <w:pPr>
        <w:pStyle w:val="23"/>
        <w:spacing w:line="480" w:lineRule="auto"/>
        <w:ind w:firstLine="420"/>
        <w:rPr>
          <w:rFonts w:ascii="宋体" w:hAnsi="宋体"/>
          <w:sz w:val="21"/>
          <w:szCs w:val="21"/>
          <w:u w:val="single"/>
        </w:rPr>
      </w:pPr>
      <w:r>
        <w:rPr>
          <w:rFonts w:hint="eastAsia" w:ascii="宋体" w:hAnsi="宋体"/>
          <w:sz w:val="21"/>
          <w:szCs w:val="21"/>
        </w:rPr>
        <w:t>联系电话（手机）：</w:t>
      </w:r>
      <w:r>
        <w:rPr>
          <w:rFonts w:hint="eastAsia" w:ascii="宋体" w:hAnsi="宋体"/>
          <w:sz w:val="21"/>
          <w:szCs w:val="21"/>
          <w:u w:val="single"/>
        </w:rPr>
        <w:t xml:space="preserve">                             </w:t>
      </w:r>
    </w:p>
    <w:p w14:paraId="0ED8FCD2">
      <w:pPr>
        <w:pStyle w:val="23"/>
        <w:spacing w:line="480" w:lineRule="auto"/>
        <w:ind w:firstLine="0" w:firstLineChars="0"/>
        <w:rPr>
          <w:rFonts w:ascii="宋体" w:hAnsi="宋体"/>
          <w:sz w:val="21"/>
          <w:szCs w:val="21"/>
        </w:rPr>
      </w:pPr>
      <w:r>
        <w:rPr>
          <w:rFonts w:ascii="宋体" w:hAnsi="宋体"/>
          <w:sz w:val="21"/>
          <w:szCs w:val="21"/>
        </w:rPr>
        <w:t xml:space="preserve">    </w:t>
      </w:r>
      <w:r>
        <w:rPr>
          <w:rFonts w:hint="eastAsia" w:ascii="宋体" w:hAnsi="宋体"/>
          <w:sz w:val="21"/>
          <w:szCs w:val="21"/>
        </w:rPr>
        <w:t>单位名称：</w:t>
      </w:r>
      <w:r>
        <w:rPr>
          <w:rFonts w:ascii="宋体" w:hAnsi="宋体"/>
          <w:sz w:val="21"/>
          <w:szCs w:val="21"/>
        </w:rPr>
        <w:t>____________________________________</w:t>
      </w:r>
    </w:p>
    <w:p w14:paraId="620F9832">
      <w:pPr>
        <w:pStyle w:val="23"/>
        <w:spacing w:line="480" w:lineRule="auto"/>
        <w:ind w:firstLine="420"/>
        <w:rPr>
          <w:rFonts w:ascii="宋体" w:hAnsi="宋体"/>
          <w:sz w:val="21"/>
          <w:szCs w:val="21"/>
          <w:u w:val="single"/>
        </w:rPr>
      </w:pPr>
      <w:r>
        <w:rPr>
          <w:rFonts w:hint="eastAsia" w:ascii="宋体" w:hAnsi="宋体"/>
          <w:sz w:val="21"/>
          <w:szCs w:val="21"/>
        </w:rPr>
        <w:t>单位地址：</w:t>
      </w:r>
      <w:r>
        <w:rPr>
          <w:rFonts w:ascii="宋体" w:hAnsi="宋体"/>
          <w:sz w:val="21"/>
          <w:szCs w:val="21"/>
          <w:u w:val="single"/>
        </w:rPr>
        <w:t xml:space="preserve">                                         </w:t>
      </w:r>
    </w:p>
    <w:p w14:paraId="3AD722E1">
      <w:pPr>
        <w:pStyle w:val="23"/>
        <w:spacing w:line="480" w:lineRule="auto"/>
        <w:ind w:firstLine="420"/>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ascii="宋体" w:hAnsi="宋体"/>
          <w:sz w:val="21"/>
          <w:szCs w:val="21"/>
        </w:rPr>
        <w:t xml:space="preserve"> </w:t>
      </w:r>
    </w:p>
    <w:p w14:paraId="65D6F9F6">
      <w:pPr>
        <w:spacing w:line="480" w:lineRule="auto"/>
        <w:rPr>
          <w:rFonts w:ascii="宋体" w:hAnsi="宋体" w:eastAsia="宋体"/>
          <w:bCs/>
        </w:rPr>
      </w:pPr>
    </w:p>
    <w:p w14:paraId="2EFA61DB">
      <w:pPr>
        <w:spacing w:line="480" w:lineRule="auto"/>
        <w:ind w:firstLine="420" w:firstLineChars="200"/>
        <w:rPr>
          <w:rFonts w:ascii="宋体" w:hAnsi="宋体" w:eastAsia="宋体"/>
          <w:bCs/>
        </w:rPr>
        <w:sectPr>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bCs/>
        </w:rPr>
        <w:t>被授权人身份证复印件</w:t>
      </w:r>
    </w:p>
    <w:p w14:paraId="3BFC4F92">
      <w:pPr>
        <w:numPr>
          <w:ilvl w:val="0"/>
          <w:numId w:val="2"/>
        </w:numPr>
        <w:spacing w:line="480" w:lineRule="auto"/>
        <w:jc w:val="center"/>
        <w:rPr>
          <w:rFonts w:ascii="宋体" w:hAnsi="宋体" w:eastAsia="宋体"/>
          <w:b/>
          <w:sz w:val="32"/>
          <w:szCs w:val="32"/>
        </w:rPr>
      </w:pPr>
      <w:r>
        <w:rPr>
          <w:rFonts w:hint="eastAsia" w:ascii="宋体" w:hAnsi="宋体" w:eastAsia="宋体"/>
          <w:b/>
          <w:sz w:val="32"/>
          <w:szCs w:val="32"/>
        </w:rPr>
        <w:t>符合性审查响应对照表</w:t>
      </w:r>
    </w:p>
    <w:tbl>
      <w:tblPr>
        <w:tblStyle w:val="1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136"/>
        <w:gridCol w:w="1124"/>
      </w:tblGrid>
      <w:tr w14:paraId="0C73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018EA8D">
            <w:pPr>
              <w:spacing w:line="480" w:lineRule="auto"/>
              <w:jc w:val="center"/>
              <w:rPr>
                <w:rFonts w:ascii="宋体" w:hAnsi="宋体" w:eastAsia="宋体"/>
                <w:b/>
              </w:rPr>
            </w:pPr>
            <w:r>
              <w:rPr>
                <w:rFonts w:hint="eastAsia" w:ascii="宋体" w:hAnsi="宋体" w:eastAsia="宋体"/>
                <w:b/>
              </w:rPr>
              <w:t>序号</w:t>
            </w:r>
          </w:p>
        </w:tc>
        <w:tc>
          <w:tcPr>
            <w:tcW w:w="4991" w:type="dxa"/>
            <w:vAlign w:val="center"/>
          </w:tcPr>
          <w:p w14:paraId="6A8E1A62">
            <w:pPr>
              <w:spacing w:line="480" w:lineRule="auto"/>
              <w:jc w:val="center"/>
              <w:rPr>
                <w:rFonts w:ascii="宋体" w:hAnsi="宋体" w:eastAsia="宋体"/>
                <w:b/>
              </w:rPr>
            </w:pPr>
            <w:r>
              <w:rPr>
                <w:rFonts w:hint="eastAsia" w:ascii="宋体" w:hAnsi="宋体" w:eastAsia="宋体"/>
                <w:b/>
              </w:rPr>
              <w:t>符合性审查响应内容</w:t>
            </w:r>
          </w:p>
        </w:tc>
        <w:tc>
          <w:tcPr>
            <w:tcW w:w="2136" w:type="dxa"/>
            <w:vAlign w:val="center"/>
          </w:tcPr>
          <w:p w14:paraId="0F54FDD7">
            <w:pPr>
              <w:spacing w:line="480" w:lineRule="auto"/>
              <w:jc w:val="center"/>
              <w:rPr>
                <w:rFonts w:ascii="宋体" w:hAnsi="宋体" w:eastAsia="宋体"/>
                <w:b/>
              </w:rPr>
            </w:pPr>
            <w:r>
              <w:rPr>
                <w:rFonts w:hint="eastAsia" w:ascii="宋体" w:hAnsi="宋体" w:eastAsia="宋体"/>
                <w:b/>
              </w:rPr>
              <w:t>是否响应</w:t>
            </w:r>
          </w:p>
          <w:p w14:paraId="5DFCFA31">
            <w:pPr>
              <w:spacing w:line="480" w:lineRule="auto"/>
              <w:jc w:val="center"/>
              <w:rPr>
                <w:rFonts w:ascii="宋体" w:hAnsi="宋体" w:eastAsia="宋体"/>
                <w:b/>
              </w:rPr>
            </w:pPr>
            <w:r>
              <w:rPr>
                <w:rFonts w:hint="eastAsia" w:ascii="宋体" w:hAnsi="宋体" w:eastAsia="宋体"/>
                <w:b/>
              </w:rPr>
              <w:t>（填是或者否）</w:t>
            </w:r>
          </w:p>
        </w:tc>
        <w:tc>
          <w:tcPr>
            <w:tcW w:w="1124" w:type="dxa"/>
            <w:vAlign w:val="center"/>
          </w:tcPr>
          <w:p w14:paraId="3B34A30C">
            <w:pPr>
              <w:spacing w:line="480" w:lineRule="auto"/>
              <w:jc w:val="center"/>
              <w:rPr>
                <w:rFonts w:ascii="宋体" w:hAnsi="宋体" w:eastAsia="宋体"/>
                <w:b/>
              </w:rPr>
            </w:pPr>
            <w:r>
              <w:rPr>
                <w:rFonts w:hint="eastAsia" w:ascii="宋体" w:hAnsi="宋体" w:eastAsia="宋体"/>
                <w:b/>
              </w:rPr>
              <w:t>响应情况</w:t>
            </w:r>
          </w:p>
        </w:tc>
      </w:tr>
      <w:tr w14:paraId="45CB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408CEF57">
            <w:pPr>
              <w:spacing w:line="480" w:lineRule="auto"/>
              <w:jc w:val="center"/>
              <w:rPr>
                <w:rFonts w:ascii="宋体" w:hAnsi="宋体" w:eastAsia="宋体"/>
              </w:rPr>
            </w:pPr>
            <w:r>
              <w:rPr>
                <w:rFonts w:hint="eastAsia" w:ascii="宋体" w:hAnsi="宋体" w:eastAsia="宋体"/>
              </w:rPr>
              <w:t>1</w:t>
            </w:r>
          </w:p>
        </w:tc>
        <w:tc>
          <w:tcPr>
            <w:tcW w:w="4991" w:type="dxa"/>
            <w:vAlign w:val="center"/>
          </w:tcPr>
          <w:p w14:paraId="4DD034C1">
            <w:pPr>
              <w:spacing w:line="480" w:lineRule="auto"/>
              <w:rPr>
                <w:rFonts w:ascii="宋体" w:hAnsi="宋体" w:eastAsia="宋体"/>
                <w:iCs/>
              </w:rPr>
            </w:pPr>
            <w:r>
              <w:rPr>
                <w:rFonts w:hint="eastAsia" w:ascii="宋体" w:hAnsi="宋体" w:eastAsia="宋体"/>
                <w:iCs/>
              </w:rPr>
              <w:t>采购需求中必须满足的实质性要求（即加斜体下划线内容，每条详细列出）</w:t>
            </w:r>
          </w:p>
        </w:tc>
        <w:tc>
          <w:tcPr>
            <w:tcW w:w="2136" w:type="dxa"/>
            <w:vAlign w:val="center"/>
          </w:tcPr>
          <w:p w14:paraId="63D14046">
            <w:pPr>
              <w:spacing w:line="480" w:lineRule="auto"/>
              <w:rPr>
                <w:rFonts w:ascii="宋体" w:hAnsi="宋体" w:eastAsia="宋体"/>
                <w:b/>
              </w:rPr>
            </w:pPr>
          </w:p>
        </w:tc>
        <w:tc>
          <w:tcPr>
            <w:tcW w:w="1124" w:type="dxa"/>
            <w:vAlign w:val="center"/>
          </w:tcPr>
          <w:p w14:paraId="55119F0C">
            <w:pPr>
              <w:spacing w:line="480" w:lineRule="auto"/>
              <w:rPr>
                <w:rFonts w:ascii="宋体" w:hAnsi="宋体" w:eastAsia="宋体"/>
                <w:b/>
              </w:rPr>
            </w:pPr>
          </w:p>
        </w:tc>
      </w:tr>
      <w:tr w14:paraId="7BE2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66D79097">
            <w:pPr>
              <w:spacing w:line="480" w:lineRule="auto"/>
              <w:jc w:val="center"/>
              <w:rPr>
                <w:rFonts w:ascii="宋体" w:hAnsi="宋体" w:eastAsia="宋体"/>
              </w:rPr>
            </w:pPr>
            <w:r>
              <w:rPr>
                <w:rFonts w:hint="eastAsia" w:ascii="宋体" w:hAnsi="宋体" w:eastAsia="宋体"/>
              </w:rPr>
              <w:t>2</w:t>
            </w:r>
          </w:p>
        </w:tc>
        <w:tc>
          <w:tcPr>
            <w:tcW w:w="4991" w:type="dxa"/>
            <w:vAlign w:val="center"/>
          </w:tcPr>
          <w:p w14:paraId="5CB9CCF0">
            <w:pPr>
              <w:spacing w:line="480" w:lineRule="auto"/>
              <w:rPr>
                <w:rFonts w:ascii="宋体" w:hAnsi="宋体" w:eastAsia="宋体"/>
                <w:iCs/>
              </w:rPr>
            </w:pPr>
          </w:p>
        </w:tc>
        <w:tc>
          <w:tcPr>
            <w:tcW w:w="2136" w:type="dxa"/>
            <w:vAlign w:val="center"/>
          </w:tcPr>
          <w:p w14:paraId="659F4F8A">
            <w:pPr>
              <w:spacing w:line="480" w:lineRule="auto"/>
              <w:rPr>
                <w:rFonts w:ascii="宋体" w:hAnsi="宋体" w:eastAsia="宋体"/>
              </w:rPr>
            </w:pPr>
          </w:p>
        </w:tc>
        <w:tc>
          <w:tcPr>
            <w:tcW w:w="1124" w:type="dxa"/>
            <w:vAlign w:val="center"/>
          </w:tcPr>
          <w:p w14:paraId="3E77D4F3">
            <w:pPr>
              <w:spacing w:line="480" w:lineRule="auto"/>
              <w:rPr>
                <w:rFonts w:ascii="宋体" w:hAnsi="宋体" w:eastAsia="宋体"/>
              </w:rPr>
            </w:pPr>
          </w:p>
        </w:tc>
      </w:tr>
      <w:tr w14:paraId="747B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770E144B">
            <w:pPr>
              <w:spacing w:line="480" w:lineRule="auto"/>
              <w:jc w:val="center"/>
              <w:rPr>
                <w:rFonts w:ascii="宋体" w:hAnsi="宋体" w:eastAsia="宋体"/>
              </w:rPr>
            </w:pPr>
            <w:r>
              <w:rPr>
                <w:rFonts w:hint="eastAsia" w:ascii="宋体" w:hAnsi="宋体" w:eastAsia="宋体"/>
              </w:rPr>
              <w:t>3</w:t>
            </w:r>
          </w:p>
        </w:tc>
        <w:tc>
          <w:tcPr>
            <w:tcW w:w="4991" w:type="dxa"/>
            <w:vAlign w:val="center"/>
          </w:tcPr>
          <w:p w14:paraId="4AEB3ECF">
            <w:pPr>
              <w:spacing w:line="480" w:lineRule="auto"/>
              <w:rPr>
                <w:rFonts w:ascii="宋体" w:hAnsi="宋体" w:eastAsia="宋体"/>
                <w:iCs/>
              </w:rPr>
            </w:pPr>
          </w:p>
        </w:tc>
        <w:tc>
          <w:tcPr>
            <w:tcW w:w="2136" w:type="dxa"/>
            <w:vAlign w:val="center"/>
          </w:tcPr>
          <w:p w14:paraId="1BFC0707">
            <w:pPr>
              <w:spacing w:line="480" w:lineRule="auto"/>
              <w:rPr>
                <w:rFonts w:ascii="宋体" w:hAnsi="宋体" w:eastAsia="宋体"/>
              </w:rPr>
            </w:pPr>
          </w:p>
        </w:tc>
        <w:tc>
          <w:tcPr>
            <w:tcW w:w="1124" w:type="dxa"/>
            <w:vAlign w:val="center"/>
          </w:tcPr>
          <w:p w14:paraId="79C08323">
            <w:pPr>
              <w:spacing w:line="480" w:lineRule="auto"/>
              <w:rPr>
                <w:rFonts w:ascii="宋体" w:hAnsi="宋体" w:eastAsia="宋体"/>
              </w:rPr>
            </w:pPr>
          </w:p>
        </w:tc>
      </w:tr>
      <w:tr w14:paraId="5209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vAlign w:val="center"/>
          </w:tcPr>
          <w:p w14:paraId="0B9F046B">
            <w:pPr>
              <w:spacing w:line="480" w:lineRule="auto"/>
              <w:jc w:val="center"/>
              <w:rPr>
                <w:rFonts w:ascii="宋体" w:hAnsi="宋体" w:eastAsia="宋体"/>
              </w:rPr>
            </w:pPr>
            <w:r>
              <w:rPr>
                <w:rFonts w:hint="eastAsia" w:ascii="宋体" w:hAnsi="宋体" w:eastAsia="宋体"/>
              </w:rPr>
              <w:t>4</w:t>
            </w:r>
          </w:p>
        </w:tc>
        <w:tc>
          <w:tcPr>
            <w:tcW w:w="4991" w:type="dxa"/>
            <w:vAlign w:val="center"/>
          </w:tcPr>
          <w:p w14:paraId="78290AF3">
            <w:pPr>
              <w:spacing w:line="480" w:lineRule="auto"/>
              <w:rPr>
                <w:rFonts w:ascii="宋体" w:hAnsi="宋体" w:eastAsia="宋体"/>
                <w:iCs/>
              </w:rPr>
            </w:pPr>
          </w:p>
        </w:tc>
        <w:tc>
          <w:tcPr>
            <w:tcW w:w="2136" w:type="dxa"/>
            <w:vAlign w:val="center"/>
          </w:tcPr>
          <w:p w14:paraId="6EF3F76B">
            <w:pPr>
              <w:spacing w:line="480" w:lineRule="auto"/>
              <w:rPr>
                <w:rFonts w:ascii="宋体" w:hAnsi="宋体" w:eastAsia="宋体"/>
              </w:rPr>
            </w:pPr>
          </w:p>
        </w:tc>
        <w:tc>
          <w:tcPr>
            <w:tcW w:w="1124" w:type="dxa"/>
            <w:vAlign w:val="center"/>
          </w:tcPr>
          <w:p w14:paraId="365C0ABC">
            <w:pPr>
              <w:spacing w:line="480" w:lineRule="auto"/>
              <w:rPr>
                <w:rFonts w:ascii="宋体" w:hAnsi="宋体" w:eastAsia="宋体"/>
              </w:rPr>
            </w:pPr>
          </w:p>
        </w:tc>
      </w:tr>
      <w:tr w14:paraId="7473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26B6F39E">
            <w:pPr>
              <w:spacing w:line="480" w:lineRule="auto"/>
              <w:jc w:val="center"/>
              <w:rPr>
                <w:rFonts w:ascii="宋体" w:hAnsi="宋体" w:eastAsia="宋体"/>
              </w:rPr>
            </w:pPr>
            <w:r>
              <w:rPr>
                <w:rFonts w:hint="eastAsia" w:ascii="宋体" w:hAnsi="宋体" w:eastAsia="宋体"/>
              </w:rPr>
              <w:t>5</w:t>
            </w:r>
          </w:p>
        </w:tc>
        <w:tc>
          <w:tcPr>
            <w:tcW w:w="4991" w:type="dxa"/>
            <w:vAlign w:val="center"/>
          </w:tcPr>
          <w:p w14:paraId="2A0BC473">
            <w:pPr>
              <w:spacing w:line="480" w:lineRule="auto"/>
              <w:rPr>
                <w:rFonts w:ascii="宋体" w:hAnsi="宋体" w:eastAsia="宋体"/>
                <w:iCs/>
              </w:rPr>
            </w:pPr>
            <w:r>
              <w:rPr>
                <w:rFonts w:ascii="宋体" w:hAnsi="宋体" w:eastAsia="宋体"/>
                <w:iCs/>
              </w:rPr>
              <w:t>……</w:t>
            </w:r>
          </w:p>
        </w:tc>
        <w:tc>
          <w:tcPr>
            <w:tcW w:w="2136" w:type="dxa"/>
            <w:vAlign w:val="center"/>
          </w:tcPr>
          <w:p w14:paraId="6AC467D4">
            <w:pPr>
              <w:spacing w:line="480" w:lineRule="auto"/>
              <w:rPr>
                <w:rFonts w:ascii="宋体" w:hAnsi="宋体" w:eastAsia="宋体"/>
              </w:rPr>
            </w:pPr>
          </w:p>
        </w:tc>
        <w:tc>
          <w:tcPr>
            <w:tcW w:w="1124" w:type="dxa"/>
            <w:vAlign w:val="center"/>
          </w:tcPr>
          <w:p w14:paraId="06C211CB">
            <w:pPr>
              <w:spacing w:line="480" w:lineRule="auto"/>
              <w:rPr>
                <w:rFonts w:ascii="宋体" w:hAnsi="宋体" w:eastAsia="宋体"/>
              </w:rPr>
            </w:pPr>
          </w:p>
        </w:tc>
      </w:tr>
    </w:tbl>
    <w:p w14:paraId="2D991D21">
      <w:pPr>
        <w:spacing w:line="480" w:lineRule="auto"/>
        <w:contextualSpacing/>
        <w:jc w:val="center"/>
        <w:rPr>
          <w:rFonts w:ascii="宋体" w:hAnsi="宋体" w:eastAsia="宋体"/>
          <w:b/>
          <w:bCs/>
          <w:sz w:val="32"/>
          <w:szCs w:val="32"/>
        </w:rPr>
      </w:pPr>
      <w:r>
        <w:rPr>
          <w:rFonts w:ascii="宋体" w:hAnsi="宋体" w:eastAsia="宋体"/>
          <w:b/>
          <w:bCs/>
          <w:sz w:val="32"/>
          <w:szCs w:val="32"/>
        </w:rPr>
        <w:br w:type="page"/>
      </w:r>
    </w:p>
    <w:p w14:paraId="1A86E883">
      <w:pPr>
        <w:numPr>
          <w:ilvl w:val="0"/>
          <w:numId w:val="2"/>
        </w:numPr>
        <w:spacing w:line="480" w:lineRule="auto"/>
        <w:jc w:val="center"/>
        <w:rPr>
          <w:rFonts w:ascii="宋体" w:hAnsi="宋体" w:eastAsia="宋体"/>
          <w:b/>
          <w:sz w:val="32"/>
          <w:szCs w:val="32"/>
        </w:rPr>
      </w:pPr>
      <w:r>
        <w:rPr>
          <w:rFonts w:hint="eastAsia" w:ascii="宋体" w:hAnsi="宋体" w:eastAsia="宋体"/>
          <w:b/>
          <w:sz w:val="32"/>
          <w:szCs w:val="32"/>
        </w:rPr>
        <w:t>非实质性响应对照表</w:t>
      </w:r>
    </w:p>
    <w:p w14:paraId="46D1F63A">
      <w:pPr>
        <w:spacing w:line="480" w:lineRule="auto"/>
        <w:rPr>
          <w:rFonts w:ascii="宋体" w:hAnsi="宋体" w:eastAsia="宋体"/>
          <w:b/>
          <w:sz w:val="32"/>
          <w:szCs w:val="32"/>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14:paraId="39FE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43DC2D27">
            <w:pPr>
              <w:spacing w:line="480" w:lineRule="auto"/>
              <w:jc w:val="center"/>
              <w:rPr>
                <w:rFonts w:ascii="宋体" w:hAnsi="宋体" w:eastAsia="宋体"/>
                <w:b/>
              </w:rPr>
            </w:pPr>
            <w:r>
              <w:rPr>
                <w:rFonts w:hint="eastAsia" w:ascii="宋体" w:hAnsi="宋体" w:eastAsia="宋体"/>
                <w:b/>
              </w:rPr>
              <w:t>序号</w:t>
            </w:r>
          </w:p>
        </w:tc>
        <w:tc>
          <w:tcPr>
            <w:tcW w:w="5447" w:type="dxa"/>
            <w:vAlign w:val="center"/>
          </w:tcPr>
          <w:p w14:paraId="52A3CC85">
            <w:pPr>
              <w:spacing w:line="480" w:lineRule="auto"/>
              <w:jc w:val="center"/>
              <w:rPr>
                <w:rFonts w:ascii="宋体" w:hAnsi="宋体" w:eastAsia="宋体"/>
                <w:b/>
              </w:rPr>
            </w:pPr>
            <w:r>
              <w:rPr>
                <w:rFonts w:hint="eastAsia" w:ascii="宋体" w:hAnsi="宋体" w:eastAsia="宋体"/>
                <w:b/>
              </w:rPr>
              <w:t>非实质性响应内容</w:t>
            </w:r>
          </w:p>
        </w:tc>
        <w:tc>
          <w:tcPr>
            <w:tcW w:w="1680" w:type="dxa"/>
            <w:vAlign w:val="center"/>
          </w:tcPr>
          <w:p w14:paraId="2897B485">
            <w:pPr>
              <w:spacing w:line="480" w:lineRule="auto"/>
              <w:jc w:val="center"/>
              <w:rPr>
                <w:rFonts w:ascii="宋体" w:hAnsi="宋体" w:eastAsia="宋体"/>
                <w:b/>
              </w:rPr>
            </w:pPr>
            <w:r>
              <w:rPr>
                <w:rFonts w:hint="eastAsia" w:ascii="宋体" w:hAnsi="宋体" w:eastAsia="宋体"/>
                <w:b/>
              </w:rPr>
              <w:t>是否响应</w:t>
            </w:r>
          </w:p>
          <w:p w14:paraId="1E657E43">
            <w:pPr>
              <w:spacing w:line="480" w:lineRule="auto"/>
              <w:jc w:val="center"/>
              <w:rPr>
                <w:rFonts w:ascii="宋体" w:hAnsi="宋体" w:eastAsia="宋体"/>
                <w:b/>
              </w:rPr>
            </w:pPr>
            <w:r>
              <w:rPr>
                <w:rFonts w:hint="eastAsia" w:ascii="宋体" w:hAnsi="宋体" w:eastAsia="宋体"/>
                <w:b/>
              </w:rPr>
              <w:t>（填是或者否）</w:t>
            </w:r>
          </w:p>
        </w:tc>
        <w:tc>
          <w:tcPr>
            <w:tcW w:w="1308" w:type="dxa"/>
            <w:vAlign w:val="center"/>
          </w:tcPr>
          <w:p w14:paraId="7451F027">
            <w:pPr>
              <w:spacing w:line="480" w:lineRule="auto"/>
              <w:jc w:val="center"/>
              <w:rPr>
                <w:rFonts w:ascii="宋体" w:hAnsi="宋体" w:eastAsia="宋体"/>
                <w:b/>
              </w:rPr>
            </w:pPr>
            <w:r>
              <w:rPr>
                <w:rFonts w:hint="eastAsia" w:ascii="宋体" w:hAnsi="宋体" w:eastAsia="宋体"/>
                <w:b/>
              </w:rPr>
              <w:t>响应情况</w:t>
            </w:r>
          </w:p>
        </w:tc>
      </w:tr>
      <w:tr w14:paraId="5789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03AF4343">
            <w:pPr>
              <w:spacing w:line="480" w:lineRule="auto"/>
              <w:jc w:val="center"/>
              <w:rPr>
                <w:rFonts w:ascii="宋体" w:hAnsi="宋体" w:eastAsia="宋体"/>
                <w:b/>
              </w:rPr>
            </w:pPr>
            <w:r>
              <w:rPr>
                <w:rFonts w:hint="eastAsia" w:ascii="宋体" w:hAnsi="宋体" w:eastAsia="宋体"/>
                <w:b/>
              </w:rPr>
              <w:t>1</w:t>
            </w:r>
          </w:p>
        </w:tc>
        <w:tc>
          <w:tcPr>
            <w:tcW w:w="5447" w:type="dxa"/>
            <w:vAlign w:val="center"/>
          </w:tcPr>
          <w:p w14:paraId="52F3A28C">
            <w:pPr>
              <w:spacing w:line="480" w:lineRule="auto"/>
              <w:rPr>
                <w:rFonts w:ascii="宋体" w:hAnsi="宋体" w:eastAsia="宋体"/>
                <w:iCs/>
              </w:rPr>
            </w:pPr>
            <w:r>
              <w:rPr>
                <w:rFonts w:hint="eastAsia" w:ascii="宋体" w:hAnsi="宋体" w:eastAsia="宋体"/>
              </w:rPr>
              <w:t>《企业声明函》</w:t>
            </w:r>
          </w:p>
        </w:tc>
        <w:tc>
          <w:tcPr>
            <w:tcW w:w="1680" w:type="dxa"/>
            <w:vAlign w:val="center"/>
          </w:tcPr>
          <w:p w14:paraId="5A67D0BB">
            <w:pPr>
              <w:spacing w:line="480" w:lineRule="auto"/>
              <w:rPr>
                <w:rFonts w:ascii="宋体" w:hAnsi="宋体" w:eastAsia="宋体"/>
                <w:b/>
              </w:rPr>
            </w:pPr>
          </w:p>
        </w:tc>
        <w:tc>
          <w:tcPr>
            <w:tcW w:w="1308" w:type="dxa"/>
            <w:vAlign w:val="center"/>
          </w:tcPr>
          <w:p w14:paraId="1C080D63">
            <w:pPr>
              <w:spacing w:line="480" w:lineRule="auto"/>
              <w:rPr>
                <w:rFonts w:ascii="宋体" w:hAnsi="宋体" w:eastAsia="宋体"/>
                <w:b/>
              </w:rPr>
            </w:pPr>
          </w:p>
        </w:tc>
      </w:tr>
      <w:tr w14:paraId="01B9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14:paraId="7E5E87E5">
            <w:pPr>
              <w:spacing w:line="480" w:lineRule="auto"/>
              <w:jc w:val="center"/>
              <w:rPr>
                <w:rFonts w:ascii="宋体" w:hAnsi="宋体" w:eastAsia="宋体"/>
              </w:rPr>
            </w:pPr>
            <w:r>
              <w:rPr>
                <w:rFonts w:hint="eastAsia" w:ascii="宋体" w:hAnsi="宋体" w:eastAsia="宋体"/>
              </w:rPr>
              <w:t>2</w:t>
            </w:r>
          </w:p>
        </w:tc>
        <w:tc>
          <w:tcPr>
            <w:tcW w:w="5447" w:type="dxa"/>
            <w:vAlign w:val="center"/>
          </w:tcPr>
          <w:p w14:paraId="61F5B2A5">
            <w:pPr>
              <w:spacing w:line="480" w:lineRule="auto"/>
              <w:rPr>
                <w:rFonts w:ascii="宋体" w:hAnsi="宋体" w:eastAsia="宋体"/>
                <w:iCs/>
              </w:rPr>
            </w:pPr>
            <w:r>
              <w:rPr>
                <w:rFonts w:hint="eastAsia" w:ascii="宋体" w:hAnsi="宋体" w:eastAsia="宋体"/>
              </w:rPr>
              <w:t>《残疾人福利性单位声明函》</w:t>
            </w:r>
          </w:p>
        </w:tc>
        <w:tc>
          <w:tcPr>
            <w:tcW w:w="1680" w:type="dxa"/>
            <w:vAlign w:val="center"/>
          </w:tcPr>
          <w:p w14:paraId="03D87386">
            <w:pPr>
              <w:spacing w:line="480" w:lineRule="auto"/>
              <w:rPr>
                <w:rFonts w:ascii="宋体" w:hAnsi="宋体" w:eastAsia="宋体"/>
              </w:rPr>
            </w:pPr>
          </w:p>
        </w:tc>
        <w:tc>
          <w:tcPr>
            <w:tcW w:w="1308" w:type="dxa"/>
            <w:vAlign w:val="center"/>
          </w:tcPr>
          <w:p w14:paraId="5BE2E15C">
            <w:pPr>
              <w:spacing w:line="480" w:lineRule="auto"/>
              <w:rPr>
                <w:rFonts w:ascii="宋体" w:hAnsi="宋体" w:eastAsia="宋体"/>
              </w:rPr>
            </w:pPr>
          </w:p>
        </w:tc>
      </w:tr>
      <w:tr w14:paraId="73CC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14:paraId="31F5B0E6">
            <w:pPr>
              <w:spacing w:line="480" w:lineRule="auto"/>
              <w:jc w:val="center"/>
              <w:rPr>
                <w:rFonts w:ascii="宋体" w:hAnsi="宋体" w:eastAsia="宋体"/>
              </w:rPr>
            </w:pPr>
            <w:r>
              <w:rPr>
                <w:rFonts w:hint="eastAsia" w:ascii="宋体" w:hAnsi="宋体" w:eastAsia="宋体"/>
              </w:rPr>
              <w:t>3</w:t>
            </w:r>
          </w:p>
        </w:tc>
        <w:tc>
          <w:tcPr>
            <w:tcW w:w="5447" w:type="dxa"/>
            <w:vAlign w:val="center"/>
          </w:tcPr>
          <w:p w14:paraId="5EBCAC48">
            <w:pPr>
              <w:spacing w:line="480" w:lineRule="auto"/>
              <w:rPr>
                <w:rFonts w:ascii="宋体" w:hAnsi="宋体" w:eastAsia="宋体"/>
                <w:iCs/>
              </w:rPr>
            </w:pPr>
            <w:r>
              <w:rPr>
                <w:rFonts w:ascii="宋体" w:hAnsi="宋体" w:eastAsia="宋体"/>
                <w:iCs/>
              </w:rPr>
              <w:t>……</w:t>
            </w:r>
          </w:p>
        </w:tc>
        <w:tc>
          <w:tcPr>
            <w:tcW w:w="1680" w:type="dxa"/>
            <w:vAlign w:val="center"/>
          </w:tcPr>
          <w:p w14:paraId="2082FFED">
            <w:pPr>
              <w:spacing w:line="480" w:lineRule="auto"/>
              <w:rPr>
                <w:rFonts w:ascii="宋体" w:hAnsi="宋体" w:eastAsia="宋体"/>
              </w:rPr>
            </w:pPr>
          </w:p>
        </w:tc>
        <w:tc>
          <w:tcPr>
            <w:tcW w:w="1308" w:type="dxa"/>
            <w:vAlign w:val="center"/>
          </w:tcPr>
          <w:p w14:paraId="020A94C1">
            <w:pPr>
              <w:spacing w:line="480" w:lineRule="auto"/>
              <w:rPr>
                <w:rFonts w:ascii="宋体" w:hAnsi="宋体" w:eastAsia="宋体"/>
              </w:rPr>
            </w:pPr>
          </w:p>
        </w:tc>
      </w:tr>
    </w:tbl>
    <w:p w14:paraId="7F8CB076">
      <w:pPr>
        <w:spacing w:line="480" w:lineRule="auto"/>
        <w:rPr>
          <w:rFonts w:ascii="宋体" w:hAnsi="宋体" w:eastAsia="宋体"/>
          <w:b/>
          <w:bCs/>
        </w:rPr>
      </w:pPr>
    </w:p>
    <w:p w14:paraId="0B25601C">
      <w:pPr>
        <w:spacing w:before="240" w:beforeLines="100" w:after="240" w:afterLines="100" w:line="480" w:lineRule="auto"/>
        <w:jc w:val="center"/>
        <w:rPr>
          <w:rFonts w:ascii="宋体" w:hAnsi="宋体" w:eastAsia="宋体"/>
          <w:b/>
          <w:bCs/>
          <w:sz w:val="24"/>
          <w:szCs w:val="24"/>
        </w:rPr>
      </w:pPr>
      <w:r>
        <w:rPr>
          <w:rFonts w:ascii="宋体" w:hAnsi="宋体" w:eastAsia="宋体"/>
          <w:b/>
          <w:bCs/>
        </w:rPr>
        <w:br w:type="page"/>
      </w:r>
      <w:r>
        <w:rPr>
          <w:rFonts w:hint="eastAsia" w:ascii="宋体" w:hAnsi="宋体" w:eastAsia="宋体"/>
          <w:b/>
          <w:bCs/>
          <w:sz w:val="24"/>
          <w:szCs w:val="24"/>
        </w:rPr>
        <w:t>中小企业声明函（工程、服务）</w:t>
      </w:r>
    </w:p>
    <w:p w14:paraId="1253CB0E">
      <w:pPr>
        <w:spacing w:line="360" w:lineRule="auto"/>
        <w:ind w:firstLine="420" w:firstLineChars="200"/>
        <w:rPr>
          <w:rFonts w:ascii="宋体" w:hAnsi="宋体" w:eastAsia="宋体"/>
        </w:rPr>
      </w:pPr>
      <w:r>
        <w:rPr>
          <w:rFonts w:hint="eastAsia" w:ascii="宋体" w:hAnsi="宋体" w:eastAsia="宋体"/>
        </w:rPr>
        <w:t>本公司（联合体）郑重声明，根据《政府采购促进中小企业发展管理办法》（财库﹝2020﹞46 号）的规定，本公司（联合体）参加</w:t>
      </w:r>
      <w:r>
        <w:rPr>
          <w:rFonts w:hint="eastAsia" w:ascii="宋体" w:hAnsi="宋体" w:eastAsia="宋体"/>
          <w:u w:val="single"/>
        </w:rPr>
        <w:t>（单位名称）</w:t>
      </w:r>
      <w:r>
        <w:rPr>
          <w:rFonts w:hint="eastAsia" w:ascii="宋体" w:hAnsi="宋体" w:eastAsia="宋体"/>
        </w:rPr>
        <w:t>的</w:t>
      </w:r>
      <w:r>
        <w:rPr>
          <w:rFonts w:hint="eastAsia" w:ascii="宋体" w:hAnsi="宋体" w:eastAsia="宋体"/>
          <w:u w:val="single"/>
        </w:rPr>
        <w:t>（项目名称）</w:t>
      </w:r>
      <w:r>
        <w:rPr>
          <w:rFonts w:hint="eastAsia" w:ascii="宋体" w:hAnsi="宋体" w:eastAsia="宋体"/>
        </w:rPr>
        <w:t>采购活动，工程的施工单位全部为符合政策要求的中小企业（或者：服务全部由符合政策要求的中小企业承接）。相关企业（含联合体中的中小企业、签订分包意向协议的中小企业）的具体情况如下：</w:t>
      </w:r>
    </w:p>
    <w:p w14:paraId="1E5CDA17">
      <w:pPr>
        <w:spacing w:line="360" w:lineRule="auto"/>
        <w:ind w:firstLine="420" w:firstLineChars="200"/>
        <w:rPr>
          <w:rFonts w:ascii="宋体" w:hAnsi="宋体" w:eastAsia="宋体"/>
          <w:u w:val="single"/>
        </w:rPr>
      </w:pPr>
      <w:r>
        <w:rPr>
          <w:rFonts w:hint="eastAsia" w:ascii="宋体" w:hAnsi="宋体" w:eastAsia="宋体"/>
        </w:rPr>
        <w:t xml:space="preserve">1. </w:t>
      </w:r>
      <w:r>
        <w:rPr>
          <w:rFonts w:hint="eastAsia" w:ascii="宋体" w:hAnsi="宋体" w:eastAsia="宋体"/>
          <w:u w:val="single"/>
        </w:rPr>
        <w:t xml:space="preserve">（标的名称） </w:t>
      </w:r>
      <w:r>
        <w:rPr>
          <w:rFonts w:hint="eastAsia" w:ascii="宋体" w:hAnsi="宋体" w:eastAsia="宋体"/>
        </w:rPr>
        <w:t>，属于</w:t>
      </w:r>
      <w:r>
        <w:rPr>
          <w:rFonts w:hint="eastAsia" w:ascii="宋体" w:hAnsi="宋体" w:eastAsia="宋体"/>
          <w:u w:val="single"/>
        </w:rPr>
        <w:t>（</w:t>
      </w:r>
      <w:r>
        <w:rPr>
          <w:rFonts w:hint="eastAsia" w:ascii="宋体" w:hAnsi="宋体" w:eastAsia="宋体"/>
          <w:u w:val="single"/>
          <w:lang w:val="en-US" w:eastAsia="zh-CN"/>
        </w:rPr>
        <w:t>其他未列明行业</w:t>
      </w:r>
      <w:r>
        <w:rPr>
          <w:rFonts w:hint="eastAsia" w:ascii="宋体" w:hAnsi="宋体" w:eastAsia="宋体"/>
          <w:u w:val="single"/>
        </w:rPr>
        <w:t>类）</w:t>
      </w:r>
      <w:r>
        <w:rPr>
          <w:rFonts w:hint="eastAsia" w:ascii="宋体" w:hAnsi="宋体" w:eastAsia="宋体"/>
        </w:rPr>
        <w:t>；承建（承接）企业为</w:t>
      </w:r>
      <w:r>
        <w:rPr>
          <w:rFonts w:hint="eastAsia" w:ascii="宋体" w:hAnsi="宋体" w:eastAsia="宋体"/>
          <w:u w:val="single"/>
        </w:rPr>
        <w:t>（企业名称）</w:t>
      </w:r>
      <w:r>
        <w:rPr>
          <w:rFonts w:hint="eastAsia" w:ascii="宋体" w:hAnsi="宋体" w:eastAsia="宋体"/>
        </w:rPr>
        <w:t>，从业人员</w:t>
      </w:r>
      <w:r>
        <w:rPr>
          <w:rFonts w:hint="eastAsia" w:ascii="宋体" w:hAnsi="宋体" w:eastAsia="宋体"/>
          <w:u w:val="single"/>
        </w:rPr>
        <w:t xml:space="preserve">      </w:t>
      </w:r>
      <w:r>
        <w:rPr>
          <w:rFonts w:hint="eastAsia" w:ascii="宋体" w:hAnsi="宋体" w:eastAsia="宋体"/>
        </w:rPr>
        <w:t>人，营业收入为</w:t>
      </w:r>
      <w:r>
        <w:rPr>
          <w:rFonts w:hint="eastAsia" w:ascii="宋体" w:hAnsi="宋体" w:eastAsia="宋体"/>
          <w:u w:val="single"/>
        </w:rPr>
        <w:t xml:space="preserve">      </w:t>
      </w:r>
      <w:r>
        <w:rPr>
          <w:rFonts w:hint="eastAsia" w:ascii="宋体" w:hAnsi="宋体" w:eastAsia="宋体"/>
        </w:rPr>
        <w:t>万元，资产总额为</w:t>
      </w:r>
      <w:r>
        <w:rPr>
          <w:rFonts w:hint="eastAsia" w:ascii="宋体" w:hAnsi="宋体" w:eastAsia="宋体"/>
          <w:u w:val="single"/>
        </w:rPr>
        <w:t xml:space="preserve">       </w:t>
      </w:r>
      <w:r>
        <w:rPr>
          <w:rFonts w:hint="eastAsia" w:ascii="宋体" w:hAnsi="宋体" w:eastAsia="宋体"/>
        </w:rPr>
        <w:t>万元</w:t>
      </w:r>
      <w:r>
        <w:fldChar w:fldCharType="begin"/>
      </w:r>
      <w:r>
        <w:instrText xml:space="preserve"> HYPERLINK \l "br1" </w:instrText>
      </w:r>
      <w:r>
        <w:fldChar w:fldCharType="separate"/>
      </w:r>
      <w:r>
        <w:rPr>
          <w:rFonts w:ascii="宋体" w:hAnsi="宋体" w:eastAsia="宋体"/>
          <w:spacing w:val="-1"/>
          <w:vertAlign w:val="superscript"/>
        </w:rPr>
        <w:t>1</w:t>
      </w:r>
      <w:r>
        <w:rPr>
          <w:rFonts w:ascii="宋体" w:hAnsi="宋体" w:eastAsia="宋体"/>
          <w:spacing w:val="-1"/>
          <w:vertAlign w:val="superscript"/>
        </w:rPr>
        <w:fldChar w:fldCharType="end"/>
      </w:r>
      <w:r>
        <w:rPr>
          <w:rFonts w:hint="eastAsia" w:ascii="宋体" w:hAnsi="宋体" w:eastAsia="宋体"/>
        </w:rPr>
        <w:t>，属于</w:t>
      </w:r>
      <w:r>
        <w:rPr>
          <w:rFonts w:hint="eastAsia" w:ascii="宋体" w:hAnsi="宋体" w:eastAsia="宋体"/>
          <w:u w:val="single"/>
        </w:rPr>
        <w:t>（中型企业、小型企业、微型企业）；</w:t>
      </w:r>
    </w:p>
    <w:p w14:paraId="4E9D969D">
      <w:pPr>
        <w:spacing w:line="360" w:lineRule="auto"/>
        <w:ind w:firstLine="420" w:firstLineChars="200"/>
        <w:rPr>
          <w:rFonts w:ascii="宋体" w:hAnsi="宋体" w:eastAsia="宋体"/>
          <w:u w:val="single"/>
        </w:rPr>
      </w:pPr>
      <w:r>
        <w:rPr>
          <w:rFonts w:hint="eastAsia" w:ascii="宋体" w:hAnsi="宋体" w:eastAsia="宋体"/>
        </w:rPr>
        <w:t xml:space="preserve">2. </w:t>
      </w:r>
      <w:r>
        <w:rPr>
          <w:rFonts w:hint="eastAsia" w:ascii="宋体" w:hAnsi="宋体" w:eastAsia="宋体"/>
          <w:u w:val="single"/>
        </w:rPr>
        <w:t>（标的名称）</w:t>
      </w:r>
      <w:r>
        <w:rPr>
          <w:rFonts w:hint="eastAsia" w:ascii="宋体" w:hAnsi="宋体" w:eastAsia="宋体"/>
        </w:rPr>
        <w:t xml:space="preserve"> ，属于</w:t>
      </w:r>
      <w:r>
        <w:rPr>
          <w:rFonts w:hint="eastAsia" w:ascii="宋体" w:hAnsi="宋体" w:eastAsia="宋体"/>
          <w:u w:val="single"/>
        </w:rPr>
        <w:t>（采购文件中明确的所属行业（该行业类别不可修改））</w:t>
      </w:r>
      <w:r>
        <w:rPr>
          <w:rFonts w:hint="eastAsia" w:ascii="宋体" w:hAnsi="宋体" w:eastAsia="宋体"/>
        </w:rPr>
        <w:t>；承建（承接）企业为</w:t>
      </w:r>
      <w:r>
        <w:rPr>
          <w:rFonts w:hint="eastAsia" w:ascii="宋体" w:hAnsi="宋体" w:eastAsia="宋体"/>
          <w:u w:val="single"/>
        </w:rPr>
        <w:t>（企业名称）</w:t>
      </w:r>
      <w:r>
        <w:rPr>
          <w:rFonts w:hint="eastAsia" w:ascii="宋体" w:hAnsi="宋体" w:eastAsia="宋体"/>
        </w:rPr>
        <w:t>，从业人员</w:t>
      </w:r>
      <w:r>
        <w:rPr>
          <w:rFonts w:hint="eastAsia" w:ascii="宋体" w:hAnsi="宋体" w:eastAsia="宋体"/>
          <w:u w:val="single"/>
        </w:rPr>
        <w:t xml:space="preserve">      </w:t>
      </w:r>
      <w:r>
        <w:rPr>
          <w:rFonts w:hint="eastAsia" w:ascii="宋体" w:hAnsi="宋体" w:eastAsia="宋体"/>
        </w:rPr>
        <w:t>人，营业收入为</w:t>
      </w:r>
      <w:r>
        <w:rPr>
          <w:rFonts w:hint="eastAsia" w:ascii="宋体" w:hAnsi="宋体" w:eastAsia="宋体"/>
          <w:u w:val="single"/>
        </w:rPr>
        <w:t xml:space="preserve">      </w:t>
      </w:r>
      <w:r>
        <w:rPr>
          <w:rFonts w:hint="eastAsia" w:ascii="宋体" w:hAnsi="宋体" w:eastAsia="宋体"/>
        </w:rPr>
        <w:t>万元，资产总额为</w:t>
      </w:r>
      <w:r>
        <w:rPr>
          <w:rFonts w:hint="eastAsia" w:ascii="宋体" w:hAnsi="宋体" w:eastAsia="宋体"/>
          <w:u w:val="single"/>
        </w:rPr>
        <w:t xml:space="preserve">       </w:t>
      </w:r>
      <w:r>
        <w:rPr>
          <w:rFonts w:hint="eastAsia" w:ascii="宋体" w:hAnsi="宋体" w:eastAsia="宋体"/>
        </w:rPr>
        <w:t>万元，属于</w:t>
      </w:r>
      <w:r>
        <w:rPr>
          <w:rFonts w:hint="eastAsia" w:ascii="宋体" w:hAnsi="宋体" w:eastAsia="宋体"/>
          <w:u w:val="single"/>
        </w:rPr>
        <w:t>（中型企业、小型企业、微型企业）；</w:t>
      </w:r>
    </w:p>
    <w:p w14:paraId="6F538D87">
      <w:pPr>
        <w:spacing w:line="360" w:lineRule="auto"/>
        <w:ind w:firstLine="420" w:firstLineChars="200"/>
        <w:rPr>
          <w:rFonts w:ascii="宋体" w:hAnsi="宋体" w:eastAsia="宋体"/>
        </w:rPr>
      </w:pPr>
      <w:r>
        <w:rPr>
          <w:rFonts w:hint="eastAsia" w:ascii="宋体" w:hAnsi="宋体" w:eastAsia="宋体"/>
        </w:rPr>
        <w:t>……</w:t>
      </w:r>
    </w:p>
    <w:p w14:paraId="291E5AE7">
      <w:pPr>
        <w:spacing w:line="360" w:lineRule="auto"/>
        <w:ind w:firstLine="420" w:firstLineChars="200"/>
        <w:rPr>
          <w:rFonts w:ascii="宋体" w:hAnsi="宋体" w:eastAsia="宋体"/>
        </w:rPr>
      </w:pPr>
      <w:r>
        <w:rPr>
          <w:rFonts w:hint="eastAsia" w:ascii="宋体" w:hAnsi="宋体" w:eastAsia="宋体"/>
        </w:rPr>
        <w:t>以上企业，不属于大企业的分支机构，不存在控股股东为大企业的情形，也不存在与大企业的负责人为同一人的情形。</w:t>
      </w:r>
    </w:p>
    <w:p w14:paraId="620EB047">
      <w:pPr>
        <w:spacing w:line="360" w:lineRule="auto"/>
        <w:ind w:firstLine="420" w:firstLineChars="200"/>
        <w:rPr>
          <w:rFonts w:ascii="宋体" w:hAnsi="宋体" w:eastAsia="宋体"/>
        </w:rPr>
      </w:pPr>
      <w:r>
        <w:rPr>
          <w:rFonts w:hint="eastAsia" w:ascii="宋体" w:hAnsi="宋体" w:eastAsia="宋体"/>
        </w:rPr>
        <w:t>本企业对上述声明内容的真实性负责。如有虚假，将依法承担相应责任。</w:t>
      </w:r>
    </w:p>
    <w:p w14:paraId="2C294669">
      <w:pPr>
        <w:spacing w:line="360" w:lineRule="auto"/>
        <w:rPr>
          <w:rFonts w:ascii="宋体" w:hAnsi="宋体" w:eastAsia="宋体"/>
        </w:rPr>
      </w:pPr>
      <w:r>
        <w:rPr>
          <w:rFonts w:hint="eastAsia" w:ascii="宋体" w:hAnsi="宋体" w:eastAsia="宋体"/>
          <w:b/>
          <w:bCs/>
        </w:rPr>
        <w:t>注</w:t>
      </w:r>
      <w:r>
        <w:rPr>
          <w:rFonts w:hint="eastAsia" w:ascii="宋体" w:hAnsi="宋体" w:eastAsia="宋体"/>
        </w:rPr>
        <w:t>：1、从业人员（不仅指在职职工）、营业收入、资产总额填报上一年度数据，无上一年度数据的新成立企业可不填报。</w:t>
      </w:r>
    </w:p>
    <w:p w14:paraId="35D6924C">
      <w:pPr>
        <w:spacing w:line="360" w:lineRule="auto"/>
        <w:rPr>
          <w:rFonts w:ascii="宋体" w:hAnsi="宋体" w:eastAsia="宋体"/>
        </w:rPr>
      </w:pPr>
      <w:r>
        <w:rPr>
          <w:rFonts w:hint="eastAsia" w:ascii="宋体" w:hAnsi="宋体" w:eastAsia="宋体"/>
        </w:rPr>
        <w:t xml:space="preserve">    2、企业声明函请完整填写，中标后将公示。</w:t>
      </w:r>
    </w:p>
    <w:p w14:paraId="26EC4BC6">
      <w:pPr>
        <w:spacing w:line="360" w:lineRule="auto"/>
        <w:ind w:firstLine="420" w:firstLineChars="200"/>
        <w:rPr>
          <w:rFonts w:ascii="宋体" w:hAnsi="宋体" w:eastAsia="宋体"/>
        </w:rPr>
      </w:pPr>
      <w:r>
        <w:rPr>
          <w:rFonts w:hint="eastAsia" w:ascii="宋体" w:hAnsi="宋体" w:eastAsia="宋体"/>
        </w:rPr>
        <w:t>3、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14:paraId="5CD934C4">
      <w:pPr>
        <w:spacing w:line="360" w:lineRule="auto"/>
        <w:ind w:firstLine="420" w:firstLineChars="200"/>
        <w:rPr>
          <w:rFonts w:ascii="宋体" w:hAnsi="宋体" w:eastAsia="宋体"/>
        </w:rPr>
      </w:pPr>
      <w:r>
        <w:rPr>
          <w:rFonts w:hint="eastAsia" w:ascii="宋体" w:hAnsi="宋体" w:eastAsia="宋体"/>
        </w:rPr>
        <w:t>4、中小企业不得属于大企业的分支机构，不得存在控股股东为大企业的情形，不得存在与大企业的负责人为同一人的情形。</w:t>
      </w:r>
    </w:p>
    <w:p w14:paraId="7D289391">
      <w:pPr>
        <w:spacing w:line="360" w:lineRule="auto"/>
        <w:ind w:firstLine="420" w:firstLineChars="200"/>
        <w:rPr>
          <w:rFonts w:ascii="宋体" w:hAnsi="宋体" w:eastAsia="宋体"/>
        </w:rPr>
      </w:pPr>
      <w:r>
        <w:rPr>
          <w:rFonts w:hint="eastAsia" w:ascii="宋体" w:hAnsi="宋体" w:eastAsia="宋体"/>
        </w:rPr>
        <w:t>5、《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14:paraId="0AE3B079">
      <w:pPr>
        <w:spacing w:line="360" w:lineRule="auto"/>
        <w:ind w:firstLine="420" w:firstLineChars="200"/>
        <w:rPr>
          <w:rFonts w:ascii="宋体" w:hAnsi="宋体" w:eastAsia="宋体"/>
        </w:rPr>
      </w:pPr>
    </w:p>
    <w:p w14:paraId="2DAFFAC0">
      <w:pPr>
        <w:spacing w:line="360" w:lineRule="auto"/>
        <w:ind w:firstLine="420" w:firstLineChars="200"/>
        <w:rPr>
          <w:rFonts w:ascii="宋体" w:hAnsi="宋体" w:eastAsia="宋体"/>
        </w:rPr>
      </w:pPr>
    </w:p>
    <w:p w14:paraId="0859007D">
      <w:pPr>
        <w:spacing w:line="360" w:lineRule="auto"/>
        <w:ind w:firstLine="4620" w:firstLineChars="2200"/>
        <w:rPr>
          <w:rFonts w:ascii="宋体" w:hAnsi="宋体" w:eastAsia="宋体"/>
        </w:rPr>
      </w:pPr>
      <w:r>
        <w:rPr>
          <w:rFonts w:hint="eastAsia" w:ascii="宋体" w:hAnsi="宋体" w:eastAsia="宋体"/>
        </w:rPr>
        <w:t>企业名称（盖章）：</w:t>
      </w:r>
    </w:p>
    <w:p w14:paraId="4181EB02">
      <w:pPr>
        <w:spacing w:line="360" w:lineRule="auto"/>
        <w:ind w:firstLine="4620" w:firstLineChars="2200"/>
        <w:rPr>
          <w:rFonts w:ascii="宋体" w:hAnsi="宋体" w:eastAsia="宋体"/>
        </w:rPr>
      </w:pPr>
      <w:r>
        <w:rPr>
          <w:rFonts w:hint="eastAsia" w:ascii="宋体" w:hAnsi="宋体" w:eastAsia="宋体"/>
        </w:rPr>
        <w:t>日 期：</w:t>
      </w:r>
    </w:p>
    <w:p w14:paraId="046C6A04">
      <w:pPr>
        <w:widowControl/>
        <w:autoSpaceDE w:val="0"/>
        <w:autoSpaceDN w:val="0"/>
        <w:spacing w:before="300" w:after="300" w:line="360" w:lineRule="auto"/>
        <w:ind w:left="232"/>
        <w:jc w:val="center"/>
        <w:outlineLvl w:val="1"/>
        <w:rPr>
          <w:rFonts w:ascii="宋体" w:hAnsi="宋体" w:cs="宋体"/>
          <w:b/>
          <w:bCs/>
          <w:color w:val="666666"/>
          <w:kern w:val="0"/>
          <w:szCs w:val="21"/>
          <w:lang w:val="zh-CN" w:bidi="zh-CN"/>
        </w:rPr>
      </w:pPr>
      <w:bookmarkStart w:id="26" w:name="_Toc109304977"/>
      <w:r>
        <w:rPr>
          <w:rFonts w:hint="eastAsia" w:ascii="宋体" w:hAnsi="宋体" w:cs="宋体"/>
          <w:b/>
          <w:color w:val="333333"/>
          <w:kern w:val="0"/>
          <w:szCs w:val="21"/>
          <w:lang w:val="zh-CN" w:bidi="zh-CN"/>
        </w:rPr>
        <w:t>中小微企业划型标准</w:t>
      </w:r>
      <w:bookmarkEnd w:id="26"/>
      <w:r>
        <w:rPr>
          <w:rFonts w:hint="eastAsia" w:ascii="宋体" w:hAnsi="宋体" w:cs="宋体"/>
          <w:b/>
          <w:color w:val="666666"/>
          <w:kern w:val="0"/>
          <w:szCs w:val="21"/>
          <w:lang w:val="zh-CN" w:bidi="zh-CN"/>
        </w:rPr>
        <w:t> </w:t>
      </w:r>
    </w:p>
    <w:p w14:paraId="1EB2513D">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中小微企业划型标准如下：</w:t>
      </w:r>
    </w:p>
    <w:tbl>
      <w:tblPr>
        <w:tblStyle w:val="15"/>
        <w:tblW w:w="9705" w:type="dxa"/>
        <w:jc w:val="center"/>
        <w:tblCellSpacing w:w="15" w:type="dxa"/>
        <w:tblBorders>
          <w:top w:val="single" w:color="999999" w:sz="6" w:space="0"/>
          <w:left w:val="single" w:color="999999" w:sz="6"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8"/>
        <w:gridCol w:w="1843"/>
        <w:gridCol w:w="851"/>
        <w:gridCol w:w="2302"/>
        <w:gridCol w:w="1909"/>
        <w:gridCol w:w="1342"/>
      </w:tblGrid>
      <w:tr w14:paraId="41B9F0A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2" w:hRule="atLeast"/>
          <w:tblCellSpacing w:w="15" w:type="dxa"/>
          <w:jc w:val="center"/>
        </w:trPr>
        <w:tc>
          <w:tcPr>
            <w:tcW w:w="1413"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559B45D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行业名称</w:t>
            </w:r>
          </w:p>
        </w:tc>
        <w:tc>
          <w:tcPr>
            <w:tcW w:w="1813"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0D4BF6C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指标名称</w:t>
            </w:r>
          </w:p>
        </w:tc>
        <w:tc>
          <w:tcPr>
            <w:tcW w:w="821"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539A9B3D">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计量单位</w:t>
            </w:r>
          </w:p>
        </w:tc>
        <w:tc>
          <w:tcPr>
            <w:tcW w:w="2272"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1728F3A4">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中型</w:t>
            </w:r>
          </w:p>
        </w:tc>
        <w:tc>
          <w:tcPr>
            <w:tcW w:w="1879"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6151767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小型</w:t>
            </w:r>
          </w:p>
        </w:tc>
        <w:tc>
          <w:tcPr>
            <w:tcW w:w="1297" w:type="dxa"/>
            <w:tcBorders>
              <w:top w:val="single" w:color="auto" w:sz="6" w:space="0"/>
              <w:left w:val="nil"/>
              <w:bottom w:val="single" w:color="999999" w:sz="6" w:space="0"/>
              <w:right w:val="single" w:color="999999" w:sz="6" w:space="0"/>
            </w:tcBorders>
            <w:noWrap w:val="0"/>
            <w:tcMar>
              <w:top w:w="0" w:type="dxa"/>
              <w:left w:w="105" w:type="dxa"/>
              <w:bottom w:w="0" w:type="dxa"/>
              <w:right w:w="105" w:type="dxa"/>
            </w:tcMar>
            <w:vAlign w:val="center"/>
          </w:tcPr>
          <w:p w14:paraId="2E8163F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微型</w:t>
            </w:r>
          </w:p>
        </w:tc>
      </w:tr>
      <w:tr w14:paraId="21AB701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blCellSpacing w:w="15" w:type="dxa"/>
          <w:jc w:val="center"/>
        </w:trPr>
        <w:tc>
          <w:tcPr>
            <w:tcW w:w="1413"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bottom"/>
          </w:tcPr>
          <w:p w14:paraId="7D18BF7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农、林、牧、渔</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32A060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311C17C">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6DD2223">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500≤Y＜20000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032DEB9">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50≤Y＜500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C5C6C3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Y＜50</w:t>
            </w:r>
          </w:p>
        </w:tc>
      </w:tr>
      <w:tr w14:paraId="15BF0C9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1EB5AF1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工业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CD85FD">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128711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8C49C6">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300≤X＜1000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832BAFC">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20≤X＜300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320E86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X＜20</w:t>
            </w:r>
          </w:p>
        </w:tc>
      </w:tr>
      <w:tr w14:paraId="56B21D97">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39083006">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5BBAD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786717B">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9C606DB">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2000≤Y＜40000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591CAE3">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300≤Y＜2000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D4138E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Y＜300</w:t>
            </w:r>
          </w:p>
        </w:tc>
      </w:tr>
      <w:tr w14:paraId="552C6DA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497D197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建筑业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AEAE1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2B0FCA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8052ED7">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6000≤Y＜80000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CA49449">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300≤Y＜6000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8E20F1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Y＜300</w:t>
            </w:r>
          </w:p>
        </w:tc>
      </w:tr>
      <w:tr w14:paraId="1962739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6E60F624">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ED3181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资产总额（Z）</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6DF1D8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6BB3D1">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5000≤Z＜80000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DB9ACA7">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300≤Z＜5000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AD36D0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Z＜300</w:t>
            </w:r>
          </w:p>
        </w:tc>
      </w:tr>
      <w:tr w14:paraId="699FF4C3">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2C56409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批发业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1F09B14">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EF84C6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E3B0CF7">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20≤X＜200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034A567">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5≤X＜20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816482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X＜5</w:t>
            </w:r>
          </w:p>
        </w:tc>
      </w:tr>
      <w:tr w14:paraId="457019E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403710BC">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6BB08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9DB63A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3863C8">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5000≤Y＜40000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1BED5FF">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1000≤Y＜5000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32426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Y＜1000</w:t>
            </w:r>
          </w:p>
        </w:tc>
      </w:tr>
      <w:tr w14:paraId="6C5E6A5D">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7509CB3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零售业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664E11D">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1FC2AF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0DB2405">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5755BEB">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10≤X＜50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00436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350B38C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100288A1">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0C2C10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631D27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9F7539A">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500≤Y＜20000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A37D3CD">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100≤Y＜500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783A9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03BA8D0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28BF840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交通运输业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9466A6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A58B97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B6D8A01">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300≤X＜1000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A282B2F">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20≤X＜300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AC3C72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X＜20</w:t>
            </w:r>
          </w:p>
        </w:tc>
      </w:tr>
      <w:tr w14:paraId="3F726CC2">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5D0922C8">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468779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6AFB4C">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A7CA52F">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3000≤Y＜30000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3D1E6D3">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200≤Y＜3000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1F6215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Y＜200</w:t>
            </w:r>
          </w:p>
        </w:tc>
      </w:tr>
      <w:tr w14:paraId="292445EE">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74A04E8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仓储业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DC67A5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221541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EC76164">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100≤X＜200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1158D3">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31CE41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X＜20</w:t>
            </w:r>
          </w:p>
        </w:tc>
      </w:tr>
      <w:tr w14:paraId="66BA5DF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5D3619B7">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BDFE90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2DBC1D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6AAF0B">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1000≤Y＜30000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15A060D">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100≤Y＜1000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F78585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58B27652">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59DF944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邮政业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0EA084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53E7F2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2AAC324">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300≤X＜1000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DB99678">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20≤X＜300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D1DCA5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X＜20</w:t>
            </w:r>
          </w:p>
        </w:tc>
      </w:tr>
      <w:tr w14:paraId="4D8A7A4B">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1FFF00C9">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CFDA33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B0A912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A5F2395">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2000≤Y＜30000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70DCD7F">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100≤Y＜2000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41C42E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5D496EC6">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68D9921B">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住宿业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742F8B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D621EA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FB1C6DC">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0ACE0F4">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BD8196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4F1BAAD3">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53BDD9A1">
            <w:pPr>
              <w:widowControl/>
              <w:autoSpaceDE w:val="0"/>
              <w:autoSpaceDN w:val="0"/>
              <w:spacing w:line="360" w:lineRule="auto"/>
              <w:jc w:val="left"/>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3250AC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51F2B3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09143AE">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2000≤Y＜10000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DCEB4F2">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100≤Y＜2000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CAA0D0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0E572D95">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10AD2C1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餐饮业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1BA2F2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A9A032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4FC3904">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0A1B19E">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F329AF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5F78295A">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655D8538">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2FEF8C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92550E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DF27814">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2000≤Y＜10000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ABE044">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100≤Y＜2000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546938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6B9516C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4"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25CB2BC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信息传输业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03E694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AFE6C5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623D30B">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100≤X＜2000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3F4CA30">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CC8A20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16CED7F4">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1883C3AB">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6C524B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087E9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DFB2799">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1000≤Y＜100000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161992D">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100≤Y＜1000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D52032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6FF43538">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3FCE4ADC">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软件和信息技术服务业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EC28AD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088505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12F6588">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6B02DF6">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CE2633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144690FD">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76232A74">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1F971E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D6E3F2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CD7399">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1000≤Y＜10000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EED0129">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50≤Y＜1000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5179B0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Y＜50</w:t>
            </w:r>
          </w:p>
        </w:tc>
      </w:tr>
      <w:tr w14:paraId="5D070E99">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3C73FBE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房地产开发经营</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F9533D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9DBD26F">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94E8D2B">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1000≤Y＜200000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7BE062E">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100≤X＜1000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766EC8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X＜100</w:t>
            </w:r>
          </w:p>
        </w:tc>
      </w:tr>
      <w:tr w14:paraId="4884BF83">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2DC83257">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2E9975E">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资产总额（Z）</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97C859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AB17284">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5000≤Z＜10000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2012EBE">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2000≤Y＜5000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201181C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Y＜2000</w:t>
            </w:r>
          </w:p>
        </w:tc>
      </w:tr>
      <w:tr w14:paraId="4C0B0880">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385C147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物业管理</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2E2521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793F7E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A750612">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300≤X＜1000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33EE2B8">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100≤X＜300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3CDEC03">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X＜100</w:t>
            </w:r>
          </w:p>
        </w:tc>
      </w:tr>
      <w:tr w14:paraId="0DDEBC22">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7C6BBA3F">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1B356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营业收入（Y）</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F3CAD4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3A952E1">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1000≤Y＜5000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9D00A49">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500≤Y＜1000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9B46BE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Y＜500</w:t>
            </w:r>
          </w:p>
        </w:tc>
      </w:tr>
      <w:tr w14:paraId="084B6745">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blCellSpacing w:w="15" w:type="dxa"/>
          <w:jc w:val="center"/>
        </w:trPr>
        <w:tc>
          <w:tcPr>
            <w:tcW w:w="1413" w:type="dxa"/>
            <w:vMerge w:val="restart"/>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74FE748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租赁和商务服务业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EB2CED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3FF36958">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0BC24C7">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0BD780ED">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CAC6959">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r w14:paraId="218902DF">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blCellSpacing w:w="15" w:type="dxa"/>
          <w:jc w:val="center"/>
        </w:trPr>
        <w:tc>
          <w:tcPr>
            <w:tcW w:w="1413" w:type="dxa"/>
            <w:vMerge w:val="continue"/>
            <w:tcBorders>
              <w:top w:val="nil"/>
              <w:left w:val="single" w:color="auto" w:sz="6" w:space="0"/>
              <w:bottom w:val="single" w:color="999999" w:sz="6" w:space="0"/>
              <w:right w:val="single" w:color="999999" w:sz="6" w:space="0"/>
            </w:tcBorders>
            <w:noWrap w:val="0"/>
            <w:vAlign w:val="center"/>
          </w:tcPr>
          <w:p w14:paraId="40982C00">
            <w:pPr>
              <w:widowControl/>
              <w:autoSpaceDE w:val="0"/>
              <w:autoSpaceDN w:val="0"/>
              <w:spacing w:line="360" w:lineRule="auto"/>
              <w:jc w:val="center"/>
              <w:rPr>
                <w:rFonts w:ascii="宋体" w:hAnsi="宋体" w:cs="宋体"/>
                <w:color w:val="666666"/>
                <w:kern w:val="0"/>
                <w:sz w:val="22"/>
                <w:szCs w:val="21"/>
                <w:lang w:val="zh-CN" w:bidi="zh-CN"/>
              </w:rPr>
            </w:pP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226F845">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资产总额（Z）</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C9C7226">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万元</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CAA7FC2">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8000≤Z＜120000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4197022B">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100≤Z＜8000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0A50F1A">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Y＜100</w:t>
            </w:r>
          </w:p>
        </w:tc>
      </w:tr>
      <w:tr w14:paraId="7C950CF4">
        <w:tblPrEx>
          <w:tblBorders>
            <w:top w:val="single" w:color="999999" w:sz="6" w:space="0"/>
            <w:left w:val="single" w:color="999999" w:sz="6"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blCellSpacing w:w="15" w:type="dxa"/>
          <w:jc w:val="center"/>
        </w:trPr>
        <w:tc>
          <w:tcPr>
            <w:tcW w:w="1413" w:type="dxa"/>
            <w:tcBorders>
              <w:top w:val="nil"/>
              <w:left w:val="single" w:color="auto" w:sz="6" w:space="0"/>
              <w:bottom w:val="single" w:color="999999" w:sz="6" w:space="0"/>
              <w:right w:val="single" w:color="999999" w:sz="6" w:space="0"/>
            </w:tcBorders>
            <w:noWrap w:val="0"/>
            <w:tcMar>
              <w:top w:w="0" w:type="dxa"/>
              <w:left w:w="105" w:type="dxa"/>
              <w:bottom w:w="0" w:type="dxa"/>
              <w:right w:w="105" w:type="dxa"/>
            </w:tcMar>
            <w:vAlign w:val="center"/>
          </w:tcPr>
          <w:p w14:paraId="738CD2B1">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其他未列明行业</w:t>
            </w:r>
          </w:p>
        </w:tc>
        <w:tc>
          <w:tcPr>
            <w:tcW w:w="1813"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FAECB77">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从业人员（X）</w:t>
            </w:r>
          </w:p>
        </w:tc>
        <w:tc>
          <w:tcPr>
            <w:tcW w:w="821"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7BFD65E2">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人</w:t>
            </w:r>
          </w:p>
        </w:tc>
        <w:tc>
          <w:tcPr>
            <w:tcW w:w="2272"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623BB2F1">
            <w:pPr>
              <w:widowControl/>
              <w:autoSpaceDE w:val="0"/>
              <w:autoSpaceDN w:val="0"/>
              <w:spacing w:before="100" w:beforeAutospacing="1" w:after="100" w:afterAutospacing="1" w:line="360" w:lineRule="auto"/>
              <w:ind w:firstLine="420"/>
              <w:jc w:val="left"/>
              <w:rPr>
                <w:rFonts w:ascii="宋体" w:hAnsi="宋体" w:cs="宋体"/>
                <w:color w:val="666666"/>
                <w:kern w:val="0"/>
                <w:szCs w:val="21"/>
              </w:rPr>
            </w:pPr>
            <w:r>
              <w:rPr>
                <w:rFonts w:hint="eastAsia" w:ascii="宋体" w:hAnsi="宋体" w:cs="宋体"/>
                <w:b/>
                <w:color w:val="666666"/>
                <w:kern w:val="0"/>
                <w:szCs w:val="21"/>
              </w:rPr>
              <w:t>100≤X＜300</w:t>
            </w:r>
          </w:p>
        </w:tc>
        <w:tc>
          <w:tcPr>
            <w:tcW w:w="1879"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13008E97">
            <w:pPr>
              <w:widowControl/>
              <w:autoSpaceDE w:val="0"/>
              <w:autoSpaceDN w:val="0"/>
              <w:spacing w:before="100" w:beforeAutospacing="1" w:after="100" w:afterAutospacing="1" w:line="360" w:lineRule="auto"/>
              <w:jc w:val="left"/>
              <w:rPr>
                <w:rFonts w:ascii="宋体" w:hAnsi="宋体" w:cs="宋体"/>
                <w:color w:val="666666"/>
                <w:kern w:val="0"/>
                <w:szCs w:val="21"/>
              </w:rPr>
            </w:pPr>
            <w:r>
              <w:rPr>
                <w:rFonts w:hint="eastAsia" w:ascii="宋体" w:hAnsi="宋体" w:cs="宋体"/>
                <w:b/>
                <w:color w:val="666666"/>
                <w:kern w:val="0"/>
                <w:szCs w:val="21"/>
              </w:rPr>
              <w:t>10≤X＜100</w:t>
            </w:r>
          </w:p>
        </w:tc>
        <w:tc>
          <w:tcPr>
            <w:tcW w:w="1297" w:type="dxa"/>
            <w:tcBorders>
              <w:top w:val="nil"/>
              <w:left w:val="nil"/>
              <w:bottom w:val="single" w:color="999999" w:sz="6" w:space="0"/>
              <w:right w:val="single" w:color="999999" w:sz="6" w:space="0"/>
            </w:tcBorders>
            <w:noWrap w:val="0"/>
            <w:tcMar>
              <w:top w:w="0" w:type="dxa"/>
              <w:left w:w="105" w:type="dxa"/>
              <w:bottom w:w="0" w:type="dxa"/>
              <w:right w:w="105" w:type="dxa"/>
            </w:tcMar>
            <w:vAlign w:val="center"/>
          </w:tcPr>
          <w:p w14:paraId="5A203120">
            <w:pPr>
              <w:widowControl/>
              <w:autoSpaceDE w:val="0"/>
              <w:autoSpaceDN w:val="0"/>
              <w:spacing w:before="100" w:beforeAutospacing="1" w:after="100" w:afterAutospacing="1" w:line="360" w:lineRule="auto"/>
              <w:jc w:val="center"/>
              <w:rPr>
                <w:rFonts w:ascii="宋体" w:hAnsi="宋体" w:cs="宋体"/>
                <w:color w:val="666666"/>
                <w:kern w:val="0"/>
                <w:szCs w:val="21"/>
              </w:rPr>
            </w:pPr>
            <w:r>
              <w:rPr>
                <w:rFonts w:hint="eastAsia" w:ascii="宋体" w:hAnsi="宋体" w:cs="宋体"/>
                <w:b/>
                <w:color w:val="666666"/>
                <w:kern w:val="0"/>
                <w:szCs w:val="21"/>
              </w:rPr>
              <w:t>X＜10</w:t>
            </w:r>
          </w:p>
        </w:tc>
      </w:tr>
    </w:tbl>
    <w:p w14:paraId="6680FABD">
      <w:pPr>
        <w:widowControl/>
        <w:autoSpaceDE w:val="0"/>
        <w:autoSpaceDN w:val="0"/>
        <w:spacing w:before="100" w:beforeAutospacing="1" w:after="100" w:afterAutospacing="1" w:line="360" w:lineRule="auto"/>
        <w:ind w:firstLine="420"/>
        <w:jc w:val="left"/>
        <w:rPr>
          <w:rFonts w:ascii="宋体" w:hAnsi="宋体" w:cs="宋体"/>
          <w:kern w:val="0"/>
          <w:szCs w:val="21"/>
          <w:lang w:bidi="zh-CN"/>
        </w:rPr>
      </w:pPr>
      <w:r>
        <w:rPr>
          <w:rFonts w:hint="eastAsia" w:ascii="宋体" w:hAnsi="宋体" w:cs="宋体"/>
          <w:b/>
          <w:color w:val="666666"/>
          <w:kern w:val="0"/>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1ECDB92">
      <w:pPr>
        <w:rPr>
          <w:rFonts w:ascii="宋体" w:hAnsi="宋体" w:eastAsia="宋体"/>
        </w:rPr>
      </w:pPr>
      <w:r>
        <w:rPr>
          <w:rFonts w:ascii="宋体" w:hAnsi="宋体" w:eastAsia="宋体"/>
        </w:rPr>
        <w:br w:type="page"/>
      </w:r>
    </w:p>
    <w:p w14:paraId="1C6BD299">
      <w:pPr>
        <w:spacing w:line="480" w:lineRule="auto"/>
        <w:ind w:firstLine="4620" w:firstLineChars="2200"/>
        <w:rPr>
          <w:rFonts w:ascii="宋体" w:hAnsi="宋体" w:eastAsia="宋体"/>
        </w:rPr>
      </w:pPr>
    </w:p>
    <w:p w14:paraId="4F35ABBA">
      <w:pPr>
        <w:spacing w:line="360" w:lineRule="auto"/>
        <w:jc w:val="center"/>
        <w:rPr>
          <w:rFonts w:ascii="宋体" w:hAnsi="宋体" w:eastAsia="宋体"/>
          <w:b/>
          <w:bCs/>
          <w:sz w:val="24"/>
          <w:szCs w:val="24"/>
        </w:rPr>
      </w:pPr>
      <w:r>
        <w:rPr>
          <w:rFonts w:hint="eastAsia" w:ascii="宋体" w:hAnsi="宋体" w:eastAsia="宋体"/>
          <w:b/>
          <w:bCs/>
          <w:sz w:val="24"/>
          <w:szCs w:val="24"/>
        </w:rPr>
        <w:t>残疾人福利性单位声明函</w:t>
      </w:r>
    </w:p>
    <w:p w14:paraId="6407DFDE">
      <w:pPr>
        <w:spacing w:line="360" w:lineRule="auto"/>
        <w:jc w:val="center"/>
        <w:rPr>
          <w:rFonts w:ascii="宋体" w:hAnsi="宋体" w:eastAsia="宋体"/>
          <w:sz w:val="24"/>
          <w:szCs w:val="24"/>
        </w:rPr>
      </w:pPr>
    </w:p>
    <w:p w14:paraId="31F9E4EC">
      <w:pPr>
        <w:spacing w:line="360" w:lineRule="auto"/>
        <w:ind w:firstLine="420" w:firstLineChars="200"/>
        <w:rPr>
          <w:rFonts w:ascii="宋体" w:hAnsi="宋体" w:eastAsia="宋体"/>
        </w:rPr>
      </w:pPr>
      <w:r>
        <w:rPr>
          <w:rFonts w:hint="eastAsia" w:ascii="宋体" w:hAnsi="宋体" w:eastAsia="宋体"/>
        </w:rPr>
        <w:t>本单位郑重声明，根据《财政部 民政部 中国残疾人联合会关于促进残疾人就业政府采购政策的通知》（财库〔2017〕 141号）的规定，本单位为符合条件的残疾人福利性单位，且本单位参加___</w:t>
      </w:r>
      <w:r>
        <w:rPr>
          <w:rFonts w:hint="eastAsia" w:ascii="宋体" w:hAnsi="宋体" w:eastAsia="宋体"/>
          <w:u w:val="single"/>
        </w:rPr>
        <w:t xml:space="preserve">  </w:t>
      </w:r>
      <w:r>
        <w:rPr>
          <w:rFonts w:hint="eastAsia" w:ascii="宋体" w:hAnsi="宋体" w:eastAsia="宋体"/>
        </w:rPr>
        <w:t>___单位的采购文件编号为</w:t>
      </w:r>
      <w:r>
        <w:rPr>
          <w:rFonts w:hint="eastAsia" w:ascii="宋体" w:hAnsi="宋体" w:eastAsia="宋体"/>
          <w:u w:val="single"/>
        </w:rPr>
        <w:t xml:space="preserve">          </w:t>
      </w:r>
      <w:r>
        <w:rPr>
          <w:rFonts w:hint="eastAsia" w:ascii="宋体" w:hAnsi="宋体" w:eastAsia="宋体"/>
        </w:rPr>
        <w:t>的</w:t>
      </w:r>
      <w:r>
        <w:rPr>
          <w:rFonts w:hint="eastAsia" w:ascii="宋体" w:hAnsi="宋体" w:eastAsia="宋体"/>
          <w:u w:val="single"/>
        </w:rPr>
        <w:t xml:space="preserve">                </w:t>
      </w:r>
      <w:r>
        <w:rPr>
          <w:rFonts w:hint="eastAsia" w:ascii="宋体" w:hAnsi="宋体" w:eastAsia="宋体"/>
        </w:rPr>
        <w:t>项目采购活动提供本单位制造的产品或服务（由本单位承担工程/提供服务），或者提供其他残疾人福利性单位制造的产品或服务（不包括使用非残疾人福利性单位注册商标的产品或服务）。</w:t>
      </w:r>
    </w:p>
    <w:p w14:paraId="07187186">
      <w:pPr>
        <w:spacing w:line="480" w:lineRule="auto"/>
        <w:ind w:firstLine="420" w:firstLineChars="200"/>
        <w:rPr>
          <w:rFonts w:ascii="宋体" w:hAnsi="宋体" w:eastAsia="宋体"/>
        </w:rPr>
      </w:pPr>
      <w:r>
        <w:rPr>
          <w:rFonts w:hint="eastAsia" w:ascii="宋体" w:hAnsi="宋体" w:eastAsia="宋体"/>
        </w:rPr>
        <w:t>本单位在本次政府采购活动中提供的残疾人福利单位产品报价合计为人民币（大写）</w:t>
      </w:r>
      <w:r>
        <w:rPr>
          <w:rFonts w:hint="eastAsia" w:ascii="宋体" w:hAnsi="宋体" w:eastAsia="宋体"/>
          <w:u w:val="single"/>
        </w:rPr>
        <w:t xml:space="preserve">      </w:t>
      </w:r>
      <w:r>
        <w:rPr>
          <w:rFonts w:hint="eastAsia" w:ascii="宋体" w:hAnsi="宋体" w:eastAsia="宋体"/>
        </w:rPr>
        <w:t>元整（￥：     ）。</w:t>
      </w:r>
    </w:p>
    <w:p w14:paraId="15BEEF59">
      <w:pPr>
        <w:spacing w:line="480" w:lineRule="auto"/>
        <w:ind w:firstLine="420" w:firstLineChars="200"/>
        <w:rPr>
          <w:rFonts w:ascii="宋体" w:hAnsi="宋体" w:eastAsia="宋体"/>
        </w:rPr>
      </w:pPr>
      <w:r>
        <w:rPr>
          <w:rFonts w:hint="eastAsia" w:ascii="宋体" w:hAnsi="宋体" w:eastAsia="宋体"/>
        </w:rPr>
        <w:t>本单位对上述声明的真实性负责。如有虚假，将依法承担相应责任。</w:t>
      </w:r>
    </w:p>
    <w:p w14:paraId="23F1AD07">
      <w:pPr>
        <w:spacing w:line="480" w:lineRule="auto"/>
        <w:ind w:firstLine="420" w:firstLineChars="200"/>
        <w:rPr>
          <w:rFonts w:ascii="宋体" w:hAnsi="宋体" w:eastAsia="宋体"/>
        </w:rPr>
      </w:pPr>
    </w:p>
    <w:p w14:paraId="08E251BB">
      <w:pPr>
        <w:spacing w:line="480" w:lineRule="auto"/>
        <w:ind w:firstLine="420" w:firstLineChars="200"/>
        <w:rPr>
          <w:rFonts w:ascii="宋体" w:hAnsi="宋体" w:eastAsia="宋体"/>
        </w:rPr>
      </w:pPr>
      <w:r>
        <w:rPr>
          <w:rFonts w:hint="eastAsia" w:ascii="宋体" w:hAnsi="宋体" w:eastAsia="宋体"/>
        </w:rPr>
        <w:t>（备注：1、供应商如不提供此声明函，价格将不做相应扣除。2、成交供应商为残疾人福利单位的，此声明函将随成交结果同时公告，接受社会监督）</w:t>
      </w:r>
    </w:p>
    <w:p w14:paraId="058990D8">
      <w:pPr>
        <w:spacing w:line="480" w:lineRule="auto"/>
        <w:ind w:firstLine="444" w:firstLineChars="200"/>
        <w:rPr>
          <w:rFonts w:ascii="宋体" w:hAnsi="宋体" w:eastAsia="宋体"/>
          <w:spacing w:val="6"/>
        </w:rPr>
      </w:pPr>
    </w:p>
    <w:p w14:paraId="2891C45A">
      <w:pPr>
        <w:tabs>
          <w:tab w:val="left" w:pos="4860"/>
        </w:tabs>
        <w:spacing w:line="480" w:lineRule="auto"/>
        <w:ind w:right="1560" w:firstLine="444" w:firstLineChars="200"/>
        <w:jc w:val="center"/>
        <w:rPr>
          <w:rFonts w:ascii="宋体" w:hAnsi="宋体" w:eastAsia="宋体"/>
        </w:rPr>
      </w:pPr>
      <w:r>
        <w:rPr>
          <w:rFonts w:hint="eastAsia" w:ascii="宋体" w:hAnsi="宋体" w:eastAsia="宋体"/>
          <w:spacing w:val="6"/>
        </w:rPr>
        <w:t xml:space="preserve">             </w:t>
      </w:r>
      <w:r>
        <w:rPr>
          <w:rFonts w:hint="eastAsia" w:ascii="宋体" w:hAnsi="宋体" w:eastAsia="宋体"/>
        </w:rPr>
        <w:t xml:space="preserve">               供应商全称（盖章）：</w:t>
      </w:r>
    </w:p>
    <w:p w14:paraId="7F99199A">
      <w:pPr>
        <w:tabs>
          <w:tab w:val="left" w:pos="4860"/>
        </w:tabs>
        <w:spacing w:line="480" w:lineRule="auto"/>
        <w:ind w:right="1560" w:firstLine="420" w:firstLineChars="200"/>
        <w:jc w:val="center"/>
        <w:rPr>
          <w:rFonts w:ascii="宋体" w:hAnsi="宋体" w:eastAsia="宋体"/>
        </w:rPr>
      </w:pPr>
      <w:r>
        <w:rPr>
          <w:rFonts w:hint="eastAsia" w:ascii="宋体" w:hAnsi="宋体" w:eastAsia="宋体"/>
        </w:rPr>
        <w:t xml:space="preserve">                              日  期：</w:t>
      </w:r>
    </w:p>
    <w:p w14:paraId="789259DE">
      <w:pPr>
        <w:spacing w:line="480" w:lineRule="auto"/>
        <w:rPr>
          <w:rFonts w:ascii="宋体" w:hAnsi="宋体" w:eastAsia="宋体"/>
          <w:b/>
          <w:bCs/>
          <w:sz w:val="32"/>
          <w:szCs w:val="32"/>
        </w:rPr>
      </w:pPr>
      <w:bookmarkStart w:id="27" w:name="_Toc109304978"/>
    </w:p>
    <w:p w14:paraId="3815C00A">
      <w:pPr>
        <w:pStyle w:val="5"/>
        <w:spacing w:line="360" w:lineRule="auto"/>
        <w:rPr>
          <w:rFonts w:ascii="宋体" w:hAnsi="宋体" w:eastAsia="宋体"/>
        </w:rPr>
      </w:pPr>
    </w:p>
    <w:p w14:paraId="2D5DF7B8">
      <w:pPr>
        <w:spacing w:line="360" w:lineRule="auto"/>
        <w:rPr>
          <w:rFonts w:ascii="宋体" w:hAnsi="宋体" w:eastAsia="宋体"/>
        </w:rPr>
      </w:pPr>
    </w:p>
    <w:p w14:paraId="523B3769">
      <w:pPr>
        <w:spacing w:line="360" w:lineRule="auto"/>
        <w:rPr>
          <w:rFonts w:ascii="宋体" w:hAnsi="宋体" w:eastAsia="宋体"/>
        </w:rPr>
      </w:pPr>
    </w:p>
    <w:p w14:paraId="635C5327">
      <w:pPr>
        <w:spacing w:line="360" w:lineRule="auto"/>
        <w:rPr>
          <w:rFonts w:ascii="宋体" w:hAnsi="宋体" w:eastAsia="宋体"/>
        </w:rPr>
      </w:pPr>
    </w:p>
    <w:p w14:paraId="3F7C5FD1">
      <w:pPr>
        <w:spacing w:line="360" w:lineRule="auto"/>
        <w:rPr>
          <w:rFonts w:ascii="宋体" w:hAnsi="宋体" w:eastAsia="宋体"/>
        </w:rPr>
      </w:pPr>
    </w:p>
    <w:p w14:paraId="693F9353">
      <w:pPr>
        <w:spacing w:line="360" w:lineRule="auto"/>
        <w:rPr>
          <w:rFonts w:ascii="宋体" w:hAnsi="宋体" w:eastAsia="宋体"/>
        </w:rPr>
      </w:pPr>
    </w:p>
    <w:p w14:paraId="75D3E435">
      <w:pPr>
        <w:spacing w:line="360" w:lineRule="auto"/>
        <w:rPr>
          <w:rFonts w:ascii="宋体" w:hAnsi="宋体" w:eastAsia="宋体"/>
        </w:rPr>
      </w:pPr>
    </w:p>
    <w:p w14:paraId="6449815E">
      <w:pPr>
        <w:spacing w:line="360" w:lineRule="auto"/>
        <w:rPr>
          <w:rFonts w:ascii="宋体" w:hAnsi="宋体" w:eastAsia="宋体"/>
        </w:rPr>
      </w:pPr>
    </w:p>
    <w:p w14:paraId="53DC19A2">
      <w:pPr>
        <w:spacing w:line="360" w:lineRule="auto"/>
        <w:rPr>
          <w:rFonts w:ascii="宋体" w:hAnsi="宋体" w:eastAsia="宋体"/>
        </w:rPr>
      </w:pPr>
    </w:p>
    <w:p w14:paraId="5E26FA91">
      <w:pPr>
        <w:spacing w:line="360" w:lineRule="auto"/>
        <w:rPr>
          <w:rFonts w:ascii="宋体" w:hAnsi="宋体" w:eastAsia="宋体"/>
          <w:b/>
          <w:bCs/>
          <w:sz w:val="32"/>
          <w:szCs w:val="32"/>
        </w:rPr>
      </w:pPr>
    </w:p>
    <w:p w14:paraId="05E307CA">
      <w:pPr>
        <w:spacing w:line="360" w:lineRule="auto"/>
        <w:jc w:val="center"/>
        <w:rPr>
          <w:rFonts w:ascii="宋体" w:hAnsi="宋体" w:eastAsia="宋体"/>
          <w:b/>
          <w:bCs/>
          <w:sz w:val="24"/>
          <w:szCs w:val="24"/>
        </w:rPr>
      </w:pPr>
      <w:r>
        <w:rPr>
          <w:rFonts w:hint="eastAsia" w:ascii="宋体" w:hAnsi="宋体" w:eastAsia="宋体"/>
          <w:b/>
          <w:bCs/>
          <w:sz w:val="24"/>
          <w:szCs w:val="24"/>
        </w:rPr>
        <w:t>四、磋商响应报价表</w:t>
      </w:r>
    </w:p>
    <w:p w14:paraId="09C4C953">
      <w:pPr>
        <w:spacing w:line="480" w:lineRule="auto"/>
        <w:rPr>
          <w:rFonts w:ascii="宋体" w:hAnsi="宋体" w:eastAsia="宋体"/>
        </w:rPr>
      </w:pPr>
      <w:r>
        <w:rPr>
          <w:rFonts w:hint="eastAsia" w:ascii="宋体" w:hAnsi="宋体" w:eastAsia="宋体"/>
        </w:rPr>
        <w:t xml:space="preserve">    </w:t>
      </w:r>
    </w:p>
    <w:p w14:paraId="48BC0B19">
      <w:pPr>
        <w:pStyle w:val="11"/>
        <w:spacing w:line="480" w:lineRule="auto"/>
        <w:rPr>
          <w:rFonts w:ascii="宋体" w:hAnsi="宋体" w:eastAsia="宋体"/>
          <w:sz w:val="21"/>
          <w:szCs w:val="21"/>
        </w:rPr>
      </w:pPr>
      <w:r>
        <w:rPr>
          <w:rFonts w:hint="eastAsia" w:ascii="宋体" w:hAnsi="宋体" w:eastAsia="宋体"/>
          <w:sz w:val="21"/>
          <w:szCs w:val="21"/>
        </w:rPr>
        <w:t xml:space="preserve">项目名称： </w:t>
      </w:r>
    </w:p>
    <w:p w14:paraId="07EE7202">
      <w:pPr>
        <w:spacing w:line="480" w:lineRule="auto"/>
        <w:rPr>
          <w:rFonts w:ascii="宋体" w:hAnsi="宋体" w:eastAsia="宋体"/>
        </w:rPr>
      </w:pPr>
      <w:r>
        <w:rPr>
          <w:rFonts w:hint="eastAsia" w:ascii="宋体" w:hAnsi="宋体" w:eastAsia="宋体"/>
        </w:rPr>
        <w:t xml:space="preserve">项目编号：     </w:t>
      </w:r>
    </w:p>
    <w:p w14:paraId="4AB259B0">
      <w:pPr>
        <w:spacing w:line="480" w:lineRule="auto"/>
        <w:jc w:val="center"/>
        <w:rPr>
          <w:rFonts w:hint="eastAsia" w:ascii="宋体" w:hAnsi="宋体" w:eastAsia="宋体" w:cs="宋体"/>
          <w:b/>
          <w:bCs/>
          <w:sz w:val="24"/>
          <w:szCs w:val="32"/>
        </w:rPr>
      </w:pPr>
      <w:r>
        <w:rPr>
          <w:rFonts w:hint="eastAsia" w:ascii="宋体" w:hAnsi="宋体" w:eastAsia="宋体"/>
          <w:b/>
          <w:bCs/>
        </w:rPr>
        <w:t>本次为首次报价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602"/>
      </w:tblGrid>
      <w:tr w14:paraId="3948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9"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14:paraId="073A84FC">
            <w:pPr>
              <w:spacing w:line="360" w:lineRule="auto"/>
              <w:jc w:val="center"/>
              <w:rPr>
                <w:rFonts w:hint="eastAsia" w:ascii="宋体" w:hAnsi="宋体" w:cs="宋体"/>
                <w:color w:val="000000"/>
                <w:szCs w:val="21"/>
              </w:rPr>
            </w:pPr>
            <w:r>
              <w:rPr>
                <w:rFonts w:hint="eastAsia" w:ascii="宋体" w:hAnsi="宋体" w:cs="宋体"/>
                <w:color w:val="000000"/>
              </w:rPr>
              <w:t>名称</w:t>
            </w:r>
          </w:p>
        </w:tc>
        <w:tc>
          <w:tcPr>
            <w:tcW w:w="7602" w:type="dxa"/>
            <w:tcBorders>
              <w:top w:val="single" w:color="auto" w:sz="4" w:space="0"/>
              <w:left w:val="single" w:color="auto" w:sz="4" w:space="0"/>
              <w:bottom w:val="single" w:color="auto" w:sz="4" w:space="0"/>
              <w:right w:val="single" w:color="auto" w:sz="4" w:space="0"/>
            </w:tcBorders>
            <w:noWrap w:val="0"/>
            <w:vAlign w:val="center"/>
          </w:tcPr>
          <w:p w14:paraId="4F5689C8">
            <w:pPr>
              <w:spacing w:line="360" w:lineRule="auto"/>
              <w:jc w:val="center"/>
              <w:rPr>
                <w:rFonts w:hint="eastAsia" w:ascii="宋体" w:hAnsi="宋体" w:cs="宋体"/>
                <w:color w:val="000000"/>
                <w:szCs w:val="21"/>
              </w:rPr>
            </w:pPr>
            <w:r>
              <w:rPr>
                <w:rFonts w:hint="eastAsia" w:ascii="宋体" w:hAnsi="宋体" w:cs="宋体"/>
                <w:color w:val="000000"/>
                <w:szCs w:val="21"/>
              </w:rPr>
              <w:t>第一轮报价</w:t>
            </w:r>
          </w:p>
        </w:tc>
      </w:tr>
      <w:tr w14:paraId="1DCD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0"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14:paraId="02915EC1">
            <w:pPr>
              <w:spacing w:line="360" w:lineRule="auto"/>
              <w:jc w:val="center"/>
              <w:rPr>
                <w:rFonts w:hint="eastAsia" w:ascii="宋体" w:hAnsi="宋体" w:cs="宋体"/>
                <w:color w:val="000000"/>
                <w:szCs w:val="21"/>
              </w:rPr>
            </w:pPr>
            <w:r>
              <w:rPr>
                <w:rFonts w:hint="eastAsia" w:ascii="宋体" w:hAnsi="宋体" w:cs="宋体"/>
                <w:color w:val="000000"/>
                <w:szCs w:val="21"/>
              </w:rPr>
              <w:t>报价</w:t>
            </w:r>
          </w:p>
        </w:tc>
        <w:tc>
          <w:tcPr>
            <w:tcW w:w="7602" w:type="dxa"/>
            <w:tcBorders>
              <w:top w:val="single" w:color="auto" w:sz="4" w:space="0"/>
              <w:left w:val="single" w:color="auto" w:sz="4" w:space="0"/>
              <w:bottom w:val="single" w:color="auto" w:sz="4" w:space="0"/>
              <w:right w:val="single" w:color="auto" w:sz="4" w:space="0"/>
            </w:tcBorders>
            <w:noWrap w:val="0"/>
            <w:vAlign w:val="center"/>
          </w:tcPr>
          <w:p w14:paraId="4D93BCAE">
            <w:pPr>
              <w:spacing w:line="360" w:lineRule="auto"/>
              <w:rPr>
                <w:rFonts w:hint="eastAsia" w:ascii="宋体" w:hAnsi="宋体" w:cs="宋体"/>
                <w:color w:val="000000"/>
                <w:szCs w:val="21"/>
              </w:rPr>
            </w:pPr>
            <w:r>
              <w:rPr>
                <w:rFonts w:hint="eastAsia" w:ascii="宋体" w:hAnsi="宋体" w:cs="宋体"/>
                <w:color w:val="000000"/>
                <w:szCs w:val="21"/>
              </w:rPr>
              <w:t>大写：</w:t>
            </w:r>
            <w:r>
              <w:rPr>
                <w:rFonts w:hint="eastAsia" w:ascii="宋体" w:hAnsi="宋体" w:cs="宋体"/>
                <w:color w:val="000000"/>
                <w:szCs w:val="21"/>
                <w:u w:val="single"/>
              </w:rPr>
              <w:t xml:space="preserve">                        </w:t>
            </w:r>
          </w:p>
          <w:p w14:paraId="0B90DF18">
            <w:pPr>
              <w:spacing w:line="360" w:lineRule="auto"/>
              <w:rPr>
                <w:rFonts w:hint="eastAsia" w:ascii="宋体" w:hAnsi="宋体" w:cs="宋体"/>
                <w:color w:val="000000"/>
                <w:szCs w:val="21"/>
              </w:rPr>
            </w:pPr>
            <w:r>
              <w:rPr>
                <w:rFonts w:hint="eastAsia" w:ascii="宋体" w:hAnsi="宋体" w:cs="宋体"/>
                <w:color w:val="000000"/>
                <w:szCs w:val="21"/>
              </w:rPr>
              <w:t>小写：</w:t>
            </w:r>
            <w:r>
              <w:rPr>
                <w:rFonts w:hint="eastAsia" w:ascii="宋体" w:hAnsi="宋体" w:cs="宋体"/>
                <w:color w:val="000000"/>
                <w:szCs w:val="21"/>
                <w:u w:val="single"/>
              </w:rPr>
              <w:t xml:space="preserve">          （人民币）元  </w:t>
            </w:r>
          </w:p>
          <w:p w14:paraId="7C7B34F2">
            <w:pPr>
              <w:spacing w:line="360" w:lineRule="auto"/>
              <w:rPr>
                <w:rFonts w:hint="eastAsia" w:ascii="宋体" w:hAnsi="宋体" w:cs="宋体"/>
                <w:color w:val="000000"/>
                <w:szCs w:val="21"/>
              </w:rPr>
            </w:pPr>
            <w:r>
              <w:rPr>
                <w:rFonts w:hint="eastAsia" w:ascii="宋体" w:hAnsi="宋体" w:cs="宋体"/>
                <w:color w:val="000000"/>
                <w:szCs w:val="21"/>
              </w:rPr>
              <w:t>工期：</w:t>
            </w:r>
            <w:r>
              <w:rPr>
                <w:rFonts w:hint="eastAsia" w:ascii="宋体" w:hAnsi="宋体" w:cs="宋体"/>
                <w:color w:val="000000"/>
                <w:szCs w:val="21"/>
                <w:u w:val="single"/>
              </w:rPr>
              <w:t xml:space="preserve">                        </w:t>
            </w:r>
          </w:p>
        </w:tc>
      </w:tr>
      <w:tr w14:paraId="106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9" w:hRule="atLeast"/>
          <w:jc w:val="center"/>
        </w:trPr>
        <w:tc>
          <w:tcPr>
            <w:tcW w:w="1242" w:type="dxa"/>
            <w:tcBorders>
              <w:top w:val="single" w:color="auto" w:sz="4" w:space="0"/>
              <w:left w:val="single" w:color="auto" w:sz="4" w:space="0"/>
              <w:bottom w:val="single" w:color="auto" w:sz="4" w:space="0"/>
              <w:right w:val="single" w:color="auto" w:sz="4" w:space="0"/>
            </w:tcBorders>
            <w:noWrap w:val="0"/>
            <w:vAlign w:val="center"/>
          </w:tcPr>
          <w:p w14:paraId="38A36A5E">
            <w:pPr>
              <w:spacing w:line="360" w:lineRule="auto"/>
              <w:jc w:val="center"/>
              <w:rPr>
                <w:rFonts w:hint="eastAsia" w:ascii="宋体" w:hAnsi="宋体" w:cs="宋体"/>
                <w:color w:val="000000"/>
                <w:szCs w:val="21"/>
              </w:rPr>
            </w:pPr>
            <w:r>
              <w:rPr>
                <w:rFonts w:hint="eastAsia" w:ascii="宋体" w:hAnsi="宋体" w:cs="宋体"/>
                <w:color w:val="000000"/>
                <w:szCs w:val="21"/>
              </w:rPr>
              <w:t>备注</w:t>
            </w:r>
          </w:p>
        </w:tc>
        <w:tc>
          <w:tcPr>
            <w:tcW w:w="7602" w:type="dxa"/>
            <w:tcBorders>
              <w:top w:val="single" w:color="auto" w:sz="4" w:space="0"/>
              <w:left w:val="single" w:color="auto" w:sz="4" w:space="0"/>
              <w:bottom w:val="single" w:color="auto" w:sz="4" w:space="0"/>
              <w:right w:val="single" w:color="auto" w:sz="4" w:space="0"/>
            </w:tcBorders>
            <w:noWrap w:val="0"/>
            <w:vAlign w:val="center"/>
          </w:tcPr>
          <w:p w14:paraId="74110BC3">
            <w:pPr>
              <w:spacing w:line="360" w:lineRule="auto"/>
              <w:jc w:val="center"/>
              <w:rPr>
                <w:rFonts w:hint="eastAsia" w:ascii="宋体" w:hAnsi="宋体" w:cs="宋体"/>
                <w:color w:val="000000"/>
                <w:szCs w:val="21"/>
              </w:rPr>
            </w:pPr>
            <w:r>
              <w:rPr>
                <w:rFonts w:hint="eastAsia" w:ascii="宋体" w:hAnsi="宋体" w:cs="宋体"/>
                <w:color w:val="000000"/>
                <w:szCs w:val="21"/>
              </w:rPr>
              <w:t>备注（壹 贰 叁 肆 伍 陆 柒 捌 玖）</w:t>
            </w:r>
          </w:p>
        </w:tc>
      </w:tr>
    </w:tbl>
    <w:p w14:paraId="21FBD6B0">
      <w:pPr>
        <w:jc w:val="center"/>
        <w:rPr>
          <w:rFonts w:hint="eastAsia" w:ascii="宋体" w:hAnsi="宋体" w:eastAsia="宋体" w:cs="宋体"/>
          <w:b/>
          <w:bCs/>
          <w:sz w:val="24"/>
          <w:szCs w:val="32"/>
        </w:rPr>
      </w:pPr>
    </w:p>
    <w:p w14:paraId="3FA64200">
      <w:pPr>
        <w:jc w:val="center"/>
        <w:rPr>
          <w:b/>
          <w:bCs/>
          <w:sz w:val="24"/>
          <w:szCs w:val="32"/>
        </w:rPr>
      </w:pPr>
    </w:p>
    <w:p w14:paraId="44302261">
      <w:pPr>
        <w:spacing w:line="360" w:lineRule="auto"/>
        <w:ind w:left="5185"/>
        <w:rPr>
          <w:rFonts w:ascii="宋体" w:hAnsi="宋体" w:eastAsia="宋体" w:cs="宋体"/>
          <w:sz w:val="23"/>
          <w:szCs w:val="23"/>
        </w:rPr>
      </w:pPr>
    </w:p>
    <w:p w14:paraId="7300AB4C">
      <w:pPr>
        <w:spacing w:line="480" w:lineRule="auto"/>
        <w:jc w:val="right"/>
        <w:rPr>
          <w:rFonts w:hint="eastAsia" w:ascii="宋体" w:hAnsi="宋体" w:eastAsia="宋体" w:cs="宋体"/>
          <w:b/>
          <w:bCs/>
          <w:sz w:val="24"/>
          <w:szCs w:val="32"/>
        </w:rPr>
      </w:pPr>
      <w:r>
        <w:rPr>
          <w:rFonts w:hint="eastAsia" w:ascii="宋体" w:hAnsi="宋体" w:eastAsia="宋体"/>
        </w:rPr>
        <w:t>日期：    年   月    日</w:t>
      </w:r>
    </w:p>
    <w:p w14:paraId="0DB4ADB3">
      <w:pPr>
        <w:spacing w:line="480" w:lineRule="auto"/>
        <w:jc w:val="center"/>
        <w:rPr>
          <w:rFonts w:ascii="宋体" w:hAnsi="宋体" w:eastAsia="宋体"/>
          <w:b/>
          <w:bCs/>
          <w:sz w:val="24"/>
          <w:szCs w:val="24"/>
          <w:highlight w:val="yellow"/>
        </w:rPr>
      </w:pPr>
      <w:r>
        <w:rPr>
          <w:rFonts w:ascii="宋体" w:hAnsi="宋体" w:eastAsia="宋体"/>
          <w:bCs/>
        </w:rPr>
        <w:br w:type="page"/>
      </w:r>
      <w:r>
        <w:rPr>
          <w:rFonts w:hint="eastAsia" w:ascii="宋体" w:hAnsi="宋体" w:eastAsia="宋体"/>
          <w:b/>
          <w:sz w:val="24"/>
          <w:szCs w:val="24"/>
        </w:rPr>
        <w:t>五、技术参数响应及偏离表</w:t>
      </w:r>
      <w:bookmarkEnd w:id="2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8"/>
        <w:gridCol w:w="1173"/>
      </w:tblGrid>
      <w:tr w14:paraId="4CEF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84" w:type="dxa"/>
            <w:vAlign w:val="center"/>
          </w:tcPr>
          <w:p w14:paraId="703661EA">
            <w:pPr>
              <w:spacing w:line="480" w:lineRule="auto"/>
              <w:jc w:val="center"/>
              <w:rPr>
                <w:rFonts w:ascii="宋体" w:hAnsi="宋体" w:eastAsia="宋体"/>
              </w:rPr>
            </w:pPr>
            <w:r>
              <w:rPr>
                <w:rFonts w:hint="eastAsia" w:ascii="宋体" w:hAnsi="宋体" w:eastAsia="宋体"/>
              </w:rPr>
              <w:t>序号</w:t>
            </w:r>
          </w:p>
        </w:tc>
        <w:tc>
          <w:tcPr>
            <w:tcW w:w="2852" w:type="dxa"/>
            <w:vAlign w:val="center"/>
          </w:tcPr>
          <w:p w14:paraId="403BD92C">
            <w:pPr>
              <w:spacing w:line="480" w:lineRule="auto"/>
              <w:jc w:val="center"/>
              <w:rPr>
                <w:rFonts w:ascii="宋体" w:hAnsi="宋体" w:eastAsia="宋体"/>
              </w:rPr>
            </w:pPr>
            <w:r>
              <w:rPr>
                <w:rFonts w:hint="eastAsia" w:ascii="宋体" w:hAnsi="宋体" w:eastAsia="宋体"/>
              </w:rPr>
              <w:t>采购要求</w:t>
            </w:r>
          </w:p>
        </w:tc>
        <w:tc>
          <w:tcPr>
            <w:tcW w:w="2852" w:type="dxa"/>
            <w:vAlign w:val="center"/>
          </w:tcPr>
          <w:p w14:paraId="0228374A">
            <w:pPr>
              <w:spacing w:line="480" w:lineRule="auto"/>
              <w:jc w:val="center"/>
              <w:rPr>
                <w:rFonts w:ascii="宋体" w:hAnsi="宋体" w:eastAsia="宋体"/>
              </w:rPr>
            </w:pPr>
            <w:r>
              <w:rPr>
                <w:rFonts w:hint="eastAsia" w:ascii="宋体" w:hAnsi="宋体" w:eastAsia="宋体"/>
              </w:rPr>
              <w:t>磋商响应</w:t>
            </w:r>
          </w:p>
        </w:tc>
        <w:tc>
          <w:tcPr>
            <w:tcW w:w="1308" w:type="dxa"/>
            <w:vAlign w:val="center"/>
          </w:tcPr>
          <w:p w14:paraId="06CE48FF">
            <w:pPr>
              <w:spacing w:line="480" w:lineRule="auto"/>
              <w:jc w:val="center"/>
              <w:rPr>
                <w:rFonts w:ascii="宋体" w:hAnsi="宋体" w:eastAsia="宋体"/>
              </w:rPr>
            </w:pPr>
            <w:r>
              <w:rPr>
                <w:rFonts w:hint="eastAsia" w:ascii="宋体" w:hAnsi="宋体" w:eastAsia="宋体"/>
              </w:rPr>
              <w:t>超出、符合或偏离</w:t>
            </w:r>
          </w:p>
        </w:tc>
        <w:tc>
          <w:tcPr>
            <w:tcW w:w="1173" w:type="dxa"/>
            <w:vAlign w:val="center"/>
          </w:tcPr>
          <w:p w14:paraId="75C5D832">
            <w:pPr>
              <w:spacing w:line="480" w:lineRule="auto"/>
              <w:jc w:val="center"/>
              <w:rPr>
                <w:rFonts w:ascii="宋体" w:hAnsi="宋体" w:eastAsia="宋体"/>
              </w:rPr>
            </w:pPr>
            <w:r>
              <w:rPr>
                <w:rFonts w:hint="eastAsia" w:ascii="宋体" w:hAnsi="宋体" w:eastAsia="宋体"/>
              </w:rPr>
              <w:t>证明材料</w:t>
            </w:r>
          </w:p>
        </w:tc>
      </w:tr>
      <w:tr w14:paraId="7C24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14BB4B90">
            <w:pPr>
              <w:spacing w:line="480" w:lineRule="auto"/>
              <w:jc w:val="center"/>
              <w:rPr>
                <w:rFonts w:ascii="宋体" w:hAnsi="宋体" w:eastAsia="宋体"/>
              </w:rPr>
            </w:pPr>
          </w:p>
        </w:tc>
        <w:tc>
          <w:tcPr>
            <w:tcW w:w="2852" w:type="dxa"/>
          </w:tcPr>
          <w:p w14:paraId="27A2BC30">
            <w:pPr>
              <w:spacing w:line="480" w:lineRule="auto"/>
              <w:jc w:val="center"/>
              <w:rPr>
                <w:rFonts w:ascii="宋体" w:hAnsi="宋体" w:eastAsia="宋体"/>
              </w:rPr>
            </w:pPr>
          </w:p>
        </w:tc>
        <w:tc>
          <w:tcPr>
            <w:tcW w:w="2852" w:type="dxa"/>
          </w:tcPr>
          <w:p w14:paraId="552F7521">
            <w:pPr>
              <w:spacing w:line="480" w:lineRule="auto"/>
              <w:jc w:val="center"/>
              <w:rPr>
                <w:rFonts w:ascii="宋体" w:hAnsi="宋体" w:eastAsia="宋体"/>
              </w:rPr>
            </w:pPr>
          </w:p>
        </w:tc>
        <w:tc>
          <w:tcPr>
            <w:tcW w:w="1308" w:type="dxa"/>
          </w:tcPr>
          <w:p w14:paraId="6B30FC84">
            <w:pPr>
              <w:spacing w:line="480" w:lineRule="auto"/>
              <w:jc w:val="center"/>
              <w:rPr>
                <w:rFonts w:ascii="宋体" w:hAnsi="宋体" w:eastAsia="宋体"/>
              </w:rPr>
            </w:pPr>
          </w:p>
        </w:tc>
        <w:tc>
          <w:tcPr>
            <w:tcW w:w="1173" w:type="dxa"/>
          </w:tcPr>
          <w:p w14:paraId="55A04490">
            <w:pPr>
              <w:spacing w:line="480" w:lineRule="auto"/>
              <w:jc w:val="center"/>
              <w:rPr>
                <w:rFonts w:ascii="宋体" w:hAnsi="宋体" w:eastAsia="宋体"/>
              </w:rPr>
            </w:pPr>
          </w:p>
        </w:tc>
      </w:tr>
      <w:tr w14:paraId="373F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40288700">
            <w:pPr>
              <w:spacing w:line="480" w:lineRule="auto"/>
              <w:jc w:val="center"/>
              <w:rPr>
                <w:rFonts w:ascii="宋体" w:hAnsi="宋体" w:eastAsia="宋体"/>
              </w:rPr>
            </w:pPr>
          </w:p>
        </w:tc>
        <w:tc>
          <w:tcPr>
            <w:tcW w:w="2852" w:type="dxa"/>
          </w:tcPr>
          <w:p w14:paraId="69F3B071">
            <w:pPr>
              <w:spacing w:line="480" w:lineRule="auto"/>
              <w:jc w:val="center"/>
              <w:rPr>
                <w:rFonts w:ascii="宋体" w:hAnsi="宋体" w:eastAsia="宋体"/>
              </w:rPr>
            </w:pPr>
          </w:p>
        </w:tc>
        <w:tc>
          <w:tcPr>
            <w:tcW w:w="2852" w:type="dxa"/>
          </w:tcPr>
          <w:p w14:paraId="03A28602">
            <w:pPr>
              <w:spacing w:line="480" w:lineRule="auto"/>
              <w:jc w:val="center"/>
              <w:rPr>
                <w:rFonts w:ascii="宋体" w:hAnsi="宋体" w:eastAsia="宋体"/>
              </w:rPr>
            </w:pPr>
          </w:p>
        </w:tc>
        <w:tc>
          <w:tcPr>
            <w:tcW w:w="1308" w:type="dxa"/>
          </w:tcPr>
          <w:p w14:paraId="2133C9F0">
            <w:pPr>
              <w:spacing w:line="480" w:lineRule="auto"/>
              <w:jc w:val="center"/>
              <w:rPr>
                <w:rFonts w:ascii="宋体" w:hAnsi="宋体" w:eastAsia="宋体"/>
              </w:rPr>
            </w:pPr>
          </w:p>
        </w:tc>
        <w:tc>
          <w:tcPr>
            <w:tcW w:w="1173" w:type="dxa"/>
          </w:tcPr>
          <w:p w14:paraId="04E71D5D">
            <w:pPr>
              <w:spacing w:line="480" w:lineRule="auto"/>
              <w:jc w:val="center"/>
              <w:rPr>
                <w:rFonts w:ascii="宋体" w:hAnsi="宋体" w:eastAsia="宋体"/>
              </w:rPr>
            </w:pPr>
          </w:p>
        </w:tc>
      </w:tr>
      <w:tr w14:paraId="5312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2B729571">
            <w:pPr>
              <w:spacing w:line="480" w:lineRule="auto"/>
              <w:jc w:val="center"/>
              <w:rPr>
                <w:rFonts w:ascii="宋体" w:hAnsi="宋体" w:eastAsia="宋体"/>
              </w:rPr>
            </w:pPr>
          </w:p>
        </w:tc>
        <w:tc>
          <w:tcPr>
            <w:tcW w:w="2852" w:type="dxa"/>
          </w:tcPr>
          <w:p w14:paraId="2901B49E">
            <w:pPr>
              <w:spacing w:line="480" w:lineRule="auto"/>
              <w:jc w:val="center"/>
              <w:rPr>
                <w:rFonts w:ascii="宋体" w:hAnsi="宋体" w:eastAsia="宋体"/>
              </w:rPr>
            </w:pPr>
          </w:p>
        </w:tc>
        <w:tc>
          <w:tcPr>
            <w:tcW w:w="2852" w:type="dxa"/>
          </w:tcPr>
          <w:p w14:paraId="5D0A2758">
            <w:pPr>
              <w:spacing w:line="480" w:lineRule="auto"/>
              <w:jc w:val="center"/>
              <w:rPr>
                <w:rFonts w:ascii="宋体" w:hAnsi="宋体" w:eastAsia="宋体"/>
              </w:rPr>
            </w:pPr>
          </w:p>
        </w:tc>
        <w:tc>
          <w:tcPr>
            <w:tcW w:w="1308" w:type="dxa"/>
          </w:tcPr>
          <w:p w14:paraId="35163426">
            <w:pPr>
              <w:spacing w:line="480" w:lineRule="auto"/>
              <w:jc w:val="center"/>
              <w:rPr>
                <w:rFonts w:ascii="宋体" w:hAnsi="宋体" w:eastAsia="宋体"/>
              </w:rPr>
            </w:pPr>
          </w:p>
        </w:tc>
        <w:tc>
          <w:tcPr>
            <w:tcW w:w="1173" w:type="dxa"/>
          </w:tcPr>
          <w:p w14:paraId="4B761730">
            <w:pPr>
              <w:spacing w:line="480" w:lineRule="auto"/>
              <w:jc w:val="center"/>
              <w:rPr>
                <w:rFonts w:ascii="宋体" w:hAnsi="宋体" w:eastAsia="宋体"/>
              </w:rPr>
            </w:pPr>
          </w:p>
        </w:tc>
      </w:tr>
      <w:tr w14:paraId="2AFC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320A22C2">
            <w:pPr>
              <w:spacing w:line="480" w:lineRule="auto"/>
              <w:jc w:val="center"/>
              <w:rPr>
                <w:rFonts w:ascii="宋体" w:hAnsi="宋体" w:eastAsia="宋体"/>
              </w:rPr>
            </w:pPr>
          </w:p>
        </w:tc>
        <w:tc>
          <w:tcPr>
            <w:tcW w:w="2852" w:type="dxa"/>
          </w:tcPr>
          <w:p w14:paraId="0491FD6F">
            <w:pPr>
              <w:spacing w:line="480" w:lineRule="auto"/>
              <w:jc w:val="center"/>
              <w:rPr>
                <w:rFonts w:ascii="宋体" w:hAnsi="宋体" w:eastAsia="宋体"/>
              </w:rPr>
            </w:pPr>
          </w:p>
        </w:tc>
        <w:tc>
          <w:tcPr>
            <w:tcW w:w="2852" w:type="dxa"/>
          </w:tcPr>
          <w:p w14:paraId="5FC2CE4B">
            <w:pPr>
              <w:spacing w:line="480" w:lineRule="auto"/>
              <w:jc w:val="center"/>
              <w:rPr>
                <w:rFonts w:ascii="宋体" w:hAnsi="宋体" w:eastAsia="宋体"/>
              </w:rPr>
            </w:pPr>
          </w:p>
        </w:tc>
        <w:tc>
          <w:tcPr>
            <w:tcW w:w="1308" w:type="dxa"/>
          </w:tcPr>
          <w:p w14:paraId="2C336573">
            <w:pPr>
              <w:spacing w:line="480" w:lineRule="auto"/>
              <w:jc w:val="center"/>
              <w:rPr>
                <w:rFonts w:ascii="宋体" w:hAnsi="宋体" w:eastAsia="宋体"/>
              </w:rPr>
            </w:pPr>
          </w:p>
        </w:tc>
        <w:tc>
          <w:tcPr>
            <w:tcW w:w="1173" w:type="dxa"/>
          </w:tcPr>
          <w:p w14:paraId="7DC9FBF2">
            <w:pPr>
              <w:spacing w:line="480" w:lineRule="auto"/>
              <w:jc w:val="center"/>
              <w:rPr>
                <w:rFonts w:ascii="宋体" w:hAnsi="宋体" w:eastAsia="宋体"/>
              </w:rPr>
            </w:pPr>
          </w:p>
        </w:tc>
      </w:tr>
      <w:tr w14:paraId="10C1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67843030">
            <w:pPr>
              <w:spacing w:line="480" w:lineRule="auto"/>
              <w:jc w:val="center"/>
              <w:rPr>
                <w:rFonts w:ascii="宋体" w:hAnsi="宋体" w:eastAsia="宋体"/>
              </w:rPr>
            </w:pPr>
          </w:p>
        </w:tc>
        <w:tc>
          <w:tcPr>
            <w:tcW w:w="2852" w:type="dxa"/>
          </w:tcPr>
          <w:p w14:paraId="68066C8F">
            <w:pPr>
              <w:spacing w:line="480" w:lineRule="auto"/>
              <w:jc w:val="center"/>
              <w:rPr>
                <w:rFonts w:ascii="宋体" w:hAnsi="宋体" w:eastAsia="宋体"/>
              </w:rPr>
            </w:pPr>
          </w:p>
        </w:tc>
        <w:tc>
          <w:tcPr>
            <w:tcW w:w="2852" w:type="dxa"/>
          </w:tcPr>
          <w:p w14:paraId="1A0765ED">
            <w:pPr>
              <w:spacing w:line="480" w:lineRule="auto"/>
              <w:jc w:val="center"/>
              <w:rPr>
                <w:rFonts w:ascii="宋体" w:hAnsi="宋体" w:eastAsia="宋体"/>
              </w:rPr>
            </w:pPr>
          </w:p>
        </w:tc>
        <w:tc>
          <w:tcPr>
            <w:tcW w:w="1308" w:type="dxa"/>
          </w:tcPr>
          <w:p w14:paraId="11A7C5AB">
            <w:pPr>
              <w:spacing w:line="480" w:lineRule="auto"/>
              <w:jc w:val="center"/>
              <w:rPr>
                <w:rFonts w:ascii="宋体" w:hAnsi="宋体" w:eastAsia="宋体"/>
              </w:rPr>
            </w:pPr>
          </w:p>
        </w:tc>
        <w:tc>
          <w:tcPr>
            <w:tcW w:w="1173" w:type="dxa"/>
          </w:tcPr>
          <w:p w14:paraId="7696B57A">
            <w:pPr>
              <w:spacing w:line="480" w:lineRule="auto"/>
              <w:jc w:val="center"/>
              <w:rPr>
                <w:rFonts w:ascii="宋体" w:hAnsi="宋体" w:eastAsia="宋体"/>
              </w:rPr>
            </w:pPr>
          </w:p>
        </w:tc>
      </w:tr>
      <w:tr w14:paraId="759C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1856951C">
            <w:pPr>
              <w:spacing w:line="480" w:lineRule="auto"/>
              <w:jc w:val="center"/>
              <w:rPr>
                <w:rFonts w:ascii="宋体" w:hAnsi="宋体" w:eastAsia="宋体"/>
              </w:rPr>
            </w:pPr>
          </w:p>
        </w:tc>
        <w:tc>
          <w:tcPr>
            <w:tcW w:w="2852" w:type="dxa"/>
          </w:tcPr>
          <w:p w14:paraId="37906CE1">
            <w:pPr>
              <w:spacing w:line="480" w:lineRule="auto"/>
              <w:jc w:val="center"/>
              <w:rPr>
                <w:rFonts w:ascii="宋体" w:hAnsi="宋体" w:eastAsia="宋体"/>
              </w:rPr>
            </w:pPr>
          </w:p>
        </w:tc>
        <w:tc>
          <w:tcPr>
            <w:tcW w:w="2852" w:type="dxa"/>
          </w:tcPr>
          <w:p w14:paraId="3F373B04">
            <w:pPr>
              <w:spacing w:line="480" w:lineRule="auto"/>
              <w:jc w:val="center"/>
              <w:rPr>
                <w:rFonts w:ascii="宋体" w:hAnsi="宋体" w:eastAsia="宋体"/>
              </w:rPr>
            </w:pPr>
          </w:p>
        </w:tc>
        <w:tc>
          <w:tcPr>
            <w:tcW w:w="1308" w:type="dxa"/>
          </w:tcPr>
          <w:p w14:paraId="5D84CA45">
            <w:pPr>
              <w:spacing w:line="480" w:lineRule="auto"/>
              <w:jc w:val="center"/>
              <w:rPr>
                <w:rFonts w:ascii="宋体" w:hAnsi="宋体" w:eastAsia="宋体"/>
              </w:rPr>
            </w:pPr>
          </w:p>
        </w:tc>
        <w:tc>
          <w:tcPr>
            <w:tcW w:w="1173" w:type="dxa"/>
          </w:tcPr>
          <w:p w14:paraId="655AED5C">
            <w:pPr>
              <w:spacing w:line="480" w:lineRule="auto"/>
              <w:jc w:val="center"/>
              <w:rPr>
                <w:rFonts w:ascii="宋体" w:hAnsi="宋体" w:eastAsia="宋体"/>
              </w:rPr>
            </w:pPr>
          </w:p>
        </w:tc>
      </w:tr>
      <w:tr w14:paraId="2AF2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37B873A8">
            <w:pPr>
              <w:spacing w:line="480" w:lineRule="auto"/>
              <w:jc w:val="center"/>
              <w:rPr>
                <w:rFonts w:ascii="宋体" w:hAnsi="宋体" w:eastAsia="宋体"/>
              </w:rPr>
            </w:pPr>
          </w:p>
        </w:tc>
        <w:tc>
          <w:tcPr>
            <w:tcW w:w="2852" w:type="dxa"/>
          </w:tcPr>
          <w:p w14:paraId="4C0103B7">
            <w:pPr>
              <w:spacing w:line="480" w:lineRule="auto"/>
              <w:jc w:val="center"/>
              <w:rPr>
                <w:rFonts w:ascii="宋体" w:hAnsi="宋体" w:eastAsia="宋体"/>
              </w:rPr>
            </w:pPr>
          </w:p>
        </w:tc>
        <w:tc>
          <w:tcPr>
            <w:tcW w:w="2852" w:type="dxa"/>
          </w:tcPr>
          <w:p w14:paraId="52F59680">
            <w:pPr>
              <w:spacing w:line="480" w:lineRule="auto"/>
              <w:jc w:val="center"/>
              <w:rPr>
                <w:rFonts w:ascii="宋体" w:hAnsi="宋体" w:eastAsia="宋体"/>
              </w:rPr>
            </w:pPr>
          </w:p>
        </w:tc>
        <w:tc>
          <w:tcPr>
            <w:tcW w:w="1308" w:type="dxa"/>
          </w:tcPr>
          <w:p w14:paraId="6E5E30BD">
            <w:pPr>
              <w:spacing w:line="480" w:lineRule="auto"/>
              <w:jc w:val="center"/>
              <w:rPr>
                <w:rFonts w:ascii="宋体" w:hAnsi="宋体" w:eastAsia="宋体"/>
              </w:rPr>
            </w:pPr>
          </w:p>
        </w:tc>
        <w:tc>
          <w:tcPr>
            <w:tcW w:w="1173" w:type="dxa"/>
          </w:tcPr>
          <w:p w14:paraId="7CD99A3D">
            <w:pPr>
              <w:spacing w:line="480" w:lineRule="auto"/>
              <w:jc w:val="center"/>
              <w:rPr>
                <w:rFonts w:ascii="宋体" w:hAnsi="宋体" w:eastAsia="宋体"/>
              </w:rPr>
            </w:pPr>
          </w:p>
        </w:tc>
      </w:tr>
      <w:tr w14:paraId="471C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14:paraId="2DC5D767">
            <w:pPr>
              <w:spacing w:line="480" w:lineRule="auto"/>
              <w:jc w:val="center"/>
              <w:rPr>
                <w:rFonts w:ascii="宋体" w:hAnsi="宋体" w:eastAsia="宋体"/>
              </w:rPr>
            </w:pPr>
          </w:p>
        </w:tc>
        <w:tc>
          <w:tcPr>
            <w:tcW w:w="2852" w:type="dxa"/>
          </w:tcPr>
          <w:p w14:paraId="29ABDE83">
            <w:pPr>
              <w:spacing w:line="480" w:lineRule="auto"/>
              <w:jc w:val="center"/>
              <w:rPr>
                <w:rFonts w:ascii="宋体" w:hAnsi="宋体" w:eastAsia="宋体"/>
              </w:rPr>
            </w:pPr>
          </w:p>
        </w:tc>
        <w:tc>
          <w:tcPr>
            <w:tcW w:w="2852" w:type="dxa"/>
          </w:tcPr>
          <w:p w14:paraId="7677DBD2">
            <w:pPr>
              <w:spacing w:line="480" w:lineRule="auto"/>
              <w:jc w:val="center"/>
              <w:rPr>
                <w:rFonts w:ascii="宋体" w:hAnsi="宋体" w:eastAsia="宋体"/>
              </w:rPr>
            </w:pPr>
          </w:p>
        </w:tc>
        <w:tc>
          <w:tcPr>
            <w:tcW w:w="1308" w:type="dxa"/>
          </w:tcPr>
          <w:p w14:paraId="215C6A4C">
            <w:pPr>
              <w:spacing w:line="480" w:lineRule="auto"/>
              <w:jc w:val="center"/>
              <w:rPr>
                <w:rFonts w:ascii="宋体" w:hAnsi="宋体" w:eastAsia="宋体"/>
              </w:rPr>
            </w:pPr>
          </w:p>
        </w:tc>
        <w:tc>
          <w:tcPr>
            <w:tcW w:w="1173" w:type="dxa"/>
          </w:tcPr>
          <w:p w14:paraId="3A1EF588">
            <w:pPr>
              <w:spacing w:line="480" w:lineRule="auto"/>
              <w:jc w:val="center"/>
              <w:rPr>
                <w:rFonts w:ascii="宋体" w:hAnsi="宋体" w:eastAsia="宋体"/>
              </w:rPr>
            </w:pPr>
          </w:p>
        </w:tc>
      </w:tr>
    </w:tbl>
    <w:p w14:paraId="570C2972">
      <w:pPr>
        <w:spacing w:line="480" w:lineRule="auto"/>
        <w:rPr>
          <w:rFonts w:ascii="宋体" w:hAnsi="宋体" w:eastAsia="宋体"/>
          <w:sz w:val="24"/>
          <w:szCs w:val="24"/>
        </w:rPr>
      </w:pPr>
    </w:p>
    <w:p w14:paraId="010861E6">
      <w:pPr>
        <w:spacing w:line="480" w:lineRule="auto"/>
        <w:rPr>
          <w:rFonts w:ascii="宋体" w:hAnsi="宋体" w:eastAsia="宋体"/>
        </w:rPr>
      </w:pPr>
      <w:r>
        <w:rPr>
          <w:rFonts w:hint="eastAsia" w:ascii="宋体" w:hAnsi="宋体" w:eastAsia="宋体"/>
        </w:rPr>
        <w:t>注：1、按照基本技术要求详细填列。</w:t>
      </w:r>
    </w:p>
    <w:p w14:paraId="6CEFEF02">
      <w:pPr>
        <w:spacing w:line="480" w:lineRule="auto"/>
        <w:ind w:firstLine="420" w:firstLineChars="200"/>
        <w:rPr>
          <w:rFonts w:ascii="宋体" w:hAnsi="宋体" w:eastAsia="宋体"/>
        </w:rPr>
      </w:pPr>
      <w:r>
        <w:rPr>
          <w:rFonts w:hint="eastAsia" w:ascii="宋体" w:hAnsi="宋体" w:eastAsia="宋体"/>
        </w:rPr>
        <w:t>2、行数不够，可自行添加。</w:t>
      </w:r>
    </w:p>
    <w:p w14:paraId="1C8A530C">
      <w:pPr>
        <w:pStyle w:val="3"/>
        <w:spacing w:line="480" w:lineRule="auto"/>
        <w:jc w:val="center"/>
        <w:rPr>
          <w:rFonts w:ascii="宋体" w:hAnsi="宋体" w:eastAsia="宋体"/>
          <w:bCs w:val="0"/>
          <w:sz w:val="24"/>
          <w:szCs w:val="24"/>
        </w:rPr>
      </w:pPr>
      <w:bookmarkStart w:id="28" w:name="_Hlt26955054"/>
      <w:bookmarkEnd w:id="28"/>
      <w:bookmarkStart w:id="29" w:name="_Toc109304979"/>
      <w:r>
        <w:rPr>
          <w:rFonts w:ascii="宋体" w:hAnsi="宋体" w:eastAsia="宋体"/>
          <w:bCs w:val="0"/>
        </w:rPr>
        <w:br w:type="page"/>
      </w:r>
      <w:r>
        <w:rPr>
          <w:rFonts w:hint="eastAsia" w:ascii="宋体" w:hAnsi="宋体" w:eastAsia="宋体"/>
          <w:bCs w:val="0"/>
          <w:sz w:val="24"/>
          <w:szCs w:val="24"/>
        </w:rPr>
        <w:t>六、商务条款响应及偏离表</w:t>
      </w:r>
      <w:bookmarkEnd w:id="29"/>
    </w:p>
    <w:tbl>
      <w:tblPr>
        <w:tblStyle w:val="15"/>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5"/>
        <w:gridCol w:w="2513"/>
        <w:gridCol w:w="1845"/>
        <w:gridCol w:w="2995"/>
      </w:tblGrid>
      <w:tr w14:paraId="3A840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1645" w:type="dxa"/>
            <w:tcBorders>
              <w:top w:val="single" w:color="auto" w:sz="4" w:space="0"/>
              <w:left w:val="single" w:color="auto" w:sz="4" w:space="0"/>
              <w:bottom w:val="single" w:color="auto" w:sz="4" w:space="0"/>
              <w:right w:val="single" w:color="auto" w:sz="4" w:space="0"/>
            </w:tcBorders>
          </w:tcPr>
          <w:p w14:paraId="0C220822">
            <w:pPr>
              <w:spacing w:before="120" w:beforeLines="50" w:line="480" w:lineRule="auto"/>
              <w:jc w:val="center"/>
              <w:rPr>
                <w:rFonts w:ascii="宋体" w:hAnsi="宋体" w:eastAsia="宋体"/>
              </w:rPr>
            </w:pPr>
            <w:r>
              <w:rPr>
                <w:rFonts w:hint="eastAsia" w:ascii="宋体" w:hAnsi="宋体" w:eastAsia="宋体"/>
              </w:rPr>
              <w:t>项目</w:t>
            </w:r>
          </w:p>
        </w:tc>
        <w:tc>
          <w:tcPr>
            <w:tcW w:w="2513" w:type="dxa"/>
            <w:tcBorders>
              <w:top w:val="single" w:color="auto" w:sz="4" w:space="0"/>
              <w:left w:val="single" w:color="auto" w:sz="4" w:space="0"/>
              <w:bottom w:val="single" w:color="auto" w:sz="4" w:space="0"/>
              <w:right w:val="single" w:color="auto" w:sz="4" w:space="0"/>
            </w:tcBorders>
          </w:tcPr>
          <w:p w14:paraId="5BDB7A08">
            <w:pPr>
              <w:spacing w:before="120" w:beforeLines="50" w:line="480" w:lineRule="auto"/>
              <w:jc w:val="center"/>
              <w:rPr>
                <w:rFonts w:ascii="宋体" w:hAnsi="宋体" w:eastAsia="宋体"/>
              </w:rPr>
            </w:pPr>
            <w:r>
              <w:rPr>
                <w:rFonts w:hint="eastAsia" w:ascii="宋体" w:hAnsi="宋体" w:eastAsia="宋体"/>
              </w:rPr>
              <w:t>采购文件要求</w:t>
            </w:r>
          </w:p>
        </w:tc>
        <w:tc>
          <w:tcPr>
            <w:tcW w:w="1845" w:type="dxa"/>
            <w:tcBorders>
              <w:top w:val="single" w:color="auto" w:sz="4" w:space="0"/>
              <w:left w:val="single" w:color="auto" w:sz="4" w:space="0"/>
              <w:bottom w:val="single" w:color="auto" w:sz="4" w:space="0"/>
              <w:right w:val="single" w:color="auto" w:sz="4" w:space="0"/>
            </w:tcBorders>
          </w:tcPr>
          <w:p w14:paraId="5906ABA9">
            <w:pPr>
              <w:spacing w:before="120" w:beforeLines="50" w:line="480" w:lineRule="auto"/>
              <w:jc w:val="center"/>
              <w:rPr>
                <w:rFonts w:ascii="宋体" w:hAnsi="宋体" w:eastAsia="宋体"/>
              </w:rPr>
            </w:pPr>
            <w:r>
              <w:rPr>
                <w:rFonts w:hint="eastAsia" w:ascii="宋体" w:hAnsi="宋体" w:eastAsia="宋体"/>
              </w:rPr>
              <w:t>是否响应</w:t>
            </w:r>
          </w:p>
        </w:tc>
        <w:tc>
          <w:tcPr>
            <w:tcW w:w="2995" w:type="dxa"/>
            <w:tcBorders>
              <w:top w:val="single" w:color="auto" w:sz="4" w:space="0"/>
              <w:left w:val="single" w:color="auto" w:sz="4" w:space="0"/>
              <w:bottom w:val="single" w:color="auto" w:sz="4" w:space="0"/>
              <w:right w:val="single" w:color="auto" w:sz="4" w:space="0"/>
            </w:tcBorders>
          </w:tcPr>
          <w:p w14:paraId="5A4F065D">
            <w:pPr>
              <w:spacing w:before="120" w:beforeLines="50" w:line="480" w:lineRule="auto"/>
              <w:jc w:val="center"/>
              <w:rPr>
                <w:rFonts w:ascii="宋体" w:hAnsi="宋体" w:eastAsia="宋体"/>
              </w:rPr>
            </w:pPr>
            <w:r>
              <w:rPr>
                <w:rFonts w:hint="eastAsia" w:ascii="宋体" w:hAnsi="宋体" w:eastAsia="宋体"/>
              </w:rPr>
              <w:t>供应商的承诺或说明</w:t>
            </w:r>
          </w:p>
        </w:tc>
      </w:tr>
      <w:tr w14:paraId="0AAD83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1645" w:type="dxa"/>
            <w:tcBorders>
              <w:top w:val="single" w:color="auto" w:sz="4" w:space="0"/>
              <w:left w:val="single" w:color="auto" w:sz="4" w:space="0"/>
              <w:bottom w:val="single" w:color="auto" w:sz="4" w:space="0"/>
              <w:right w:val="single" w:color="auto" w:sz="4" w:space="0"/>
            </w:tcBorders>
          </w:tcPr>
          <w:p w14:paraId="5170944E">
            <w:pPr>
              <w:spacing w:before="120" w:beforeLines="50" w:line="480" w:lineRule="auto"/>
              <w:jc w:val="center"/>
              <w:rPr>
                <w:rFonts w:ascii="宋体" w:hAnsi="宋体" w:eastAsia="宋体"/>
              </w:rPr>
            </w:pPr>
            <w:r>
              <w:rPr>
                <w:rFonts w:hint="eastAsia" w:ascii="宋体" w:hAnsi="宋体" w:eastAsia="宋体"/>
              </w:rPr>
              <w:t>交付时间</w:t>
            </w:r>
          </w:p>
        </w:tc>
        <w:tc>
          <w:tcPr>
            <w:tcW w:w="2513" w:type="dxa"/>
            <w:tcBorders>
              <w:top w:val="single" w:color="auto" w:sz="4" w:space="0"/>
              <w:left w:val="single" w:color="auto" w:sz="4" w:space="0"/>
              <w:bottom w:val="single" w:color="auto" w:sz="4" w:space="0"/>
              <w:right w:val="single" w:color="auto" w:sz="4" w:space="0"/>
            </w:tcBorders>
          </w:tcPr>
          <w:p w14:paraId="36A6BF30">
            <w:pPr>
              <w:spacing w:before="120" w:beforeLines="50" w:line="480" w:lineRule="auto"/>
              <w:jc w:val="center"/>
              <w:rPr>
                <w:rFonts w:ascii="宋体" w:hAnsi="宋体" w:eastAsia="宋体"/>
              </w:rPr>
            </w:pPr>
          </w:p>
        </w:tc>
        <w:tc>
          <w:tcPr>
            <w:tcW w:w="1845" w:type="dxa"/>
            <w:tcBorders>
              <w:top w:val="single" w:color="auto" w:sz="4" w:space="0"/>
              <w:left w:val="single" w:color="auto" w:sz="4" w:space="0"/>
              <w:bottom w:val="single" w:color="auto" w:sz="4" w:space="0"/>
              <w:right w:val="single" w:color="auto" w:sz="4" w:space="0"/>
            </w:tcBorders>
          </w:tcPr>
          <w:p w14:paraId="7DC58957">
            <w:pPr>
              <w:spacing w:before="120" w:beforeLines="50" w:line="480" w:lineRule="auto"/>
              <w:ind w:left="43"/>
              <w:jc w:val="center"/>
              <w:rPr>
                <w:rFonts w:ascii="宋体" w:hAnsi="宋体" w:eastAsia="宋体"/>
              </w:rPr>
            </w:pPr>
          </w:p>
        </w:tc>
        <w:tc>
          <w:tcPr>
            <w:tcW w:w="2995" w:type="dxa"/>
            <w:tcBorders>
              <w:top w:val="single" w:color="auto" w:sz="4" w:space="0"/>
              <w:left w:val="single" w:color="auto" w:sz="4" w:space="0"/>
              <w:bottom w:val="single" w:color="auto" w:sz="4" w:space="0"/>
              <w:right w:val="single" w:color="auto" w:sz="4" w:space="0"/>
            </w:tcBorders>
          </w:tcPr>
          <w:p w14:paraId="351F5968">
            <w:pPr>
              <w:spacing w:before="120" w:beforeLines="50" w:line="480" w:lineRule="auto"/>
              <w:ind w:left="43"/>
              <w:jc w:val="center"/>
              <w:rPr>
                <w:rFonts w:ascii="宋体" w:hAnsi="宋体" w:eastAsia="宋体"/>
              </w:rPr>
            </w:pPr>
          </w:p>
        </w:tc>
      </w:tr>
      <w:tr w14:paraId="43D79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645" w:type="dxa"/>
            <w:tcBorders>
              <w:top w:val="single" w:color="auto" w:sz="4" w:space="0"/>
              <w:left w:val="single" w:color="auto" w:sz="4" w:space="0"/>
              <w:bottom w:val="single" w:color="auto" w:sz="4" w:space="0"/>
              <w:right w:val="single" w:color="auto" w:sz="4" w:space="0"/>
            </w:tcBorders>
          </w:tcPr>
          <w:p w14:paraId="3A5E492F">
            <w:pPr>
              <w:spacing w:before="120" w:beforeLines="50" w:line="480" w:lineRule="auto"/>
              <w:jc w:val="center"/>
              <w:rPr>
                <w:rFonts w:ascii="宋体" w:hAnsi="宋体" w:eastAsia="宋体"/>
              </w:rPr>
            </w:pPr>
            <w:r>
              <w:rPr>
                <w:rFonts w:hint="eastAsia" w:ascii="宋体" w:hAnsi="宋体" w:eastAsia="宋体"/>
              </w:rPr>
              <w:t>交货方式</w:t>
            </w:r>
          </w:p>
        </w:tc>
        <w:tc>
          <w:tcPr>
            <w:tcW w:w="2513" w:type="dxa"/>
            <w:tcBorders>
              <w:top w:val="single" w:color="auto" w:sz="4" w:space="0"/>
              <w:left w:val="single" w:color="auto" w:sz="4" w:space="0"/>
              <w:bottom w:val="single" w:color="auto" w:sz="4" w:space="0"/>
              <w:right w:val="single" w:color="auto" w:sz="4" w:space="0"/>
            </w:tcBorders>
          </w:tcPr>
          <w:p w14:paraId="291B7E0B">
            <w:pPr>
              <w:spacing w:before="120" w:beforeLines="50" w:line="480" w:lineRule="auto"/>
              <w:rPr>
                <w:rFonts w:ascii="宋体" w:hAnsi="宋体" w:eastAsia="宋体"/>
              </w:rPr>
            </w:pPr>
          </w:p>
        </w:tc>
        <w:tc>
          <w:tcPr>
            <w:tcW w:w="1845" w:type="dxa"/>
            <w:tcBorders>
              <w:top w:val="single" w:color="auto" w:sz="4" w:space="0"/>
              <w:left w:val="single" w:color="auto" w:sz="4" w:space="0"/>
              <w:bottom w:val="single" w:color="auto" w:sz="4" w:space="0"/>
              <w:right w:val="single" w:color="auto" w:sz="4" w:space="0"/>
            </w:tcBorders>
          </w:tcPr>
          <w:p w14:paraId="459D969D">
            <w:pPr>
              <w:spacing w:before="120" w:beforeLines="50" w:line="480" w:lineRule="auto"/>
              <w:ind w:left="43"/>
              <w:jc w:val="center"/>
              <w:rPr>
                <w:rFonts w:ascii="宋体" w:hAnsi="宋体" w:eastAsia="宋体"/>
              </w:rPr>
            </w:pPr>
          </w:p>
        </w:tc>
        <w:tc>
          <w:tcPr>
            <w:tcW w:w="2995" w:type="dxa"/>
            <w:tcBorders>
              <w:top w:val="single" w:color="auto" w:sz="4" w:space="0"/>
              <w:left w:val="single" w:color="auto" w:sz="4" w:space="0"/>
              <w:bottom w:val="single" w:color="auto" w:sz="4" w:space="0"/>
              <w:right w:val="single" w:color="auto" w:sz="4" w:space="0"/>
            </w:tcBorders>
          </w:tcPr>
          <w:p w14:paraId="3DEB2CC9">
            <w:pPr>
              <w:spacing w:before="120" w:beforeLines="50" w:line="480" w:lineRule="auto"/>
              <w:ind w:left="43"/>
              <w:jc w:val="center"/>
              <w:rPr>
                <w:rFonts w:ascii="宋体" w:hAnsi="宋体" w:eastAsia="宋体"/>
              </w:rPr>
            </w:pPr>
          </w:p>
        </w:tc>
      </w:tr>
      <w:tr w14:paraId="4BFF4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645" w:type="dxa"/>
            <w:tcBorders>
              <w:top w:val="single" w:color="auto" w:sz="4" w:space="0"/>
              <w:left w:val="single" w:color="auto" w:sz="4" w:space="0"/>
              <w:bottom w:val="single" w:color="auto" w:sz="4" w:space="0"/>
              <w:right w:val="single" w:color="auto" w:sz="4" w:space="0"/>
            </w:tcBorders>
          </w:tcPr>
          <w:p w14:paraId="229DF16D">
            <w:pPr>
              <w:spacing w:before="120" w:beforeLines="50" w:line="480" w:lineRule="auto"/>
              <w:jc w:val="center"/>
              <w:rPr>
                <w:rFonts w:ascii="宋体" w:hAnsi="宋体" w:eastAsia="宋体"/>
              </w:rPr>
            </w:pPr>
            <w:r>
              <w:rPr>
                <w:rFonts w:hint="eastAsia" w:ascii="宋体" w:hAnsi="宋体" w:eastAsia="宋体"/>
              </w:rPr>
              <w:t>交货地点</w:t>
            </w:r>
          </w:p>
        </w:tc>
        <w:tc>
          <w:tcPr>
            <w:tcW w:w="2513" w:type="dxa"/>
            <w:tcBorders>
              <w:top w:val="single" w:color="auto" w:sz="4" w:space="0"/>
              <w:left w:val="single" w:color="auto" w:sz="4" w:space="0"/>
              <w:bottom w:val="single" w:color="auto" w:sz="4" w:space="0"/>
              <w:right w:val="single" w:color="auto" w:sz="4" w:space="0"/>
            </w:tcBorders>
          </w:tcPr>
          <w:p w14:paraId="02673403">
            <w:pPr>
              <w:spacing w:before="120" w:beforeLines="50" w:line="480" w:lineRule="auto"/>
              <w:rPr>
                <w:rFonts w:ascii="宋体" w:hAnsi="宋体" w:eastAsia="宋体"/>
              </w:rPr>
            </w:pPr>
          </w:p>
        </w:tc>
        <w:tc>
          <w:tcPr>
            <w:tcW w:w="1845" w:type="dxa"/>
            <w:tcBorders>
              <w:top w:val="single" w:color="auto" w:sz="4" w:space="0"/>
              <w:left w:val="single" w:color="auto" w:sz="4" w:space="0"/>
              <w:bottom w:val="single" w:color="auto" w:sz="4" w:space="0"/>
              <w:right w:val="single" w:color="auto" w:sz="4" w:space="0"/>
            </w:tcBorders>
          </w:tcPr>
          <w:p w14:paraId="2C5DDE1E">
            <w:pPr>
              <w:spacing w:before="120" w:beforeLines="50" w:line="480" w:lineRule="auto"/>
              <w:ind w:left="43"/>
              <w:jc w:val="center"/>
              <w:rPr>
                <w:rFonts w:ascii="宋体" w:hAnsi="宋体" w:eastAsia="宋体"/>
              </w:rPr>
            </w:pPr>
          </w:p>
        </w:tc>
        <w:tc>
          <w:tcPr>
            <w:tcW w:w="2995" w:type="dxa"/>
            <w:tcBorders>
              <w:top w:val="single" w:color="auto" w:sz="4" w:space="0"/>
              <w:left w:val="single" w:color="auto" w:sz="4" w:space="0"/>
              <w:bottom w:val="single" w:color="auto" w:sz="4" w:space="0"/>
              <w:right w:val="single" w:color="auto" w:sz="4" w:space="0"/>
            </w:tcBorders>
          </w:tcPr>
          <w:p w14:paraId="1B4B4152">
            <w:pPr>
              <w:spacing w:before="120" w:beforeLines="50" w:line="480" w:lineRule="auto"/>
              <w:ind w:left="43"/>
              <w:jc w:val="center"/>
              <w:rPr>
                <w:rFonts w:ascii="宋体" w:hAnsi="宋体" w:eastAsia="宋体"/>
              </w:rPr>
            </w:pPr>
          </w:p>
        </w:tc>
      </w:tr>
      <w:tr w14:paraId="2C920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1645" w:type="dxa"/>
            <w:tcBorders>
              <w:top w:val="single" w:color="auto" w:sz="4" w:space="0"/>
              <w:left w:val="single" w:color="auto" w:sz="4" w:space="0"/>
              <w:bottom w:val="single" w:color="auto" w:sz="4" w:space="0"/>
              <w:right w:val="single" w:color="auto" w:sz="4" w:space="0"/>
            </w:tcBorders>
          </w:tcPr>
          <w:p w14:paraId="06375117">
            <w:pPr>
              <w:spacing w:before="120" w:beforeLines="50" w:line="480" w:lineRule="auto"/>
              <w:jc w:val="center"/>
              <w:rPr>
                <w:rFonts w:ascii="宋体" w:hAnsi="宋体" w:eastAsia="宋体"/>
              </w:rPr>
            </w:pPr>
            <w:r>
              <w:rPr>
                <w:rFonts w:hint="eastAsia" w:ascii="宋体" w:hAnsi="宋体" w:eastAsia="宋体"/>
              </w:rPr>
              <w:t>付款方式</w:t>
            </w:r>
          </w:p>
        </w:tc>
        <w:tc>
          <w:tcPr>
            <w:tcW w:w="2513" w:type="dxa"/>
            <w:tcBorders>
              <w:top w:val="single" w:color="auto" w:sz="4" w:space="0"/>
              <w:left w:val="single" w:color="auto" w:sz="4" w:space="0"/>
              <w:bottom w:val="single" w:color="auto" w:sz="4" w:space="0"/>
              <w:right w:val="single" w:color="auto" w:sz="4" w:space="0"/>
            </w:tcBorders>
          </w:tcPr>
          <w:p w14:paraId="1BF98747">
            <w:pPr>
              <w:spacing w:before="120" w:beforeLines="50" w:line="480" w:lineRule="auto"/>
              <w:rPr>
                <w:rFonts w:ascii="宋体" w:hAnsi="宋体" w:eastAsia="宋体"/>
              </w:rPr>
            </w:pPr>
          </w:p>
        </w:tc>
        <w:tc>
          <w:tcPr>
            <w:tcW w:w="1845" w:type="dxa"/>
            <w:tcBorders>
              <w:top w:val="single" w:color="auto" w:sz="4" w:space="0"/>
              <w:left w:val="single" w:color="auto" w:sz="4" w:space="0"/>
              <w:bottom w:val="single" w:color="auto" w:sz="4" w:space="0"/>
              <w:right w:val="single" w:color="auto" w:sz="4" w:space="0"/>
            </w:tcBorders>
          </w:tcPr>
          <w:p w14:paraId="389A0086">
            <w:pPr>
              <w:spacing w:before="120" w:beforeLines="50" w:line="480" w:lineRule="auto"/>
              <w:jc w:val="center"/>
              <w:rPr>
                <w:rFonts w:ascii="宋体" w:hAnsi="宋体" w:eastAsia="宋体"/>
              </w:rPr>
            </w:pPr>
          </w:p>
        </w:tc>
        <w:tc>
          <w:tcPr>
            <w:tcW w:w="2995" w:type="dxa"/>
            <w:tcBorders>
              <w:top w:val="single" w:color="auto" w:sz="4" w:space="0"/>
              <w:left w:val="single" w:color="auto" w:sz="4" w:space="0"/>
              <w:bottom w:val="single" w:color="auto" w:sz="4" w:space="0"/>
              <w:right w:val="single" w:color="auto" w:sz="4" w:space="0"/>
            </w:tcBorders>
          </w:tcPr>
          <w:p w14:paraId="28D2CC46">
            <w:pPr>
              <w:spacing w:before="120" w:beforeLines="50" w:line="480" w:lineRule="auto"/>
              <w:jc w:val="center"/>
              <w:rPr>
                <w:rFonts w:ascii="宋体" w:hAnsi="宋体" w:eastAsia="宋体"/>
              </w:rPr>
            </w:pPr>
          </w:p>
        </w:tc>
      </w:tr>
      <w:tr w14:paraId="70C3D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1645" w:type="dxa"/>
            <w:tcBorders>
              <w:top w:val="single" w:color="auto" w:sz="4" w:space="0"/>
              <w:left w:val="single" w:color="auto" w:sz="4" w:space="0"/>
              <w:bottom w:val="single" w:color="auto" w:sz="4" w:space="0"/>
              <w:right w:val="single" w:color="auto" w:sz="4" w:space="0"/>
            </w:tcBorders>
          </w:tcPr>
          <w:p w14:paraId="5219349E">
            <w:pPr>
              <w:spacing w:before="120" w:beforeLines="50" w:line="480" w:lineRule="auto"/>
              <w:jc w:val="center"/>
              <w:rPr>
                <w:rFonts w:ascii="宋体" w:hAnsi="宋体" w:eastAsia="宋体"/>
              </w:rPr>
            </w:pPr>
            <w:r>
              <w:rPr>
                <w:rFonts w:hint="eastAsia" w:ascii="宋体" w:hAnsi="宋体" w:eastAsia="宋体"/>
              </w:rPr>
              <w:t>其他</w:t>
            </w:r>
          </w:p>
        </w:tc>
        <w:tc>
          <w:tcPr>
            <w:tcW w:w="2513" w:type="dxa"/>
            <w:tcBorders>
              <w:top w:val="single" w:color="auto" w:sz="4" w:space="0"/>
              <w:left w:val="single" w:color="auto" w:sz="4" w:space="0"/>
              <w:bottom w:val="single" w:color="auto" w:sz="4" w:space="0"/>
              <w:right w:val="single" w:color="auto" w:sz="4" w:space="0"/>
            </w:tcBorders>
          </w:tcPr>
          <w:p w14:paraId="418E5599">
            <w:pPr>
              <w:spacing w:before="120" w:beforeLines="50" w:line="480" w:lineRule="auto"/>
              <w:jc w:val="center"/>
              <w:rPr>
                <w:rFonts w:ascii="宋体" w:hAnsi="宋体" w:eastAsia="宋体"/>
              </w:rPr>
            </w:pPr>
            <w:r>
              <w:rPr>
                <w:rFonts w:ascii="宋体" w:hAnsi="宋体" w:eastAsia="宋体"/>
              </w:rPr>
              <w:t>……</w:t>
            </w:r>
          </w:p>
        </w:tc>
        <w:tc>
          <w:tcPr>
            <w:tcW w:w="1845" w:type="dxa"/>
            <w:tcBorders>
              <w:top w:val="single" w:color="auto" w:sz="4" w:space="0"/>
              <w:left w:val="single" w:color="auto" w:sz="4" w:space="0"/>
              <w:bottom w:val="single" w:color="auto" w:sz="4" w:space="0"/>
              <w:right w:val="single" w:color="auto" w:sz="4" w:space="0"/>
            </w:tcBorders>
          </w:tcPr>
          <w:p w14:paraId="10FA3951">
            <w:pPr>
              <w:spacing w:before="120" w:beforeLines="50" w:line="480" w:lineRule="auto"/>
              <w:jc w:val="center"/>
              <w:rPr>
                <w:rFonts w:ascii="宋体" w:hAnsi="宋体" w:eastAsia="宋体"/>
              </w:rPr>
            </w:pPr>
          </w:p>
        </w:tc>
        <w:tc>
          <w:tcPr>
            <w:tcW w:w="2995" w:type="dxa"/>
            <w:tcBorders>
              <w:top w:val="single" w:color="auto" w:sz="4" w:space="0"/>
              <w:left w:val="single" w:color="auto" w:sz="4" w:space="0"/>
              <w:bottom w:val="single" w:color="auto" w:sz="4" w:space="0"/>
              <w:right w:val="single" w:color="auto" w:sz="4" w:space="0"/>
            </w:tcBorders>
          </w:tcPr>
          <w:p w14:paraId="10E4B9A1">
            <w:pPr>
              <w:spacing w:before="120" w:beforeLines="50" w:line="480" w:lineRule="auto"/>
              <w:jc w:val="center"/>
              <w:rPr>
                <w:rFonts w:ascii="宋体" w:hAnsi="宋体" w:eastAsia="宋体"/>
              </w:rPr>
            </w:pPr>
          </w:p>
        </w:tc>
      </w:tr>
    </w:tbl>
    <w:p w14:paraId="4ACE78D6">
      <w:pPr>
        <w:spacing w:line="480" w:lineRule="auto"/>
        <w:rPr>
          <w:rFonts w:ascii="宋体" w:hAnsi="宋体" w:eastAsia="宋体"/>
          <w:b/>
          <w:highlight w:val="yellow"/>
        </w:rPr>
      </w:pPr>
      <w:bookmarkStart w:id="30" w:name="_Hlt26671372"/>
      <w:bookmarkEnd w:id="30"/>
      <w:bookmarkStart w:id="31" w:name="_Hlt26609391"/>
      <w:bookmarkEnd w:id="31"/>
      <w:bookmarkStart w:id="32" w:name="_Hlt26671343"/>
      <w:bookmarkEnd w:id="32"/>
      <w:bookmarkStart w:id="33" w:name="_Hlt24879081"/>
      <w:bookmarkEnd w:id="33"/>
      <w:bookmarkStart w:id="34" w:name="_Hlt26955056"/>
      <w:bookmarkEnd w:id="34"/>
      <w:bookmarkStart w:id="35" w:name="_Hlt26955064"/>
      <w:bookmarkEnd w:id="35"/>
      <w:bookmarkStart w:id="36" w:name="_Hlt26580838"/>
      <w:bookmarkEnd w:id="36"/>
      <w:bookmarkStart w:id="37" w:name="_Hlt26782999"/>
      <w:bookmarkEnd w:id="37"/>
      <w:r>
        <w:rPr>
          <w:rFonts w:ascii="宋体" w:hAnsi="宋体" w:eastAsia="宋体"/>
          <w:b/>
        </w:rPr>
        <w:br w:type="page"/>
      </w:r>
    </w:p>
    <w:p w14:paraId="194F031F">
      <w:pPr>
        <w:spacing w:before="240" w:beforeLines="100" w:line="480" w:lineRule="auto"/>
        <w:jc w:val="center"/>
        <w:rPr>
          <w:rFonts w:ascii="宋体" w:hAnsi="宋体" w:eastAsia="宋体"/>
          <w:b/>
          <w:sz w:val="24"/>
          <w:szCs w:val="24"/>
        </w:rPr>
      </w:pPr>
      <w:r>
        <w:rPr>
          <w:rFonts w:hint="eastAsia" w:ascii="宋体" w:hAnsi="宋体" w:eastAsia="宋体"/>
          <w:b/>
          <w:sz w:val="24"/>
          <w:szCs w:val="24"/>
        </w:rPr>
        <w:t>主要标的信息（成交后将公示）</w:t>
      </w:r>
    </w:p>
    <w:p w14:paraId="6ABC64D1">
      <w:pPr>
        <w:spacing w:after="240" w:afterLines="100" w:line="480" w:lineRule="auto"/>
        <w:rPr>
          <w:rFonts w:ascii="宋体" w:hAnsi="宋体" w:eastAsia="宋体"/>
          <w:b/>
        </w:rPr>
      </w:pPr>
      <w:r>
        <w:rPr>
          <w:rFonts w:hint="eastAsia" w:ascii="宋体" w:hAnsi="宋体" w:eastAsia="宋体"/>
        </w:rPr>
        <w:t>供应商全称：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9"/>
      </w:tblGrid>
      <w:tr w14:paraId="2046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trPr>
        <w:tc>
          <w:tcPr>
            <w:tcW w:w="8149" w:type="dxa"/>
            <w:vAlign w:val="center"/>
          </w:tcPr>
          <w:p w14:paraId="74E7C9F1">
            <w:pPr>
              <w:spacing w:line="480" w:lineRule="auto"/>
              <w:jc w:val="center"/>
              <w:rPr>
                <w:rFonts w:ascii="宋体" w:hAnsi="宋体" w:eastAsia="宋体" w:cs="宋体"/>
              </w:rPr>
            </w:pPr>
            <w:r>
              <w:rPr>
                <w:rFonts w:hint="eastAsia" w:ascii="宋体" w:hAnsi="宋体" w:eastAsia="宋体" w:cs="宋体"/>
                <w:lang w:val="en-US" w:eastAsia="zh-CN"/>
              </w:rPr>
              <w:t>服务</w:t>
            </w:r>
            <w:r>
              <w:rPr>
                <w:rFonts w:hint="eastAsia" w:ascii="宋体" w:hAnsi="宋体" w:eastAsia="宋体" w:cs="宋体"/>
              </w:rPr>
              <w:t>类</w:t>
            </w:r>
          </w:p>
        </w:tc>
      </w:tr>
      <w:tr w14:paraId="2C9C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4" w:hRule="atLeast"/>
        </w:trPr>
        <w:tc>
          <w:tcPr>
            <w:tcW w:w="8149" w:type="dxa"/>
          </w:tcPr>
          <w:p w14:paraId="78915F5D">
            <w:pPr>
              <w:spacing w:line="480" w:lineRule="auto"/>
              <w:rPr>
                <w:rFonts w:hint="eastAsia" w:ascii="宋体" w:hAnsi="宋体" w:eastAsia="宋体" w:cs="宋体"/>
              </w:rPr>
            </w:pPr>
            <w:r>
              <w:rPr>
                <w:rFonts w:hint="eastAsia" w:ascii="宋体" w:hAnsi="宋体" w:eastAsia="宋体" w:cs="宋体"/>
              </w:rPr>
              <w:t>名称：</w:t>
            </w:r>
          </w:p>
          <w:p w14:paraId="55A743C6">
            <w:pPr>
              <w:spacing w:line="480" w:lineRule="auto"/>
              <w:rPr>
                <w:rFonts w:hint="eastAsia" w:ascii="宋体" w:hAnsi="宋体" w:eastAsia="宋体" w:cs="宋体"/>
              </w:rPr>
            </w:pPr>
            <w:r>
              <w:rPr>
                <w:rFonts w:hint="eastAsia" w:ascii="宋体" w:hAnsi="宋体" w:eastAsia="宋体" w:cs="宋体"/>
              </w:rPr>
              <w:t>服务范围：</w:t>
            </w:r>
          </w:p>
          <w:p w14:paraId="486D97F8">
            <w:pPr>
              <w:spacing w:line="480" w:lineRule="auto"/>
              <w:rPr>
                <w:rFonts w:hint="eastAsia" w:ascii="宋体" w:hAnsi="宋体" w:eastAsia="宋体" w:cs="宋体"/>
              </w:rPr>
            </w:pPr>
            <w:r>
              <w:rPr>
                <w:rFonts w:hint="eastAsia" w:ascii="宋体" w:hAnsi="宋体" w:eastAsia="宋体" w:cs="宋体"/>
              </w:rPr>
              <w:t>服务要求：</w:t>
            </w:r>
          </w:p>
          <w:p w14:paraId="3BAEF006">
            <w:pPr>
              <w:spacing w:line="480" w:lineRule="auto"/>
              <w:rPr>
                <w:rFonts w:hint="eastAsia" w:ascii="宋体" w:hAnsi="宋体" w:eastAsia="宋体" w:cs="宋体"/>
              </w:rPr>
            </w:pPr>
            <w:r>
              <w:rPr>
                <w:rFonts w:hint="eastAsia" w:ascii="宋体" w:hAnsi="宋体" w:eastAsia="宋体" w:cs="宋体"/>
              </w:rPr>
              <w:t>服务时间：</w:t>
            </w:r>
          </w:p>
          <w:p w14:paraId="781E67F7">
            <w:pPr>
              <w:spacing w:line="480" w:lineRule="auto"/>
              <w:rPr>
                <w:rFonts w:ascii="宋体" w:hAnsi="宋体" w:eastAsia="宋体" w:cs="宋体"/>
              </w:rPr>
            </w:pPr>
            <w:r>
              <w:rPr>
                <w:rFonts w:hint="eastAsia" w:ascii="宋体" w:hAnsi="宋体" w:eastAsia="宋体" w:cs="宋体"/>
              </w:rPr>
              <w:t>服务标准：</w:t>
            </w:r>
          </w:p>
        </w:tc>
      </w:tr>
    </w:tbl>
    <w:p w14:paraId="1D4C0D6F">
      <w:pPr>
        <w:spacing w:line="480" w:lineRule="auto"/>
        <w:rPr>
          <w:rFonts w:ascii="宋体" w:hAnsi="宋体" w:eastAsia="宋体" w:cs="宋体"/>
          <w:sz w:val="24"/>
          <w:szCs w:val="24"/>
        </w:rPr>
      </w:pPr>
      <w:r>
        <w:rPr>
          <w:rFonts w:ascii="宋体" w:hAnsi="宋体" w:eastAsia="宋体" w:cs="宋体"/>
          <w:sz w:val="24"/>
          <w:szCs w:val="24"/>
        </w:rPr>
        <w:br w:type="page"/>
      </w:r>
    </w:p>
    <w:p w14:paraId="7B5CEC80">
      <w:pPr>
        <w:spacing w:line="480" w:lineRule="auto"/>
        <w:ind w:firstLine="241" w:firstLineChars="100"/>
        <w:jc w:val="center"/>
        <w:rPr>
          <w:rFonts w:ascii="宋体" w:hAnsi="宋体" w:eastAsia="宋体"/>
          <w:b/>
          <w:sz w:val="24"/>
          <w:szCs w:val="24"/>
        </w:rPr>
      </w:pPr>
      <w:r>
        <w:rPr>
          <w:rFonts w:hint="eastAsia" w:ascii="宋体" w:hAnsi="宋体" w:eastAsia="宋体"/>
          <w:b/>
          <w:sz w:val="24"/>
          <w:szCs w:val="24"/>
        </w:rPr>
        <w:t>联合体协议（如有）</w:t>
      </w:r>
    </w:p>
    <w:p w14:paraId="57CDE0E2">
      <w:pPr>
        <w:spacing w:line="480" w:lineRule="auto"/>
        <w:ind w:firstLine="211" w:firstLineChars="100"/>
        <w:jc w:val="center"/>
        <w:rPr>
          <w:rFonts w:ascii="宋体" w:hAnsi="宋体" w:eastAsia="宋体"/>
          <w:b/>
        </w:rPr>
      </w:pPr>
    </w:p>
    <w:p w14:paraId="5A5E8EBA">
      <w:pPr>
        <w:spacing w:line="480" w:lineRule="auto"/>
        <w:rPr>
          <w:rFonts w:ascii="宋体" w:hAnsi="宋体" w:eastAsia="宋体"/>
        </w:rPr>
      </w:pPr>
      <w:r>
        <w:rPr>
          <w:rFonts w:hint="eastAsia" w:ascii="宋体" w:hAnsi="宋体" w:eastAsia="宋体"/>
        </w:rPr>
        <w:t>（联合体中各供应商全称）在此达成以下协议：</w:t>
      </w:r>
    </w:p>
    <w:p w14:paraId="1130CAB5">
      <w:pPr>
        <w:spacing w:line="480" w:lineRule="auto"/>
        <w:ind w:firstLine="645"/>
        <w:rPr>
          <w:rFonts w:ascii="宋体" w:hAnsi="宋体" w:eastAsia="宋体"/>
        </w:rPr>
      </w:pPr>
      <w:r>
        <w:rPr>
          <w:rFonts w:hint="eastAsia" w:ascii="宋体" w:hAnsi="宋体" w:eastAsia="宋体"/>
        </w:rPr>
        <w:t>1、我们自愿组成联合体，参加（代理公司）组织的采购编号为（项目编号）（项目全称）的政府采购活动。</w:t>
      </w:r>
    </w:p>
    <w:p w14:paraId="3E9C3C82">
      <w:pPr>
        <w:spacing w:line="480" w:lineRule="auto"/>
        <w:ind w:firstLine="645"/>
        <w:rPr>
          <w:rFonts w:ascii="宋体" w:hAnsi="宋体" w:eastAsia="宋体"/>
        </w:rPr>
      </w:pPr>
      <w:r>
        <w:rPr>
          <w:rFonts w:hint="eastAsia" w:ascii="宋体" w:hAnsi="宋体" w:eastAsia="宋体"/>
        </w:rPr>
        <w:t>2、若我们联合中标、成交，（供应商单位1全称）实施项目中（工作内容）部分工作，并承担相应的责任。（供应商单位2全称）实施项目中（工作内容）部分工作，并承担相应的责任……。（注：联合体中各供应商都应明示所承担的工作和相应的责任）。</w:t>
      </w:r>
    </w:p>
    <w:p w14:paraId="428D064C">
      <w:pPr>
        <w:spacing w:line="480" w:lineRule="auto"/>
        <w:ind w:firstLine="645"/>
        <w:rPr>
          <w:rFonts w:ascii="宋体" w:hAnsi="宋体" w:eastAsia="宋体"/>
        </w:rPr>
      </w:pPr>
      <w:r>
        <w:rPr>
          <w:rFonts w:hint="eastAsia" w:ascii="宋体" w:hAnsi="宋体" w:eastAsia="宋体"/>
          <w:sz w:val="24"/>
        </w:rPr>
        <w:t xml:space="preserve">                                       </w:t>
      </w:r>
      <w:r>
        <w:rPr>
          <w:rFonts w:hint="eastAsia" w:ascii="宋体" w:hAnsi="宋体" w:eastAsia="宋体"/>
        </w:rPr>
        <w:t xml:space="preserve"> </w:t>
      </w:r>
    </w:p>
    <w:p w14:paraId="4A9707A6">
      <w:pPr>
        <w:spacing w:line="480" w:lineRule="auto"/>
        <w:ind w:firstLine="4620" w:firstLineChars="2200"/>
        <w:rPr>
          <w:rFonts w:ascii="宋体" w:hAnsi="宋体" w:eastAsia="宋体"/>
        </w:rPr>
      </w:pPr>
      <w:r>
        <w:rPr>
          <w:rFonts w:hint="eastAsia" w:ascii="宋体" w:hAnsi="宋体" w:eastAsia="宋体"/>
        </w:rPr>
        <w:t>所有供应商全称：</w:t>
      </w:r>
    </w:p>
    <w:p w14:paraId="21D7B368">
      <w:pPr>
        <w:spacing w:line="480" w:lineRule="auto"/>
        <w:ind w:firstLine="645"/>
        <w:rPr>
          <w:rFonts w:ascii="宋体" w:hAnsi="宋体" w:eastAsia="宋体"/>
        </w:rPr>
      </w:pPr>
      <w:r>
        <w:rPr>
          <w:rFonts w:hint="eastAsia" w:ascii="宋体" w:hAnsi="宋体" w:eastAsia="宋体"/>
        </w:rPr>
        <w:t xml:space="preserve">                                      法定代表人：  </w:t>
      </w:r>
    </w:p>
    <w:p w14:paraId="2EBA986F">
      <w:pPr>
        <w:spacing w:line="480" w:lineRule="auto"/>
        <w:ind w:firstLine="4620" w:firstLineChars="2200"/>
        <w:rPr>
          <w:rFonts w:ascii="宋体" w:hAnsi="宋体" w:eastAsia="宋体"/>
        </w:rPr>
      </w:pPr>
      <w:r>
        <w:rPr>
          <w:rFonts w:hint="eastAsia" w:ascii="宋体" w:hAnsi="宋体" w:eastAsia="宋体"/>
        </w:rPr>
        <w:t>日期：</w:t>
      </w:r>
    </w:p>
    <w:p w14:paraId="62F552BE">
      <w:pPr>
        <w:spacing w:before="91" w:line="226" w:lineRule="auto"/>
        <w:rPr>
          <w:rFonts w:ascii="宋体" w:hAnsi="宋体" w:eastAsia="宋体" w:cs="楷体"/>
          <w:spacing w:val="14"/>
          <w:sz w:val="28"/>
          <w:szCs w:val="28"/>
        </w:rPr>
      </w:pPr>
    </w:p>
    <w:p w14:paraId="40E78144">
      <w:pPr>
        <w:pStyle w:val="5"/>
        <w:rPr>
          <w:rFonts w:ascii="宋体" w:hAnsi="宋体" w:eastAsia="宋体"/>
        </w:rPr>
      </w:pPr>
    </w:p>
    <w:p w14:paraId="623F0BC8">
      <w:pPr>
        <w:spacing w:before="91" w:line="226" w:lineRule="auto"/>
        <w:rPr>
          <w:rFonts w:ascii="宋体" w:hAnsi="宋体" w:eastAsia="宋体" w:cs="楷体"/>
          <w:spacing w:val="14"/>
          <w:sz w:val="28"/>
          <w:szCs w:val="28"/>
        </w:rPr>
      </w:pPr>
    </w:p>
    <w:p w14:paraId="2E6AD61E">
      <w:pPr>
        <w:spacing w:before="91" w:line="226" w:lineRule="auto"/>
        <w:rPr>
          <w:rFonts w:ascii="宋体" w:hAnsi="宋体" w:eastAsia="宋体" w:cs="楷体"/>
          <w:spacing w:val="14"/>
          <w:sz w:val="28"/>
          <w:szCs w:val="28"/>
        </w:rPr>
      </w:pPr>
    </w:p>
    <w:p w14:paraId="600A43D0">
      <w:pPr>
        <w:spacing w:before="91" w:line="226" w:lineRule="auto"/>
        <w:rPr>
          <w:rFonts w:ascii="宋体" w:hAnsi="宋体" w:eastAsia="宋体" w:cs="楷体"/>
          <w:spacing w:val="14"/>
          <w:sz w:val="28"/>
          <w:szCs w:val="28"/>
        </w:rPr>
      </w:pPr>
    </w:p>
    <w:p w14:paraId="13C334F1">
      <w:pPr>
        <w:spacing w:before="91" w:line="226" w:lineRule="auto"/>
        <w:rPr>
          <w:rFonts w:ascii="宋体" w:hAnsi="宋体" w:eastAsia="宋体" w:cs="楷体"/>
          <w:spacing w:val="14"/>
          <w:sz w:val="28"/>
          <w:szCs w:val="28"/>
        </w:rPr>
      </w:pPr>
    </w:p>
    <w:p w14:paraId="43EFA2E0">
      <w:pPr>
        <w:spacing w:before="91" w:line="226" w:lineRule="auto"/>
        <w:rPr>
          <w:rFonts w:ascii="宋体" w:hAnsi="宋体" w:eastAsia="宋体" w:cs="楷体"/>
          <w:spacing w:val="14"/>
          <w:sz w:val="28"/>
          <w:szCs w:val="28"/>
        </w:rPr>
      </w:pPr>
    </w:p>
    <w:p w14:paraId="47C611CA">
      <w:pPr>
        <w:spacing w:before="91" w:line="226" w:lineRule="auto"/>
        <w:rPr>
          <w:rFonts w:ascii="宋体" w:hAnsi="宋体" w:eastAsia="宋体" w:cs="楷体"/>
          <w:spacing w:val="14"/>
          <w:sz w:val="28"/>
          <w:szCs w:val="28"/>
        </w:rPr>
      </w:pPr>
    </w:p>
    <w:p w14:paraId="2518FE02">
      <w:pPr>
        <w:spacing w:before="91" w:line="226" w:lineRule="auto"/>
        <w:rPr>
          <w:rFonts w:ascii="宋体" w:hAnsi="宋体" w:eastAsia="宋体" w:cs="楷体"/>
          <w:spacing w:val="14"/>
          <w:sz w:val="24"/>
          <w:szCs w:val="24"/>
        </w:rPr>
      </w:pPr>
    </w:p>
    <w:sectPr>
      <w:footerReference r:id="rId7" w:type="default"/>
      <w:pgSz w:w="11907" w:h="16839"/>
      <w:pgMar w:top="1430" w:right="1418" w:bottom="1463" w:left="1432" w:header="0" w:footer="128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4F64C">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EABC5">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4BEABC5">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A14FA">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6A92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916A92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DBFCC">
    <w:pPr>
      <w:pStyle w:val="13"/>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E8471">
                          <w:pPr>
                            <w:pStyle w:val="1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5E8471">
                    <w:pPr>
                      <w:pStyle w:val="13"/>
                    </w:pPr>
                    <w:r>
                      <w:fldChar w:fldCharType="begin"/>
                    </w:r>
                    <w:r>
                      <w:instrText xml:space="preserve"> PAGE  \* MERGEFORMAT </w:instrText>
                    </w:r>
                    <w:r>
                      <w:fldChar w:fldCharType="separate"/>
                    </w:r>
                    <w:r>
                      <w:t>18</w:t>
                    </w:r>
                    <w:r>
                      <w:fldChar w:fldCharType="end"/>
                    </w:r>
                  </w:p>
                </w:txbxContent>
              </v:textbox>
            </v:shape>
          </w:pict>
        </mc:Fallback>
      </mc:AlternateContent>
    </w:r>
  </w:p>
  <w:p w14:paraId="05BD091E">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80ED">
    <w:pPr>
      <w:pStyle w:val="13"/>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62048">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3862048">
                    <w:pPr>
                      <w:pStyle w:val="13"/>
                    </w:pPr>
                    <w:r>
                      <w:fldChar w:fldCharType="begin"/>
                    </w:r>
                    <w:r>
                      <w:instrText xml:space="preserve"> PAGE  \* MERGEFORMAT </w:instrText>
                    </w:r>
                    <w:r>
                      <w:fldChar w:fldCharType="separate"/>
                    </w:r>
                    <w:r>
                      <w:t>31</w:t>
                    </w:r>
                    <w:r>
                      <w:fldChar w:fldCharType="end"/>
                    </w:r>
                  </w:p>
                </w:txbxContent>
              </v:textbox>
            </v:shape>
          </w:pict>
        </mc:Fallback>
      </mc:AlternateContent>
    </w:r>
  </w:p>
  <w:p w14:paraId="07EA887A">
    <w:pPr>
      <w:spacing w:line="182" w:lineRule="auto"/>
      <w:rPr>
        <w:rFonts w:ascii="宋体" w:hAnsi="宋体" w:eastAsia="宋体" w:cs="宋体"/>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E47D3">
    <w:pPr>
      <w:pStyle w:val="14"/>
      <w:rPr>
        <w:szCs w:val="22"/>
      </w:rPr>
    </w:pPr>
    <w:bookmarkStart w:id="38" w:name="_Hlk69393956"/>
    <w:bookmarkStart w:id="39" w:name="_Hlk69393955"/>
    <w:r>
      <w:t xml:space="preserve">      </w:t>
    </w:r>
    <w:bookmarkEnd w:id="38"/>
    <w:bookmarkEnd w:id="3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1D630"/>
    <w:multiLevelType w:val="singleLevel"/>
    <w:tmpl w:val="85D1D630"/>
    <w:lvl w:ilvl="0" w:tentative="0">
      <w:start w:val="32"/>
      <w:numFmt w:val="decimal"/>
      <w:suff w:val="nothing"/>
      <w:lvlText w:val="%1、"/>
      <w:lvlJc w:val="left"/>
    </w:lvl>
  </w:abstractNum>
  <w:abstractNum w:abstractNumId="1">
    <w:nsid w:val="D18E746F"/>
    <w:multiLevelType w:val="singleLevel"/>
    <w:tmpl w:val="D18E746F"/>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E3NzJkMzI3MmZlNzMwZGNiZWQ5ODFhNzllZWQ5MDMifQ=="/>
    <w:docVar w:name="KSO_WPS_MARK_KEY" w:val="6458d70a-704d-408a-8d60-586587eb6aa1"/>
  </w:docVars>
  <w:rsids>
    <w:rsidRoot w:val="00D61BB4"/>
    <w:rsid w:val="0001237F"/>
    <w:rsid w:val="00043B17"/>
    <w:rsid w:val="00056E56"/>
    <w:rsid w:val="00070639"/>
    <w:rsid w:val="000710DD"/>
    <w:rsid w:val="00081F9F"/>
    <w:rsid w:val="00096705"/>
    <w:rsid w:val="000D4A00"/>
    <w:rsid w:val="0010444D"/>
    <w:rsid w:val="00120522"/>
    <w:rsid w:val="00171F1B"/>
    <w:rsid w:val="00182625"/>
    <w:rsid w:val="001E19CE"/>
    <w:rsid w:val="00237D0B"/>
    <w:rsid w:val="002478F7"/>
    <w:rsid w:val="00272716"/>
    <w:rsid w:val="002835FE"/>
    <w:rsid w:val="002D0C59"/>
    <w:rsid w:val="002D16C3"/>
    <w:rsid w:val="002D348D"/>
    <w:rsid w:val="002F3C10"/>
    <w:rsid w:val="00344A26"/>
    <w:rsid w:val="0034628D"/>
    <w:rsid w:val="0036320A"/>
    <w:rsid w:val="00372F0C"/>
    <w:rsid w:val="003C1976"/>
    <w:rsid w:val="004041E9"/>
    <w:rsid w:val="00452B8C"/>
    <w:rsid w:val="00457B01"/>
    <w:rsid w:val="004743B5"/>
    <w:rsid w:val="00477A20"/>
    <w:rsid w:val="004C301A"/>
    <w:rsid w:val="004C31CD"/>
    <w:rsid w:val="004C4167"/>
    <w:rsid w:val="004F0E88"/>
    <w:rsid w:val="004F3C5F"/>
    <w:rsid w:val="00537F0E"/>
    <w:rsid w:val="0054015E"/>
    <w:rsid w:val="00561016"/>
    <w:rsid w:val="00561BC8"/>
    <w:rsid w:val="00591C50"/>
    <w:rsid w:val="005B56E4"/>
    <w:rsid w:val="005C1C63"/>
    <w:rsid w:val="005D07CA"/>
    <w:rsid w:val="005D235A"/>
    <w:rsid w:val="005F0FF3"/>
    <w:rsid w:val="006006E7"/>
    <w:rsid w:val="00612A29"/>
    <w:rsid w:val="00620D70"/>
    <w:rsid w:val="006218B2"/>
    <w:rsid w:val="00632FC7"/>
    <w:rsid w:val="0065578A"/>
    <w:rsid w:val="00664C29"/>
    <w:rsid w:val="00690BDA"/>
    <w:rsid w:val="006A1E54"/>
    <w:rsid w:val="006E245D"/>
    <w:rsid w:val="006E4AA5"/>
    <w:rsid w:val="006F5AA5"/>
    <w:rsid w:val="0070428E"/>
    <w:rsid w:val="00706642"/>
    <w:rsid w:val="007211B6"/>
    <w:rsid w:val="007361DE"/>
    <w:rsid w:val="007616C5"/>
    <w:rsid w:val="00780F23"/>
    <w:rsid w:val="00784614"/>
    <w:rsid w:val="007A4548"/>
    <w:rsid w:val="007E4725"/>
    <w:rsid w:val="007F7E44"/>
    <w:rsid w:val="0083219E"/>
    <w:rsid w:val="008566D4"/>
    <w:rsid w:val="0085686C"/>
    <w:rsid w:val="00863098"/>
    <w:rsid w:val="008871D9"/>
    <w:rsid w:val="00887DA8"/>
    <w:rsid w:val="008A2667"/>
    <w:rsid w:val="008B5C95"/>
    <w:rsid w:val="008B5FC6"/>
    <w:rsid w:val="008B72AF"/>
    <w:rsid w:val="008F765F"/>
    <w:rsid w:val="00907D17"/>
    <w:rsid w:val="00914639"/>
    <w:rsid w:val="00932304"/>
    <w:rsid w:val="009A3B81"/>
    <w:rsid w:val="00A03516"/>
    <w:rsid w:val="00A10D49"/>
    <w:rsid w:val="00A22389"/>
    <w:rsid w:val="00A51FD5"/>
    <w:rsid w:val="00A6658D"/>
    <w:rsid w:val="00A71A51"/>
    <w:rsid w:val="00AA1514"/>
    <w:rsid w:val="00AC1D34"/>
    <w:rsid w:val="00AE0C55"/>
    <w:rsid w:val="00AE1F15"/>
    <w:rsid w:val="00B557EF"/>
    <w:rsid w:val="00B82729"/>
    <w:rsid w:val="00B93B4D"/>
    <w:rsid w:val="00BB4E6E"/>
    <w:rsid w:val="00BE4B44"/>
    <w:rsid w:val="00BF41FB"/>
    <w:rsid w:val="00C223BF"/>
    <w:rsid w:val="00CA1096"/>
    <w:rsid w:val="00CB0D80"/>
    <w:rsid w:val="00CC53E5"/>
    <w:rsid w:val="00CD775F"/>
    <w:rsid w:val="00CE75F2"/>
    <w:rsid w:val="00D2502F"/>
    <w:rsid w:val="00D27B11"/>
    <w:rsid w:val="00D425BD"/>
    <w:rsid w:val="00D45C67"/>
    <w:rsid w:val="00D53D31"/>
    <w:rsid w:val="00D61BB4"/>
    <w:rsid w:val="00D73043"/>
    <w:rsid w:val="00D9552C"/>
    <w:rsid w:val="00DB1C5E"/>
    <w:rsid w:val="00DD5EAA"/>
    <w:rsid w:val="00E22B9A"/>
    <w:rsid w:val="00E50D10"/>
    <w:rsid w:val="00E70DB9"/>
    <w:rsid w:val="00E93848"/>
    <w:rsid w:val="00EC0D0D"/>
    <w:rsid w:val="00F034DF"/>
    <w:rsid w:val="00F22214"/>
    <w:rsid w:val="00F31D2A"/>
    <w:rsid w:val="00F36D84"/>
    <w:rsid w:val="00F403AF"/>
    <w:rsid w:val="00F42B22"/>
    <w:rsid w:val="00F52AF2"/>
    <w:rsid w:val="00F5467C"/>
    <w:rsid w:val="00F751FA"/>
    <w:rsid w:val="00F81F31"/>
    <w:rsid w:val="00FC1B17"/>
    <w:rsid w:val="02320612"/>
    <w:rsid w:val="0250441F"/>
    <w:rsid w:val="025D0183"/>
    <w:rsid w:val="02A84797"/>
    <w:rsid w:val="04371904"/>
    <w:rsid w:val="04A80FA9"/>
    <w:rsid w:val="05BC559D"/>
    <w:rsid w:val="0616597F"/>
    <w:rsid w:val="064477F8"/>
    <w:rsid w:val="084C0EBA"/>
    <w:rsid w:val="085732CD"/>
    <w:rsid w:val="09C92FBF"/>
    <w:rsid w:val="0A522CFE"/>
    <w:rsid w:val="0AC30487"/>
    <w:rsid w:val="0ACE05D7"/>
    <w:rsid w:val="0B8273E2"/>
    <w:rsid w:val="0BA123B2"/>
    <w:rsid w:val="0BAB0F7B"/>
    <w:rsid w:val="0CFA54CF"/>
    <w:rsid w:val="0D180E75"/>
    <w:rsid w:val="0D8B6C53"/>
    <w:rsid w:val="0DC7755F"/>
    <w:rsid w:val="0E342E47"/>
    <w:rsid w:val="0E6F666A"/>
    <w:rsid w:val="0EB03363"/>
    <w:rsid w:val="10BE733F"/>
    <w:rsid w:val="10DC67EA"/>
    <w:rsid w:val="110A60E1"/>
    <w:rsid w:val="112C0DA6"/>
    <w:rsid w:val="124743B4"/>
    <w:rsid w:val="12EE2174"/>
    <w:rsid w:val="13141499"/>
    <w:rsid w:val="13543101"/>
    <w:rsid w:val="14223F5B"/>
    <w:rsid w:val="147E306D"/>
    <w:rsid w:val="149521E7"/>
    <w:rsid w:val="14BD22C8"/>
    <w:rsid w:val="14E629C1"/>
    <w:rsid w:val="15841CA6"/>
    <w:rsid w:val="15A415E4"/>
    <w:rsid w:val="15B91DB9"/>
    <w:rsid w:val="15D96662"/>
    <w:rsid w:val="16553401"/>
    <w:rsid w:val="16577DC8"/>
    <w:rsid w:val="16D41518"/>
    <w:rsid w:val="178C7B60"/>
    <w:rsid w:val="1797748D"/>
    <w:rsid w:val="18037FE8"/>
    <w:rsid w:val="18226D4D"/>
    <w:rsid w:val="187B771C"/>
    <w:rsid w:val="193B5B04"/>
    <w:rsid w:val="19813079"/>
    <w:rsid w:val="19A70871"/>
    <w:rsid w:val="19B14B06"/>
    <w:rsid w:val="1AF018E3"/>
    <w:rsid w:val="1C4B685C"/>
    <w:rsid w:val="1DCD29D8"/>
    <w:rsid w:val="1DF95513"/>
    <w:rsid w:val="1DFC593C"/>
    <w:rsid w:val="1E892F5A"/>
    <w:rsid w:val="1FEC548F"/>
    <w:rsid w:val="20237AD5"/>
    <w:rsid w:val="20FD1BD4"/>
    <w:rsid w:val="21444984"/>
    <w:rsid w:val="21F94CCA"/>
    <w:rsid w:val="2240076C"/>
    <w:rsid w:val="22717D6E"/>
    <w:rsid w:val="22C84412"/>
    <w:rsid w:val="231F3C6E"/>
    <w:rsid w:val="2347355E"/>
    <w:rsid w:val="23867483"/>
    <w:rsid w:val="23AA67CA"/>
    <w:rsid w:val="24303C58"/>
    <w:rsid w:val="246E637F"/>
    <w:rsid w:val="2479300D"/>
    <w:rsid w:val="253252E2"/>
    <w:rsid w:val="267C3B77"/>
    <w:rsid w:val="26CC2DED"/>
    <w:rsid w:val="271B299E"/>
    <w:rsid w:val="279D386D"/>
    <w:rsid w:val="28113788"/>
    <w:rsid w:val="28A21C42"/>
    <w:rsid w:val="298A5BB9"/>
    <w:rsid w:val="29AC3D81"/>
    <w:rsid w:val="2A053330"/>
    <w:rsid w:val="2A171AE2"/>
    <w:rsid w:val="2AAB191F"/>
    <w:rsid w:val="2B0E0FF0"/>
    <w:rsid w:val="2B2924BB"/>
    <w:rsid w:val="2B6B4392"/>
    <w:rsid w:val="2BBC1C54"/>
    <w:rsid w:val="2C903DB4"/>
    <w:rsid w:val="2CA505B4"/>
    <w:rsid w:val="2D26488F"/>
    <w:rsid w:val="2D293494"/>
    <w:rsid w:val="2D3D3E48"/>
    <w:rsid w:val="2D854A5B"/>
    <w:rsid w:val="2E25003C"/>
    <w:rsid w:val="2E297D61"/>
    <w:rsid w:val="2F2E675E"/>
    <w:rsid w:val="2F8F1030"/>
    <w:rsid w:val="302A648F"/>
    <w:rsid w:val="30A12A25"/>
    <w:rsid w:val="31615451"/>
    <w:rsid w:val="31CD2AE7"/>
    <w:rsid w:val="325F6CD4"/>
    <w:rsid w:val="327B6C85"/>
    <w:rsid w:val="33A0193E"/>
    <w:rsid w:val="340E7D3E"/>
    <w:rsid w:val="34670FD0"/>
    <w:rsid w:val="34767465"/>
    <w:rsid w:val="34A25033"/>
    <w:rsid w:val="34EB1C02"/>
    <w:rsid w:val="35951B6D"/>
    <w:rsid w:val="359E412E"/>
    <w:rsid w:val="35D5573D"/>
    <w:rsid w:val="36110C74"/>
    <w:rsid w:val="36320E17"/>
    <w:rsid w:val="36A15F47"/>
    <w:rsid w:val="36B87A7C"/>
    <w:rsid w:val="37446AB4"/>
    <w:rsid w:val="38151947"/>
    <w:rsid w:val="388C7CC2"/>
    <w:rsid w:val="39861EF9"/>
    <w:rsid w:val="3A465825"/>
    <w:rsid w:val="3B354CAA"/>
    <w:rsid w:val="3BD008E3"/>
    <w:rsid w:val="3D3B5EFB"/>
    <w:rsid w:val="3D427D25"/>
    <w:rsid w:val="3DDF35D7"/>
    <w:rsid w:val="3E4D30E7"/>
    <w:rsid w:val="3F5274EE"/>
    <w:rsid w:val="3F7E2B6F"/>
    <w:rsid w:val="3FE57B2A"/>
    <w:rsid w:val="405C1445"/>
    <w:rsid w:val="40C166CB"/>
    <w:rsid w:val="40F53067"/>
    <w:rsid w:val="41477C99"/>
    <w:rsid w:val="415154E1"/>
    <w:rsid w:val="41DC23F2"/>
    <w:rsid w:val="41E438E8"/>
    <w:rsid w:val="41EE4F7C"/>
    <w:rsid w:val="41EF139B"/>
    <w:rsid w:val="42431500"/>
    <w:rsid w:val="42883F63"/>
    <w:rsid w:val="43682F66"/>
    <w:rsid w:val="436E1A29"/>
    <w:rsid w:val="443D7CB4"/>
    <w:rsid w:val="450D1D87"/>
    <w:rsid w:val="45BA3F88"/>
    <w:rsid w:val="462B67D4"/>
    <w:rsid w:val="463D59B4"/>
    <w:rsid w:val="468B7945"/>
    <w:rsid w:val="47977DAD"/>
    <w:rsid w:val="493A7431"/>
    <w:rsid w:val="4ABF6D8F"/>
    <w:rsid w:val="4B797B0F"/>
    <w:rsid w:val="4B8B047F"/>
    <w:rsid w:val="4BB527A0"/>
    <w:rsid w:val="4BE567D9"/>
    <w:rsid w:val="4D2449DC"/>
    <w:rsid w:val="4D8272BB"/>
    <w:rsid w:val="4E965A3B"/>
    <w:rsid w:val="4EA91384"/>
    <w:rsid w:val="4EE74D90"/>
    <w:rsid w:val="4FDA22E7"/>
    <w:rsid w:val="505C65F8"/>
    <w:rsid w:val="51333046"/>
    <w:rsid w:val="51FF7392"/>
    <w:rsid w:val="52464196"/>
    <w:rsid w:val="536966BB"/>
    <w:rsid w:val="53A5521A"/>
    <w:rsid w:val="54333C3B"/>
    <w:rsid w:val="546E0E8E"/>
    <w:rsid w:val="54877138"/>
    <w:rsid w:val="555313D1"/>
    <w:rsid w:val="562356B7"/>
    <w:rsid w:val="5641394E"/>
    <w:rsid w:val="56BE6D1E"/>
    <w:rsid w:val="573E2EE0"/>
    <w:rsid w:val="57AA3927"/>
    <w:rsid w:val="58A67A6A"/>
    <w:rsid w:val="5A5359CF"/>
    <w:rsid w:val="5A6C083F"/>
    <w:rsid w:val="5A9850EC"/>
    <w:rsid w:val="5AE0168F"/>
    <w:rsid w:val="5B0942E0"/>
    <w:rsid w:val="5C3C3265"/>
    <w:rsid w:val="5C9F760F"/>
    <w:rsid w:val="5CF1327E"/>
    <w:rsid w:val="5D03345B"/>
    <w:rsid w:val="5DC60945"/>
    <w:rsid w:val="5DD22098"/>
    <w:rsid w:val="5E29319B"/>
    <w:rsid w:val="5ED8125B"/>
    <w:rsid w:val="5F34330D"/>
    <w:rsid w:val="5F4F2F8C"/>
    <w:rsid w:val="5F904FD0"/>
    <w:rsid w:val="5FA527C9"/>
    <w:rsid w:val="5FD0361E"/>
    <w:rsid w:val="5FF4476E"/>
    <w:rsid w:val="6076467B"/>
    <w:rsid w:val="62897956"/>
    <w:rsid w:val="63713D24"/>
    <w:rsid w:val="63A4086C"/>
    <w:rsid w:val="63B86140"/>
    <w:rsid w:val="64C035B3"/>
    <w:rsid w:val="653C5A43"/>
    <w:rsid w:val="6554519C"/>
    <w:rsid w:val="65EF122B"/>
    <w:rsid w:val="67737E73"/>
    <w:rsid w:val="67DD4B2A"/>
    <w:rsid w:val="682A5A3A"/>
    <w:rsid w:val="68ED400D"/>
    <w:rsid w:val="68F4647D"/>
    <w:rsid w:val="699E697C"/>
    <w:rsid w:val="69D04C59"/>
    <w:rsid w:val="6A043F8D"/>
    <w:rsid w:val="6A411122"/>
    <w:rsid w:val="6ADC77CB"/>
    <w:rsid w:val="6C164AAF"/>
    <w:rsid w:val="6C16685D"/>
    <w:rsid w:val="6C6E17B5"/>
    <w:rsid w:val="6CB42CAD"/>
    <w:rsid w:val="6EC258F8"/>
    <w:rsid w:val="6F234FEF"/>
    <w:rsid w:val="6FB619E3"/>
    <w:rsid w:val="70C355DB"/>
    <w:rsid w:val="7102506A"/>
    <w:rsid w:val="71540423"/>
    <w:rsid w:val="721E2F16"/>
    <w:rsid w:val="724834E8"/>
    <w:rsid w:val="728C5F96"/>
    <w:rsid w:val="73257F57"/>
    <w:rsid w:val="7343381E"/>
    <w:rsid w:val="736A3CE4"/>
    <w:rsid w:val="7430183F"/>
    <w:rsid w:val="74343931"/>
    <w:rsid w:val="74566AC3"/>
    <w:rsid w:val="74E02767"/>
    <w:rsid w:val="74E120FE"/>
    <w:rsid w:val="757840E4"/>
    <w:rsid w:val="76856E40"/>
    <w:rsid w:val="768631CF"/>
    <w:rsid w:val="76D12517"/>
    <w:rsid w:val="771C3AE2"/>
    <w:rsid w:val="772143CB"/>
    <w:rsid w:val="782A78DA"/>
    <w:rsid w:val="782D1944"/>
    <w:rsid w:val="787E1A12"/>
    <w:rsid w:val="79745EB1"/>
    <w:rsid w:val="7A0A19F3"/>
    <w:rsid w:val="7A262361"/>
    <w:rsid w:val="7A7F02DD"/>
    <w:rsid w:val="7AEA6202"/>
    <w:rsid w:val="7B8A438C"/>
    <w:rsid w:val="7C2823C0"/>
    <w:rsid w:val="7CDA5001"/>
    <w:rsid w:val="7D6F5BA1"/>
    <w:rsid w:val="7E527CDF"/>
    <w:rsid w:val="7E5A0B2A"/>
    <w:rsid w:val="7E6D54B9"/>
    <w:rsid w:val="7EC565EC"/>
    <w:rsid w:val="7F0A04A3"/>
    <w:rsid w:val="7F580700"/>
    <w:rsid w:val="7F6F45F5"/>
    <w:rsid w:val="7F921EA0"/>
    <w:rsid w:val="7F9D1317"/>
    <w:rsid w:val="7FCF5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99"/>
    <w:pPr>
      <w:keepNext/>
      <w:keepLines/>
      <w:spacing w:before="340" w:after="330" w:line="578" w:lineRule="auto"/>
      <w:outlineLvl w:val="0"/>
    </w:pPr>
    <w:rPr>
      <w:rFonts w:ascii="Calibri" w:hAnsi="Calibri"/>
      <w:b/>
      <w:bCs/>
      <w:kern w:val="44"/>
      <w:sz w:val="44"/>
      <w:szCs w:val="44"/>
    </w:rPr>
  </w:style>
  <w:style w:type="paragraph" w:styleId="3">
    <w:name w:val="heading 2"/>
    <w:basedOn w:val="1"/>
    <w:next w:val="4"/>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keepNext/>
      <w:keepLines/>
      <w:spacing w:before="260" w:after="260" w:line="416" w:lineRule="auto"/>
      <w:outlineLvl w:val="2"/>
    </w:pPr>
    <w:rPr>
      <w:rFonts w:ascii="Calibri" w:hAnsi="Calibri"/>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0"/>
    <w:pPr>
      <w:ind w:firstLine="420" w:firstLineChars="200"/>
    </w:pPr>
    <w:rPr>
      <w:rFonts w:ascii="Calibri" w:hAnsi="Calibri" w:eastAsia="宋体" w:cs="Times New Roman"/>
    </w:rPr>
  </w:style>
  <w:style w:type="paragraph" w:styleId="6">
    <w:name w:val="Document Map"/>
    <w:basedOn w:val="1"/>
    <w:qFormat/>
    <w:uiPriority w:val="99"/>
    <w:pPr>
      <w:shd w:val="clear" w:color="auto" w:fill="000080"/>
    </w:pPr>
    <w:rPr>
      <w:sz w:val="24"/>
    </w:rPr>
  </w:style>
  <w:style w:type="paragraph" w:styleId="7">
    <w:name w:val="Body Text"/>
    <w:basedOn w:val="1"/>
    <w:next w:val="8"/>
    <w:unhideWhenUsed/>
    <w:qFormat/>
    <w:uiPriority w:val="1"/>
    <w:pPr>
      <w:spacing w:after="120"/>
    </w:pPr>
    <w:rPr>
      <w:rFonts w:ascii="Times New Roman" w:hAnsi="Times New Roman"/>
    </w:rPr>
  </w:style>
  <w:style w:type="paragraph" w:styleId="8">
    <w:name w:val="toc 8"/>
    <w:basedOn w:val="1"/>
    <w:next w:val="1"/>
    <w:unhideWhenUsed/>
    <w:qFormat/>
    <w:uiPriority w:val="39"/>
    <w:pPr>
      <w:ind w:left="2940" w:leftChars="1400"/>
    </w:pPr>
    <w:rPr>
      <w:rFonts w:ascii="等线" w:hAnsi="等线" w:eastAsia="等线" w:cs="黑体"/>
    </w:rPr>
  </w:style>
  <w:style w:type="paragraph" w:styleId="9">
    <w:name w:val="Body Text Indent"/>
    <w:basedOn w:val="1"/>
    <w:qFormat/>
    <w:uiPriority w:val="0"/>
    <w:pPr>
      <w:spacing w:after="120"/>
      <w:ind w:left="420" w:leftChars="200"/>
    </w:pPr>
    <w:rPr>
      <w:sz w:val="24"/>
    </w:rPr>
  </w:style>
  <w:style w:type="paragraph" w:styleId="10">
    <w:name w:val="Plain Text"/>
    <w:basedOn w:val="1"/>
    <w:unhideWhenUsed/>
    <w:qFormat/>
    <w:uiPriority w:val="99"/>
    <w:rPr>
      <w:rFonts w:ascii="宋体" w:hAnsi="Courier New"/>
      <w:kern w:val="0"/>
      <w:sz w:val="20"/>
      <w:szCs w:val="20"/>
    </w:rPr>
  </w:style>
  <w:style w:type="paragraph" w:styleId="11">
    <w:name w:val="Date"/>
    <w:basedOn w:val="1"/>
    <w:next w:val="1"/>
    <w:qFormat/>
    <w:uiPriority w:val="0"/>
    <w:rPr>
      <w:sz w:val="24"/>
      <w:szCs w:val="20"/>
    </w:rPr>
  </w:style>
  <w:style w:type="paragraph" w:styleId="12">
    <w:name w:val="Balloon Text"/>
    <w:basedOn w:val="1"/>
    <w:link w:val="26"/>
    <w:qFormat/>
    <w:uiPriority w:val="0"/>
    <w:rPr>
      <w:sz w:val="18"/>
      <w:szCs w:val="18"/>
    </w:rPr>
  </w:style>
  <w:style w:type="paragraph" w:styleId="13">
    <w:name w:val="footer"/>
    <w:basedOn w:val="1"/>
    <w:link w:val="25"/>
    <w:qFormat/>
    <w:uiPriority w:val="99"/>
    <w:pPr>
      <w:tabs>
        <w:tab w:val="center" w:pos="4153"/>
        <w:tab w:val="right" w:pos="8306"/>
      </w:tabs>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0"/>
    <w:rPr>
      <w:b/>
    </w:rPr>
  </w:style>
  <w:style w:type="character" w:styleId="19">
    <w:name w:val="Hyperlink"/>
    <w:basedOn w:val="17"/>
    <w:qFormat/>
    <w:uiPriority w:val="0"/>
    <w:rPr>
      <w:color w:val="0000FF" w:themeColor="hyperlink"/>
      <w:u w:val="single"/>
      <w14:textFill>
        <w14:solidFill>
          <w14:schemeClr w14:val="hlink"/>
        </w14:solidFill>
      </w14:textFill>
    </w:rPr>
  </w:style>
  <w:style w:type="paragraph" w:customStyle="1" w:styleId="20">
    <w:name w:val="Default"/>
    <w:next w:val="1"/>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21">
    <w:name w:val="正文1"/>
    <w:basedOn w:val="1"/>
    <w:next w:val="1"/>
    <w:qFormat/>
    <w:uiPriority w:val="0"/>
    <w:pPr>
      <w:spacing w:line="360" w:lineRule="atLeast"/>
    </w:pPr>
    <w:rPr>
      <w:rFonts w:ascii="宋体" w:hAnsi="Calibri" w:eastAsia="宋体" w:cs="Times New Roman"/>
      <w:sz w:val="24"/>
      <w:szCs w:val="20"/>
    </w:rPr>
  </w:style>
  <w:style w:type="table" w:customStyle="1" w:styleId="22">
    <w:name w:val="Table Normal"/>
    <w:qFormat/>
    <w:uiPriority w:val="0"/>
    <w:tblPr>
      <w:tblCellMar>
        <w:top w:w="0" w:type="dxa"/>
        <w:left w:w="0" w:type="dxa"/>
        <w:bottom w:w="0" w:type="dxa"/>
        <w:right w:w="0" w:type="dxa"/>
      </w:tblCellMar>
    </w:tblPr>
  </w:style>
  <w:style w:type="paragraph" w:customStyle="1" w:styleId="23">
    <w:name w:val="Char"/>
    <w:basedOn w:val="1"/>
    <w:qFormat/>
    <w:uiPriority w:val="0"/>
    <w:pPr>
      <w:tabs>
        <w:tab w:val="left" w:pos="360"/>
      </w:tabs>
      <w:ind w:firstLine="200" w:firstLineChars="200"/>
    </w:pPr>
    <w:rPr>
      <w:rFonts w:ascii="Times New Roman" w:hAnsi="Times New Roman" w:eastAsia="宋体" w:cs="Times New Roman"/>
      <w:sz w:val="28"/>
      <w:szCs w:val="30"/>
    </w:rPr>
  </w:style>
  <w:style w:type="paragraph" w:styleId="24">
    <w:name w:val="List Paragraph"/>
    <w:basedOn w:val="1"/>
    <w:unhideWhenUsed/>
    <w:qFormat/>
    <w:uiPriority w:val="99"/>
    <w:pPr>
      <w:ind w:firstLine="420" w:firstLineChars="200"/>
    </w:pPr>
  </w:style>
  <w:style w:type="character" w:customStyle="1" w:styleId="25">
    <w:name w:val="页脚 Char"/>
    <w:basedOn w:val="17"/>
    <w:link w:val="13"/>
    <w:qFormat/>
    <w:uiPriority w:val="99"/>
    <w:rPr>
      <w:rFonts w:ascii="Arial" w:hAnsi="Arial" w:eastAsia="Arial" w:cs="Arial"/>
      <w:snapToGrid w:val="0"/>
      <w:color w:val="000000"/>
      <w:sz w:val="18"/>
      <w:szCs w:val="21"/>
    </w:rPr>
  </w:style>
  <w:style w:type="character" w:customStyle="1" w:styleId="26">
    <w:name w:val="批注框文本 Char"/>
    <w:basedOn w:val="17"/>
    <w:link w:val="12"/>
    <w:qFormat/>
    <w:uiPriority w:val="0"/>
    <w:rPr>
      <w:rFonts w:ascii="Arial" w:hAnsi="Arial" w:eastAsia="Arial" w:cs="Arial"/>
      <w:snapToGrid w:val="0"/>
      <w:color w:val="000000"/>
      <w:sz w:val="18"/>
      <w:szCs w:val="18"/>
    </w:rPr>
  </w:style>
  <w:style w:type="paragraph" w:customStyle="1" w:styleId="27">
    <w:name w:val="Table Text"/>
    <w:basedOn w:val="1"/>
    <w:semiHidden/>
    <w:qFormat/>
    <w:uiPriority w:val="0"/>
    <w:rPr>
      <w:rFonts w:ascii="仿宋" w:hAnsi="仿宋" w:eastAsia="仿宋" w:cs="仿宋"/>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AF105A-47DB-41FA-94E3-241D8E2A7E06}">
  <ds:schemaRefs/>
</ds:datastoreItem>
</file>

<file path=docProps/app.xml><?xml version="1.0" encoding="utf-8"?>
<Properties xmlns="http://schemas.openxmlformats.org/officeDocument/2006/extended-properties" xmlns:vt="http://schemas.openxmlformats.org/officeDocument/2006/docPropsVTypes">
  <Template>Normal</Template>
  <Pages>44</Pages>
  <Words>19473</Words>
  <Characters>20900</Characters>
  <Lines>172</Lines>
  <Paragraphs>48</Paragraphs>
  <TotalTime>18</TotalTime>
  <ScaleCrop>false</ScaleCrop>
  <LinksUpToDate>false</LinksUpToDate>
  <CharactersWithSpaces>21748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2022-05-18T09:46:00Z</dcterms:created>
  <dc:creator>XT1</dc:creator>
  <cp:lastModifiedBy>郑鑫</cp:lastModifiedBy>
  <cp:lastPrinted>2025-08-08T02:10:00Z</cp:lastPrinted>
  <dcterms:modified xsi:type="dcterms:W3CDTF">2025-10-13T07:21:26Z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2023-05-12T15:07:55Z</vt:filetime>
  </property>
  <property fmtid="{D5CDD505-2E9C-101B-9397-08002B2CF9AE}" pid="4" name="KSOProductBuildVer">
    <vt:lpwstr>2052-12.1.0.22529</vt:lpwstr>
  </property>
  <property fmtid="{D5CDD505-2E9C-101B-9397-08002B2CF9AE}" pid="5" name="ICV">
    <vt:lpwstr>36796F2D97A846BAB6488241F3A52915_12</vt:lpwstr>
  </property>
  <property fmtid="{D5CDD505-2E9C-101B-9397-08002B2CF9AE}" pid="6" name="KSOTemplateDocerSaveRecord">
    <vt:lpwstr>eyJoZGlkIjoiZjAyYzJjMDdiNWVkNjk3MWZhNzQwNjc3MjEzMGVjMjYiLCJ1c2VySWQiOiIyMjc0MzI2NTkifQ==</vt:lpwstr>
  </property>
</Properties>
</file>