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rPr>
          <w:rFonts w:ascii="宋体" w:hAnsi="宋体"/>
          <w:b/>
          <w:bCs/>
          <w:color w:val="auto"/>
          <w:sz w:val="36"/>
          <w:highlight w:val="none"/>
        </w:rPr>
      </w:pPr>
      <w:r>
        <w:rPr>
          <w:rFonts w:hint="eastAsia" w:ascii="宋体" w:hAnsi="宋体"/>
          <w:b/>
          <w:bCs/>
          <w:color w:val="auto"/>
          <w:sz w:val="36"/>
          <w:highlight w:val="none"/>
        </w:rPr>
        <w:t xml:space="preserve">编号：</w:t>
      </w:r>
      <w:r>
        <w:rPr>
          <w:rFonts w:hint="eastAsia" w:ascii="宋体" w:hAnsi="宋体"/>
          <w:b/>
          <w:bCs/>
          <w:color w:val="auto"/>
          <w:sz w:val="36"/>
          <w:highlight w:val="none"/>
          <w:lang w:eastAsia="zh-CN"/>
        </w:rPr>
        <w:t xml:space="preserve">JSZC-321000-YZSJ-G2026-0001号</w:t>
      </w:r>
      <w:r/>
    </w:p>
    <w:p>
      <w:pPr>
        <w:jc w:val="center"/>
        <w:rPr>
          <w:rFonts w:ascii="宋体" w:hAnsi="宋体"/>
          <w:b/>
          <w:bCs/>
          <w:color w:val="auto"/>
          <w:sz w:val="36"/>
          <w:highlight w:val="none"/>
        </w:rPr>
      </w:pPr>
      <w:r>
        <w:rPr>
          <w:rFonts w:ascii="宋体" w:hAnsi="宋体"/>
          <w:b/>
          <w:bCs/>
          <w:color w:val="auto"/>
          <w:sz w:val="36"/>
          <w:highlight w:val="none"/>
        </w:rPr>
      </w:r>
      <w:r/>
    </w:p>
    <w:p>
      <w:pPr>
        <w:jc w:val="center"/>
        <w:spacing w:line="360" w:lineRule="auto"/>
        <w:rPr>
          <w:rFonts w:ascii="宋体" w:hAnsi="宋体" w:cs="Times New Roman"/>
          <w:b/>
          <w:bCs/>
          <w:color w:val="auto"/>
          <w:sz w:val="36"/>
          <w:highlight w:val="none"/>
        </w:rPr>
      </w:pPr>
      <w:r>
        <w:rPr>
          <w:rFonts w:ascii="宋体" w:hAnsi="宋体" w:cs="Times New Roman"/>
          <w:b/>
          <w:bCs/>
          <w:color w:val="auto"/>
          <w:sz w:val="36"/>
          <w:highlight w:val="none"/>
        </w:rPr>
      </w:r>
      <w:r/>
    </w:p>
    <w:p>
      <w:pPr>
        <w:jc w:val="center"/>
        <w:spacing w:line="360" w:lineRule="auto"/>
        <w:rPr>
          <w:rFonts w:hint="eastAsia" w:ascii="宋体" w:hAnsi="宋体" w:cs="Times New Roman"/>
          <w:b/>
          <w:bCs/>
          <w:color w:val="auto"/>
          <w:sz w:val="36"/>
          <w:highlight w:val="none"/>
          <w:lang w:eastAsia="zh-CN"/>
        </w:rPr>
      </w:pPr>
      <w:r>
        <w:rPr>
          <w:rFonts w:hint="eastAsia" w:ascii="宋体" w:hAnsi="宋体" w:cs="Times New Roman"/>
          <w:b/>
          <w:bCs/>
          <w:color w:val="auto"/>
          <w:sz w:val="36"/>
          <w:highlight w:val="none"/>
          <w:lang w:eastAsia="zh-CN"/>
        </w:rPr>
        <w:t xml:space="preserve">扬州市《海绵示范城市系统化建设方案》</w:t>
      </w:r>
      <w:bookmarkStart w:id="64" w:name="_GoBack"/>
      <w:r/>
      <w:bookmarkEnd w:id="64"/>
      <w:r>
        <w:rPr>
          <w:rFonts w:hint="eastAsia" w:ascii="宋体" w:hAnsi="宋体" w:cs="Times New Roman"/>
          <w:b/>
          <w:bCs/>
          <w:color w:val="auto"/>
          <w:sz w:val="36"/>
          <w:highlight w:val="none"/>
          <w:lang w:eastAsia="zh-CN"/>
        </w:rPr>
        <w:t xml:space="preserve">及海绵</w:t>
      </w:r>
      <w:r/>
    </w:p>
    <w:p>
      <w:pPr>
        <w:jc w:val="center"/>
        <w:spacing w:line="360" w:lineRule="auto"/>
        <w:rPr>
          <w:rFonts w:ascii="宋体" w:hAnsi="宋体" w:cs="Times New Roman"/>
          <w:b/>
          <w:bCs/>
          <w:color w:val="auto"/>
          <w:sz w:val="36"/>
          <w:highlight w:val="none"/>
        </w:rPr>
      </w:pPr>
      <w:r>
        <w:rPr>
          <w:rFonts w:hint="eastAsia" w:ascii="宋体" w:hAnsi="宋体" w:cs="Times New Roman"/>
          <w:b/>
          <w:bCs/>
          <w:color w:val="auto"/>
          <w:sz w:val="36"/>
          <w:highlight w:val="none"/>
          <w:lang w:eastAsia="zh-CN"/>
        </w:rPr>
        <w:t xml:space="preserve">城市成果凝练总结采购项目</w:t>
      </w:r>
      <w:r>
        <w:rPr>
          <w:rFonts w:hint="eastAsia" w:ascii="宋体" w:hAnsi="宋体" w:cs="Times New Roman"/>
          <w:b/>
          <w:bCs/>
          <w:color w:val="auto"/>
          <w:sz w:val="36"/>
          <w:highlight w:val="none"/>
        </w:rPr>
        <w:t xml:space="preserve">公开招标文件</w:t>
      </w:r>
      <w:r/>
    </w:p>
    <w:p>
      <w:pPr>
        <w:pStyle w:val="769"/>
        <w:rPr>
          <w:color w:val="auto"/>
          <w:highlight w:val="none"/>
        </w:rPr>
      </w:pPr>
      <w:r>
        <w:rPr>
          <w:color w:val="auto"/>
          <w:highlight w:val="none"/>
        </w:rPr>
      </w:r>
      <w:r/>
    </w:p>
    <w:p>
      <w:r/>
      <w:r/>
    </w:p>
    <w:p>
      <w:pPr>
        <w:jc w:val="center"/>
        <w:rPr>
          <w:rFonts w:ascii="宋体" w:hAnsi="宋体"/>
          <w:color w:val="auto"/>
          <w:sz w:val="36"/>
          <w:highlight w:val="none"/>
        </w:rPr>
      </w:pPr>
      <w:r>
        <w:rPr>
          <w:rFonts w:ascii="宋体" w:hAnsi="宋体"/>
          <w:color w:val="auto"/>
          <w:sz w:val="36"/>
          <w:highlight w:val="none"/>
        </w:rPr>
        <mc:AlternateContent>
          <mc:Choice Requires="wpg">
            <w:drawing>
              <wp:inline xmlns:wp="http://schemas.openxmlformats.org/drawingml/2006/wordprocessingDrawing" distT="0" distB="0" distL="0" distR="0">
                <wp:extent cx="5448300" cy="3686175"/>
                <wp:effectExtent l="0" t="0" r="0" b="9525"/>
                <wp:docPr id="2" name="图片框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框 1025"/>
                        <pic:cNvPicPr>
                          <a:picLocks noChangeAspect="1"/>
                        </pic:cNvPicPr>
                        <pic:nvPr/>
                      </pic:nvPicPr>
                      <pic:blipFill>
                        <a:blip r:embed="rId16">
                          <a:lum/>
                        </a:blip>
                        <a:stretch/>
                      </pic:blipFill>
                      <pic:spPr bwMode="auto">
                        <a:xfrm>
                          <a:off x="0" y="0"/>
                          <a:ext cx="5448300" cy="3686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9.0pt;height:290.2pt;mso-wrap-distance-left:0.0pt;mso-wrap-distance-top:0.0pt;mso-wrap-distance-right:0.0pt;mso-wrap-distance-bottom:0.0pt;" stroked="f">
                <v:path textboxrect="0,0,0,0"/>
                <v:imagedata r:id="rId16" o:title=""/>
              </v:shape>
            </w:pict>
          </mc:Fallback>
        </mc:AlternateContent>
      </w:r>
      <w:r/>
    </w:p>
    <w:p>
      <w:pPr>
        <w:pStyle w:val="977"/>
        <w:rPr>
          <w:color w:val="auto"/>
          <w:highlight w:val="none"/>
        </w:rPr>
      </w:pPr>
      <w:r>
        <w:rPr>
          <w:color w:val="auto"/>
          <w:highlight w:val="none"/>
        </w:rPr>
      </w:r>
      <w:r/>
    </w:p>
    <w:p>
      <w:pPr>
        <w:ind w:firstLine="964"/>
        <w:spacing w:line="360" w:lineRule="auto"/>
        <w:rPr>
          <w:rFonts w:hint="eastAsia" w:ascii="宋体" w:hAnsi="宋体" w:eastAsia="宋体"/>
          <w:b/>
          <w:bCs/>
          <w:sz w:val="32"/>
          <w:szCs w:val="32"/>
          <w:lang w:eastAsia="zh-CN"/>
        </w:rPr>
      </w:pPr>
      <w:r>
        <w:rPr>
          <w:rFonts w:hint="eastAsia" w:ascii="宋体" w:hAnsi="宋体"/>
          <w:b/>
          <w:bCs/>
          <w:sz w:val="32"/>
          <w:szCs w:val="32"/>
        </w:rPr>
        <w:t xml:space="preserve">采  购  人 ：</w:t>
      </w:r>
      <w:r>
        <w:rPr>
          <w:rFonts w:hint="eastAsia" w:ascii="宋体" w:hAnsi="宋体"/>
          <w:b/>
          <w:bCs/>
          <w:sz w:val="32"/>
          <w:szCs w:val="32"/>
          <w:lang w:eastAsia="zh-CN"/>
        </w:rPr>
        <w:t xml:space="preserve">扬州市住房和城乡建设局</w:t>
      </w:r>
      <w:r/>
    </w:p>
    <w:p>
      <w:pPr>
        <w:ind w:firstLine="964"/>
        <w:spacing w:line="360" w:lineRule="auto"/>
        <w:rPr>
          <w:rFonts w:hint="eastAsia" w:ascii="宋体" w:hAnsi="宋体" w:eastAsia="宋体"/>
          <w:b/>
          <w:bCs/>
          <w:sz w:val="32"/>
          <w:szCs w:val="32"/>
          <w:lang w:eastAsia="zh-CN"/>
        </w:rPr>
      </w:pPr>
      <w:r>
        <w:rPr>
          <w:rFonts w:hint="eastAsia" w:ascii="宋体" w:hAnsi="宋体"/>
          <w:b/>
          <w:bCs/>
          <w:sz w:val="32"/>
          <w:szCs w:val="32"/>
        </w:rPr>
        <w:t xml:space="preserve">采购代理机构：</w:t>
      </w:r>
      <w:r>
        <w:rPr>
          <w:rFonts w:hint="eastAsia" w:ascii="宋体" w:hAnsi="宋体"/>
          <w:b/>
          <w:bCs/>
          <w:sz w:val="32"/>
          <w:szCs w:val="32"/>
          <w:lang w:eastAsia="zh-CN"/>
        </w:rPr>
        <w:t xml:space="preserve">扬州市建苑工程监理有限责任公司</w:t>
      </w:r>
      <w:r/>
    </w:p>
    <w:p>
      <w:pPr>
        <w:ind w:firstLine="964"/>
        <w:spacing w:line="360" w:lineRule="auto"/>
        <w:rPr>
          <w:rFonts w:ascii="宋体" w:hAnsi="宋体"/>
          <w:b/>
          <w:bCs/>
          <w:sz w:val="32"/>
          <w:szCs w:val="32"/>
        </w:rPr>
      </w:pPr>
      <w:r>
        <w:rPr>
          <w:rFonts w:hint="eastAsia" w:ascii="宋体" w:hAnsi="宋体"/>
          <w:b/>
          <w:bCs/>
          <w:sz w:val="32"/>
          <w:szCs w:val="32"/>
        </w:rPr>
        <w:t xml:space="preserve">发</w:t>
      </w:r>
      <w:r>
        <w:rPr>
          <w:rFonts w:ascii="宋体" w:hAnsi="宋体"/>
          <w:b/>
          <w:bCs/>
          <w:sz w:val="32"/>
          <w:szCs w:val="32"/>
        </w:rPr>
        <w:t xml:space="preserve"> </w:t>
      </w:r>
      <w:r>
        <w:rPr>
          <w:rFonts w:hint="eastAsia" w:ascii="宋体" w:hAnsi="宋体"/>
          <w:b/>
          <w:bCs/>
          <w:sz w:val="32"/>
          <w:szCs w:val="32"/>
        </w:rPr>
        <w:t xml:space="preserve">放</w:t>
      </w:r>
      <w:r>
        <w:rPr>
          <w:rFonts w:ascii="宋体" w:hAnsi="宋体"/>
          <w:b/>
          <w:bCs/>
          <w:sz w:val="32"/>
          <w:szCs w:val="32"/>
        </w:rPr>
        <w:t xml:space="preserve"> </w:t>
      </w:r>
      <w:r>
        <w:rPr>
          <w:rFonts w:hint="eastAsia" w:ascii="宋体" w:hAnsi="宋体"/>
          <w:b/>
          <w:bCs/>
          <w:sz w:val="32"/>
          <w:szCs w:val="32"/>
        </w:rPr>
        <w:t xml:space="preserve">日</w:t>
      </w:r>
      <w:r>
        <w:rPr>
          <w:rFonts w:ascii="宋体" w:hAnsi="宋体"/>
          <w:b/>
          <w:bCs/>
          <w:sz w:val="32"/>
          <w:szCs w:val="32"/>
        </w:rPr>
        <w:t xml:space="preserve"> </w:t>
      </w:r>
      <w:r>
        <w:rPr>
          <w:rFonts w:hint="eastAsia" w:ascii="宋体" w:hAnsi="宋体"/>
          <w:b/>
          <w:bCs/>
          <w:sz w:val="32"/>
          <w:szCs w:val="32"/>
        </w:rPr>
        <w:t xml:space="preserve">期：20</w:t>
      </w:r>
      <w:r>
        <w:rPr>
          <w:rFonts w:hint="eastAsia" w:ascii="宋体" w:hAnsi="宋体"/>
          <w:b/>
          <w:bCs/>
          <w:sz w:val="32"/>
          <w:szCs w:val="32"/>
          <w:lang w:val="en-US" w:eastAsia="zh-CN"/>
        </w:rPr>
        <w:t xml:space="preserve">26</w:t>
      </w:r>
      <w:r>
        <w:rPr>
          <w:rFonts w:hint="eastAsia" w:ascii="宋体" w:hAnsi="宋体"/>
          <w:b/>
          <w:bCs/>
          <w:sz w:val="32"/>
          <w:szCs w:val="32"/>
        </w:rPr>
        <w:t xml:space="preserve">年</w:t>
      </w:r>
      <w:r>
        <w:rPr>
          <w:rFonts w:hint="eastAsia" w:ascii="宋体" w:hAnsi="宋体"/>
          <w:b/>
          <w:bCs/>
          <w:sz w:val="32"/>
          <w:szCs w:val="32"/>
          <w:lang w:val="en-US" w:eastAsia="zh-CN"/>
        </w:rPr>
        <w:t xml:space="preserve">1</w:t>
      </w:r>
      <w:r>
        <w:rPr>
          <w:rFonts w:hint="eastAsia" w:ascii="宋体" w:hAnsi="宋体"/>
          <w:b/>
          <w:bCs/>
          <w:sz w:val="32"/>
          <w:szCs w:val="32"/>
        </w:rPr>
        <w:t xml:space="preserve">月</w:t>
      </w:r>
      <w:r>
        <w:rPr>
          <w:rFonts w:hint="eastAsia" w:ascii="宋体" w:hAnsi="宋体"/>
          <w:b/>
          <w:bCs/>
          <w:sz w:val="32"/>
          <w:szCs w:val="32"/>
          <w:lang w:val="en-US" w:eastAsia="zh-CN"/>
        </w:rPr>
        <w:t xml:space="preserve">23</w:t>
      </w:r>
      <w:r>
        <w:rPr>
          <w:rFonts w:hint="eastAsia" w:ascii="宋体" w:hAnsi="宋体"/>
          <w:b/>
          <w:bCs/>
          <w:sz w:val="32"/>
          <w:szCs w:val="32"/>
        </w:rPr>
        <w:t xml:space="preserve">日</w:t>
      </w:r>
      <w:r/>
    </w:p>
    <w:p>
      <w:pPr>
        <w:rPr>
          <w:rFonts w:ascii="宋体" w:hAnsi="宋体"/>
          <w:color w:val="auto"/>
          <w:sz w:val="32"/>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auto"/>
          <w:sz w:val="32"/>
          <w:highlight w:val="none"/>
        </w:rPr>
      </w:r>
      <w:r/>
    </w:p>
    <w:p>
      <w:pPr>
        <w:rPr>
          <w:rFonts w:ascii="宋体" w:hAnsi="宋体"/>
          <w:color w:val="auto"/>
          <w:sz w:val="32"/>
          <w:highlight w:val="none"/>
        </w:rPr>
      </w:pPr>
      <w:r>
        <w:rPr>
          <w:rFonts w:ascii="宋体" w:hAnsi="宋体"/>
          <w:color w:val="auto"/>
          <w:sz w:val="32"/>
          <w:highlight w:val="none"/>
        </w:rPr>
      </w:r>
      <w:r/>
    </w:p>
    <w:p>
      <w:pPr>
        <w:jc w:val="center"/>
        <w:spacing w:line="480" w:lineRule="auto"/>
        <w:rPr>
          <w:rFonts w:ascii="宋体" w:hAnsi="宋体"/>
          <w:color w:val="auto"/>
          <w:sz w:val="32"/>
          <w:highlight w:val="none"/>
        </w:rPr>
      </w:pPr>
      <w:r>
        <w:rPr>
          <w:rFonts w:hint="eastAsia" w:ascii="宋体" w:hAnsi="宋体"/>
          <w:color w:val="auto"/>
          <w:sz w:val="32"/>
          <w:highlight w:val="none"/>
        </w:rPr>
        <w:t xml:space="preserve">目 录</w:t>
      </w:r>
      <w:r/>
    </w:p>
    <w:p>
      <w:pPr>
        <w:pStyle w:val="999"/>
        <w:spacing w:line="480" w:lineRule="auto"/>
        <w:tabs>
          <w:tab w:val="right" w:pos="8296" w:leader="dot"/>
        </w:tabs>
        <w:rPr>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 </w:t>
      </w:r>
      <w:r>
        <w:rPr>
          <w:rFonts w:hint="eastAsia" w:ascii="宋体" w:hAnsi="宋体"/>
          <w:color w:val="auto"/>
          <w:szCs w:val="36"/>
          <w:highlight w:val="none"/>
        </w:rPr>
        <w:t xml:space="preserve">采购公告</w:t>
      </w:r>
      <w:r>
        <w:rPr>
          <w:rFonts w:hint="eastAsia"/>
          <w:color w:val="auto"/>
          <w:highlight w:val="none"/>
        </w:rPr>
        <w:tab/>
      </w:r>
      <w:r>
        <w:rPr>
          <w:rFonts w:hint="eastAsia"/>
          <w:color w:val="auto"/>
          <w:highlight w:val="none"/>
        </w:rPr>
        <w:t xml:space="preserve">3</w:t>
      </w:r>
      <w:r/>
    </w:p>
    <w:p>
      <w:pPr>
        <w:pStyle w:val="999"/>
        <w:spacing w:line="480" w:lineRule="auto"/>
        <w:tabs>
          <w:tab w:val="right" w:pos="8296" w:leader="dot"/>
        </w:tabs>
        <w:rPr>
          <w:color w:val="auto"/>
          <w:highlight w:val="none"/>
        </w:rPr>
      </w:pPr>
      <w:r>
        <w:rPr>
          <w:rFonts w:hint="eastAsia" w:ascii="宋体" w:hAnsi="宋体"/>
          <w:color w:val="auto"/>
          <w:highlight w:val="none"/>
        </w:rPr>
        <w:t xml:space="preserve">第二章 投标人须知</w:t>
      </w:r>
      <w:r>
        <w:rPr>
          <w:rFonts w:hint="eastAsia"/>
          <w:color w:val="auto"/>
          <w:highlight w:val="none"/>
        </w:rPr>
        <w:tab/>
      </w:r>
      <w:r>
        <w:rPr>
          <w:rFonts w:hint="eastAsia"/>
          <w:color w:val="auto"/>
          <w:highlight w:val="none"/>
        </w:rPr>
        <w:t xml:space="preserve">7</w:t>
      </w:r>
      <w:r/>
    </w:p>
    <w:p>
      <w:pPr>
        <w:pStyle w:val="999"/>
        <w:spacing w:line="480" w:lineRule="auto"/>
        <w:tabs>
          <w:tab w:val="right" w:pos="8296" w:leader="dot"/>
        </w:tabs>
        <w:rPr>
          <w:color w:val="auto"/>
          <w:highlight w:val="none"/>
        </w:rPr>
      </w:pPr>
      <w:r>
        <w:rPr>
          <w:rFonts w:hint="eastAsia" w:ascii="宋体" w:hAnsi="宋体"/>
          <w:color w:val="auto"/>
          <w:highlight w:val="none"/>
        </w:rPr>
        <w:t xml:space="preserve">第三章 合同条款及格式</w:t>
      </w:r>
      <w:r>
        <w:rPr>
          <w:rFonts w:hint="eastAsia"/>
          <w:color w:val="auto"/>
          <w:highlight w:val="none"/>
        </w:rPr>
        <w:tab/>
      </w:r>
      <w:r>
        <w:rPr>
          <w:rFonts w:hint="eastAsia"/>
          <w:color w:val="auto"/>
          <w:highlight w:val="none"/>
        </w:rPr>
        <w:t xml:space="preserve">18</w:t>
      </w:r>
      <w:r/>
    </w:p>
    <w:p>
      <w:pPr>
        <w:pStyle w:val="999"/>
        <w:spacing w:line="480" w:lineRule="auto"/>
        <w:tabs>
          <w:tab w:val="right" w:pos="8296" w:leader="dot"/>
        </w:tabs>
        <w:rPr>
          <w:color w:val="auto"/>
          <w:highlight w:val="none"/>
        </w:rPr>
      </w:pPr>
      <w:r>
        <w:rPr>
          <w:rFonts w:hint="eastAsia"/>
          <w:color w:val="auto"/>
          <w:highlight w:val="none"/>
        </w:rPr>
        <w:t xml:space="preserve">第四章 项目需求</w:t>
      </w:r>
      <w:r>
        <w:rPr>
          <w:rFonts w:hint="eastAsia"/>
          <w:color w:val="auto"/>
          <w:highlight w:val="none"/>
        </w:rPr>
        <w:tab/>
      </w:r>
      <w:r>
        <w:rPr>
          <w:rFonts w:hint="eastAsia"/>
          <w:color w:val="auto"/>
          <w:highlight w:val="none"/>
        </w:rPr>
        <w:t xml:space="preserve">23</w:t>
      </w:r>
      <w:r/>
    </w:p>
    <w:p>
      <w:pPr>
        <w:pStyle w:val="999"/>
        <w:spacing w:line="480" w:lineRule="auto"/>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第五章 评标方法及评标标准</w:t>
      </w:r>
      <w:r>
        <w:rPr>
          <w:rFonts w:hint="eastAsia"/>
          <w:color w:val="auto"/>
          <w:highlight w:val="none"/>
        </w:rPr>
        <w:tab/>
      </w:r>
      <w:r>
        <w:rPr>
          <w:rFonts w:hint="eastAsia"/>
          <w:color w:val="auto"/>
          <w:highlight w:val="none"/>
          <w:lang w:val="en-US" w:eastAsia="zh-CN"/>
        </w:rPr>
        <w:t xml:space="preserve">25</w:t>
      </w:r>
      <w:r/>
    </w:p>
    <w:p>
      <w:pPr>
        <w:pStyle w:val="999"/>
        <w:spacing w:line="480" w:lineRule="auto"/>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第六章 投标文件格式</w:t>
      </w:r>
      <w:r>
        <w:rPr>
          <w:rFonts w:hint="eastAsia"/>
          <w:color w:val="auto"/>
          <w:highlight w:val="none"/>
        </w:rPr>
        <w:tab/>
      </w:r>
      <w:r>
        <w:rPr>
          <w:rFonts w:hint="eastAsia"/>
          <w:color w:val="auto"/>
          <w:highlight w:val="none"/>
          <w:lang w:val="en-US" w:eastAsia="zh-CN"/>
        </w:rPr>
        <w:t xml:space="preserve">31</w:t>
      </w:r>
      <w:r/>
    </w:p>
    <w:p>
      <w:pPr>
        <w:spacing w:line="480" w:lineRule="auto"/>
        <w:rPr>
          <w:rFonts w:ascii="宋体" w:hAnsi="宋体"/>
          <w:color w:val="auto"/>
          <w:sz w:val="28"/>
          <w:highlight w:val="none"/>
        </w:rPr>
      </w:pPr>
      <w:r>
        <w:rPr>
          <w:rFonts w:hint="eastAsia" w:ascii="宋体" w:hAnsi="宋体"/>
          <w:color w:val="auto"/>
          <w:sz w:val="28"/>
          <w:highlight w:val="none"/>
        </w:rPr>
        <w:fldChar w:fldCharType="end"/>
      </w:r>
      <w:r/>
    </w:p>
    <w:p>
      <w:pPr>
        <w:rPr>
          <w:color w:val="auto"/>
          <w:highlight w:val="none"/>
        </w:rPr>
      </w:pPr>
      <w:r>
        <w:rPr>
          <w:rFonts w:hint="eastAsia" w:ascii="宋体" w:hAnsi="宋体"/>
          <w:color w:val="auto"/>
          <w:sz w:val="28"/>
          <w:highlight w:val="none"/>
        </w:rPr>
        <w:br w:type="page" w:clear="all"/>
      </w:r>
      <w:r/>
    </w:p>
    <w:p>
      <w:pPr>
        <w:pStyle w:val="974"/>
        <w:numPr>
          <w:ilvl w:val="0"/>
          <w:numId w:val="1"/>
        </w:numPr>
        <w:jc w:val="center"/>
        <w:spacing w:line="240" w:lineRule="auto"/>
        <w:rPr>
          <w:rFonts w:ascii="宋体" w:hAnsi="宋体"/>
          <w:color w:val="auto"/>
          <w:sz w:val="36"/>
          <w:szCs w:val="28"/>
          <w:highlight w:val="none"/>
        </w:rPr>
      </w:pPr>
      <w:r/>
      <w:bookmarkStart w:id="0" w:name="_Toc55204177"/>
      <w:r>
        <w:rPr>
          <w:rFonts w:hint="eastAsia" w:ascii="宋体" w:hAnsi="宋体"/>
          <w:color w:val="auto"/>
          <w:sz w:val="36"/>
          <w:szCs w:val="28"/>
          <w:highlight w:val="none"/>
          <w:lang w:eastAsia="zh-CN"/>
        </w:rPr>
        <w:t xml:space="preserve">扬州市《海绵示范城市系统化建设方案》及海绵城市成果凝练总结采购项目</w:t>
      </w:r>
      <w:r>
        <w:rPr>
          <w:rFonts w:hint="eastAsia" w:ascii="宋体" w:hAnsi="宋体"/>
          <w:color w:val="auto"/>
          <w:sz w:val="36"/>
          <w:szCs w:val="28"/>
          <w:highlight w:val="none"/>
        </w:rPr>
        <w:t xml:space="preserve">采购公告</w:t>
      </w:r>
      <w:bookmarkEnd w:id="0"/>
      <w:r/>
      <w:r/>
    </w:p>
    <w:p>
      <w:pPr>
        <w:ind w:firstLine="422"/>
        <w:spacing w:line="440" w:lineRule="exact"/>
        <w:rPr>
          <w:rFonts w:ascii="宋体" w:hAnsi="宋体" w:cs="宋体"/>
          <w:b/>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szCs w:val="21"/>
          <w:highlight w:val="none"/>
        </w:rPr>
        <w:t xml:space="preserve">项目概况</w:t>
      </w:r>
      <w:r/>
    </w:p>
    <w:p>
      <w:pPr>
        <w:ind w:firstLine="420"/>
        <w:spacing w:line="440" w:lineRule="exact"/>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扬州市《海绵示范城市系统化建设方案》及海绵城市成果凝练总结采购项目</w:t>
      </w:r>
      <w:r>
        <w:rPr>
          <w:rFonts w:hint="eastAsia" w:ascii="宋体" w:hAnsi="宋体" w:cs="宋体"/>
          <w:color w:val="auto"/>
          <w:szCs w:val="21"/>
          <w:highlight w:val="none"/>
        </w:rPr>
        <w:t xml:space="preserve">的潜在投标人可在</w:t>
      </w:r>
      <w:r>
        <w:rPr>
          <w:rFonts w:hint="eastAsia" w:ascii="宋体" w:hAnsi="宋体" w:cs="宋体"/>
          <w:color w:val="auto"/>
          <w:szCs w:val="21"/>
          <w:highlight w:val="none"/>
          <w:u w:val="single"/>
        </w:rPr>
        <w:t xml:space="preserve">“扬州市政府采购网”、“江苏省政府采购网”</w:t>
      </w:r>
      <w:r>
        <w:rPr>
          <w:rFonts w:hint="eastAsia" w:ascii="宋体" w:hAnsi="宋体" w:cs="宋体"/>
          <w:color w:val="auto"/>
          <w:szCs w:val="21"/>
          <w:highlight w:val="none"/>
        </w:rPr>
        <w:t xml:space="preserve">自行免费下载招标文件，并于</w:t>
      </w:r>
      <w:r>
        <w:rPr>
          <w:rFonts w:hint="eastAsia" w:ascii="宋体" w:hAnsi="宋体" w:cs="宋体"/>
          <w:bCs/>
          <w:color w:val="auto"/>
          <w:szCs w:val="21"/>
          <w:highlight w:val="none"/>
          <w:u w:val="single"/>
        </w:rPr>
        <w:t xml:space="preserve">20</w:t>
      </w:r>
      <w:r>
        <w:rPr>
          <w:rFonts w:hint="eastAsia" w:ascii="宋体" w:hAnsi="宋体" w:cs="宋体"/>
          <w:bCs/>
          <w:color w:val="auto"/>
          <w:szCs w:val="21"/>
          <w:highlight w:val="none"/>
          <w:u w:val="single"/>
          <w:lang w:val="en-US" w:eastAsia="zh-CN"/>
        </w:rPr>
        <w:t xml:space="preserve">26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2</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12</w:t>
      </w:r>
      <w:r>
        <w:rPr>
          <w:rFonts w:hint="eastAsia" w:ascii="宋体" w:hAnsi="宋体" w:cs="宋体"/>
          <w:bCs/>
          <w:color w:val="auto"/>
          <w:szCs w:val="21"/>
          <w:highlight w:val="none"/>
          <w:u w:val="single"/>
        </w:rPr>
        <w:t xml:space="preserve">日14:30</w:t>
      </w:r>
      <w:r>
        <w:rPr>
          <w:rFonts w:hint="eastAsia" w:ascii="宋体" w:hAnsi="宋体" w:cs="宋体"/>
          <w:bCs/>
          <w:color w:val="auto"/>
          <w:szCs w:val="21"/>
          <w:highlight w:val="none"/>
        </w:rPr>
        <w:t xml:space="preserve">（北京时间）前提交投标文件</w:t>
      </w:r>
      <w:r>
        <w:rPr>
          <w:rFonts w:hint="eastAsia" w:ascii="宋体" w:hAnsi="宋体" w:cs="宋体"/>
          <w:color w:val="auto"/>
          <w:szCs w:val="21"/>
          <w:highlight w:val="none"/>
        </w:rPr>
        <w:t xml:space="preserve">。</w:t>
      </w:r>
      <w:r/>
    </w:p>
    <w:p>
      <w:pPr>
        <w:spacing w:line="440" w:lineRule="exact"/>
        <w:tabs>
          <w:tab w:val="left" w:pos="266" w:leader="none"/>
        </w:tabs>
        <w:rPr>
          <w:rFonts w:ascii="宋体" w:hAnsi="宋体" w:cs="宋体"/>
          <w:b/>
          <w:bCs/>
          <w:color w:val="auto"/>
          <w:szCs w:val="21"/>
          <w:highlight w:val="none"/>
        </w:rPr>
      </w:pPr>
      <w:r/>
      <w:bookmarkStart w:id="1" w:name="_Toc28359079"/>
      <w:r/>
      <w:bookmarkStart w:id="2" w:name="_Toc35393621"/>
      <w:r/>
      <w:bookmarkStart w:id="3" w:name="_Toc35393790"/>
      <w:r/>
      <w:bookmarkStart w:id="4" w:name="_Toc38985263"/>
      <w:r/>
      <w:bookmarkStart w:id="5" w:name="_Toc28359002"/>
      <w:r/>
      <w:bookmarkStart w:id="6" w:name="_Hlk24379207"/>
      <w:r>
        <w:rPr>
          <w:rFonts w:hint="eastAsia" w:ascii="宋体" w:hAnsi="宋体" w:cs="宋体"/>
          <w:b/>
          <w:bCs/>
          <w:color w:val="auto"/>
          <w:szCs w:val="21"/>
          <w:highlight w:val="none"/>
        </w:rPr>
        <w:t xml:space="preserve">一、项目基本情况</w:t>
      </w:r>
      <w:bookmarkEnd w:id="1"/>
      <w:r/>
      <w:bookmarkEnd w:id="2"/>
      <w:r/>
      <w:bookmarkEnd w:id="3"/>
      <w:r/>
      <w:bookmarkEnd w:id="4"/>
      <w:r/>
      <w:bookmarkEnd w:id="5"/>
      <w:r/>
      <w:r/>
    </w:p>
    <w:p>
      <w:pPr>
        <w:ind w:firstLine="420"/>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JSZC-321000-YZSJ-G2026-0001号</w:t>
      </w:r>
      <w:r/>
    </w:p>
    <w:p>
      <w:pPr>
        <w:ind w:firstLine="420"/>
        <w:keepLines w:val="0"/>
        <w:keepNext w:val="0"/>
        <w:pageBreakBefore w:val="0"/>
        <w:spacing w:line="400" w:lineRule="exact"/>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2.项目名称：</w:t>
      </w:r>
      <w:bookmarkEnd w:id="6"/>
      <w:r>
        <w:rPr>
          <w:rFonts w:hint="eastAsia" w:ascii="宋体" w:hAnsi="宋体" w:cs="宋体"/>
          <w:color w:val="auto"/>
          <w:szCs w:val="21"/>
          <w:highlight w:val="none"/>
          <w:lang w:eastAsia="zh-CN"/>
        </w:rPr>
        <w:t xml:space="preserve">扬州市《海绵示范城市系统化建设方案》及海绵城市成果凝练总结采购项目</w:t>
      </w:r>
      <w:r/>
    </w:p>
    <w:p>
      <w:pPr>
        <w:ind w:firstLine="420"/>
        <w:keepLines w:val="0"/>
        <w:keepNext w:val="0"/>
        <w:pageBreakBefore w:val="0"/>
        <w:spacing w:line="400" w:lineRule="exact"/>
        <w:widowControl w:val="off"/>
        <w:rPr>
          <w:rFonts w:hint="eastAsia" w:ascii="宋体" w:hAnsi="宋体" w:eastAsia="宋体" w:cs="宋体"/>
          <w:color w:val="auto"/>
          <w:szCs w:val="21"/>
          <w:highlight w:val="none"/>
          <w:lang w:eastAsia="zh-CN"/>
        </w:rPr>
      </w:pPr>
      <w:r/>
      <w:bookmarkStart w:id="7" w:name="_Toc35393622"/>
      <w:r/>
      <w:bookmarkStart w:id="8" w:name="_Toc35393791"/>
      <w:r/>
      <w:bookmarkStart w:id="9" w:name="_Toc28359003"/>
      <w:r/>
      <w:bookmarkStart w:id="10" w:name="_Toc28359080"/>
      <w:r/>
      <w:bookmarkStart w:id="11" w:name="_Toc38985264"/>
      <w:r>
        <w:rPr>
          <w:rFonts w:hint="eastAsia" w:ascii="宋体" w:hAnsi="宋体" w:cs="宋体"/>
          <w:color w:val="auto"/>
          <w:szCs w:val="21"/>
          <w:highlight w:val="none"/>
        </w:rPr>
        <w:t xml:space="preserve">3.预算金额：</w:t>
      </w:r>
      <w:r>
        <w:rPr>
          <w:rFonts w:hint="eastAsia" w:ascii="宋体" w:hAnsi="宋体" w:cs="宋体"/>
          <w:color w:val="auto"/>
          <w:szCs w:val="21"/>
          <w:highlight w:val="none"/>
          <w:lang w:val="en-US" w:eastAsia="zh-CN"/>
        </w:rPr>
        <w:t xml:space="preserve">600</w:t>
      </w:r>
      <w:r>
        <w:rPr>
          <w:rFonts w:hint="eastAsia" w:ascii="宋体" w:hAnsi="宋体" w:cs="宋体"/>
          <w:color w:val="auto"/>
          <w:szCs w:val="21"/>
          <w:highlight w:val="none"/>
        </w:rPr>
        <w:t xml:space="preserve">万元</w:t>
      </w:r>
      <w:r>
        <w:rPr>
          <w:rFonts w:hint="eastAsia" w:ascii="宋体" w:hAnsi="宋体" w:cs="宋体"/>
          <w:color w:val="auto"/>
          <w:szCs w:val="21"/>
          <w:highlight w:val="none"/>
          <w:lang w:eastAsia="zh-CN"/>
        </w:rPr>
        <w:t xml:space="preserve">（</w:t>
      </w:r>
      <w:r>
        <w:rPr>
          <w:rFonts w:hint="eastAsia"/>
          <w:color w:val="auto"/>
          <w:highlight w:val="none"/>
          <w:lang w:val="en-US" w:eastAsia="zh-CN"/>
        </w:rPr>
        <w:t xml:space="preserve">200万为基础编制费用，400万元为采购人绩效考核费用</w:t>
      </w:r>
      <w:r>
        <w:rPr>
          <w:rFonts w:hint="eastAsia" w:ascii="宋体" w:hAnsi="宋体" w:cs="宋体"/>
          <w:color w:val="auto"/>
          <w:szCs w:val="21"/>
          <w:highlight w:val="none"/>
          <w:lang w:eastAsia="zh-CN"/>
        </w:rPr>
        <w:t xml:space="preserve">）</w:t>
      </w:r>
      <w:r/>
    </w:p>
    <w:p>
      <w:pPr>
        <w:ind w:firstLine="420"/>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4.本项目设置最高限价：</w:t>
      </w:r>
      <w:r>
        <w:rPr>
          <w:rFonts w:hint="eastAsia" w:ascii="宋体" w:hAnsi="宋体" w:cs="宋体"/>
          <w:color w:val="auto"/>
          <w:szCs w:val="21"/>
          <w:highlight w:val="none"/>
          <w:lang w:val="en-US" w:eastAsia="zh-CN"/>
        </w:rPr>
        <w:t xml:space="preserve">600</w:t>
      </w:r>
      <w:r>
        <w:rPr>
          <w:rFonts w:hint="eastAsia" w:ascii="宋体" w:hAnsi="宋体" w:cs="宋体"/>
          <w:color w:val="auto"/>
          <w:szCs w:val="21"/>
          <w:highlight w:val="none"/>
        </w:rPr>
        <w:t xml:space="preserve">万元，报价超过最高限价的为无效投标文件。</w:t>
      </w:r>
      <w:r/>
    </w:p>
    <w:p>
      <w:pPr>
        <w:ind w:firstLine="420"/>
        <w:keepLines w:val="0"/>
        <w:keepNext w:val="0"/>
        <w:pageBreakBefore w:val="0"/>
        <w:spacing w:line="400" w:lineRule="exact"/>
        <w:widowControl w:val="off"/>
        <w:rPr>
          <w:rFonts w:ascii="宋体" w:hAnsi="宋体" w:cs="宋体"/>
          <w:color w:val="auto"/>
          <w:szCs w:val="21"/>
          <w:highlight w:val="none"/>
          <w:u w:val="single"/>
        </w:rPr>
      </w:pPr>
      <w:r>
        <w:rPr>
          <w:rFonts w:hint="eastAsia" w:ascii="宋体" w:hAnsi="宋体" w:cs="宋体"/>
          <w:color w:val="auto"/>
          <w:szCs w:val="21"/>
          <w:highlight w:val="none"/>
        </w:rPr>
        <w:t xml:space="preserve">5.采购需求：具体见招标文件第四章</w:t>
      </w:r>
      <w:r/>
    </w:p>
    <w:p>
      <w:pPr>
        <w:ind w:firstLine="420"/>
        <w:keepLines w:val="0"/>
        <w:keepNext w:val="0"/>
        <w:pageBreakBefore w:val="0"/>
        <w:spacing w:line="400" w:lineRule="exac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6.合同履行期限：</w:t>
      </w:r>
      <w:r>
        <w:rPr>
          <w:rFonts w:hint="eastAsia" w:ascii="宋体" w:hAnsi="宋体" w:cs="宋体"/>
          <w:color w:val="auto"/>
          <w:szCs w:val="21"/>
          <w:highlight w:val="none"/>
          <w:lang w:val="en-US" w:eastAsia="zh-CN"/>
        </w:rPr>
        <w:t xml:space="preserve">自合同签订之日起一年。</w:t>
      </w:r>
      <w:r/>
    </w:p>
    <w:p>
      <w:pPr>
        <w:ind w:firstLine="420"/>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7.本项目</w:t>
      </w:r>
      <w:r>
        <w:rPr>
          <w:rFonts w:hint="eastAsia" w:ascii="宋体" w:hAnsi="宋体" w:cs="宋体"/>
          <w:color w:val="auto"/>
          <w:szCs w:val="21"/>
          <w:highlight w:val="none"/>
          <w:u w:val="single"/>
        </w:rPr>
        <w:t xml:space="preserve">接受</w:t>
      </w:r>
      <w:r>
        <w:rPr>
          <w:rFonts w:hint="eastAsia" w:ascii="宋体" w:hAnsi="宋体" w:cs="宋体"/>
          <w:color w:val="auto"/>
          <w:szCs w:val="21"/>
          <w:highlight w:val="none"/>
        </w:rPr>
        <w:t xml:space="preserve">联合体投标</w:t>
      </w:r>
      <w:r/>
    </w:p>
    <w:p>
      <w:pPr>
        <w:keepLines w:val="0"/>
        <w:keepNext w:val="0"/>
        <w:pageBreakBefore w:val="0"/>
        <w:spacing w:line="400" w:lineRule="exact"/>
        <w:widowControl w:val="off"/>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bookmarkEnd w:id="7"/>
      <w:r/>
      <w:bookmarkEnd w:id="8"/>
      <w:r/>
      <w:bookmarkEnd w:id="9"/>
      <w:r/>
      <w:bookmarkEnd w:id="10"/>
      <w:r/>
      <w:bookmarkEnd w:id="11"/>
      <w:r/>
      <w:r/>
    </w:p>
    <w:p>
      <w:pPr>
        <w:ind w:firstLine="420"/>
        <w:keepLines w:val="0"/>
        <w:keepNext w:val="0"/>
        <w:pageBreakBefore w:val="0"/>
        <w:spacing w:line="400" w:lineRule="exact"/>
        <w:widowControl w:val="off"/>
        <w:rPr>
          <w:rFonts w:ascii="宋体" w:hAnsi="宋体" w:cs="宋体"/>
          <w:color w:val="auto"/>
          <w:szCs w:val="21"/>
          <w:highlight w:val="none"/>
        </w:rPr>
      </w:pPr>
      <w:r/>
      <w:bookmarkStart w:id="12" w:name="_Toc28359004"/>
      <w:r/>
      <w:bookmarkStart w:id="13" w:name="_Toc38985265"/>
      <w:r/>
      <w:bookmarkStart w:id="14" w:name="_Toc35393623"/>
      <w:r/>
      <w:bookmarkStart w:id="15" w:name="_Toc28359081"/>
      <w:r/>
      <w:bookmarkStart w:id="16" w:name="_Toc35393792"/>
      <w:r>
        <w:rPr>
          <w:rFonts w:hint="eastAsia" w:ascii="宋体" w:hAnsi="宋体" w:cs="宋体"/>
          <w:color w:val="auto"/>
          <w:szCs w:val="21"/>
          <w:highlight w:val="none"/>
        </w:rPr>
        <w:t xml:space="preserve">1.满足《中华人民共和国政府采购法》第二十二条规定： </w:t>
      </w:r>
      <w:r/>
    </w:p>
    <w:p>
      <w:pPr>
        <w:ind w:firstLine="420"/>
        <w:keepLines w:val="0"/>
        <w:keepNext w:val="0"/>
        <w:pageBreakBefore w:val="0"/>
        <w:spacing w:line="400" w:lineRule="exact"/>
        <w:widowControl w:val="off"/>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keepLines w:val="0"/>
        <w:keepNext w:val="0"/>
        <w:pageBreakBefore w:val="0"/>
        <w:spacing w:line="400" w:lineRule="exact"/>
        <w:widowControl w:val="off"/>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1.2 依法缴纳税收和社会保障资金的相关材料</w:t>
      </w:r>
      <w:r>
        <w:rPr>
          <w:rFonts w:hint="eastAsia" w:ascii="宋体" w:hAnsi="宋体"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w:t>
      </w:r>
      <w:r/>
    </w:p>
    <w:p>
      <w:pPr>
        <w:ind w:firstLine="420"/>
        <w:spacing w:line="440" w:lineRule="exact"/>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1.3 2024年度的财务状况报告</w:t>
      </w:r>
      <w:r>
        <w:rPr>
          <w:rFonts w:hint="eastAsia" w:ascii="宋体" w:hAnsi="宋体" w:cs="宋体"/>
          <w:b/>
          <w:bCs/>
          <w:i/>
          <w:iCs/>
          <w:color w:val="auto"/>
          <w:szCs w:val="21"/>
          <w:highlight w:val="none"/>
          <w:u w:val="single"/>
        </w:rPr>
        <w:t xml:space="preserve">（成立不满一年不需提供）</w:t>
      </w:r>
      <w:r/>
    </w:p>
    <w:p>
      <w:pPr>
        <w:ind w:firstLine="420"/>
        <w:spacing w:line="44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具备履行合同所必需的设备和专业技术能力的书面声明</w:t>
      </w:r>
      <w:r/>
    </w:p>
    <w:p>
      <w:pPr>
        <w:ind w:firstLine="420"/>
        <w:spacing w:line="44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参加本次政府采购活动前3年内在经营活动中没有重大违法记录的书面声明</w:t>
      </w:r>
      <w:r/>
    </w:p>
    <w:p>
      <w:pPr>
        <w:ind w:firstLine="420"/>
        <w:spacing w:line="440" w:lineRule="exact"/>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1.6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auto"/>
          <w:szCs w:val="21"/>
          <w:highlight w:val="none"/>
          <w:u w:val="single"/>
        </w:rPr>
        <w:t xml:space="preserve">（投标文件中无需提供证明材料）</w:t>
      </w:r>
      <w:r/>
    </w:p>
    <w:p>
      <w:pPr>
        <w:ind w:firstLine="420"/>
        <w:spacing w:line="44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1.7供应商信用承诺函</w:t>
      </w:r>
      <w:r/>
    </w:p>
    <w:p>
      <w:pPr>
        <w:numPr>
          <w:ilvl w:val="0"/>
          <w:numId w:val="2"/>
        </w:numPr>
        <w:ind w:firstLine="420"/>
        <w:spacing w:line="440" w:lineRule="exact"/>
        <w:rPr>
          <w:rFonts w:ascii="宋体" w:hAnsi="宋体" w:cs="宋体"/>
          <w:i/>
          <w:iCs/>
          <w:color w:val="auto"/>
          <w:szCs w:val="21"/>
          <w:highlight w:val="none"/>
          <w:u w:val="single"/>
        </w:rPr>
      </w:pPr>
      <w:r>
        <w:rPr>
          <w:rFonts w:hint="eastAsia" w:ascii="宋体" w:hAnsi="宋体" w:cs="宋体"/>
          <w:color w:val="auto"/>
          <w:szCs w:val="21"/>
          <w:highlight w:val="none"/>
        </w:rPr>
        <w:t xml:space="preserve">落实政府采购政策需满足的资格要求：</w:t>
      </w:r>
      <w:r>
        <w:rPr>
          <w:rFonts w:hint="eastAsia" w:ascii="宋体" w:hAnsi="宋体" w:eastAsia="宋体" w:cs="宋体"/>
          <w:i/>
          <w:color w:val="auto"/>
          <w:szCs w:val="21"/>
          <w:highlight w:val="none"/>
          <w:u w:val="single"/>
          <w:lang w:val="en-US" w:eastAsia="zh-CN" w:bidi="ar"/>
        </w:rPr>
        <w:t xml:space="preserve">无</w:t>
      </w:r>
      <w:r>
        <w:rPr>
          <w:rFonts w:hint="eastAsia" w:ascii="宋体" w:hAnsi="宋体" w:eastAsia="宋体" w:cs="宋体"/>
          <w:i/>
          <w:color w:val="auto"/>
          <w:szCs w:val="21"/>
          <w:highlight w:val="none"/>
          <w:u w:val="single"/>
          <w:lang w:bidi="ar"/>
        </w:rPr>
        <w:t xml:space="preserve">。</w:t>
      </w:r>
      <w:r/>
    </w:p>
    <w:p>
      <w:pPr>
        <w:numPr>
          <w:ilvl w:val="0"/>
          <w:numId w:val="2"/>
        </w:numPr>
        <w:ind w:firstLine="420"/>
        <w:spacing w:line="440" w:lineRule="exact"/>
        <w:rPr>
          <w:rFonts w:ascii="宋体" w:hAnsi="宋体" w:cs="宋体"/>
          <w:b/>
          <w:i/>
          <w:color w:val="auto"/>
          <w:szCs w:val="21"/>
          <w:highlight w:val="none"/>
          <w:u w:val="single"/>
        </w:rPr>
      </w:pPr>
      <w:r>
        <w:rPr>
          <w:rFonts w:hint="eastAsia" w:ascii="宋体" w:hAnsi="宋体" w:cs="宋体"/>
          <w:color w:val="auto"/>
          <w:szCs w:val="21"/>
          <w:highlight w:val="none"/>
        </w:rPr>
        <w:t xml:space="preserve">本项目的特定资格要求：</w:t>
      </w:r>
      <w:r>
        <w:rPr>
          <w:rFonts w:hint="eastAsia" w:ascii="宋体" w:hAnsi="宋体" w:cs="宋体"/>
          <w:i/>
          <w:color w:val="auto"/>
          <w:szCs w:val="21"/>
          <w:highlight w:val="none"/>
          <w:u w:val="single"/>
          <w:lang w:val="en-US" w:eastAsia="zh-CN" w:bidi="ar"/>
        </w:rPr>
        <w:t xml:space="preserve"> </w:t>
      </w:r>
      <w:r>
        <w:rPr>
          <w:rFonts w:hint="eastAsia" w:ascii="宋体" w:hAnsi="宋体" w:cs="宋体"/>
          <w:b w:val="0"/>
          <w:bCs/>
          <w:i/>
          <w:color w:val="auto"/>
          <w:szCs w:val="21"/>
          <w:highlight w:val="none"/>
          <w:u w:val="single"/>
          <w:lang w:val="en-US" w:eastAsia="zh-CN" w:bidi="ar"/>
        </w:rPr>
        <w:t xml:space="preserve">无</w:t>
      </w:r>
      <w:r>
        <w:rPr>
          <w:rFonts w:hint="eastAsia" w:ascii="宋体" w:hAnsi="宋体" w:cs="宋体"/>
          <w:bCs/>
          <w:i/>
          <w:color w:val="auto"/>
          <w:szCs w:val="21"/>
          <w:highlight w:val="none"/>
          <w:u w:val="single"/>
          <w:lang w:bidi="ar"/>
        </w:rPr>
        <w:t xml:space="preserve">。</w:t>
      </w:r>
      <w:r/>
    </w:p>
    <w:p>
      <w:pPr>
        <w:spacing w:line="440" w:lineRule="exact"/>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三、获取招标文件</w:t>
      </w:r>
      <w:bookmarkEnd w:id="12"/>
      <w:r/>
      <w:bookmarkEnd w:id="13"/>
      <w:r/>
      <w:bookmarkEnd w:id="14"/>
      <w:r/>
      <w:bookmarkEnd w:id="15"/>
      <w:r/>
      <w:bookmarkEnd w:id="16"/>
      <w:r/>
      <w:r/>
    </w:p>
    <w:p>
      <w:pPr>
        <w:ind w:firstLine="540"/>
        <w:spacing w:line="440" w:lineRule="exact"/>
        <w:rPr>
          <w:rFonts w:hint="eastAsia" w:ascii="宋体" w:hAnsi="宋体" w:cs="宋体"/>
          <w:color w:val="auto"/>
          <w:szCs w:val="21"/>
          <w:highlight w:val="none"/>
        </w:rPr>
      </w:pPr>
      <w:r/>
      <w:bookmarkStart w:id="17" w:name="_Toc38985266"/>
      <w:r/>
      <w:bookmarkStart w:id="18" w:name="_Toc28359005"/>
      <w:r/>
      <w:bookmarkStart w:id="19" w:name="_Toc28359082"/>
      <w:r/>
      <w:bookmarkStart w:id="20" w:name="_Toc35393624"/>
      <w:r/>
      <w:bookmarkStart w:id="21" w:name="_Toc35393793"/>
      <w:r>
        <w:rPr>
          <w:rFonts w:hint="eastAsia" w:ascii="宋体" w:hAnsi="宋体" w:cs="宋体"/>
          <w:color w:val="auto"/>
          <w:szCs w:val="21"/>
          <w:highlight w:val="none"/>
        </w:rPr>
        <w:t xml:space="preserve">1.时间：自招标文件公告发布之日起5个工作日。</w:t>
      </w:r>
      <w:r/>
    </w:p>
    <w:p>
      <w:pPr>
        <w:ind w:firstLine="540"/>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2.获取方式：</w:t>
      </w:r>
      <w:bookmarkEnd w:id="17"/>
      <w:r/>
      <w:bookmarkEnd w:id="18"/>
      <w:r/>
      <w:bookmarkEnd w:id="19"/>
      <w:r/>
      <w:bookmarkEnd w:id="20"/>
      <w:r/>
      <w:bookmarkEnd w:id="21"/>
      <w:r/>
      <w:bookmarkStart w:id="22" w:name="_Toc38985267"/>
      <w:r/>
      <w:bookmarkStart w:id="23" w:name="_Toc28359007"/>
      <w:r/>
      <w:bookmarkStart w:id="24" w:name="_Toc35393794"/>
      <w:r/>
      <w:bookmarkStart w:id="25" w:name="_Toc28359084"/>
      <w:r/>
      <w:bookmarkStart w:id="26" w:name="_Toc35393625"/>
      <w:r>
        <w:rPr>
          <w:rFonts w:hint="eastAsia" w:ascii="宋体" w:hAnsi="宋体" w:cs="宋体"/>
          <w:b/>
          <w:bCs/>
          <w:color w:val="auto"/>
          <w:szCs w:val="21"/>
          <w:highlight w:val="none"/>
        </w:rPr>
        <w:t xml:space="preserve">在“江苏政府采购网、扬州市政府采购网”自行免费下载招标文件。</w:t>
      </w:r>
      <w:r/>
    </w:p>
    <w:p>
      <w:pPr>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四、提交投标文件截止时间、开标时间和地点</w:t>
      </w:r>
      <w:r/>
    </w:p>
    <w:p>
      <w:pPr>
        <w:ind w:firstLine="420"/>
        <w:spacing w:line="440" w:lineRule="exact"/>
        <w:rPr>
          <w:rFonts w:ascii="宋体" w:hAnsi="宋体" w:cs="宋体"/>
          <w:bCs/>
          <w:color w:val="auto"/>
          <w:szCs w:val="21"/>
          <w:highlight w:val="none"/>
          <w:u w:val="single"/>
        </w:rPr>
      </w:pPr>
      <w:r>
        <w:rPr>
          <w:rFonts w:hint="eastAsia" w:ascii="宋体" w:hAnsi="宋体" w:cs="宋体"/>
          <w:color w:val="auto"/>
          <w:szCs w:val="21"/>
          <w:highlight w:val="none"/>
        </w:rPr>
        <w:t xml:space="preserve">1.时间：</w:t>
      </w:r>
      <w:r>
        <w:rPr>
          <w:rFonts w:hint="eastAsia" w:ascii="宋体" w:hAnsi="宋体" w:cs="宋体"/>
          <w:bCs/>
          <w:color w:val="auto"/>
          <w:szCs w:val="21"/>
          <w:highlight w:val="none"/>
          <w:u w:val="single"/>
        </w:rPr>
        <w:t xml:space="preserve">20</w:t>
      </w:r>
      <w:r>
        <w:rPr>
          <w:rFonts w:hint="eastAsia" w:ascii="宋体" w:hAnsi="宋体" w:cs="宋体"/>
          <w:bCs/>
          <w:color w:val="auto"/>
          <w:szCs w:val="21"/>
          <w:highlight w:val="none"/>
          <w:u w:val="single"/>
          <w:lang w:val="en-US" w:eastAsia="zh-CN"/>
        </w:rPr>
        <w:t xml:space="preserve">26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2</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12</w:t>
      </w:r>
      <w:r>
        <w:rPr>
          <w:rFonts w:hint="eastAsia" w:ascii="宋体" w:hAnsi="宋体" w:cs="宋体"/>
          <w:bCs/>
          <w:color w:val="auto"/>
          <w:szCs w:val="21"/>
          <w:highlight w:val="none"/>
          <w:u w:val="single"/>
        </w:rPr>
        <w:t xml:space="preserve">日14:30</w:t>
      </w:r>
      <w:r>
        <w:rPr>
          <w:rFonts w:hint="eastAsia" w:ascii="宋体" w:hAnsi="宋体" w:cs="宋体"/>
          <w:bCs/>
          <w:color w:val="auto"/>
          <w:szCs w:val="21"/>
          <w:highlight w:val="none"/>
        </w:rPr>
        <w:t xml:space="preserve">（北京时间）</w:t>
      </w:r>
      <w:r/>
    </w:p>
    <w:p>
      <w:pPr>
        <w:ind w:firstLine="420"/>
        <w:spacing w:line="440" w:lineRule="exact"/>
        <w:rPr>
          <w:rFonts w:ascii="宋体" w:hAnsi="宋体" w:cs="宋体"/>
          <w:b/>
          <w:color w:val="auto"/>
          <w:szCs w:val="21"/>
          <w:highlight w:val="none"/>
        </w:rPr>
      </w:pPr>
      <w:r>
        <w:rPr>
          <w:rFonts w:hint="eastAsia" w:ascii="宋体" w:hAnsi="宋体" w:cs="宋体"/>
          <w:color w:val="auto"/>
          <w:szCs w:val="21"/>
          <w:highlight w:val="none"/>
        </w:rPr>
        <w:t xml:space="preserve">2.开标地点：</w:t>
      </w:r>
      <w:r>
        <w:rPr>
          <w:rFonts w:hint="eastAsia" w:ascii="宋体" w:hAnsi="宋体" w:cs="宋体"/>
          <w:b/>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b/>
          <w:color w:val="auto"/>
          <w:szCs w:val="21"/>
          <w:highlight w:val="none"/>
        </w:rPr>
        <w:t xml:space="preserve">http://jszfcg.jsczt.cn/）“开标大厅”</w:t>
      </w:r>
      <w:r>
        <w:rPr>
          <w:rFonts w:hint="eastAsia" w:ascii="宋体" w:hAnsi="宋体" w:cs="宋体"/>
          <w:b/>
          <w:color w:val="auto"/>
          <w:szCs w:val="21"/>
          <w:highlight w:val="none"/>
        </w:rPr>
        <w:fldChar w:fldCharType="end"/>
      </w:r>
      <w:bookmarkEnd w:id="22"/>
      <w:r/>
      <w:bookmarkEnd w:id="23"/>
      <w:r/>
      <w:bookmarkEnd w:id="24"/>
      <w:r/>
      <w:bookmarkEnd w:id="25"/>
      <w:r/>
      <w:bookmarkEnd w:id="26"/>
      <w:r/>
      <w:r/>
    </w:p>
    <w:p>
      <w:pPr>
        <w:spacing w:line="440" w:lineRule="exact"/>
        <w:tabs>
          <w:tab w:val="left" w:pos="266" w:leader="none"/>
        </w:tabs>
        <w:rPr>
          <w:rFonts w:ascii="宋体" w:hAnsi="宋体" w:cs="宋体"/>
          <w:b/>
          <w:bCs/>
          <w:color w:val="auto"/>
          <w:szCs w:val="21"/>
          <w:highlight w:val="none"/>
        </w:rPr>
      </w:pPr>
      <w:r/>
      <w:bookmarkStart w:id="27" w:name="_Toc35393626"/>
      <w:r/>
      <w:bookmarkStart w:id="28" w:name="_Toc38985268"/>
      <w:r/>
      <w:bookmarkStart w:id="29" w:name="_Toc35393795"/>
      <w:r>
        <w:rPr>
          <w:rFonts w:hint="eastAsia" w:ascii="宋体" w:hAnsi="宋体" w:cs="宋体"/>
          <w:b/>
          <w:bCs/>
          <w:color w:val="auto"/>
          <w:szCs w:val="21"/>
          <w:highlight w:val="none"/>
        </w:rPr>
        <w:t xml:space="preserve">五、公告期限</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numPr>
          <w:ilvl w:val="0"/>
          <w:numId w:val="3"/>
        </w:numPr>
        <w:spacing w:line="440" w:lineRule="exact"/>
        <w:tabs>
          <w:tab w:val="left" w:pos="266"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其他补充事宜</w:t>
      </w:r>
      <w:bookmarkEnd w:id="27"/>
      <w:r/>
      <w:bookmarkEnd w:id="28"/>
      <w:r/>
      <w:bookmarkEnd w:id="29"/>
      <w:r/>
      <w:r/>
    </w:p>
    <w:p>
      <w:pPr>
        <w:ind w:firstLine="422"/>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1.时间：</w:t>
      </w:r>
      <w:r>
        <w:rPr>
          <w:rFonts w:hint="eastAsia" w:ascii="宋体" w:hAnsi="宋体" w:cs="宋体"/>
          <w:b/>
          <w:bCs/>
          <w:color w:val="auto"/>
          <w:szCs w:val="21"/>
          <w:highlight w:val="none"/>
        </w:rPr>
        <w:t xml:space="preserve">自招标文件公告发布之日起5个工作日。5个工作日后仍可下载招标文件，但不作为供应商权益受到损害的证明材料和依据。</w:t>
      </w:r>
      <w:r/>
    </w:p>
    <w:p>
      <w:pPr>
        <w:ind w:firstLine="422"/>
        <w:spacing w:line="440" w:lineRule="exact"/>
        <w:rPr>
          <w:rFonts w:ascii="宋体" w:hAnsi="宋体" w:cs="宋体"/>
          <w:b/>
          <w:bCs/>
          <w:color w:val="auto"/>
          <w:szCs w:val="21"/>
          <w:highlight w:val="none"/>
        </w:rPr>
      </w:pPr>
      <w:r/>
      <w:bookmarkStart w:id="30" w:name="_Toc35393627"/>
      <w:r/>
      <w:bookmarkStart w:id="31" w:name="_Toc28359008"/>
      <w:r/>
      <w:bookmarkStart w:id="32" w:name="_Toc35393796"/>
      <w:r/>
      <w:bookmarkStart w:id="33" w:name="_Toc38985269"/>
      <w:r/>
      <w:bookmarkStart w:id="34" w:name="_Toc28359085"/>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440" w:lineRule="exact"/>
        <w:shd w:val="clear" w:color="auto" w:fill="ffffff"/>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.供应商如确定参加投标，可自行下载采购文件及有关资料，按照《操作手册》进行注册，领取CA和办理电子签章，并按《操作手册》要求制作、上传电子投标文件，技术支持联系方式：13813140731。</w:t>
      </w:r>
      <w:r/>
    </w:p>
    <w:p>
      <w:pPr>
        <w:ind w:firstLine="422"/>
        <w:spacing w:line="440" w:lineRule="exact"/>
        <w:shd w:val="clear" w:color="auto" w:fill="ffffff"/>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.潜在供应商访问政府采购管理交易系统（苏采云）的网络地址和方法：</w:t>
      </w:r>
      <w:r/>
    </w:p>
    <w:p>
      <w:pPr>
        <w:ind w:firstLine="422"/>
        <w:spacing w:line="440" w:lineRule="exact"/>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ind w:firstLine="540"/>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http://zfcg.yangzhou.gov.cn/zfcg/xzzx/202309/4d7de1f7865f4a2894fc22bc452f94d8.shtml。</w:t>
      </w:r>
      <w:r/>
    </w:p>
    <w:p>
      <w:pPr>
        <w:ind w:firstLine="540"/>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540"/>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ind w:firstLine="422"/>
        <w:spacing w:line="440" w:lineRule="exact"/>
        <w:shd w:val="clear" w:color="auto" w:fill="ffff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本次招标不收取投标保证金。</w:t>
      </w:r>
      <w:r/>
    </w:p>
    <w:p>
      <w:pPr>
        <w:ind w:firstLine="420"/>
        <w:spacing w:line="440" w:lineRule="exact"/>
        <w:rPr>
          <w:rFonts w:ascii="宋体" w:hAnsi="宋体" w:cs="宋体"/>
          <w:bCs/>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有关本次招标的事项若存在变动或修改，敬请及时关注“扬州市政府采购网”、”江苏省政府采购网”发布的信息。</w:t>
      </w:r>
      <w:r/>
    </w:p>
    <w:p>
      <w:pPr>
        <w:ind w:firstLine="422"/>
        <w:spacing w:line="440" w:lineRule="exact"/>
        <w:rPr>
          <w:rFonts w:ascii="宋体" w:hAnsi="宋体" w:cs="宋体"/>
          <w:b/>
          <w:i/>
          <w:iCs/>
          <w:color w:val="auto"/>
          <w:szCs w:val="21"/>
          <w:highlight w:val="none"/>
          <w:u w:val="single"/>
        </w:rPr>
      </w:pPr>
      <w:r>
        <w:rPr>
          <w:rFonts w:hint="eastAsia" w:ascii="宋体" w:hAnsi="宋体" w:cs="宋体"/>
          <w:b/>
          <w:i/>
          <w:iCs/>
          <w:color w:val="auto"/>
          <w:szCs w:val="21"/>
          <w:highlight w:val="none"/>
          <w:u w:val="single"/>
          <w:lang w:val="en-US" w:eastAsia="zh-CN"/>
        </w:rPr>
        <w:t xml:space="preserve">7</w:t>
      </w:r>
      <w:r>
        <w:rPr>
          <w:rFonts w:hint="eastAsia" w:ascii="宋体" w:hAnsi="宋体" w:cs="宋体"/>
          <w:b/>
          <w:i/>
          <w:iCs/>
          <w:color w:val="auto"/>
          <w:szCs w:val="21"/>
          <w:highlight w:val="none"/>
          <w:u w:val="single"/>
        </w:rPr>
        <w:t xml:space="preserve">.本项目招标文件中所有斜体下划线部分为实质性条款，如不满足，则为无效投标。</w:t>
      </w:r>
      <w:r/>
    </w:p>
    <w:p>
      <w:pPr>
        <w:ind w:firstLine="420"/>
        <w:spacing w:line="44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.如在开标时间发生系统崩溃等不可预见的情况，造成开评标活动无法正常进行的，将延迟开评标，具体开评标时间另行通知。</w:t>
      </w:r>
      <w:r/>
    </w:p>
    <w:p>
      <w:pPr>
        <w:ind w:firstLine="420"/>
        <w:spacing w:line="44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.为落实好政府采购履约资金扶持政策，中标/成交供应商可凭政府采购合同办理融资贷款，详见江苏政府采购网“政采贷”专栏。</w:t>
      </w:r>
      <w:r/>
    </w:p>
    <w:p>
      <w:pPr>
        <w:ind w:firstLine="420"/>
        <w:spacing w:line="44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.本项目严格执行政府采购关于支持节能产品</w:t>
      </w:r>
      <w:r>
        <w:rPr>
          <w:rFonts w:hint="eastAsia" w:ascii="宋体" w:hAnsi="宋体" w:cs="宋体"/>
          <w:bCs/>
          <w:color w:val="auto"/>
          <w:szCs w:val="21"/>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44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11</w:t>
      </w:r>
      <w:r>
        <w:rPr>
          <w:rFonts w:hint="eastAsia" w:ascii="宋体" w:hAnsi="宋体" w:cs="宋体"/>
          <w:bCs/>
          <w:color w:val="auto"/>
          <w:szCs w:val="21"/>
          <w:highlight w:val="none"/>
        </w:rPr>
        <w:t xml:space="preserve">.供应商对于所投产品的包装应按照“财办库〔2020〕123号《关于印发《商品包装政府采购需求标准（试行）》、《快递包装政府采购需求标准（试行）》的通知》”执行。</w:t>
      </w:r>
      <w:r/>
    </w:p>
    <w:p>
      <w:pPr>
        <w:spacing w:line="440" w:lineRule="exact"/>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七、本次招标联系方式</w:t>
      </w:r>
      <w:bookmarkEnd w:id="30"/>
      <w:r/>
      <w:bookmarkEnd w:id="31"/>
      <w:r/>
      <w:bookmarkEnd w:id="32"/>
      <w:r/>
      <w:bookmarkEnd w:id="33"/>
      <w:r/>
      <w:bookmarkEnd w:id="34"/>
      <w:r/>
      <w:r/>
    </w:p>
    <w:p>
      <w:pPr>
        <w:ind w:firstLine="420"/>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名 称：扬州市住房和城乡建设局</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地 址：扬州市运河城市广场5号楼</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联系人：潘先生</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联系方式：0514-87320763  </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2.代理机构信息</w:t>
      </w:r>
      <w:r/>
    </w:p>
    <w:p>
      <w:pPr>
        <w:ind w:firstLine="420"/>
        <w:jc w:val="left"/>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扬州市建苑工程监理有限责任公司</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地　址：扬州市运河城市广场C座25楼</w:t>
      </w:r>
      <w:r/>
    </w:p>
    <w:p>
      <w:pPr>
        <w:ind w:firstLine="420"/>
        <w:spacing w:line="440" w:lineRule="exact"/>
        <w:rPr>
          <w:rFonts w:hint="eastAsia" w:ascii="宋体" w:hAnsi="宋体" w:cs="宋体"/>
          <w:color w:val="auto"/>
          <w:szCs w:val="21"/>
          <w:highlight w:val="none"/>
        </w:rPr>
      </w:pPr>
      <w:r/>
      <w:bookmarkStart w:id="35" w:name="_Toc28359087"/>
      <w:r/>
      <w:bookmarkStart w:id="36" w:name="_Toc28359010"/>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强伟</w:t>
      </w:r>
      <w:r>
        <w:rPr>
          <w:rFonts w:hint="eastAsia" w:ascii="宋体" w:hAnsi="宋体" w:cs="宋体"/>
          <w:color w:val="auto"/>
          <w:szCs w:val="21"/>
          <w:highlight w:val="none"/>
        </w:rPr>
        <w:t xml:space="preserve"> </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联系方式：0514-80999116</w:t>
      </w:r>
      <w:bookmarkEnd w:id="35"/>
      <w:r/>
      <w:bookmarkEnd w:id="36"/>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right"/>
        <w:spacing w:line="440" w:lineRule="exact"/>
        <w:rPr>
          <w:rFonts w:ascii="宋体" w:hAnsi="宋体" w:cs="宋体"/>
          <w:color w:val="auto"/>
          <w:szCs w:val="21"/>
          <w:highlight w:val="none"/>
        </w:rPr>
      </w:pPr>
      <w:r>
        <w:rPr>
          <w:rFonts w:ascii="宋体" w:hAnsi="宋体" w:cs="宋体"/>
          <w:color w:val="auto"/>
          <w:szCs w:val="21"/>
          <w:highlight w:val="none"/>
        </w:rPr>
      </w:r>
      <w:r/>
    </w:p>
    <w:p>
      <w:pPr>
        <w:jc w:val="right"/>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扬州市建苑工程监理有限责任公司</w:t>
      </w:r>
      <w:r/>
    </w:p>
    <w:p>
      <w:pPr>
        <w:jc w:val="right"/>
        <w:spacing w:line="440" w:lineRule="exact"/>
        <w:rPr>
          <w:rFonts w:ascii="宋体" w:hAnsi="宋体" w:cs="宋体"/>
          <w:color w:val="auto"/>
          <w:szCs w:val="21"/>
          <w:highlight w:val="none"/>
        </w:rPr>
        <w:sectPr>
          <w:footerReference w:type="default" r:id="rId13"/>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cs="宋体"/>
          <w:color w:val="auto"/>
          <w:szCs w:val="21"/>
          <w:highlight w:val="none"/>
        </w:rPr>
        <w:t xml:space="preserve">20</w:t>
      </w:r>
      <w:r>
        <w:rPr>
          <w:rFonts w:hint="eastAsia" w:ascii="宋体" w:hAnsi="宋体" w:cs="宋体"/>
          <w:color w:val="auto"/>
          <w:szCs w:val="21"/>
          <w:highlight w:val="none"/>
          <w:lang w:val="en-US" w:eastAsia="zh-CN"/>
        </w:rPr>
        <w:t xml:space="preserve">26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23</w:t>
      </w:r>
      <w:r>
        <w:rPr>
          <w:rFonts w:hint="eastAsia" w:ascii="宋体" w:hAnsi="宋体" w:cs="宋体"/>
          <w:color w:val="auto"/>
          <w:szCs w:val="21"/>
          <w:highlight w:val="none"/>
        </w:rPr>
        <w:t xml:space="preserve">日</w:t>
      </w:r>
      <w:r/>
    </w:p>
    <w:p>
      <w:pPr>
        <w:rPr>
          <w:color w:val="auto"/>
          <w:highlight w:val="none"/>
        </w:rPr>
      </w:pPr>
      <w:r>
        <w:rPr>
          <w:color w:val="auto"/>
          <w:highlight w:val="none"/>
        </w:rPr>
      </w:r>
      <w:r/>
    </w:p>
    <w:p>
      <w:pPr>
        <w:pStyle w:val="974"/>
        <w:numPr>
          <w:ilvl w:val="0"/>
          <w:numId w:val="1"/>
        </w:numPr>
        <w:jc w:val="center"/>
        <w:spacing w:line="240" w:lineRule="auto"/>
        <w:rPr>
          <w:rFonts w:ascii="宋体" w:hAnsi="宋体"/>
          <w:color w:val="auto"/>
          <w:szCs w:val="36"/>
          <w:highlight w:val="none"/>
        </w:rPr>
      </w:pPr>
      <w:r/>
      <w:bookmarkStart w:id="37" w:name="_Toc55204178"/>
      <w:r>
        <w:rPr>
          <w:rFonts w:hint="eastAsia" w:ascii="宋体" w:hAnsi="宋体"/>
          <w:color w:val="auto"/>
          <w:szCs w:val="36"/>
          <w:highlight w:val="none"/>
        </w:rPr>
        <w:t xml:space="preserve">投标人须知</w:t>
      </w:r>
      <w:bookmarkEnd w:id="37"/>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1、招标方式</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lang w:eastAsia="zh-CN"/>
        </w:rPr>
        <w:t xml:space="preserve">JSZC-321000-YZSJ-G2026-0001号</w:t>
      </w:r>
      <w:r>
        <w:rPr>
          <w:rFonts w:hint="eastAsia" w:ascii="宋体" w:hAnsi="宋体" w:cs="宋体"/>
          <w:bCs/>
          <w:color w:val="auto"/>
          <w:szCs w:val="21"/>
          <w:highlight w:val="none"/>
        </w:rPr>
        <w:t xml:space="preserve">项目。</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2、投标人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2.2合格的投标人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2.2.1 满足招标公告中供应商的资格条件要求的规定。</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2.2.2 满足本文件实质性条款的规定。</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3、适用法律</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4、投标费用</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spacing w:line="440" w:lineRule="exact"/>
        <w:rPr>
          <w:rFonts w:ascii="宋体" w:hAnsi="宋体" w:cs="宋体"/>
          <w:b/>
          <w:bCs/>
          <w:color w:val="auto"/>
          <w:szCs w:val="21"/>
          <w:highlight w:val="none"/>
        </w:rPr>
      </w:pPr>
      <w:r>
        <w:rPr>
          <w:rFonts w:hint="eastAsia" w:ascii="宋体" w:hAnsi="宋体" w:cs="宋体"/>
          <w:b/>
          <w:color w:val="auto"/>
          <w:szCs w:val="21"/>
          <w:highlight w:val="none"/>
        </w:rPr>
        <w:t xml:space="preserve">4.2</w:t>
      </w:r>
      <w:r>
        <w:rPr>
          <w:rFonts w:hint="eastAsia" w:ascii="宋体" w:hAnsi="宋体" w:cs="宋体"/>
          <w:b/>
          <w:bCs/>
          <w:color w:val="auto"/>
          <w:szCs w:val="21"/>
          <w:highlight w:val="none"/>
        </w:rPr>
        <w:t xml:space="preserve">本次采购由中标人在领取中标通知书前按照《国家发展改革委关于降低部分建设项目收费标准规范收费行为等有关问题的通知》(发改价格[2011]534号)服务类的标准的90%一次性支付给招标代理机构代理服务费。</w:t>
      </w:r>
      <w:r/>
    </w:p>
    <w:p>
      <w:pPr>
        <w:ind w:firstLine="422"/>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（2）代理服务费一次性以电汇、转账等非现金形式支付；</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（3）招标代理服务费不在投标报价中单列，包含在投标总价中，由中标单位支付给代理机构。</w:t>
      </w:r>
      <w:r/>
    </w:p>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4.3专家评审费按《扬州市财政局关于进一步规范扬州市政府采购专家评审费标准的通知》（扬财购〔2020〕40号）执行。</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5、招标文件的约束力</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6、招标文件构成</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6.1 招标文件有以下部分组成：</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（1）招标公告</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（3）合同条款及格式</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（4）项目需求</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6.3 招标文件如果要求供应商提交备选投标方案的，供应商可以提交备选方案；否则，备选方案将被拒绝。</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7、招标文件的澄清</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8、招标文件的修改</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9、投标文件的语言、度量衡单位、货币</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10、投标文件构成</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（5）分项报价表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（6）技术参数响应及偏离表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（7）商务条款响应及偏离表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（8）其他 （投标人认为有必要提供的声明和文件，如有自拟并自行添加）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11、证明投标人资格及符合招标文件规定的文件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11.4投标人应提交根据合同要求提供的证明服务质量合格以及符合招标文件规定的证明文件。</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11.5证明投标人所提供服务与招标文件的要求相一致的文件可以是手册、图纸、文字资料和数据。</w:t>
      </w:r>
      <w:r/>
    </w:p>
    <w:p>
      <w:pP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12、</w:t>
      </w:r>
      <w:r>
        <w:rPr>
          <w:rFonts w:hint="eastAsia" w:ascii="宋体" w:hAnsi="宋体" w:cs="宋体"/>
          <w:b/>
          <w:bCs/>
          <w:color w:val="auto"/>
          <w:szCs w:val="21"/>
          <w:highlight w:val="none"/>
        </w:rPr>
        <w:t xml:space="preserve">分项报价表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12.2 标的物</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12.3其它费用处理</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招标文件未列明，而投标人认为必需的费用也需列入报价。</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12.4投标货币</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投标文件中的服务单价和总价无特殊规定的采用人民币报价，以元为单位标注。招标文件中另有规定的按规定执行。</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13、技术参数响应及偏离表、商务条款响应及偏离表及投标货物说明</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13.1 对招标文件中的技术与商务条款要求逐项作出响应或偏离，并说明原因；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13.2 提供参加本项目类似案例简介；</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13.3 培训计划；</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13.4 投标人认为需要的其他技术文件或说明。</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14、服务承诺及售后服务机构、人员的情况介绍</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14.1投标人的服务承诺应按不低于招标文件中商务要求的标准。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15、投标函和开标一览表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16、投标有效期</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16.1 投标有效期为开标之日起六十（60）天。投标有效期比规定短的将被视为非响应性投标而予以拒绝。</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440" w:lineRule="exact"/>
        <w:rPr>
          <w:rFonts w:ascii="宋体" w:hAnsi="宋体" w:cs="宋体"/>
          <w:b/>
          <w:color w:val="auto"/>
          <w:szCs w:val="21"/>
          <w:highlight w:val="none"/>
        </w:rPr>
      </w:pPr>
      <w:r/>
      <w:bookmarkStart w:id="38" w:name="_Toc16938541"/>
      <w:r/>
      <w:bookmarkStart w:id="39" w:name="_Toc462564084"/>
      <w:r/>
      <w:bookmarkStart w:id="40" w:name="_Toc20823297"/>
      <w:r/>
      <w:bookmarkStart w:id="41" w:name="_Toc513029225"/>
      <w:r>
        <w:rPr>
          <w:rFonts w:hint="eastAsia" w:ascii="宋体" w:hAnsi="宋体" w:cs="宋体"/>
          <w:b/>
          <w:color w:val="auto"/>
          <w:szCs w:val="21"/>
          <w:highlight w:val="none"/>
        </w:rPr>
        <w:t xml:space="preserve">17、投标文件</w:t>
      </w:r>
      <w:bookmarkEnd w:id="38"/>
      <w:r/>
      <w:bookmarkEnd w:id="39"/>
      <w:r/>
      <w:bookmarkEnd w:id="40"/>
      <w:r/>
      <w:bookmarkEnd w:id="41"/>
      <w:r>
        <w:rPr>
          <w:rFonts w:hint="eastAsia" w:ascii="宋体" w:hAnsi="宋体" w:cs="宋体"/>
          <w:b/>
          <w:color w:val="auto"/>
          <w:szCs w:val="21"/>
          <w:highlight w:val="none"/>
        </w:rPr>
        <w:t xml:space="preserve">的递交</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2" w:name="_Toc20823298"/>
      <w:r/>
      <w:bookmarkStart w:id="43" w:name="_Toc513029226"/>
      <w:r/>
      <w:bookmarkStart w:id="44" w:name="_Toc16938542"/>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17.2</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相关要求是本招标文件的组成部分。</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17.3投标人应对 CA 证书妥善保管，如被他人盗用投标，因此带来的结果均由投标人自行承担。</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17.4投标人应当对招标文件提出的要求和条件作出实质性响应，并在电子投标系统逐条应答。</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440" w:lineRule="exact"/>
        <w:rPr>
          <w:rFonts w:ascii="宋体" w:hAnsi="宋体" w:cs="宋体"/>
          <w:color w:val="auto"/>
          <w:szCs w:val="21"/>
          <w:highlight w:val="none"/>
        </w:rPr>
      </w:pPr>
      <w:r>
        <w:rPr>
          <w:rFonts w:hint="eastAsia" w:ascii="宋体" w:hAnsi="宋体" w:cs="宋体"/>
          <w:b/>
          <w:color w:val="auto"/>
          <w:szCs w:val="21"/>
          <w:highlight w:val="none"/>
        </w:rPr>
        <w:t xml:space="preserve">17.7各投标人应在规定时间内凭CA证书进行网上解密。</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18、投标截止日期</w:t>
      </w:r>
      <w:bookmarkEnd w:id="42"/>
      <w:r/>
      <w:bookmarkEnd w:id="43"/>
      <w:r/>
      <w:bookmarkEnd w:id="44"/>
      <w:r/>
      <w:r/>
    </w:p>
    <w:p>
      <w:pPr>
        <w:ind w:firstLine="420"/>
        <w:spacing w:line="440" w:lineRule="exact"/>
        <w:rPr>
          <w:rFonts w:ascii="宋体" w:hAnsi="宋体" w:cs="宋体"/>
          <w:bCs/>
          <w:i/>
          <w:iCs/>
          <w:color w:val="auto"/>
          <w:szCs w:val="21"/>
          <w:highlight w:val="none"/>
          <w:u w:val="single"/>
        </w:rPr>
      </w:pPr>
      <w:r>
        <w:rPr>
          <w:rFonts w:hint="eastAsia" w:ascii="宋体" w:hAnsi="宋体" w:cs="宋体"/>
          <w:bCs/>
          <w:i/>
          <w:iCs/>
          <w:color w:val="auto"/>
          <w:szCs w:val="21"/>
          <w:highlight w:val="none"/>
          <w:u w:val="single"/>
        </w:rPr>
        <w:t xml:space="preserve">18.1 投标人上传电子投标文件的时间不得迟于招标公告中规定的投标截止时间。</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440" w:lineRule="exact"/>
        <w:rPr>
          <w:rFonts w:ascii="宋体" w:hAnsi="宋体" w:cs="宋体"/>
          <w:b/>
          <w:color w:val="auto"/>
          <w:szCs w:val="21"/>
          <w:highlight w:val="none"/>
        </w:rPr>
      </w:pPr>
      <w:r/>
      <w:bookmarkStart w:id="45" w:name="_Toc16938543"/>
      <w:r/>
      <w:bookmarkStart w:id="46" w:name="_Toc20823299"/>
      <w:r/>
      <w:bookmarkStart w:id="47" w:name="_Toc513029227"/>
      <w:r>
        <w:rPr>
          <w:rFonts w:hint="eastAsia" w:ascii="宋体" w:hAnsi="宋体" w:cs="宋体"/>
          <w:b/>
          <w:color w:val="auto"/>
          <w:szCs w:val="21"/>
          <w:highlight w:val="none"/>
        </w:rPr>
        <w:t xml:space="preserve">19、投标文件</w:t>
      </w:r>
      <w:bookmarkEnd w:id="45"/>
      <w:r/>
      <w:bookmarkEnd w:id="46"/>
      <w:r/>
      <w:bookmarkEnd w:id="47"/>
      <w:r>
        <w:rPr>
          <w:rFonts w:hint="eastAsia" w:ascii="宋体" w:hAnsi="宋体" w:cs="宋体"/>
          <w:b/>
          <w:color w:val="auto"/>
          <w:szCs w:val="21"/>
          <w:highlight w:val="none"/>
        </w:rPr>
        <w:t xml:space="preserve">的拒收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spacing w:line="440" w:lineRule="exact"/>
        <w:rPr>
          <w:rFonts w:ascii="宋体" w:hAnsi="宋体" w:cs="宋体"/>
          <w:b/>
          <w:color w:val="auto"/>
          <w:szCs w:val="21"/>
          <w:highlight w:val="none"/>
        </w:rPr>
      </w:pPr>
      <w:r/>
      <w:bookmarkStart w:id="48" w:name="_Toc20823300"/>
      <w:r/>
      <w:bookmarkStart w:id="49" w:name="_Toc16938544"/>
      <w:r/>
      <w:bookmarkStart w:id="50" w:name="_Toc513029228"/>
      <w:r>
        <w:rPr>
          <w:rFonts w:hint="eastAsia" w:ascii="宋体" w:hAnsi="宋体" w:cs="宋体"/>
          <w:b/>
          <w:color w:val="auto"/>
          <w:szCs w:val="21"/>
          <w:highlight w:val="none"/>
        </w:rPr>
        <w:t xml:space="preserve">20、投标文件的撤回和修改</w:t>
      </w:r>
      <w:bookmarkEnd w:id="48"/>
      <w:r/>
      <w:bookmarkEnd w:id="49"/>
      <w:r/>
      <w:bookmarkEnd w:id="50"/>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20.3 在投标截止时间之后，投标人不得对其电子投标文件作任何修改。</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20.4 在投标截止时间至招标文件中规定的投标有效期满之间的这段时间内，投标人不得撤回其投标。</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21、开标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21.2投标人不足3家的，不得开标。</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w:t>
      </w:r>
      <w:r>
        <w:rPr>
          <w:rFonts w:hint="eastAsia" w:ascii="宋体" w:hAnsi="宋体" w:cs="宋体"/>
          <w:b/>
          <w:color w:val="auto"/>
          <w:szCs w:val="21"/>
          <w:highlight w:val="none"/>
        </w:rPr>
        <w:t xml:space="preserve">21.3开标仪式由代理机构主持。“政府采购管理交易系统（苏采云）”将自动对项目进行开标，并宣读各投标人的《开标一览表》。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21.4投标人在开标过程中涉及到的投标文件解密、开标结果确认等工作，应按照《操作手册》规定执行。</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22、评标委员会</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22.1 开标后，代理机构将立即组织评标委员会（以下简称评委会）进行评标。</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22.2 评委会由采购人代表和有关技术、经济等方面的专家组成，且人员构成符合政府采购有关规定。</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22.3评委会独立工作，负责评审所有投标文件并确定中标候选人。</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23.4 代理机构和评委会不向未中标的投标人解释未中标原因，也不公布评标过程中的相关细节。</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24、投标的澄清</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24.3 接到评委会澄清要求的投标人如未按规定做出澄清，其风险由投标人自行承担。</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25.7 投标人在开、评标全过程中应保持通讯畅通，并安排专人与代理机构及评委会联系。</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26、无效投标、废标及投标人不足三家的处理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26.1.1 投标人未成功解密电子投标文件的。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26.1.2 投标人未按照招标文件要求上传电子投标文件的。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26.1.7不符合招标文件中规定的其他实质性要求和条件的（</w:t>
      </w:r>
      <w:r>
        <w:rPr>
          <w:rFonts w:hint="eastAsia" w:ascii="宋体" w:hAnsi="宋体" w:cs="宋体"/>
          <w:bCs/>
          <w:i/>
          <w:iCs/>
          <w:color w:val="auto"/>
          <w:szCs w:val="21"/>
          <w:highlight w:val="none"/>
          <w:u w:val="single"/>
        </w:rPr>
        <w:t xml:space="preserve">本招标文件中斜体且有下划线部分为实质性要求和条件</w:t>
      </w:r>
      <w:r>
        <w:rPr>
          <w:rFonts w:hint="eastAsia" w:ascii="宋体" w:hAnsi="宋体" w:cs="宋体"/>
          <w:bCs/>
          <w:color w:val="auto"/>
          <w:szCs w:val="21"/>
          <w:highlight w:val="none"/>
        </w:rPr>
        <w:t xml:space="preserve">）。</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26.1.12 投标文件未按照招标文件要求加盖电子签章。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26.1.13其他法律、法规及本招标文件规定的属无效投标的情形。</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27.1评委会根据本招标文件规定评标方法与评标标准向采购人推荐出中标候选人。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27.2 采购人应根据评委会推荐的中标候选人确定中标人。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27.3代理机构将在“扬州市政府采购网”、“江苏省政府采购网”发布中标公告，公告期限为1个工作日。</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27.4.4属于本文件规定的无效条件，但在评标过程中又未被评委会发现的；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 有下列情形之一的，视为投标人串通投标，投标无效：</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28、质疑处理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cs="宋体"/>
          <w:bCs/>
          <w:color w:val="auto"/>
          <w:szCs w:val="21"/>
          <w:highlight w:val="none"/>
        </w:rPr>
        <w:br w:type="textWrapping" w:clear="all"/>
      </w:r>
      <w:r>
        <w:rPr>
          <w:rFonts w:hint="eastAsia" w:ascii="宋体" w:hAnsi="宋体" w:cs="宋体"/>
          <w:bCs/>
          <w:color w:val="auto"/>
          <w:szCs w:val="21"/>
          <w:highlight w:val="none"/>
        </w:rPr>
        <w:t xml:space="preserve">    28.2.2对采购过程提出质疑的，为各采购程序环节结束之日起7个工作日内提出。</w:t>
      </w:r>
      <w:r>
        <w:rPr>
          <w:rFonts w:hint="eastAsia" w:ascii="宋体" w:hAnsi="宋体" w:cs="宋体"/>
          <w:bCs/>
          <w:color w:val="auto"/>
          <w:szCs w:val="21"/>
          <w:highlight w:val="none"/>
        </w:rPr>
        <w:br w:type="textWrapping" w:clear="all"/>
      </w:r>
      <w:r>
        <w:rPr>
          <w:rFonts w:hint="eastAsia" w:ascii="宋体" w:hAnsi="宋体" w:cs="宋体"/>
          <w:bCs/>
          <w:color w:val="auto"/>
          <w:szCs w:val="21"/>
          <w:highlight w:val="none"/>
        </w:rPr>
        <w:t xml:space="preserve">    28.2.3对中标结果提出质疑的，为中标结果公告期限届满之日起7个工作日内提出。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28.5 代理机构及采购人只接收以纸质原件形式送达的质疑，</w:t>
      </w:r>
      <w:r>
        <w:rPr>
          <w:rFonts w:hint="eastAsia" w:ascii="宋体" w:hAnsi="宋体" w:cs="宋体"/>
          <w:b/>
          <w:color w:val="auto"/>
          <w:szCs w:val="21"/>
          <w:highlight w:val="none"/>
          <w:u w:val="single"/>
        </w:rPr>
        <w:t xml:space="preserve">同时需与采购代理机构经办人确认是否收到《质疑函》，如供应商未按上述要求去做，将自行承担所产生的风险。</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采购人质疑接收人及联系方式见招标文件第一章。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 以下情形的质疑不予受理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28.8.1 内容不符合《政府采购质疑和投诉办法》第十二条规定的质疑。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28.8.2 超出政府采购法定期限的质疑。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28.8.3 以传真、电子邮件等方式递交的非原件形式的质疑。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28.8.4 未参加投标活动的供应商或在投标活动中自身权益未受到损害的供应商所提出的质疑。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29、中标通知书</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29.l 中标结果确定后，代理机构将向中标人发出中标通知书。</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29.2 中标人可在“政府采购管理交易系统（苏采云）”中标通知书下载模块中自行下载中标通知书。</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30、 签订合同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30.l中标人应在中标通知书发出之日起十五日内，按照招标文件确定的事项与采购人签订政府采购合同。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30.2 招标文件、中标人的投标文件及招标过程中有关澄清、承诺文件均应作为合同附件。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30.3 合同在“政府采购管理交易系统（苏采云）”中签订，签订合同后，</w:t>
      </w:r>
      <w:r>
        <w:rPr>
          <w:rFonts w:hint="eastAsia" w:ascii="宋体" w:hAnsi="宋体" w:cs="宋体"/>
          <w:bCs/>
          <w:i/>
          <w:iCs/>
          <w:color w:val="auto"/>
          <w:szCs w:val="21"/>
          <w:highlight w:val="none"/>
          <w:u w:val="single"/>
        </w:rPr>
        <w:t xml:space="preserve">中标人不得将货物或服务及其他服务进行转包</w:t>
      </w:r>
      <w:r>
        <w:rPr>
          <w:rFonts w:hint="eastAsia" w:ascii="宋体" w:hAnsi="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jc w:val="left"/>
        <w:spacing w:line="440" w:lineRule="exact"/>
        <w:rPr>
          <w:rFonts w:ascii="宋体" w:hAnsi="宋体" w:cs="宋体"/>
          <w:bCs/>
          <w:color w:val="auto"/>
          <w:szCs w:val="21"/>
          <w:highlight w:val="none"/>
        </w:rPr>
      </w:pPr>
      <w:r>
        <w:rPr>
          <w:rFonts w:hint="eastAsia" w:ascii="宋体" w:hAnsi="宋体" w:cs="宋体"/>
          <w:b/>
          <w:bCs/>
          <w:color w:val="auto"/>
          <w:szCs w:val="21"/>
          <w:highlight w:val="none"/>
        </w:rPr>
        <w:t xml:space="preserve">31、其他</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    31.1 依据《政府采购促进中小企业发展管理办法》享受享受扶持政策获得政府采购合同的，小微企业不得将合同分包给大中型企业，中型企业不得将合同分包给大型企业。</w:t>
      </w:r>
      <w:r/>
    </w:p>
    <w:p>
      <w:pPr>
        <w:pStyle w:val="974"/>
        <w:jc w:val="center"/>
        <w:rPr>
          <w:rFonts w:ascii="宋体" w:hAnsi="宋体"/>
          <w:color w:val="auto"/>
          <w:szCs w:val="36"/>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bookmarkStart w:id="51" w:name="_Toc55204179"/>
      <w:r/>
      <w:bookmarkStart w:id="52" w:name="_Hlk69392822"/>
      <w:r/>
      <w:r/>
    </w:p>
    <w:p>
      <w:pPr>
        <w:pStyle w:val="974"/>
        <w:jc w:val="center"/>
        <w:rPr>
          <w:rFonts w:ascii="宋体" w:hAnsi="宋体"/>
          <w:color w:val="auto"/>
          <w:szCs w:val="36"/>
          <w:highlight w:val="none"/>
        </w:rPr>
      </w:pPr>
      <w:r>
        <w:rPr>
          <w:rFonts w:hint="eastAsia" w:ascii="宋体" w:hAnsi="宋体"/>
          <w:color w:val="auto"/>
          <w:szCs w:val="36"/>
          <w:highlight w:val="none"/>
        </w:rPr>
        <w:t xml:space="preserve">第三章 合同条款及格式</w:t>
      </w:r>
      <w:bookmarkEnd w:id="51"/>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以下为中标后签定本项目合同的通用条款，</w:t>
      </w:r>
      <w:r>
        <w:rPr>
          <w:rFonts w:hint="eastAsia" w:hAnsi="宋体"/>
          <w:color w:val="auto"/>
          <w:sz w:val="21"/>
          <w:highlight w:val="none"/>
          <w:lang w:val="en-US" w:eastAsia="zh-CN"/>
        </w:rPr>
        <w:t xml:space="preserve">具体内容以合同签订为准</w:t>
      </w:r>
      <w:r>
        <w:rPr>
          <w:rFonts w:hint="eastAsia" w:hAnsi="宋体"/>
          <w:color w:val="auto"/>
          <w:sz w:val="21"/>
          <w:highlight w:val="none"/>
        </w:rPr>
        <w:t xml:space="preserve">。</w:t>
      </w:r>
      <w:r/>
    </w:p>
    <w:p>
      <w:pPr>
        <w:pStyle w:val="1001"/>
        <w:ind w:firstLine="422"/>
        <w:jc w:val="center"/>
        <w:spacing w:before="120" w:after="120" w:line="360" w:lineRule="auto"/>
        <w:rPr>
          <w:rFonts w:hAnsi="宋体"/>
          <w:b/>
          <w:bCs/>
          <w:color w:val="auto"/>
          <w:sz w:val="21"/>
          <w:highlight w:val="none"/>
        </w:rPr>
      </w:pPr>
      <w:r>
        <w:rPr>
          <w:rFonts w:hint="eastAsia" w:hAnsi="宋体"/>
          <w:b/>
          <w:bCs/>
          <w:color w:val="auto"/>
          <w:sz w:val="21"/>
          <w:highlight w:val="none"/>
        </w:rPr>
        <w:t xml:space="preserve">扬州市政府采购合同（服务)（合同编号）</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项目名称：</w:t>
      </w:r>
      <w:r>
        <w:rPr>
          <w:rFonts w:hint="eastAsia" w:hAnsi="宋体"/>
          <w:color w:val="auto"/>
          <w:sz w:val="21"/>
          <w:highlight w:val="none"/>
          <w:lang w:eastAsia="zh-CN"/>
        </w:rPr>
        <w:t xml:space="preserve">扬州市《海绵示范城市系统化建设方案》及海绵城市成果凝练总结采购项目</w:t>
      </w:r>
      <w:r>
        <w:rPr>
          <w:rFonts w:hint="eastAsia" w:hAnsi="宋体"/>
          <w:color w:val="auto"/>
          <w:sz w:val="21"/>
          <w:highlight w:val="none"/>
        </w:rPr>
        <w:t xml:space="preserve">               </w:t>
      </w:r>
      <w:r/>
    </w:p>
    <w:p>
      <w:pPr>
        <w:pStyle w:val="100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项目编号：</w:t>
      </w:r>
      <w:r>
        <w:rPr>
          <w:rFonts w:hint="eastAsia" w:hAnsi="宋体"/>
          <w:color w:val="auto"/>
          <w:sz w:val="21"/>
          <w:highlight w:val="none"/>
          <w:lang w:eastAsia="zh-CN"/>
        </w:rPr>
        <w:t xml:space="preserve">JSZC-321000-YZSJ-G2026-0001号</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甲方（</w:t>
      </w:r>
      <w:r>
        <w:rPr>
          <w:rFonts w:hint="eastAsia" w:hAnsi="宋体"/>
          <w:color w:val="auto"/>
          <w:sz w:val="21"/>
          <w:highlight w:val="none"/>
          <w:lang w:val="en-US" w:eastAsia="zh-CN"/>
        </w:rPr>
        <w:t xml:space="preserve">采购人</w:t>
      </w:r>
      <w:r>
        <w:rPr>
          <w:rFonts w:hint="eastAsia" w:hAnsi="宋体"/>
          <w:color w:val="auto"/>
          <w:sz w:val="21"/>
          <w:highlight w:val="none"/>
        </w:rPr>
        <w:t xml:space="preserve">）：扬州市住房和城乡建设局</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乙方（</w:t>
      </w:r>
      <w:r>
        <w:rPr>
          <w:rFonts w:hint="eastAsia" w:hAnsi="宋体"/>
          <w:color w:val="auto"/>
          <w:sz w:val="21"/>
          <w:highlight w:val="none"/>
          <w:lang w:val="en-US" w:eastAsia="zh-CN"/>
        </w:rPr>
        <w:t xml:space="preserve">中标人</w:t>
      </w:r>
      <w:r>
        <w:rPr>
          <w:rFonts w:hint="eastAsia" w:hAnsi="宋体"/>
          <w:color w:val="auto"/>
          <w:sz w:val="21"/>
          <w:highlight w:val="none"/>
        </w:rPr>
        <w:t xml:space="preserve">）：_________</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见证方：</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甲、乙双方根据</w:t>
      </w:r>
      <w:r>
        <w:rPr>
          <w:rFonts w:hint="eastAsia" w:hAnsi="宋体"/>
          <w:color w:val="auto"/>
          <w:sz w:val="21"/>
          <w:highlight w:val="none"/>
          <w:lang w:eastAsia="zh-CN"/>
        </w:rPr>
        <w:t xml:space="preserve">扬州市建苑工程监理有限责任公司</w:t>
      </w:r>
      <w:r>
        <w:rPr>
          <w:rFonts w:hint="eastAsia" w:hAnsi="宋体"/>
          <w:color w:val="auto"/>
          <w:sz w:val="21"/>
          <w:highlight w:val="none"/>
          <w:u w:val="single"/>
        </w:rPr>
        <w:t xml:space="preserve">扬州市《海绵示范城市系统化建设方案》及海绵城市成果凝练总结采购项目</w:t>
      </w:r>
      <w:r>
        <w:rPr>
          <w:rFonts w:hint="eastAsia" w:hAnsi="宋体"/>
          <w:color w:val="auto"/>
          <w:sz w:val="21"/>
          <w:highlight w:val="none"/>
        </w:rPr>
        <w:t xml:space="preserve">公开招标的结果，签署本合同。</w:t>
      </w:r>
      <w:r/>
    </w:p>
    <w:p>
      <w:pPr>
        <w:pStyle w:val="1001"/>
        <w:ind w:firstLine="422"/>
        <w:spacing w:before="120" w:after="120" w:line="360" w:lineRule="auto"/>
        <w:rPr>
          <w:rFonts w:hint="eastAsia" w:hAnsi="宋体" w:eastAsia="宋体"/>
          <w:b/>
          <w:bCs/>
          <w:color w:val="auto"/>
          <w:sz w:val="21"/>
          <w:highlight w:val="none"/>
          <w:lang w:val="en-US" w:eastAsia="zh-CN"/>
        </w:rPr>
      </w:pPr>
      <w:r>
        <w:rPr>
          <w:rFonts w:hint="eastAsia" w:hAnsi="宋体"/>
          <w:b/>
          <w:bCs/>
          <w:color w:val="auto"/>
          <w:sz w:val="21"/>
          <w:highlight w:val="none"/>
        </w:rPr>
        <w:t xml:space="preserve">一、服务</w:t>
      </w:r>
      <w:r>
        <w:rPr>
          <w:rFonts w:hint="eastAsia" w:hAnsi="宋体"/>
          <w:b/>
          <w:bCs/>
          <w:color w:val="auto"/>
          <w:sz w:val="21"/>
          <w:highlight w:val="none"/>
          <w:lang w:val="en-US" w:eastAsia="zh-CN"/>
        </w:rPr>
        <w:t xml:space="preserve">内容</w:t>
      </w:r>
      <w:r/>
    </w:p>
    <w:p>
      <w:pPr>
        <w:pStyle w:val="1001"/>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1.1 项目名称：扬州市《海绵示范城市系统化建设方案》及海绵城市成果凝练总结采购项目</w:t>
      </w:r>
      <w:r/>
    </w:p>
    <w:p>
      <w:pPr>
        <w:pStyle w:val="1001"/>
        <w:ind w:firstLine="420"/>
        <w:spacing w:before="120" w:after="120" w:line="360" w:lineRule="auto"/>
        <w:rPr>
          <w:rFonts w:hint="default" w:hAnsi="宋体" w:eastAsia="宋体"/>
          <w:color w:val="auto"/>
          <w:sz w:val="21"/>
          <w:highlight w:val="none"/>
          <w:lang w:val="en-US" w:eastAsia="zh-CN"/>
        </w:rPr>
      </w:pPr>
      <w:r>
        <w:rPr>
          <w:rFonts w:hint="eastAsia" w:hAnsi="宋体"/>
          <w:color w:val="auto"/>
          <w:sz w:val="21"/>
          <w:highlight w:val="none"/>
        </w:rPr>
        <w:t xml:space="preserve">1.2 项目服务内容：</w:t>
      </w:r>
      <w:r>
        <w:rPr>
          <w:rFonts w:hint="eastAsia" w:hAnsi="宋体"/>
          <w:color w:val="auto"/>
          <w:sz w:val="21"/>
          <w:highlight w:val="none"/>
          <w:lang w:val="en-US" w:eastAsia="zh-CN"/>
        </w:rPr>
        <w:t xml:space="preserve">详见招标文件项目需求</w:t>
      </w:r>
      <w:r/>
    </w:p>
    <w:p>
      <w:pPr>
        <w:pStyle w:val="1001"/>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二、合同金额</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2.1 本合同金额为（大写）：____________________圆（_______________元）人民币。</w:t>
      </w:r>
      <w:r/>
    </w:p>
    <w:p>
      <w:pPr>
        <w:pStyle w:val="1001"/>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三、技术资料</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3.1乙方应按招标文件规定的时间向甲方提供使用货物及服务的有关技术资料。</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01"/>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四、知识产权</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1001"/>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五、产权担保</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5.1 乙方保证所交付的货物及服务的所有权完全属于乙方且无任何抵押、查封等产权瑕疵。</w:t>
      </w:r>
      <w:r/>
    </w:p>
    <w:p>
      <w:pPr>
        <w:pStyle w:val="1001"/>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六、履约保证金</w:t>
      </w:r>
      <w:r/>
    </w:p>
    <w:p>
      <w:pPr>
        <w:pStyle w:val="1001"/>
        <w:ind w:firstLine="420"/>
        <w:spacing w:before="120" w:after="120" w:line="360" w:lineRule="auto"/>
        <w:rPr>
          <w:rFonts w:hAnsi="宋体"/>
          <w:color w:val="auto"/>
          <w:sz w:val="21"/>
          <w:highlight w:val="none"/>
        </w:rPr>
      </w:pPr>
      <w:r>
        <w:rPr>
          <w:rFonts w:hAnsi="宋体"/>
          <w:color w:val="auto"/>
          <w:sz w:val="21"/>
          <w:highlight w:val="none"/>
        </w:rPr>
        <w:t xml:space="preserve">6.1 收取履约保证金的，</w:t>
      </w:r>
      <w:r>
        <w:rPr>
          <w:rFonts w:hint="eastAsia" w:hAnsi="宋体"/>
          <w:color w:val="auto"/>
          <w:sz w:val="21"/>
          <w:highlight w:val="none"/>
        </w:rPr>
        <w:t xml:space="preserve">允许中标人自主选择支票、汇票、本票、保函等非现金形式缴纳或提交，</w:t>
      </w:r>
      <w:r>
        <w:rPr>
          <w:rFonts w:hAnsi="宋体"/>
          <w:color w:val="auto"/>
          <w:sz w:val="21"/>
          <w:highlight w:val="none"/>
        </w:rPr>
        <w:t xml:space="preserve">应当在采购合同中约定履约保证金退还的方式、时间、条件和不予退还的情形，明确逾期退还履约保证金的违约责任。</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1001"/>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6.4 履约保证金收取：无</w:t>
      </w:r>
      <w:r/>
    </w:p>
    <w:p>
      <w:pPr>
        <w:pStyle w:val="1001"/>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七、转包或分包</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7.1本合同范围的货物及服务，应由乙方直接供应，不得转让他人供应；</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1001"/>
        <w:ind w:left="315" w:firstLine="105"/>
        <w:spacing w:before="120" w:after="120" w:line="360" w:lineRule="auto"/>
        <w:rPr>
          <w:rFonts w:hAnsi="宋体"/>
          <w:b/>
          <w:bCs/>
          <w:color w:val="auto"/>
          <w:sz w:val="21"/>
          <w:highlight w:val="none"/>
        </w:rPr>
      </w:pPr>
      <w:r>
        <w:rPr>
          <w:rFonts w:hint="eastAsia" w:hAnsi="宋体"/>
          <w:b/>
          <w:bCs/>
          <w:color w:val="auto"/>
          <w:sz w:val="21"/>
          <w:highlight w:val="none"/>
        </w:rPr>
        <w:t xml:space="preserve">八、服务期</w:t>
      </w:r>
      <w:r/>
    </w:p>
    <w:p>
      <w:pPr>
        <w:pStyle w:val="1001"/>
        <w:ind w:firstLine="420"/>
        <w:spacing w:before="120" w:after="120" w:line="360" w:lineRule="auto"/>
        <w:rPr>
          <w:rFonts w:hint="default" w:hAnsi="宋体" w:eastAsia="宋体"/>
          <w:color w:val="auto"/>
          <w:sz w:val="21"/>
          <w:highlight w:val="none"/>
          <w:u w:val="single"/>
          <w:lang w:val="en-US" w:eastAsia="zh-CN"/>
        </w:rPr>
      </w:pPr>
      <w:r>
        <w:rPr>
          <w:rFonts w:hint="eastAsia" w:hAnsi="宋体"/>
          <w:color w:val="auto"/>
          <w:sz w:val="21"/>
          <w:highlight w:val="none"/>
        </w:rPr>
        <w:t xml:space="preserve">8.1 服务期：</w:t>
      </w:r>
      <w:r>
        <w:rPr>
          <w:rFonts w:hint="eastAsia" w:hAnsi="宋体"/>
          <w:color w:val="auto"/>
          <w:sz w:val="21"/>
          <w:highlight w:val="none"/>
          <w:u w:val="single"/>
          <w:lang w:val="en-US" w:eastAsia="zh-CN"/>
        </w:rPr>
        <w:t xml:space="preserve">自合同签订之日起一年。</w:t>
      </w:r>
      <w:r/>
    </w:p>
    <w:p>
      <w:pPr>
        <w:pStyle w:val="1017"/>
        <w:ind w:firstLine="422"/>
        <w:spacing w:line="360" w:lineRule="auto"/>
        <w:rPr>
          <w:rFonts w:hint="eastAsia" w:hAnsi="宋体"/>
          <w:b/>
          <w:bCs/>
          <w:sz w:val="21"/>
        </w:rPr>
      </w:pPr>
      <w:r>
        <w:rPr>
          <w:rFonts w:hint="eastAsia" w:hAnsi="宋体"/>
          <w:b/>
          <w:bCs/>
          <w:sz w:val="21"/>
        </w:rPr>
        <w:t xml:space="preserve">九、服务方式及地点</w:t>
      </w:r>
      <w:r/>
    </w:p>
    <w:p>
      <w:pPr>
        <w:pStyle w:val="1017"/>
        <w:ind w:firstLine="420"/>
        <w:spacing w:line="360" w:lineRule="auto"/>
        <w:rPr>
          <w:rFonts w:hint="eastAsia" w:hAnsi="宋体"/>
          <w:sz w:val="21"/>
        </w:rPr>
      </w:pPr>
      <w:r>
        <w:rPr>
          <w:rFonts w:hint="eastAsia" w:hAnsi="宋体"/>
          <w:sz w:val="21"/>
        </w:rPr>
        <w:t xml:space="preserve">9.</w:t>
      </w:r>
      <w:r>
        <w:rPr>
          <w:rFonts w:hAnsi="宋体"/>
          <w:sz w:val="21"/>
        </w:rPr>
        <w:t xml:space="preserve">1</w:t>
      </w:r>
      <w:r>
        <w:rPr>
          <w:rFonts w:hint="eastAsia" w:hAnsi="宋体"/>
          <w:sz w:val="21"/>
        </w:rPr>
        <w:t xml:space="preserve"> 服务方式：</w:t>
      </w:r>
      <w:r>
        <w:rPr>
          <w:rFonts w:hint="eastAsia" w:hAnsi="宋体"/>
          <w:bCs/>
          <w:sz w:val="21"/>
          <w:u w:val="single"/>
        </w:rPr>
        <w:t xml:space="preserve">按照招标文件及甲方要求</w:t>
      </w:r>
      <w:r/>
    </w:p>
    <w:p>
      <w:pPr>
        <w:pStyle w:val="1017"/>
        <w:ind w:firstLine="420"/>
        <w:spacing w:line="360" w:lineRule="auto"/>
        <w:rPr>
          <w:rFonts w:hint="eastAsia" w:hAnsi="宋体"/>
          <w:sz w:val="21"/>
        </w:rPr>
      </w:pPr>
      <w:r>
        <w:rPr>
          <w:rFonts w:hint="eastAsia" w:hAnsi="宋体"/>
          <w:sz w:val="21"/>
        </w:rPr>
        <w:t xml:space="preserve">9.</w:t>
      </w:r>
      <w:r>
        <w:rPr>
          <w:rFonts w:hAnsi="宋体"/>
          <w:sz w:val="21"/>
        </w:rPr>
        <w:t xml:space="preserve">2</w:t>
      </w:r>
      <w:r>
        <w:rPr>
          <w:rFonts w:hint="eastAsia" w:hAnsi="宋体"/>
          <w:sz w:val="21"/>
        </w:rPr>
        <w:t xml:space="preserve"> 服务地点：</w:t>
      </w:r>
      <w:r>
        <w:rPr>
          <w:rFonts w:hint="eastAsia" w:hAnsi="宋体"/>
          <w:sz w:val="21"/>
          <w:u w:val="single"/>
        </w:rPr>
        <w:t xml:space="preserve">甲方指定地点</w:t>
      </w:r>
      <w:r/>
    </w:p>
    <w:p>
      <w:pPr>
        <w:pStyle w:val="1001"/>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pStyle w:val="1001"/>
        <w:ind w:firstLine="420"/>
        <w:spacing w:line="440" w:lineRule="exact"/>
        <w:rPr>
          <w:rFonts w:hint="eastAsia" w:hAnsi="宋体" w:cs="宋体"/>
          <w:color w:val="auto"/>
          <w:sz w:val="21"/>
          <w:highlight w:val="none"/>
        </w:rPr>
      </w:pPr>
      <w:r>
        <w:rPr>
          <w:rFonts w:hint="eastAsia" w:hAnsi="宋体" w:cs="宋体"/>
          <w:color w:val="auto"/>
          <w:sz w:val="21"/>
          <w:highlight w:val="none"/>
        </w:rPr>
        <w:t xml:space="preserve">10.3 </w:t>
      </w:r>
      <w:r/>
    </w:p>
    <w:p>
      <w:pPr>
        <w:pStyle w:val="1001"/>
        <w:ind w:firstLine="420"/>
        <w:spacing w:line="440" w:lineRule="exact"/>
        <w:rPr>
          <w:rFonts w:hAnsi="宋体" w:cs="宋体"/>
          <w:color w:val="auto"/>
          <w:sz w:val="21"/>
          <w:highlight w:val="none"/>
        </w:rPr>
      </w:pPr>
      <w:r>
        <w:rPr>
          <w:rFonts w:hint="eastAsia" w:hAnsi="宋体" w:cs="宋体"/>
          <w:color w:val="auto"/>
          <w:sz w:val="21"/>
          <w:highlight w:val="none"/>
          <w:lang w:eastAsia="zh-CN"/>
        </w:rPr>
        <w:t xml:space="preserve">（</w:t>
      </w:r>
      <w:r>
        <w:rPr>
          <w:rFonts w:hint="eastAsia" w:hAnsi="宋体" w:cs="宋体"/>
          <w:color w:val="auto"/>
          <w:sz w:val="21"/>
          <w:highlight w:val="none"/>
          <w:lang w:val="en-US" w:eastAsia="zh-CN"/>
        </w:rPr>
        <w:t xml:space="preserve">一</w:t>
      </w:r>
      <w:r>
        <w:rPr>
          <w:rFonts w:hint="eastAsia" w:hAnsi="宋体" w:cs="宋体"/>
          <w:color w:val="auto"/>
          <w:sz w:val="21"/>
          <w:highlight w:val="none"/>
          <w:lang w:eastAsia="zh-CN"/>
        </w:rPr>
        <w:t xml:space="preserve">）</w:t>
      </w:r>
      <w:r>
        <w:rPr>
          <w:rFonts w:hint="eastAsia" w:hAnsi="宋体" w:cs="宋体"/>
          <w:color w:val="auto"/>
          <w:sz w:val="21"/>
          <w:highlight w:val="none"/>
        </w:rPr>
        <w:t xml:space="preserve">付款方式</w:t>
      </w:r>
      <w:r/>
    </w:p>
    <w:p>
      <w:pPr>
        <w:pStyle w:val="1001"/>
        <w:ind w:firstLine="420"/>
        <w:spacing w:line="440" w:lineRule="exact"/>
        <w:rPr>
          <w:rFonts w:hint="eastAsia" w:hAnsi="宋体" w:cs="宋体"/>
          <w:color w:val="auto"/>
          <w:sz w:val="21"/>
          <w:highlight w:val="none"/>
        </w:rPr>
      </w:pPr>
      <w:r>
        <w:rPr>
          <w:rFonts w:hint="eastAsia" w:hAnsi="宋体" w:cs="宋体"/>
          <w:color w:val="auto"/>
          <w:sz w:val="21"/>
          <w:highlight w:val="none"/>
        </w:rPr>
      </w:r>
      <w:r/>
    </w:p>
    <w:p>
      <w:pPr>
        <w:pStyle w:val="1001"/>
        <w:ind w:firstLine="420"/>
        <w:spacing w:line="440" w:lineRule="exact"/>
        <w:rPr>
          <w:rFonts w:hAnsi="宋体" w:cs="宋体"/>
          <w:color w:val="auto"/>
          <w:sz w:val="21"/>
          <w:highlight w:val="none"/>
        </w:rPr>
      </w:pPr>
      <w:r>
        <w:rPr>
          <w:rFonts w:hint="eastAsia" w:hAnsi="宋体" w:cs="宋体"/>
          <w:color w:val="auto"/>
          <w:sz w:val="21"/>
          <w:highlight w:val="none"/>
        </w:rPr>
        <w:t xml:space="preserve">（1）合同签订后，乙方向甲方开具正式发票，甲方自收到发票之日起10个工作日内支付乙方合同总价30%的预付款；</w:t>
      </w:r>
      <w:r/>
    </w:p>
    <w:p>
      <w:pPr>
        <w:pStyle w:val="1001"/>
        <w:ind w:firstLine="420"/>
        <w:spacing w:line="440" w:lineRule="exact"/>
        <w:rPr>
          <w:rFonts w:hint="eastAsia" w:hAnsi="宋体" w:cs="宋体"/>
          <w:color w:val="auto"/>
          <w:sz w:val="21"/>
          <w:highlight w:val="none"/>
          <w:lang w:val="en-US" w:eastAsia="zh-CN"/>
        </w:rPr>
      </w:pPr>
      <w:r>
        <w:rPr>
          <w:rFonts w:hint="eastAsia" w:hAnsi="宋体" w:cs="宋体"/>
          <w:color w:val="auto"/>
          <w:sz w:val="21"/>
          <w:highlight w:val="none"/>
        </w:rPr>
        <w:t xml:space="preserve">（2）</w:t>
      </w:r>
      <w:r>
        <w:rPr>
          <w:rFonts w:hint="eastAsia" w:hAnsi="宋体" w:cs="宋体"/>
          <w:color w:val="auto"/>
          <w:sz w:val="21"/>
          <w:highlight w:val="none"/>
          <w:lang w:val="en-US" w:eastAsia="zh-CN"/>
        </w:rPr>
        <w:t xml:space="preserve">完成方案编制并通过专家评审支付基础编制费用尾款，视考核情况支付甲方绩效考核费用。甲方自收到发票之日起10个工作日内完成支付。</w:t>
      </w:r>
      <w:r/>
    </w:p>
    <w:p>
      <w:pPr>
        <w:pStyle w:val="1001"/>
        <w:ind w:firstLine="420"/>
        <w:spacing w:line="440" w:lineRule="exact"/>
        <w:rPr>
          <w:rFonts w:hint="eastAsia" w:hAnsi="宋体" w:cs="宋体"/>
          <w:color w:val="auto"/>
          <w:sz w:val="21"/>
          <w:highlight w:val="none"/>
          <w:lang w:val="en-US" w:eastAsia="zh-CN"/>
        </w:rPr>
      </w:pPr>
      <w:r>
        <w:rPr>
          <w:rFonts w:hint="eastAsia" w:hAnsi="宋体" w:cs="宋体"/>
          <w:color w:val="auto"/>
          <w:sz w:val="21"/>
          <w:highlight w:val="none"/>
        </w:rPr>
        <w:t xml:space="preserve">注：200万为基础编制费用，400万元为</w:t>
      </w:r>
      <w:r>
        <w:rPr>
          <w:rFonts w:hint="eastAsia" w:hAnsi="宋体" w:cs="宋体"/>
          <w:color w:val="auto"/>
          <w:sz w:val="21"/>
          <w:highlight w:val="none"/>
          <w:lang w:val="en-US" w:eastAsia="zh-CN"/>
        </w:rPr>
        <w:t xml:space="preserve">甲方绩效考核</w:t>
      </w:r>
      <w:r>
        <w:rPr>
          <w:rFonts w:hint="eastAsia" w:hAnsi="宋体" w:cs="宋体"/>
          <w:color w:val="auto"/>
          <w:sz w:val="21"/>
          <w:highlight w:val="none"/>
        </w:rPr>
        <w:t xml:space="preserve">费用，</w:t>
      </w:r>
      <w:r>
        <w:rPr>
          <w:rFonts w:hint="eastAsia" w:hAnsi="宋体" w:cs="宋体"/>
          <w:color w:val="auto"/>
          <w:sz w:val="21"/>
          <w:highlight w:val="none"/>
          <w:lang w:val="en-US" w:eastAsia="zh-CN"/>
        </w:rPr>
        <w:t xml:space="preserve">甲方绩效考核</w:t>
      </w:r>
      <w:r>
        <w:rPr>
          <w:rFonts w:hint="eastAsia" w:hAnsi="宋体" w:cs="宋体"/>
          <w:color w:val="auto"/>
          <w:sz w:val="21"/>
          <w:highlight w:val="none"/>
        </w:rPr>
        <w:t xml:space="preserve">结果为</w:t>
      </w:r>
      <w:r>
        <w:rPr>
          <w:rFonts w:hint="eastAsia" w:hAnsi="宋体" w:cs="宋体"/>
          <w:color w:val="auto"/>
          <w:sz w:val="21"/>
          <w:highlight w:val="none"/>
          <w:lang w:val="en-US" w:eastAsia="zh-CN"/>
        </w:rPr>
        <w:t xml:space="preserve">合格则</w:t>
      </w:r>
      <w:r>
        <w:rPr>
          <w:rFonts w:hint="eastAsia" w:hAnsi="宋体" w:cs="宋体"/>
          <w:color w:val="auto"/>
          <w:sz w:val="21"/>
          <w:highlight w:val="none"/>
        </w:rPr>
        <w:t xml:space="preserve">全额支付绩效</w:t>
      </w:r>
      <w:r>
        <w:rPr>
          <w:rFonts w:hint="eastAsia" w:hAnsi="宋体" w:cs="宋体"/>
          <w:color w:val="auto"/>
          <w:sz w:val="21"/>
          <w:highlight w:val="none"/>
          <w:lang w:val="en-US" w:eastAsia="zh-CN"/>
        </w:rPr>
        <w:t xml:space="preserve">考核</w:t>
      </w:r>
      <w:r>
        <w:rPr>
          <w:rFonts w:hint="eastAsia" w:hAnsi="宋体" w:cs="宋体"/>
          <w:color w:val="auto"/>
          <w:sz w:val="21"/>
          <w:highlight w:val="none"/>
        </w:rPr>
        <w:t xml:space="preserve">费用，</w:t>
      </w:r>
      <w:r>
        <w:rPr>
          <w:rFonts w:hint="eastAsia" w:hAnsi="宋体" w:cs="宋体"/>
          <w:color w:val="auto"/>
          <w:sz w:val="21"/>
          <w:highlight w:val="none"/>
          <w:lang w:val="en-US" w:eastAsia="zh-CN"/>
        </w:rPr>
        <w:t xml:space="preserve">不合格则</w:t>
      </w:r>
      <w:r>
        <w:rPr>
          <w:rFonts w:hint="eastAsia" w:hAnsi="宋体" w:cs="宋体"/>
          <w:color w:val="auto"/>
          <w:sz w:val="21"/>
          <w:highlight w:val="none"/>
        </w:rPr>
        <w:t xml:space="preserve">不予支付绩效</w:t>
      </w:r>
      <w:r>
        <w:rPr>
          <w:rFonts w:hint="eastAsia" w:hAnsi="宋体" w:cs="宋体"/>
          <w:color w:val="auto"/>
          <w:sz w:val="21"/>
          <w:highlight w:val="none"/>
          <w:lang w:val="en-US" w:eastAsia="zh-CN"/>
        </w:rPr>
        <w:t xml:space="preserve">考核</w:t>
      </w:r>
      <w:r>
        <w:rPr>
          <w:rFonts w:hint="eastAsia" w:hAnsi="宋体" w:cs="宋体"/>
          <w:color w:val="auto"/>
          <w:sz w:val="21"/>
          <w:highlight w:val="none"/>
        </w:rPr>
        <w:t xml:space="preserve">费用。（具体支付费用以实际中标价为准，基础编制费用与</w:t>
      </w:r>
      <w:r>
        <w:rPr>
          <w:rFonts w:hint="eastAsia" w:hAnsi="宋体" w:cs="宋体"/>
          <w:color w:val="auto"/>
          <w:sz w:val="21"/>
          <w:highlight w:val="none"/>
          <w:lang w:val="en-US" w:eastAsia="zh-CN"/>
        </w:rPr>
        <w:t xml:space="preserve">甲方绩效考核</w:t>
      </w:r>
      <w:r>
        <w:rPr>
          <w:rFonts w:hint="eastAsia" w:hAnsi="宋体" w:cs="宋体"/>
          <w:color w:val="auto"/>
          <w:sz w:val="21"/>
          <w:highlight w:val="none"/>
        </w:rPr>
        <w:t xml:space="preserve">费用占比分别为33.3%和66.7%）以上合同资金需等财政资金落实后方可支付。</w:t>
      </w:r>
      <w:r/>
    </w:p>
    <w:p>
      <w:pPr>
        <w:pStyle w:val="1001"/>
        <w:numPr>
          <w:ilvl w:val="0"/>
          <w:numId w:val="4"/>
        </w:numPr>
        <w:ind w:firstLine="420"/>
        <w:spacing w:line="440" w:lineRule="exact"/>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甲方绩效考核 </w:t>
      </w:r>
      <w:r/>
    </w:p>
    <w:p>
      <w:pPr>
        <w:pStyle w:val="1001"/>
        <w:ind w:firstLine="420"/>
        <w:spacing w:line="440" w:lineRule="exact"/>
        <w:rPr>
          <w:rFonts w:hint="eastAsia" w:hAnsi="宋体" w:cs="宋体"/>
          <w:color w:val="auto"/>
          <w:sz w:val="21"/>
          <w:highlight w:val="none"/>
          <w:lang w:val="en-US" w:eastAsia="zh-CN"/>
        </w:rPr>
      </w:pPr>
      <w:r>
        <w:rPr>
          <w:rFonts w:hint="eastAsia" w:hAnsi="宋体" w:cs="宋体"/>
          <w:color w:val="auto"/>
          <w:sz w:val="21"/>
          <w:highlight w:val="none"/>
          <w:lang w:val="en-US" w:eastAsia="zh-CN"/>
        </w:rPr>
        <w:t xml:space="preserve">1、甲方绩效考核结果作为合同支付、管理监督的重要依据，具体分为合格、不合格两个等次，其中85分及以上为合格，85分以下为不合格。</w:t>
      </w:r>
      <w:r/>
    </w:p>
    <w:p>
      <w:pPr>
        <w:pStyle w:val="1001"/>
        <w:ind w:firstLine="420"/>
        <w:spacing w:line="440" w:lineRule="exact"/>
        <w:rPr>
          <w:rFonts w:hint="default" w:hAnsi="宋体" w:cs="宋体"/>
          <w:color w:val="auto"/>
          <w:sz w:val="18"/>
          <w:szCs w:val="18"/>
          <w:highlight w:val="none"/>
          <w:lang w:val="en-US" w:eastAsia="zh-CN"/>
        </w:rPr>
      </w:pPr>
      <w:r>
        <w:rPr>
          <w:rFonts w:hint="eastAsia" w:hAnsi="宋体" w:cs="宋体"/>
          <w:color w:val="auto"/>
          <w:sz w:val="21"/>
          <w:highlight w:val="none"/>
          <w:lang w:val="en-US" w:eastAsia="zh-CN"/>
        </w:rPr>
        <w:t xml:space="preserve">2、</w:t>
      </w:r>
      <w:r>
        <w:rPr>
          <w:rFonts w:hint="eastAsia" w:hAnsi="宋体" w:cs="宋体"/>
          <w:color w:val="auto"/>
          <w:sz w:val="21"/>
          <w:szCs w:val="21"/>
          <w:highlight w:val="none"/>
          <w:lang w:val="en-US" w:eastAsia="zh-CN"/>
        </w:rPr>
        <w:t xml:space="preserve">扬州市《海绵示范城市系统化建设方案》及海绵城市成果凝练总结项目绩效考核表</w:t>
      </w:r>
      <w:r/>
    </w:p>
    <w:tbl>
      <w:tblPr>
        <w:tblStyle w:val="7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1130"/>
        <w:gridCol w:w="2080"/>
        <w:gridCol w:w="2980"/>
        <w:gridCol w:w="765"/>
        <w:gridCol w:w="776"/>
      </w:tblGrid>
      <w:tr>
        <w:trPr/>
        <w:tc>
          <w:tcPr>
            <w:tcW w:w="791" w:type="dxa"/>
            <w:vAlign w:val="center"/>
            <w:textDirection w:val="lrTb"/>
            <w:noWrap w:val="false"/>
          </w:tcPr>
          <w:p>
            <w:pPr>
              <w:pStyle w:val="1001"/>
              <w:numPr>
                <w:ilvl w:val="0"/>
                <w:numId w:val="0"/>
              </w:numPr>
              <w:jc w:val="center"/>
              <w:spacing w:line="440" w:lineRule="exact"/>
              <w:rPr>
                <w:rFonts w:hint="eastAsia" w:ascii="方正仿宋_GBK" w:hAnsi="方正仿宋_GBK" w:eastAsia="方正仿宋_GBK" w:cs="方正仿宋_GBK"/>
                <w:b w:val="0"/>
                <w:bCs w:val="0"/>
                <w:color w:val="auto"/>
                <w:sz w:val="22"/>
                <w:szCs w:val="24"/>
                <w:highlight w:val="none"/>
                <w:vertAlign w:val="baseline"/>
                <w:lang w:val="en-US" w:eastAsia="zh-CN"/>
              </w:rPr>
            </w:pPr>
            <w:r>
              <w:rPr>
                <w:rFonts w:hint="eastAsia" w:ascii="方正仿宋_GBK" w:hAnsi="方正仿宋_GBK" w:eastAsia="方正仿宋_GBK" w:cs="方正仿宋_GBK"/>
                <w:b w:val="0"/>
                <w:bCs w:val="0"/>
                <w:color w:val="auto"/>
                <w:sz w:val="22"/>
                <w:szCs w:val="24"/>
                <w:highlight w:val="none"/>
                <w:vertAlign w:val="baseline"/>
                <w:lang w:val="en-US" w:eastAsia="zh-CN"/>
              </w:rPr>
              <w:t xml:space="preserve">序号</w:t>
            </w:r>
            <w:r/>
          </w:p>
        </w:tc>
        <w:tc>
          <w:tcPr>
            <w:tcW w:w="1130" w:type="dxa"/>
            <w:vAlign w:val="center"/>
            <w:textDirection w:val="lrTb"/>
            <w:noWrap w:val="false"/>
          </w:tcPr>
          <w:p>
            <w:pPr>
              <w:pStyle w:val="1001"/>
              <w:numPr>
                <w:ilvl w:val="0"/>
                <w:numId w:val="0"/>
              </w:numPr>
              <w:jc w:val="center"/>
              <w:spacing w:line="440" w:lineRule="exact"/>
              <w:rPr>
                <w:rFonts w:hint="eastAsia" w:ascii="方正仿宋_GBK" w:hAnsi="方正仿宋_GBK" w:eastAsia="方正仿宋_GBK" w:cs="方正仿宋_GBK"/>
                <w:b w:val="0"/>
                <w:bCs w:val="0"/>
                <w:color w:val="auto"/>
                <w:sz w:val="22"/>
                <w:szCs w:val="24"/>
                <w:highlight w:val="none"/>
                <w:vertAlign w:val="baseline"/>
                <w:lang w:val="en-US" w:eastAsia="zh-CN"/>
              </w:rPr>
            </w:pPr>
            <w:r>
              <w:rPr>
                <w:rFonts w:hint="eastAsia" w:ascii="方正仿宋_GBK" w:hAnsi="方正仿宋_GBK" w:eastAsia="方正仿宋_GBK" w:cs="方正仿宋_GBK"/>
                <w:b w:val="0"/>
                <w:bCs w:val="0"/>
                <w:color w:val="auto"/>
                <w:sz w:val="22"/>
                <w:szCs w:val="24"/>
                <w:highlight w:val="none"/>
                <w:vertAlign w:val="baseline"/>
                <w:lang w:val="en-US" w:eastAsia="zh-CN"/>
              </w:rPr>
              <w:t xml:space="preserve">内容</w:t>
            </w:r>
            <w:r/>
          </w:p>
        </w:tc>
        <w:tc>
          <w:tcPr>
            <w:tcW w:w="2080" w:type="dxa"/>
            <w:vAlign w:val="center"/>
            <w:textDirection w:val="lrTb"/>
            <w:noWrap w:val="false"/>
          </w:tcPr>
          <w:p>
            <w:pPr>
              <w:pStyle w:val="1001"/>
              <w:numPr>
                <w:ilvl w:val="0"/>
                <w:numId w:val="0"/>
              </w:numPr>
              <w:jc w:val="center"/>
              <w:spacing w:line="440" w:lineRule="exact"/>
              <w:rPr>
                <w:rFonts w:hint="eastAsia" w:ascii="方正仿宋_GBK" w:hAnsi="方正仿宋_GBK" w:eastAsia="方正仿宋_GBK" w:cs="方正仿宋_GBK"/>
                <w:b w:val="0"/>
                <w:bCs w:val="0"/>
                <w:color w:val="auto"/>
                <w:sz w:val="22"/>
                <w:szCs w:val="24"/>
                <w:highlight w:val="none"/>
                <w:vertAlign w:val="baseline"/>
                <w:lang w:val="en-US" w:eastAsia="zh-CN"/>
              </w:rPr>
            </w:pPr>
            <w:r>
              <w:rPr>
                <w:rFonts w:hint="eastAsia" w:ascii="方正仿宋_GBK" w:hAnsi="方正仿宋_GBK" w:eastAsia="方正仿宋_GBK" w:cs="方正仿宋_GBK"/>
                <w:b w:val="0"/>
                <w:bCs w:val="0"/>
                <w:color w:val="auto"/>
                <w:sz w:val="22"/>
                <w:szCs w:val="24"/>
                <w:highlight w:val="none"/>
                <w:vertAlign w:val="baseline"/>
                <w:lang w:val="en-US" w:eastAsia="zh-CN"/>
              </w:rPr>
              <w:t xml:space="preserve">评价要求</w:t>
            </w:r>
            <w:r/>
          </w:p>
        </w:tc>
        <w:tc>
          <w:tcPr>
            <w:tcW w:w="2980" w:type="dxa"/>
            <w:vAlign w:val="center"/>
            <w:textDirection w:val="lrTb"/>
            <w:noWrap w:val="false"/>
          </w:tcPr>
          <w:p>
            <w:pPr>
              <w:pStyle w:val="1001"/>
              <w:numPr>
                <w:ilvl w:val="0"/>
                <w:numId w:val="0"/>
              </w:numPr>
              <w:jc w:val="center"/>
              <w:spacing w:line="440" w:lineRule="exact"/>
              <w:rPr>
                <w:rFonts w:hint="eastAsia" w:ascii="方正仿宋_GBK" w:hAnsi="方正仿宋_GBK" w:eastAsia="方正仿宋_GBK" w:cs="方正仿宋_GBK"/>
                <w:b w:val="0"/>
                <w:bCs w:val="0"/>
                <w:color w:val="auto"/>
                <w:sz w:val="22"/>
                <w:szCs w:val="24"/>
                <w:highlight w:val="none"/>
                <w:vertAlign w:val="baseline"/>
                <w:lang w:val="en-US" w:eastAsia="zh-CN"/>
              </w:rPr>
            </w:pPr>
            <w:r>
              <w:rPr>
                <w:rFonts w:hint="eastAsia" w:ascii="方正仿宋_GBK" w:hAnsi="方正仿宋_GBK" w:eastAsia="方正仿宋_GBK" w:cs="方正仿宋_GBK"/>
                <w:b w:val="0"/>
                <w:bCs w:val="0"/>
                <w:color w:val="auto"/>
                <w:sz w:val="22"/>
                <w:szCs w:val="24"/>
                <w:highlight w:val="none"/>
                <w:vertAlign w:val="baseline"/>
                <w:lang w:val="en-US" w:eastAsia="zh-CN"/>
              </w:rPr>
              <w:t xml:space="preserve">评</w:t>
            </w:r>
            <w:r>
              <w:rPr>
                <w:rFonts w:hint="eastAsia" w:ascii="方正仿宋_GBK" w:hAnsi="方正仿宋_GBK" w:eastAsia="方正仿宋_GBK" w:cs="方正仿宋_GBK"/>
                <w:b w:val="0"/>
                <w:bCs w:val="0"/>
                <w:color w:val="auto"/>
                <w:sz w:val="21"/>
                <w:szCs w:val="22"/>
                <w:highlight w:val="none"/>
                <w:vertAlign w:val="baseline"/>
                <w:lang w:val="en-US" w:eastAsia="zh-CN"/>
              </w:rPr>
              <w:t xml:space="preserve">分标准</w:t>
            </w:r>
            <w:r/>
          </w:p>
        </w:tc>
        <w:tc>
          <w:tcPr>
            <w:tcW w:w="765" w:type="dxa"/>
            <w:vAlign w:val="center"/>
            <w:textDirection w:val="lrTb"/>
            <w:noWrap w:val="false"/>
          </w:tcPr>
          <w:p>
            <w:pPr>
              <w:pStyle w:val="1001"/>
              <w:numPr>
                <w:ilvl w:val="0"/>
                <w:numId w:val="0"/>
              </w:numPr>
              <w:jc w:val="center"/>
              <w:spacing w:line="440" w:lineRule="exact"/>
              <w:rPr>
                <w:rFonts w:hint="eastAsia" w:ascii="方正仿宋_GBK" w:hAnsi="方正仿宋_GBK" w:eastAsia="方正仿宋_GBK" w:cs="方正仿宋_GBK"/>
                <w:b w:val="0"/>
                <w:bCs w:val="0"/>
                <w:color w:val="auto"/>
                <w:sz w:val="22"/>
                <w:szCs w:val="24"/>
                <w:highlight w:val="none"/>
                <w:vertAlign w:val="baseline"/>
                <w:lang w:val="en-US" w:eastAsia="zh-CN"/>
              </w:rPr>
            </w:pPr>
            <w:r>
              <w:rPr>
                <w:rFonts w:hint="eastAsia" w:ascii="方正仿宋_GBK" w:hAnsi="方正仿宋_GBK" w:eastAsia="方正仿宋_GBK" w:cs="方正仿宋_GBK"/>
                <w:b w:val="0"/>
                <w:bCs w:val="0"/>
                <w:color w:val="auto"/>
                <w:sz w:val="22"/>
                <w:szCs w:val="24"/>
                <w:highlight w:val="none"/>
                <w:vertAlign w:val="baseline"/>
                <w:lang w:val="en-US" w:eastAsia="zh-CN"/>
              </w:rPr>
              <w:t xml:space="preserve">分值</w:t>
            </w:r>
            <w:r/>
          </w:p>
        </w:tc>
        <w:tc>
          <w:tcPr>
            <w:tcW w:w="776" w:type="dxa"/>
            <w:vAlign w:val="center"/>
            <w:textDirection w:val="lrTb"/>
            <w:noWrap w:val="false"/>
          </w:tcPr>
          <w:p>
            <w:pPr>
              <w:pStyle w:val="1001"/>
              <w:numPr>
                <w:ilvl w:val="0"/>
                <w:numId w:val="0"/>
              </w:numPr>
              <w:jc w:val="center"/>
              <w:spacing w:line="440" w:lineRule="exact"/>
              <w:rPr>
                <w:rFonts w:hint="eastAsia" w:ascii="方正仿宋_GBK" w:hAnsi="方正仿宋_GBK" w:eastAsia="方正仿宋_GBK" w:cs="方正仿宋_GBK"/>
                <w:b w:val="0"/>
                <w:bCs w:val="0"/>
                <w:color w:val="auto"/>
                <w:sz w:val="22"/>
                <w:szCs w:val="24"/>
                <w:highlight w:val="none"/>
                <w:vertAlign w:val="baseline"/>
                <w:lang w:val="en-US" w:eastAsia="zh-CN"/>
              </w:rPr>
            </w:pPr>
            <w:r>
              <w:rPr>
                <w:rFonts w:hint="eastAsia" w:ascii="方正仿宋_GBK" w:hAnsi="方正仿宋_GBK" w:eastAsia="方正仿宋_GBK" w:cs="方正仿宋_GBK"/>
                <w:b w:val="0"/>
                <w:bCs w:val="0"/>
                <w:color w:val="auto"/>
                <w:sz w:val="22"/>
                <w:szCs w:val="24"/>
                <w:highlight w:val="none"/>
                <w:vertAlign w:val="baseline"/>
                <w:lang w:val="en-US" w:eastAsia="zh-CN"/>
              </w:rPr>
              <w:t xml:space="preserve">评分</w:t>
            </w:r>
            <w:r/>
          </w:p>
        </w:tc>
      </w:tr>
      <w:tr>
        <w:trPr>
          <w:trHeight w:val="1378"/>
        </w:trPr>
        <w:tc>
          <w:tcPr>
            <w:tcW w:w="791" w:type="dxa"/>
            <w:vAlign w:val="center"/>
            <w:textDirection w:val="lrTb"/>
            <w:noWrap w:val="false"/>
          </w:tcPr>
          <w:p>
            <w:pPr>
              <w:pStyle w:val="1001"/>
              <w:numPr>
                <w:ilvl w:val="0"/>
                <w:numId w:val="0"/>
              </w:numPr>
              <w:jc w:val="center"/>
              <w:spacing w:line="440" w:lineRule="exact"/>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1</w:t>
            </w:r>
            <w:r/>
          </w:p>
        </w:tc>
        <w:tc>
          <w:tcPr>
            <w:tcW w:w="1130" w:type="dxa"/>
            <w:vAlign w:val="center"/>
            <w:textDirection w:val="lrTb"/>
            <w:noWrap w:val="false"/>
          </w:tcPr>
          <w:p>
            <w:pPr>
              <w:pStyle w:val="1001"/>
              <w:numPr>
                <w:ilvl w:val="0"/>
                <w:numId w:val="0"/>
              </w:numPr>
              <w:jc w:val="center"/>
              <w:keepLines w:val="0"/>
              <w:keepNext w:val="0"/>
              <w:pageBreakBefore w:val="0"/>
              <w:spacing w:line="300" w:lineRule="exact"/>
              <w:widowControl w:val="off"/>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人员配置</w:t>
            </w:r>
            <w:r/>
          </w:p>
        </w:tc>
        <w:tc>
          <w:tcPr>
            <w:tcW w:w="2080" w:type="dxa"/>
            <w:vAlign w:val="center"/>
            <w:textDirection w:val="lrTb"/>
            <w:noWrap w:val="false"/>
          </w:tcPr>
          <w:p>
            <w:pPr>
              <w:pStyle w:val="1001"/>
              <w:numPr>
                <w:ilvl w:val="0"/>
                <w:numId w:val="0"/>
              </w:numPr>
              <w:jc w:val="center"/>
              <w:keepLines w:val="0"/>
              <w:keepNext w:val="0"/>
              <w:pageBreakBefore w:val="0"/>
              <w:spacing w:line="300" w:lineRule="exact"/>
              <w:widowControl w:val="off"/>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参与项目人员稳定</w:t>
            </w:r>
            <w:r/>
          </w:p>
        </w:tc>
        <w:tc>
          <w:tcPr>
            <w:tcW w:w="2980" w:type="dxa"/>
            <w:vAlign w:val="center"/>
            <w:textDirection w:val="lrTb"/>
            <w:noWrap w:val="false"/>
          </w:tcPr>
          <w:p>
            <w:pPr>
              <w:pStyle w:val="1001"/>
              <w:numPr>
                <w:ilvl w:val="0"/>
                <w:numId w:val="0"/>
              </w:numPr>
              <w:jc w:val="both"/>
              <w:keepLines w:val="0"/>
              <w:keepNext w:val="0"/>
              <w:pageBreakBefore w:val="0"/>
              <w:spacing w:line="300" w:lineRule="exact"/>
              <w:widowControl w:val="off"/>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项目开展过程中人员稳定，最高得20分。一人次不符合扣2分。</w:t>
            </w:r>
            <w:r/>
          </w:p>
        </w:tc>
        <w:tc>
          <w:tcPr>
            <w:tcW w:w="765" w:type="dxa"/>
            <w:vAlign w:val="center"/>
            <w:textDirection w:val="lrTb"/>
            <w:noWrap w:val="false"/>
          </w:tcPr>
          <w:p>
            <w:pPr>
              <w:pStyle w:val="1001"/>
              <w:numPr>
                <w:ilvl w:val="0"/>
                <w:numId w:val="0"/>
              </w:numPr>
              <w:jc w:val="center"/>
              <w:spacing w:line="440" w:lineRule="exact"/>
              <w:rPr>
                <w:rFonts w:hint="default" w:ascii="Times New Roman" w:hAnsi="Times New Roman" w:cs="Times New Roman"/>
                <w:color w:val="auto"/>
                <w:szCs w:val="21"/>
                <w:highlight w:val="none"/>
                <w:vertAlign w:val="baseline"/>
                <w:lang w:val="en-US" w:eastAsia="zh-CN"/>
              </w:rPr>
            </w:pPr>
            <w:r>
              <w:rPr>
                <w:rFonts w:hint="eastAsia" w:ascii="Times New Roman" w:hAnsi="Times New Roman" w:cs="Times New Roman"/>
                <w:color w:val="auto"/>
                <w:szCs w:val="21"/>
                <w:highlight w:val="none"/>
                <w:vertAlign w:val="baseline"/>
                <w:lang w:val="en-US" w:eastAsia="zh-CN"/>
              </w:rPr>
              <w:t xml:space="preserve">20</w:t>
            </w:r>
            <w:r/>
          </w:p>
        </w:tc>
        <w:tc>
          <w:tcPr>
            <w:tcW w:w="776" w:type="dxa"/>
            <w:vAlign w:val="center"/>
            <w:textDirection w:val="lrTb"/>
            <w:noWrap w:val="false"/>
          </w:tcPr>
          <w:p>
            <w:pPr>
              <w:pStyle w:val="1001"/>
              <w:numPr>
                <w:ilvl w:val="0"/>
                <w:numId w:val="0"/>
              </w:numPr>
              <w:jc w:val="center"/>
              <w:spacing w:line="440" w:lineRule="exact"/>
              <w:rPr>
                <w:rFonts w:hint="default" w:hAnsi="宋体" w:cs="宋体"/>
                <w:color w:val="auto"/>
                <w:szCs w:val="21"/>
                <w:highlight w:val="none"/>
                <w:vertAlign w:val="baseline"/>
                <w:lang w:val="en-US" w:eastAsia="zh-CN"/>
              </w:rPr>
            </w:pPr>
            <w:r>
              <w:rPr>
                <w:rFonts w:hint="default" w:hAnsi="宋体" w:cs="宋体"/>
                <w:color w:val="auto"/>
                <w:szCs w:val="21"/>
                <w:highlight w:val="none"/>
                <w:vertAlign w:val="baseline"/>
                <w:lang w:val="en-US" w:eastAsia="zh-CN"/>
              </w:rPr>
            </w:r>
            <w:r/>
          </w:p>
        </w:tc>
      </w:tr>
      <w:tr>
        <w:trPr>
          <w:trHeight w:val="1321"/>
        </w:trPr>
        <w:tc>
          <w:tcPr>
            <w:tcW w:w="791" w:type="dxa"/>
            <w:vAlign w:val="center"/>
            <w:textDirection w:val="lrTb"/>
            <w:noWrap w:val="false"/>
          </w:tcPr>
          <w:p>
            <w:pPr>
              <w:pStyle w:val="1001"/>
              <w:numPr>
                <w:ilvl w:val="0"/>
                <w:numId w:val="0"/>
              </w:numPr>
              <w:jc w:val="center"/>
              <w:spacing w:line="440" w:lineRule="exact"/>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2</w:t>
            </w:r>
            <w:r/>
          </w:p>
        </w:tc>
        <w:tc>
          <w:tcPr>
            <w:tcW w:w="1130" w:type="dxa"/>
            <w:vAlign w:val="center"/>
            <w:textDirection w:val="lrTb"/>
            <w:noWrap w:val="false"/>
          </w:tcPr>
          <w:p>
            <w:pPr>
              <w:pStyle w:val="1001"/>
              <w:numPr>
                <w:ilvl w:val="0"/>
                <w:numId w:val="0"/>
              </w:numPr>
              <w:jc w:val="center"/>
              <w:keepLines w:val="0"/>
              <w:keepNext w:val="0"/>
              <w:pageBreakBefore w:val="0"/>
              <w:spacing w:line="300" w:lineRule="exact"/>
              <w:widowControl w:val="off"/>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服务效率</w:t>
            </w:r>
            <w:r/>
          </w:p>
        </w:tc>
        <w:tc>
          <w:tcPr>
            <w:tcW w:w="2080" w:type="dxa"/>
            <w:vAlign w:val="center"/>
            <w:textDirection w:val="lrTb"/>
            <w:noWrap w:val="false"/>
          </w:tcPr>
          <w:p>
            <w:pPr>
              <w:pStyle w:val="1001"/>
              <w:numPr>
                <w:ilvl w:val="0"/>
                <w:numId w:val="0"/>
              </w:numPr>
              <w:jc w:val="center"/>
              <w:keepLines w:val="0"/>
              <w:keepNext w:val="0"/>
              <w:pageBreakBefore w:val="0"/>
              <w:spacing w:line="300" w:lineRule="exact"/>
              <w:widowControl w:val="off"/>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文本编制及后续修改完善及时高效</w:t>
            </w:r>
            <w:r/>
          </w:p>
        </w:tc>
        <w:tc>
          <w:tcPr>
            <w:tcW w:w="2980" w:type="dxa"/>
            <w:vAlign w:val="center"/>
            <w:textDirection w:val="lrTb"/>
            <w:noWrap w:val="false"/>
          </w:tcPr>
          <w:p>
            <w:pPr>
              <w:pStyle w:val="1001"/>
              <w:numPr>
                <w:ilvl w:val="0"/>
                <w:numId w:val="0"/>
              </w:numPr>
              <w:jc w:val="both"/>
              <w:keepLines w:val="0"/>
              <w:keepNext w:val="0"/>
              <w:pageBreakBefore w:val="0"/>
              <w:spacing w:line="300" w:lineRule="exact"/>
              <w:widowControl w:val="off"/>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及时组织文本编制及后续修改完善，最高得20分。未及时组织文本编制及后续修改完善的，酌情扣分。</w:t>
            </w:r>
            <w:r/>
          </w:p>
        </w:tc>
        <w:tc>
          <w:tcPr>
            <w:tcW w:w="765" w:type="dxa"/>
            <w:vAlign w:val="center"/>
            <w:textDirection w:val="lrTb"/>
            <w:noWrap w:val="false"/>
          </w:tcPr>
          <w:p>
            <w:pPr>
              <w:pStyle w:val="1001"/>
              <w:numPr>
                <w:ilvl w:val="0"/>
                <w:numId w:val="0"/>
              </w:numPr>
              <w:jc w:val="center"/>
              <w:spacing w:line="440" w:lineRule="exact"/>
              <w:rPr>
                <w:rFonts w:hint="default" w:ascii="Times New Roman" w:hAnsi="Times New Roman" w:cs="Times New Roman"/>
                <w:color w:val="auto"/>
                <w:szCs w:val="21"/>
                <w:highlight w:val="none"/>
                <w:vertAlign w:val="baseline"/>
                <w:lang w:val="en-US" w:eastAsia="zh-CN"/>
              </w:rPr>
            </w:pPr>
            <w:r>
              <w:rPr>
                <w:rFonts w:hint="eastAsia" w:ascii="Times New Roman" w:hAnsi="Times New Roman" w:cs="Times New Roman"/>
                <w:color w:val="auto"/>
                <w:szCs w:val="21"/>
                <w:highlight w:val="none"/>
                <w:vertAlign w:val="baseline"/>
                <w:lang w:val="en-US" w:eastAsia="zh-CN"/>
              </w:rPr>
              <w:t xml:space="preserve">20</w:t>
            </w:r>
            <w:r/>
          </w:p>
        </w:tc>
        <w:tc>
          <w:tcPr>
            <w:tcW w:w="776" w:type="dxa"/>
            <w:vAlign w:val="center"/>
            <w:textDirection w:val="lrTb"/>
            <w:noWrap w:val="false"/>
          </w:tcPr>
          <w:p>
            <w:pPr>
              <w:pStyle w:val="1001"/>
              <w:numPr>
                <w:ilvl w:val="0"/>
                <w:numId w:val="0"/>
              </w:numPr>
              <w:jc w:val="center"/>
              <w:spacing w:line="440" w:lineRule="exact"/>
              <w:rPr>
                <w:rFonts w:hint="default" w:hAnsi="宋体" w:cs="宋体"/>
                <w:color w:val="auto"/>
                <w:szCs w:val="21"/>
                <w:highlight w:val="none"/>
                <w:vertAlign w:val="baseline"/>
                <w:lang w:val="en-US" w:eastAsia="zh-CN"/>
              </w:rPr>
            </w:pPr>
            <w:r>
              <w:rPr>
                <w:rFonts w:hint="default" w:hAnsi="宋体" w:cs="宋体"/>
                <w:color w:val="auto"/>
                <w:szCs w:val="21"/>
                <w:highlight w:val="none"/>
                <w:vertAlign w:val="baseline"/>
                <w:lang w:val="en-US" w:eastAsia="zh-CN"/>
              </w:rPr>
            </w:r>
            <w:r/>
          </w:p>
        </w:tc>
      </w:tr>
      <w:tr>
        <w:trPr>
          <w:trHeight w:val="420"/>
        </w:trPr>
        <w:tc>
          <w:tcPr>
            <w:tcW w:w="791" w:type="dxa"/>
            <w:vAlign w:val="center"/>
            <w:textDirection w:val="lrTb"/>
            <w:noWrap w:val="false"/>
          </w:tcPr>
          <w:p>
            <w:pPr>
              <w:pStyle w:val="1001"/>
              <w:numPr>
                <w:ilvl w:val="0"/>
                <w:numId w:val="0"/>
              </w:numPr>
              <w:jc w:val="center"/>
              <w:spacing w:line="440" w:lineRule="exact"/>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3</w:t>
            </w:r>
            <w:r/>
          </w:p>
        </w:tc>
        <w:tc>
          <w:tcPr>
            <w:tcW w:w="1130" w:type="dxa"/>
            <w:vAlign w:val="center"/>
            <w:textDirection w:val="lrTb"/>
            <w:noWrap w:val="false"/>
          </w:tcPr>
          <w:p>
            <w:pPr>
              <w:pStyle w:val="1001"/>
              <w:numPr>
                <w:ilvl w:val="0"/>
                <w:numId w:val="0"/>
              </w:numPr>
              <w:jc w:val="center"/>
              <w:keepLines w:val="0"/>
              <w:keepNext w:val="0"/>
              <w:pageBreakBefore w:val="0"/>
              <w:spacing w:line="300" w:lineRule="exact"/>
              <w:widowControl w:val="off"/>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沟通效能</w:t>
            </w:r>
            <w:r/>
          </w:p>
        </w:tc>
        <w:tc>
          <w:tcPr>
            <w:tcW w:w="2080" w:type="dxa"/>
            <w:vAlign w:val="center"/>
            <w:textDirection w:val="lrTb"/>
            <w:noWrap w:val="false"/>
          </w:tcPr>
          <w:p>
            <w:pPr>
              <w:pStyle w:val="1001"/>
              <w:numPr>
                <w:ilvl w:val="0"/>
                <w:numId w:val="0"/>
              </w:numPr>
              <w:jc w:val="center"/>
              <w:keepLines w:val="0"/>
              <w:keepNext w:val="0"/>
              <w:pageBreakBefore w:val="0"/>
              <w:spacing w:line="300" w:lineRule="exact"/>
              <w:widowControl w:val="off"/>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沟通充分，协调到位</w:t>
            </w:r>
            <w:r/>
          </w:p>
        </w:tc>
        <w:tc>
          <w:tcPr>
            <w:tcW w:w="2980" w:type="dxa"/>
            <w:vAlign w:val="center"/>
            <w:textDirection w:val="lrTb"/>
            <w:noWrap w:val="false"/>
          </w:tcPr>
          <w:p>
            <w:pPr>
              <w:pStyle w:val="1001"/>
              <w:numPr>
                <w:ilvl w:val="0"/>
                <w:numId w:val="0"/>
              </w:numPr>
              <w:jc w:val="both"/>
              <w:keepLines w:val="0"/>
              <w:keepNext w:val="0"/>
              <w:pageBreakBefore w:val="0"/>
              <w:spacing w:line="300" w:lineRule="exact"/>
              <w:widowControl w:val="off"/>
              <w:rPr>
                <w:rFonts w:hint="default" w:ascii="Times New Roman" w:hAnsi="Times New Roman" w:cs="Times New Roman"/>
                <w:color w:val="auto"/>
                <w:szCs w:val="21"/>
                <w:highlight w:val="none"/>
                <w:vertAlign w:val="baseline"/>
                <w:lang w:val="en-US" w:eastAsia="zh-CN"/>
              </w:rPr>
            </w:pPr>
            <w:r>
              <w:rPr>
                <w:rFonts w:hint="eastAsia" w:ascii="Times New Roman" w:hAnsi="Times New Roman" w:cs="Times New Roman"/>
                <w:color w:val="auto"/>
                <w:szCs w:val="21"/>
                <w:highlight w:val="none"/>
                <w:vertAlign w:val="baseline"/>
                <w:lang w:val="en-US" w:eastAsia="zh-CN"/>
              </w:rPr>
              <w:t xml:space="preserve">项目</w:t>
            </w:r>
            <w:r>
              <w:rPr>
                <w:rFonts w:hint="default" w:ascii="Times New Roman" w:hAnsi="Times New Roman" w:cs="Times New Roman"/>
                <w:color w:val="auto"/>
                <w:szCs w:val="21"/>
                <w:highlight w:val="none"/>
                <w:vertAlign w:val="baseline"/>
                <w:lang w:val="en-US" w:eastAsia="zh-CN"/>
              </w:rPr>
              <w:t xml:space="preserve">开展过程中主动积极，沟通顺畅，协调充分，得到</w:t>
            </w:r>
            <w:r>
              <w:rPr>
                <w:rFonts w:hint="eastAsia" w:ascii="Times New Roman" w:hAnsi="Times New Roman" w:cs="Times New Roman"/>
                <w:color w:val="auto"/>
                <w:szCs w:val="21"/>
                <w:highlight w:val="none"/>
                <w:vertAlign w:val="baseline"/>
                <w:lang w:val="en-US" w:eastAsia="zh-CN"/>
              </w:rPr>
              <w:t xml:space="preserve">地方</w:t>
            </w:r>
            <w:r>
              <w:rPr>
                <w:rFonts w:hint="default" w:ascii="Times New Roman" w:hAnsi="Times New Roman" w:cs="Times New Roman"/>
                <w:color w:val="auto"/>
                <w:szCs w:val="21"/>
                <w:highlight w:val="none"/>
                <w:vertAlign w:val="baseline"/>
                <w:lang w:val="en-US" w:eastAsia="zh-CN"/>
              </w:rPr>
              <w:t xml:space="preserve">部门认可，最高得20分。主动性不强，沟通、协调不到位的，视情况扣分。</w:t>
            </w:r>
            <w:r/>
          </w:p>
        </w:tc>
        <w:tc>
          <w:tcPr>
            <w:tcW w:w="765" w:type="dxa"/>
            <w:vAlign w:val="center"/>
            <w:textDirection w:val="lrTb"/>
            <w:noWrap w:val="false"/>
          </w:tcPr>
          <w:p>
            <w:pPr>
              <w:pStyle w:val="1001"/>
              <w:numPr>
                <w:ilvl w:val="0"/>
                <w:numId w:val="0"/>
              </w:numPr>
              <w:jc w:val="center"/>
              <w:spacing w:line="440" w:lineRule="exact"/>
              <w:rPr>
                <w:rFonts w:hint="default" w:ascii="Times New Roman" w:hAnsi="Times New Roman" w:cs="Times New Roman"/>
                <w:color w:val="auto"/>
                <w:szCs w:val="21"/>
                <w:highlight w:val="none"/>
                <w:vertAlign w:val="baseline"/>
                <w:lang w:val="en-US" w:eastAsia="zh-CN"/>
              </w:rPr>
            </w:pPr>
            <w:r>
              <w:rPr>
                <w:rFonts w:hint="eastAsia" w:ascii="Times New Roman" w:hAnsi="Times New Roman" w:cs="Times New Roman"/>
                <w:color w:val="auto"/>
                <w:szCs w:val="21"/>
                <w:highlight w:val="none"/>
                <w:vertAlign w:val="baseline"/>
                <w:lang w:val="en-US" w:eastAsia="zh-CN"/>
              </w:rPr>
              <w:t xml:space="preserve">20</w:t>
            </w:r>
            <w:r/>
          </w:p>
        </w:tc>
        <w:tc>
          <w:tcPr>
            <w:tcW w:w="776" w:type="dxa"/>
            <w:vAlign w:val="center"/>
            <w:textDirection w:val="lrTb"/>
            <w:noWrap w:val="false"/>
          </w:tcPr>
          <w:p>
            <w:pPr>
              <w:pStyle w:val="1001"/>
              <w:numPr>
                <w:ilvl w:val="0"/>
                <w:numId w:val="0"/>
              </w:numPr>
              <w:jc w:val="center"/>
              <w:spacing w:line="440" w:lineRule="exact"/>
              <w:rPr>
                <w:rFonts w:hint="default" w:hAnsi="宋体" w:cs="宋体"/>
                <w:color w:val="auto"/>
                <w:szCs w:val="21"/>
                <w:highlight w:val="none"/>
                <w:vertAlign w:val="baseline"/>
                <w:lang w:val="en-US" w:eastAsia="zh-CN"/>
              </w:rPr>
            </w:pPr>
            <w:r>
              <w:rPr>
                <w:rFonts w:hint="default" w:hAnsi="宋体" w:cs="宋体"/>
                <w:color w:val="auto"/>
                <w:szCs w:val="21"/>
                <w:highlight w:val="none"/>
                <w:vertAlign w:val="baseline"/>
                <w:lang w:val="en-US" w:eastAsia="zh-CN"/>
              </w:rPr>
            </w:r>
            <w:r/>
          </w:p>
        </w:tc>
      </w:tr>
      <w:tr>
        <w:trPr>
          <w:trHeight w:val="1586"/>
        </w:trPr>
        <w:tc>
          <w:tcPr>
            <w:tcW w:w="791" w:type="dxa"/>
            <w:vAlign w:val="center"/>
            <w:textDirection w:val="lrTb"/>
            <w:noWrap w:val="false"/>
          </w:tcPr>
          <w:p>
            <w:pPr>
              <w:pStyle w:val="1001"/>
              <w:numPr>
                <w:ilvl w:val="0"/>
                <w:numId w:val="0"/>
              </w:numPr>
              <w:jc w:val="center"/>
              <w:spacing w:line="440" w:lineRule="exact"/>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4</w:t>
            </w:r>
            <w:r/>
          </w:p>
        </w:tc>
        <w:tc>
          <w:tcPr>
            <w:tcW w:w="1130" w:type="dxa"/>
            <w:vAlign w:val="center"/>
            <w:textDirection w:val="lrTb"/>
            <w:noWrap w:val="false"/>
          </w:tcPr>
          <w:p>
            <w:pPr>
              <w:pStyle w:val="1001"/>
              <w:numPr>
                <w:ilvl w:val="0"/>
                <w:numId w:val="0"/>
              </w:numPr>
              <w:jc w:val="center"/>
              <w:keepLines w:val="0"/>
              <w:keepNext w:val="0"/>
              <w:pageBreakBefore w:val="0"/>
              <w:spacing w:line="300" w:lineRule="exact"/>
              <w:widowControl w:val="off"/>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成果质量</w:t>
            </w:r>
            <w:r/>
          </w:p>
        </w:tc>
        <w:tc>
          <w:tcPr>
            <w:tcW w:w="2080" w:type="dxa"/>
            <w:vAlign w:val="center"/>
            <w:textDirection w:val="lrTb"/>
            <w:noWrap w:val="false"/>
          </w:tcPr>
          <w:p>
            <w:pPr>
              <w:pStyle w:val="1001"/>
              <w:numPr>
                <w:ilvl w:val="0"/>
                <w:numId w:val="0"/>
              </w:numPr>
              <w:jc w:val="center"/>
              <w:keepLines w:val="0"/>
              <w:keepNext w:val="0"/>
              <w:pageBreakBefore w:val="0"/>
              <w:spacing w:line="300" w:lineRule="exact"/>
              <w:widowControl w:val="off"/>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成果满足质量要求</w:t>
            </w:r>
            <w:r/>
          </w:p>
        </w:tc>
        <w:tc>
          <w:tcPr>
            <w:tcW w:w="2980" w:type="dxa"/>
            <w:vAlign w:val="center"/>
            <w:textDirection w:val="lrTb"/>
            <w:noWrap w:val="false"/>
          </w:tcPr>
          <w:p>
            <w:pPr>
              <w:pStyle w:val="1001"/>
              <w:numPr>
                <w:ilvl w:val="0"/>
                <w:numId w:val="0"/>
              </w:numPr>
              <w:jc w:val="both"/>
              <w:keepLines w:val="0"/>
              <w:keepNext w:val="0"/>
              <w:pageBreakBefore w:val="0"/>
              <w:spacing w:line="300" w:lineRule="exact"/>
              <w:widowControl w:val="off"/>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成果质量较高，得到专家、部门认可，最高得20分。成果质量一般，未得到专家、部门认可的，酌情扣分。</w:t>
            </w:r>
            <w:r/>
          </w:p>
        </w:tc>
        <w:tc>
          <w:tcPr>
            <w:tcW w:w="765" w:type="dxa"/>
            <w:vAlign w:val="center"/>
            <w:textDirection w:val="lrTb"/>
            <w:noWrap w:val="false"/>
          </w:tcPr>
          <w:p>
            <w:pPr>
              <w:pStyle w:val="1001"/>
              <w:numPr>
                <w:ilvl w:val="0"/>
                <w:numId w:val="0"/>
              </w:numPr>
              <w:jc w:val="center"/>
              <w:spacing w:line="440" w:lineRule="exact"/>
              <w:rPr>
                <w:rFonts w:hint="default" w:ascii="Times New Roman" w:hAnsi="Times New Roman" w:cs="Times New Roman"/>
                <w:color w:val="auto"/>
                <w:szCs w:val="21"/>
                <w:highlight w:val="none"/>
                <w:vertAlign w:val="baseline"/>
                <w:lang w:val="en-US" w:eastAsia="zh-CN"/>
              </w:rPr>
            </w:pPr>
            <w:r>
              <w:rPr>
                <w:rFonts w:hint="eastAsia" w:ascii="Times New Roman" w:hAnsi="Times New Roman" w:cs="Times New Roman"/>
                <w:color w:val="auto"/>
                <w:szCs w:val="21"/>
                <w:highlight w:val="none"/>
                <w:vertAlign w:val="baseline"/>
                <w:lang w:val="en-US" w:eastAsia="zh-CN"/>
              </w:rPr>
              <w:t xml:space="preserve">20</w:t>
            </w:r>
            <w:r/>
          </w:p>
        </w:tc>
        <w:tc>
          <w:tcPr>
            <w:tcW w:w="776" w:type="dxa"/>
            <w:vAlign w:val="center"/>
            <w:textDirection w:val="lrTb"/>
            <w:noWrap w:val="false"/>
          </w:tcPr>
          <w:p>
            <w:pPr>
              <w:pStyle w:val="1001"/>
              <w:numPr>
                <w:ilvl w:val="0"/>
                <w:numId w:val="0"/>
              </w:numPr>
              <w:jc w:val="center"/>
              <w:spacing w:line="440" w:lineRule="exact"/>
              <w:rPr>
                <w:rFonts w:hint="default" w:hAnsi="宋体" w:cs="宋体"/>
                <w:color w:val="auto"/>
                <w:szCs w:val="21"/>
                <w:highlight w:val="none"/>
                <w:vertAlign w:val="baseline"/>
                <w:lang w:val="en-US" w:eastAsia="zh-CN"/>
              </w:rPr>
            </w:pPr>
            <w:r>
              <w:rPr>
                <w:rFonts w:hint="default" w:hAnsi="宋体" w:cs="宋体"/>
                <w:color w:val="auto"/>
                <w:szCs w:val="21"/>
                <w:highlight w:val="none"/>
                <w:vertAlign w:val="baseline"/>
                <w:lang w:val="en-US" w:eastAsia="zh-CN"/>
              </w:rPr>
            </w:r>
            <w:r/>
          </w:p>
        </w:tc>
      </w:tr>
      <w:tr>
        <w:trPr>
          <w:trHeight w:val="1352"/>
        </w:trPr>
        <w:tc>
          <w:tcPr>
            <w:tcW w:w="791" w:type="dxa"/>
            <w:vAlign w:val="center"/>
            <w:textDirection w:val="lrTb"/>
            <w:noWrap w:val="false"/>
          </w:tcPr>
          <w:p>
            <w:pPr>
              <w:pStyle w:val="1001"/>
              <w:numPr>
                <w:ilvl w:val="0"/>
                <w:numId w:val="0"/>
              </w:numPr>
              <w:jc w:val="center"/>
              <w:spacing w:line="440" w:lineRule="exact"/>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5</w:t>
            </w:r>
            <w:r/>
          </w:p>
        </w:tc>
        <w:tc>
          <w:tcPr>
            <w:tcW w:w="1130" w:type="dxa"/>
            <w:vAlign w:val="center"/>
            <w:textDirection w:val="lrTb"/>
            <w:noWrap w:val="false"/>
          </w:tcPr>
          <w:p>
            <w:pPr>
              <w:pStyle w:val="1001"/>
              <w:numPr>
                <w:ilvl w:val="0"/>
                <w:numId w:val="0"/>
              </w:numPr>
              <w:jc w:val="center"/>
              <w:keepLines w:val="0"/>
              <w:keepNext w:val="0"/>
              <w:pageBreakBefore w:val="0"/>
              <w:spacing w:line="300" w:lineRule="exact"/>
              <w:widowControl w:val="off"/>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实用效果</w:t>
            </w:r>
            <w:r/>
          </w:p>
        </w:tc>
        <w:tc>
          <w:tcPr>
            <w:tcW w:w="2080" w:type="dxa"/>
            <w:vAlign w:val="center"/>
            <w:textDirection w:val="lrTb"/>
            <w:noWrap w:val="false"/>
          </w:tcPr>
          <w:p>
            <w:pPr>
              <w:pStyle w:val="1001"/>
              <w:numPr>
                <w:ilvl w:val="0"/>
                <w:numId w:val="0"/>
              </w:numPr>
              <w:jc w:val="center"/>
              <w:keepLines w:val="0"/>
              <w:keepNext w:val="0"/>
              <w:pageBreakBefore w:val="0"/>
              <w:spacing w:line="300" w:lineRule="exact"/>
              <w:widowControl w:val="off"/>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成果具有较高指导性</w:t>
            </w:r>
            <w:r/>
          </w:p>
        </w:tc>
        <w:tc>
          <w:tcPr>
            <w:tcW w:w="2980" w:type="dxa"/>
            <w:vAlign w:val="center"/>
            <w:textDirection w:val="lrTb"/>
            <w:noWrap w:val="false"/>
          </w:tcPr>
          <w:p>
            <w:pPr>
              <w:pStyle w:val="1001"/>
              <w:numPr>
                <w:ilvl w:val="0"/>
                <w:numId w:val="0"/>
              </w:numPr>
              <w:jc w:val="both"/>
              <w:keepLines w:val="0"/>
              <w:keepNext w:val="0"/>
              <w:pageBreakBefore w:val="0"/>
              <w:spacing w:line="300" w:lineRule="exact"/>
              <w:widowControl w:val="off"/>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t xml:space="preserve">成果符合实际情况，能有效指导海绵城市建设，最高得20分。成果指导性一般，酌情扣分。</w:t>
            </w:r>
            <w:r/>
          </w:p>
        </w:tc>
        <w:tc>
          <w:tcPr>
            <w:tcW w:w="765" w:type="dxa"/>
            <w:vAlign w:val="center"/>
            <w:textDirection w:val="lrTb"/>
            <w:noWrap w:val="false"/>
          </w:tcPr>
          <w:p>
            <w:pPr>
              <w:pStyle w:val="1001"/>
              <w:numPr>
                <w:ilvl w:val="0"/>
                <w:numId w:val="0"/>
              </w:numPr>
              <w:jc w:val="center"/>
              <w:spacing w:line="440" w:lineRule="exact"/>
              <w:rPr>
                <w:rFonts w:hint="default" w:ascii="Times New Roman" w:hAnsi="Times New Roman" w:cs="Times New Roman"/>
                <w:color w:val="auto"/>
                <w:szCs w:val="21"/>
                <w:highlight w:val="none"/>
                <w:vertAlign w:val="baseline"/>
                <w:lang w:val="en-US" w:eastAsia="zh-CN"/>
              </w:rPr>
            </w:pPr>
            <w:r>
              <w:rPr>
                <w:rFonts w:hint="eastAsia" w:ascii="Times New Roman" w:hAnsi="Times New Roman" w:cs="Times New Roman"/>
                <w:color w:val="auto"/>
                <w:szCs w:val="21"/>
                <w:highlight w:val="none"/>
                <w:vertAlign w:val="baseline"/>
                <w:lang w:val="en-US" w:eastAsia="zh-CN"/>
              </w:rPr>
              <w:t xml:space="preserve">20</w:t>
            </w:r>
            <w:r/>
          </w:p>
        </w:tc>
        <w:tc>
          <w:tcPr>
            <w:tcW w:w="776" w:type="dxa"/>
            <w:vAlign w:val="center"/>
            <w:textDirection w:val="lrTb"/>
            <w:noWrap w:val="false"/>
          </w:tcPr>
          <w:p>
            <w:pPr>
              <w:pStyle w:val="1001"/>
              <w:numPr>
                <w:ilvl w:val="0"/>
                <w:numId w:val="0"/>
              </w:numPr>
              <w:jc w:val="center"/>
              <w:spacing w:line="440" w:lineRule="exact"/>
              <w:rPr>
                <w:rFonts w:hint="default" w:hAnsi="宋体" w:cs="宋体"/>
                <w:color w:val="auto"/>
                <w:szCs w:val="21"/>
                <w:highlight w:val="none"/>
                <w:vertAlign w:val="baseline"/>
                <w:lang w:val="en-US" w:eastAsia="zh-CN"/>
              </w:rPr>
            </w:pPr>
            <w:r>
              <w:rPr>
                <w:rFonts w:hint="default" w:hAnsi="宋体" w:cs="宋体"/>
                <w:color w:val="auto"/>
                <w:szCs w:val="21"/>
                <w:highlight w:val="none"/>
                <w:vertAlign w:val="baseline"/>
                <w:lang w:val="en-US" w:eastAsia="zh-CN"/>
              </w:rPr>
            </w:r>
            <w:r/>
          </w:p>
        </w:tc>
      </w:tr>
      <w:tr>
        <w:trPr>
          <w:trHeight w:val="702"/>
        </w:trPr>
        <w:tc>
          <w:tcPr>
            <w:tcW w:w="791" w:type="dxa"/>
            <w:vAlign w:val="center"/>
            <w:textDirection w:val="lrTb"/>
            <w:noWrap w:val="false"/>
          </w:tcPr>
          <w:p>
            <w:pPr>
              <w:pStyle w:val="1001"/>
              <w:numPr>
                <w:ilvl w:val="0"/>
                <w:numId w:val="0"/>
              </w:numPr>
              <w:jc w:val="center"/>
              <w:spacing w:line="440" w:lineRule="exact"/>
              <w:rPr>
                <w:rFonts w:hint="default" w:ascii="Times New Roman" w:hAnsi="Times New Roman" w:cs="Times New Roman"/>
                <w:color w:val="auto"/>
                <w:szCs w:val="21"/>
                <w:highlight w:val="none"/>
                <w:vertAlign w:val="baseline"/>
                <w:lang w:val="en-US" w:eastAsia="zh-CN"/>
              </w:rPr>
            </w:pPr>
            <w:r>
              <w:rPr>
                <w:rFonts w:hint="eastAsia" w:ascii="Times New Roman" w:hAnsi="Times New Roman" w:cs="Times New Roman"/>
                <w:color w:val="auto"/>
                <w:szCs w:val="21"/>
                <w:highlight w:val="none"/>
                <w:vertAlign w:val="baseline"/>
                <w:lang w:val="en-US" w:eastAsia="zh-CN"/>
              </w:rPr>
              <w:t xml:space="preserve">总计</w:t>
            </w:r>
            <w:r/>
          </w:p>
        </w:tc>
        <w:tc>
          <w:tcPr>
            <w:tcW w:w="1130" w:type="dxa"/>
            <w:vAlign w:val="center"/>
            <w:textDirection w:val="lrTb"/>
            <w:noWrap w:val="false"/>
          </w:tcPr>
          <w:p>
            <w:pPr>
              <w:pStyle w:val="1001"/>
              <w:numPr>
                <w:ilvl w:val="0"/>
                <w:numId w:val="0"/>
              </w:numPr>
              <w:jc w:val="center"/>
              <w:keepLines w:val="0"/>
              <w:keepNext w:val="0"/>
              <w:pageBreakBefore w:val="0"/>
              <w:spacing w:line="300" w:lineRule="exact"/>
              <w:widowControl w:val="off"/>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r>
            <w:r/>
          </w:p>
        </w:tc>
        <w:tc>
          <w:tcPr>
            <w:tcW w:w="2080" w:type="dxa"/>
            <w:vAlign w:val="center"/>
            <w:textDirection w:val="lrTb"/>
            <w:noWrap w:val="false"/>
          </w:tcPr>
          <w:p>
            <w:pPr>
              <w:pStyle w:val="1001"/>
              <w:numPr>
                <w:ilvl w:val="0"/>
                <w:numId w:val="0"/>
              </w:numPr>
              <w:jc w:val="center"/>
              <w:keepLines w:val="0"/>
              <w:keepNext w:val="0"/>
              <w:pageBreakBefore w:val="0"/>
              <w:spacing w:line="300" w:lineRule="exact"/>
              <w:widowControl w:val="off"/>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r>
            <w:r/>
          </w:p>
        </w:tc>
        <w:tc>
          <w:tcPr>
            <w:tcW w:w="2980" w:type="dxa"/>
            <w:vAlign w:val="center"/>
            <w:textDirection w:val="lrTb"/>
            <w:noWrap w:val="false"/>
          </w:tcPr>
          <w:p>
            <w:pPr>
              <w:pStyle w:val="1001"/>
              <w:numPr>
                <w:ilvl w:val="0"/>
                <w:numId w:val="0"/>
              </w:numPr>
              <w:jc w:val="center"/>
              <w:keepLines w:val="0"/>
              <w:keepNext w:val="0"/>
              <w:pageBreakBefore w:val="0"/>
              <w:spacing w:line="300" w:lineRule="exact"/>
              <w:widowControl w:val="off"/>
              <w:rPr>
                <w:rFonts w:hint="default" w:ascii="Times New Roman" w:hAnsi="Times New Roman" w:cs="Times New Roman"/>
                <w:color w:val="auto"/>
                <w:szCs w:val="21"/>
                <w:highlight w:val="none"/>
                <w:vertAlign w:val="baseline"/>
                <w:lang w:val="en-US" w:eastAsia="zh-CN"/>
              </w:rPr>
            </w:pPr>
            <w:r>
              <w:rPr>
                <w:rFonts w:hint="default" w:ascii="Times New Roman" w:hAnsi="Times New Roman" w:cs="Times New Roman"/>
                <w:color w:val="auto"/>
                <w:szCs w:val="21"/>
                <w:highlight w:val="none"/>
                <w:vertAlign w:val="baseline"/>
                <w:lang w:val="en-US" w:eastAsia="zh-CN"/>
              </w:rPr>
            </w:r>
            <w:r/>
          </w:p>
        </w:tc>
        <w:tc>
          <w:tcPr>
            <w:tcW w:w="765" w:type="dxa"/>
            <w:vAlign w:val="center"/>
            <w:textDirection w:val="lrTb"/>
            <w:noWrap w:val="false"/>
          </w:tcPr>
          <w:p>
            <w:pPr>
              <w:pStyle w:val="1001"/>
              <w:numPr>
                <w:ilvl w:val="0"/>
                <w:numId w:val="0"/>
              </w:numPr>
              <w:jc w:val="center"/>
              <w:spacing w:line="440" w:lineRule="exact"/>
              <w:rPr>
                <w:rFonts w:hint="default" w:ascii="Times New Roman" w:hAnsi="Times New Roman" w:cs="Times New Roman"/>
                <w:color w:val="auto"/>
                <w:szCs w:val="21"/>
                <w:highlight w:val="none"/>
                <w:vertAlign w:val="baseline"/>
                <w:lang w:val="en-US" w:eastAsia="zh-CN"/>
              </w:rPr>
            </w:pPr>
            <w:r>
              <w:rPr>
                <w:rFonts w:hint="eastAsia" w:ascii="Times New Roman" w:hAnsi="Times New Roman" w:cs="Times New Roman"/>
                <w:color w:val="auto"/>
                <w:szCs w:val="21"/>
                <w:highlight w:val="none"/>
                <w:vertAlign w:val="baseline"/>
                <w:lang w:val="en-US" w:eastAsia="zh-CN"/>
              </w:rPr>
              <w:t xml:space="preserve">100</w:t>
            </w:r>
            <w:r/>
          </w:p>
        </w:tc>
        <w:tc>
          <w:tcPr>
            <w:tcW w:w="776" w:type="dxa"/>
            <w:vAlign w:val="center"/>
            <w:textDirection w:val="lrTb"/>
            <w:noWrap w:val="false"/>
          </w:tcPr>
          <w:p>
            <w:pPr>
              <w:pStyle w:val="1001"/>
              <w:numPr>
                <w:ilvl w:val="0"/>
                <w:numId w:val="0"/>
              </w:numPr>
              <w:jc w:val="center"/>
              <w:spacing w:line="440" w:lineRule="exact"/>
              <w:rPr>
                <w:rFonts w:hint="default" w:hAnsi="宋体" w:cs="宋体"/>
                <w:color w:val="auto"/>
                <w:szCs w:val="21"/>
                <w:highlight w:val="none"/>
                <w:vertAlign w:val="baseline"/>
                <w:lang w:val="en-US" w:eastAsia="zh-CN"/>
              </w:rPr>
            </w:pPr>
            <w:r>
              <w:rPr>
                <w:rFonts w:hint="default" w:hAnsi="宋体" w:cs="宋体"/>
                <w:color w:val="auto"/>
                <w:szCs w:val="21"/>
                <w:highlight w:val="none"/>
                <w:vertAlign w:val="baseline"/>
                <w:lang w:val="en-US" w:eastAsia="zh-CN"/>
              </w:rPr>
            </w:r>
            <w:r/>
          </w:p>
        </w:tc>
      </w:tr>
    </w:tbl>
    <w:p>
      <w:pPr>
        <w:pStyle w:val="1001"/>
        <w:ind w:firstLine="422"/>
        <w:keepLines w:val="0"/>
        <w:keepNext w:val="0"/>
        <w:pageBreakBefore w:val="0"/>
        <w:spacing w:before="120" w:after="120" w:line="400" w:lineRule="exact"/>
        <w:widowControl w:val="off"/>
        <w:rPr>
          <w:rFonts w:hAnsi="宋体"/>
          <w:b/>
          <w:bCs/>
          <w:color w:val="auto"/>
          <w:sz w:val="21"/>
          <w:highlight w:val="none"/>
        </w:rPr>
      </w:pPr>
      <w:r>
        <w:rPr>
          <w:rFonts w:hint="eastAsia" w:hAnsi="宋体"/>
          <w:b/>
          <w:bCs/>
          <w:color w:val="auto"/>
          <w:sz w:val="21"/>
          <w:highlight w:val="none"/>
        </w:rPr>
        <w:t xml:space="preserve">十一、税费</w:t>
      </w:r>
      <w:r/>
    </w:p>
    <w:p>
      <w:pPr>
        <w:pStyle w:val="1001"/>
        <w:ind w:firstLine="420"/>
        <w:keepLines w:val="0"/>
        <w:keepNext w:val="0"/>
        <w:pageBreakBefore w:val="0"/>
        <w:spacing w:before="120" w:after="120" w:line="400" w:lineRule="exact"/>
        <w:widowControl w:val="off"/>
        <w:rPr>
          <w:rFonts w:hAnsi="宋体"/>
          <w:color w:val="auto"/>
          <w:sz w:val="21"/>
          <w:highlight w:val="none"/>
        </w:rPr>
      </w:pPr>
      <w:r>
        <w:rPr>
          <w:rFonts w:hint="eastAsia" w:hAnsi="宋体"/>
          <w:color w:val="auto"/>
          <w:sz w:val="21"/>
          <w:highlight w:val="none"/>
        </w:rPr>
        <w:t xml:space="preserve">11.1本合同执行中相关的一切税费均由乙方负担。</w:t>
      </w:r>
      <w:r/>
    </w:p>
    <w:p>
      <w:pPr>
        <w:pStyle w:val="1001"/>
        <w:ind w:firstLine="422"/>
        <w:keepLines w:val="0"/>
        <w:keepNext w:val="0"/>
        <w:pageBreakBefore w:val="0"/>
        <w:spacing w:before="120" w:after="120" w:line="400" w:lineRule="exact"/>
        <w:widowControl w:val="off"/>
        <w:rPr>
          <w:rFonts w:hAnsi="宋体"/>
          <w:b/>
          <w:bCs/>
          <w:color w:val="auto"/>
          <w:sz w:val="21"/>
          <w:highlight w:val="none"/>
        </w:rPr>
      </w:pPr>
      <w:r>
        <w:rPr>
          <w:rFonts w:hint="eastAsia" w:hAnsi="宋体"/>
          <w:b/>
          <w:bCs/>
          <w:color w:val="auto"/>
          <w:sz w:val="21"/>
          <w:highlight w:val="none"/>
        </w:rPr>
        <w:t xml:space="preserve">十二、质量保证及售后服务</w:t>
      </w:r>
      <w:r/>
    </w:p>
    <w:p>
      <w:pPr>
        <w:ind w:firstLine="420"/>
        <w:keepLines w:val="0"/>
        <w:keepNext w:val="0"/>
        <w:pageBreakBefore w:val="0"/>
        <w:spacing w:line="400" w:lineRule="exact"/>
        <w:widowControl w:val="off"/>
        <w:rPr>
          <w:rFonts w:ascii="宋体" w:hAnsi="宋体"/>
          <w:color w:val="auto"/>
          <w:szCs w:val="21"/>
          <w:highlight w:val="none"/>
        </w:rPr>
      </w:pPr>
      <w:r>
        <w:rPr>
          <w:rFonts w:hint="eastAsia" w:ascii="宋体" w:hAnsi="宋体" w:cs="宋体"/>
          <w:color w:val="auto"/>
          <w:szCs w:val="21"/>
          <w:highlight w:val="none"/>
        </w:rPr>
        <w:t xml:space="preserve">12.1 乙方应按招标文件规定及投标文件承诺的技术性能、技术要求、质量标准向甲方提供服务；若无特殊说明，则按国家有关部门最新颁布的标准及规范为准。</w:t>
      </w:r>
      <w:r/>
    </w:p>
    <w:p>
      <w:pPr>
        <w:ind w:firstLine="420"/>
        <w:keepLines w:val="0"/>
        <w:keepNext w:val="0"/>
        <w:pageBreakBefore w:val="0"/>
        <w:spacing w:line="400" w:lineRule="exact"/>
        <w:widowControl w:val="off"/>
        <w:rPr>
          <w:rFonts w:ascii="宋体" w:hAnsi="宋体"/>
          <w:color w:val="auto"/>
          <w:szCs w:val="21"/>
          <w:highlight w:val="none"/>
        </w:rPr>
      </w:pPr>
      <w:r>
        <w:rPr>
          <w:rFonts w:hint="eastAsia" w:ascii="宋体" w:hAnsi="宋体" w:cs="宋体"/>
          <w:color w:val="auto"/>
          <w:szCs w:val="21"/>
          <w:highlight w:val="none"/>
        </w:rPr>
        <w:t xml:space="preserve">12.2乙方应保证其提供的服务是全面和规范的，并完全符合招投标文件。如因乙方提供的服务有瑕疵造成甲方损失的，所需费用由乙方承担。</w:t>
      </w:r>
      <w:r/>
    </w:p>
    <w:p>
      <w:pPr>
        <w:ind w:firstLine="420"/>
        <w:keepLines w:val="0"/>
        <w:keepNext w:val="0"/>
        <w:pageBreakBefore w:val="0"/>
        <w:spacing w:line="400" w:lineRule="exact"/>
        <w:widowControl w:val="off"/>
        <w:rPr>
          <w:rFonts w:hAnsi="宋体"/>
          <w:color w:val="auto"/>
          <w:highlight w:val="none"/>
        </w:rPr>
      </w:pPr>
      <w:r>
        <w:rPr>
          <w:rFonts w:hint="eastAsia" w:ascii="宋体" w:hAnsi="宋体" w:cs="宋体"/>
          <w:color w:val="auto"/>
          <w:szCs w:val="21"/>
          <w:highlight w:val="none"/>
        </w:rPr>
        <w:t xml:space="preserve">12.3 如在使用过程中发生质量问题，乙方在接到甲方通知后在___小时内到达甲方现场。</w:t>
      </w:r>
      <w:r/>
    </w:p>
    <w:p>
      <w:pPr>
        <w:pStyle w:val="1001"/>
        <w:ind w:firstLine="422"/>
        <w:keepLines w:val="0"/>
        <w:keepNext w:val="0"/>
        <w:pageBreakBefore w:val="0"/>
        <w:spacing w:before="120" w:after="120" w:line="400" w:lineRule="exact"/>
        <w:widowControl w:val="off"/>
        <w:rPr>
          <w:rFonts w:hAnsi="宋体"/>
          <w:b/>
          <w:bCs/>
          <w:color w:val="auto"/>
          <w:sz w:val="21"/>
          <w:highlight w:val="none"/>
        </w:rPr>
      </w:pPr>
      <w:r>
        <w:rPr>
          <w:rFonts w:hint="eastAsia" w:hAnsi="宋体"/>
          <w:b/>
          <w:bCs/>
          <w:color w:val="auto"/>
          <w:sz w:val="21"/>
          <w:highlight w:val="none"/>
        </w:rPr>
        <w:t xml:space="preserve">十三、交付和验收</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13.1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13.2乙方交付前应对服务或产品作出全面检查和对验收文件进行整理，并列出清单，作为甲方交付验收和使用的技术条件依据，检验的结果应随服务或产品交甲方。</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13.3甲方对乙方提供的服务或产品在使用前进行调试时，乙方需负责安装并培训甲方的使用操作人员，并协助甲方一起调试，直到符合技术要求，甲方才做最终验收。</w:t>
      </w:r>
      <w:r/>
    </w:p>
    <w:p>
      <w:pPr>
        <w:ind w:firstLine="420"/>
        <w:keepLines w:val="0"/>
        <w:keepNext w:val="0"/>
        <w:pageBreakBefore w:val="0"/>
        <w:spacing w:line="40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13.4对技术复杂的服务或产品，甲方可请国家认可的专业检测机构参与初步验收及最终验收，并由其出具质量检测报告。</w:t>
      </w:r>
      <w:r/>
    </w:p>
    <w:p>
      <w:pPr>
        <w:ind w:firstLine="420"/>
        <w:keepLines w:val="0"/>
        <w:keepNext w:val="0"/>
        <w:pageBreakBefore w:val="0"/>
        <w:spacing w:line="400" w:lineRule="exact"/>
        <w:widowControl w:val="off"/>
        <w:rPr>
          <w:rFonts w:ascii="宋体" w:hAnsi="宋体"/>
          <w:color w:val="auto"/>
          <w:szCs w:val="21"/>
          <w:highlight w:val="none"/>
          <w:u w:val="single"/>
        </w:rPr>
      </w:pPr>
      <w:r>
        <w:rPr>
          <w:rFonts w:hint="eastAsia" w:ascii="宋体" w:hAnsi="宋体"/>
          <w:color w:val="auto"/>
          <w:szCs w:val="21"/>
          <w:highlight w:val="none"/>
        </w:rPr>
        <w:t xml:space="preserve">13.5 验收时乙方必须在现场，验收完毕后作出验收结果报告；验收费用由甲乙双方协商解决。</w:t>
      </w:r>
      <w:r/>
    </w:p>
    <w:p>
      <w:pPr>
        <w:ind w:firstLine="422"/>
        <w:spacing w:line="360" w:lineRule="auto"/>
        <w:rPr>
          <w:rFonts w:ascii="宋体" w:hAnsi="宋体"/>
          <w:b/>
          <w:bCs/>
          <w:szCs w:val="21"/>
        </w:rPr>
      </w:pPr>
      <w:r>
        <w:rPr>
          <w:rFonts w:hint="eastAsia" w:ascii="宋体" w:hAnsi="宋体"/>
          <w:b/>
          <w:bCs/>
          <w:szCs w:val="21"/>
        </w:rPr>
        <w:t xml:space="preserve">十四、</w:t>
      </w:r>
      <w:r>
        <w:rPr>
          <w:rFonts w:hint="eastAsia" w:ascii="宋体" w:hAnsi="宋体"/>
          <w:b/>
          <w:bCs/>
        </w:rPr>
        <w:t xml:space="preserve">服务或产品包装、发运及运输</w:t>
      </w:r>
      <w:r/>
    </w:p>
    <w:p>
      <w:pPr>
        <w:pStyle w:val="1017"/>
        <w:ind w:firstLine="420"/>
        <w:spacing w:line="360" w:lineRule="auto"/>
        <w:rPr>
          <w:rFonts w:hint="eastAsia" w:hAnsi="宋体"/>
          <w:sz w:val="21"/>
        </w:rPr>
      </w:pPr>
      <w:r>
        <w:rPr>
          <w:rFonts w:hint="eastAsia" w:hAnsi="宋体"/>
          <w:sz w:val="21"/>
        </w:rPr>
        <w:t xml:space="preserve">14.1乙方应在服务或产品发运前对其进行满足运输距离、防潮、防震、防锈和防破损装卸等要求包装，以保证服务或产品安全运达甲方指定地点。</w:t>
      </w:r>
      <w:r/>
    </w:p>
    <w:p>
      <w:pPr>
        <w:pStyle w:val="1017"/>
        <w:ind w:firstLine="420"/>
        <w:spacing w:line="360" w:lineRule="auto"/>
        <w:rPr>
          <w:rFonts w:hint="eastAsia" w:hAnsi="宋体"/>
          <w:sz w:val="21"/>
        </w:rPr>
      </w:pPr>
      <w:r>
        <w:rPr>
          <w:rFonts w:hint="eastAsia" w:hAnsi="宋体"/>
          <w:sz w:val="21"/>
        </w:rPr>
        <w:t xml:space="preserve">14.2 使用说明书、质量检验证明书、随配附件和工具以及清单一并交付甲方。</w:t>
      </w:r>
      <w:r/>
    </w:p>
    <w:p>
      <w:pPr>
        <w:pStyle w:val="1017"/>
        <w:ind w:firstLine="420"/>
        <w:spacing w:line="360" w:lineRule="auto"/>
        <w:rPr>
          <w:rFonts w:hint="eastAsia" w:hAnsi="宋体"/>
          <w:sz w:val="21"/>
        </w:rPr>
      </w:pPr>
      <w:r>
        <w:rPr>
          <w:rFonts w:hint="eastAsia" w:hAnsi="宋体"/>
          <w:sz w:val="21"/>
        </w:rPr>
        <w:t xml:space="preserve">14.3乙方在服务或产品发运手续办理完毕后24小时内或交付到甲方48小时前通知甲方，以准备接受交付。</w:t>
      </w:r>
      <w:r/>
    </w:p>
    <w:p>
      <w:pPr>
        <w:pStyle w:val="1017"/>
        <w:ind w:firstLine="420"/>
        <w:spacing w:line="360" w:lineRule="auto"/>
        <w:rPr>
          <w:rFonts w:hint="eastAsia" w:hAnsi="宋体"/>
          <w:sz w:val="21"/>
        </w:rPr>
      </w:pPr>
      <w:r>
        <w:rPr>
          <w:rFonts w:hint="eastAsia" w:hAnsi="宋体"/>
          <w:sz w:val="21"/>
        </w:rPr>
        <w:t xml:space="preserve">14.4 服务在交付甲方前发生的风险均由乙方负责。</w:t>
      </w:r>
      <w:r/>
    </w:p>
    <w:p>
      <w:pPr>
        <w:pStyle w:val="1017"/>
        <w:ind w:firstLine="420"/>
        <w:spacing w:line="360" w:lineRule="auto"/>
        <w:rPr>
          <w:rFonts w:hAnsi="宋体"/>
          <w:color w:val="auto"/>
          <w:sz w:val="21"/>
          <w:highlight w:val="none"/>
        </w:rPr>
      </w:pPr>
      <w:r>
        <w:rPr>
          <w:rFonts w:hint="eastAsia" w:hAnsi="宋体"/>
          <w:sz w:val="21"/>
        </w:rPr>
        <w:t xml:space="preserve">14.5服务或产品在规定的交付期限内由乙方送达甲方指定的地点视为交付，乙方同时需通知甲方服务或产品已送达。</w:t>
      </w:r>
      <w:r/>
    </w:p>
    <w:p>
      <w:pPr>
        <w:pStyle w:val="1001"/>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十五、违约责任</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15.1 甲方无正当理由拒收服务的，甲方向乙方偿付拒收款项总值的百分之五违约金。</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15.2 甲方无故逾期验收和办理款项支付手续的,甲方应按逾期付款总额每日万分之五向乙方支付违约金。</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15.4 乙方所交的服务数量、质量不符合合同规定及招标文件规定标准的，甲方有权拒收该服务，乙方愿意更换服务但逾期交付的，按乙方逾期交付处理。乙方拒绝更换服务的，甲方可单方面解除合同。</w:t>
      </w:r>
      <w:r/>
    </w:p>
    <w:p>
      <w:pPr>
        <w:pStyle w:val="1001"/>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十六、不可抗力事件处理</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16.1 在合同有效期内，任何一方因不可抗力事件导致不能履行合同，则合同履行期可延长，其延长期与不可抗力影响期相同。</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16.2 不可抗力事件发生后，应立即通知对方，并寄送有关权威机构出具的证明。</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16.3 不可抗力事件延续120天以上，双方应通过友好协商，确定是否继续履行合同。</w:t>
      </w:r>
      <w:r/>
    </w:p>
    <w:p>
      <w:pPr>
        <w:pStyle w:val="1001"/>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十七、诉讼</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Ansi="宋体"/>
          <w:color w:val="auto"/>
          <w:szCs w:val="21"/>
          <w:highlight w:val="none"/>
        </w:rPr>
      </w:pPr>
      <w:r>
        <w:rPr>
          <w:rFonts w:hint="eastAsia" w:ascii="宋体" w:hAnsi="宋体"/>
          <w:b/>
          <w:bCs/>
          <w:color w:val="auto"/>
          <w:szCs w:val="21"/>
          <w:highlight w:val="none"/>
        </w:rPr>
        <w:t xml:space="preserve">十八、</w:t>
      </w:r>
      <w:r>
        <w:rPr>
          <w:rFonts w:hint="eastAsia" w:ascii="宋体" w:hAnsi="宋体" w:cs="宋体"/>
          <w:bCs/>
          <w:color w:val="auto"/>
          <w:highlight w:val="none"/>
        </w:rPr>
        <w:t xml:space="preserve">为落实好政府采购履约资金扶持政策，乙方可凭政府采购合同办理融资贷款，详见江苏政府采购网“政采贷”专栏。</w:t>
      </w:r>
      <w:r/>
    </w:p>
    <w:p>
      <w:pPr>
        <w:pStyle w:val="1001"/>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十九、合同生效及其它</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19.1 合同经双方法定代表人签章并加盖单位公章，并经</w:t>
      </w:r>
      <w:r>
        <w:rPr>
          <w:rFonts w:hint="eastAsia" w:hAnsi="宋体"/>
          <w:color w:val="auto"/>
          <w:sz w:val="21"/>
          <w:highlight w:val="none"/>
          <w:lang w:eastAsia="zh-CN"/>
        </w:rPr>
        <w:t xml:space="preserve">扬州市建苑工程监理有限责任公司</w:t>
      </w:r>
      <w:r>
        <w:rPr>
          <w:rFonts w:hint="eastAsia" w:hAnsi="宋体"/>
          <w:color w:val="auto"/>
          <w:sz w:val="21"/>
          <w:highlight w:val="none"/>
        </w:rPr>
        <w:t xml:space="preserve">见证盖章后生效。</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19.2本合同未尽事宜，遵照《民法典》有关条文执行。</w:t>
      </w:r>
      <w:r/>
    </w:p>
    <w:p>
      <w:pPr>
        <w:pStyle w:val="1001"/>
        <w:ind w:firstLine="420"/>
        <w:spacing w:before="120" w:after="120" w:line="360" w:lineRule="auto"/>
        <w:rPr>
          <w:rFonts w:hAnsi="宋体"/>
          <w:color w:val="auto"/>
          <w:sz w:val="21"/>
          <w:highlight w:val="none"/>
        </w:rPr>
      </w:pPr>
      <w:r>
        <w:rPr>
          <w:rFonts w:hint="eastAsia" w:hAnsi="宋体"/>
          <w:color w:val="auto"/>
          <w:sz w:val="21"/>
          <w:highlight w:val="none"/>
        </w:rPr>
        <w:t xml:space="preserve">19.3 本合同正本一式四份，具有同等法律效力，甲方、乙方、见证方及财政监管部门各执一份。  </w:t>
      </w:r>
      <w:r/>
    </w:p>
    <w:tbl>
      <w:tblPr>
        <w:tblStyle w:val="765"/>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1"/>
              <w:spacing w:before="120" w:after="120" w:line="360" w:lineRule="auto"/>
              <w:rPr>
                <w:rFonts w:hAnsi="宋体"/>
                <w:color w:val="auto"/>
                <w:sz w:val="21"/>
                <w:highlight w:val="none"/>
              </w:rPr>
            </w:pPr>
            <w:r>
              <w:rPr>
                <w:rFonts w:hint="eastAsia" w:hAnsi="宋体"/>
                <w:color w:val="auto"/>
                <w:sz w:val="21"/>
                <w:highlight w:val="none"/>
              </w:rPr>
              <w:t xml:space="preserve">甲方： 扬州市住房和城乡建设局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1"/>
              <w:spacing w:before="120" w:after="120" w:line="360" w:lineRule="auto"/>
              <w:rPr>
                <w:rFonts w:hAnsi="宋体"/>
                <w:color w:val="auto"/>
                <w:sz w:val="21"/>
                <w:highlight w:val="none"/>
              </w:rPr>
            </w:pPr>
            <w:r>
              <w:rPr>
                <w:rFonts w:hint="eastAsia" w:hAnsi="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1"/>
              <w:spacing w:before="120" w:after="120" w:line="360" w:lineRule="auto"/>
              <w:rPr>
                <w:rFonts w:hAnsi="宋体"/>
                <w:color w:val="auto"/>
                <w:sz w:val="21"/>
                <w:highlight w:val="none"/>
              </w:rPr>
            </w:pPr>
            <w:r>
              <w:rPr>
                <w:rFonts w:hint="eastAsia" w:hAnsi="宋体"/>
                <w:color w:val="auto"/>
                <w:sz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1"/>
              <w:spacing w:before="120" w:after="120" w:line="360" w:lineRule="auto"/>
              <w:rPr>
                <w:rFonts w:hAnsi="宋体"/>
                <w:color w:val="auto"/>
                <w:sz w:val="21"/>
                <w:highlight w:val="none"/>
              </w:rPr>
            </w:pPr>
            <w:r>
              <w:rPr>
                <w:rFonts w:hint="eastAsia" w:hAnsi="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1"/>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1"/>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1"/>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1"/>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1"/>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1"/>
              <w:spacing w:before="120" w:after="120" w:line="360" w:lineRule="auto"/>
              <w:rPr>
                <w:rFonts w:hAnsi="宋体"/>
                <w:color w:val="auto"/>
                <w:sz w:val="21"/>
                <w:highlight w:val="none"/>
              </w:rPr>
            </w:pPr>
            <w:r>
              <w:rPr>
                <w:rFonts w:hint="eastAsia" w:hAnsi="宋体"/>
                <w:color w:val="auto"/>
                <w:sz w:val="21"/>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1"/>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见证方：</w:t>
            </w:r>
            <w:r>
              <w:rPr>
                <w:rFonts w:hint="eastAsia" w:hAnsi="宋体"/>
                <w:color w:val="auto"/>
                <w:sz w:val="21"/>
                <w:highlight w:val="none"/>
                <w:lang w:eastAsia="zh-CN"/>
              </w:rPr>
              <w:t xml:space="preserve">扬州市建苑工程监理有限责任公司</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1"/>
              <w:spacing w:before="120" w:after="120" w:line="360" w:lineRule="auto"/>
              <w:rPr>
                <w:rFonts w:hAnsi="宋体"/>
                <w:color w:val="auto"/>
                <w:sz w:val="21"/>
                <w:highlight w:val="none"/>
              </w:rPr>
            </w:pPr>
            <w:r>
              <w:rPr>
                <w:rFonts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1"/>
              <w:spacing w:before="120" w:after="120" w:line="360" w:lineRule="auto"/>
              <w:rPr>
                <w:rFonts w:hAnsi="宋体"/>
                <w:color w:val="auto"/>
                <w:sz w:val="21"/>
                <w:highlight w:val="none"/>
              </w:rPr>
            </w:pPr>
            <w:r>
              <w:rPr>
                <w:rFonts w:hint="eastAsia" w:hAnsi="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1"/>
              <w:spacing w:before="120" w:after="120" w:line="360" w:lineRule="auto"/>
              <w:rPr>
                <w:rFonts w:hAnsi="宋体"/>
                <w:color w:val="auto"/>
                <w:sz w:val="21"/>
                <w:highlight w:val="none"/>
              </w:rPr>
            </w:pPr>
            <w:r>
              <w:rPr>
                <w:rFonts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1"/>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1"/>
              <w:spacing w:before="120" w:after="120" w:line="360" w:lineRule="auto"/>
              <w:rPr>
                <w:rFonts w:hAnsi="宋体"/>
                <w:color w:val="auto"/>
                <w:sz w:val="21"/>
                <w:highlight w:val="none"/>
              </w:rPr>
            </w:pPr>
            <w:r>
              <w:rPr>
                <w:rFonts w:hAnsi="宋体"/>
                <w:color w:val="auto"/>
                <w:sz w:val="21"/>
                <w:highlight w:val="none"/>
              </w:rPr>
            </w:r>
            <w:r/>
          </w:p>
        </w:tc>
      </w:tr>
    </w:tbl>
    <w:p>
      <w:pPr>
        <w:pStyle w:val="1001"/>
        <w:spacing w:before="120" w:after="120" w:line="360" w:lineRule="auto"/>
        <w:rPr>
          <w:rFonts w:hAnsi="宋体"/>
          <w:color w:val="auto"/>
          <w:sz w:val="21"/>
          <w:highlight w:val="none"/>
        </w:rPr>
      </w:pPr>
      <w:r>
        <w:rPr>
          <w:rFonts w:hint="eastAsia" w:hAnsi="宋体"/>
          <w:color w:val="auto"/>
          <w:sz w:val="21"/>
          <w:highlight w:val="none"/>
        </w:rPr>
        <w:t xml:space="preserve"> </w:t>
      </w:r>
      <w:r/>
    </w:p>
    <w:p>
      <w:pPr>
        <w:pStyle w:val="1001"/>
        <w:spacing w:before="120" w:after="120" w:line="360" w:lineRule="auto"/>
        <w:rPr>
          <w:rFonts w:hAnsi="宋体"/>
          <w:color w:val="auto"/>
          <w:sz w:val="21"/>
          <w:highlight w:val="none"/>
        </w:rPr>
      </w:pPr>
      <w:r>
        <w:rPr>
          <w:rFonts w:hint="eastAsia" w:hAnsi="宋体"/>
          <w:color w:val="auto"/>
          <w:sz w:val="21"/>
          <w:highlight w:val="none"/>
        </w:rPr>
        <w:t xml:space="preserve">  </w:t>
      </w:r>
      <w:r/>
    </w:p>
    <w:p>
      <w:pPr>
        <w:rPr>
          <w:color w:val="auto"/>
          <w:highlight w:val="none"/>
        </w:rPr>
      </w:pPr>
      <w:r>
        <w:rPr>
          <w:color w:val="auto"/>
          <w:highlight w:val="none"/>
        </w:rPr>
        <w:br w:type="page" w:clear="all"/>
      </w:r>
      <w:bookmarkEnd w:id="52"/>
      <w:r/>
      <w:r/>
    </w:p>
    <w:p>
      <w:pPr>
        <w:pStyle w:val="974"/>
        <w:jc w:val="center"/>
        <w:spacing w:line="240" w:lineRule="auto"/>
        <w:rPr>
          <w:color w:val="auto"/>
          <w:highlight w:val="none"/>
        </w:rPr>
      </w:pPr>
      <w:r>
        <w:rPr>
          <w:rFonts w:hint="eastAsia"/>
          <w:color w:val="auto"/>
          <w:highlight w:val="none"/>
        </w:rPr>
        <w:t xml:space="preserve">第四章 项目需求</w:t>
      </w:r>
      <w:r/>
    </w:p>
    <w:p>
      <w:pPr>
        <w:rPr>
          <w:rFonts w:hint="default" w:eastAsia="宋体"/>
          <w:color w:val="auto"/>
          <w:highlight w:val="yellow"/>
          <w:lang w:val="en-US" w:eastAsia="zh-CN"/>
        </w:rPr>
      </w:pPr>
      <w:r>
        <w:rPr>
          <w:rFonts w:hint="default" w:eastAsia="宋体"/>
          <w:color w:val="auto"/>
          <w:highlight w:val="yellow"/>
          <w:lang w:val="en-US" w:eastAsia="zh-CN"/>
        </w:rPr>
      </w:r>
      <w:r/>
    </w:p>
    <w:p>
      <w:pPr>
        <w:spacing w:line="360" w:lineRule="auto"/>
        <w:rPr>
          <w:rFonts w:hint="eastAsia" w:eastAsia="宋体"/>
          <w:b/>
          <w:bCs/>
          <w:color w:val="auto"/>
          <w:highlight w:val="none"/>
        </w:rPr>
      </w:pPr>
      <w:r>
        <w:rPr>
          <w:rFonts w:hint="eastAsia" w:eastAsia="宋体"/>
          <w:b/>
          <w:bCs/>
          <w:color w:val="auto"/>
          <w:highlight w:val="none"/>
        </w:rPr>
        <w:t xml:space="preserve">一、项目背景</w:t>
      </w:r>
      <w:r/>
    </w:p>
    <w:p>
      <w:pPr>
        <w:ind w:firstLine="420"/>
        <w:spacing w:line="360" w:lineRule="auto"/>
        <w:rPr>
          <w:rFonts w:hint="eastAsia" w:eastAsia="宋体"/>
          <w:b w:val="0"/>
          <w:bCs w:val="0"/>
          <w:color w:val="auto"/>
          <w:highlight w:val="none"/>
        </w:rPr>
      </w:pPr>
      <w:r>
        <w:rPr>
          <w:rFonts w:hint="eastAsia" w:eastAsia="宋体"/>
          <w:b w:val="0"/>
          <w:bCs w:val="0"/>
          <w:color w:val="auto"/>
          <w:highlight w:val="none"/>
        </w:rPr>
        <w:t xml:space="preserve">海绵城市建设是提升城市水安全保障能力、改善水生态环境质量的重要举措，是落实新型城镇化建设要求的关键内容。《国务院办公厅</w:t>
      </w:r>
      <w:r>
        <w:rPr>
          <w:rFonts w:hint="eastAsia" w:eastAsia="宋体"/>
          <w:b w:val="0"/>
          <w:bCs w:val="0"/>
          <w:color w:val="auto"/>
          <w:highlight w:val="none"/>
        </w:rPr>
        <w:t xml:space="preserve">关于推进海绵城市建设的指导意见》等相关政策文件明确提出系统化全域推进海绵城市建设的目标要求，强调要统筹近远期建设、强化多层级协同，提升海绵城市建设的系统性与实效性。当前，扬州市作为系统化全域推进海绵城市示范城市，已开展多轮海绵城市建设实践，但仍存在示范片区与排水分区边界协同不足、建设系统性有待提升等问题，亟需通过专项研究巩固示范建设成效。本项目旨在通过系统梳理扬州海绵城市建设实践，凝练特色经验模式，推动海绵城市建设从“示范”阶段向“常态”阶段有序过渡，为全国同类城市海绵城市建设提供可复制、可推广的参考范例。</w:t>
      </w:r>
      <w:r/>
    </w:p>
    <w:p>
      <w:pPr>
        <w:spacing w:line="360" w:lineRule="auto"/>
        <w:rPr>
          <w:rFonts w:hint="eastAsia" w:eastAsia="宋体"/>
          <w:b/>
          <w:bCs/>
          <w:color w:val="auto"/>
          <w:highlight w:val="none"/>
        </w:rPr>
      </w:pPr>
      <w:r>
        <w:rPr>
          <w:rFonts w:hint="eastAsia" w:eastAsia="宋体"/>
          <w:b/>
          <w:bCs/>
          <w:color w:val="auto"/>
          <w:highlight w:val="none"/>
        </w:rPr>
        <w:t xml:space="preserve">二、项目任务</w:t>
      </w:r>
      <w:r/>
    </w:p>
    <w:p>
      <w:pPr>
        <w:ind w:firstLine="420"/>
        <w:spacing w:line="360" w:lineRule="auto"/>
        <w:rPr>
          <w:rFonts w:hint="eastAsia" w:eastAsia="宋体"/>
          <w:b w:val="0"/>
          <w:bCs w:val="0"/>
          <w:color w:val="auto"/>
          <w:highlight w:val="none"/>
        </w:rPr>
      </w:pPr>
      <w:r>
        <w:rPr>
          <w:rFonts w:hint="eastAsia" w:eastAsia="宋体"/>
          <w:b w:val="0"/>
          <w:bCs w:val="0"/>
          <w:color w:val="auto"/>
          <w:highlight w:val="none"/>
        </w:rPr>
        <w:t xml:space="preserve">1、编制扬州市海绵示范城市系统化建设方案</w:t>
      </w:r>
      <w:r/>
    </w:p>
    <w:p>
      <w:pPr>
        <w:ind w:firstLine="420"/>
        <w:spacing w:line="360" w:lineRule="auto"/>
        <w:rPr>
          <w:rFonts w:hint="eastAsia" w:eastAsia="宋体"/>
          <w:b w:val="0"/>
          <w:bCs w:val="0"/>
          <w:color w:val="auto"/>
          <w:highlight w:val="none"/>
        </w:rPr>
      </w:pPr>
      <w:r>
        <w:rPr>
          <w:rFonts w:hint="eastAsia" w:eastAsia="宋体"/>
          <w:b w:val="0"/>
          <w:bCs w:val="0"/>
          <w:color w:val="auto"/>
          <w:highlight w:val="none"/>
        </w:rPr>
        <w:t xml:space="preserve">以提升海绵城市建设系统性、全域性为核心，构建“总体-局部-衔接”的建设框架，建立健全近远期协同、多层级覆盖的量化指标体系。综合运用现状评估、分区优化、设施统筹等手段，持续补齐海绵城市建设短板，开展系统化全域海绵城市建设方案编制；重点强化排水分区与示范片区边界协同，统筹地块、绿地、河道、管网等各类设施系统，构建“蓄排平衡”的健康水循环体系，从整体上提升城市水安全、水环境、水资源、水生态综合保障能力。</w:t>
      </w:r>
      <w:r/>
    </w:p>
    <w:p>
      <w:pPr>
        <w:ind w:firstLine="420"/>
        <w:spacing w:line="360" w:lineRule="auto"/>
        <w:rPr>
          <w:rFonts w:hint="eastAsia" w:eastAsia="宋体"/>
          <w:b w:val="0"/>
          <w:bCs w:val="0"/>
          <w:color w:val="auto"/>
          <w:highlight w:val="none"/>
        </w:rPr>
      </w:pPr>
      <w:r>
        <w:rPr>
          <w:rFonts w:hint="eastAsia" w:eastAsia="宋体"/>
          <w:b w:val="0"/>
          <w:bCs w:val="0"/>
          <w:color w:val="auto"/>
          <w:highlight w:val="none"/>
        </w:rPr>
        <w:t xml:space="preserve">具体包括：扬州市海绵城市建设总体概况及现状评估，海绵城市建设存在的问题分析，海绵城市建设目标和总体思路，海绵城市系统化建设总体方案、设施体系及分区建设方案，建设项目安排。</w:t>
      </w:r>
      <w:r/>
    </w:p>
    <w:p>
      <w:pPr>
        <w:ind w:firstLine="420"/>
        <w:spacing w:line="360" w:lineRule="auto"/>
        <w:rPr>
          <w:rFonts w:hint="eastAsia" w:eastAsia="宋体"/>
          <w:b w:val="0"/>
          <w:bCs w:val="0"/>
          <w:color w:val="auto"/>
          <w:highlight w:val="none"/>
        </w:rPr>
      </w:pPr>
      <w:r>
        <w:rPr>
          <w:rFonts w:hint="eastAsia" w:eastAsia="宋体"/>
          <w:b w:val="0"/>
          <w:bCs w:val="0"/>
          <w:color w:val="auto"/>
          <w:highlight w:val="none"/>
        </w:rPr>
        <w:t xml:space="preserve">2、编制扬州市海绵城市示范建设成果凝练总结</w:t>
      </w:r>
      <w:r/>
    </w:p>
    <w:p>
      <w:pPr>
        <w:ind w:firstLine="420"/>
        <w:spacing w:line="360" w:lineRule="auto"/>
        <w:rPr>
          <w:rFonts w:hint="eastAsia" w:eastAsia="宋体"/>
          <w:b w:val="0"/>
          <w:bCs w:val="0"/>
          <w:color w:val="auto"/>
          <w:highlight w:val="none"/>
        </w:rPr>
      </w:pPr>
      <w:r>
        <w:rPr>
          <w:rFonts w:hint="eastAsia" w:eastAsia="宋体"/>
          <w:b w:val="0"/>
          <w:bCs w:val="0"/>
          <w:color w:val="auto"/>
          <w:highlight w:val="none"/>
        </w:rPr>
        <w:t xml:space="preserve">以“系统化全域推进海绵城市示范城市成果凝练总结大纲”为遵循，聚焦扬州海绵城市建设的本地特色与创新实践，开展针对性研究总结。系统梳理海绵城市建设中的特色参数、创新模式及亮点做法，形成兼具理论指导性与实践操作性的总结成果，为后续海绵城市常态化建设提供支撑。</w:t>
      </w:r>
      <w:r/>
    </w:p>
    <w:p>
      <w:pPr>
        <w:ind w:firstLine="420"/>
        <w:spacing w:line="360" w:lineRule="auto"/>
        <w:rPr>
          <w:rFonts w:hint="eastAsia" w:eastAsia="宋体"/>
          <w:b w:val="0"/>
          <w:bCs w:val="0"/>
          <w:color w:val="auto"/>
          <w:highlight w:val="none"/>
        </w:rPr>
      </w:pPr>
      <w:r>
        <w:rPr>
          <w:rFonts w:hint="eastAsia" w:eastAsia="宋体"/>
          <w:b w:val="0"/>
          <w:bCs w:val="0"/>
          <w:color w:val="auto"/>
          <w:highlight w:val="none"/>
        </w:rPr>
        <w:t xml:space="preserve">具体包括：基于扬州市海绵示范城市系统化建设方案，提出近远期海绵城市建设指标体系，逐级分解至二级排水分区。分区介绍海绵城市全域建设方案，分级评估实施成效和达标情况。总结扬州示范城市建设的典型做法、典型案例，深入凝练建设经验和体会。三、成果内容</w:t>
      </w:r>
      <w:r/>
    </w:p>
    <w:p>
      <w:pPr>
        <w:ind w:firstLine="420"/>
        <w:spacing w:line="360" w:lineRule="auto"/>
        <w:rPr>
          <w:rFonts w:hint="eastAsia" w:eastAsia="宋体"/>
          <w:b w:val="0"/>
          <w:bCs w:val="0"/>
          <w:color w:val="auto"/>
          <w:highlight w:val="none"/>
        </w:rPr>
      </w:pPr>
      <w:r>
        <w:rPr>
          <w:rFonts w:hint="eastAsia" w:eastAsia="宋体"/>
          <w:b w:val="0"/>
          <w:bCs w:val="0"/>
          <w:color w:val="auto"/>
          <w:highlight w:val="none"/>
        </w:rPr>
        <w:t xml:space="preserve">本项目成果为扬州市海绵示范城市系统化建设方案、扬州市海绵城市示范建设成果凝练总结报告。相关成果应符合国家、江苏省关于海绵城市建设的相关法规、技术标准及政策文件要求，与扬州市海绵城市专项规划、排水防涝规划等现有顶层设计有效衔接，数据准确、逻辑清晰、内容完整，具备较强的针对性、指导性和可操作性。</w:t>
      </w:r>
      <w:r/>
    </w:p>
    <w:p>
      <w:pPr>
        <w:ind w:firstLine="420"/>
        <w:spacing w:line="360" w:lineRule="auto"/>
        <w:rPr>
          <w:color w:val="auto"/>
          <w:highlight w:val="none"/>
        </w:rPr>
      </w:pPr>
      <w:r>
        <w:rPr>
          <w:color w:val="auto"/>
          <w:highlight w:val="none"/>
        </w:rPr>
      </w:r>
      <w:r/>
    </w:p>
    <w:p>
      <w:pPr>
        <w:pStyle w:val="974"/>
        <w:jc w:val="center"/>
        <w:rPr>
          <w:rFonts w:ascii="宋体" w:hAnsi="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53" w:name="_Toc55204181"/>
      <w:r/>
      <w:r/>
    </w:p>
    <w:p>
      <w:pPr>
        <w:pStyle w:val="974"/>
        <w:jc w:val="center"/>
        <w:spacing w:line="240" w:lineRule="auto"/>
        <w:rPr>
          <w:color w:val="auto"/>
          <w:highlight w:val="none"/>
        </w:rPr>
      </w:pPr>
      <w:r>
        <w:rPr>
          <w:rFonts w:hint="eastAsia"/>
          <w:color w:val="auto"/>
          <w:highlight w:val="none"/>
        </w:rPr>
        <w:t xml:space="preserve">第五章 评标方法及评标标准</w:t>
      </w:r>
      <w:bookmarkEnd w:id="53"/>
      <w:r/>
      <w:r/>
    </w:p>
    <w:p>
      <w:pPr>
        <w:pStyle w:val="1015"/>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1015"/>
        <w:ind w:firstLine="42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Times New Roman" w:hAnsi="Times New Roman"/>
          <w:b/>
          <w:color w:val="auto"/>
          <w:szCs w:val="21"/>
          <w:highlight w:val="none"/>
        </w:rPr>
      </w:pPr>
      <w:r/>
      <w:bookmarkStart w:id="54" w:name="_Toc449017024"/>
      <w:r/>
      <w:bookmarkStart w:id="55" w:name="_Toc449016388"/>
      <w:r>
        <w:rPr>
          <w:rFonts w:ascii="Times New Roman" w:hAnsi="Times New Roman"/>
          <w:b/>
          <w:color w:val="auto"/>
          <w:szCs w:val="21"/>
          <w:highlight w:val="none"/>
        </w:rPr>
        <w:t xml:space="preserve">二、</w:t>
      </w:r>
      <w:r>
        <w:rPr>
          <w:rFonts w:hint="eastAsia" w:ascii="Times New Roman" w:hAnsi="Times New Roman"/>
          <w:b/>
          <w:color w:val="auto"/>
          <w:szCs w:val="21"/>
          <w:highlight w:val="none"/>
        </w:rPr>
        <w:t xml:space="preserve">政府采购政策功能落实</w:t>
      </w:r>
      <w:bookmarkEnd w:id="54"/>
      <w:r/>
      <w:bookmarkEnd w:id="55"/>
      <w:r/>
      <w:r/>
    </w:p>
    <w:p>
      <w:pPr>
        <w:ind w:firstLine="420"/>
        <w:spacing w:line="360" w:lineRule="auto"/>
        <w:rPr>
          <w:rFonts w:ascii="Times New Roman" w:hAnsi="Times New Roman"/>
          <w:b/>
          <w:color w:val="auto"/>
          <w:szCs w:val="21"/>
          <w:highlight w:val="none"/>
        </w:rPr>
      </w:pPr>
      <w:r>
        <w:rPr>
          <w:rFonts w:ascii="Times New Roman" w:hAnsi="Times New Roman"/>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15"/>
        <w:ind w:left="315" w:firstLine="105"/>
        <w:rPr>
          <w:rFonts w:ascii="Times New Roman" w:hAnsi="Times New Roman"/>
          <w:color w:val="auto"/>
          <w:sz w:val="21"/>
          <w:szCs w:val="21"/>
          <w:highlight w:val="none"/>
        </w:rPr>
      </w:pPr>
      <w:r>
        <w:rPr>
          <w:rFonts w:ascii="Times New Roman" w:hAnsi="Times New Roman"/>
          <w:color w:val="auto"/>
          <w:sz w:val="21"/>
          <w:szCs w:val="21"/>
          <w:highlight w:val="none"/>
        </w:rPr>
        <w:t xml:space="preserve">1、小微型企业价格扣除</w:t>
      </w:r>
      <w:r/>
    </w:p>
    <w:p>
      <w:pPr>
        <w:pStyle w:val="1015"/>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（1）本项目对小型和微型企业产品给予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%的扣除价格，用扣除后的价格参与评审。</w:t>
      </w:r>
      <w:r/>
    </w:p>
    <w:p>
      <w:pPr>
        <w:pStyle w:val="1015"/>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（2）供应商需按照采购文件的要求提供相应的《</w:t>
      </w:r>
      <w:r>
        <w:rPr>
          <w:rFonts w:hint="eastAsia" w:ascii="Times New Roman" w:hAnsi="Times New Roman"/>
          <w:color w:val="auto"/>
          <w:sz w:val="21"/>
          <w:szCs w:val="21"/>
          <w:highlight w:val="none"/>
        </w:rPr>
        <w:t xml:space="preserve">中小</w:t>
      </w:r>
      <w:r>
        <w:rPr>
          <w:rFonts w:ascii="Times New Roman" w:hAnsi="Times New Roman"/>
          <w:color w:val="auto"/>
          <w:sz w:val="21"/>
          <w:szCs w:val="21"/>
          <w:highlight w:val="none"/>
        </w:rPr>
        <w:t xml:space="preserve">企业声明函》。</w:t>
      </w:r>
      <w:r/>
    </w:p>
    <w:p>
      <w:pPr>
        <w:pStyle w:val="1015"/>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2、残疾人福利单位价格扣除</w:t>
      </w:r>
      <w:r/>
    </w:p>
    <w:p>
      <w:pPr>
        <w:pStyle w:val="1015"/>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（1）本项目对残疾人福利性单位视同小型、微型企业，给予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%的价格扣除，用扣除后的价格参与评审。</w:t>
      </w:r>
      <w:r/>
    </w:p>
    <w:p>
      <w:pPr>
        <w:pStyle w:val="1015"/>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（2）残疾人福利单位需按照采购文件的要求提供《残疾人福利性单位声明函》。</w:t>
      </w:r>
      <w:r/>
    </w:p>
    <w:p>
      <w:pPr>
        <w:pStyle w:val="1015"/>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（3）残疾人福利单位标准请参照《关于促进残疾人就业政府采购政策的通知》（财库2017〕141号）。</w:t>
      </w:r>
      <w:r/>
    </w:p>
    <w:p>
      <w:pPr>
        <w:pStyle w:val="1015"/>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3、监狱和戒毒企业价格扣除</w:t>
      </w:r>
      <w:r/>
    </w:p>
    <w:p>
      <w:pPr>
        <w:pStyle w:val="1015"/>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（1）本项目对监狱和戒毒企业（简称监狱企业）视同小型、微型企业，给予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%的价格扣除，用扣除后的价格参与评审。</w:t>
      </w:r>
      <w:r/>
    </w:p>
    <w:p>
      <w:pPr>
        <w:pStyle w:val="1015"/>
        <w:rPr>
          <w:rFonts w:ascii="Times New Roman" w:hAnsi="Times New Roman"/>
          <w:color w:val="auto"/>
          <w:sz w:val="21"/>
          <w:szCs w:val="21"/>
          <w:highlight w:val="none"/>
        </w:rPr>
      </w:pPr>
      <w:r>
        <w:rPr>
          <w:rFonts w:ascii="Times New Roman" w:hAnsi="Times New Roman"/>
          <w:color w:val="auto"/>
          <w:sz w:val="21"/>
          <w:szCs w:val="21"/>
          <w:highlight w:val="none"/>
        </w:rPr>
        <w:t xml:space="preserve">（2）监狱企业参加政府采购活动时，需提供由省级以上监狱管理局、戒毒管理局</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含新疆生产建设兵团</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出具的属于监狱企业的证明文件。供应商如不提供上述证明文件，价格将不做相应扣除。</w:t>
      </w:r>
      <w:r/>
    </w:p>
    <w:p>
      <w:pPr>
        <w:pStyle w:val="1015"/>
        <w:rPr>
          <w:rFonts w:ascii="Times New Roman" w:hAnsi="Times New Roman"/>
          <w:color w:val="auto"/>
          <w:sz w:val="21"/>
          <w:szCs w:val="21"/>
          <w:highlight w:val="none"/>
        </w:rPr>
      </w:pPr>
      <w:r>
        <w:rPr>
          <w:rFonts w:ascii="Times New Roman" w:hAnsi="Times New Roman"/>
          <w:color w:val="auto"/>
          <w:sz w:val="21"/>
          <w:szCs w:val="21"/>
          <w:highlight w:val="none"/>
        </w:rPr>
        <w:t xml:space="preserve">（3）监狱企业标准请参照《关于政府采购支持监狱企业发展有关问题的通知》（财库[2014]68号）。</w:t>
      </w:r>
      <w:r/>
    </w:p>
    <w:p>
      <w:pPr>
        <w:pStyle w:val="1015"/>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4、残疾人福利单位、监狱企业属于小型、微型企业的，不重复享受政策。</w:t>
      </w:r>
      <w:r/>
    </w:p>
    <w:p>
      <w:pPr>
        <w:pStyle w:val="1015"/>
        <w:rPr>
          <w:rFonts w:ascii="Times New Roman" w:hAnsi="Times New Roman"/>
          <w:color w:val="auto"/>
          <w:sz w:val="21"/>
          <w:szCs w:val="21"/>
          <w:highlight w:val="none"/>
        </w:rPr>
      </w:pPr>
      <w:r>
        <w:rPr>
          <w:rFonts w:ascii="Times New Roman" w:hAnsi="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auto"/>
          <w:sz w:val="21"/>
          <w:szCs w:val="21"/>
          <w:highlight w:val="none"/>
        </w:rPr>
        <w:t xml:space="preserve">6</w:t>
      </w:r>
      <w:r>
        <w:rPr>
          <w:rFonts w:ascii="Times New Roman" w:hAnsi="Times New Roman"/>
          <w:color w:val="auto"/>
          <w:sz w:val="21"/>
          <w:szCs w:val="21"/>
          <w:highlight w:val="none"/>
        </w:rPr>
        <w:t xml:space="preserve">%的价格扣除，用扣除后的价格参与评审。</w:t>
      </w:r>
      <w:r/>
    </w:p>
    <w:p>
      <w:pPr>
        <w:pStyle w:val="1015"/>
        <w:rPr>
          <w:rFonts w:ascii="Times New Roman" w:hAnsi="Times New Roman"/>
          <w:color w:val="auto"/>
          <w:sz w:val="21"/>
          <w:szCs w:val="21"/>
          <w:highlight w:val="none"/>
        </w:rPr>
      </w:pPr>
      <w:r>
        <w:rPr>
          <w:rFonts w:ascii="Times New Roman" w:hAnsi="Times New Roman"/>
          <w:color w:val="auto"/>
          <w:sz w:val="21"/>
          <w:szCs w:val="21"/>
          <w:highlight w:val="none"/>
        </w:rPr>
        <w:t xml:space="preserve">6、联合体各方均为小型、微型企业（残疾人福利单位、监狱企业）的，联合体享受</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%价格扣除，用扣除后的价格参与评审。</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7、大中型企业向小型、微型企业分包的，分包意向协议约定小型、微型企业合同份额占到合同总金额30%以上的，给予6%的价格扣除，用扣除后的价格参与评审。</w:t>
      </w:r>
      <w:r/>
    </w:p>
    <w:p>
      <w:pPr>
        <w:ind w:firstLine="211"/>
        <w:jc w:val="both"/>
        <w:spacing w:line="360" w:lineRule="auto"/>
        <w:rPr>
          <w:rFonts w:ascii="宋体" w:hAnsi="宋体"/>
          <w:b/>
          <w:color w:val="auto"/>
          <w:szCs w:val="21"/>
          <w:highlight w:val="none"/>
        </w:rPr>
      </w:pPr>
      <w:r>
        <w:rPr>
          <w:rFonts w:hint="eastAsia" w:ascii="宋体" w:hAnsi="宋体"/>
          <w:b/>
          <w:color w:val="auto"/>
          <w:szCs w:val="21"/>
          <w:highlight w:val="none"/>
        </w:rPr>
        <w:t xml:space="preserve">三、评标标准</w:t>
      </w:r>
      <w:r/>
    </w:p>
    <w:tbl>
      <w:tblPr>
        <w:tblStyle w:val="765"/>
        <w:tblW w:w="9018"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86"/>
        <w:gridCol w:w="1437"/>
        <w:gridCol w:w="6395"/>
      </w:tblGrid>
      <w:tr>
        <w:trPr>
          <w:trHeight w:val="437"/>
        </w:trPr>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评分标准</w:t>
            </w:r>
            <w:r/>
          </w:p>
        </w:tc>
      </w:tr>
      <w:tr>
        <w:trPr>
          <w:trHeight w:val="1073"/>
        </w:trPr>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投标报价</w:t>
            </w:r>
            <w:r>
              <w:rPr>
                <w:rFonts w:hint="eastAsia" w:ascii="宋体" w:hAnsi="宋体" w:cs="宋体"/>
                <w:i w:val="0"/>
                <w:iCs w:val="0"/>
                <w:color w:val="000000"/>
                <w:sz w:val="22"/>
                <w:szCs w:val="22"/>
                <w:u w:val="none"/>
                <w:lang w:val="en-US" w:eastAsia="zh-CN" w:bidi="ar"/>
              </w:rPr>
              <w:t xml:space="preserve">（10分）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832"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以满足招标文件实质性要求且投标价格最低的有效投标报价为评标基准价，其价格分为得满分10分，其他投标报价得分＝（评标基准价/其他投标报价）×10（四舍五入保留小数点后二位）。</w:t>
            </w:r>
            <w:r/>
          </w:p>
        </w:tc>
      </w:tr>
      <w:tr>
        <w:trPr>
          <w:trHeight w:val="3376"/>
        </w:trPr>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技术部分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（60分）</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项目认识及理解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6395" w:type="dxa"/>
            <w:vAlign w:val="center"/>
            <w:textDirection w:val="lrTb"/>
            <w:noWrap w:val="false"/>
          </w:tcPr>
          <w:p>
            <w:pPr>
              <w:pStyle w:val="1015"/>
              <w:ind w:left="0" w:firstLine="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根据供应商对海绵城市建设政策要求及海绵城市建设理念的理解和认识进行评分：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1、对海绵城市建设政策把握准确，海绵城市建设理念具有较强的系统性，得5分；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2、对海绵城市建设政策把握较为准确，海绵城市建设理念具有一定的系统性，得3分；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3、基本符合实际，内容有待完善，得1分；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4、未提供的不得分。</w:t>
            </w:r>
            <w:r/>
          </w:p>
        </w:tc>
      </w:tr>
      <w:tr>
        <w:trPr>
          <w:trHeight w:val="2733"/>
        </w:trPr>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现状本底分析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6395" w:type="dxa"/>
            <w:vAlign w:val="center"/>
            <w:textDirection w:val="lrTb"/>
            <w:noWrap w:val="false"/>
          </w:tcPr>
          <w:p>
            <w:pPr>
              <w:pStyle w:val="1015"/>
              <w:ind w:left="0" w:firstLine="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根据供应商对扬州市海绵城市建设基础情况（包括但不限于发展历史、地形地貌、水系格局、土壤类型、气候条件、降雨特征、建设现状等）理解和认识进行评分：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1、对海绵城市扬州市海绵城市建设基础条件了解全面、透彻，得5分；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2、对扬州市海绵城市建设基础条件了解较为全面、透彻，得3分；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3、基本符合实际，内容有待完善，得1分；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4、未提供的不得分。</w:t>
            </w:r>
            <w:r/>
          </w:p>
        </w:tc>
      </w:tr>
      <w:tr>
        <w:trPr>
          <w:trHeight w:val="2498"/>
        </w:trPr>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问题和需求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（7分）</w:t>
            </w:r>
            <w:r/>
          </w:p>
        </w:tc>
        <w:tc>
          <w:tcPr>
            <w:shd w:val="clear" w:color="auto" w:fill="auto"/>
            <w:tcBorders>
              <w:top w:val="single" w:color="000000" w:sz="4" w:space="0"/>
              <w:left w:val="single" w:color="000000" w:sz="4" w:space="0"/>
              <w:bottom w:val="single" w:color="000000" w:sz="4" w:space="0"/>
              <w:right w:val="single" w:color="000000" w:sz="4" w:space="0"/>
            </w:tcBorders>
            <w:tcW w:w="6395" w:type="dxa"/>
            <w:vAlign w:val="center"/>
            <w:textDirection w:val="lrTb"/>
            <w:noWrap w:val="false"/>
          </w:tcPr>
          <w:p>
            <w:pPr>
              <w:pStyle w:val="1015"/>
              <w:ind w:left="0" w:firstLine="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根据供应商对扬州市海绵城市存在问题和建设需求的识别和分析进行评分：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1、对问题及需求识别准确，分析全面，完全符合实际情况，得7分；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2、对问题及需求识别较为准确，分析较为全面，基本符合实际情况，得4分；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3、对问题及需求识别基本准确，分析基本全面，内容有待完善，得1分；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4、未提供的不得分。</w:t>
            </w:r>
            <w:r/>
          </w:p>
        </w:tc>
      </w:tr>
      <w:tr>
        <w:trPr>
          <w:trHeight w:val="2498"/>
        </w:trPr>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建设目标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（7分）</w:t>
            </w:r>
            <w:r/>
          </w:p>
        </w:tc>
        <w:tc>
          <w:tcPr>
            <w:shd w:val="clear" w:color="auto" w:fill="auto"/>
            <w:tcBorders>
              <w:top w:val="single" w:color="000000" w:sz="4" w:space="0"/>
              <w:left w:val="single" w:color="000000" w:sz="4" w:space="0"/>
              <w:bottom w:val="single" w:color="000000" w:sz="4" w:space="0"/>
              <w:right w:val="single" w:color="000000" w:sz="4" w:space="0"/>
            </w:tcBorders>
            <w:tcW w:w="6395" w:type="dxa"/>
            <w:vAlign w:val="center"/>
            <w:textDirection w:val="lrTb"/>
            <w:noWrap w:val="false"/>
          </w:tcPr>
          <w:p>
            <w:pPr>
              <w:pStyle w:val="1015"/>
              <w:ind w:left="0" w:firstLine="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根据供应商对扬州市海绵城市建设目标制定情况进行评分：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1、海绵城市建设目标制定合理、全面，可达性高，得7分；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2、海绵城市建设目标制定较为合理、全面，可达性中等，得4分；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3、海绵城市建设目标制定基本合理、全面，可达性一般，得1分；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4、未提供的不得分。</w:t>
            </w:r>
            <w:r/>
          </w:p>
        </w:tc>
      </w:tr>
      <w:tr>
        <w:trPr>
          <w:trHeight w:val="2903"/>
        </w:trPr>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系统建设方案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（12分）</w:t>
            </w:r>
            <w:r/>
          </w:p>
        </w:tc>
        <w:tc>
          <w:tcPr>
            <w:shd w:val="clear" w:color="auto" w:fill="auto"/>
            <w:tcBorders>
              <w:top w:val="single" w:color="000000" w:sz="4" w:space="0"/>
              <w:left w:val="single" w:color="000000" w:sz="4" w:space="0"/>
              <w:bottom w:val="single" w:color="000000" w:sz="4" w:space="0"/>
              <w:right w:val="single" w:color="000000" w:sz="4" w:space="0"/>
            </w:tcBorders>
            <w:tcW w:w="6395" w:type="dxa"/>
            <w:vAlign w:val="center"/>
            <w:textDirection w:val="lrTb"/>
            <w:noWrap w:val="false"/>
          </w:tcPr>
          <w:p>
            <w:pPr>
              <w:pStyle w:val="1015"/>
              <w:ind w:left="0" w:firstLine="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根据供应商对系统建设方案中源头减排、雨水管渠、排涝除险等内容的理解与认识进行评分：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1、方案内容清晰、全面，符合扬州实际情况的，得12分； </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2、方案内容较为清晰、全面，较为符合扬州实际情况的，得7分；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3、基本符合实际，内容有待完善，得2分；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4、未提供的不得分。</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全域建设方案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（12分）</w:t>
            </w:r>
            <w:r/>
          </w:p>
        </w:tc>
        <w:tc>
          <w:tcPr>
            <w:shd w:val="clear" w:color="auto" w:fill="auto"/>
            <w:tcBorders>
              <w:top w:val="single" w:color="000000" w:sz="4" w:space="0"/>
              <w:left w:val="single" w:color="000000" w:sz="4" w:space="0"/>
              <w:bottom w:val="single" w:color="000000" w:sz="4" w:space="0"/>
              <w:right w:val="single" w:color="000000" w:sz="4" w:space="0"/>
            </w:tcBorders>
            <w:tcW w:w="6395" w:type="dxa"/>
            <w:vAlign w:val="center"/>
            <w:textDirection w:val="lrTb"/>
            <w:noWrap w:val="false"/>
          </w:tcPr>
          <w:p>
            <w:pPr>
              <w:pStyle w:val="1015"/>
              <w:ind w:left="0" w:firstLine="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根据供应商对全域建设方案管控思路及分区方案的理解与认识进行评分：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1、思路及方案内容清晰、全面，符合扬州实际情况的，得12分； </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2、思路及方案内容较为清晰、全面，较为符合扬州实际情况的，得7分；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3、基本符合实际，内容有待完善，得2分；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4、未提供的不得分。</w:t>
            </w:r>
            <w:r/>
          </w:p>
        </w:tc>
      </w:tr>
      <w:tr>
        <w:trPr>
          <w:trHeight w:val="2508"/>
        </w:trPr>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典型做法</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（7分）</w:t>
            </w:r>
            <w:r/>
          </w:p>
        </w:tc>
        <w:tc>
          <w:tcPr>
            <w:shd w:val="clear" w:color="auto" w:fill="auto"/>
            <w:tcBorders>
              <w:top w:val="single" w:color="000000" w:sz="4" w:space="0"/>
              <w:left w:val="single" w:color="000000" w:sz="4" w:space="0"/>
              <w:bottom w:val="single" w:color="000000" w:sz="4" w:space="0"/>
              <w:right w:val="single" w:color="000000" w:sz="4" w:space="0"/>
            </w:tcBorders>
            <w:tcW w:w="6395" w:type="dxa"/>
            <w:vAlign w:val="center"/>
            <w:textDirection w:val="lrTb"/>
            <w:noWrap w:val="false"/>
          </w:tcPr>
          <w:p>
            <w:pPr>
              <w:pStyle w:val="1015"/>
              <w:ind w:left="0" w:firstLine="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根据供应商对扬州市海绵城市典型做法的理解与认识进行评分：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1、对典型做法总结全面、准确，符合扬州实际情况的，得7分；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2、对典型做法总结较为全面、准确，基本符合扬州实际情况的，得4分；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3、基本符合实际，内容有待完善，得1分；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4、未提供的不得分。</w:t>
            </w:r>
            <w:r/>
          </w:p>
        </w:tc>
      </w:tr>
      <w:tr>
        <w:trPr>
          <w:trHeight w:val="3010"/>
        </w:trPr>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经验与体会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6395" w:type="dxa"/>
            <w:vAlign w:val="center"/>
            <w:textDirection w:val="lrTb"/>
            <w:noWrap w:val="false"/>
          </w:tcPr>
          <w:p>
            <w:pPr>
              <w:pStyle w:val="1015"/>
              <w:ind w:left="0" w:firstLine="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根据供应商对经验与体会的总结与归纳进行评分：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1、经验与体会总结全面、准确，符合扬州实际情况的，得5分； </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2、经验与体会总结较为全面、准确，较为符合扬州实际情况的，得3分；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3、基本符合实际，内容有待完善，得1分；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4、未提供的不得分。</w:t>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商务部分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企业资质</w:t>
            </w:r>
            <w:r/>
          </w:p>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（2分）</w:t>
            </w:r>
            <w:r/>
          </w:p>
        </w:tc>
        <w:tc>
          <w:tcPr>
            <w:shd w:val="clear" w:color="auto" w:fill="ffffff"/>
            <w:tcBorders>
              <w:top w:val="single" w:color="000000" w:sz="4" w:space="0"/>
              <w:left w:val="single" w:color="000000" w:sz="4" w:space="0"/>
              <w:bottom w:val="single" w:color="000000" w:sz="4" w:space="0"/>
              <w:right w:val="single" w:color="000000" w:sz="4" w:space="0"/>
            </w:tcBorders>
            <w:tcW w:w="6395" w:type="dxa"/>
            <w:vAlign w:val="center"/>
            <w:textDirection w:val="lrTb"/>
            <w:noWrap w:val="false"/>
          </w:tcPr>
          <w:p>
            <w:pPr>
              <w:pStyle w:val="1015"/>
              <w:ind w:left="0" w:firstLine="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投标人具有城乡规划编制乙级资质的得1分；具有城乡规划编制甲级资质的得2分。本项满分2分</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注：提供证书原件扫描上传，未按要求提供的不得分。</w:t>
            </w:r>
            <w:r/>
          </w:p>
        </w:tc>
      </w:tr>
      <w:tr>
        <w:trPr>
          <w:trHeight w:val="308"/>
        </w:trPr>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类似业绩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95" w:type="dxa"/>
            <w:vAlign w:val="center"/>
            <w:textDirection w:val="lrTb"/>
            <w:noWrap w:val="false"/>
          </w:tcPr>
          <w:p>
            <w:pPr>
              <w:pStyle w:val="1015"/>
              <w:ind w:left="0" w:firstLine="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1.投标人自2020年1月1日至今，承担过国家系统化全域推进海绵城市建设示范城市的技术咨询服务类业绩的，每提供一个得1.5分。本小项满分6分。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2.投标人自2020年1月1日至今，承担过国家系统化全域推进海绵城市建设示范城市的相关实施方案编制业绩的，每提供一个得1分。本小项满分2分。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3.投标人自2020年1月1日至今，承担过国家海绵示范城市相关规划编制的，每提供一个得1分。本小项满分2分。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注：国家系统化全域推进海绵城市建设示范城市以国家部委网站公布的示范城市名单为准，提供相对应示范城市名单网页截图原件扫描上传；提供上述业绩合同原件扫描上传，时间以合同签订时间为准，未按要求提供的不得分。</w:t>
            </w:r>
            <w:r/>
          </w:p>
        </w:tc>
      </w:tr>
      <w:tr>
        <w:trPr>
          <w:trHeight w:val="2049"/>
        </w:trPr>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项目负责人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6395" w:type="dxa"/>
            <w:vAlign w:val="center"/>
            <w:textDirection w:val="lrTb"/>
            <w:noWrap w:val="false"/>
          </w:tcPr>
          <w:p>
            <w:pPr>
              <w:pStyle w:val="1015"/>
              <w:ind w:left="0" w:firstLine="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1.项目负责人具有</w:t>
            </w:r>
            <w:r>
              <w:rPr>
                <w:rFonts w:hint="eastAsia" w:ascii="宋体" w:hAnsi="宋体" w:cs="宋体"/>
                <w:color w:val="auto"/>
                <w:sz w:val="22"/>
                <w:szCs w:val="22"/>
                <w:highlight w:val="none"/>
                <w:lang w:val="en-US" w:eastAsia="zh-CN"/>
              </w:rPr>
              <w:t xml:space="preserve">高级</w:t>
            </w:r>
            <w:r>
              <w:rPr>
                <w:rFonts w:hint="eastAsia" w:ascii="宋体" w:hAnsi="宋体" w:eastAsia="宋体" w:cs="宋体"/>
                <w:color w:val="auto"/>
                <w:sz w:val="22"/>
                <w:szCs w:val="22"/>
                <w:highlight w:val="none"/>
                <w:lang w:val="en-US" w:eastAsia="zh-CN"/>
              </w:rPr>
              <w:t xml:space="preserve">职称</w:t>
            </w:r>
            <w:r>
              <w:rPr>
                <w:rFonts w:hint="eastAsia" w:ascii="宋体" w:hAnsi="宋体" w:cs="宋体"/>
                <w:color w:val="auto"/>
                <w:sz w:val="22"/>
                <w:szCs w:val="22"/>
                <w:highlight w:val="none"/>
                <w:lang w:val="en-US" w:eastAsia="zh-CN"/>
              </w:rPr>
              <w:t xml:space="preserve">及以上</w:t>
            </w:r>
            <w:r>
              <w:rPr>
                <w:rFonts w:hint="eastAsia" w:ascii="宋体" w:hAnsi="宋体" w:eastAsia="宋体" w:cs="宋体"/>
                <w:color w:val="auto"/>
                <w:sz w:val="22"/>
                <w:szCs w:val="22"/>
                <w:highlight w:val="none"/>
                <w:lang w:val="en-US" w:eastAsia="zh-CN"/>
              </w:rPr>
              <w:t xml:space="preserve">的</w:t>
            </w:r>
            <w:r>
              <w:rPr>
                <w:rFonts w:hint="eastAsia" w:ascii="宋体" w:hAnsi="宋体" w:cs="宋体"/>
                <w:color w:val="auto"/>
                <w:sz w:val="22"/>
                <w:szCs w:val="22"/>
                <w:highlight w:val="none"/>
                <w:lang w:val="en-US" w:eastAsia="zh-CN"/>
              </w:rPr>
              <w:t xml:space="preserve">（市政给水排水专业或城乡（市）规划专业或风景园林专业）</w:t>
            </w:r>
            <w:r>
              <w:rPr>
                <w:rFonts w:hint="eastAsia" w:ascii="宋体" w:hAnsi="宋体" w:eastAsia="宋体" w:cs="宋体"/>
                <w:color w:val="auto"/>
                <w:sz w:val="22"/>
                <w:szCs w:val="22"/>
                <w:highlight w:val="none"/>
                <w:lang w:val="en-US" w:eastAsia="zh-CN"/>
              </w:rPr>
              <w:t xml:space="preserve">，得2分。本小项满分2分。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2.项目负责人具有省级</w:t>
            </w:r>
            <w:r>
              <w:rPr>
                <w:rFonts w:hint="eastAsia" w:ascii="宋体" w:hAnsi="宋体" w:cs="宋体"/>
                <w:color w:val="auto"/>
                <w:sz w:val="22"/>
                <w:szCs w:val="22"/>
                <w:highlight w:val="none"/>
                <w:lang w:val="en-US" w:eastAsia="zh-CN"/>
              </w:rPr>
              <w:t xml:space="preserve">及</w:t>
            </w:r>
            <w:r>
              <w:rPr>
                <w:rFonts w:hint="eastAsia" w:ascii="宋体" w:hAnsi="宋体" w:eastAsia="宋体" w:cs="宋体"/>
                <w:color w:val="auto"/>
                <w:sz w:val="22"/>
                <w:szCs w:val="22"/>
                <w:highlight w:val="none"/>
                <w:lang w:val="en-US" w:eastAsia="zh-CN"/>
              </w:rPr>
              <w:t xml:space="preserve">以上主管部门或行业协会颁发的海绵城市相关项目奖项的得2分；具有</w:t>
            </w:r>
            <w:r>
              <w:rPr>
                <w:rFonts w:hint="eastAsia" w:ascii="宋体" w:hAnsi="宋体" w:cs="宋体"/>
                <w:color w:val="auto"/>
                <w:sz w:val="22"/>
                <w:szCs w:val="22"/>
                <w:highlight w:val="none"/>
                <w:lang w:val="en-US" w:eastAsia="zh-CN"/>
              </w:rPr>
              <w:t xml:space="preserve">设区</w:t>
            </w:r>
            <w:r>
              <w:rPr>
                <w:rFonts w:hint="eastAsia" w:ascii="宋体" w:hAnsi="宋体" w:eastAsia="宋体" w:cs="宋体"/>
                <w:color w:val="auto"/>
                <w:sz w:val="22"/>
                <w:szCs w:val="22"/>
                <w:highlight w:val="none"/>
                <w:lang w:val="en-US" w:eastAsia="zh-CN"/>
              </w:rPr>
              <w:t xml:space="preserve">市级主管部门或行业协会颁发的海绵城市相关项目奖项的，</w:t>
            </w:r>
            <w:r>
              <w:rPr>
                <w:rFonts w:hint="eastAsia" w:ascii="宋体" w:hAnsi="宋体" w:cs="宋体"/>
                <w:color w:val="auto"/>
                <w:sz w:val="22"/>
                <w:szCs w:val="22"/>
                <w:highlight w:val="none"/>
                <w:lang w:val="en-US" w:eastAsia="zh-CN"/>
              </w:rPr>
              <w:t xml:space="preserve">每有一项</w:t>
            </w:r>
            <w:r>
              <w:rPr>
                <w:rFonts w:hint="eastAsia" w:ascii="宋体" w:hAnsi="宋体" w:eastAsia="宋体" w:cs="宋体"/>
                <w:color w:val="auto"/>
                <w:sz w:val="22"/>
                <w:szCs w:val="22"/>
                <w:highlight w:val="none"/>
                <w:lang w:val="en-US" w:eastAsia="zh-CN"/>
              </w:rPr>
              <w:t xml:space="preserve">得1分。本小项满分2分。</w:t>
            </w:r>
            <w:r>
              <w:rPr>
                <w:rFonts w:hint="eastAsia" w:ascii="宋体" w:hAnsi="宋体" w:cs="宋体"/>
                <w:color w:val="auto"/>
                <w:sz w:val="22"/>
                <w:szCs w:val="22"/>
                <w:highlight w:val="none"/>
                <w:lang w:val="en-US" w:eastAsia="zh-CN"/>
              </w:rPr>
              <w:t xml:space="preserve">（同一项目获奖的按最高奖项计算得分）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注：提供上述人员投标人为其缴纳的近三个月任意一月社保证明材料原件扫描上传；提供上述人员职称证书（（若职称证上无法体现其专业的，需附带毕业证）原件扫描上传；提供上述人员相关业绩获奖证书原件扫描上传，未按要求提供的不得分。</w:t>
            </w:r>
            <w:r/>
          </w:p>
        </w:tc>
      </w:tr>
      <w:tr>
        <w:trPr>
          <w:trHeight w:val="3341"/>
        </w:trPr>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项目团队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（8分）</w:t>
            </w:r>
            <w:r/>
          </w:p>
        </w:tc>
        <w:tc>
          <w:tcPr>
            <w:shd w:val="clear" w:color="auto" w:fill="auto"/>
            <w:tcBorders>
              <w:top w:val="single" w:color="000000" w:sz="4" w:space="0"/>
              <w:left w:val="single" w:color="000000" w:sz="4" w:space="0"/>
              <w:bottom w:val="single" w:color="000000" w:sz="4" w:space="0"/>
              <w:right w:val="single" w:color="000000" w:sz="4" w:space="0"/>
            </w:tcBorders>
            <w:tcW w:w="6395" w:type="dxa"/>
            <w:vAlign w:val="center"/>
            <w:textDirection w:val="lrTb"/>
            <w:noWrap w:val="false"/>
          </w:tcPr>
          <w:p>
            <w:pPr>
              <w:pStyle w:val="1015"/>
              <w:ind w:left="0" w:firstLine="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1.除项目负责人外，市政给水排水专业、城乡（市）规划专业、风景园林专业的专业负责人具有高级</w:t>
            </w:r>
            <w:r>
              <w:rPr>
                <w:rFonts w:hint="eastAsia" w:ascii="宋体" w:hAnsi="宋体" w:cs="宋体"/>
                <w:color w:val="auto"/>
                <w:sz w:val="22"/>
                <w:szCs w:val="22"/>
                <w:highlight w:val="none"/>
                <w:lang w:val="en-US" w:eastAsia="zh-CN"/>
              </w:rPr>
              <w:t xml:space="preserve">职称及以上</w:t>
            </w:r>
            <w:r>
              <w:rPr>
                <w:rFonts w:hint="eastAsia" w:ascii="宋体" w:hAnsi="宋体" w:eastAsia="宋体" w:cs="宋体"/>
                <w:color w:val="auto"/>
                <w:sz w:val="22"/>
                <w:szCs w:val="22"/>
                <w:highlight w:val="none"/>
                <w:lang w:val="en-US" w:eastAsia="zh-CN"/>
              </w:rPr>
              <w:t xml:space="preserve">的，每个专业得</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分。本小项满分</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en-US" w:eastAsia="zh-CN"/>
              </w:rPr>
              <w:t xml:space="preserve">分。</w:t>
            </w:r>
            <w:r>
              <w:rPr>
                <w:rFonts w:hint="eastAsia" w:ascii="宋体" w:hAnsi="宋体" w:eastAsia="宋体" w:cs="宋体"/>
                <w:color w:val="auto"/>
                <w:sz w:val="22"/>
                <w:szCs w:val="22"/>
                <w:highlight w:val="none"/>
                <w:lang w:val="en-US" w:eastAsia="zh-CN"/>
              </w:rPr>
              <w:br/>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.除项目负责人外，专业负责人或项目团队成员具有注册城乡规划师执业资格证书的，每有一个得1分，本小项满分2分。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注：提供上述人员投标人为其缴纳的近三个月任意一月社保证明材料原件扫描上传；提供上述人员职称证书（若职称证上无法体现其专业的，需附带毕业证）原件扫描上传；提供上述人员有效期内的执业资格证书原件扫描上传，未按要求提供的不得分。</w:t>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企业能力</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6395" w:type="dxa"/>
            <w:vAlign w:val="center"/>
            <w:textDirection w:val="lrTb"/>
            <w:noWrap w:val="false"/>
          </w:tcPr>
          <w:p>
            <w:pPr>
              <w:pStyle w:val="1015"/>
              <w:ind w:left="0" w:firstLine="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投标人承担过编制国家级海绵城市、排水防涝等相关国家规范或团体标准的，每提供一个得1.5分。本项满分3分。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注：提供编制完成的国家规范或团体标准（应能显示编制单位名称）扫描件上传，未按要求提供的不得分。</w:t>
            </w:r>
            <w:r/>
          </w:p>
        </w:tc>
      </w:tr>
      <w:tr>
        <w:trPr>
          <w:trHeight w:val="466"/>
        </w:trPr>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企业奖项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W w:w="6395" w:type="dxa"/>
            <w:vAlign w:val="center"/>
            <w:textDirection w:val="lrTb"/>
            <w:noWrap w:val="false"/>
          </w:tcPr>
          <w:p>
            <w:pPr>
              <w:pStyle w:val="1015"/>
              <w:ind w:left="0" w:firstLine="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投标人自2020年1月1日至今，承担过海绵城市、排水相关项目并获得国家级主管部门或行业协会奖项的（以奖项颁发日期为准），每个得1.5分。本项最高得3分。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注：提供上述获奖证书原件扫描上传，未按要求提供的不得分。</w:t>
            </w:r>
            <w:r/>
          </w:p>
        </w:tc>
      </w:tr>
    </w:tbl>
    <w:p>
      <w:pPr>
        <w:rPr>
          <w:rFonts w:ascii="黑体" w:eastAsia="黑体"/>
          <w:bCs/>
          <w:color w:val="auto"/>
          <w:sz w:val="44"/>
          <w:highlight w:val="none"/>
        </w:rPr>
      </w:pPr>
      <w:r>
        <w:rPr>
          <w:rFonts w:ascii="黑体" w:eastAsia="黑体"/>
          <w:bCs/>
          <w:color w:val="auto"/>
          <w:sz w:val="44"/>
          <w:highlight w:val="none"/>
        </w:rPr>
      </w:r>
      <w:r/>
    </w:p>
    <w:p>
      <w:pPr>
        <w:ind w:firstLine="422"/>
        <w:keepLines w:val="0"/>
        <w:keepNext w:val="0"/>
        <w:pageBreakBefore w:val="0"/>
        <w:spacing w:line="360" w:lineRule="auto"/>
        <w:widowControl w:val="off"/>
        <w:rPr>
          <w:rFonts w:hint="eastAsia" w:ascii="宋体" w:hAnsi="宋体"/>
          <w:b/>
          <w:color w:val="auto"/>
          <w:highlight w:val="none"/>
          <w:lang w:val="en-US" w:eastAsia="zh-CN"/>
        </w:rPr>
      </w:pPr>
      <w:r>
        <w:rPr>
          <w:rFonts w:hint="eastAsia" w:ascii="宋体" w:hAnsi="宋体"/>
          <w:b/>
          <w:color w:val="auto"/>
          <w:highlight w:val="none"/>
        </w:rPr>
        <w:t xml:space="preserve">注：1、所有证书或证明材料需清晰可见，否则由各投标人承担由于材料原因导致的不利后果。2、严禁投标人在投标中提供虚假证明文件或虚假承诺，采购人有权在签订合同前核查拟派人员、相关配套设备设施和承诺履行情况，如发现存在虚假响应，取消其中标资格，采购人将依法追究因其虚假响应造成的损失及费用。</w:t>
      </w:r>
      <w:r>
        <w:rPr>
          <w:rFonts w:hint="eastAsia" w:ascii="宋体" w:hAnsi="宋体"/>
          <w:b/>
          <w:color w:val="auto"/>
          <w:highlight w:val="none"/>
          <w:lang w:val="en-US" w:eastAsia="zh-CN"/>
        </w:rPr>
        <w:t xml:space="preserve">3</w:t>
      </w:r>
      <w:r>
        <w:rPr>
          <w:rFonts w:hint="eastAsia" w:ascii="宋体" w:hAnsi="宋体"/>
          <w:b/>
          <w:color w:val="auto"/>
          <w:highlight w:val="none"/>
        </w:rPr>
        <w:t xml:space="preserve">、</w:t>
      </w:r>
      <w:r>
        <w:rPr>
          <w:rFonts w:hint="eastAsia" w:ascii="宋体" w:hAnsi="宋体"/>
          <w:b/>
          <w:color w:val="auto"/>
          <w:highlight w:val="none"/>
          <w:lang w:val="en-US" w:eastAsia="zh-CN"/>
        </w:rPr>
        <w:t xml:space="preserve">评审委员会启动异常低价投标（响应）审查的情形和具体要求，包括： </w:t>
      </w:r>
      <w:r/>
    </w:p>
    <w:p>
      <w:pPr>
        <w:ind w:firstLine="422"/>
        <w:keepLines w:val="0"/>
        <w:keepNext w:val="0"/>
        <w:pageBreakBefore w:val="0"/>
        <w:spacing w:line="360" w:lineRule="auto"/>
        <w:widowControl w:val="off"/>
        <w:rPr>
          <w:rFonts w:hint="eastAsia" w:ascii="宋体" w:hAnsi="宋体"/>
          <w:b/>
          <w:color w:val="auto"/>
          <w:highlight w:val="none"/>
        </w:rPr>
      </w:pPr>
      <w:r>
        <w:rPr>
          <w:rFonts w:hint="eastAsia" w:ascii="宋体" w:hAnsi="宋体"/>
          <w:b/>
          <w:color w:val="auto"/>
          <w:highlight w:val="none"/>
          <w:lang w:val="en-US" w:eastAsia="zh-CN"/>
        </w:rPr>
        <w:t xml:space="preserve">（一）评审过程中出现下列情形之一的，评审委员会应当启动异常低价投标（响应）审查程序： 1．投标（响应）报价低于采购项目预算50%的，即投标（响应）报价&lt;采购项目预算×50%；2．投标（响应）报价低于采购项目最高限价45%的，即投标（响应）报价&lt;采购项目最高限价×45%； 3．评审委员会认定的供应商报价过低、有可能影响产品质量或者不能诚信履约的其他情形。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b/>
          <w:color w:val="auto"/>
          <w:highlight w:val="none"/>
        </w:rPr>
      </w:pPr>
      <w:r>
        <w:rPr>
          <w:rFonts w:hint="eastAsia" w:ascii="宋体" w:hAnsi="宋体"/>
          <w:b/>
          <w:color w:val="auto"/>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jc w:val="left"/>
        <w:spacing w:line="360" w:lineRule="auto"/>
        <w:tabs>
          <w:tab w:val="left" w:pos="3629" w:leader="none"/>
        </w:tabs>
        <w:rPr>
          <w:rFonts w:ascii="宋体" w:hAnsi="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auto"/>
          <w:highlight w:val="none"/>
        </w:rPr>
      </w:r>
      <w:r/>
    </w:p>
    <w:p>
      <w:pPr>
        <w:pStyle w:val="974"/>
        <w:jc w:val="center"/>
        <w:rPr>
          <w:rFonts w:ascii="宋体" w:hAnsi="宋体"/>
          <w:color w:val="auto"/>
          <w:highlight w:val="none"/>
        </w:rPr>
      </w:pPr>
      <w:r>
        <w:rPr>
          <w:rFonts w:ascii="宋体" w:hAnsi="宋体"/>
          <w:color w:val="auto"/>
          <w:highlight w:val="none"/>
        </w:rPr>
      </w:r>
      <w:r/>
    </w:p>
    <w:p>
      <w:pPr>
        <w:pStyle w:val="974"/>
        <w:jc w:val="center"/>
        <w:rPr>
          <w:rFonts w:ascii="宋体" w:hAnsi="宋体"/>
          <w:color w:val="auto"/>
          <w:highlight w:val="none"/>
        </w:rPr>
      </w:pPr>
      <w:r>
        <w:rPr>
          <w:rFonts w:hint="eastAsia" w:ascii="宋体" w:hAnsi="宋体"/>
          <w:color w:val="auto"/>
          <w:highlight w:val="none"/>
        </w:rPr>
        <w:t xml:space="preserve">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975"/>
        <w:rPr>
          <w:rFonts w:ascii="宋体" w:hAnsi="宋体" w:eastAsia="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eastAsia="宋体"/>
          <w:color w:val="auto"/>
          <w:sz w:val="32"/>
          <w:highlight w:val="none"/>
        </w:rPr>
        <w:t xml:space="preserve">一、资格审查响应对照表</w:t>
      </w:r>
      <w:r/>
    </w:p>
    <w:tbl>
      <w:tblPr>
        <w:tblStyle w:val="7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8251"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strike w:val="0"/>
                <w:color w:val="auto"/>
                <w:szCs w:val="21"/>
                <w:highlight w:val="none"/>
                <w:lang w:val="en-US" w:eastAsia="zh-CN"/>
              </w:rPr>
              <w:t xml:space="preserve">2024</w:t>
            </w:r>
            <w:r>
              <w:rPr>
                <w:rFonts w:hint="eastAsia" w:ascii="宋体" w:hAnsi="宋体" w:cs="宋体"/>
                <w:color w:val="auto"/>
                <w:szCs w:val="21"/>
                <w:highlight w:val="none"/>
              </w:rPr>
              <w:t xml:space="preserve">年度的财务状况报告（成立不满一年不需提供）</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1098"/>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8</w:t>
            </w:r>
            <w:r/>
          </w:p>
        </w:tc>
        <w:tc>
          <w:tcPr>
            <w:tcW w:w="5447" w:type="dxa"/>
            <w:vAlign w:val="center"/>
            <w:textDirection w:val="lrTb"/>
            <w:noWrap w:val="false"/>
          </w:tcPr>
          <w:p>
            <w:pPr>
              <w:pStyle w:val="977"/>
              <w:jc w:val="center"/>
              <w:rPr>
                <w:rFonts w:hint="eastAsia" w:eastAsia="宋体"/>
                <w:color w:val="auto"/>
                <w:highlight w:val="none"/>
                <w:lang w:eastAsia="zh-CN"/>
              </w:rPr>
            </w:pPr>
            <w:r>
              <w:rPr>
                <w:rFonts w:hint="eastAsia" w:ascii="宋体" w:hAnsi="宋体" w:cs="宋体"/>
                <w:b w:val="0"/>
                <w:bCs w:val="0"/>
                <w:color w:val="auto"/>
                <w:sz w:val="21"/>
                <w:szCs w:val="21"/>
                <w:highlight w:val="none"/>
                <w:lang w:val="en-US" w:eastAsia="zh-CN"/>
              </w:rPr>
              <w:t xml:space="preserve">/</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w:t>
            </w:r>
            <w:r/>
          </w:p>
        </w:tc>
        <w:tc>
          <w:tcPr>
            <w:tcW w:w="5447" w:type="dxa"/>
            <w:vAlign w:val="center"/>
            <w:textDirection w:val="lrTb"/>
            <w:noWrap w:val="false"/>
          </w:tcPr>
          <w:p>
            <w:pPr>
              <w:jc w:val="center"/>
              <w:spacing w:line="360" w:lineRule="auto"/>
              <w:rPr>
                <w:rFonts w:hint="eastAsia" w:ascii="宋体" w:hAnsi="宋体" w:eastAsia="宋体"/>
                <w:iCs/>
                <w:color w:val="auto"/>
                <w:szCs w:val="21"/>
                <w:highlight w:val="none"/>
                <w:lang w:val="en-US" w:eastAsia="zh-CN"/>
              </w:rPr>
            </w:pPr>
            <w:r>
              <w:rPr>
                <w:rFonts w:hint="eastAsia" w:ascii="宋体" w:hAnsi="宋体"/>
                <w:iCs/>
                <w:color w:val="auto"/>
                <w:szCs w:val="21"/>
                <w:highlight w:val="none"/>
                <w:lang w:val="en-US" w:eastAsia="zh-CN"/>
              </w:rPr>
              <w:t xml:space="preserve">/</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11</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12</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ascii="宋体" w:hAnsi="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bCs/>
          <w:color w:val="auto"/>
          <w:highlight w:val="none"/>
        </w:rPr>
      </w:r>
      <w:r/>
    </w:p>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pStyle w:val="977"/>
        <w:rPr>
          <w:color w:val="auto"/>
          <w:highlight w:val="none"/>
        </w:rPr>
      </w:pPr>
      <w:r>
        <w:rPr>
          <w:color w:val="auto"/>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______</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440" w:lineRule="exact"/>
        <w:rPr>
          <w:rFonts w:ascii="方正仿宋_GBK"/>
          <w:color w:val="auto"/>
          <w:szCs w:val="32"/>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440" w:lineRule="exact"/>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440" w:lineRule="exact"/>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440" w:lineRule="exact"/>
        <w:rPr>
          <w:rFonts w:ascii="宋体" w:hAnsi="宋体"/>
          <w:color w:val="auto"/>
          <w:szCs w:val="21"/>
          <w:highlight w:val="none"/>
        </w:rPr>
      </w:pPr>
      <w:r>
        <w:rPr>
          <w:rFonts w:ascii="宋体" w:hAnsi="宋体"/>
          <w:color w:val="auto"/>
          <w:szCs w:val="21"/>
          <w:highlight w:val="none"/>
        </w:rPr>
      </w:r>
      <w:r/>
    </w:p>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　　　　　　　　　      　年    月    日</w:t>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p>
    <w:p>
      <w:pPr>
        <w:pStyle w:val="1015"/>
        <w:ind w:firstLine="0"/>
        <w:spacing w:before="0" w:after="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hAnsi="宋体"/>
          <w:color w:val="auto"/>
          <w:sz w:val="21"/>
          <w:highlight w:val="none"/>
          <w:lang w:eastAsia="zh-CN"/>
        </w:rPr>
        <w:t xml:space="preserve">扬州市建苑工程监理有限责任公司</w:t>
      </w:r>
      <w:r/>
    </w:p>
    <w:p>
      <w:pPr>
        <w:pStyle w:val="101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101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01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01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01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015"/>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015"/>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15"/>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015"/>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01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101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101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101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101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01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101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101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96"/>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96"/>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96"/>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96"/>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96"/>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__</w:t>
      </w:r>
      <w:r>
        <w:rPr>
          <w:rFonts w:hint="eastAsia" w:ascii="宋体" w:hAnsi="宋体"/>
          <w:color w:val="auto"/>
          <w:sz w:val="21"/>
          <w:szCs w:val="21"/>
          <w:highlight w:val="none"/>
        </w:rPr>
        <w:t xml:space="preserve">     </w:t>
      </w:r>
      <w:r/>
    </w:p>
    <w:p>
      <w:pPr>
        <w:pStyle w:val="996"/>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96"/>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996"/>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96"/>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ascii="宋体" w:hAnsi="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auto"/>
          <w:highlight w:val="none"/>
        </w:rPr>
        <w:t xml:space="preserve">被授权人身份证复印件</w:t>
      </w:r>
      <w:r/>
    </w:p>
    <w:p>
      <w:pPr>
        <w:rPr>
          <w:rFonts w:ascii="宋体" w:hAnsi="宋体"/>
          <w:b/>
          <w:color w:val="auto"/>
          <w:sz w:val="32"/>
          <w:szCs w:val="32"/>
          <w:highlight w:val="none"/>
        </w:rPr>
      </w:pPr>
      <w:r>
        <w:rPr>
          <w:rFonts w:ascii="宋体" w:hAnsi="宋体"/>
          <w:b/>
          <w:color w:val="auto"/>
          <w:sz w:val="32"/>
          <w:szCs w:val="32"/>
          <w:highlight w:val="none"/>
        </w:rPr>
      </w:r>
      <w:r/>
    </w:p>
    <w:p>
      <w:pPr>
        <w:pStyle w:val="975"/>
        <w:rPr>
          <w:rFonts w:ascii="宋体" w:hAnsi="宋体" w:eastAsia="宋体"/>
          <w:color w:val="auto"/>
          <w:sz w:val="32"/>
          <w:highlight w:val="none"/>
        </w:rPr>
      </w:pPr>
      <w:r>
        <w:rPr>
          <w:rFonts w:hint="eastAsia" w:ascii="宋体" w:hAnsi="宋体" w:eastAsia="宋体"/>
          <w:color w:val="auto"/>
          <w:sz w:val="32"/>
          <w:highlight w:val="none"/>
        </w:rPr>
        <w:t xml:space="preserve">二、符合性审查响应对照表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7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975"/>
        <w:rPr>
          <w:rFonts w:ascii="宋体" w:hAnsi="宋体" w:eastAsia="宋体"/>
          <w:color w:val="auto"/>
          <w:sz w:val="32"/>
          <w:highlight w:val="none"/>
        </w:rPr>
      </w:pPr>
      <w:r>
        <w:rPr>
          <w:rFonts w:hint="eastAsia" w:ascii="宋体" w:hAnsi="宋体" w:eastAsia="宋体"/>
          <w:color w:val="auto"/>
          <w:sz w:val="32"/>
          <w:highlight w:val="none"/>
        </w:rPr>
        <w:t xml:space="preserve">三、非实质性响应对照表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7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rFonts w:hint="eastAsia"/>
          <w:b/>
          <w:bCs/>
          <w:color w:val="auto"/>
          <w:highlight w:val="none"/>
        </w:rPr>
        <w:t xml:space="preserve">中小企业声明函（工程、服务）</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rPr>
        <w:t xml:space="preserve">（租赁和商务服务业）</w:t>
      </w:r>
      <w:r>
        <w:rPr>
          <w:rFonts w:hint="eastAsia" w:ascii="宋体" w:hAnsi="宋体"/>
          <w:b/>
          <w:bCs/>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b/>
          <w:bCs/>
          <w:color w:val="auto"/>
          <w:highlight w:val="none"/>
          <w:u w:val="single"/>
        </w:rPr>
        <w:t xml:space="preserve">（租赁和商务服务业）（不得对行业类别修改）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60" w:lineRule="auto"/>
        <w:rPr>
          <w:color w:val="auto"/>
          <w:highlight w:val="none"/>
        </w:rPr>
      </w:pPr>
      <w:r>
        <w:rPr>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auto"/>
          <w:highlight w:val="none"/>
        </w:rPr>
      </w:pPr>
      <w:r>
        <w:rPr>
          <w:rFonts w:hint="eastAsia"/>
          <w:color w:val="auto"/>
          <w:highlight w:val="none"/>
        </w:rPr>
        <w:t xml:space="preserve">企业名称（盖章）：</w:t>
      </w:r>
      <w:r/>
    </w:p>
    <w:p>
      <w:pPr>
        <w:ind w:firstLine="4620"/>
        <w:jc w:val="left"/>
        <w:spacing w:line="360" w:lineRule="auto"/>
        <w:rPr>
          <w:rFonts w:ascii="宋体" w:hAnsi="宋体" w:cs="微软雅黑"/>
          <w:color w:val="auto"/>
          <w:szCs w:val="21"/>
          <w:highlight w:val="none"/>
        </w:rPr>
      </w:pPr>
      <w:r>
        <w:rPr>
          <w:rFonts w:hint="eastAsia"/>
          <w:color w:val="auto"/>
          <w:highlight w:val="none"/>
        </w:rPr>
        <w:t xml:space="preserve">日 期：</w:t>
      </w:r>
      <w:r/>
    </w:p>
    <w:p>
      <w:pPr>
        <w:pStyle w:val="975"/>
        <w:spacing w:before="300" w:after="300" w:line="360" w:lineRule="auto"/>
        <w:widowControl/>
        <w:rPr>
          <w:rFonts w:ascii="宋体" w:hAnsi="宋体" w:eastAsia="宋体"/>
          <w:color w:val="auto"/>
          <w:sz w:val="21"/>
          <w:szCs w:val="21"/>
          <w:highlight w:val="none"/>
        </w:rPr>
      </w:pPr>
      <w:r>
        <w:rPr>
          <w:rFonts w:hint="eastAsia" w:ascii="宋体" w:hAnsi="宋体" w:eastAsia="宋体" w:cs="微软雅黑"/>
          <w:bCs w:val="0"/>
          <w:color w:val="auto"/>
          <w:sz w:val="21"/>
          <w:szCs w:val="21"/>
          <w:highlight w:val="none"/>
        </w:rPr>
        <w:t xml:space="preserve">中小微企业划型标准 </w:t>
      </w:r>
      <w:r/>
    </w:p>
    <w:p>
      <w:pPr>
        <w:pStyle w:val="1002"/>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980"/>
          <w:rFonts w:hint="eastAsia" w:ascii="宋体" w:hAnsi="宋体" w:cs="仿宋"/>
          <w:color w:val="auto"/>
          <w:sz w:val="21"/>
          <w:szCs w:val="21"/>
          <w:highlight w:val="none"/>
        </w:rPr>
        <w:t xml:space="preserve">中小微企业划型标准如下：</w:t>
      </w:r>
      <w:r/>
    </w:p>
    <w:tbl>
      <w:tblPr>
        <w:tblStyle w:val="765"/>
        <w:tblW w:w="10385" w:type="dxa"/>
        <w:tblCellSpacing w:w="15" w:type="dxa"/>
        <w:tblInd w:w="-862"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00"/>
        <w:gridCol w:w="2097"/>
        <w:gridCol w:w="1181"/>
        <w:gridCol w:w="1860"/>
        <w:gridCol w:w="1920"/>
        <w:gridCol w:w="1527"/>
      </w:tblGrid>
      <w:tr>
        <w:trPr>
          <w:tblCellSpacing w:w="15" w:type="dxa"/>
          <w:trHeight w:val="285"/>
        </w:trPr>
        <w:tc>
          <w:tcPr>
            <w:tcMar>
              <w:left w:w="105" w:type="dxa"/>
              <w:top w:w="0" w:type="dxa"/>
              <w:right w:w="105" w:type="dxa"/>
              <w:bottom w:w="0" w:type="dxa"/>
            </w:tcMar>
            <w:tcW w:w="1755" w:type="dxa"/>
            <w:vAlign w:val="center"/>
            <w:textDirection w:val="lrTb"/>
            <w:noWrap w:val="false"/>
          </w:tcPr>
          <w:p>
            <w:pPr>
              <w:pStyle w:val="1002"/>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行业名称</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计量单位</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中型</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小型</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755"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农、林、牧、渔</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50≤Y＜500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工业</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2000≤Y＜40000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300≤Y＜2000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建筑业</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6000≤Y＜80000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300≤Y＜6000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Y＜300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5000≤Z＜80000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300≤Z＜5000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批发业</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20≤X＜200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5≤X＜20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X＜5</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5000≤Y＜40000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零售业</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50≤X＜300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10≤X＜50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100≤Y＜500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交通运输业</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3000≤Y＜30000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200≤Y＜3000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仓储业</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100≤X＜200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20≤X＜100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1000≤Y＜30000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邮政业</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2000≤Y＜30000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住宿业</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1002"/>
              <w:ind w:firstLine="420"/>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餐饮业</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信息传输业</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100≤X＜2000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1000≤Y＜100000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软件和信息技术服务业</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1000≤Y＜10000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50≤Y＜1000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房地产开发经营</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1000≤Y＜200000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100≤X＜1000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X＜100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5000≤Z＜10000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2000≤Y＜5000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物业管理</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X＜100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500≤Y＜1000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租赁和商务服务业</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8000≤Z＜120000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100≤Z＜8000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其他未列明行业</w:t>
            </w:r>
            <w:r/>
          </w:p>
        </w:tc>
        <w:tc>
          <w:tcPr>
            <w:tcMar>
              <w:left w:w="105" w:type="dxa"/>
              <w:top w:w="0" w:type="dxa"/>
              <w:right w:w="105" w:type="dxa"/>
              <w:bottom w:w="0" w:type="dxa"/>
            </w:tcMar>
            <w:tcW w:w="2067"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02"/>
              <w:jc w:val="center"/>
              <w:spacing w:after="150" w:line="360" w:lineRule="auto"/>
              <w:widowControl/>
              <w:rPr>
                <w:rFonts w:ascii="宋体" w:hAnsi="宋体"/>
                <w:color w:val="auto"/>
                <w:sz w:val="21"/>
                <w:szCs w:val="21"/>
                <w:highlight w:val="none"/>
              </w:rPr>
            </w:pPr>
            <w:r>
              <w:rPr>
                <w:rStyle w:val="980"/>
                <w:rFonts w:hint="eastAsia" w:ascii="宋体" w:hAnsi="宋体" w:cs="仿宋"/>
                <w:color w:val="auto"/>
                <w:sz w:val="21"/>
                <w:szCs w:val="21"/>
                <w:highlight w:val="none"/>
              </w:rPr>
              <w:t xml:space="preserve">X＜10</w:t>
            </w:r>
            <w:r/>
          </w:p>
        </w:tc>
      </w:tr>
    </w:tbl>
    <w:p>
      <w:pPr>
        <w:pStyle w:val="1002"/>
        <w:ind w:firstLine="810"/>
        <w:spacing w:before="300" w:after="452" w:line="360" w:lineRule="auto"/>
        <w:widowControl/>
        <w:rPr>
          <w:rStyle w:val="980"/>
          <w:rFonts w:ascii="宋体" w:hAnsi="宋体" w:cs="仿宋"/>
          <w:color w:val="auto"/>
          <w:sz w:val="21"/>
          <w:szCs w:val="21"/>
          <w:highlight w:val="none"/>
        </w:rPr>
      </w:pPr>
      <w:r>
        <w:rPr>
          <w:rStyle w:val="980"/>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977"/>
        <w:rPr>
          <w:rStyle w:val="980"/>
          <w:rFonts w:cs="仿宋"/>
          <w:b w:val="0"/>
          <w:color w:val="auto"/>
          <w:sz w:val="21"/>
          <w:szCs w:val="21"/>
          <w:highlight w:val="none"/>
        </w:rPr>
      </w:pPr>
      <w:r>
        <w:rPr>
          <w:rStyle w:val="980"/>
          <w:rFonts w:ascii="宋体" w:hAnsi="宋体" w:cs="仿宋"/>
          <w:b w:val="0"/>
          <w:color w:val="auto"/>
          <w:sz w:val="21"/>
          <w:szCs w:val="21"/>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ascii="宋体" w:hAnsi="宋体"/>
          <w:color w:val="auto"/>
          <w:sz w:val="32"/>
          <w:szCs w:val="32"/>
          <w:highlight w:val="none"/>
        </w:rPr>
      </w:pPr>
      <w:r>
        <w:rPr>
          <w:rFonts w:ascii="宋体" w:hAnsi="宋体"/>
          <w:color w:val="auto"/>
          <w:sz w:val="32"/>
          <w:szCs w:val="32"/>
          <w:highlight w:val="none"/>
        </w:rPr>
      </w:r>
      <w:r/>
    </w:p>
    <w:p>
      <w:pPr>
        <w:pStyle w:val="975"/>
        <w:ind w:firstLine="3213"/>
        <w:jc w:val="both"/>
        <w:spacing w:line="360" w:lineRule="auto"/>
        <w:rPr>
          <w:rFonts w:ascii="宋体" w:hAnsi="宋体" w:eastAsia="宋体" w:cs="宋体"/>
          <w:color w:val="auto"/>
          <w:sz w:val="24"/>
          <w:szCs w:val="20"/>
          <w:highlight w:val="none"/>
        </w:rPr>
      </w:pPr>
      <w:r>
        <w:rPr>
          <w:rFonts w:hint="eastAsia" w:ascii="宋体" w:hAnsi="宋体" w:eastAsia="宋体" w:cs="宋体"/>
          <w:bCs w:val="0"/>
          <w:color w:val="auto"/>
          <w:sz w:val="32"/>
          <w:szCs w:val="32"/>
          <w:highlight w:val="none"/>
        </w:rPr>
        <w:t xml:space="preserve">四、</w:t>
      </w:r>
      <w:r>
        <w:rPr>
          <w:rFonts w:hint="eastAsia" w:ascii="宋体" w:hAnsi="宋体" w:eastAsia="宋体" w:cs="宋体"/>
          <w:color w:val="auto"/>
          <w:sz w:val="32"/>
          <w:szCs w:val="32"/>
          <w:highlight w:val="none"/>
        </w:rPr>
        <w:t xml:space="preserve">开标一览表</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投标人全称（加盖CA电子签章）：</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rPr>
          <w:rFonts w:ascii="宋体" w:hAnsi="宋体"/>
          <w:color w:val="auto"/>
          <w:szCs w:val="21"/>
          <w:highlight w:val="none"/>
        </w:rPr>
      </w:pPr>
      <w:r>
        <w:rPr>
          <w:rFonts w:hint="eastAsia" w:ascii="宋体" w:hAnsi="宋体"/>
          <w:color w:val="auto"/>
          <w:szCs w:val="21"/>
          <w:highlight w:val="none"/>
        </w:rPr>
        <w:t xml:space="preserve">                       </w:t>
      </w:r>
      <w:r/>
    </w:p>
    <w:tbl>
      <w:tblPr>
        <w:tblStyle w:val="76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131"/>
      </w:tblGrid>
      <w:tr>
        <w:trPr>
          <w:cantSplit/>
          <w:trHeight w:val="1098"/>
        </w:trPr>
        <w:tc>
          <w:tcPr>
            <w:tcW w:w="2481" w:type="dxa"/>
            <w:vAlign w:val="center"/>
            <w:textDirection w:val="lrTb"/>
            <w:noWrap w:val="false"/>
          </w:tcPr>
          <w:p>
            <w:pPr>
              <w:pStyle w:val="984"/>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投标服务或产品名称</w:t>
            </w:r>
            <w:r/>
          </w:p>
        </w:tc>
        <w:tc>
          <w:tcPr>
            <w:tcW w:w="6131" w:type="dxa"/>
            <w:vAlign w:val="center"/>
            <w:textDirection w:val="lrTb"/>
            <w:noWrap w:val="false"/>
          </w:tcPr>
          <w:p>
            <w:pPr>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481" w:type="dxa"/>
            <w:vAlign w:val="center"/>
            <w:textDirection w:val="lrTb"/>
            <w:noWrap w:val="false"/>
          </w:tcPr>
          <w:p>
            <w:pPr>
              <w:pStyle w:val="984"/>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131" w:type="dxa"/>
            <w:vAlign w:val="center"/>
            <w:textDirection w:val="lrTb"/>
            <w:noWrap w:val="false"/>
          </w:tcPr>
          <w:p>
            <w:pPr>
              <w:pStyle w:val="1015"/>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大写：                       </w:t>
            </w:r>
            <w:r/>
          </w:p>
          <w:p>
            <w:pPr>
              <w:pStyle w:val="1015"/>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   ）</w:t>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975"/>
        <w:ind w:firstLine="3213"/>
        <w:jc w:val="both"/>
        <w:rPr>
          <w:rFonts w:ascii="宋体" w:hAnsi="宋体" w:eastAsia="宋体" w:cs="Times New Roman"/>
          <w:bCs w:val="0"/>
          <w:color w:val="auto"/>
          <w:sz w:val="32"/>
          <w:szCs w:val="32"/>
          <w:highlight w:val="none"/>
        </w:rPr>
      </w:pPr>
      <w:r>
        <w:rPr>
          <w:rFonts w:ascii="宋体" w:hAnsi="宋体" w:eastAsia="宋体" w:cs="Times New Roman"/>
          <w:bCs w:val="0"/>
          <w:color w:val="auto"/>
          <w:sz w:val="32"/>
          <w:szCs w:val="32"/>
          <w:highlight w:val="none"/>
        </w:rPr>
      </w:r>
      <w:r/>
    </w:p>
    <w:p>
      <w:pPr>
        <w:pStyle w:val="976"/>
        <w:ind w:firstLine="640"/>
        <w:rPr>
          <w:rFonts w:ascii="宋体" w:hAnsi="宋体"/>
          <w:color w:val="auto"/>
          <w:sz w:val="32"/>
          <w:szCs w:val="32"/>
          <w:highlight w:val="none"/>
        </w:rPr>
      </w:pPr>
      <w:r>
        <w:rPr>
          <w:rFonts w:ascii="宋体" w:hAnsi="宋体"/>
          <w:color w:val="auto"/>
          <w:sz w:val="32"/>
          <w:szCs w:val="32"/>
          <w:highlight w:val="none"/>
        </w:rPr>
      </w:r>
      <w:r/>
    </w:p>
    <w:p>
      <w:pPr>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975"/>
        <w:numPr>
          <w:ilvl w:val="0"/>
          <w:numId w:val="5"/>
        </w:numPr>
        <w:ind w:firstLine="3213"/>
        <w:jc w:val="both"/>
        <w:rPr>
          <w:rFonts w:ascii="宋体" w:hAnsi="宋体" w:eastAsia="宋体" w:cs="Times New Roman"/>
          <w:bCs w:val="0"/>
          <w:color w:val="auto"/>
          <w:sz w:val="32"/>
          <w:szCs w:val="32"/>
          <w:highlight w:val="none"/>
        </w:rPr>
      </w:pPr>
      <w:r/>
      <w:bookmarkStart w:id="56" w:name="_Toc113352361"/>
      <w:r>
        <w:rPr>
          <w:rFonts w:hint="eastAsia" w:ascii="宋体" w:hAnsi="宋体" w:eastAsia="宋体" w:cs="Times New Roman"/>
          <w:bCs w:val="0"/>
          <w:color w:val="auto"/>
          <w:sz w:val="32"/>
          <w:szCs w:val="32"/>
          <w:highlight w:val="none"/>
        </w:rPr>
        <w:t xml:space="preserve">分项报价表</w:t>
      </w:r>
      <w:bookmarkEnd w:id="56"/>
      <w:r/>
      <w:r/>
    </w:p>
    <w:p>
      <w:pPr>
        <w:ind w:firstLine="420"/>
        <w:spacing w:line="360" w:lineRule="auto"/>
        <w:rPr>
          <w:rFonts w:hint="eastAsia" w:ascii="宋体" w:hAnsi="宋体"/>
          <w:szCs w:val="21"/>
        </w:rPr>
      </w:pPr>
      <w:r>
        <w:rPr>
          <w:rFonts w:hint="eastAsia" w:ascii="宋体" w:hAnsi="宋体"/>
          <w:szCs w:val="21"/>
        </w:rPr>
        <w:t xml:space="preserve">投标人全称（加盖CA电子签章）：</w:t>
      </w:r>
      <w:r/>
    </w:p>
    <w:p>
      <w:pPr>
        <w:ind w:firstLine="420"/>
        <w:spacing w:line="360" w:lineRule="auto"/>
        <w:rPr>
          <w:rFonts w:hint="eastAsia" w:ascii="宋体" w:hAnsi="宋体"/>
          <w:bCs/>
        </w:rPr>
      </w:pPr>
      <w:r>
        <w:rPr>
          <w:rFonts w:hint="eastAsia" w:ascii="宋体" w:hAnsi="宋体"/>
          <w:szCs w:val="21"/>
        </w:rPr>
        <w:t xml:space="preserve">项目名称：</w:t>
      </w:r>
      <w:r/>
    </w:p>
    <w:p>
      <w:pPr>
        <w:ind w:firstLine="420"/>
        <w:spacing w:line="360" w:lineRule="auto"/>
        <w:rPr>
          <w:rFonts w:hint="eastAsia" w:ascii="宋体" w:hAnsi="宋体"/>
          <w:szCs w:val="21"/>
        </w:rPr>
      </w:pPr>
      <w:r>
        <w:rPr>
          <w:rFonts w:hint="eastAsia" w:ascii="宋体" w:hAnsi="宋体"/>
          <w:szCs w:val="21"/>
        </w:rPr>
        <w:t xml:space="preserve">项目编号：</w:t>
      </w:r>
      <w:r/>
    </w:p>
    <w:tbl>
      <w:tblPr>
        <w:tblStyle w:val="765"/>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733"/>
        <w:gridCol w:w="2409"/>
        <w:gridCol w:w="1985"/>
      </w:tblGrid>
      <w:tr>
        <w:trPr>
          <w:cantSplit/>
          <w:jc w:val="center"/>
          <w:trHeight w:val="544"/>
        </w:trPr>
        <w:tc>
          <w:tcPr>
            <w:tcW w:w="2770"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1733"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2409"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1985" w:type="dxa"/>
            <w:vAlign w:val="center"/>
            <w:textDirection w:val="lrTb"/>
            <w:noWrap w:val="false"/>
          </w:tcPr>
          <w:p>
            <w:pPr>
              <w:jc w:val="center"/>
              <w:rPr>
                <w:rFonts w:ascii="宋体" w:hAnsi="宋体"/>
                <w:szCs w:val="21"/>
              </w:rPr>
            </w:pPr>
            <w:r>
              <w:rPr>
                <w:rFonts w:hint="eastAsia" w:ascii="宋体" w:hAnsi="宋体"/>
                <w:szCs w:val="21"/>
              </w:rPr>
              <w:t xml:space="preserve">4</w:t>
            </w:r>
            <w:r/>
          </w:p>
        </w:tc>
      </w:tr>
      <w:tr>
        <w:trPr>
          <w:cantSplit/>
          <w:jc w:val="center"/>
          <w:trHeight w:val="294"/>
        </w:trPr>
        <w:tc>
          <w:tcPr>
            <w:tcW w:w="2770" w:type="dxa"/>
            <w:vAlign w:val="center"/>
            <w:textDirection w:val="lrTb"/>
            <w:noWrap w:val="false"/>
          </w:tcPr>
          <w:p>
            <w:pPr>
              <w:jc w:val="center"/>
              <w:rPr>
                <w:rFonts w:ascii="宋体" w:hAnsi="宋体"/>
                <w:szCs w:val="21"/>
              </w:rPr>
            </w:pPr>
            <w:r>
              <w:rPr>
                <w:rFonts w:hint="eastAsia" w:ascii="宋体" w:hAnsi="宋体"/>
                <w:szCs w:val="21"/>
              </w:rPr>
              <w:t xml:space="preserve">名称</w:t>
            </w:r>
            <w:r/>
          </w:p>
        </w:tc>
        <w:tc>
          <w:tcPr>
            <w:tcW w:w="1733" w:type="dxa"/>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W w:w="2409" w:type="dxa"/>
            <w:vAlign w:val="center"/>
            <w:textDirection w:val="lrTb"/>
            <w:noWrap w:val="false"/>
          </w:tcPr>
          <w:p>
            <w:pPr>
              <w:jc w:val="center"/>
              <w:rPr>
                <w:rFonts w:ascii="宋体" w:hAnsi="宋体"/>
                <w:szCs w:val="21"/>
              </w:rPr>
            </w:pPr>
            <w:r>
              <w:rPr>
                <w:rFonts w:hint="eastAsia" w:ascii="宋体" w:hAnsi="宋体"/>
                <w:szCs w:val="21"/>
              </w:rPr>
              <w:t xml:space="preserve">单价</w:t>
            </w:r>
            <w:r/>
          </w:p>
        </w:tc>
        <w:tc>
          <w:tcPr>
            <w:tcW w:w="1985" w:type="dxa"/>
            <w:vAlign w:val="center"/>
            <w:textDirection w:val="lrTb"/>
            <w:noWrap w:val="false"/>
          </w:tcPr>
          <w:p>
            <w:pPr>
              <w:jc w:val="center"/>
              <w:rPr>
                <w:rFonts w:ascii="宋体" w:hAnsi="宋体"/>
                <w:szCs w:val="21"/>
              </w:rPr>
            </w:pPr>
            <w:r>
              <w:rPr>
                <w:rFonts w:hint="eastAsia" w:ascii="宋体" w:hAnsi="宋体"/>
                <w:szCs w:val="21"/>
              </w:rPr>
              <w:t xml:space="preserve">总价</w:t>
            </w:r>
            <w:r/>
          </w:p>
        </w:tc>
      </w:tr>
      <w:tr>
        <w:trPr>
          <w:cantSplit/>
          <w:jc w:val="center"/>
          <w:trHeight w:val="924"/>
        </w:trPr>
        <w:tc>
          <w:tcPr>
            <w:tcW w:w="2770" w:type="dxa"/>
            <w:vAlign w:val="center"/>
            <w:textDirection w:val="lrTb"/>
            <w:noWrap w:val="false"/>
          </w:tcPr>
          <w:p>
            <w:pPr>
              <w:rPr>
                <w:rFonts w:ascii="宋体" w:hAnsi="宋体"/>
                <w:szCs w:val="21"/>
              </w:rPr>
            </w:pPr>
            <w:r>
              <w:rPr>
                <w:rFonts w:ascii="宋体" w:hAnsi="宋体"/>
                <w:szCs w:val="21"/>
              </w:rPr>
            </w:r>
            <w:r/>
          </w:p>
        </w:tc>
        <w:tc>
          <w:tcPr>
            <w:tcW w:w="1733" w:type="dxa"/>
            <w:vAlign w:val="center"/>
            <w:textDirection w:val="lrTb"/>
            <w:noWrap w:val="false"/>
          </w:tcPr>
          <w:p>
            <w:pPr>
              <w:rPr>
                <w:rFonts w:ascii="宋体" w:hAnsi="宋体"/>
                <w:szCs w:val="21"/>
              </w:rPr>
            </w:pPr>
            <w:r>
              <w:rPr>
                <w:rFonts w:ascii="宋体" w:hAnsi="宋体"/>
                <w:szCs w:val="21"/>
              </w:rPr>
            </w:r>
            <w:r/>
          </w:p>
        </w:tc>
        <w:tc>
          <w:tcPr>
            <w:tcW w:w="2409"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cantSplit/>
          <w:jc w:val="center"/>
          <w:trHeight w:val="924"/>
        </w:trPr>
        <w:tc>
          <w:tcPr>
            <w:tcW w:w="2770" w:type="dxa"/>
            <w:vAlign w:val="center"/>
            <w:textDirection w:val="lrTb"/>
            <w:noWrap w:val="false"/>
          </w:tcPr>
          <w:p>
            <w:pPr>
              <w:rPr>
                <w:rFonts w:ascii="宋体" w:hAnsi="宋体"/>
                <w:szCs w:val="21"/>
              </w:rPr>
            </w:pPr>
            <w:r>
              <w:rPr>
                <w:rFonts w:ascii="宋体" w:hAnsi="宋体"/>
                <w:szCs w:val="21"/>
              </w:rPr>
            </w:r>
            <w:r/>
          </w:p>
        </w:tc>
        <w:tc>
          <w:tcPr>
            <w:tcW w:w="1733" w:type="dxa"/>
            <w:vAlign w:val="center"/>
            <w:textDirection w:val="lrTb"/>
            <w:noWrap w:val="false"/>
          </w:tcPr>
          <w:p>
            <w:pPr>
              <w:rPr>
                <w:rFonts w:ascii="宋体" w:hAnsi="宋体"/>
                <w:szCs w:val="21"/>
              </w:rPr>
            </w:pPr>
            <w:r>
              <w:rPr>
                <w:rFonts w:ascii="宋体" w:hAnsi="宋体"/>
                <w:szCs w:val="21"/>
              </w:rPr>
            </w:r>
            <w:r/>
          </w:p>
        </w:tc>
        <w:tc>
          <w:tcPr>
            <w:tcW w:w="2409"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cantSplit/>
          <w:jc w:val="center"/>
          <w:trHeight w:val="924"/>
        </w:trPr>
        <w:tc>
          <w:tcPr>
            <w:tcW w:w="2770" w:type="dxa"/>
            <w:vAlign w:val="center"/>
            <w:textDirection w:val="lrTb"/>
            <w:noWrap w:val="false"/>
          </w:tcPr>
          <w:p>
            <w:pPr>
              <w:rPr>
                <w:rFonts w:ascii="宋体" w:hAnsi="宋体"/>
                <w:szCs w:val="21"/>
              </w:rPr>
            </w:pPr>
            <w:r>
              <w:rPr>
                <w:rFonts w:ascii="宋体" w:hAnsi="宋体"/>
                <w:szCs w:val="21"/>
              </w:rPr>
            </w:r>
            <w:r/>
          </w:p>
        </w:tc>
        <w:tc>
          <w:tcPr>
            <w:tcW w:w="1733" w:type="dxa"/>
            <w:vAlign w:val="center"/>
            <w:textDirection w:val="lrTb"/>
            <w:noWrap w:val="false"/>
          </w:tcPr>
          <w:p>
            <w:pPr>
              <w:rPr>
                <w:rFonts w:ascii="宋体" w:hAnsi="宋体"/>
                <w:szCs w:val="21"/>
              </w:rPr>
            </w:pPr>
            <w:r>
              <w:rPr>
                <w:rFonts w:ascii="宋体" w:hAnsi="宋体"/>
                <w:szCs w:val="21"/>
              </w:rPr>
            </w:r>
            <w:r/>
          </w:p>
        </w:tc>
        <w:tc>
          <w:tcPr>
            <w:tcW w:w="2409"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cantSplit/>
          <w:jc w:val="center"/>
          <w:trHeight w:val="580"/>
        </w:trPr>
        <w:tc>
          <w:tcPr>
            <w:tcW w:w="2770" w:type="dxa"/>
            <w:vAlign w:val="center"/>
            <w:textDirection w:val="lrTb"/>
            <w:noWrap w:val="false"/>
          </w:tcPr>
          <w:p>
            <w:pPr>
              <w:rPr>
                <w:rFonts w:ascii="宋体" w:hAnsi="宋体"/>
                <w:szCs w:val="21"/>
              </w:rPr>
            </w:pPr>
            <w:r>
              <w:rPr>
                <w:rFonts w:ascii="宋体" w:hAnsi="宋体"/>
                <w:szCs w:val="21"/>
              </w:rPr>
            </w:r>
            <w:r/>
          </w:p>
        </w:tc>
        <w:tc>
          <w:tcPr>
            <w:tcW w:w="1733" w:type="dxa"/>
            <w:vAlign w:val="center"/>
            <w:textDirection w:val="lrTb"/>
            <w:noWrap w:val="false"/>
          </w:tcPr>
          <w:p>
            <w:pPr>
              <w:rPr>
                <w:rFonts w:ascii="宋体" w:hAnsi="宋体"/>
                <w:szCs w:val="21"/>
              </w:rPr>
            </w:pPr>
            <w:r>
              <w:rPr>
                <w:rFonts w:ascii="宋体" w:hAnsi="宋体"/>
                <w:szCs w:val="21"/>
              </w:rPr>
            </w:r>
            <w:r/>
          </w:p>
        </w:tc>
        <w:tc>
          <w:tcPr>
            <w:tcW w:w="2409"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cantSplit/>
          <w:jc w:val="center"/>
          <w:trHeight w:val="580"/>
        </w:trPr>
        <w:tc>
          <w:tcPr>
            <w:tcW w:w="2770" w:type="dxa"/>
            <w:vAlign w:val="center"/>
            <w:textDirection w:val="lrTb"/>
            <w:noWrap w:val="false"/>
          </w:tcPr>
          <w:p>
            <w:pPr>
              <w:jc w:val="center"/>
              <w:rPr>
                <w:rFonts w:ascii="宋体" w:hAnsi="宋体"/>
                <w:szCs w:val="21"/>
              </w:rPr>
            </w:pPr>
            <w:r>
              <w:rPr>
                <w:rFonts w:hint="eastAsia" w:ascii="宋体" w:hAnsi="宋体"/>
                <w:szCs w:val="21"/>
              </w:rPr>
              <w:t xml:space="preserve">合计</w:t>
            </w:r>
            <w:r/>
          </w:p>
        </w:tc>
        <w:tc>
          <w:tcPr>
            <w:gridSpan w:val="3"/>
            <w:tcW w:w="6127" w:type="dxa"/>
            <w:vAlign w:val="center"/>
            <w:textDirection w:val="lrTb"/>
            <w:noWrap w:val="false"/>
          </w:tcPr>
          <w:p>
            <w:pPr>
              <w:rPr>
                <w:rFonts w:ascii="宋体" w:hAnsi="宋体"/>
                <w:szCs w:val="21"/>
              </w:rPr>
            </w:pPr>
            <w:r>
              <w:rPr>
                <w:rFonts w:ascii="宋体" w:hAnsi="宋体"/>
                <w:szCs w:val="21"/>
              </w:rPr>
            </w:r>
            <w:r/>
          </w:p>
        </w:tc>
      </w:tr>
    </w:tbl>
    <w:p>
      <w:pPr>
        <w:pStyle w:val="976"/>
        <w:ind w:firstLine="0"/>
        <w:rPr>
          <w:rFonts w:ascii="宋体" w:hAnsi="宋体"/>
          <w:color w:val="auto"/>
          <w:sz w:val="32"/>
          <w:highlight w:val="none"/>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auto"/>
          <w:sz w:val="32"/>
          <w:highlight w:val="none"/>
        </w:rPr>
      </w:r>
      <w:r/>
    </w:p>
    <w:p>
      <w:pPr>
        <w:pStyle w:val="975"/>
        <w:rPr>
          <w:rFonts w:ascii="宋体" w:hAnsi="宋体" w:eastAsia="宋体"/>
          <w:color w:val="auto"/>
          <w:sz w:val="32"/>
          <w:highlight w:val="none"/>
        </w:rPr>
      </w:pPr>
      <w:r>
        <w:rPr>
          <w:rFonts w:hint="eastAsia" w:ascii="宋体" w:hAnsi="宋体" w:eastAsia="宋体"/>
          <w:color w:val="auto"/>
          <w:sz w:val="32"/>
          <w:highlight w:val="none"/>
        </w:rPr>
        <w:t xml:space="preserve">六、技术参数响应及偏离表</w:t>
      </w:r>
      <w:r/>
    </w:p>
    <w:p>
      <w:pPr>
        <w:pStyle w:val="976"/>
        <w:ind w:firstLine="0"/>
        <w:rPr>
          <w:color w:val="auto"/>
          <w:highlight w:val="none"/>
        </w:rPr>
      </w:pPr>
      <w:r>
        <w:rPr>
          <w:rFonts w:hint="eastAsia"/>
          <w:color w:val="auto"/>
          <w:highlight w:val="none"/>
        </w:rPr>
        <w:t xml:space="preserve">分包号：</w:t>
      </w:r>
      <w:r/>
    </w:p>
    <w:tbl>
      <w:tblPr>
        <w:tblStyle w:val="7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874"/>
      </w:tblGrid>
      <w:tr>
        <w:trPr>
          <w:cantSplit/>
        </w:trPr>
        <w:tc>
          <w:tcPr>
            <w:tcW w:w="98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30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87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hint="eastAsia" w:ascii="黑体" w:hAnsi="Arial" w:eastAsia="黑体"/>
          <w:color w:val="auto"/>
          <w:sz w:val="32"/>
          <w:highlight w:val="none"/>
        </w:rPr>
        <w:br w:type="page" w:clear="all"/>
      </w:r>
      <w:r/>
    </w:p>
    <w:p>
      <w:pPr>
        <w:pStyle w:val="975"/>
        <w:rPr>
          <w:rFonts w:ascii="宋体" w:hAnsi="宋体" w:eastAsia="宋体" w:cs="Times New Roman"/>
          <w:bCs w:val="0"/>
          <w:color w:val="auto"/>
          <w:sz w:val="32"/>
          <w:szCs w:val="32"/>
          <w:highlight w:val="none"/>
        </w:rPr>
      </w:pPr>
      <w:r/>
      <w:bookmarkStart w:id="57" w:name="_Hlt26955054"/>
      <w:r/>
      <w:bookmarkEnd w:id="57"/>
      <w:r/>
      <w:bookmarkStart w:id="58" w:name="_Toc113352363"/>
      <w:r>
        <w:rPr>
          <w:rFonts w:hint="eastAsia" w:ascii="宋体" w:hAnsi="宋体" w:eastAsia="宋体" w:cs="Times New Roman"/>
          <w:bCs w:val="0"/>
          <w:color w:val="auto"/>
          <w:sz w:val="32"/>
          <w:szCs w:val="32"/>
          <w:highlight w:val="none"/>
        </w:rPr>
        <w:t xml:space="preserve">七、商务条款响应及偏离表</w:t>
      </w:r>
      <w:bookmarkEnd w:id="58"/>
      <w:r/>
      <w:r/>
    </w:p>
    <w:p>
      <w:pPr>
        <w:pStyle w:val="976"/>
        <w:rPr>
          <w:color w:val="auto"/>
          <w:highlight w:val="none"/>
        </w:rPr>
      </w:pPr>
      <w:r>
        <w:rPr>
          <w:rFonts w:hint="eastAsia"/>
          <w:color w:val="auto"/>
          <w:highlight w:val="none"/>
        </w:rPr>
        <w:t xml:space="preserve">分包号：</w:t>
      </w:r>
      <w:r/>
    </w:p>
    <w:tbl>
      <w:tblPr>
        <w:tblStyle w:val="765"/>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W w:w="2563"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540"/>
        </w:trPr>
        <w:tc>
          <w:tcPr>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服务时间</w:t>
            </w:r>
            <w:r/>
          </w:p>
        </w:tc>
        <w:tc>
          <w:tcPr>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服务方式</w:t>
            </w:r>
            <w:r/>
          </w:p>
        </w:tc>
        <w:tc>
          <w:tcPr>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服务地点</w:t>
            </w:r>
            <w:r/>
          </w:p>
        </w:tc>
        <w:tc>
          <w:tcPr>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W w:w="2502" w:type="dxa"/>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c>
          <w:tcPr>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976"/>
        <w:ind w:firstLine="480"/>
        <w:rPr>
          <w:rFonts w:ascii="宋体" w:hAnsi="宋体"/>
          <w:color w:val="auto"/>
          <w:sz w:val="24"/>
          <w:highlight w:val="none"/>
        </w:rPr>
      </w:pPr>
      <w:r/>
      <w:bookmarkStart w:id="59" w:name="_Hlt26609389"/>
      <w:r/>
      <w:bookmarkEnd w:id="59"/>
      <w:r/>
      <w:bookmarkStart w:id="60" w:name="_Hlt26671374"/>
      <w:r/>
      <w:bookmarkEnd w:id="60"/>
      <w:r/>
      <w:bookmarkStart w:id="61" w:name="_Hlt26955066"/>
      <w:r/>
      <w:bookmarkEnd w:id="61"/>
      <w:r/>
      <w:bookmarkStart w:id="62" w:name="_Toc462564146"/>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hint="eastAsia" w:ascii="宋体" w:hAnsi="宋体"/>
          <w:color w:val="auto"/>
          <w:sz w:val="24"/>
          <w:highlight w:val="none"/>
        </w:rPr>
        <w:t xml:space="preserve">.</w:t>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r/>
    </w:p>
    <w:p>
      <w:pPr>
        <w:pStyle w:val="976"/>
        <w:ind w:firstLine="480"/>
        <w:rPr>
          <w:rFonts w:ascii="宋体" w:hAnsi="宋体"/>
          <w:color w:val="auto"/>
          <w:sz w:val="24"/>
          <w:highlight w:val="none"/>
        </w:rPr>
      </w:pPr>
      <w:r>
        <w:rPr>
          <w:rFonts w:ascii="宋体" w:hAnsi="宋体"/>
          <w:color w:val="auto"/>
          <w:sz w:val="24"/>
          <w:highlight w:val="none"/>
        </w:rPr>
      </w:r>
      <w:bookmarkEnd w:id="62"/>
      <w:r/>
      <w:r/>
    </w:p>
    <w:p>
      <w:pPr>
        <w:pStyle w:val="976"/>
        <w:ind w:firstLine="480"/>
        <w:rPr>
          <w:rFonts w:ascii="宋体" w:hAnsi="宋体"/>
          <w:color w:val="auto"/>
          <w:sz w:val="24"/>
          <w:highlight w:val="none"/>
        </w:rPr>
      </w:pPr>
      <w:r>
        <w:rPr>
          <w:rFonts w:ascii="宋体" w:hAnsi="宋体"/>
          <w:color w:val="auto"/>
          <w:sz w:val="24"/>
          <w:highlight w:val="none"/>
        </w:rPr>
      </w:r>
      <w:r/>
    </w:p>
    <w:p>
      <w:pPr>
        <w:jc w:val="left"/>
        <w:widowControl/>
        <w:rPr>
          <w:rFonts w:ascii="宋体" w:hAnsi="宋体"/>
          <w:b/>
          <w:color w:val="auto"/>
          <w:highlight w:val="none"/>
        </w:rPr>
      </w:pPr>
      <w:r/>
      <w:bookmarkStart w:id="63" w:name="_格式2__法定代表人授权书"/>
      <w:r/>
      <w:bookmarkEnd w:id="63"/>
      <w:r>
        <w:rPr>
          <w:rFonts w:ascii="宋体" w:hAnsi="宋体"/>
          <w:b/>
          <w:color w:val="auto"/>
          <w:highlight w:val="none"/>
        </w:rPr>
        <w:br w:type="page" w:clear="all"/>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3780"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pStyle w:val="766"/>
        <w:ind w:firstLine="420"/>
        <w:jc w:val="center"/>
        <w:rPr>
          <w:rFonts w:ascii="宋体" w:hAnsi="宋体" w:cs="宋体"/>
          <w:b/>
          <w:szCs w:val="21"/>
        </w:rPr>
      </w:pPr>
      <w:r>
        <w:rPr>
          <w:rFonts w:hint="eastAsia" w:ascii="宋体" w:hAnsi="宋体" w:cs="宋体"/>
          <w:b/>
          <w:szCs w:val="21"/>
        </w:rPr>
        <w:t xml:space="preserve">拟投入人员一览表</w:t>
      </w:r>
      <w:r/>
    </w:p>
    <w:p>
      <w:pPr>
        <w:ind w:firstLine="482"/>
        <w:spacing w:line="360" w:lineRule="auto"/>
        <w:rPr>
          <w:rFonts w:hint="eastAsia" w:ascii="宋体" w:hAnsi="宋体"/>
          <w:szCs w:val="21"/>
        </w:rPr>
      </w:pPr>
      <w:r>
        <w:rPr>
          <w:rFonts w:hint="eastAsia" w:ascii="宋体" w:hAnsi="宋体"/>
          <w:szCs w:val="21"/>
        </w:rPr>
        <w:t xml:space="preserve">投标人全称（加盖CA电子签章）：</w:t>
      </w:r>
      <w:r/>
    </w:p>
    <w:p>
      <w:pPr>
        <w:ind w:firstLine="482"/>
        <w:spacing w:line="360" w:lineRule="auto"/>
        <w:rPr>
          <w:rFonts w:hint="eastAsia" w:ascii="宋体" w:hAnsi="宋体"/>
          <w:bCs/>
        </w:rPr>
      </w:pPr>
      <w:r>
        <w:rPr>
          <w:rFonts w:hint="eastAsia" w:ascii="宋体" w:hAnsi="宋体"/>
          <w:szCs w:val="21"/>
        </w:rPr>
        <w:t xml:space="preserve">项目名称：</w:t>
      </w:r>
      <w:r/>
    </w:p>
    <w:p>
      <w:pPr>
        <w:ind w:firstLine="482"/>
        <w:spacing w:line="360" w:lineRule="auto"/>
        <w:rPr>
          <w:rFonts w:hint="eastAsia" w:ascii="宋体" w:hAnsi="宋体"/>
          <w:szCs w:val="21"/>
        </w:rPr>
      </w:pPr>
      <w:r>
        <w:rPr>
          <w:rFonts w:hint="eastAsia" w:ascii="宋体" w:hAnsi="宋体"/>
          <w:szCs w:val="21"/>
        </w:rPr>
        <w:t xml:space="preserve">项目编号：</w:t>
      </w:r>
      <w:r/>
    </w:p>
    <w:tbl>
      <w:tblPr>
        <w:tblStyle w:val="7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274"/>
        <w:gridCol w:w="1276"/>
        <w:gridCol w:w="992"/>
        <w:gridCol w:w="994"/>
        <w:gridCol w:w="1274"/>
        <w:gridCol w:w="1276"/>
        <w:gridCol w:w="1418"/>
      </w:tblGrid>
      <w:tr>
        <w:trPr>
          <w:jc w:val="center"/>
          <w:trHeight w:val="510"/>
        </w:trPr>
        <w:tc>
          <w:tcPr>
            <w:tcW w:w="694" w:type="dxa"/>
            <w:vAlign w:val="center"/>
            <w:textDirection w:val="lrTb"/>
            <w:noWrap w:val="false"/>
          </w:tcPr>
          <w:p>
            <w:pPr>
              <w:jc w:val="center"/>
              <w:rPr>
                <w:rFonts w:hint="eastAsia" w:ascii="宋体" w:hAnsi="宋体"/>
              </w:rPr>
            </w:pPr>
            <w:r>
              <w:rPr>
                <w:rFonts w:hint="eastAsia" w:ascii="宋体" w:hAnsi="宋体"/>
              </w:rPr>
              <w:t xml:space="preserve">序号</w:t>
            </w:r>
            <w:r/>
          </w:p>
        </w:tc>
        <w:tc>
          <w:tcPr>
            <w:tcW w:w="1274" w:type="dxa"/>
            <w:vAlign w:val="center"/>
            <w:textDirection w:val="lrTb"/>
            <w:noWrap w:val="false"/>
          </w:tcPr>
          <w:p>
            <w:pPr>
              <w:jc w:val="center"/>
              <w:rPr>
                <w:rFonts w:ascii="宋体" w:hAnsi="宋体"/>
              </w:rPr>
            </w:pPr>
            <w:r>
              <w:rPr>
                <w:rFonts w:hint="eastAsia" w:ascii="宋体" w:hAnsi="宋体"/>
              </w:rPr>
              <w:t xml:space="preserve">岗位</w:t>
            </w:r>
            <w:r/>
          </w:p>
        </w:tc>
        <w:tc>
          <w:tcPr>
            <w:tcW w:w="1276" w:type="dxa"/>
            <w:vAlign w:val="center"/>
            <w:textDirection w:val="lrTb"/>
            <w:noWrap w:val="false"/>
          </w:tcPr>
          <w:p>
            <w:pPr>
              <w:jc w:val="center"/>
              <w:rPr>
                <w:rFonts w:ascii="宋体" w:hAnsi="宋体"/>
              </w:rPr>
            </w:pPr>
            <w:r>
              <w:rPr>
                <w:rFonts w:hint="eastAsia" w:ascii="宋体" w:hAnsi="宋体"/>
              </w:rPr>
              <w:t xml:space="preserve">姓名</w:t>
            </w:r>
            <w:r/>
          </w:p>
        </w:tc>
        <w:tc>
          <w:tcPr>
            <w:tcW w:w="992" w:type="dxa"/>
            <w:vAlign w:val="center"/>
            <w:textDirection w:val="lrTb"/>
            <w:noWrap w:val="false"/>
          </w:tcPr>
          <w:p>
            <w:pPr>
              <w:jc w:val="center"/>
              <w:rPr>
                <w:rFonts w:ascii="宋体" w:hAnsi="宋体"/>
              </w:rPr>
            </w:pPr>
            <w:r>
              <w:rPr>
                <w:rFonts w:hint="eastAsia" w:ascii="宋体" w:hAnsi="宋体"/>
              </w:rPr>
              <w:t xml:space="preserve">性别</w:t>
            </w:r>
            <w:r/>
          </w:p>
        </w:tc>
        <w:tc>
          <w:tcPr>
            <w:tcW w:w="994" w:type="dxa"/>
            <w:vAlign w:val="center"/>
            <w:textDirection w:val="lrTb"/>
            <w:noWrap w:val="false"/>
          </w:tcPr>
          <w:p>
            <w:pPr>
              <w:jc w:val="center"/>
              <w:rPr>
                <w:rFonts w:ascii="宋体" w:hAnsi="宋体"/>
              </w:rPr>
            </w:pPr>
            <w:r>
              <w:rPr>
                <w:rFonts w:hint="eastAsia" w:ascii="宋体" w:hAnsi="宋体"/>
              </w:rPr>
              <w:t xml:space="preserve">年龄</w:t>
            </w:r>
            <w:r/>
          </w:p>
        </w:tc>
        <w:tc>
          <w:tcPr>
            <w:tcW w:w="1274" w:type="dxa"/>
            <w:vAlign w:val="center"/>
            <w:textDirection w:val="lrTb"/>
            <w:noWrap w:val="false"/>
          </w:tcPr>
          <w:p>
            <w:pPr>
              <w:jc w:val="center"/>
              <w:rPr>
                <w:rFonts w:hint="eastAsia" w:ascii="宋体" w:hAnsi="宋体" w:eastAsia="宋体"/>
                <w:lang w:eastAsia="zh-CN"/>
              </w:rPr>
            </w:pPr>
            <w:r>
              <w:rPr>
                <w:rFonts w:hint="eastAsia" w:ascii="宋体" w:hAnsi="宋体"/>
                <w:lang w:val="en-US" w:eastAsia="zh-CN"/>
              </w:rPr>
              <w:t xml:space="preserve">职称</w:t>
            </w:r>
            <w:r/>
          </w:p>
        </w:tc>
        <w:tc>
          <w:tcPr>
            <w:tcW w:w="1276" w:type="dxa"/>
            <w:vAlign w:val="center"/>
            <w:textDirection w:val="lrTb"/>
            <w:noWrap w:val="false"/>
          </w:tcPr>
          <w:p>
            <w:pPr>
              <w:jc w:val="center"/>
              <w:rPr>
                <w:rFonts w:ascii="宋体" w:hAnsi="宋体"/>
              </w:rPr>
            </w:pPr>
            <w:r>
              <w:rPr>
                <w:rFonts w:hint="eastAsia" w:ascii="宋体" w:hAnsi="宋体"/>
              </w:rPr>
              <w:t xml:space="preserve">执业资格</w:t>
            </w:r>
            <w:r/>
          </w:p>
        </w:tc>
        <w:tc>
          <w:tcPr>
            <w:tcW w:w="1418" w:type="dxa"/>
            <w:vAlign w:val="center"/>
            <w:textDirection w:val="lrTb"/>
            <w:noWrap w:val="false"/>
          </w:tcPr>
          <w:p>
            <w:pPr>
              <w:jc w:val="center"/>
              <w:rPr>
                <w:rFonts w:ascii="宋体" w:hAnsi="宋体"/>
              </w:rPr>
            </w:pPr>
            <w:r>
              <w:rPr>
                <w:rFonts w:hint="eastAsia" w:ascii="宋体" w:hAnsi="宋体"/>
              </w:rPr>
              <w:t xml:space="preserve">备注</w:t>
            </w:r>
            <w:r/>
          </w:p>
        </w:tc>
      </w:tr>
      <w:tr>
        <w:trPr>
          <w:jc w:val="center"/>
          <w:trHeight w:val="510"/>
        </w:trPr>
        <w:tc>
          <w:tcPr>
            <w:tcW w:w="694" w:type="dxa"/>
            <w:vAlign w:val="center"/>
            <w:textDirection w:val="lrTb"/>
            <w:noWrap w:val="false"/>
          </w:tcPr>
          <w:p>
            <w:pPr>
              <w:jc w:val="center"/>
              <w:rPr>
                <w:rFonts w:ascii="宋体" w:hAnsi="宋体"/>
              </w:rPr>
            </w:pPr>
            <w:r>
              <w:rPr>
                <w:rFonts w:ascii="宋体" w:hAnsi="宋体"/>
              </w:rPr>
            </w:r>
            <w:r/>
          </w:p>
        </w:tc>
        <w:tc>
          <w:tcPr>
            <w:tcW w:w="1274" w:type="dxa"/>
            <w:vAlign w:val="center"/>
            <w:textDirection w:val="lrTb"/>
            <w:noWrap w:val="false"/>
          </w:tcPr>
          <w:p>
            <w:pPr>
              <w:jc w:val="center"/>
              <w:rPr>
                <w:rFonts w:ascii="宋体" w:hAnsi="宋体"/>
              </w:rPr>
            </w:pPr>
            <w:r>
              <w:rPr>
                <w:rFonts w:ascii="宋体" w:hAnsi="宋体"/>
              </w:rPr>
            </w:r>
            <w:r/>
          </w:p>
        </w:tc>
        <w:tc>
          <w:tcPr>
            <w:tcW w:w="1276" w:type="dxa"/>
            <w:vAlign w:val="center"/>
            <w:textDirection w:val="lrTb"/>
            <w:noWrap w:val="false"/>
          </w:tcPr>
          <w:p>
            <w:pPr>
              <w:jc w:val="center"/>
              <w:rPr>
                <w:rFonts w:ascii="宋体" w:hAnsi="宋体"/>
              </w:rPr>
            </w:pPr>
            <w:r>
              <w:rPr>
                <w:rFonts w:ascii="宋体" w:hAnsi="宋体"/>
              </w:rPr>
            </w:r>
            <w:r/>
          </w:p>
        </w:tc>
        <w:tc>
          <w:tcPr>
            <w:tcW w:w="992" w:type="dxa"/>
            <w:vAlign w:val="center"/>
            <w:textDirection w:val="lrTb"/>
            <w:noWrap w:val="false"/>
          </w:tcPr>
          <w:p>
            <w:pPr>
              <w:jc w:val="center"/>
              <w:rPr>
                <w:rFonts w:ascii="宋体" w:hAnsi="宋体"/>
              </w:rPr>
            </w:pPr>
            <w:r>
              <w:rPr>
                <w:rFonts w:ascii="宋体" w:hAnsi="宋体"/>
              </w:rPr>
            </w:r>
            <w:r/>
          </w:p>
        </w:tc>
        <w:tc>
          <w:tcPr>
            <w:tcW w:w="994" w:type="dxa"/>
            <w:vAlign w:val="center"/>
            <w:textDirection w:val="lrTb"/>
            <w:noWrap w:val="false"/>
          </w:tcPr>
          <w:p>
            <w:pPr>
              <w:jc w:val="center"/>
              <w:rPr>
                <w:rFonts w:ascii="宋体" w:hAnsi="宋体"/>
              </w:rPr>
            </w:pPr>
            <w:r>
              <w:rPr>
                <w:rFonts w:ascii="宋体" w:hAnsi="宋体"/>
              </w:rPr>
            </w:r>
            <w:r/>
          </w:p>
        </w:tc>
        <w:tc>
          <w:tcPr>
            <w:tcW w:w="1274" w:type="dxa"/>
            <w:vAlign w:val="center"/>
            <w:textDirection w:val="lrTb"/>
            <w:noWrap w:val="false"/>
          </w:tcPr>
          <w:p>
            <w:pPr>
              <w:jc w:val="center"/>
              <w:rPr>
                <w:rFonts w:ascii="宋体" w:hAnsi="宋体"/>
              </w:rPr>
            </w:pPr>
            <w:r>
              <w:rPr>
                <w:rFonts w:ascii="宋体" w:hAnsi="宋体"/>
              </w:rPr>
            </w:r>
            <w:r/>
          </w:p>
        </w:tc>
        <w:tc>
          <w:tcPr>
            <w:tcW w:w="1276" w:type="dxa"/>
            <w:vAlign w:val="center"/>
            <w:textDirection w:val="lrTb"/>
            <w:noWrap w:val="false"/>
          </w:tcPr>
          <w:p>
            <w:pPr>
              <w:jc w:val="center"/>
              <w:rPr>
                <w:rFonts w:ascii="宋体" w:hAnsi="宋体"/>
              </w:rPr>
            </w:pPr>
            <w:r>
              <w:rPr>
                <w:rFonts w:ascii="宋体" w:hAnsi="宋体"/>
              </w:rPr>
            </w:r>
            <w:r/>
          </w:p>
        </w:tc>
        <w:tc>
          <w:tcPr>
            <w:tcW w:w="1418" w:type="dxa"/>
            <w:vAlign w:val="center"/>
            <w:textDirection w:val="lrTb"/>
            <w:noWrap w:val="false"/>
          </w:tcPr>
          <w:p>
            <w:pPr>
              <w:jc w:val="center"/>
              <w:rPr>
                <w:rFonts w:ascii="宋体" w:hAnsi="宋体"/>
              </w:rPr>
            </w:pPr>
            <w:r>
              <w:rPr>
                <w:rFonts w:ascii="宋体" w:hAnsi="宋体"/>
              </w:rPr>
            </w:r>
            <w:r/>
          </w:p>
        </w:tc>
      </w:tr>
      <w:tr>
        <w:trPr>
          <w:jc w:val="center"/>
          <w:trHeight w:val="510"/>
        </w:trPr>
        <w:tc>
          <w:tcPr>
            <w:tcW w:w="694" w:type="dxa"/>
            <w:vAlign w:val="center"/>
            <w:textDirection w:val="lrTb"/>
            <w:noWrap w:val="false"/>
          </w:tcPr>
          <w:p>
            <w:pPr>
              <w:jc w:val="center"/>
              <w:rPr>
                <w:rFonts w:ascii="宋体" w:hAnsi="宋体"/>
              </w:rPr>
            </w:pPr>
            <w:r>
              <w:rPr>
                <w:rFonts w:ascii="宋体" w:hAnsi="宋体"/>
              </w:rPr>
            </w:r>
            <w:r/>
          </w:p>
        </w:tc>
        <w:tc>
          <w:tcPr>
            <w:tcW w:w="1274" w:type="dxa"/>
            <w:vAlign w:val="center"/>
            <w:textDirection w:val="lrTb"/>
            <w:noWrap w:val="false"/>
          </w:tcPr>
          <w:p>
            <w:pPr>
              <w:jc w:val="center"/>
              <w:rPr>
                <w:rFonts w:ascii="宋体" w:hAnsi="宋体"/>
              </w:rPr>
            </w:pPr>
            <w:r>
              <w:rPr>
                <w:rFonts w:ascii="宋体" w:hAnsi="宋体"/>
              </w:rPr>
            </w:r>
            <w:r/>
          </w:p>
        </w:tc>
        <w:tc>
          <w:tcPr>
            <w:tcW w:w="1276" w:type="dxa"/>
            <w:vAlign w:val="center"/>
            <w:textDirection w:val="lrTb"/>
            <w:noWrap w:val="false"/>
          </w:tcPr>
          <w:p>
            <w:pPr>
              <w:jc w:val="center"/>
              <w:rPr>
                <w:rFonts w:ascii="宋体" w:hAnsi="宋体"/>
              </w:rPr>
            </w:pPr>
            <w:r>
              <w:rPr>
                <w:rFonts w:ascii="宋体" w:hAnsi="宋体"/>
              </w:rPr>
            </w:r>
            <w:r/>
          </w:p>
        </w:tc>
        <w:tc>
          <w:tcPr>
            <w:tcW w:w="992" w:type="dxa"/>
            <w:vAlign w:val="center"/>
            <w:textDirection w:val="lrTb"/>
            <w:noWrap w:val="false"/>
          </w:tcPr>
          <w:p>
            <w:pPr>
              <w:jc w:val="center"/>
              <w:rPr>
                <w:rFonts w:ascii="宋体" w:hAnsi="宋体"/>
              </w:rPr>
            </w:pPr>
            <w:r>
              <w:rPr>
                <w:rFonts w:ascii="宋体" w:hAnsi="宋体"/>
              </w:rPr>
            </w:r>
            <w:r/>
          </w:p>
        </w:tc>
        <w:tc>
          <w:tcPr>
            <w:tcW w:w="994" w:type="dxa"/>
            <w:vAlign w:val="center"/>
            <w:textDirection w:val="lrTb"/>
            <w:noWrap w:val="false"/>
          </w:tcPr>
          <w:p>
            <w:pPr>
              <w:jc w:val="center"/>
              <w:rPr>
                <w:rFonts w:ascii="宋体" w:hAnsi="宋体"/>
              </w:rPr>
            </w:pPr>
            <w:r>
              <w:rPr>
                <w:rFonts w:ascii="宋体" w:hAnsi="宋体"/>
              </w:rPr>
            </w:r>
            <w:r/>
          </w:p>
        </w:tc>
        <w:tc>
          <w:tcPr>
            <w:tcW w:w="1274" w:type="dxa"/>
            <w:vAlign w:val="center"/>
            <w:textDirection w:val="lrTb"/>
            <w:noWrap w:val="false"/>
          </w:tcPr>
          <w:p>
            <w:pPr>
              <w:jc w:val="center"/>
              <w:rPr>
                <w:rFonts w:ascii="宋体" w:hAnsi="宋体"/>
              </w:rPr>
            </w:pPr>
            <w:r>
              <w:rPr>
                <w:rFonts w:ascii="宋体" w:hAnsi="宋体"/>
              </w:rPr>
            </w:r>
            <w:r/>
          </w:p>
        </w:tc>
        <w:tc>
          <w:tcPr>
            <w:tcW w:w="1276" w:type="dxa"/>
            <w:vAlign w:val="center"/>
            <w:textDirection w:val="lrTb"/>
            <w:noWrap w:val="false"/>
          </w:tcPr>
          <w:p>
            <w:pPr>
              <w:jc w:val="center"/>
              <w:rPr>
                <w:rFonts w:ascii="宋体" w:hAnsi="宋体"/>
              </w:rPr>
            </w:pPr>
            <w:r>
              <w:rPr>
                <w:rFonts w:ascii="宋体" w:hAnsi="宋体"/>
              </w:rPr>
            </w:r>
            <w:r/>
          </w:p>
        </w:tc>
        <w:tc>
          <w:tcPr>
            <w:tcW w:w="1418" w:type="dxa"/>
            <w:vAlign w:val="center"/>
            <w:textDirection w:val="lrTb"/>
            <w:noWrap w:val="false"/>
          </w:tcPr>
          <w:p>
            <w:pPr>
              <w:jc w:val="center"/>
              <w:rPr>
                <w:rFonts w:ascii="宋体" w:hAnsi="宋体"/>
              </w:rPr>
            </w:pPr>
            <w:r>
              <w:rPr>
                <w:rFonts w:ascii="宋体" w:hAnsi="宋体"/>
              </w:rPr>
            </w:r>
            <w:r/>
          </w:p>
        </w:tc>
      </w:tr>
      <w:tr>
        <w:trPr>
          <w:jc w:val="center"/>
          <w:trHeight w:val="510"/>
        </w:trPr>
        <w:tc>
          <w:tcPr>
            <w:tcW w:w="694" w:type="dxa"/>
            <w:vAlign w:val="center"/>
            <w:textDirection w:val="lrTb"/>
            <w:noWrap w:val="false"/>
          </w:tcPr>
          <w:p>
            <w:pPr>
              <w:jc w:val="center"/>
              <w:rPr>
                <w:rFonts w:ascii="宋体" w:hAnsi="宋体"/>
              </w:rPr>
            </w:pPr>
            <w:r>
              <w:rPr>
                <w:rFonts w:ascii="宋体" w:hAnsi="宋体"/>
              </w:rPr>
            </w:r>
            <w:r/>
          </w:p>
        </w:tc>
        <w:tc>
          <w:tcPr>
            <w:tcW w:w="1274" w:type="dxa"/>
            <w:vAlign w:val="center"/>
            <w:textDirection w:val="lrTb"/>
            <w:noWrap w:val="false"/>
          </w:tcPr>
          <w:p>
            <w:pPr>
              <w:jc w:val="center"/>
              <w:rPr>
                <w:rFonts w:ascii="宋体" w:hAnsi="宋体"/>
              </w:rPr>
            </w:pPr>
            <w:r>
              <w:rPr>
                <w:rFonts w:ascii="宋体" w:hAnsi="宋体"/>
              </w:rPr>
            </w:r>
            <w:r/>
          </w:p>
        </w:tc>
        <w:tc>
          <w:tcPr>
            <w:tcW w:w="1276" w:type="dxa"/>
            <w:vAlign w:val="center"/>
            <w:textDirection w:val="lrTb"/>
            <w:noWrap w:val="false"/>
          </w:tcPr>
          <w:p>
            <w:pPr>
              <w:jc w:val="center"/>
              <w:rPr>
                <w:rFonts w:ascii="宋体" w:hAnsi="宋体"/>
              </w:rPr>
            </w:pPr>
            <w:r>
              <w:rPr>
                <w:rFonts w:ascii="宋体" w:hAnsi="宋体"/>
              </w:rPr>
            </w:r>
            <w:r/>
          </w:p>
        </w:tc>
        <w:tc>
          <w:tcPr>
            <w:tcW w:w="992" w:type="dxa"/>
            <w:vAlign w:val="center"/>
            <w:textDirection w:val="lrTb"/>
            <w:noWrap w:val="false"/>
          </w:tcPr>
          <w:p>
            <w:pPr>
              <w:jc w:val="center"/>
              <w:rPr>
                <w:rFonts w:ascii="宋体" w:hAnsi="宋体"/>
              </w:rPr>
            </w:pPr>
            <w:r>
              <w:rPr>
                <w:rFonts w:ascii="宋体" w:hAnsi="宋体"/>
              </w:rPr>
            </w:r>
            <w:r/>
          </w:p>
        </w:tc>
        <w:tc>
          <w:tcPr>
            <w:tcW w:w="994" w:type="dxa"/>
            <w:vAlign w:val="center"/>
            <w:textDirection w:val="lrTb"/>
            <w:noWrap w:val="false"/>
          </w:tcPr>
          <w:p>
            <w:pPr>
              <w:jc w:val="center"/>
              <w:rPr>
                <w:rFonts w:ascii="宋体" w:hAnsi="宋体"/>
              </w:rPr>
            </w:pPr>
            <w:r>
              <w:rPr>
                <w:rFonts w:ascii="宋体" w:hAnsi="宋体"/>
              </w:rPr>
            </w:r>
            <w:r/>
          </w:p>
        </w:tc>
        <w:tc>
          <w:tcPr>
            <w:tcW w:w="1274" w:type="dxa"/>
            <w:vAlign w:val="center"/>
            <w:textDirection w:val="lrTb"/>
            <w:noWrap w:val="false"/>
          </w:tcPr>
          <w:p>
            <w:pPr>
              <w:jc w:val="center"/>
              <w:rPr>
                <w:rFonts w:ascii="宋体" w:hAnsi="宋体"/>
              </w:rPr>
            </w:pPr>
            <w:r>
              <w:rPr>
                <w:rFonts w:ascii="宋体" w:hAnsi="宋体"/>
              </w:rPr>
            </w:r>
            <w:r/>
          </w:p>
        </w:tc>
        <w:tc>
          <w:tcPr>
            <w:tcW w:w="1276" w:type="dxa"/>
            <w:vAlign w:val="center"/>
            <w:textDirection w:val="lrTb"/>
            <w:noWrap w:val="false"/>
          </w:tcPr>
          <w:p>
            <w:pPr>
              <w:jc w:val="center"/>
              <w:rPr>
                <w:rFonts w:ascii="宋体" w:hAnsi="宋体"/>
              </w:rPr>
            </w:pPr>
            <w:r>
              <w:rPr>
                <w:rFonts w:ascii="宋体" w:hAnsi="宋体"/>
              </w:rPr>
            </w:r>
            <w:r/>
          </w:p>
        </w:tc>
        <w:tc>
          <w:tcPr>
            <w:tcW w:w="1418" w:type="dxa"/>
            <w:vAlign w:val="center"/>
            <w:textDirection w:val="lrTb"/>
            <w:noWrap w:val="false"/>
          </w:tcPr>
          <w:p>
            <w:pPr>
              <w:jc w:val="center"/>
              <w:rPr>
                <w:rFonts w:ascii="宋体" w:hAnsi="宋体"/>
              </w:rPr>
            </w:pPr>
            <w:r>
              <w:rPr>
                <w:rFonts w:ascii="宋体" w:hAnsi="宋体"/>
              </w:rPr>
            </w:r>
            <w:r/>
          </w:p>
        </w:tc>
      </w:tr>
      <w:tr>
        <w:trPr>
          <w:jc w:val="center"/>
          <w:trHeight w:val="510"/>
        </w:trPr>
        <w:tc>
          <w:tcPr>
            <w:tcW w:w="694" w:type="dxa"/>
            <w:vAlign w:val="center"/>
            <w:textDirection w:val="lrTb"/>
            <w:noWrap w:val="false"/>
          </w:tcPr>
          <w:p>
            <w:pPr>
              <w:jc w:val="center"/>
              <w:rPr>
                <w:rFonts w:ascii="宋体" w:hAnsi="宋体"/>
              </w:rPr>
            </w:pPr>
            <w:r>
              <w:rPr>
                <w:rFonts w:ascii="宋体" w:hAnsi="宋体"/>
              </w:rPr>
            </w:r>
            <w:r/>
          </w:p>
        </w:tc>
        <w:tc>
          <w:tcPr>
            <w:tcW w:w="1274" w:type="dxa"/>
            <w:vAlign w:val="center"/>
            <w:textDirection w:val="lrTb"/>
            <w:noWrap w:val="false"/>
          </w:tcPr>
          <w:p>
            <w:pPr>
              <w:jc w:val="center"/>
              <w:rPr>
                <w:rFonts w:ascii="宋体" w:hAnsi="宋体"/>
              </w:rPr>
            </w:pPr>
            <w:r>
              <w:rPr>
                <w:rFonts w:ascii="宋体" w:hAnsi="宋体"/>
              </w:rPr>
            </w:r>
            <w:r/>
          </w:p>
        </w:tc>
        <w:tc>
          <w:tcPr>
            <w:tcW w:w="1276" w:type="dxa"/>
            <w:vAlign w:val="center"/>
            <w:textDirection w:val="lrTb"/>
            <w:noWrap w:val="false"/>
          </w:tcPr>
          <w:p>
            <w:pPr>
              <w:jc w:val="center"/>
              <w:rPr>
                <w:rFonts w:ascii="宋体" w:hAnsi="宋体"/>
              </w:rPr>
            </w:pPr>
            <w:r>
              <w:rPr>
                <w:rFonts w:ascii="宋体" w:hAnsi="宋体"/>
              </w:rPr>
            </w:r>
            <w:r/>
          </w:p>
        </w:tc>
        <w:tc>
          <w:tcPr>
            <w:tcW w:w="992" w:type="dxa"/>
            <w:vAlign w:val="center"/>
            <w:textDirection w:val="lrTb"/>
            <w:noWrap w:val="false"/>
          </w:tcPr>
          <w:p>
            <w:pPr>
              <w:jc w:val="center"/>
              <w:rPr>
                <w:rFonts w:ascii="宋体" w:hAnsi="宋体"/>
              </w:rPr>
            </w:pPr>
            <w:r>
              <w:rPr>
                <w:rFonts w:ascii="宋体" w:hAnsi="宋体"/>
              </w:rPr>
            </w:r>
            <w:r/>
          </w:p>
        </w:tc>
        <w:tc>
          <w:tcPr>
            <w:tcW w:w="994" w:type="dxa"/>
            <w:vAlign w:val="center"/>
            <w:textDirection w:val="lrTb"/>
            <w:noWrap w:val="false"/>
          </w:tcPr>
          <w:p>
            <w:pPr>
              <w:jc w:val="center"/>
              <w:rPr>
                <w:rFonts w:ascii="宋体" w:hAnsi="宋体"/>
              </w:rPr>
            </w:pPr>
            <w:r>
              <w:rPr>
                <w:rFonts w:ascii="宋体" w:hAnsi="宋体"/>
              </w:rPr>
            </w:r>
            <w:r/>
          </w:p>
        </w:tc>
        <w:tc>
          <w:tcPr>
            <w:tcW w:w="1274" w:type="dxa"/>
            <w:vAlign w:val="center"/>
            <w:textDirection w:val="lrTb"/>
            <w:noWrap w:val="false"/>
          </w:tcPr>
          <w:p>
            <w:pPr>
              <w:jc w:val="center"/>
              <w:rPr>
                <w:rFonts w:ascii="宋体" w:hAnsi="宋体"/>
              </w:rPr>
            </w:pPr>
            <w:r>
              <w:rPr>
                <w:rFonts w:ascii="宋体" w:hAnsi="宋体"/>
              </w:rPr>
            </w:r>
            <w:r/>
          </w:p>
        </w:tc>
        <w:tc>
          <w:tcPr>
            <w:tcW w:w="1276" w:type="dxa"/>
            <w:vAlign w:val="center"/>
            <w:textDirection w:val="lrTb"/>
            <w:noWrap w:val="false"/>
          </w:tcPr>
          <w:p>
            <w:pPr>
              <w:jc w:val="center"/>
              <w:rPr>
                <w:rFonts w:ascii="宋体" w:hAnsi="宋体"/>
              </w:rPr>
            </w:pPr>
            <w:r>
              <w:rPr>
                <w:rFonts w:ascii="宋体" w:hAnsi="宋体"/>
              </w:rPr>
            </w:r>
            <w:r/>
          </w:p>
        </w:tc>
        <w:tc>
          <w:tcPr>
            <w:tcW w:w="1418" w:type="dxa"/>
            <w:vAlign w:val="center"/>
            <w:textDirection w:val="lrTb"/>
            <w:noWrap w:val="false"/>
          </w:tcPr>
          <w:p>
            <w:pPr>
              <w:jc w:val="center"/>
              <w:rPr>
                <w:rFonts w:ascii="宋体" w:hAnsi="宋体"/>
              </w:rPr>
            </w:pPr>
            <w:r>
              <w:rPr>
                <w:rFonts w:ascii="宋体" w:hAnsi="宋体"/>
              </w:rPr>
            </w:r>
            <w:r/>
          </w:p>
        </w:tc>
      </w:tr>
      <w:tr>
        <w:trPr>
          <w:jc w:val="center"/>
          <w:trHeight w:val="510"/>
        </w:trPr>
        <w:tc>
          <w:tcPr>
            <w:tcW w:w="694" w:type="dxa"/>
            <w:vAlign w:val="center"/>
            <w:textDirection w:val="lrTb"/>
            <w:noWrap w:val="false"/>
          </w:tcPr>
          <w:p>
            <w:pPr>
              <w:jc w:val="center"/>
              <w:rPr>
                <w:rFonts w:ascii="宋体" w:hAnsi="宋体"/>
              </w:rPr>
            </w:pPr>
            <w:r>
              <w:rPr>
                <w:rFonts w:ascii="宋体" w:hAnsi="宋体"/>
              </w:rPr>
            </w:r>
            <w:r/>
          </w:p>
        </w:tc>
        <w:tc>
          <w:tcPr>
            <w:tcW w:w="1274" w:type="dxa"/>
            <w:vAlign w:val="center"/>
            <w:textDirection w:val="lrTb"/>
            <w:noWrap w:val="false"/>
          </w:tcPr>
          <w:p>
            <w:pPr>
              <w:jc w:val="center"/>
              <w:rPr>
                <w:rFonts w:ascii="宋体" w:hAnsi="宋体"/>
              </w:rPr>
            </w:pPr>
            <w:r>
              <w:rPr>
                <w:rFonts w:ascii="宋体" w:hAnsi="宋体"/>
              </w:rPr>
            </w:r>
            <w:r/>
          </w:p>
        </w:tc>
        <w:tc>
          <w:tcPr>
            <w:tcW w:w="1276" w:type="dxa"/>
            <w:vAlign w:val="center"/>
            <w:textDirection w:val="lrTb"/>
            <w:noWrap w:val="false"/>
          </w:tcPr>
          <w:p>
            <w:pPr>
              <w:jc w:val="center"/>
              <w:rPr>
                <w:rFonts w:ascii="宋体" w:hAnsi="宋体"/>
              </w:rPr>
            </w:pPr>
            <w:r>
              <w:rPr>
                <w:rFonts w:ascii="宋体" w:hAnsi="宋体"/>
              </w:rPr>
            </w:r>
            <w:r/>
          </w:p>
        </w:tc>
        <w:tc>
          <w:tcPr>
            <w:tcW w:w="992" w:type="dxa"/>
            <w:vAlign w:val="center"/>
            <w:textDirection w:val="lrTb"/>
            <w:noWrap w:val="false"/>
          </w:tcPr>
          <w:p>
            <w:pPr>
              <w:jc w:val="center"/>
              <w:rPr>
                <w:rFonts w:ascii="宋体" w:hAnsi="宋体"/>
              </w:rPr>
            </w:pPr>
            <w:r>
              <w:rPr>
                <w:rFonts w:ascii="宋体" w:hAnsi="宋体"/>
              </w:rPr>
            </w:r>
            <w:r/>
          </w:p>
        </w:tc>
        <w:tc>
          <w:tcPr>
            <w:tcW w:w="994" w:type="dxa"/>
            <w:vAlign w:val="center"/>
            <w:textDirection w:val="lrTb"/>
            <w:noWrap w:val="false"/>
          </w:tcPr>
          <w:p>
            <w:pPr>
              <w:jc w:val="center"/>
              <w:rPr>
                <w:rFonts w:ascii="宋体" w:hAnsi="宋体"/>
              </w:rPr>
            </w:pPr>
            <w:r>
              <w:rPr>
                <w:rFonts w:ascii="宋体" w:hAnsi="宋体"/>
              </w:rPr>
            </w:r>
            <w:r/>
          </w:p>
        </w:tc>
        <w:tc>
          <w:tcPr>
            <w:tcW w:w="1274" w:type="dxa"/>
            <w:vAlign w:val="center"/>
            <w:textDirection w:val="lrTb"/>
            <w:noWrap w:val="false"/>
          </w:tcPr>
          <w:p>
            <w:pPr>
              <w:jc w:val="center"/>
              <w:rPr>
                <w:rFonts w:ascii="宋体" w:hAnsi="宋体"/>
              </w:rPr>
            </w:pPr>
            <w:r>
              <w:rPr>
                <w:rFonts w:ascii="宋体" w:hAnsi="宋体"/>
              </w:rPr>
            </w:r>
            <w:r/>
          </w:p>
        </w:tc>
        <w:tc>
          <w:tcPr>
            <w:tcW w:w="1276" w:type="dxa"/>
            <w:vAlign w:val="center"/>
            <w:textDirection w:val="lrTb"/>
            <w:noWrap w:val="false"/>
          </w:tcPr>
          <w:p>
            <w:pPr>
              <w:jc w:val="center"/>
              <w:rPr>
                <w:rFonts w:ascii="宋体" w:hAnsi="宋体"/>
              </w:rPr>
            </w:pPr>
            <w:r>
              <w:rPr>
                <w:rFonts w:ascii="宋体" w:hAnsi="宋体"/>
              </w:rPr>
            </w:r>
            <w:r/>
          </w:p>
        </w:tc>
        <w:tc>
          <w:tcPr>
            <w:tcW w:w="1418" w:type="dxa"/>
            <w:vAlign w:val="center"/>
            <w:textDirection w:val="lrTb"/>
            <w:noWrap w:val="false"/>
          </w:tcPr>
          <w:p>
            <w:pPr>
              <w:jc w:val="center"/>
              <w:rPr>
                <w:rFonts w:ascii="宋体" w:hAnsi="宋体"/>
              </w:rPr>
            </w:pPr>
            <w:r>
              <w:rPr>
                <w:rFonts w:ascii="宋体" w:hAnsi="宋体"/>
              </w:rPr>
            </w:r>
            <w:r/>
          </w:p>
        </w:tc>
      </w:tr>
    </w:tbl>
    <w:p>
      <w:pPr>
        <w:ind w:firstLine="211"/>
        <w:jc w:val="center"/>
        <w:spacing w:line="360" w:lineRule="auto"/>
        <w:rPr>
          <w:rFonts w:hint="eastAsia" w:ascii="宋体" w:hAnsi="宋体"/>
          <w:b/>
          <w:color w:val="auto"/>
          <w:highlight w:val="none"/>
        </w:rPr>
      </w:pPr>
      <w:r>
        <w:rPr>
          <w:rFonts w:hint="eastAsia" w:ascii="宋体" w:hAnsi="宋体"/>
          <w:b/>
          <w:color w:val="auto"/>
          <w:highlight w:val="none"/>
        </w:rPr>
      </w:r>
      <w:r/>
    </w:p>
    <w:p>
      <w:pPr>
        <w:rPr>
          <w:rFonts w:hint="eastAsia" w:ascii="宋体" w:hAnsi="宋体"/>
          <w:b/>
          <w:color w:val="auto"/>
          <w:highlight w:val="none"/>
        </w:rPr>
      </w:pPr>
      <w:r>
        <w:rPr>
          <w:rFonts w:hint="eastAsia" w:ascii="宋体" w:hAnsi="宋体"/>
          <w:b/>
          <w:color w:val="auto"/>
          <w:highlight w:val="none"/>
        </w:rPr>
        <w:br w:type="page" w:clear="all"/>
      </w:r>
      <w:r/>
    </w:p>
    <w:p>
      <w:pPr>
        <w:pStyle w:val="766"/>
        <w:rPr>
          <w:rFonts w:hint="eastAsia"/>
        </w:rPr>
      </w:pPr>
      <w:r>
        <w:rPr>
          <w:rFonts w:hint="eastAsia"/>
        </w:rPr>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rFonts w:hint="eastAsia" w:ascii="宋体" w:hAnsi="宋体"/>
          <w:color w:val="auto"/>
          <w:highlight w:val="none"/>
        </w:rPr>
      </w:pPr>
      <w:r>
        <w:rPr>
          <w:rFonts w:hint="eastAsia" w:ascii="宋体" w:hAnsi="宋体"/>
          <w:color w:val="auto"/>
          <w:highlight w:val="none"/>
        </w:rPr>
        <w:t xml:space="preserve">日期：</w:t>
      </w:r>
      <w:r/>
    </w:p>
    <w:p>
      <w:r>
        <w:br w:type="page" w:clear="all"/>
      </w:r>
      <w:r/>
    </w:p>
    <w:p>
      <w:pPr>
        <w:pStyle w:val="766"/>
        <w:ind w:firstLine="420"/>
        <w:jc w:val="center"/>
        <w:rPr>
          <w:rFonts w:ascii="宋体" w:hAnsi="宋体" w:cs="宋体"/>
          <w:b/>
          <w:szCs w:val="21"/>
        </w:rPr>
      </w:pPr>
      <w:r>
        <w:rPr>
          <w:rFonts w:hint="eastAsia" w:ascii="宋体" w:hAnsi="宋体" w:cs="宋体"/>
          <w:b/>
          <w:szCs w:val="21"/>
        </w:rPr>
        <w:t xml:space="preserve">其他</w:t>
      </w:r>
      <w:r/>
    </w:p>
    <w:p>
      <w:pPr>
        <w:jc w:val="center"/>
        <w:spacing w:after="312" w:line="360" w:lineRule="auto"/>
        <w:rPr>
          <w:rFonts w:hint="eastAsia" w:ascii="宋体" w:hAnsi="宋体"/>
          <w:szCs w:val="21"/>
        </w:rPr>
      </w:pPr>
      <w:r>
        <w:rPr>
          <w:rFonts w:hint="eastAsia" w:ascii="宋体" w:hAnsi="宋体"/>
          <w:szCs w:val="21"/>
        </w:rPr>
        <w:t xml:space="preserve">（</w:t>
      </w:r>
      <w:r>
        <w:rPr>
          <w:rFonts w:ascii="宋体" w:hAnsi="宋体"/>
          <w:szCs w:val="21"/>
        </w:rPr>
        <w:t xml:space="preserve">投标人认为有必要提供的声明和文件，如有自拟并自行添加</w:t>
      </w:r>
      <w:r>
        <w:rPr>
          <w:rFonts w:hint="eastAsia" w:ascii="宋体" w:hAnsi="宋体"/>
          <w:szCs w:val="21"/>
        </w:rPr>
        <w:t xml:space="preserve">）</w:t>
      </w:r>
      <w:r/>
    </w:p>
    <w:p>
      <w:pPr>
        <w:pStyle w:val="766"/>
      </w:p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pPr>
    <w:r>
      <w:fldChar w:fldCharType="begin"/>
    </w:r>
    <w:r>
      <w:instrText xml:space="preserve">PAGE   \* MERGEFORMAT</w:instrText>
    </w:r>
    <w:r>
      <w:fldChar w:fldCharType="separate"/>
    </w:r>
    <w:r>
      <w:rPr>
        <w:lang w:val="zh-CN"/>
      </w:rPr>
      <w:t xml:space="preserve">4</w:t>
    </w:r>
    <w:r>
      <w:rPr>
        <w:lang w:val="zh-CN"/>
      </w:rPr>
      <w:fldChar w:fldCharType="end"/>
    </w:r>
    <w:r/>
  </w:p>
  <w:p>
    <w:pPr>
      <w:pStyle w:val="10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Fonts w:hint="eastAsia" w:eastAsia="宋体"/>
        <w:lang w:eastAsia="zh-CN"/>
      </w:rPr>
    </w:pPr>
    <w:r>
      <w:rPr>
        <w:rFonts w:hint="eastAsia"/>
        <w:lang w:eastAsia="zh-CN"/>
      </w:rPr>
      <w:t xml:space="preserve">JSZC-321000-YZSJ-G2026-0001号</w:t>
    </w:r>
    <w:r>
      <w:rPr>
        <w:rFonts w:hint="eastAsia"/>
      </w:rPr>
      <w:t xml:space="preserve">                      </w:t>
    </w:r>
    <w:r>
      <w:rPr>
        <w:rFonts w:hint="eastAsia"/>
        <w:lang w:val="en-US" w:eastAsia="zh-CN"/>
      </w:rPr>
      <w:t xml:space="preserve">     </w:t>
    </w:r>
    <w:r>
      <w:rPr>
        <w:rFonts w:hint="eastAsia"/>
      </w:rPr>
      <w:t xml:space="preserve">    </w:t>
    </w:r>
    <w:r>
      <w:rPr>
        <w:rFonts w:hint="eastAsia"/>
        <w:lang w:eastAsia="zh-CN"/>
      </w:rPr>
      <w:t xml:space="preserve">扬州市建苑工程监理有限责任公司</w:t>
    </w:r>
    <w:r/>
  </w:p>
  <w:p>
    <w:pPr>
      <w:pStyle w:val="98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Fonts w:hint="eastAsia" w:eastAsia="宋体"/>
        <w:lang w:eastAsia="zh-CN"/>
      </w:rPr>
    </w:pPr>
    <w:r>
      <w:rPr>
        <w:rFonts w:hint="eastAsia"/>
        <w:lang w:eastAsia="zh-CN"/>
      </w:rPr>
      <w:t xml:space="preserve">JSZC-321000-YZSJ-G2026-0001号</w:t>
    </w:r>
    <w:r>
      <w:rPr>
        <w:rFonts w:hint="eastAsia"/>
      </w:rPr>
      <w:t xml:space="preserve">                                  </w:t>
    </w:r>
    <w:r>
      <w:rPr>
        <w:rFonts w:hint="eastAsia"/>
        <w:lang w:eastAsia="zh-CN"/>
      </w:rPr>
      <w:t xml:space="preserve">扬州市建苑工程监理有限责任公司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Fonts w:hint="eastAsia" w:eastAsia="宋体"/>
        <w:lang w:eastAsia="zh-CN"/>
      </w:rPr>
    </w:pPr>
    <w:r>
      <w:rPr>
        <w:rFonts w:hint="eastAsia"/>
        <w:color w:val="000000"/>
        <w:lang w:eastAsia="zh-CN"/>
      </w:rPr>
      <w:t xml:space="preserve">JSZC-321000-YZSJ-G2026-0001号</w:t>
    </w:r>
    <w:r>
      <w:rPr>
        <w:color w:val="000000"/>
      </w:rPr>
      <w:tab/>
    </w:r>
    <w:r>
      <w:rPr>
        <w:rFonts w:hint="eastAsia"/>
        <w:color w:val="ff0000"/>
      </w:rPr>
      <w:t xml:space="preserve"> </w:t>
    </w:r>
    <w:r>
      <w:rPr>
        <w:rFonts w:hint="eastAsia"/>
      </w:rPr>
      <w:t xml:space="preserve">                               </w:t>
    </w:r>
    <w:r>
      <w:rPr>
        <w:rFonts w:hint="eastAsia"/>
        <w:lang w:eastAsia="zh-CN"/>
      </w:rPr>
      <w:t xml:space="preserve">扬州市建苑工程监理有限责任公司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next w:val="766"/>
    <w:uiPriority w:val="0"/>
    <w:qFormat/>
    <w:pPr>
      <w:jc w:val="both"/>
      <w:widowControl w:val="off"/>
    </w:pPr>
    <w:rPr>
      <w:rFonts w:hint="default" w:ascii="Calibri" w:hAnsi="Calibri" w:eastAsia="宋体" w:cs="Calibri"/>
      <w:sz w:val="21"/>
      <w:szCs w:val="22"/>
      <w:lang w:val="en-US" w:eastAsia="zh-CN" w:bidi="ar-SA"/>
    </w:rPr>
  </w:style>
  <w:style w:type="paragraph" w:styleId="755">
    <w:name w:val="Heading 1"/>
    <w:basedOn w:val="754"/>
    <w:next w:val="754"/>
    <w:link w:val="826"/>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54"/>
    <w:link w:val="827"/>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link w:val="828"/>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link w:val="829"/>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link w:val="830"/>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link w:val="831"/>
    <w:uiPriority w:val="9"/>
    <w:unhideWhenUsed/>
    <w:qFormat/>
    <w:pPr>
      <w:keepLines/>
      <w:keepNext/>
      <w:spacing w:before="320" w:after="200"/>
      <w:outlineLvl w:val="5"/>
    </w:pPr>
    <w:rPr>
      <w:rFonts w:ascii="Arial" w:hAnsi="Arial" w:eastAsia="Arial" w:cs="Arial"/>
      <w:b/>
      <w:bCs/>
      <w:sz w:val="22"/>
    </w:rPr>
  </w:style>
  <w:style w:type="paragraph" w:styleId="761">
    <w:name w:val="Heading 7"/>
    <w:basedOn w:val="754"/>
    <w:next w:val="754"/>
    <w:link w:val="832"/>
    <w:uiPriority w:val="9"/>
    <w:unhideWhenUsed/>
    <w:qFormat/>
    <w:pPr>
      <w:keepLines/>
      <w:keepNext/>
      <w:spacing w:before="320" w:after="200"/>
      <w:outlineLvl w:val="6"/>
    </w:pPr>
    <w:rPr>
      <w:rFonts w:ascii="Arial" w:hAnsi="Arial" w:eastAsia="Arial" w:cs="Arial"/>
      <w:b/>
      <w:bCs/>
      <w:i/>
      <w:iCs/>
      <w:sz w:val="22"/>
    </w:rPr>
  </w:style>
  <w:style w:type="paragraph" w:styleId="762">
    <w:name w:val="Heading 8"/>
    <w:basedOn w:val="754"/>
    <w:next w:val="754"/>
    <w:link w:val="833"/>
    <w:uiPriority w:val="9"/>
    <w:unhideWhenUsed/>
    <w:qFormat/>
    <w:pPr>
      <w:keepLines/>
      <w:keepNext/>
      <w:spacing w:before="320" w:after="200"/>
      <w:outlineLvl w:val="7"/>
    </w:pPr>
    <w:rPr>
      <w:rFonts w:ascii="Arial" w:hAnsi="Arial" w:eastAsia="Arial" w:cs="Arial"/>
      <w:i/>
      <w:iCs/>
      <w:sz w:val="22"/>
    </w:rPr>
  </w:style>
  <w:style w:type="paragraph" w:styleId="763">
    <w:name w:val="Heading 9"/>
    <w:basedOn w:val="754"/>
    <w:next w:val="754"/>
    <w:link w:val="834"/>
    <w:uiPriority w:val="9"/>
    <w:unhideWhenUsed/>
    <w:qFormat/>
    <w:pPr>
      <w:keepLines/>
      <w:keepNext/>
      <w:spacing w:before="320" w:after="200"/>
      <w:outlineLvl w:val="8"/>
    </w:pPr>
    <w:rPr>
      <w:rFonts w:ascii="Arial" w:hAnsi="Arial" w:eastAsia="Arial" w:cs="Arial"/>
      <w:i/>
      <w:iCs/>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customStyle="1">
    <w:name w:val="正文（缩进）"/>
    <w:basedOn w:val="754"/>
    <w:uiPriority w:val="0"/>
    <w:qFormat/>
    <w:pPr>
      <w:ind w:firstLine="480"/>
      <w:spacing w:before="156" w:after="156"/>
    </w:pPr>
  </w:style>
  <w:style w:type="paragraph" w:styleId="767">
    <w:name w:val="toc 7"/>
    <w:basedOn w:val="754"/>
    <w:next w:val="754"/>
    <w:uiPriority w:val="39"/>
    <w:unhideWhenUsed/>
    <w:qFormat/>
    <w:pPr>
      <w:ind w:left="1701"/>
      <w:spacing w:after="57"/>
    </w:pPr>
  </w:style>
  <w:style w:type="paragraph" w:styleId="768">
    <w:name w:val="Caption"/>
    <w:basedOn w:val="754"/>
    <w:next w:val="7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9">
    <w:name w:val="Body Text Indent"/>
    <w:basedOn w:val="754"/>
    <w:next w:val="754"/>
    <w:uiPriority w:val="0"/>
    <w:qFormat/>
    <w:pPr>
      <w:ind w:firstLine="314"/>
      <w:jc w:val="left"/>
      <w:spacing w:line="720" w:lineRule="exact"/>
    </w:pPr>
    <w:rPr>
      <w:rFonts w:ascii="楷体_GB2312" w:hAnsi="宋体" w:eastAsia="楷体_GB2312"/>
      <w:sz w:val="28"/>
      <w:szCs w:val="28"/>
    </w:rPr>
  </w:style>
  <w:style w:type="paragraph" w:styleId="770">
    <w:name w:val="toc 5"/>
    <w:basedOn w:val="754"/>
    <w:next w:val="754"/>
    <w:uiPriority w:val="39"/>
    <w:unhideWhenUsed/>
    <w:qFormat/>
    <w:pPr>
      <w:ind w:left="1134"/>
      <w:spacing w:after="57"/>
    </w:pPr>
  </w:style>
  <w:style w:type="paragraph" w:styleId="771">
    <w:name w:val="toc 3"/>
    <w:basedOn w:val="754"/>
    <w:next w:val="754"/>
    <w:uiPriority w:val="39"/>
    <w:unhideWhenUsed/>
    <w:qFormat/>
    <w:pPr>
      <w:ind w:left="567"/>
      <w:spacing w:after="57"/>
    </w:pPr>
  </w:style>
  <w:style w:type="paragraph" w:styleId="772">
    <w:name w:val="toc 8"/>
    <w:basedOn w:val="754"/>
    <w:next w:val="754"/>
    <w:uiPriority w:val="39"/>
    <w:unhideWhenUsed/>
    <w:qFormat/>
    <w:pPr>
      <w:ind w:left="1984"/>
      <w:spacing w:after="57"/>
    </w:pPr>
  </w:style>
  <w:style w:type="paragraph" w:styleId="773">
    <w:name w:val="endnote text"/>
    <w:basedOn w:val="754"/>
    <w:link w:val="972"/>
    <w:uiPriority w:val="99"/>
    <w:semiHidden/>
    <w:unhideWhenUsed/>
    <w:qFormat/>
    <w:rPr>
      <w:sz w:val="20"/>
    </w:rPr>
  </w:style>
  <w:style w:type="paragraph" w:styleId="774">
    <w:name w:val="Footer"/>
    <w:basedOn w:val="754"/>
    <w:link w:val="845"/>
    <w:uiPriority w:val="99"/>
    <w:unhideWhenUsed/>
    <w:qFormat/>
    <w:pPr>
      <w:tabs>
        <w:tab w:val="center" w:pos="7143" w:leader="none"/>
        <w:tab w:val="right" w:pos="14287" w:leader="none"/>
      </w:tabs>
    </w:pPr>
  </w:style>
  <w:style w:type="paragraph" w:styleId="775">
    <w:name w:val="Header"/>
    <w:basedOn w:val="754"/>
    <w:link w:val="843"/>
    <w:uiPriority w:val="99"/>
    <w:unhideWhenUsed/>
    <w:qFormat/>
    <w:pPr>
      <w:tabs>
        <w:tab w:val="center" w:pos="7143" w:leader="none"/>
        <w:tab w:val="right" w:pos="14287" w:leader="none"/>
      </w:tabs>
    </w:pPr>
  </w:style>
  <w:style w:type="paragraph" w:styleId="776">
    <w:name w:val="toc 1"/>
    <w:basedOn w:val="754"/>
    <w:next w:val="754"/>
    <w:uiPriority w:val="39"/>
    <w:unhideWhenUsed/>
    <w:qFormat/>
    <w:pPr>
      <w:spacing w:after="57"/>
    </w:pPr>
  </w:style>
  <w:style w:type="paragraph" w:styleId="777">
    <w:name w:val="toc 4"/>
    <w:basedOn w:val="754"/>
    <w:next w:val="754"/>
    <w:uiPriority w:val="39"/>
    <w:unhideWhenUsed/>
    <w:qFormat/>
    <w:pPr>
      <w:ind w:left="850"/>
      <w:spacing w:after="57"/>
    </w:pPr>
  </w:style>
  <w:style w:type="paragraph" w:styleId="778">
    <w:name w:val="Subtitle"/>
    <w:basedOn w:val="754"/>
    <w:next w:val="754"/>
    <w:link w:val="838"/>
    <w:uiPriority w:val="11"/>
    <w:qFormat/>
    <w:pPr>
      <w:spacing w:before="200" w:after="200"/>
    </w:pPr>
    <w:rPr>
      <w:sz w:val="24"/>
      <w:szCs w:val="24"/>
    </w:rPr>
  </w:style>
  <w:style w:type="paragraph" w:styleId="779">
    <w:name w:val="footnote text"/>
    <w:basedOn w:val="754"/>
    <w:link w:val="971"/>
    <w:uiPriority w:val="99"/>
    <w:semiHidden/>
    <w:unhideWhenUsed/>
    <w:qFormat/>
    <w:pPr>
      <w:spacing w:after="40"/>
    </w:pPr>
    <w:rPr>
      <w:sz w:val="18"/>
    </w:rPr>
  </w:style>
  <w:style w:type="paragraph" w:styleId="780">
    <w:name w:val="toc 6"/>
    <w:basedOn w:val="754"/>
    <w:next w:val="754"/>
    <w:uiPriority w:val="39"/>
    <w:unhideWhenUsed/>
    <w:qFormat/>
    <w:pPr>
      <w:ind w:left="1417"/>
      <w:spacing w:after="57"/>
    </w:pPr>
  </w:style>
  <w:style w:type="paragraph" w:styleId="781">
    <w:name w:val="table of figures"/>
    <w:basedOn w:val="754"/>
    <w:next w:val="754"/>
    <w:uiPriority w:val="99"/>
    <w:unhideWhenUsed/>
    <w:qFormat/>
  </w:style>
  <w:style w:type="paragraph" w:styleId="782">
    <w:name w:val="toc 2"/>
    <w:basedOn w:val="754"/>
    <w:next w:val="754"/>
    <w:uiPriority w:val="39"/>
    <w:unhideWhenUsed/>
    <w:qFormat/>
    <w:pPr>
      <w:ind w:left="283"/>
      <w:spacing w:after="57"/>
    </w:pPr>
  </w:style>
  <w:style w:type="paragraph" w:styleId="783">
    <w:name w:val="toc 9"/>
    <w:basedOn w:val="754"/>
    <w:next w:val="754"/>
    <w:uiPriority w:val="39"/>
    <w:unhideWhenUsed/>
    <w:qFormat/>
    <w:pPr>
      <w:ind w:left="2268"/>
      <w:spacing w:after="57"/>
    </w:pPr>
  </w:style>
  <w:style w:type="paragraph" w:styleId="784">
    <w:name w:val="Title"/>
    <w:basedOn w:val="754"/>
    <w:next w:val="754"/>
    <w:link w:val="837"/>
    <w:uiPriority w:val="10"/>
    <w:qFormat/>
    <w:pPr>
      <w:contextualSpacing/>
      <w:spacing w:before="300" w:after="200"/>
    </w:pPr>
    <w:rPr>
      <w:sz w:val="48"/>
      <w:szCs w:val="48"/>
    </w:rPr>
  </w:style>
  <w:style w:type="table" w:styleId="78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endnote reference"/>
    <w:uiPriority w:val="99"/>
    <w:semiHidden/>
    <w:unhideWhenUsed/>
    <w:qFormat/>
    <w:rPr>
      <w:vertAlign w:val="superscript"/>
    </w:rPr>
  </w:style>
  <w:style w:type="character" w:styleId="787">
    <w:name w:val="Hyperlink"/>
    <w:uiPriority w:val="99"/>
    <w:unhideWhenUsed/>
    <w:qFormat/>
    <w:rPr>
      <w:color w:val="0000ff" w:themeColor="hyperlink"/>
      <w:u w:val="single"/>
      <w14:textFill>
        <w14:solidFill>
          <w14:schemeClr w14:val="hlink"/>
        </w14:solidFill>
      </w14:textFill>
    </w:rPr>
  </w:style>
  <w:style w:type="character" w:styleId="788">
    <w:name w:val="footnote reference"/>
    <w:uiPriority w:val="99"/>
    <w:unhideWhenUsed/>
    <w:qFormat/>
    <w:rPr>
      <w:vertAlign w:val="superscript"/>
    </w:rPr>
  </w:style>
  <w:style w:type="character" w:styleId="789" w:customStyle="1">
    <w:name w:val="Heading 1 Char"/>
    <w:basedOn w:val="764"/>
    <w:uiPriority w:val="9"/>
    <w:qFormat/>
    <w:rPr>
      <w:rFonts w:ascii="Arial" w:hAnsi="Arial" w:eastAsia="Arial" w:cs="Arial"/>
      <w:sz w:val="40"/>
      <w:szCs w:val="40"/>
    </w:rPr>
  </w:style>
  <w:style w:type="character" w:styleId="790" w:customStyle="1">
    <w:name w:val="Heading 2 Char"/>
    <w:basedOn w:val="764"/>
    <w:uiPriority w:val="9"/>
    <w:qFormat/>
    <w:rPr>
      <w:rFonts w:ascii="Arial" w:hAnsi="Arial" w:eastAsia="Arial" w:cs="Arial"/>
      <w:sz w:val="34"/>
    </w:rPr>
  </w:style>
  <w:style w:type="character" w:styleId="791" w:customStyle="1">
    <w:name w:val="Heading 3 Char"/>
    <w:basedOn w:val="764"/>
    <w:uiPriority w:val="9"/>
    <w:qFormat/>
    <w:rPr>
      <w:rFonts w:ascii="Arial" w:hAnsi="Arial" w:eastAsia="Arial" w:cs="Arial"/>
      <w:sz w:val="30"/>
      <w:szCs w:val="30"/>
    </w:rPr>
  </w:style>
  <w:style w:type="character" w:styleId="792" w:customStyle="1">
    <w:name w:val="Heading 4 Char"/>
    <w:basedOn w:val="764"/>
    <w:uiPriority w:val="9"/>
    <w:qFormat/>
    <w:rPr>
      <w:rFonts w:ascii="Arial" w:hAnsi="Arial" w:eastAsia="Arial" w:cs="Arial"/>
      <w:b/>
      <w:bCs/>
      <w:sz w:val="26"/>
      <w:szCs w:val="26"/>
    </w:rPr>
  </w:style>
  <w:style w:type="character" w:styleId="793" w:customStyle="1">
    <w:name w:val="Heading 5 Char"/>
    <w:basedOn w:val="764"/>
    <w:uiPriority w:val="9"/>
    <w:qFormat/>
    <w:rPr>
      <w:rFonts w:ascii="Arial" w:hAnsi="Arial" w:eastAsia="Arial" w:cs="Arial"/>
      <w:b/>
      <w:bCs/>
      <w:sz w:val="24"/>
      <w:szCs w:val="24"/>
    </w:rPr>
  </w:style>
  <w:style w:type="character" w:styleId="794" w:customStyle="1">
    <w:name w:val="Heading 6 Char"/>
    <w:basedOn w:val="764"/>
    <w:uiPriority w:val="9"/>
    <w:qFormat/>
    <w:rPr>
      <w:rFonts w:ascii="Arial" w:hAnsi="Arial" w:eastAsia="Arial" w:cs="Arial"/>
      <w:b/>
      <w:bCs/>
      <w:sz w:val="22"/>
      <w:szCs w:val="22"/>
    </w:rPr>
  </w:style>
  <w:style w:type="character" w:styleId="795" w:customStyle="1">
    <w:name w:val="Heading 7 Char"/>
    <w:basedOn w:val="764"/>
    <w:uiPriority w:val="9"/>
    <w:qFormat/>
    <w:rPr>
      <w:rFonts w:ascii="Arial" w:hAnsi="Arial" w:eastAsia="Arial" w:cs="Arial"/>
      <w:b/>
      <w:bCs/>
      <w:i/>
      <w:iCs/>
      <w:sz w:val="22"/>
      <w:szCs w:val="22"/>
    </w:rPr>
  </w:style>
  <w:style w:type="character" w:styleId="796" w:customStyle="1">
    <w:name w:val="Heading 8 Char"/>
    <w:basedOn w:val="764"/>
    <w:uiPriority w:val="9"/>
    <w:qFormat/>
    <w:rPr>
      <w:rFonts w:ascii="Arial" w:hAnsi="Arial" w:eastAsia="Arial" w:cs="Arial"/>
      <w:i/>
      <w:iCs/>
      <w:sz w:val="22"/>
      <w:szCs w:val="22"/>
    </w:rPr>
  </w:style>
  <w:style w:type="character" w:styleId="797" w:customStyle="1">
    <w:name w:val="Heading 9 Char"/>
    <w:basedOn w:val="764"/>
    <w:uiPriority w:val="9"/>
    <w:qFormat/>
    <w:rPr>
      <w:rFonts w:ascii="Arial" w:hAnsi="Arial" w:eastAsia="Arial" w:cs="Arial"/>
      <w:i/>
      <w:iCs/>
      <w:sz w:val="21"/>
      <w:szCs w:val="21"/>
    </w:rPr>
  </w:style>
  <w:style w:type="character" w:styleId="798" w:customStyle="1">
    <w:name w:val="Title Char"/>
    <w:basedOn w:val="764"/>
    <w:uiPriority w:val="10"/>
    <w:qFormat/>
    <w:rPr>
      <w:sz w:val="48"/>
      <w:szCs w:val="48"/>
    </w:rPr>
  </w:style>
  <w:style w:type="character" w:styleId="799" w:customStyle="1">
    <w:name w:val="Subtitle Char"/>
    <w:basedOn w:val="764"/>
    <w:uiPriority w:val="11"/>
    <w:qFormat/>
    <w:rPr>
      <w:sz w:val="24"/>
      <w:szCs w:val="24"/>
    </w:rPr>
  </w:style>
  <w:style w:type="character" w:styleId="800" w:customStyle="1">
    <w:name w:val="Quote Char"/>
    <w:uiPriority w:val="29"/>
    <w:qFormat/>
    <w:rPr>
      <w:i/>
    </w:rPr>
  </w:style>
  <w:style w:type="character" w:styleId="801" w:customStyle="1">
    <w:name w:val="Intense Quote Char"/>
    <w:uiPriority w:val="30"/>
    <w:qFormat/>
    <w:rPr>
      <w:i/>
    </w:rPr>
  </w:style>
  <w:style w:type="character" w:styleId="802" w:customStyle="1">
    <w:name w:val="Header Char"/>
    <w:basedOn w:val="764"/>
    <w:uiPriority w:val="99"/>
    <w:qFormat/>
  </w:style>
  <w:style w:type="character" w:styleId="803" w:customStyle="1">
    <w:name w:val="Caption Char"/>
    <w:uiPriority w:val="99"/>
    <w:qFormat/>
  </w:style>
  <w:style w:type="table" w:styleId="804" w:customStyle="1">
    <w:name w:val="Plain Table 1"/>
    <w:basedOn w:val="7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2"/>
    <w:basedOn w:val="76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3"/>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Plain Table 4"/>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Plain Table 5"/>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Grid Table 1 Light"/>
    <w:basedOn w:val="76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2"/>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3"/>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w:basedOn w:val="76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5 Dark"/>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6 Colorful"/>
    <w:basedOn w:val="76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7 Colorful"/>
    <w:basedOn w:val="76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List Table 1 Light"/>
    <w:basedOn w:val="76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2"/>
    <w:basedOn w:val="76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3"/>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5 Dark"/>
    <w:basedOn w:val="76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6 Colorful"/>
    <w:basedOn w:val="76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List Table 7 Colorful"/>
    <w:basedOn w:val="76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3" w:customStyle="1">
    <w:name w:val="Footnote Text Char"/>
    <w:uiPriority w:val="99"/>
    <w:qFormat/>
    <w:rPr>
      <w:sz w:val="18"/>
    </w:rPr>
  </w:style>
  <w:style w:type="character" w:styleId="824" w:customStyle="1">
    <w:name w:val="Endnote Text Char"/>
    <w:uiPriority w:val="99"/>
    <w:qFormat/>
    <w:rPr>
      <w:sz w:val="20"/>
    </w:rPr>
  </w:style>
  <w:style w:type="paragraph" w:styleId="825" w:customStyle="1">
    <w:name w:val="TOC Heading"/>
    <w:uiPriority w:val="39"/>
    <w:unhideWhenUsed/>
    <w:qFormat/>
    <w:rPr>
      <w:rFonts w:hint="default" w:ascii="Times New Roman" w:hAnsi="Times New Roman" w:eastAsia="宋体" w:cs="Times New Roman"/>
    </w:rPr>
  </w:style>
  <w:style w:type="character" w:styleId="826" w:customStyle="1">
    <w:name w:val="标题 1 字符"/>
    <w:link w:val="755"/>
    <w:uiPriority w:val="9"/>
    <w:qFormat/>
    <w:rPr>
      <w:rFonts w:ascii="Arial" w:hAnsi="Arial" w:eastAsia="Arial" w:cs="Arial"/>
      <w:sz w:val="40"/>
      <w:szCs w:val="40"/>
    </w:rPr>
  </w:style>
  <w:style w:type="character" w:styleId="827" w:customStyle="1">
    <w:name w:val="标题 2 字符"/>
    <w:link w:val="756"/>
    <w:uiPriority w:val="9"/>
    <w:qFormat/>
    <w:rPr>
      <w:rFonts w:ascii="Arial" w:hAnsi="Arial" w:eastAsia="Arial" w:cs="Arial"/>
      <w:sz w:val="34"/>
    </w:rPr>
  </w:style>
  <w:style w:type="character" w:styleId="828" w:customStyle="1">
    <w:name w:val="标题 3 字符"/>
    <w:link w:val="757"/>
    <w:uiPriority w:val="9"/>
    <w:qFormat/>
    <w:rPr>
      <w:rFonts w:ascii="Arial" w:hAnsi="Arial" w:eastAsia="Arial" w:cs="Arial"/>
      <w:sz w:val="30"/>
      <w:szCs w:val="30"/>
    </w:rPr>
  </w:style>
  <w:style w:type="character" w:styleId="829" w:customStyle="1">
    <w:name w:val="标题 4 字符"/>
    <w:link w:val="758"/>
    <w:uiPriority w:val="9"/>
    <w:qFormat/>
    <w:rPr>
      <w:rFonts w:ascii="Arial" w:hAnsi="Arial" w:eastAsia="Arial" w:cs="Arial"/>
      <w:b/>
      <w:bCs/>
      <w:sz w:val="26"/>
      <w:szCs w:val="26"/>
    </w:rPr>
  </w:style>
  <w:style w:type="character" w:styleId="830" w:customStyle="1">
    <w:name w:val="标题 5 字符"/>
    <w:link w:val="759"/>
    <w:uiPriority w:val="9"/>
    <w:qFormat/>
    <w:rPr>
      <w:rFonts w:ascii="Arial" w:hAnsi="Arial" w:eastAsia="Arial" w:cs="Arial"/>
      <w:b/>
      <w:bCs/>
      <w:sz w:val="24"/>
      <w:szCs w:val="24"/>
    </w:rPr>
  </w:style>
  <w:style w:type="character" w:styleId="831" w:customStyle="1">
    <w:name w:val="标题 6 字符"/>
    <w:link w:val="760"/>
    <w:uiPriority w:val="9"/>
    <w:qFormat/>
    <w:rPr>
      <w:rFonts w:ascii="Arial" w:hAnsi="Arial" w:eastAsia="Arial" w:cs="Arial"/>
      <w:b/>
      <w:bCs/>
      <w:sz w:val="22"/>
      <w:szCs w:val="22"/>
    </w:rPr>
  </w:style>
  <w:style w:type="character" w:styleId="832" w:customStyle="1">
    <w:name w:val="标题 7 字符"/>
    <w:link w:val="761"/>
    <w:uiPriority w:val="9"/>
    <w:qFormat/>
    <w:rPr>
      <w:rFonts w:ascii="Arial" w:hAnsi="Arial" w:eastAsia="Arial" w:cs="Arial"/>
      <w:b/>
      <w:bCs/>
      <w:i/>
      <w:iCs/>
      <w:sz w:val="22"/>
      <w:szCs w:val="22"/>
    </w:rPr>
  </w:style>
  <w:style w:type="character" w:styleId="833" w:customStyle="1">
    <w:name w:val="标题 8 字符"/>
    <w:link w:val="762"/>
    <w:uiPriority w:val="9"/>
    <w:qFormat/>
    <w:rPr>
      <w:rFonts w:ascii="Arial" w:hAnsi="Arial" w:eastAsia="Arial" w:cs="Arial"/>
      <w:i/>
      <w:iCs/>
      <w:sz w:val="22"/>
      <w:szCs w:val="22"/>
    </w:rPr>
  </w:style>
  <w:style w:type="character" w:styleId="834" w:customStyle="1">
    <w:name w:val="标题 9 字符"/>
    <w:link w:val="763"/>
    <w:uiPriority w:val="9"/>
    <w:qFormat/>
    <w:rPr>
      <w:rFonts w:ascii="Arial" w:hAnsi="Arial" w:eastAsia="Arial" w:cs="Arial"/>
      <w:i/>
      <w:iCs/>
      <w:sz w:val="21"/>
      <w:szCs w:val="21"/>
    </w:rPr>
  </w:style>
  <w:style w:type="paragraph" w:styleId="835">
    <w:name w:val="List Paragraph"/>
    <w:basedOn w:val="754"/>
    <w:uiPriority w:val="34"/>
    <w:qFormat/>
    <w:pPr>
      <w:contextualSpacing/>
      <w:ind w:left="720"/>
    </w:pPr>
  </w:style>
  <w:style w:type="paragraph" w:styleId="836">
    <w:name w:val="No Spacing"/>
    <w:uiPriority w:val="1"/>
    <w:qFormat/>
    <w:rPr>
      <w:rFonts w:hint="default" w:ascii="Calibri" w:hAnsi="Calibri" w:eastAsia="宋体" w:cs="Calibri"/>
      <w:lang w:val="en-US" w:eastAsia="zh-CN" w:bidi="ar-SA"/>
    </w:rPr>
  </w:style>
  <w:style w:type="character" w:styleId="837" w:customStyle="1">
    <w:name w:val="标题 字符"/>
    <w:link w:val="784"/>
    <w:uiPriority w:val="10"/>
    <w:qFormat/>
    <w:rPr>
      <w:sz w:val="48"/>
      <w:szCs w:val="48"/>
    </w:rPr>
  </w:style>
  <w:style w:type="character" w:styleId="838" w:customStyle="1">
    <w:name w:val="副标题 字符"/>
    <w:link w:val="778"/>
    <w:uiPriority w:val="11"/>
    <w:qFormat/>
    <w:rPr>
      <w:sz w:val="24"/>
      <w:szCs w:val="24"/>
    </w:rPr>
  </w:style>
  <w:style w:type="paragraph" w:styleId="839">
    <w:name w:val="Quote"/>
    <w:basedOn w:val="754"/>
    <w:next w:val="754"/>
    <w:link w:val="840"/>
    <w:uiPriority w:val="29"/>
    <w:qFormat/>
    <w:pPr>
      <w:ind w:left="720" w:right="720"/>
    </w:pPr>
    <w:rPr>
      <w:i/>
    </w:rPr>
  </w:style>
  <w:style w:type="character" w:styleId="840" w:customStyle="1">
    <w:name w:val="引用 字符"/>
    <w:link w:val="839"/>
    <w:uiPriority w:val="29"/>
    <w:qFormat/>
    <w:rPr>
      <w:i/>
    </w:rPr>
  </w:style>
  <w:style w:type="paragraph" w:styleId="841">
    <w:name w:val="Intense Quote"/>
    <w:basedOn w:val="754"/>
    <w:next w:val="754"/>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明显引用 字符"/>
    <w:link w:val="841"/>
    <w:uiPriority w:val="30"/>
    <w:qFormat/>
    <w:rPr>
      <w:i/>
    </w:rPr>
  </w:style>
  <w:style w:type="character" w:styleId="843" w:customStyle="1">
    <w:name w:val="页眉 字符"/>
    <w:link w:val="775"/>
    <w:uiPriority w:val="99"/>
    <w:qFormat/>
  </w:style>
  <w:style w:type="character" w:styleId="844" w:customStyle="1">
    <w:name w:val="Footer Char"/>
    <w:uiPriority w:val="99"/>
    <w:qFormat/>
  </w:style>
  <w:style w:type="character" w:styleId="845" w:customStyle="1">
    <w:name w:val="页脚 字符"/>
    <w:link w:val="774"/>
    <w:uiPriority w:val="99"/>
    <w:qFormat/>
  </w:style>
  <w:style w:type="table" w:styleId="84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1" w:customStyle="1">
    <w:name w:val="脚注文本 字符"/>
    <w:link w:val="779"/>
    <w:uiPriority w:val="99"/>
    <w:qFormat/>
    <w:rPr>
      <w:sz w:val="18"/>
    </w:rPr>
  </w:style>
  <w:style w:type="character" w:styleId="972" w:customStyle="1">
    <w:name w:val="尾注文本 字符"/>
    <w:link w:val="773"/>
    <w:uiPriority w:val="99"/>
    <w:qFormat/>
    <w:rPr>
      <w:sz w:val="20"/>
    </w:rPr>
  </w:style>
  <w:style w:type="paragraph" w:styleId="973" w:customStyle="1">
    <w:name w:val="TOC 标题1"/>
    <w:uiPriority w:val="39"/>
    <w:unhideWhenUsed/>
    <w:qFormat/>
    <w:rPr>
      <w:rFonts w:hint="default" w:ascii="Calibri" w:hAnsi="Calibri" w:eastAsia="宋体" w:cs="Calibri"/>
      <w:lang w:val="en-US" w:eastAsia="zh-CN" w:bidi="ar-SA"/>
    </w:rPr>
  </w:style>
  <w:style w:type="paragraph" w:styleId="974" w:customStyle="1">
    <w:name w:val="标题 111"/>
    <w:basedOn w:val="754"/>
    <w:next w:val="754"/>
    <w:uiPriority w:val="9"/>
    <w:qFormat/>
    <w:pPr>
      <w:keepLines/>
      <w:keepNext/>
      <w:spacing w:before="340" w:after="330" w:line="578" w:lineRule="auto"/>
      <w:outlineLvl w:val="0"/>
    </w:pPr>
    <w:rPr>
      <w:b/>
      <w:bCs/>
      <w:sz w:val="44"/>
      <w:szCs w:val="44"/>
    </w:rPr>
  </w:style>
  <w:style w:type="paragraph" w:styleId="975" w:customStyle="1">
    <w:name w:val="标题 21"/>
    <w:basedOn w:val="754"/>
    <w:next w:val="97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6" w:customStyle="1">
    <w:name w:val="正文缩进1"/>
    <w:basedOn w:val="754"/>
    <w:uiPriority w:val="0"/>
    <w:unhideWhenUsed/>
    <w:qFormat/>
    <w:pPr>
      <w:ind w:firstLine="420"/>
    </w:pPr>
  </w:style>
  <w:style w:type="paragraph" w:styleId="977" w:customStyle="1">
    <w:name w:val="标题 31"/>
    <w:basedOn w:val="754"/>
    <w:next w:val="754"/>
    <w:uiPriority w:val="0"/>
    <w:qFormat/>
    <w:pPr>
      <w:keepLines/>
      <w:keepNext/>
      <w:spacing w:before="260" w:after="260" w:line="416" w:lineRule="auto"/>
      <w:outlineLvl w:val="2"/>
    </w:pPr>
    <w:rPr>
      <w:b/>
      <w:bCs/>
      <w:sz w:val="32"/>
      <w:szCs w:val="32"/>
    </w:rPr>
  </w:style>
  <w:style w:type="character" w:styleId="978" w:customStyle="1">
    <w:name w:val="默认段落字体1"/>
    <w:uiPriority w:val="1"/>
    <w:unhideWhenUsed/>
    <w:qFormat/>
  </w:style>
  <w:style w:type="table" w:styleId="979" w:customStyle="1">
    <w:name w:val="普通表格1"/>
    <w:uiPriority w:val="99"/>
    <w:unhideWhenUsed/>
    <w:qFormat/>
    <w:rPr>
      <w:rFonts w:cs="Times New Roman"/>
    </w:rPr>
    <w:tblPr>
      <w:tblCellMar>
        <w:left w:w="0" w:type="dxa"/>
        <w:top w:w="0" w:type="dxa"/>
        <w:right w:w="0" w:type="dxa"/>
        <w:bottom w:w="0" w:type="dxa"/>
      </w:tblCellMar>
    </w:tblPr>
  </w:style>
  <w:style w:type="character" w:styleId="980" w:customStyle="1">
    <w:name w:val="要点1"/>
    <w:uiPriority w:val="0"/>
    <w:qFormat/>
    <w:rPr>
      <w:b/>
    </w:rPr>
  </w:style>
  <w:style w:type="character" w:styleId="981" w:customStyle="1">
    <w:name w:val="超链接1"/>
    <w:uiPriority w:val="0"/>
    <w:qFormat/>
    <w:rPr>
      <w:color w:val="0000ff"/>
      <w:u w:val="single"/>
    </w:rPr>
  </w:style>
  <w:style w:type="character" w:styleId="982" w:customStyle="1">
    <w:name w:val="批注引用1"/>
    <w:uiPriority w:val="0"/>
    <w:qFormat/>
    <w:rPr>
      <w:sz w:val="21"/>
      <w:szCs w:val="21"/>
    </w:rPr>
  </w:style>
  <w:style w:type="character" w:styleId="983" w:customStyle="1">
    <w:name w:val="正文文本 字符"/>
    <w:link w:val="984"/>
    <w:uiPriority w:val="0"/>
    <w:qFormat/>
    <w:rPr>
      <w:rFonts w:ascii="Times New Roman" w:hAnsi="Times New Roman" w:cs="Times New Roman"/>
      <w:sz w:val="21"/>
      <w:szCs w:val="22"/>
    </w:rPr>
  </w:style>
  <w:style w:type="paragraph" w:styleId="984" w:customStyle="1">
    <w:name w:val="正文文本11"/>
    <w:basedOn w:val="754"/>
    <w:next w:val="985"/>
    <w:link w:val="983"/>
    <w:uiPriority w:val="0"/>
    <w:qFormat/>
    <w:rPr>
      <w:rFonts w:ascii="楷体_GB2312" w:hAnsi="Arial" w:eastAsia="楷体_GB2312"/>
      <w:sz w:val="28"/>
      <w:szCs w:val="28"/>
    </w:rPr>
  </w:style>
  <w:style w:type="paragraph" w:styleId="985" w:customStyle="1">
    <w:name w:val="正文文本 211"/>
    <w:basedOn w:val="754"/>
    <w:uiPriority w:val="0"/>
    <w:qFormat/>
    <w:pPr>
      <w:spacing w:after="120" w:line="480" w:lineRule="auto"/>
    </w:pPr>
  </w:style>
  <w:style w:type="character" w:styleId="986" w:customStyle="1">
    <w:name w:val="批注框文本 字符"/>
    <w:link w:val="987"/>
    <w:uiPriority w:val="0"/>
    <w:qFormat/>
    <w:rPr>
      <w:sz w:val="18"/>
      <w:szCs w:val="18"/>
    </w:rPr>
  </w:style>
  <w:style w:type="paragraph" w:styleId="987" w:customStyle="1">
    <w:name w:val="批注框文本1"/>
    <w:basedOn w:val="754"/>
    <w:link w:val="986"/>
    <w:uiPriority w:val="0"/>
    <w:qFormat/>
    <w:rPr>
      <w:sz w:val="18"/>
      <w:szCs w:val="18"/>
    </w:rPr>
  </w:style>
  <w:style w:type="paragraph" w:styleId="988" w:customStyle="1">
    <w:name w:val="目录 91"/>
    <w:basedOn w:val="754"/>
    <w:next w:val="754"/>
    <w:uiPriority w:val="99"/>
    <w:qFormat/>
    <w:pPr>
      <w:ind w:left="3360"/>
    </w:pPr>
  </w:style>
  <w:style w:type="paragraph" w:styleId="989" w:customStyle="1">
    <w:name w:val="页眉1"/>
    <w:basedOn w:val="75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90" w:customStyle="1">
    <w:name w:val="Table Paragraph"/>
    <w:basedOn w:val="754"/>
    <w:uiPriority w:val="1"/>
    <w:qFormat/>
    <w:rPr>
      <w:rFonts w:ascii="宋体" w:hAnsi="宋体" w:cs="宋体"/>
      <w:lang w:val="zh-CN" w:bidi="zh-CN"/>
    </w:rPr>
  </w:style>
  <w:style w:type="paragraph" w:styleId="991" w:customStyle="1">
    <w:name w:val="正文 New New New New New New New New New New New New New New"/>
    <w:next w:val="988"/>
    <w:uiPriority w:val="99"/>
    <w:qFormat/>
    <w:pPr>
      <w:ind w:firstLine="2048"/>
      <w:jc w:val="both"/>
      <w:widowControl w:val="off"/>
    </w:pPr>
    <w:rPr>
      <w:rFonts w:hint="default" w:ascii="Calibri" w:hAnsi="Calibri" w:eastAsia="宋体" w:cs="Calibri"/>
      <w:lang w:val="en-US" w:eastAsia="zh-CN" w:bidi="ar-SA"/>
    </w:rPr>
  </w:style>
  <w:style w:type="paragraph" w:styleId="992" w:customStyle="1">
    <w:name w:val="正文文本 21"/>
    <w:basedOn w:val="754"/>
    <w:next w:val="993"/>
    <w:uiPriority w:val="99"/>
    <w:qFormat/>
    <w:pPr>
      <w:ind w:left="720" w:firstLine="5680"/>
      <w:widowControl/>
    </w:pPr>
  </w:style>
  <w:style w:type="paragraph" w:styleId="993" w:customStyle="1">
    <w:name w:val="默认段落字体 Para Char Char Char Char Char Char Char"/>
    <w:basedOn w:val="754"/>
    <w:next w:val="994"/>
    <w:uiPriority w:val="99"/>
    <w:qFormat/>
    <w:pPr>
      <w:ind w:firstLine="200"/>
    </w:pPr>
    <w:rPr>
      <w:rFonts w:cs="Arial"/>
    </w:rPr>
  </w:style>
  <w:style w:type="paragraph" w:styleId="994" w:customStyle="1">
    <w:name w:val="样式 首行缩进:  2 字符"/>
    <w:basedOn w:val="754"/>
    <w:next w:val="995"/>
    <w:uiPriority w:val="99"/>
    <w:qFormat/>
    <w:pPr>
      <w:ind w:left="480" w:firstLine="5856"/>
      <w:spacing w:line="360" w:lineRule="auto"/>
    </w:pPr>
  </w:style>
  <w:style w:type="paragraph" w:styleId="995" w:customStyle="1">
    <w:name w:val="样式 段后: 0.25 行"/>
    <w:basedOn w:val="754"/>
    <w:next w:val="991"/>
    <w:uiPriority w:val="99"/>
    <w:qFormat/>
    <w:pPr>
      <w:ind w:left="420" w:firstLine="5796"/>
      <w:spacing w:line="300" w:lineRule="auto"/>
      <w:widowControl/>
    </w:pPr>
  </w:style>
  <w:style w:type="paragraph" w:styleId="996" w:customStyle="1">
    <w:name w:val="Char"/>
    <w:basedOn w:val="754"/>
    <w:uiPriority w:val="0"/>
    <w:qFormat/>
    <w:pPr>
      <w:ind w:firstLine="200"/>
      <w:tabs>
        <w:tab w:val="left" w:pos="360" w:leader="none"/>
      </w:tabs>
    </w:pPr>
    <w:rPr>
      <w:rFonts w:ascii="Times New Roman" w:hAnsi="Times New Roman"/>
      <w:sz w:val="28"/>
      <w:szCs w:val="30"/>
    </w:rPr>
  </w:style>
  <w:style w:type="paragraph" w:styleId="997" w:customStyle="1">
    <w:name w:val="Char Char Char Char Char Char Char Char Char"/>
    <w:basedOn w:val="754"/>
    <w:next w:val="992"/>
    <w:uiPriority w:val="99"/>
    <w:qFormat/>
    <w:pPr>
      <w:ind w:left="360" w:firstLine="5784"/>
    </w:pPr>
  </w:style>
  <w:style w:type="paragraph" w:styleId="998" w:customStyle="1">
    <w:name w:val="正文空2格  1."/>
    <w:basedOn w:val="754"/>
    <w:uiPriority w:val="0"/>
    <w:qFormat/>
    <w:pPr>
      <w:ind w:firstLine="480"/>
    </w:pPr>
    <w:rPr>
      <w:rFonts w:cs="宋体"/>
      <w:sz w:val="28"/>
      <w:szCs w:val="20"/>
    </w:rPr>
  </w:style>
  <w:style w:type="paragraph" w:styleId="999" w:customStyle="1">
    <w:name w:val="目录 11"/>
    <w:basedOn w:val="754"/>
    <w:next w:val="754"/>
    <w:uiPriority w:val="39"/>
    <w:unhideWhenUsed/>
    <w:qFormat/>
  </w:style>
  <w:style w:type="paragraph" w:styleId="1000" w:customStyle="1">
    <w:name w:val="页脚1"/>
    <w:basedOn w:val="754"/>
    <w:uiPriority w:val="99"/>
    <w:unhideWhenUsed/>
    <w:qFormat/>
    <w:pPr>
      <w:jc w:val="left"/>
      <w:tabs>
        <w:tab w:val="center" w:pos="4153" w:leader="none"/>
        <w:tab w:val="right" w:pos="8306" w:leader="none"/>
      </w:tabs>
    </w:pPr>
    <w:rPr>
      <w:sz w:val="18"/>
      <w:szCs w:val="18"/>
    </w:rPr>
  </w:style>
  <w:style w:type="paragraph" w:styleId="1001" w:customStyle="1">
    <w:name w:val="纯文本11"/>
    <w:basedOn w:val="754"/>
    <w:uiPriority w:val="99"/>
    <w:qFormat/>
    <w:rPr>
      <w:rFonts w:ascii="宋体" w:hAnsi="Courier New"/>
      <w:sz w:val="20"/>
      <w:szCs w:val="21"/>
    </w:rPr>
  </w:style>
  <w:style w:type="paragraph" w:styleId="1002" w:customStyle="1">
    <w:name w:val="普通(网站)1"/>
    <w:basedOn w:val="754"/>
    <w:uiPriority w:val="0"/>
    <w:qFormat/>
    <w:rPr>
      <w:rFonts w:ascii="Times New Roman" w:hAnsi="Times New Roman"/>
      <w:sz w:val="24"/>
    </w:rPr>
  </w:style>
  <w:style w:type="paragraph" w:styleId="1003" w:customStyle="1">
    <w:name w:val="正文文本缩进1"/>
    <w:basedOn w:val="754"/>
    <w:next w:val="1004"/>
    <w:uiPriority w:val="99"/>
    <w:unhideWhenUsed/>
    <w:qFormat/>
    <w:pPr>
      <w:ind w:firstLine="540"/>
      <w:spacing w:line="400" w:lineRule="exact"/>
    </w:pPr>
    <w:rPr>
      <w:sz w:val="24"/>
    </w:rPr>
  </w:style>
  <w:style w:type="paragraph" w:styleId="1004" w:customStyle="1">
    <w:name w:val="寄信人地址1"/>
    <w:basedOn w:val="754"/>
    <w:uiPriority w:val="99"/>
    <w:unhideWhenUsed/>
    <w:qFormat/>
    <w:rPr>
      <w:rFonts w:ascii="Arial" w:hAnsi="Arial"/>
    </w:rPr>
  </w:style>
  <w:style w:type="paragraph" w:styleId="1005" w:customStyle="1">
    <w:name w:val="批注文字1"/>
    <w:basedOn w:val="754"/>
    <w:uiPriority w:val="0"/>
    <w:qFormat/>
    <w:pPr>
      <w:jc w:val="left"/>
    </w:pPr>
  </w:style>
  <w:style w:type="paragraph" w:styleId="1006" w:customStyle="1">
    <w:name w:val="信息标题1"/>
    <w:basedOn w:val="754"/>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07" w:customStyle="1">
    <w:name w:val="正文首行缩进 21"/>
    <w:basedOn w:val="1003"/>
    <w:next w:val="754"/>
    <w:uiPriority w:val="0"/>
    <w:qFormat/>
    <w:pPr>
      <w:ind w:firstLine="420"/>
      <w:spacing w:before="100" w:beforeAutospacing="1"/>
    </w:pPr>
    <w:rPr>
      <w:rFonts w:ascii="Times New Roman" w:hAnsi="Times New Roman"/>
      <w:sz w:val="20"/>
      <w:szCs w:val="21"/>
    </w:rPr>
  </w:style>
  <w:style w:type="paragraph" w:styleId="1008" w:customStyle="1">
    <w:name w:val="一级条标题"/>
    <w:basedOn w:val="1009"/>
    <w:next w:val="101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9" w:customStyle="1">
    <w:name w:val="章标题"/>
    <w:next w:val="754"/>
    <w:uiPriority w:val="0"/>
    <w:qFormat/>
    <w:pPr>
      <w:ind w:left="810" w:hanging="810"/>
      <w:jc w:val="both"/>
      <w:spacing w:before="50" w:after="50"/>
      <w:tabs>
        <w:tab w:val="left" w:pos="810" w:leader="none"/>
        <w:tab w:val="left" w:pos="1265" w:leader="none"/>
      </w:tabs>
      <w:outlineLvl w:val="1"/>
    </w:pPr>
    <w:rPr>
      <w:rFonts w:hint="default" w:ascii="黑体" w:hAnsi="Calibri" w:eastAsia="黑体" w:cs="Calibri"/>
      <w:sz w:val="21"/>
      <w:szCs w:val="22"/>
      <w:lang w:val="en-US" w:eastAsia="zh-CN" w:bidi="ar-SA"/>
    </w:rPr>
  </w:style>
  <w:style w:type="paragraph" w:styleId="1010" w:customStyle="1">
    <w:name w:val="段"/>
    <w:basedOn w:val="1011"/>
    <w:next w:val="754"/>
    <w:uiPriority w:val="0"/>
    <w:qFormat/>
    <w:pPr>
      <w:ind w:firstLine="200"/>
      <w:widowControl/>
    </w:pPr>
    <w:rPr>
      <w:sz w:val="20"/>
    </w:rPr>
  </w:style>
  <w:style w:type="paragraph" w:styleId="1011" w:customStyle="1">
    <w:name w:val="正文1"/>
    <w:basedOn w:val="754"/>
    <w:next w:val="1012"/>
    <w:uiPriority w:val="0"/>
    <w:qFormat/>
    <w:pPr>
      <w:jc w:val="left"/>
      <w:spacing w:line="360" w:lineRule="atLeast"/>
    </w:pPr>
    <w:rPr>
      <w:rFonts w:ascii="宋体" w:cs="Times New Roman"/>
      <w:sz w:val="24"/>
      <w:szCs w:val="20"/>
    </w:rPr>
  </w:style>
  <w:style w:type="paragraph" w:styleId="1012" w:customStyle="1">
    <w:name w:val="正文文本1"/>
    <w:basedOn w:val="1011"/>
    <w:next w:val="1008"/>
    <w:uiPriority w:val="0"/>
    <w:qFormat/>
    <w:pPr>
      <w:spacing w:after="120"/>
    </w:pPr>
    <w:rPr>
      <w:lang w:eastAsia="en-US"/>
    </w:rPr>
  </w:style>
  <w:style w:type="paragraph" w:styleId="1013" w:customStyle="1">
    <w:name w:val="Default"/>
    <w:uiPriority w:val="0"/>
    <w:qFormat/>
    <w:pPr>
      <w:widowControl w:val="off"/>
    </w:pPr>
    <w:rPr>
      <w:rFonts w:hint="default" w:ascii="黑体" w:hAnsi="Calibri" w:eastAsia="黑体" w:cs="Calibri"/>
      <w:lang w:val="en-US" w:eastAsia="zh-CN" w:bidi="ar-SA"/>
    </w:rPr>
  </w:style>
  <w:style w:type="paragraph" w:styleId="1014" w:customStyle="1">
    <w:name w:val="列表段落1"/>
    <w:basedOn w:val="754"/>
    <w:uiPriority w:val="99"/>
    <w:qFormat/>
    <w:pPr>
      <w:ind w:firstLine="420"/>
    </w:pPr>
    <w:rPr>
      <w:rFonts w:ascii="Times New Roman" w:hAnsi="Times New Roman" w:cs="Times New Roman"/>
      <w:szCs w:val="21"/>
    </w:rPr>
  </w:style>
  <w:style w:type="paragraph" w:styleId="1015" w:customStyle="1">
    <w:name w:val="普通正文"/>
    <w:basedOn w:val="754"/>
    <w:uiPriority w:val="0"/>
    <w:qFormat/>
    <w:pPr>
      <w:ind w:firstLine="480"/>
      <w:jc w:val="left"/>
      <w:spacing w:before="120" w:after="120" w:line="360" w:lineRule="auto"/>
    </w:pPr>
    <w:rPr>
      <w:rFonts w:ascii="Arial" w:hAnsi="Arial"/>
      <w:sz w:val="24"/>
      <w:szCs w:val="24"/>
    </w:rPr>
  </w:style>
  <w:style w:type="paragraph" w:styleId="1016" w:customStyle="1">
    <w:name w:val="标题 11"/>
    <w:basedOn w:val="754"/>
    <w:next w:val="754"/>
    <w:uiPriority w:val="9"/>
    <w:qFormat/>
    <w:pPr>
      <w:keepLines/>
      <w:keepNext/>
      <w:spacing w:before="340" w:after="330" w:line="578" w:lineRule="auto"/>
      <w:outlineLvl w:val="0"/>
    </w:pPr>
    <w:rPr>
      <w:b/>
      <w:bCs/>
      <w:sz w:val="44"/>
      <w:szCs w:val="44"/>
    </w:rPr>
  </w:style>
  <w:style w:type="paragraph" w:styleId="1017" w:customStyle="1">
    <w:name w:val="纯文本1"/>
    <w:basedOn w:val="754"/>
    <w:uiPriority w:val="99"/>
    <w:qFormat/>
    <w:rPr>
      <w:rFonts w:ascii="宋体" w:hAnsi="Courier New"/>
      <w:sz w:val="20"/>
      <w:szCs w:val="21"/>
    </w:rPr>
  </w:style>
  <w:style w:type="table" w:styleId="1018" w:customStyle="1">
    <w:name w:val="网格型1"/>
    <w:basedOn w:val="979"/>
    <w:uiPriority w:val="59"/>
    <w:qFormat/>
    <w:tblPr/>
  </w:style>
  <w:style w:type="paragraph" w:styleId="1019" w:customStyle="1">
    <w:name w:val="Table Text"/>
    <w:basedOn w:val="754"/>
    <w:uiPriority w:val="0"/>
    <w:semiHidden/>
    <w:qFormat/>
    <w:rPr>
      <w:rFonts w:ascii="宋体" w:hAnsi="宋体" w:cs="宋体"/>
      <w:sz w:val="19"/>
      <w:szCs w:val="19"/>
      <w:lang w:eastAsia="en-US"/>
    </w:rPr>
  </w:style>
  <w:style w:type="table" w:styleId="1020" w:customStyle="1">
    <w:name w:val="Table Normal"/>
    <w:uiPriority w:val="0"/>
    <w:semiHidden/>
    <w:unhideWhenUsed/>
    <w:qFormat/>
    <w:tblPr>
      <w:tblCellMar>
        <w:left w:w="0" w:type="dxa"/>
        <w:top w:w="0" w:type="dxa"/>
        <w:right w:w="0" w:type="dxa"/>
        <w:bottom w:w="0" w:type="dxa"/>
      </w:tblCellMar>
    </w:tblPr>
  </w:style>
  <w:style w:type="character" w:styleId="1021" w:customStyle="1">
    <w:name w:val="font01"/>
    <w:basedOn w:val="764"/>
    <w:uiPriority w:val="0"/>
    <w:qFormat/>
    <w:rPr>
      <w:rFonts w:hint="eastAsia" w:ascii="宋体" w:hAnsi="宋体" w:eastAsia="宋体" w:cs="宋体"/>
      <w:color w:val="000000"/>
      <w:sz w:val="22"/>
      <w:szCs w:val="22"/>
      <w:u w:val="none"/>
    </w:rPr>
  </w:style>
  <w:style w:type="character" w:styleId="1022" w:customStyle="1">
    <w:name w:val="font11"/>
    <w:basedOn w:val="764"/>
    <w:uiPriority w:val="0"/>
    <w:qFormat/>
    <w:rPr>
      <w:rFonts w:hint="eastAsia" w:ascii="宋体" w:hAnsi="宋体" w:eastAsia="宋体" w:cs="宋体"/>
      <w:color w:val="0070c0"/>
      <w:sz w:val="22"/>
      <w:szCs w:val="22"/>
      <w:u w:val="none"/>
    </w:rPr>
  </w:style>
  <w:style w:type="character" w:styleId="1023" w:customStyle="1">
    <w:name w:val="font21"/>
    <w:basedOn w:val="764"/>
    <w:uiPriority w:val="0"/>
    <w:qFormat/>
    <w:rPr>
      <w:rFonts w:hint="eastAsia" w:ascii="宋体" w:hAnsi="宋体" w:eastAsia="宋体" w:cs="宋体"/>
      <w:color w:val="ff0000"/>
      <w:sz w:val="22"/>
      <w:szCs w:val="22"/>
      <w:u w:val="none"/>
    </w:rPr>
  </w:style>
  <w:style w:type="numbering" w:styleId="10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强伟</cp:lastModifiedBy>
  <cp:revision>13</cp:revision>
  <dcterms:created xsi:type="dcterms:W3CDTF">2025-09-25T09:02:00Z</dcterms:created>
  <dcterms:modified xsi:type="dcterms:W3CDTF">2026-01-22T10:25:16Z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0EEE0BAC8A2646A1A2F7A2C3D2492FD3_13</vt:lpwstr>
  </property>
  <property fmtid="{D5CDD505-2E9C-101B-9397-08002B2CF9AE}" pid="4" name="KSOTemplateDocerSaveRecord">
    <vt:lpwstr>eyJoZGlkIjoiOGM4OWU5ZDNkNzQ0NWQ5ZWIzZDJiZTMyZThhZjAwZmEiLCJ1c2VySWQiOiI2NTYxNzc5NDUifQ==</vt:lpwstr>
  </property>
</Properties>
</file>