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ascii="宋体" w:hAnsi="宋体"/>
          <w:color w:val="auto"/>
          <w:sz w:val="36"/>
          <w:highlight w:val="none"/>
        </w:rPr>
      </w:pPr>
      <w:r>
        <w:rPr>
          <w:rFonts w:ascii="宋体" w:hAnsi="宋体"/>
          <w:color w:val="auto"/>
          <w:sz w:val="36"/>
          <w:highlight w:val="none"/>
        </w:rPr>
      </w:r>
      <w:r/>
    </w:p>
    <w:p>
      <w:pPr>
        <w:jc w:val="right"/>
        <w:rPr>
          <w:rFonts w:ascii="宋体" w:hAnsi="宋体"/>
          <w:b/>
          <w:bCs/>
          <w:color w:val="auto"/>
          <w:sz w:val="36"/>
          <w:highlight w:val="none"/>
        </w:rPr>
      </w:pPr>
      <w:r>
        <w:rPr>
          <w:rFonts w:hint="eastAsia" w:ascii="宋体" w:hAnsi="宋体"/>
          <w:b/>
          <w:bCs/>
          <w:color w:val="auto"/>
          <w:sz w:val="36"/>
          <w:highlight w:val="none"/>
        </w:rPr>
        <w:t xml:space="preserve">编号：</w:t>
      </w:r>
      <w:r>
        <w:rPr>
          <w:rFonts w:hint="eastAsia" w:ascii="宋体" w:hAnsi="宋体"/>
          <w:b/>
          <w:bCs/>
          <w:color w:val="auto"/>
          <w:sz w:val="36"/>
          <w:highlight w:val="none"/>
          <w:lang w:eastAsia="zh-CN"/>
        </w:rPr>
        <w:t xml:space="preserve">JSZC-321000-HCZX-G2026-0010</w:t>
      </w:r>
      <w:r>
        <w:rPr>
          <w:rFonts w:hint="eastAsia" w:ascii="宋体" w:hAnsi="宋体"/>
          <w:b/>
          <w:bCs/>
          <w:color w:val="auto"/>
          <w:sz w:val="36"/>
          <w:highlight w:val="none"/>
        </w:rPr>
        <w:t xml:space="preserve">号</w:t>
      </w:r>
      <w:r/>
    </w:p>
    <w:p>
      <w:pPr>
        <w:jc w:val="center"/>
        <w:rPr>
          <w:rFonts w:ascii="宋体" w:hAnsi="宋体"/>
          <w:b/>
          <w:bCs/>
          <w:color w:val="auto"/>
          <w:sz w:val="36"/>
          <w:highlight w:val="none"/>
        </w:rPr>
      </w:pPr>
      <w:r>
        <w:rPr>
          <w:rFonts w:ascii="宋体" w:hAnsi="宋体"/>
          <w:b/>
          <w:bCs/>
          <w:color w:val="auto"/>
          <w:sz w:val="36"/>
          <w:highlight w:val="none"/>
        </w:rPr>
      </w:r>
      <w:r/>
    </w:p>
    <w:p>
      <w:pPr>
        <w:jc w:val="center"/>
        <w:spacing w:line="360" w:lineRule="auto"/>
        <w:rPr>
          <w:rFonts w:ascii="宋体" w:hAnsi="宋体" w:cs="Times New Roman"/>
          <w:b/>
          <w:bCs/>
          <w:color w:val="auto"/>
          <w:sz w:val="36"/>
          <w:highlight w:val="none"/>
        </w:rPr>
      </w:pPr>
      <w:r>
        <w:rPr>
          <w:rFonts w:ascii="宋体" w:hAnsi="宋体" w:cs="Times New Roman"/>
          <w:b/>
          <w:bCs/>
          <w:color w:val="auto"/>
          <w:sz w:val="36"/>
          <w:highlight w:val="none"/>
        </w:rPr>
      </w:r>
      <w:r/>
    </w:p>
    <w:p>
      <w:pPr>
        <w:jc w:val="center"/>
        <w:spacing w:line="360" w:lineRule="auto"/>
        <w:rPr>
          <w:rFonts w:ascii="宋体" w:hAnsi="宋体" w:cs="Times New Roman"/>
          <w:b/>
          <w:bCs/>
          <w:color w:val="auto"/>
          <w:sz w:val="36"/>
          <w:highlight w:val="none"/>
        </w:rPr>
      </w:pPr>
      <w:r>
        <w:rPr>
          <w:rFonts w:hint="eastAsia" w:ascii="宋体" w:hAnsi="宋体" w:cs="Times New Roman"/>
          <w:b/>
          <w:bCs/>
          <w:color w:val="auto"/>
          <w:sz w:val="36"/>
          <w:highlight w:val="none"/>
        </w:rPr>
        <w:t xml:space="preserve">扬州市市场监督管理局</w:t>
      </w:r>
      <w:r>
        <w:rPr>
          <w:rFonts w:hint="eastAsia" w:ascii="宋体" w:hAnsi="宋体" w:cs="Times New Roman"/>
          <w:b/>
          <w:bCs/>
          <w:color w:val="auto"/>
          <w:sz w:val="36"/>
          <w:highlight w:val="none"/>
          <w:lang w:eastAsia="zh-CN"/>
        </w:rPr>
        <w:t xml:space="preserve">2026年扬州市食品安</w:t>
      </w:r>
      <w:bookmarkStart w:id="66" w:name="_GoBack"/>
      <w:r/>
      <w:bookmarkEnd w:id="66"/>
      <w:r>
        <w:rPr>
          <w:rFonts w:hint="eastAsia" w:ascii="宋体" w:hAnsi="宋体" w:cs="Times New Roman"/>
          <w:b/>
          <w:bCs/>
          <w:color w:val="auto"/>
          <w:sz w:val="36"/>
          <w:highlight w:val="none"/>
          <w:lang w:eastAsia="zh-CN"/>
        </w:rPr>
        <w:t xml:space="preserve">全</w:t>
      </w:r>
      <w:r>
        <w:rPr>
          <w:rFonts w:hint="eastAsia" w:ascii="宋体" w:hAnsi="宋体" w:cs="Times New Roman"/>
          <w:b/>
          <w:bCs/>
          <w:color w:val="auto"/>
          <w:sz w:val="36"/>
          <w:highlight w:val="none"/>
        </w:rPr>
        <w:t xml:space="preserve">机动任务食品安全抽检采购项目公开招标文件</w:t>
      </w:r>
      <w:r/>
    </w:p>
    <w:p>
      <w:pPr>
        <w:pStyle w:val="813"/>
        <w:rPr>
          <w:color w:val="auto"/>
          <w:highlight w:val="none"/>
        </w:rPr>
      </w:pPr>
      <w:r>
        <w:rPr>
          <w:color w:val="auto"/>
          <w:highlight w:val="none"/>
        </w:rPr>
      </w:r>
      <w:r/>
    </w:p>
    <w:p>
      <w:pPr>
        <w:jc w:val="center"/>
        <w:rPr>
          <w:rFonts w:ascii="宋体" w:hAnsi="宋体"/>
          <w:color w:val="auto"/>
          <w:sz w:val="36"/>
          <w:highlight w:val="none"/>
        </w:rPr>
      </w:pPr>
      <w:r>
        <w:rPr>
          <w:rFonts w:hint="eastAsia" w:ascii="宋体" w:hAnsi="宋体" w:cs="宋体"/>
          <w:color w:val="auto"/>
          <w:sz w:val="36"/>
          <w:highlight w:val="none"/>
        </w:rPr>
        <mc:AlternateContent>
          <mc:Choice Requires="wpg">
            <w:drawing>
              <wp:inline xmlns:wp="http://schemas.openxmlformats.org/drawingml/2006/wordprocessingDrawing" distT="0" distB="0" distL="0" distR="0">
                <wp:extent cx="5571490" cy="3817620"/>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6"/>
                        <a:stretch/>
                      </pic:blipFill>
                      <pic:spPr bwMode="auto">
                        <a:xfrm>
                          <a:off x="0" y="0"/>
                          <a:ext cx="5571744" cy="381777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38.7pt;height:300.6pt;mso-wrap-distance-left:0.0pt;mso-wrap-distance-top:0.0pt;mso-wrap-distance-right:0.0pt;mso-wrap-distance-bottom:0.0pt;" stroked="f">
                <v:path textboxrect="0,0,0,0"/>
                <v:imagedata r:id="rId16" o:title=""/>
              </v:shape>
            </w:pict>
          </mc:Fallback>
        </mc:AlternateContent>
      </w:r>
      <w:r/>
    </w:p>
    <w:p>
      <w:pPr>
        <w:pStyle w:val="977"/>
        <w:rPr>
          <w:color w:val="auto"/>
          <w:highlight w:val="none"/>
        </w:rPr>
      </w:pPr>
      <w:r>
        <w:rPr>
          <w:color w:val="auto"/>
          <w:highlight w:val="none"/>
        </w:rPr>
      </w:r>
      <w:r/>
    </w:p>
    <w:p>
      <w:pPr>
        <w:jc w:val="center"/>
        <w:rPr>
          <w:rFonts w:ascii="宋体" w:hAnsi="宋体"/>
          <w:b/>
          <w:bCs/>
          <w:color w:val="auto"/>
          <w:sz w:val="36"/>
          <w:highlight w:val="none"/>
        </w:rPr>
      </w:pPr>
      <w:r>
        <w:rPr>
          <w:rFonts w:hint="eastAsia" w:ascii="宋体" w:hAnsi="宋体"/>
          <w:b/>
          <w:bCs/>
          <w:color w:val="auto"/>
          <w:sz w:val="36"/>
          <w:highlight w:val="none"/>
        </w:rPr>
        <w:t xml:space="preserve">江苏汇诚投资咨询管理有限公司</w:t>
      </w:r>
      <w:r/>
    </w:p>
    <w:p>
      <w:pPr>
        <w:jc w:val="center"/>
        <w:rPr>
          <w:rFonts w:ascii="宋体" w:hAnsi="宋体"/>
          <w:color w:val="auto"/>
          <w:sz w:val="36"/>
          <w:highlight w:val="none"/>
        </w:rPr>
      </w:pPr>
      <w:r>
        <w:rPr>
          <w:rFonts w:hint="eastAsia" w:ascii="宋体" w:hAnsi="宋体"/>
          <w:b/>
          <w:bCs/>
          <w:color w:val="auto"/>
          <w:sz w:val="36"/>
          <w:highlight w:val="none"/>
        </w:rPr>
        <w:t xml:space="preserve">202</w:t>
      </w:r>
      <w:r>
        <w:rPr>
          <w:rFonts w:hint="eastAsia" w:ascii="宋体" w:hAnsi="宋体"/>
          <w:b/>
          <w:bCs/>
          <w:color w:val="auto"/>
          <w:sz w:val="36"/>
          <w:highlight w:val="none"/>
          <w:lang w:val="en-US" w:eastAsia="zh-CN"/>
        </w:rPr>
        <w:t xml:space="preserve">6</w:t>
      </w:r>
      <w:r>
        <w:rPr>
          <w:rFonts w:hint="eastAsia" w:ascii="宋体" w:hAnsi="宋体"/>
          <w:b/>
          <w:bCs/>
          <w:color w:val="auto"/>
          <w:sz w:val="36"/>
          <w:highlight w:val="none"/>
        </w:rPr>
        <w:t xml:space="preserve">年</w:t>
      </w:r>
      <w:r>
        <w:rPr>
          <w:rFonts w:hint="eastAsia" w:ascii="宋体" w:hAnsi="宋体"/>
          <w:b/>
          <w:bCs/>
          <w:color w:val="auto"/>
          <w:sz w:val="36"/>
          <w:highlight w:val="none"/>
          <w:lang w:val="en-US" w:eastAsia="zh-CN"/>
        </w:rPr>
        <w:t xml:space="preserve">2</w:t>
      </w:r>
      <w:r>
        <w:rPr>
          <w:rFonts w:ascii="宋体" w:hAnsi="宋体"/>
          <w:b/>
          <w:bCs/>
          <w:color w:val="auto"/>
          <w:sz w:val="36"/>
          <w:highlight w:val="none"/>
        </w:rPr>
        <w:t xml:space="preserve">月</w:t>
      </w:r>
      <w:r>
        <w:rPr>
          <w:rFonts w:hint="eastAsia" w:ascii="宋体" w:hAnsi="宋体"/>
          <w:b/>
          <w:bCs/>
          <w:color w:val="auto"/>
          <w:sz w:val="36"/>
          <w:highlight w:val="none"/>
          <w:lang w:val="en-US" w:eastAsia="zh-CN"/>
        </w:rPr>
        <w:t xml:space="preserve">3</w:t>
      </w:r>
      <w:r>
        <w:rPr>
          <w:rFonts w:hint="eastAsia" w:ascii="宋体" w:hAnsi="宋体"/>
          <w:b/>
          <w:bCs/>
          <w:color w:val="auto"/>
          <w:sz w:val="36"/>
          <w:highlight w:val="none"/>
        </w:rPr>
        <w:t xml:space="preserve">日</w:t>
      </w:r>
      <w:r/>
    </w:p>
    <w:p>
      <w:pPr>
        <w:pStyle w:val="977"/>
        <w:rPr>
          <w:color w:val="auto"/>
          <w:highlight w:val="none"/>
        </w:rPr>
      </w:pPr>
      <w:r>
        <w:rPr>
          <w:color w:val="auto"/>
          <w:highlight w:val="none"/>
        </w:rPr>
      </w:r>
      <w:r/>
    </w:p>
    <w:p>
      <w:pPr>
        <w:rPr>
          <w:rFonts w:ascii="宋体" w:hAnsi="宋体"/>
          <w:color w:val="auto"/>
          <w:sz w:val="32"/>
          <w:highlight w:val="none"/>
        </w:rPr>
        <w:sectPr>
          <w:headerReference w:type="default" r:id="rId9"/>
          <w:footerReference w:type="default" r:id="rId12"/>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color w:val="auto"/>
          <w:sz w:val="32"/>
          <w:highlight w:val="none"/>
        </w:rPr>
      </w:r>
      <w:r/>
    </w:p>
    <w:p>
      <w:pPr>
        <w:rPr>
          <w:rFonts w:ascii="宋体" w:hAnsi="宋体"/>
          <w:color w:val="auto"/>
          <w:sz w:val="32"/>
          <w:highlight w:val="none"/>
        </w:rPr>
      </w:pPr>
      <w:r>
        <w:rPr>
          <w:rFonts w:ascii="宋体" w:hAnsi="宋体"/>
          <w:color w:val="auto"/>
          <w:sz w:val="32"/>
          <w:highlight w:val="none"/>
        </w:rPr>
      </w:r>
      <w:r/>
    </w:p>
    <w:p>
      <w:pPr>
        <w:jc w:val="center"/>
        <w:rPr>
          <w:rFonts w:ascii="宋体" w:hAnsi="宋体"/>
          <w:color w:val="auto"/>
          <w:sz w:val="32"/>
          <w:highlight w:val="none"/>
        </w:rPr>
      </w:pPr>
      <w:r>
        <w:rPr>
          <w:rFonts w:ascii="宋体" w:hAnsi="宋体"/>
          <w:color w:val="auto"/>
          <w:sz w:val="32"/>
          <w:highlight w:val="none"/>
        </w:rPr>
      </w:r>
      <w:r/>
    </w:p>
    <w:p>
      <w:pPr>
        <w:jc w:val="center"/>
        <w:spacing w:line="480" w:lineRule="auto"/>
        <w:rPr>
          <w:rFonts w:ascii="宋体" w:hAnsi="宋体"/>
          <w:color w:val="auto"/>
          <w:sz w:val="32"/>
          <w:highlight w:val="none"/>
        </w:rPr>
      </w:pPr>
      <w:r>
        <w:rPr>
          <w:rFonts w:hint="eastAsia" w:ascii="宋体" w:hAnsi="宋体"/>
          <w:color w:val="auto"/>
          <w:sz w:val="32"/>
          <w:highlight w:val="none"/>
        </w:rPr>
        <w:t xml:space="preserve">目 录</w:t>
      </w:r>
      <w:r/>
    </w:p>
    <w:p>
      <w:pPr>
        <w:pStyle w:val="999"/>
        <w:spacing w:line="480" w:lineRule="auto"/>
        <w:tabs>
          <w:tab w:val="right" w:pos="8296" w:leader="dot"/>
        </w:tabs>
        <w:rPr>
          <w:color w:val="auto"/>
          <w:highlight w:val="none"/>
        </w:rPr>
      </w:pPr>
      <w:r>
        <w:rPr>
          <w:rFonts w:hint="eastAsia" w:ascii="宋体" w:hAnsi="宋体"/>
          <w:color w:val="auto"/>
          <w:sz w:val="28"/>
          <w:highlight w:val="none"/>
        </w:rPr>
        <w:fldChar w:fldCharType="begin"/>
      </w:r>
      <w:r>
        <w:rPr>
          <w:rFonts w:hint="eastAsia" w:ascii="宋体" w:hAnsi="宋体"/>
          <w:color w:val="auto"/>
          <w:sz w:val="28"/>
          <w:highlight w:val="none"/>
        </w:rPr>
        <w:instrText xml:space="preserve"> TOC \o "1-3" \f </w:instrText>
      </w:r>
      <w:r>
        <w:rPr>
          <w:rFonts w:hint="eastAsia" w:ascii="宋体" w:hAnsi="宋体"/>
          <w:color w:val="auto"/>
          <w:sz w:val="28"/>
          <w:highlight w:val="none"/>
        </w:rPr>
        <w:fldChar w:fldCharType="separate"/>
      </w:r>
      <w:r>
        <w:rPr>
          <w:rFonts w:hint="eastAsia" w:ascii="宋体" w:hAnsi="宋体"/>
          <w:color w:val="auto"/>
          <w:highlight w:val="none"/>
        </w:rPr>
        <w:t xml:space="preserve">第一章 </w:t>
      </w:r>
      <w:r>
        <w:rPr>
          <w:rFonts w:hint="eastAsia" w:ascii="宋体" w:hAnsi="宋体"/>
          <w:color w:val="auto"/>
          <w:szCs w:val="36"/>
          <w:highlight w:val="none"/>
        </w:rPr>
        <w:t xml:space="preserve">采购公告</w:t>
      </w:r>
      <w:r>
        <w:rPr>
          <w:rFonts w:hint="eastAsia"/>
          <w:color w:val="auto"/>
          <w:highlight w:val="none"/>
        </w:rPr>
        <w:tab/>
      </w:r>
      <w:r>
        <w:rPr>
          <w:rFonts w:hint="eastAsia"/>
          <w:color w:val="auto"/>
          <w:highlight w:val="none"/>
        </w:rPr>
        <w:t xml:space="preserve">3</w:t>
      </w:r>
      <w:r/>
    </w:p>
    <w:p>
      <w:pPr>
        <w:pStyle w:val="999"/>
        <w:spacing w:line="480" w:lineRule="auto"/>
        <w:tabs>
          <w:tab w:val="right" w:pos="8296" w:leader="dot"/>
        </w:tabs>
        <w:rPr>
          <w:color w:val="auto"/>
          <w:highlight w:val="none"/>
        </w:rPr>
      </w:pPr>
      <w:r>
        <w:rPr>
          <w:rFonts w:hint="eastAsia" w:ascii="宋体" w:hAnsi="宋体"/>
          <w:color w:val="auto"/>
          <w:highlight w:val="none"/>
        </w:rPr>
        <w:t xml:space="preserve">第二章 投标人须知</w:t>
      </w:r>
      <w:r>
        <w:rPr>
          <w:rFonts w:hint="eastAsia"/>
          <w:color w:val="auto"/>
          <w:highlight w:val="none"/>
        </w:rPr>
        <w:tab/>
      </w:r>
      <w:r>
        <w:rPr>
          <w:rFonts w:hint="eastAsia"/>
          <w:color w:val="auto"/>
          <w:highlight w:val="none"/>
        </w:rPr>
        <w:t xml:space="preserve">7</w:t>
      </w:r>
      <w:r/>
    </w:p>
    <w:p>
      <w:pPr>
        <w:pStyle w:val="999"/>
        <w:spacing w:line="480" w:lineRule="auto"/>
        <w:tabs>
          <w:tab w:val="right" w:pos="8296" w:leader="dot"/>
        </w:tabs>
        <w:rPr>
          <w:color w:val="auto"/>
          <w:highlight w:val="none"/>
        </w:rPr>
      </w:pPr>
      <w:r>
        <w:rPr>
          <w:rFonts w:hint="eastAsia" w:ascii="宋体" w:hAnsi="宋体"/>
          <w:color w:val="auto"/>
          <w:highlight w:val="none"/>
        </w:rPr>
        <w:t xml:space="preserve">第三章 合同条款及格式</w:t>
      </w:r>
      <w:r>
        <w:rPr>
          <w:rFonts w:hint="eastAsia"/>
          <w:color w:val="auto"/>
          <w:highlight w:val="none"/>
        </w:rPr>
        <w:tab/>
      </w:r>
      <w:r>
        <w:rPr>
          <w:rFonts w:hint="eastAsia"/>
          <w:color w:val="auto"/>
          <w:highlight w:val="none"/>
        </w:rPr>
        <w:t xml:space="preserve">18</w:t>
      </w:r>
      <w:r/>
    </w:p>
    <w:p>
      <w:pPr>
        <w:pStyle w:val="999"/>
        <w:spacing w:line="480" w:lineRule="auto"/>
        <w:tabs>
          <w:tab w:val="right" w:pos="8296" w:leader="dot"/>
        </w:tabs>
        <w:rPr>
          <w:rFonts w:hint="eastAsia" w:eastAsia="宋体"/>
          <w:color w:val="auto"/>
          <w:highlight w:val="none"/>
          <w:lang w:eastAsia="zh-CN"/>
        </w:rPr>
      </w:pPr>
      <w:r>
        <w:rPr>
          <w:rFonts w:hint="eastAsia"/>
          <w:color w:val="auto"/>
          <w:highlight w:val="none"/>
        </w:rPr>
        <w:t xml:space="preserve">第四章 项目需求</w:t>
      </w:r>
      <w:r>
        <w:rPr>
          <w:rFonts w:hint="eastAsia"/>
          <w:color w:val="auto"/>
          <w:highlight w:val="none"/>
        </w:rPr>
        <w:tab/>
      </w:r>
      <w:r>
        <w:rPr>
          <w:rFonts w:hint="eastAsia"/>
          <w:color w:val="auto"/>
          <w:highlight w:val="none"/>
        </w:rPr>
        <w:t xml:space="preserve">2</w:t>
      </w:r>
      <w:r>
        <w:rPr>
          <w:rFonts w:hint="eastAsia"/>
          <w:color w:val="auto"/>
          <w:highlight w:val="none"/>
          <w:lang w:val="en-US" w:eastAsia="zh-CN"/>
        </w:rPr>
        <w:t xml:space="preserve">3</w:t>
      </w:r>
      <w:r/>
    </w:p>
    <w:p>
      <w:pPr>
        <w:pStyle w:val="999"/>
        <w:spacing w:line="480" w:lineRule="auto"/>
        <w:tabs>
          <w:tab w:val="right" w:pos="8296" w:leader="dot"/>
        </w:tabs>
        <w:rPr>
          <w:rFonts w:hint="default" w:eastAsia="宋体"/>
          <w:color w:val="auto"/>
          <w:highlight w:val="none"/>
          <w:lang w:val="en-US" w:eastAsia="zh-CN"/>
        </w:rPr>
      </w:pPr>
      <w:r>
        <w:rPr>
          <w:rFonts w:hint="eastAsia" w:ascii="宋体" w:hAnsi="宋体"/>
          <w:color w:val="auto"/>
          <w:highlight w:val="none"/>
        </w:rPr>
        <w:t xml:space="preserve">第五章 评标方法及评标标准</w:t>
      </w:r>
      <w:r>
        <w:rPr>
          <w:rFonts w:hint="eastAsia"/>
          <w:color w:val="auto"/>
          <w:highlight w:val="none"/>
        </w:rPr>
        <w:tab/>
      </w:r>
      <w:r>
        <w:rPr>
          <w:rFonts w:hint="eastAsia"/>
          <w:color w:val="auto"/>
          <w:highlight w:val="none"/>
          <w:lang w:val="en-US" w:eastAsia="zh-CN"/>
        </w:rPr>
        <w:t xml:space="preserve">66</w:t>
      </w:r>
      <w:r/>
    </w:p>
    <w:p>
      <w:pPr>
        <w:pStyle w:val="999"/>
        <w:spacing w:line="480" w:lineRule="auto"/>
        <w:tabs>
          <w:tab w:val="right" w:pos="8296" w:leader="dot"/>
        </w:tabs>
        <w:rPr>
          <w:rFonts w:hint="eastAsia" w:eastAsia="宋体"/>
          <w:color w:val="auto"/>
          <w:highlight w:val="none"/>
          <w:lang w:val="en-US" w:eastAsia="zh-CN"/>
        </w:rPr>
      </w:pPr>
      <w:r>
        <w:rPr>
          <w:rFonts w:hint="eastAsia" w:ascii="宋体" w:hAnsi="宋体"/>
          <w:color w:val="auto"/>
          <w:highlight w:val="none"/>
        </w:rPr>
        <w:t xml:space="preserve">第六章 投标文件格式</w:t>
      </w:r>
      <w:r>
        <w:rPr>
          <w:rFonts w:hint="eastAsia"/>
          <w:color w:val="auto"/>
          <w:highlight w:val="none"/>
        </w:rPr>
        <w:tab/>
      </w:r>
      <w:r>
        <w:rPr>
          <w:rFonts w:hint="eastAsia"/>
          <w:color w:val="auto"/>
          <w:highlight w:val="none"/>
        </w:rPr>
        <w:t xml:space="preserve">7</w:t>
      </w:r>
      <w:r>
        <w:rPr>
          <w:rFonts w:hint="eastAsia"/>
          <w:color w:val="auto"/>
          <w:highlight w:val="none"/>
          <w:lang w:val="en-US" w:eastAsia="zh-CN"/>
        </w:rPr>
        <w:t xml:space="preserve">2</w:t>
      </w:r>
      <w:r/>
    </w:p>
    <w:p>
      <w:pPr>
        <w:spacing w:line="480" w:lineRule="auto"/>
        <w:rPr>
          <w:rFonts w:ascii="宋体" w:hAnsi="宋体"/>
          <w:color w:val="auto"/>
          <w:sz w:val="28"/>
          <w:highlight w:val="none"/>
        </w:rPr>
      </w:pPr>
      <w:r>
        <w:rPr>
          <w:rFonts w:hint="eastAsia" w:ascii="宋体" w:hAnsi="宋体"/>
          <w:color w:val="auto"/>
          <w:sz w:val="28"/>
          <w:highlight w:val="none"/>
        </w:rPr>
        <w:fldChar w:fldCharType="end"/>
      </w:r>
      <w:r/>
    </w:p>
    <w:p>
      <w:pPr>
        <w:rPr>
          <w:color w:val="auto"/>
          <w:highlight w:val="none"/>
        </w:rPr>
      </w:pPr>
      <w:r>
        <w:rPr>
          <w:rFonts w:hint="eastAsia" w:ascii="宋体" w:hAnsi="宋体"/>
          <w:color w:val="auto"/>
          <w:sz w:val="28"/>
          <w:highlight w:val="none"/>
        </w:rPr>
        <w:br w:type="page" w:clear="all"/>
      </w:r>
      <w:r/>
    </w:p>
    <w:p>
      <w:pPr>
        <w:pStyle w:val="974"/>
        <w:numPr>
          <w:ilvl w:val="0"/>
          <w:numId w:val="2"/>
        </w:numPr>
        <w:jc w:val="center"/>
        <w:spacing w:line="240" w:lineRule="auto"/>
        <w:rPr>
          <w:rFonts w:ascii="宋体" w:hAnsi="宋体"/>
          <w:color w:val="auto"/>
          <w:szCs w:val="36"/>
          <w:highlight w:val="none"/>
        </w:rPr>
      </w:pPr>
      <w:r/>
      <w:bookmarkStart w:id="0" w:name="_Toc55204177"/>
      <w:r>
        <w:rPr>
          <w:rFonts w:hint="eastAsia" w:ascii="宋体" w:hAnsi="宋体"/>
          <w:color w:val="auto"/>
          <w:szCs w:val="36"/>
          <w:highlight w:val="none"/>
        </w:rPr>
        <w:t xml:space="preserve">扬州市市场监督管理局</w:t>
      </w:r>
      <w:r>
        <w:rPr>
          <w:rFonts w:hint="eastAsia" w:ascii="宋体" w:hAnsi="宋体"/>
          <w:color w:val="auto"/>
          <w:szCs w:val="36"/>
          <w:highlight w:val="none"/>
          <w:lang w:eastAsia="zh-CN"/>
        </w:rPr>
        <w:t xml:space="preserve">2026年扬州市食品安全</w:t>
      </w:r>
      <w:r>
        <w:rPr>
          <w:rFonts w:hint="eastAsia" w:ascii="宋体" w:hAnsi="宋体"/>
          <w:color w:val="auto"/>
          <w:szCs w:val="36"/>
          <w:highlight w:val="none"/>
        </w:rPr>
        <w:t xml:space="preserve">机动任务食品安全抽检采购项目采购公告</w:t>
      </w:r>
      <w:bookmarkEnd w:id="0"/>
      <w:r/>
      <w:r/>
    </w:p>
    <w:p>
      <w:pPr>
        <w:ind w:firstLine="420"/>
        <w:spacing w:line="430" w:lineRule="exact"/>
        <w:tabs>
          <w:tab w:val="left" w:pos="266" w:leader="none"/>
        </w:tabs>
        <w:rPr>
          <w:rFonts w:ascii="宋体" w:hAnsi="宋体" w:cs="宋体"/>
          <w:color w:val="auto"/>
          <w:szCs w:val="21"/>
          <w:highlight w:val="none"/>
        </w:rPr>
      </w:pPr>
      <w:r>
        <w:rPr>
          <w:rFonts w:hint="eastAsia" w:ascii="宋体" w:hAnsi="宋体" w:cs="宋体"/>
          <w:color w:val="auto"/>
          <w:szCs w:val="21"/>
          <w:highlight w:val="none"/>
        </w:rPr>
        <w:t xml:space="preserve">受扬州市市场监督管理局的委托，江苏汇诚投资咨询管理有限公司就扬州市市场监督管理局</w:t>
      </w:r>
      <w:r>
        <w:rPr>
          <w:rFonts w:hint="eastAsia" w:ascii="宋体" w:hAnsi="宋体" w:cs="宋体"/>
          <w:color w:val="auto"/>
          <w:szCs w:val="21"/>
          <w:highlight w:val="none"/>
          <w:lang w:eastAsia="zh-CN"/>
        </w:rPr>
        <w:t xml:space="preserve">2026年扬州市食品安全</w:t>
      </w:r>
      <w:r>
        <w:rPr>
          <w:rFonts w:hint="eastAsia" w:ascii="宋体" w:hAnsi="宋体" w:cs="宋体"/>
          <w:color w:val="auto"/>
          <w:szCs w:val="21"/>
          <w:highlight w:val="none"/>
        </w:rPr>
        <w:t xml:space="preserve">机动任务食品安全抽检采购项目进行公开招标采购，欢迎符合条件的供应商投标。</w:t>
      </w:r>
      <w:r/>
    </w:p>
    <w:p>
      <w:pPr>
        <w:ind w:firstLine="422"/>
        <w:spacing w:line="430" w:lineRule="exact"/>
        <w:rPr>
          <w:rFonts w:ascii="宋体" w:hAnsi="宋体" w:cs="宋体"/>
          <w:b/>
          <w:bCs/>
          <w:color w:val="auto"/>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b/>
          <w:bCs/>
          <w:color w:val="auto"/>
          <w:szCs w:val="21"/>
          <w:highlight w:val="none"/>
        </w:rPr>
        <w:t xml:space="preserve">项目概况</w:t>
      </w:r>
      <w:r/>
    </w:p>
    <w:p>
      <w:pPr>
        <w:ind w:firstLine="420"/>
        <w:spacing w:line="430" w:lineRule="exact"/>
        <w:rPr>
          <w:rFonts w:ascii="宋体" w:hAnsi="宋体" w:cs="宋体"/>
          <w:color w:val="auto"/>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Cs w:val="21"/>
          <w:highlight w:val="none"/>
          <w:u w:val="single"/>
        </w:rPr>
        <w:t xml:space="preserve">扬州市市场监督管理局</w:t>
      </w:r>
      <w:r>
        <w:rPr>
          <w:rFonts w:hint="eastAsia" w:ascii="宋体" w:hAnsi="宋体" w:cs="宋体"/>
          <w:color w:val="auto"/>
          <w:szCs w:val="21"/>
          <w:highlight w:val="none"/>
          <w:u w:val="single"/>
          <w:lang w:eastAsia="zh-CN"/>
        </w:rPr>
        <w:t xml:space="preserve">2026年扬州市食品安全</w:t>
      </w:r>
      <w:r>
        <w:rPr>
          <w:rFonts w:hint="eastAsia" w:ascii="宋体" w:hAnsi="宋体" w:cs="宋体"/>
          <w:color w:val="auto"/>
          <w:szCs w:val="21"/>
          <w:highlight w:val="none"/>
          <w:u w:val="single"/>
        </w:rPr>
        <w:t xml:space="preserve">机动任务食品安全抽检采购项目</w:t>
      </w:r>
      <w:r>
        <w:rPr>
          <w:rFonts w:hint="eastAsia" w:ascii="宋体" w:hAnsi="宋体" w:cs="宋体"/>
          <w:color w:val="auto"/>
          <w:szCs w:val="21"/>
          <w:highlight w:val="none"/>
        </w:rPr>
        <w:t xml:space="preserve">的潜在投标人可在</w:t>
      </w:r>
      <w:r>
        <w:rPr>
          <w:rFonts w:hint="eastAsia" w:ascii="宋体" w:hAnsi="宋体" w:cs="宋体"/>
          <w:color w:val="auto"/>
          <w:szCs w:val="21"/>
          <w:highlight w:val="none"/>
          <w:u w:val="single"/>
        </w:rPr>
        <w:t xml:space="preserve">“扬州市政府采购网”、“江苏省政府采购网”</w:t>
      </w:r>
      <w:r>
        <w:rPr>
          <w:rFonts w:hint="eastAsia" w:ascii="宋体" w:hAnsi="宋体" w:cs="宋体"/>
          <w:color w:val="auto"/>
          <w:szCs w:val="21"/>
          <w:highlight w:val="none"/>
        </w:rPr>
        <w:t xml:space="preserve">自行免费下载招标文件，并于</w:t>
      </w:r>
      <w:r>
        <w:rPr>
          <w:rFonts w:hint="eastAsia" w:ascii="宋体" w:hAnsi="宋体" w:cs="宋体"/>
          <w:bCs/>
          <w:color w:val="auto"/>
          <w:szCs w:val="21"/>
          <w:highlight w:val="none"/>
          <w:u w:val="single"/>
        </w:rPr>
        <w:t xml:space="preserve">202</w:t>
      </w:r>
      <w:r>
        <w:rPr>
          <w:rFonts w:hint="eastAsia" w:ascii="宋体" w:hAnsi="宋体" w:cs="宋体"/>
          <w:bCs/>
          <w:color w:val="auto"/>
          <w:szCs w:val="21"/>
          <w:highlight w:val="none"/>
          <w:u w:val="single"/>
          <w:lang w:val="en-US" w:eastAsia="zh-CN"/>
        </w:rPr>
        <w:t xml:space="preserve">6</w:t>
      </w:r>
      <w:r>
        <w:rPr>
          <w:rFonts w:hint="eastAsia" w:ascii="宋体" w:hAnsi="宋体" w:cs="宋体"/>
          <w:bCs/>
          <w:color w:val="auto"/>
          <w:szCs w:val="21"/>
          <w:highlight w:val="none"/>
          <w:u w:val="single"/>
        </w:rPr>
        <w:t xml:space="preserve">年</w:t>
      </w:r>
      <w:r>
        <w:rPr>
          <w:rFonts w:hint="eastAsia" w:ascii="宋体" w:hAnsi="宋体" w:cs="宋体"/>
          <w:bCs/>
          <w:color w:val="auto"/>
          <w:szCs w:val="21"/>
          <w:highlight w:val="none"/>
          <w:u w:val="single"/>
          <w:lang w:val="en-US" w:eastAsia="zh-CN"/>
        </w:rPr>
        <w:t xml:space="preserve">3</w:t>
      </w:r>
      <w:r>
        <w:rPr>
          <w:rFonts w:hint="eastAsia" w:ascii="宋体" w:hAnsi="宋体" w:cs="宋体"/>
          <w:bCs/>
          <w:color w:val="auto"/>
          <w:szCs w:val="21"/>
          <w:highlight w:val="none"/>
          <w:u w:val="single"/>
        </w:rPr>
        <w:t xml:space="preserve">月</w:t>
      </w:r>
      <w:r>
        <w:rPr>
          <w:rFonts w:hint="eastAsia" w:ascii="宋体" w:hAnsi="宋体" w:cs="宋体"/>
          <w:bCs/>
          <w:color w:val="auto"/>
          <w:szCs w:val="21"/>
          <w:highlight w:val="none"/>
          <w:u w:val="single"/>
          <w:lang w:val="en-US" w:eastAsia="zh-CN"/>
        </w:rPr>
        <w:t xml:space="preserve">6</w:t>
      </w:r>
      <w:r>
        <w:rPr>
          <w:rFonts w:hint="eastAsia" w:ascii="宋体" w:hAnsi="宋体" w:cs="宋体"/>
          <w:bCs/>
          <w:color w:val="auto"/>
          <w:szCs w:val="21"/>
          <w:highlight w:val="none"/>
          <w:u w:val="single"/>
        </w:rPr>
        <w:t xml:space="preserve">日上午 9:30</w:t>
      </w:r>
      <w:r>
        <w:rPr>
          <w:rFonts w:hint="eastAsia" w:ascii="宋体" w:hAnsi="宋体" w:cs="宋体"/>
          <w:bCs/>
          <w:color w:val="auto"/>
          <w:szCs w:val="21"/>
          <w:highlight w:val="none"/>
        </w:rPr>
        <w:t xml:space="preserve">（北京时间）前递交投标文件</w:t>
      </w:r>
      <w:r>
        <w:rPr>
          <w:rFonts w:hint="eastAsia" w:ascii="宋体" w:hAnsi="宋体" w:cs="宋体"/>
          <w:color w:val="auto"/>
          <w:szCs w:val="21"/>
          <w:highlight w:val="none"/>
        </w:rPr>
        <w:t xml:space="preserve">。</w:t>
      </w:r>
      <w:r/>
    </w:p>
    <w:p>
      <w:pPr>
        <w:ind w:firstLine="422"/>
        <w:spacing w:line="430" w:lineRule="exact"/>
        <w:tabs>
          <w:tab w:val="left" w:pos="266" w:leader="none"/>
        </w:tabs>
        <w:rPr>
          <w:rFonts w:ascii="宋体" w:hAnsi="宋体" w:cs="宋体"/>
          <w:b/>
          <w:bCs/>
          <w:color w:val="auto"/>
          <w:szCs w:val="21"/>
          <w:highlight w:val="none"/>
        </w:rPr>
      </w:pPr>
      <w:r/>
      <w:bookmarkStart w:id="1" w:name="_Toc35393621"/>
      <w:r/>
      <w:bookmarkStart w:id="2" w:name="_Toc38985263"/>
      <w:r/>
      <w:bookmarkStart w:id="3" w:name="_Toc28359079"/>
      <w:r/>
      <w:bookmarkStart w:id="4" w:name="_Toc28359002"/>
      <w:r/>
      <w:bookmarkStart w:id="5" w:name="_Toc35393790"/>
      <w:r/>
      <w:bookmarkStart w:id="6" w:name="_Hlk24379207"/>
      <w:r>
        <w:rPr>
          <w:rFonts w:hint="eastAsia" w:ascii="宋体" w:hAnsi="宋体" w:cs="宋体"/>
          <w:b/>
          <w:bCs/>
          <w:color w:val="auto"/>
          <w:szCs w:val="21"/>
          <w:highlight w:val="none"/>
        </w:rPr>
        <w:t xml:space="preserve">一、项目基本情况</w:t>
      </w:r>
      <w:bookmarkEnd w:id="1"/>
      <w:r/>
      <w:bookmarkEnd w:id="2"/>
      <w:r/>
      <w:bookmarkEnd w:id="3"/>
      <w:r/>
      <w:bookmarkEnd w:id="4"/>
      <w:r/>
      <w:bookmarkEnd w:id="5"/>
      <w:r/>
      <w:r/>
    </w:p>
    <w:p>
      <w:pPr>
        <w:ind w:firstLine="420"/>
        <w:spacing w:line="430" w:lineRule="exact"/>
        <w:rPr>
          <w:rFonts w:ascii="宋体" w:hAnsi="宋体" w:cs="宋体"/>
          <w:color w:val="auto"/>
          <w:szCs w:val="21"/>
          <w:highlight w:val="none"/>
        </w:rPr>
      </w:pPr>
      <w:r>
        <w:rPr>
          <w:rFonts w:hint="eastAsia" w:ascii="宋体" w:hAnsi="宋体" w:cs="宋体"/>
          <w:color w:val="auto"/>
          <w:szCs w:val="21"/>
          <w:highlight w:val="none"/>
        </w:rPr>
        <w:t xml:space="preserve">1.项目编号：</w:t>
      </w:r>
      <w:r>
        <w:rPr>
          <w:rFonts w:hint="eastAsia" w:ascii="宋体" w:hAnsi="宋体" w:cs="宋体"/>
          <w:color w:val="auto"/>
          <w:szCs w:val="21"/>
          <w:highlight w:val="none"/>
          <w:lang w:eastAsia="zh-CN"/>
        </w:rPr>
        <w:t xml:space="preserve">JSZC-321000-HCZX-G2026-0010</w:t>
      </w:r>
      <w:r>
        <w:rPr>
          <w:rFonts w:hint="eastAsia" w:ascii="宋体" w:hAnsi="宋体" w:cs="宋体"/>
          <w:color w:val="auto"/>
          <w:szCs w:val="21"/>
          <w:highlight w:val="none"/>
        </w:rPr>
        <w:t xml:space="preserve">号</w:t>
      </w:r>
      <w:r/>
    </w:p>
    <w:p>
      <w:pPr>
        <w:ind w:firstLine="420"/>
        <w:spacing w:line="430" w:lineRule="exact"/>
        <w:rPr>
          <w:rFonts w:ascii="宋体" w:hAnsi="宋体" w:cs="宋体"/>
          <w:color w:val="auto"/>
          <w:szCs w:val="21"/>
          <w:highlight w:val="none"/>
        </w:rPr>
      </w:pPr>
      <w:r>
        <w:rPr>
          <w:rFonts w:hint="eastAsia" w:ascii="宋体" w:hAnsi="宋体" w:cs="宋体"/>
          <w:color w:val="auto"/>
          <w:szCs w:val="21"/>
          <w:highlight w:val="none"/>
        </w:rPr>
        <w:t xml:space="preserve">2.项目名称：扬州市市场监督管理局</w:t>
      </w:r>
      <w:bookmarkEnd w:id="6"/>
      <w:r>
        <w:rPr>
          <w:rFonts w:hint="eastAsia" w:ascii="宋体" w:hAnsi="宋体" w:cs="宋体"/>
          <w:color w:val="auto"/>
          <w:szCs w:val="21"/>
          <w:highlight w:val="none"/>
          <w:lang w:eastAsia="zh-CN"/>
        </w:rPr>
        <w:t xml:space="preserve">2026年扬州市食品安全</w:t>
      </w:r>
      <w:r>
        <w:rPr>
          <w:rFonts w:hint="eastAsia" w:ascii="宋体" w:hAnsi="宋体" w:cs="宋体"/>
          <w:color w:val="auto"/>
          <w:szCs w:val="21"/>
          <w:highlight w:val="none"/>
        </w:rPr>
        <w:t xml:space="preserve">机动任务食品安全抽检采购项目</w:t>
      </w:r>
      <w:r/>
    </w:p>
    <w:p>
      <w:pPr>
        <w:ind w:firstLine="420"/>
        <w:spacing w:line="430" w:lineRule="exact"/>
        <w:rPr>
          <w:rFonts w:hint="default" w:ascii="宋体" w:hAnsi="宋体" w:eastAsia="宋体" w:cs="宋体"/>
          <w:color w:val="auto"/>
          <w:szCs w:val="21"/>
          <w:highlight w:val="none"/>
          <w:lang w:val="en-US" w:eastAsia="zh-CN"/>
        </w:rPr>
      </w:pPr>
      <w:r/>
      <w:bookmarkStart w:id="7" w:name="_Toc28359080"/>
      <w:r/>
      <w:bookmarkStart w:id="8" w:name="_Toc35393622"/>
      <w:r/>
      <w:bookmarkStart w:id="9" w:name="_Toc38985264"/>
      <w:r/>
      <w:bookmarkStart w:id="10" w:name="_Toc35393791"/>
      <w:r/>
      <w:bookmarkStart w:id="11" w:name="_Toc28359003"/>
      <w:r>
        <w:rPr>
          <w:rFonts w:hint="eastAsia" w:ascii="宋体" w:hAnsi="宋体" w:cs="宋体"/>
          <w:color w:val="auto"/>
          <w:szCs w:val="21"/>
          <w:highlight w:val="none"/>
        </w:rPr>
        <w:t xml:space="preserve">3.</w:t>
      </w:r>
      <w:r>
        <w:rPr>
          <w:rFonts w:hint="eastAsia" w:ascii="宋体" w:hAnsi="宋体" w:cs="宋体"/>
          <w:color w:val="auto"/>
          <w:szCs w:val="21"/>
          <w:highlight w:val="none"/>
        </w:rPr>
        <w:t xml:space="preserve">预算金额：1420批次，850元/批次，共计1207000元</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其中</w:t>
      </w:r>
      <w:r/>
    </w:p>
    <w:p>
      <w:pPr>
        <w:ind w:firstLine="420"/>
        <w:spacing w:line="430" w:lineRule="exact"/>
        <w:rPr>
          <w:rFonts w:ascii="宋体" w:hAnsi="宋体" w:cs="宋体"/>
          <w:color w:val="auto"/>
          <w:szCs w:val="21"/>
          <w:highlight w:val="none"/>
        </w:rPr>
        <w:outlineLvl w:val="0"/>
      </w:pPr>
      <w:r>
        <w:rPr>
          <w:rFonts w:hint="eastAsia" w:ascii="宋体" w:hAnsi="宋体" w:cs="宋体"/>
          <w:color w:val="auto"/>
          <w:szCs w:val="21"/>
          <w:highlight w:val="none"/>
        </w:rPr>
        <w:t xml:space="preserve">一包：710批次，金额603500元；</w:t>
      </w:r>
      <w:r/>
    </w:p>
    <w:p>
      <w:pPr>
        <w:ind w:firstLine="420"/>
        <w:spacing w:line="430" w:lineRule="exact"/>
        <w:rPr>
          <w:rFonts w:ascii="宋体" w:hAnsi="宋体" w:cs="宋体"/>
          <w:color w:val="auto"/>
          <w:szCs w:val="21"/>
          <w:highlight w:val="none"/>
        </w:rPr>
        <w:outlineLvl w:val="0"/>
      </w:pPr>
      <w:r>
        <w:rPr>
          <w:rFonts w:hint="eastAsia" w:ascii="宋体" w:hAnsi="宋体" w:cs="宋体"/>
          <w:color w:val="auto"/>
          <w:szCs w:val="21"/>
          <w:highlight w:val="none"/>
        </w:rPr>
        <w:t xml:space="preserve">二包：710批次，金额603500元；</w:t>
      </w:r>
      <w:r/>
    </w:p>
    <w:p>
      <w:pPr>
        <w:ind w:firstLine="420"/>
        <w:spacing w:line="430" w:lineRule="exact"/>
        <w:rPr>
          <w:rFonts w:ascii="宋体" w:hAnsi="宋体" w:cs="宋体"/>
          <w:color w:val="auto"/>
          <w:szCs w:val="21"/>
          <w:highlight w:val="none"/>
        </w:rPr>
        <w:outlineLvl w:val="0"/>
      </w:pPr>
      <w:r>
        <w:rPr>
          <w:rFonts w:hint="eastAsia" w:ascii="宋体" w:hAnsi="宋体" w:cs="宋体"/>
          <w:color w:val="auto"/>
          <w:szCs w:val="21"/>
          <w:highlight w:val="none"/>
        </w:rPr>
        <w:t xml:space="preserve">供应商根据食品检验机构资质和检验能力可选择投其中任何一包投标，也可多包兼投，但只能中标一个包，开标顺序为一包至二包。</w:t>
      </w:r>
      <w:r/>
    </w:p>
    <w:p>
      <w:pPr>
        <w:ind w:firstLine="420"/>
        <w:spacing w:line="430" w:lineRule="exact"/>
        <w:rPr>
          <w:rFonts w:hint="eastAsia" w:ascii="宋体" w:hAnsi="宋体" w:cs="宋体"/>
          <w:color w:val="auto"/>
          <w:szCs w:val="21"/>
          <w:highlight w:val="none"/>
        </w:rPr>
      </w:pPr>
      <w:r>
        <w:rPr>
          <w:rFonts w:hint="eastAsia" w:ascii="宋体" w:hAnsi="宋体" w:cs="宋体"/>
          <w:color w:val="auto"/>
          <w:szCs w:val="21"/>
          <w:highlight w:val="none"/>
        </w:rPr>
        <w:t xml:space="preserve">4.</w:t>
      </w:r>
      <w:r>
        <w:rPr>
          <w:rFonts w:hint="eastAsia" w:ascii="宋体" w:hAnsi="宋体" w:cs="宋体"/>
          <w:color w:val="auto"/>
          <w:szCs w:val="21"/>
          <w:highlight w:val="none"/>
        </w:rPr>
        <w:t xml:space="preserve">本项目设置采购最高投标限价，采购最高投标限价同预算，最后投标报价超过采购最高投标限价的为无效报价，按照无效响应处理。</w:t>
      </w:r>
      <w:r/>
    </w:p>
    <w:p>
      <w:pPr>
        <w:ind w:firstLine="420"/>
        <w:spacing w:line="430" w:lineRule="exact"/>
        <w:rPr>
          <w:rFonts w:ascii="宋体" w:hAnsi="宋体" w:cs="宋体"/>
          <w:color w:val="auto"/>
          <w:szCs w:val="21"/>
          <w:highlight w:val="none"/>
        </w:rPr>
      </w:pPr>
      <w:r>
        <w:rPr>
          <w:rFonts w:hint="eastAsia" w:ascii="宋体" w:hAnsi="宋体" w:cs="宋体"/>
          <w:color w:val="auto"/>
          <w:szCs w:val="21"/>
          <w:highlight w:val="none"/>
        </w:rPr>
        <w:t xml:space="preserve">5.采购需求：为确保</w:t>
      </w:r>
      <w:r>
        <w:rPr>
          <w:rFonts w:hint="eastAsia" w:ascii="宋体" w:hAnsi="宋体" w:cs="宋体"/>
          <w:color w:val="auto"/>
          <w:szCs w:val="21"/>
          <w:highlight w:val="none"/>
          <w:lang w:eastAsia="zh-CN"/>
        </w:rPr>
        <w:t xml:space="preserve">2026年扬州市食品安全</w:t>
      </w:r>
      <w:r>
        <w:rPr>
          <w:rFonts w:hint="eastAsia" w:ascii="宋体" w:hAnsi="宋体" w:cs="宋体"/>
          <w:color w:val="auto"/>
          <w:szCs w:val="21"/>
          <w:highlight w:val="none"/>
        </w:rPr>
        <w:t xml:space="preserve">机动任务抽检工作顺利开展,现向全国范围内检测机构</w:t>
      </w:r>
      <w:r>
        <w:rPr>
          <w:rFonts w:hint="eastAsia" w:ascii="宋体" w:hAnsi="宋体" w:cs="宋体"/>
          <w:color w:val="auto"/>
          <w:szCs w:val="21"/>
          <w:highlight w:val="none"/>
          <w:lang w:val="en-US" w:eastAsia="zh-CN"/>
        </w:rPr>
        <w:t xml:space="preserve">进行</w:t>
      </w:r>
      <w:r>
        <w:rPr>
          <w:rFonts w:hint="eastAsia" w:ascii="宋体" w:hAnsi="宋体" w:cs="宋体"/>
          <w:color w:val="auto"/>
          <w:szCs w:val="21"/>
          <w:highlight w:val="none"/>
        </w:rPr>
        <w:t xml:space="preserve">公开招标，</w:t>
      </w:r>
      <w:r>
        <w:rPr>
          <w:rFonts w:hint="eastAsia" w:ascii="宋体" w:hAnsi="宋体" w:cs="宋体"/>
          <w:color w:val="auto"/>
          <w:szCs w:val="21"/>
          <w:highlight w:val="none"/>
          <w:lang w:val="en-US" w:eastAsia="zh-CN"/>
        </w:rPr>
        <w:t xml:space="preserve">入围的</w:t>
      </w:r>
      <w:r>
        <w:rPr>
          <w:rFonts w:hint="eastAsia" w:ascii="宋体" w:hAnsi="宋体" w:cs="宋体"/>
          <w:color w:val="auto"/>
          <w:szCs w:val="21"/>
          <w:highlight w:val="none"/>
        </w:rPr>
        <w:t xml:space="preserve">检测机构有资格承担</w:t>
      </w:r>
      <w:r>
        <w:rPr>
          <w:rFonts w:hint="eastAsia" w:ascii="宋体" w:hAnsi="宋体" w:cs="宋体"/>
          <w:color w:val="auto"/>
          <w:szCs w:val="21"/>
          <w:highlight w:val="none"/>
          <w:lang w:eastAsia="zh-CN"/>
        </w:rPr>
        <w:t xml:space="preserve">2026年扬州市食品安全</w:t>
      </w:r>
      <w:r>
        <w:rPr>
          <w:rFonts w:hint="eastAsia" w:ascii="宋体" w:hAnsi="宋体" w:cs="宋体"/>
          <w:color w:val="auto"/>
          <w:szCs w:val="21"/>
          <w:highlight w:val="none"/>
        </w:rPr>
        <w:t xml:space="preserve">机动任务抽检工作。本次招标只招承担扬州市市场监督管理局</w:t>
      </w:r>
      <w:r>
        <w:rPr>
          <w:rFonts w:hint="eastAsia" w:ascii="宋体" w:hAnsi="宋体" w:cs="宋体"/>
          <w:color w:val="auto"/>
          <w:szCs w:val="21"/>
          <w:highlight w:val="none"/>
          <w:lang w:eastAsia="zh-CN"/>
        </w:rPr>
        <w:t xml:space="preserve">2026年扬州市食品安全</w:t>
      </w:r>
      <w:r>
        <w:rPr>
          <w:rFonts w:hint="eastAsia" w:ascii="宋体" w:hAnsi="宋体" w:cs="宋体"/>
          <w:color w:val="auto"/>
          <w:szCs w:val="21"/>
          <w:highlight w:val="none"/>
        </w:rPr>
        <w:t xml:space="preserve">机动任务抽检任务的承检机构。抽检</w:t>
      </w:r>
      <w:r>
        <w:rPr>
          <w:rFonts w:hint="eastAsia" w:ascii="宋体" w:hAnsi="宋体" w:cs="宋体"/>
          <w:color w:val="auto"/>
          <w:szCs w:val="21"/>
          <w:highlight w:val="none"/>
          <w:lang w:val="en-US" w:eastAsia="zh-CN"/>
        </w:rPr>
        <w:t xml:space="preserve">机构</w:t>
      </w:r>
      <w:r>
        <w:rPr>
          <w:rFonts w:hint="eastAsia" w:ascii="宋体" w:hAnsi="宋体" w:cs="宋体"/>
          <w:color w:val="auto"/>
          <w:szCs w:val="21"/>
          <w:highlight w:val="none"/>
        </w:rPr>
        <w:t xml:space="preserve">服务内容:负责扬州市全市食品安全机动环节监督抽检工作，抽检场所及具体品种根据实际工作需要制定，覆盖品类依据国家市场监督管理总局核准的粮食及粮食制品、蔬菜及其制品、水果及其制品、水产品及其制品、食用油(油脂)及其制品等</w:t>
      </w:r>
      <w:r>
        <w:rPr>
          <w:rFonts w:hint="eastAsia" w:ascii="宋体" w:hAnsi="宋体" w:cs="宋体"/>
          <w:color w:val="auto"/>
          <w:szCs w:val="21"/>
          <w:highlight w:val="none"/>
        </w:rPr>
        <w:t xml:space="preserve">3</w:t>
      </w: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rPr>
        <w:t xml:space="preserve">大类产品</w:t>
      </w:r>
      <w:r>
        <w:rPr>
          <w:rFonts w:hint="eastAsia" w:ascii="宋体" w:hAnsi="宋体" w:cs="宋体"/>
          <w:color w:val="auto"/>
          <w:szCs w:val="21"/>
          <w:highlight w:val="none"/>
        </w:rPr>
        <w:t xml:space="preserve">，具体内容详见招标文件第四章。</w:t>
      </w:r>
      <w:r/>
    </w:p>
    <w:p>
      <w:pPr>
        <w:ind w:firstLine="420"/>
        <w:spacing w:line="430" w:lineRule="exac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6.合同履行期限：</w:t>
      </w:r>
      <w:r>
        <w:rPr>
          <w:rFonts w:hint="eastAsia" w:ascii="宋体" w:hAnsi="宋体" w:cs="宋体"/>
          <w:color w:val="auto"/>
          <w:szCs w:val="21"/>
          <w:highlight w:val="none"/>
        </w:rPr>
        <w:t xml:space="preserve">202</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年12月20日前完成抽检服务。</w:t>
      </w:r>
      <w:r/>
    </w:p>
    <w:p>
      <w:pPr>
        <w:ind w:firstLine="420"/>
        <w:spacing w:line="430" w:lineRule="exact"/>
        <w:rPr>
          <w:rFonts w:ascii="宋体" w:hAnsi="宋体" w:cs="宋体"/>
          <w:color w:val="auto"/>
          <w:szCs w:val="21"/>
          <w:highlight w:val="none"/>
        </w:rPr>
      </w:pPr>
      <w:r>
        <w:rPr>
          <w:rFonts w:hint="eastAsia" w:ascii="宋体" w:hAnsi="宋体" w:cs="宋体"/>
          <w:color w:val="auto"/>
          <w:szCs w:val="21"/>
          <w:highlight w:val="none"/>
        </w:rPr>
        <w:t xml:space="preserve">7.本项目</w:t>
      </w:r>
      <w:r>
        <w:rPr>
          <w:rFonts w:hint="eastAsia" w:ascii="宋体" w:hAnsi="宋体" w:cs="宋体"/>
          <w:color w:val="auto"/>
          <w:szCs w:val="21"/>
          <w:highlight w:val="none"/>
          <w:u w:val="single"/>
        </w:rPr>
        <w:t xml:space="preserve">不接受</w:t>
      </w:r>
      <w:r>
        <w:rPr>
          <w:rFonts w:hint="eastAsia" w:ascii="宋体" w:hAnsi="宋体" w:cs="宋体"/>
          <w:color w:val="auto"/>
          <w:szCs w:val="21"/>
          <w:highlight w:val="none"/>
        </w:rPr>
        <w:t xml:space="preserve">联合体投标</w:t>
      </w:r>
      <w:r/>
    </w:p>
    <w:p>
      <w:pPr>
        <w:ind w:firstLine="420"/>
        <w:spacing w:line="430" w:lineRule="exact"/>
        <w:rPr>
          <w:rFonts w:ascii="宋体" w:hAnsi="宋体" w:cs="宋体"/>
          <w:color w:val="auto"/>
          <w:szCs w:val="21"/>
          <w:highlight w:val="none"/>
        </w:rPr>
      </w:pPr>
      <w:r>
        <w:rPr>
          <w:rFonts w:hint="eastAsia" w:ascii="宋体" w:hAnsi="宋体" w:cs="宋体"/>
          <w:color w:val="auto"/>
          <w:szCs w:val="21"/>
          <w:highlight w:val="none"/>
        </w:rPr>
        <w:t xml:space="preserve">8.本项目</w:t>
      </w:r>
      <w:r>
        <w:rPr>
          <w:rFonts w:hint="eastAsia" w:ascii="宋体" w:hAnsi="宋体" w:cs="宋体"/>
          <w:color w:val="auto"/>
          <w:szCs w:val="21"/>
          <w:highlight w:val="none"/>
          <w:u w:val="single"/>
        </w:rPr>
        <w:t xml:space="preserve">不接受</w:t>
      </w:r>
      <w:r>
        <w:rPr>
          <w:rFonts w:hint="eastAsia" w:ascii="宋体" w:hAnsi="宋体" w:cs="宋体"/>
          <w:color w:val="auto"/>
          <w:szCs w:val="21"/>
          <w:highlight w:val="none"/>
        </w:rPr>
        <w:t xml:space="preserve">进口产品投标</w:t>
      </w:r>
      <w:r/>
    </w:p>
    <w:p>
      <w:pPr>
        <w:ind w:firstLine="422"/>
        <w:spacing w:line="430" w:lineRule="exact"/>
        <w:tabs>
          <w:tab w:val="left" w:pos="266"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二、申请人的资格要求：</w:t>
      </w:r>
      <w:bookmarkEnd w:id="7"/>
      <w:r/>
      <w:bookmarkEnd w:id="8"/>
      <w:r/>
      <w:bookmarkEnd w:id="9"/>
      <w:r/>
      <w:bookmarkEnd w:id="10"/>
      <w:r/>
      <w:bookmarkEnd w:id="11"/>
      <w:r/>
      <w:r/>
    </w:p>
    <w:p>
      <w:pPr>
        <w:ind w:firstLine="420"/>
        <w:spacing w:line="430" w:lineRule="exact"/>
        <w:rPr>
          <w:rFonts w:ascii="宋体" w:hAnsi="宋体" w:cs="宋体"/>
          <w:color w:val="auto"/>
          <w:szCs w:val="21"/>
          <w:highlight w:val="none"/>
        </w:rPr>
      </w:pPr>
      <w:r/>
      <w:bookmarkStart w:id="12" w:name="_Toc35393792"/>
      <w:r/>
      <w:bookmarkStart w:id="13" w:name="_Toc28359004"/>
      <w:r/>
      <w:bookmarkStart w:id="14" w:name="_Toc35393623"/>
      <w:r/>
      <w:bookmarkStart w:id="15" w:name="_Toc38985265"/>
      <w:r/>
      <w:bookmarkStart w:id="16" w:name="_Toc28359081"/>
      <w:r>
        <w:rPr>
          <w:rFonts w:hint="eastAsia" w:ascii="宋体" w:hAnsi="宋体" w:cs="宋体"/>
          <w:color w:val="auto"/>
          <w:szCs w:val="21"/>
          <w:highlight w:val="none"/>
        </w:rPr>
        <w:t xml:space="preserve">1.满足《中华人民共和国政府采购法》第二十二条规定： </w:t>
      </w:r>
      <w:r/>
    </w:p>
    <w:p>
      <w:pPr>
        <w:ind w:firstLine="420"/>
        <w:spacing w:line="430" w:lineRule="exact"/>
        <w:rPr>
          <w:rFonts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1.1法人或者其他组织的营业执照等证明文件，自然人的身份证明</w:t>
      </w:r>
      <w:r/>
    </w:p>
    <w:p>
      <w:pPr>
        <w:ind w:firstLine="420"/>
        <w:spacing w:line="430" w:lineRule="exact"/>
        <w:rPr>
          <w:rFonts w:ascii="宋体" w:hAnsi="宋体" w:cs="宋体"/>
          <w:b/>
          <w:bCs/>
          <w:i/>
          <w:iCs/>
          <w:color w:val="auto"/>
          <w:szCs w:val="21"/>
          <w:highlight w:val="none"/>
          <w:u w:val="single"/>
        </w:rPr>
      </w:pPr>
      <w:r>
        <w:rPr>
          <w:rFonts w:hint="eastAsia" w:ascii="宋体" w:hAnsi="宋体" w:cs="宋体"/>
          <w:i/>
          <w:iCs/>
          <w:color w:val="auto"/>
          <w:szCs w:val="21"/>
          <w:highlight w:val="none"/>
          <w:u w:val="single"/>
        </w:rPr>
        <w:t xml:space="preserve">1.2 依法缴纳税收和社会保障资金的相关材料</w:t>
      </w:r>
      <w:r>
        <w:rPr>
          <w:rFonts w:hint="eastAsia" w:ascii="宋体" w:hAnsi="宋体" w:cs="宋体"/>
          <w:b/>
          <w:bCs/>
          <w:i/>
          <w:iCs/>
          <w:color w:val="auto"/>
          <w:szCs w:val="21"/>
          <w:highlight w:val="none"/>
          <w:u w:val="single"/>
        </w:rPr>
        <w:t xml:space="preserve">（提供提交投标文件截止时间前一年内至少一个月依法缴纳税收及缴纳社会保障资金的证明材料。供应商依法享受缓缴、免缴税收、社会保障资金的提供证明材料。）</w:t>
      </w:r>
      <w:r/>
    </w:p>
    <w:p>
      <w:pPr>
        <w:ind w:firstLine="420"/>
        <w:spacing w:line="430" w:lineRule="exact"/>
        <w:rPr>
          <w:rFonts w:ascii="宋体" w:hAnsi="宋体" w:cs="宋体"/>
          <w:b/>
          <w:bCs/>
          <w:i/>
          <w:iCs/>
          <w:color w:val="auto"/>
          <w:szCs w:val="21"/>
          <w:highlight w:val="none"/>
          <w:u w:val="single"/>
        </w:rPr>
      </w:pPr>
      <w:r>
        <w:rPr>
          <w:rFonts w:hint="eastAsia" w:ascii="宋体" w:hAnsi="宋体" w:cs="宋体"/>
          <w:i/>
          <w:iCs/>
          <w:color w:val="auto"/>
          <w:szCs w:val="21"/>
          <w:highlight w:val="none"/>
          <w:u w:val="single"/>
        </w:rPr>
        <w:t xml:space="preserve">1.3 上一年度的财务状况报告</w:t>
      </w:r>
      <w:r>
        <w:rPr>
          <w:rFonts w:hint="eastAsia" w:ascii="宋体" w:hAnsi="宋体" w:cs="宋体"/>
          <w:b/>
          <w:bCs/>
          <w:i/>
          <w:iCs/>
          <w:color w:val="auto"/>
          <w:szCs w:val="21"/>
          <w:highlight w:val="none"/>
          <w:u w:val="single"/>
        </w:rPr>
        <w:t xml:space="preserve">（成立不满一年不需提供）</w:t>
      </w:r>
      <w:r/>
    </w:p>
    <w:p>
      <w:pPr>
        <w:ind w:firstLine="420"/>
        <w:spacing w:line="430" w:lineRule="exact"/>
        <w:rPr>
          <w:rFonts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1.4 具备履行合同所必需的设备和专业技术能力的证明材料</w:t>
      </w:r>
      <w:r/>
    </w:p>
    <w:p>
      <w:pPr>
        <w:ind w:firstLine="420"/>
        <w:spacing w:line="430" w:lineRule="exact"/>
        <w:rPr>
          <w:rFonts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1.5 参加本次政府采购活动前3年内在经营活动中没有重大违法记录的书面声明</w:t>
      </w:r>
      <w:r/>
    </w:p>
    <w:p>
      <w:pPr>
        <w:ind w:firstLine="420"/>
        <w:spacing w:line="430" w:lineRule="exact"/>
        <w:rPr>
          <w:rFonts w:ascii="宋体" w:hAnsi="宋体" w:cs="宋体"/>
          <w:b/>
          <w:bCs/>
          <w:i/>
          <w:iCs/>
          <w:color w:val="auto"/>
          <w:szCs w:val="21"/>
          <w:highlight w:val="none"/>
          <w:u w:val="single"/>
        </w:rPr>
      </w:pPr>
      <w:r>
        <w:rPr>
          <w:rFonts w:hint="eastAsia" w:ascii="宋体" w:hAnsi="宋体" w:cs="宋体"/>
          <w:i/>
          <w:iCs/>
          <w:color w:val="auto"/>
          <w:szCs w:val="21"/>
          <w:highlight w:val="none"/>
          <w:u w:val="single"/>
        </w:rPr>
        <w:t xml:space="preserve">1.6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w:t>
      </w:r>
      <w:r>
        <w:rPr>
          <w:rFonts w:hint="eastAsia" w:ascii="宋体" w:hAnsi="宋体" w:cs="宋体"/>
          <w:b/>
          <w:bCs/>
          <w:i/>
          <w:iCs/>
          <w:color w:val="auto"/>
          <w:szCs w:val="21"/>
          <w:highlight w:val="none"/>
          <w:u w:val="single"/>
        </w:rPr>
        <w:t xml:space="preserve">（投标文件中无需提供证明材料）</w:t>
      </w:r>
      <w:r/>
    </w:p>
    <w:p>
      <w:pPr>
        <w:ind w:firstLine="420"/>
        <w:spacing w:line="430" w:lineRule="exact"/>
        <w:rPr>
          <w:rFonts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1.7供应商信用承诺函</w:t>
      </w:r>
      <w:r/>
    </w:p>
    <w:p>
      <w:pPr>
        <w:numPr>
          <w:ilvl w:val="0"/>
          <w:numId w:val="3"/>
        </w:numPr>
        <w:ind w:firstLine="420"/>
        <w:spacing w:line="430" w:lineRule="exact"/>
        <w:rPr>
          <w:rFonts w:ascii="宋体" w:hAnsi="宋体" w:cs="宋体"/>
          <w:b/>
          <w:i/>
          <w:color w:val="auto"/>
          <w:szCs w:val="21"/>
          <w:highlight w:val="none"/>
          <w:u w:val="single"/>
        </w:rPr>
      </w:pPr>
      <w:r>
        <w:rPr>
          <w:rFonts w:hint="eastAsia" w:ascii="宋体" w:hAnsi="宋体" w:cs="宋体"/>
          <w:color w:val="auto"/>
          <w:szCs w:val="21"/>
          <w:highlight w:val="none"/>
        </w:rPr>
        <w:t xml:space="preserve">落实政府采购政策需满足的资格要求：</w:t>
      </w:r>
      <w:r>
        <w:rPr>
          <w:rFonts w:hint="eastAsia" w:ascii="宋体" w:hAnsi="宋体" w:cs="宋体"/>
          <w:i/>
          <w:iCs/>
          <w:color w:val="auto"/>
          <w:szCs w:val="21"/>
          <w:highlight w:val="none"/>
          <w:u w:val="single"/>
        </w:rPr>
        <w:t xml:space="preserve">根据《政府采购促进中小企业发展管理办法》（财库〔2020〕46 号），本项目对小型和微型企业、残疾人福利单位、监狱和戒毒企业提供的货物、服务给予20%的价格扣除。</w:t>
      </w:r>
      <w:r/>
    </w:p>
    <w:p>
      <w:pPr>
        <w:numPr>
          <w:ilvl w:val="0"/>
          <w:numId w:val="3"/>
        </w:numPr>
        <w:ind w:firstLine="420"/>
        <w:spacing w:line="430" w:lineRule="exact"/>
        <w:rPr>
          <w:rFonts w:ascii="宋体" w:hAnsi="宋体" w:cs="宋体"/>
          <w:b/>
          <w:i/>
          <w:color w:val="auto"/>
          <w:szCs w:val="21"/>
          <w:highlight w:val="none"/>
          <w:u w:val="single"/>
        </w:rPr>
      </w:pPr>
      <w:r>
        <w:rPr>
          <w:rFonts w:hint="eastAsia" w:ascii="宋体" w:hAnsi="宋体" w:cs="宋体"/>
          <w:color w:val="auto"/>
          <w:szCs w:val="21"/>
          <w:highlight w:val="none"/>
        </w:rPr>
        <w:t xml:space="preserve">本项目的特定资格要求：</w:t>
      </w:r>
      <w:r>
        <w:rPr>
          <w:rFonts w:hint="eastAsia" w:ascii="宋体" w:hAnsi="宋体" w:cs="宋体"/>
          <w:i/>
          <w:color w:val="auto"/>
          <w:szCs w:val="21"/>
          <w:highlight w:val="none"/>
          <w:u w:val="single"/>
          <w:lang w:bidi="ar"/>
        </w:rPr>
        <w:t xml:space="preserve">供应商具有行政主管部门颁发的有效期内食品检验检测机构资质认定证书（提供有效证书原件扫描上传系统）</w:t>
      </w:r>
      <w:r>
        <w:rPr>
          <w:rFonts w:hint="eastAsia" w:ascii="宋体" w:hAnsi="宋体" w:cs="宋体"/>
          <w:bCs/>
          <w:i/>
          <w:color w:val="auto"/>
          <w:szCs w:val="21"/>
          <w:highlight w:val="none"/>
          <w:u w:val="single"/>
          <w:lang w:bidi="ar"/>
        </w:rPr>
        <w:t xml:space="preserve">。</w:t>
      </w:r>
      <w:r/>
    </w:p>
    <w:p>
      <w:pPr>
        <w:ind w:firstLine="422"/>
        <w:spacing w:line="430" w:lineRule="exact"/>
        <w:tabs>
          <w:tab w:val="left" w:pos="266"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三、获取招标文件</w:t>
      </w:r>
      <w:bookmarkEnd w:id="12"/>
      <w:r/>
      <w:bookmarkEnd w:id="13"/>
      <w:r/>
      <w:bookmarkEnd w:id="14"/>
      <w:r/>
      <w:bookmarkEnd w:id="15"/>
      <w:r/>
      <w:bookmarkEnd w:id="16"/>
      <w:r/>
      <w:r/>
    </w:p>
    <w:p>
      <w:pPr>
        <w:ind w:firstLine="420"/>
        <w:spacing w:line="430" w:lineRule="exact"/>
        <w:rPr>
          <w:rFonts w:ascii="宋体" w:hAnsi="宋体" w:cs="宋体"/>
          <w:color w:val="auto"/>
          <w:szCs w:val="21"/>
          <w:highlight w:val="none"/>
        </w:rPr>
      </w:pPr>
      <w:r/>
      <w:bookmarkStart w:id="17" w:name="_Toc28359082"/>
      <w:r/>
      <w:bookmarkStart w:id="18" w:name="_Toc35393624"/>
      <w:r/>
      <w:bookmarkStart w:id="19" w:name="_Toc28359005"/>
      <w:r/>
      <w:bookmarkStart w:id="20" w:name="_Toc35393793"/>
      <w:r/>
      <w:bookmarkStart w:id="21" w:name="_Toc38985266"/>
      <w:r>
        <w:rPr>
          <w:rFonts w:hint="eastAsia" w:ascii="宋体" w:hAnsi="宋体" w:cs="宋体"/>
          <w:color w:val="auto"/>
          <w:szCs w:val="21"/>
          <w:highlight w:val="none"/>
        </w:rPr>
        <w:t xml:space="preserve">1.时间：自招标文件公告发布之日起5个工作日。5个工作日后仍可下载招标文件，但不作为供应商权益受到损害的证明材料和依据。</w:t>
      </w:r>
      <w:r/>
    </w:p>
    <w:p>
      <w:pPr>
        <w:ind w:firstLine="422"/>
        <w:spacing w:line="43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2.获取方式：本项目采用网上注册登记方式。</w:t>
      </w:r>
      <w:bookmarkEnd w:id="17"/>
      <w:r/>
      <w:bookmarkEnd w:id="18"/>
      <w:r/>
      <w:bookmarkEnd w:id="19"/>
      <w:r/>
      <w:bookmarkEnd w:id="20"/>
      <w:r/>
      <w:bookmarkEnd w:id="21"/>
      <w:r/>
      <w:r/>
    </w:p>
    <w:p>
      <w:pPr>
        <w:ind w:firstLine="422"/>
        <w:spacing w:line="430" w:lineRule="exact"/>
        <w:rPr>
          <w:rFonts w:ascii="宋体" w:hAnsi="宋体" w:cs="宋体"/>
          <w:b/>
          <w:bCs/>
          <w:color w:val="auto"/>
          <w:szCs w:val="21"/>
          <w:highlight w:val="none"/>
        </w:rPr>
      </w:pPr>
      <w:r/>
      <w:bookmarkStart w:id="22" w:name="_Toc35393625"/>
      <w:r/>
      <w:bookmarkStart w:id="23" w:name="_Toc28359084"/>
      <w:r/>
      <w:bookmarkStart w:id="24" w:name="_Toc28359007"/>
      <w:r/>
      <w:bookmarkStart w:id="25" w:name="_Toc38985267"/>
      <w:r/>
      <w:bookmarkStart w:id="26" w:name="_Toc35393794"/>
      <w:r>
        <w:rPr>
          <w:rFonts w:hint="eastAsia" w:ascii="宋体" w:hAnsi="宋体" w:cs="宋体"/>
          <w:b/>
          <w:bCs/>
          <w:color w:val="auto"/>
          <w:szCs w:val="21"/>
          <w:highlight w:val="none"/>
        </w:rPr>
        <w:t xml:space="preserve">3.潜在供应商访问政府采购管理交易系统（苏采云）的网络地址和方法：</w:t>
      </w:r>
      <w:r/>
    </w:p>
    <w:p>
      <w:pPr>
        <w:ind w:firstLine="422"/>
        <w:spacing w:line="43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2"/>
        <w:spacing w:line="43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（2）“CA数字证书”的获取：供应商需办理CA锁，“苏采云”系统目前仅支持“苏采云”系统下的政务CA，省内各地区办理的“苏采云”系统下的政务CA全省通用。</w:t>
      </w:r>
      <w:r/>
    </w:p>
    <w:p>
      <w:pPr>
        <w:ind w:firstLine="422"/>
        <w:spacing w:line="43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（3）“CA数字证书”的办理材料以及供应商操作手册详见：</w:t>
      </w:r>
      <w:r/>
    </w:p>
    <w:p>
      <w:pPr>
        <w:ind w:firstLine="422"/>
        <w:spacing w:line="43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http://zfcg.yangzhou.gov.cn/zfcg/xzzx/202309/4d7de1f7865f4a2894fc22bc452f94d8.shtml。</w:t>
      </w:r>
      <w:r/>
    </w:p>
    <w:p>
      <w:pPr>
        <w:ind w:firstLine="422"/>
        <w:spacing w:line="43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（4）潜在供应商访问“苏采云”系统的网络地址和方法：“苏采云”系统的网址：http://jszfcg.jsczt.cn/。</w:t>
      </w:r>
      <w:r/>
    </w:p>
    <w:p>
      <w:pPr>
        <w:ind w:firstLine="422"/>
        <w:spacing w:line="43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（5）采购文件（后缀名为“.kedt”）、供应商操作手册及政府采购客户端工具也可通过“苏采云”系统--已报名项目--报名详情页面内相应链接进行下载。</w:t>
      </w:r>
      <w:r/>
    </w:p>
    <w:p>
      <w:pPr>
        <w:ind w:firstLine="422"/>
        <w:spacing w:line="43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（6）招标代理机构（采购代理机构）将数据电文形式的采购文件加载至“苏采云”系统，供潜在供应商下载或者查阅。     </w:t>
      </w:r>
      <w:r/>
    </w:p>
    <w:p>
      <w:pPr>
        <w:ind w:firstLine="422"/>
        <w:spacing w:line="43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（7）苏采云系统使用谷歌浏览器参与不见面开标。</w:t>
      </w:r>
      <w:r/>
    </w:p>
    <w:p>
      <w:pPr>
        <w:ind w:firstLine="422"/>
        <w:spacing w:line="43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四、提交投标文件截止时间、开标时间和地点</w:t>
      </w:r>
      <w:r/>
    </w:p>
    <w:p>
      <w:pPr>
        <w:ind w:firstLine="420"/>
        <w:spacing w:line="430" w:lineRule="exact"/>
        <w:rPr>
          <w:rFonts w:ascii="宋体" w:hAnsi="宋体" w:cs="宋体"/>
          <w:bCs/>
          <w:color w:val="auto"/>
          <w:szCs w:val="21"/>
          <w:highlight w:val="none"/>
          <w:u w:val="single"/>
        </w:rPr>
      </w:pPr>
      <w:r>
        <w:rPr>
          <w:rFonts w:hint="eastAsia" w:ascii="宋体" w:hAnsi="宋体" w:cs="宋体"/>
          <w:color w:val="auto"/>
          <w:szCs w:val="21"/>
          <w:highlight w:val="none"/>
        </w:rPr>
        <w:t xml:space="preserve">1.时间：</w:t>
      </w:r>
      <w:r>
        <w:rPr>
          <w:rFonts w:hint="eastAsia" w:ascii="宋体" w:hAnsi="宋体" w:cs="宋体"/>
          <w:bCs/>
          <w:color w:val="auto"/>
          <w:szCs w:val="21"/>
          <w:highlight w:val="none"/>
          <w:u w:val="single"/>
        </w:rPr>
        <w:t xml:space="preserve">202</w:t>
      </w:r>
      <w:r>
        <w:rPr>
          <w:rFonts w:hint="eastAsia" w:ascii="宋体" w:hAnsi="宋体" w:cs="宋体"/>
          <w:bCs/>
          <w:color w:val="auto"/>
          <w:szCs w:val="21"/>
          <w:highlight w:val="none"/>
          <w:u w:val="single"/>
          <w:lang w:val="en-US" w:eastAsia="zh-CN"/>
        </w:rPr>
        <w:t xml:space="preserve">6</w:t>
      </w:r>
      <w:r>
        <w:rPr>
          <w:rFonts w:hint="eastAsia" w:ascii="宋体" w:hAnsi="宋体" w:cs="宋体"/>
          <w:bCs/>
          <w:color w:val="auto"/>
          <w:szCs w:val="21"/>
          <w:highlight w:val="none"/>
          <w:u w:val="single"/>
        </w:rPr>
        <w:t xml:space="preserve">年</w:t>
      </w:r>
      <w:r>
        <w:rPr>
          <w:rFonts w:hint="eastAsia" w:ascii="宋体" w:hAnsi="宋体" w:cs="宋体"/>
          <w:bCs/>
          <w:color w:val="auto"/>
          <w:szCs w:val="21"/>
          <w:highlight w:val="none"/>
          <w:u w:val="single"/>
          <w:lang w:val="en-US" w:eastAsia="zh-CN"/>
        </w:rPr>
        <w:t xml:space="preserve">3</w:t>
      </w:r>
      <w:r>
        <w:rPr>
          <w:rFonts w:hint="eastAsia" w:ascii="宋体" w:hAnsi="宋体" w:cs="宋体"/>
          <w:bCs/>
          <w:color w:val="auto"/>
          <w:szCs w:val="21"/>
          <w:highlight w:val="none"/>
          <w:u w:val="single"/>
        </w:rPr>
        <w:t xml:space="preserve">月</w:t>
      </w:r>
      <w:r>
        <w:rPr>
          <w:rFonts w:hint="eastAsia" w:ascii="宋体" w:hAnsi="宋体" w:cs="宋体"/>
          <w:bCs/>
          <w:color w:val="auto"/>
          <w:szCs w:val="21"/>
          <w:highlight w:val="none"/>
          <w:u w:val="single"/>
          <w:lang w:val="en-US" w:eastAsia="zh-CN"/>
        </w:rPr>
        <w:t xml:space="preserve">6</w:t>
      </w:r>
      <w:r>
        <w:rPr>
          <w:rFonts w:hint="eastAsia" w:ascii="宋体" w:hAnsi="宋体" w:cs="宋体"/>
          <w:bCs/>
          <w:color w:val="auto"/>
          <w:szCs w:val="21"/>
          <w:highlight w:val="none"/>
          <w:u w:val="single"/>
        </w:rPr>
        <w:t xml:space="preserve">日 上午9:30</w:t>
      </w:r>
      <w:r>
        <w:rPr>
          <w:rFonts w:hint="eastAsia" w:ascii="宋体" w:hAnsi="宋体" w:cs="宋体"/>
          <w:bCs/>
          <w:color w:val="auto"/>
          <w:szCs w:val="21"/>
          <w:highlight w:val="none"/>
        </w:rPr>
        <w:t xml:space="preserve">（北京时间）</w:t>
      </w:r>
      <w:r/>
    </w:p>
    <w:p>
      <w:pPr>
        <w:ind w:firstLine="420"/>
        <w:spacing w:line="430" w:lineRule="exact"/>
        <w:rPr>
          <w:rFonts w:ascii="宋体" w:hAnsi="宋体" w:cs="宋体"/>
          <w:b/>
          <w:color w:val="auto"/>
          <w:szCs w:val="21"/>
          <w:highlight w:val="none"/>
        </w:rPr>
      </w:pPr>
      <w:r>
        <w:rPr>
          <w:rFonts w:hint="eastAsia" w:ascii="宋体" w:hAnsi="宋体" w:cs="宋体"/>
          <w:color w:val="auto"/>
          <w:szCs w:val="21"/>
          <w:highlight w:val="none"/>
        </w:rPr>
        <w:t xml:space="preserve">2.开标地点：</w:t>
      </w:r>
      <w:r>
        <w:rPr>
          <w:rFonts w:hint="eastAsia" w:ascii="宋体" w:hAnsi="宋体" w:cs="宋体"/>
          <w:b/>
          <w:color w:val="auto"/>
          <w:szCs w:val="21"/>
          <w:highlight w:val="none"/>
        </w:rPr>
        <w:t xml:space="preserve">“苏采云”系统（网址：</w:t>
      </w:r>
      <w:r>
        <w:rPr>
          <w:color w:val="auto"/>
          <w:highlight w:val="none"/>
        </w:rPr>
        <w:fldChar w:fldCharType="begin"/>
      </w:r>
      <w:r>
        <w:rPr>
          <w:color w:val="auto"/>
          <w:highlight w:val="none"/>
        </w:rPr>
        <w:instrText xml:space="preserve"> HYPERLINK "http://jszfcg.jsczt.cn/）“开标大厅”" </w:instrText>
      </w:r>
      <w:r>
        <w:rPr>
          <w:color w:val="auto"/>
          <w:highlight w:val="none"/>
        </w:rPr>
        <w:fldChar w:fldCharType="separate"/>
      </w:r>
      <w:r>
        <w:rPr>
          <w:rFonts w:hint="eastAsia" w:ascii="宋体" w:hAnsi="宋体" w:cs="宋体"/>
          <w:b/>
          <w:color w:val="auto"/>
          <w:szCs w:val="21"/>
          <w:highlight w:val="none"/>
        </w:rPr>
        <w:t xml:space="preserve">http://jszfcg.jsczt.cn/）“开标大厅”</w:t>
      </w:r>
      <w:r>
        <w:rPr>
          <w:rFonts w:hint="eastAsia" w:ascii="宋体" w:hAnsi="宋体" w:cs="宋体"/>
          <w:b/>
          <w:color w:val="auto"/>
          <w:szCs w:val="21"/>
          <w:highlight w:val="none"/>
        </w:rPr>
        <w:fldChar w:fldCharType="end"/>
      </w:r>
      <w:bookmarkEnd w:id="22"/>
      <w:r/>
      <w:bookmarkEnd w:id="23"/>
      <w:r/>
      <w:bookmarkEnd w:id="24"/>
      <w:r/>
      <w:bookmarkEnd w:id="25"/>
      <w:r/>
      <w:bookmarkEnd w:id="26"/>
      <w:r/>
      <w:r/>
    </w:p>
    <w:p>
      <w:pPr>
        <w:ind w:firstLine="422"/>
        <w:spacing w:line="430" w:lineRule="exact"/>
        <w:tabs>
          <w:tab w:val="left" w:pos="266" w:leader="none"/>
        </w:tabs>
        <w:rPr>
          <w:rFonts w:ascii="宋体" w:hAnsi="宋体" w:cs="宋体"/>
          <w:b/>
          <w:bCs/>
          <w:color w:val="auto"/>
          <w:szCs w:val="21"/>
          <w:highlight w:val="none"/>
        </w:rPr>
      </w:pPr>
      <w:r/>
      <w:bookmarkStart w:id="27" w:name="_Toc38985268"/>
      <w:r/>
      <w:bookmarkStart w:id="28" w:name="_Toc35393795"/>
      <w:r/>
      <w:bookmarkStart w:id="29" w:name="_Toc35393626"/>
      <w:r>
        <w:rPr>
          <w:rFonts w:hint="eastAsia" w:ascii="宋体" w:hAnsi="宋体" w:cs="宋体"/>
          <w:b/>
          <w:bCs/>
          <w:color w:val="auto"/>
          <w:szCs w:val="21"/>
          <w:highlight w:val="none"/>
        </w:rPr>
        <w:t xml:space="preserve">五、公告期限</w:t>
      </w:r>
      <w:r/>
    </w:p>
    <w:p>
      <w:pPr>
        <w:ind w:firstLine="420"/>
        <w:spacing w:line="430" w:lineRule="exact"/>
        <w:rPr>
          <w:rFonts w:ascii="宋体" w:hAnsi="宋体" w:cs="宋体"/>
          <w:color w:val="auto"/>
          <w:szCs w:val="21"/>
          <w:highlight w:val="none"/>
        </w:rPr>
      </w:pPr>
      <w:r>
        <w:rPr>
          <w:rFonts w:hint="eastAsia" w:ascii="宋体" w:hAnsi="宋体" w:cs="宋体"/>
          <w:color w:val="auto"/>
          <w:szCs w:val="21"/>
          <w:highlight w:val="none"/>
        </w:rPr>
        <w:t xml:space="preserve">招标公告及招标文件公告期限为自本公告发布之日起5个工作日。</w:t>
      </w:r>
      <w:r/>
    </w:p>
    <w:p>
      <w:pPr>
        <w:ind w:firstLine="422"/>
        <w:spacing w:line="430" w:lineRule="exact"/>
        <w:tabs>
          <w:tab w:val="left" w:pos="266"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六、其他补充事宜</w:t>
      </w:r>
      <w:bookmarkEnd w:id="27"/>
      <w:r/>
      <w:bookmarkEnd w:id="28"/>
      <w:r/>
      <w:bookmarkEnd w:id="29"/>
      <w:r/>
      <w:r/>
    </w:p>
    <w:p>
      <w:pPr>
        <w:ind w:firstLine="422"/>
        <w:spacing w:line="430" w:lineRule="exact"/>
        <w:rPr>
          <w:rFonts w:ascii="宋体" w:hAnsi="宋体" w:cs="宋体"/>
          <w:b/>
          <w:bCs/>
          <w:color w:val="auto"/>
          <w:szCs w:val="21"/>
          <w:highlight w:val="none"/>
        </w:rPr>
      </w:pPr>
      <w:r/>
      <w:bookmarkStart w:id="30" w:name="_Toc35393796"/>
      <w:r/>
      <w:bookmarkStart w:id="31" w:name="_Toc28359085"/>
      <w:r/>
      <w:bookmarkStart w:id="32" w:name="_Toc35393627"/>
      <w:r/>
      <w:bookmarkStart w:id="33" w:name="_Toc28359008"/>
      <w:r/>
      <w:bookmarkStart w:id="34" w:name="_Toc38985269"/>
      <w:r>
        <w:rPr>
          <w:rFonts w:hint="eastAsia" w:ascii="宋体" w:hAnsi="宋体" w:cs="宋体"/>
          <w:b/>
          <w:bCs/>
          <w:color w:val="auto"/>
          <w:szCs w:val="21"/>
          <w:highlight w:val="none"/>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firstLine="422"/>
        <w:spacing w:line="430" w:lineRule="exact"/>
        <w:shd w:val="clear" w:color="auto" w:fill="ffffff"/>
        <w:rPr>
          <w:rFonts w:ascii="宋体" w:hAnsi="宋体" w:cs="宋体"/>
          <w:b/>
          <w:bCs/>
          <w:color w:val="auto"/>
          <w:szCs w:val="21"/>
          <w:highlight w:val="none"/>
        </w:rPr>
      </w:pPr>
      <w:r>
        <w:rPr>
          <w:rFonts w:hint="eastAsia" w:ascii="宋体" w:hAnsi="宋体" w:cs="宋体"/>
          <w:b/>
          <w:bCs/>
          <w:color w:val="auto"/>
          <w:szCs w:val="21"/>
          <w:highlight w:val="none"/>
        </w:rPr>
        <w:t xml:space="preserve">2.供应商如确定参加投标，可自行下载采购文件及有关资料，按照《操作手册》进行注册，领取CA和办理电子签章，并按《操作手册》要求制作、上传电子投标文件，技术支持联系方式：13813140731。</w:t>
      </w:r>
      <w:r/>
    </w:p>
    <w:p>
      <w:pPr>
        <w:ind w:firstLine="420"/>
        <w:spacing w:line="430" w:lineRule="exact"/>
        <w:rPr>
          <w:rFonts w:ascii="宋体" w:hAnsi="宋体" w:cs="宋体"/>
          <w:bCs/>
          <w:color w:val="auto"/>
          <w:szCs w:val="21"/>
          <w:highlight w:val="none"/>
        </w:rPr>
      </w:pPr>
      <w:r>
        <w:rPr>
          <w:rFonts w:hint="eastAsia" w:ascii="宋体" w:hAnsi="宋体" w:cs="宋体"/>
          <w:bCs/>
          <w:color w:val="auto"/>
          <w:szCs w:val="21"/>
          <w:highlight w:val="none"/>
        </w:rPr>
        <w:t xml:space="preserve">3.</w:t>
      </w:r>
      <w:r>
        <w:rPr>
          <w:rFonts w:hint="eastAsia" w:ascii="宋体" w:hAnsi="宋体" w:cs="宋体"/>
          <w:color w:val="auto"/>
          <w:szCs w:val="21"/>
          <w:highlight w:val="none"/>
        </w:rPr>
        <w:t xml:space="preserve">本次招标不收取投标保证金。</w:t>
      </w:r>
      <w:r/>
    </w:p>
    <w:p>
      <w:pPr>
        <w:ind w:firstLine="420"/>
        <w:spacing w:line="430" w:lineRule="exact"/>
        <w:rPr>
          <w:rFonts w:ascii="宋体" w:hAnsi="宋体" w:cs="宋体"/>
          <w:bCs/>
          <w:color w:val="auto"/>
          <w:szCs w:val="21"/>
          <w:highlight w:val="none"/>
        </w:rPr>
      </w:pPr>
      <w:r>
        <w:rPr>
          <w:rFonts w:hint="eastAsia" w:ascii="宋体" w:hAnsi="宋体" w:cs="宋体"/>
          <w:color w:val="auto"/>
          <w:szCs w:val="21"/>
          <w:highlight w:val="none"/>
        </w:rPr>
        <w:t xml:space="preserve">4.</w:t>
      </w:r>
      <w:r>
        <w:rPr>
          <w:rFonts w:hint="eastAsia" w:ascii="宋体" w:hAnsi="宋体" w:cs="宋体"/>
          <w:bCs/>
          <w:color w:val="auto"/>
          <w:szCs w:val="21"/>
          <w:highlight w:val="none"/>
        </w:rPr>
        <w:t xml:space="preserve">有关本次招标的事项若存在变动或修改，敬请及时关注“扬州市政府采购网”、“江苏省政府采购网”发布的信息。</w:t>
      </w:r>
      <w:r/>
    </w:p>
    <w:p>
      <w:pPr>
        <w:ind w:firstLine="422"/>
        <w:spacing w:line="430" w:lineRule="exact"/>
        <w:rPr>
          <w:rFonts w:ascii="宋体" w:hAnsi="宋体" w:cs="宋体"/>
          <w:b/>
          <w:i/>
          <w:iCs/>
          <w:color w:val="auto"/>
          <w:szCs w:val="21"/>
          <w:highlight w:val="none"/>
          <w:u w:val="single"/>
        </w:rPr>
      </w:pPr>
      <w:r>
        <w:rPr>
          <w:rFonts w:hint="eastAsia" w:ascii="宋体" w:hAnsi="宋体" w:cs="宋体"/>
          <w:b/>
          <w:i/>
          <w:iCs/>
          <w:color w:val="auto"/>
          <w:szCs w:val="21"/>
          <w:highlight w:val="none"/>
          <w:u w:val="single"/>
        </w:rPr>
        <w:t xml:space="preserve">5.本项目招标文件中所有斜体下划线部分为实质性条款，如不满足，则为无效投标。</w:t>
      </w:r>
      <w:r/>
    </w:p>
    <w:p>
      <w:pPr>
        <w:ind w:firstLine="420"/>
        <w:spacing w:line="430" w:lineRule="exact"/>
        <w:tabs>
          <w:tab w:val="left" w:pos="266" w:leader="none"/>
        </w:tabs>
        <w:rPr>
          <w:rFonts w:ascii="宋体" w:hAnsi="宋体" w:cs="宋体"/>
          <w:bCs/>
          <w:color w:val="auto"/>
          <w:szCs w:val="21"/>
          <w:highlight w:val="none"/>
        </w:rPr>
      </w:pPr>
      <w:r>
        <w:rPr>
          <w:rFonts w:hint="eastAsia" w:ascii="宋体" w:hAnsi="宋体" w:cs="宋体"/>
          <w:bCs/>
          <w:color w:val="auto"/>
          <w:szCs w:val="21"/>
          <w:highlight w:val="none"/>
        </w:rPr>
        <w:t xml:space="preserve">6.如在开标时间发生系统崩溃等不可预见的情况，造成开评标活动无法正常进行的，将延迟开评标，具体开评标时间另行通知。</w:t>
      </w:r>
      <w:r/>
    </w:p>
    <w:p>
      <w:pPr>
        <w:ind w:firstLine="420"/>
        <w:spacing w:line="430" w:lineRule="exact"/>
        <w:tabs>
          <w:tab w:val="left" w:pos="266" w:leader="none"/>
        </w:tabs>
        <w:rPr>
          <w:rFonts w:ascii="宋体" w:hAnsi="宋体" w:cs="宋体"/>
          <w:bCs/>
          <w:color w:val="auto"/>
          <w:szCs w:val="21"/>
          <w:highlight w:val="none"/>
        </w:rPr>
      </w:pPr>
      <w:r>
        <w:rPr>
          <w:rFonts w:hint="eastAsia" w:ascii="宋体" w:hAnsi="宋体" w:cs="宋体"/>
          <w:bCs/>
          <w:color w:val="auto"/>
          <w:szCs w:val="21"/>
          <w:highlight w:val="none"/>
        </w:rPr>
        <w:t xml:space="preserve">7.为落实好政府采购履约资金扶持政策，中标/成交供应商可凭政府采购合同办理融资贷款，详见江苏政府采购网“政采贷”专栏。</w:t>
      </w:r>
      <w:r/>
    </w:p>
    <w:p>
      <w:pPr>
        <w:ind w:firstLine="420"/>
        <w:spacing w:line="430" w:lineRule="exact"/>
        <w:tabs>
          <w:tab w:val="left" w:pos="266" w:leader="none"/>
        </w:tabs>
        <w:rPr>
          <w:rFonts w:ascii="宋体" w:hAnsi="宋体" w:cs="宋体"/>
          <w:bCs/>
          <w:color w:val="auto"/>
          <w:szCs w:val="21"/>
          <w:highlight w:val="none"/>
        </w:rPr>
      </w:pPr>
      <w:r>
        <w:rPr>
          <w:rFonts w:hint="eastAsia" w:ascii="宋体" w:hAnsi="宋体" w:cs="宋体"/>
          <w:bCs/>
          <w:color w:val="auto"/>
          <w:szCs w:val="21"/>
          <w:highlight w:val="none"/>
        </w:rPr>
        <w:t xml:space="preserve">8.本项目严格执行政府采购关于支持节能产品</w:t>
      </w:r>
      <w:r>
        <w:rPr>
          <w:rFonts w:hint="eastAsia" w:ascii="宋体" w:hAnsi="宋体" w:cs="宋体"/>
          <w:bCs/>
          <w:color w:val="auto"/>
          <w:szCs w:val="21"/>
          <w:highlight w:val="none"/>
        </w:rPr>
        <w:t xml:space="preserve">、环境标志产品的相关政策规定。如本次采购的产品属于财政部、国家发展改革委、生态环境部、市场监管总局等部门发布的节能产品、环境标志产品品目清单政府强制采购范围的，供应商必须在投标/响应文件中提供所投产品的相关证书(由国家确定的认证机构出具的、处于有效期之内的节能产品、环境标志产品认证证书)。节能产品、环境标志产品品目清单以递交投标文件截止时已正式公布的最近一期信息为准，如属政府强制采购产品未提供认证证书的或认证证书提供不全的将视为未实质性响应采购要求。其他条件相同情况下，本项目优先采购节能产品、环境标志产品。</w:t>
      </w:r>
      <w:r/>
    </w:p>
    <w:p>
      <w:pPr>
        <w:ind w:firstLine="420"/>
        <w:spacing w:line="430" w:lineRule="exact"/>
        <w:tabs>
          <w:tab w:val="left" w:pos="266" w:leader="none"/>
        </w:tabs>
        <w:rPr>
          <w:rFonts w:ascii="宋体" w:hAnsi="宋体" w:cs="宋体"/>
          <w:bCs/>
          <w:color w:val="auto"/>
          <w:szCs w:val="21"/>
          <w:highlight w:val="none"/>
        </w:rPr>
      </w:pPr>
      <w:r>
        <w:rPr>
          <w:rFonts w:hint="eastAsia" w:ascii="宋体" w:hAnsi="宋体" w:cs="宋体"/>
          <w:bCs/>
          <w:color w:val="auto"/>
          <w:szCs w:val="21"/>
          <w:highlight w:val="none"/>
        </w:rPr>
        <w:t xml:space="preserve">9.供应商对于所投产品的包装应按照“财办库〔2020〕123号《关于印发《商品包装政府采购需求标准（试行）》、《快递包装政府采购需求标准（试行）》的通知》”执行。</w:t>
      </w:r>
      <w:r/>
    </w:p>
    <w:p>
      <w:pPr>
        <w:ind w:firstLine="422"/>
        <w:spacing w:line="430" w:lineRule="exact"/>
        <w:tabs>
          <w:tab w:val="left" w:pos="266"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七、本次招标联系方式</w:t>
      </w:r>
      <w:bookmarkEnd w:id="30"/>
      <w:r/>
      <w:bookmarkEnd w:id="31"/>
      <w:r/>
      <w:bookmarkEnd w:id="32"/>
      <w:r/>
      <w:bookmarkEnd w:id="33"/>
      <w:r/>
      <w:bookmarkEnd w:id="34"/>
      <w:r/>
      <w:r/>
    </w:p>
    <w:p>
      <w:pPr>
        <w:ind w:firstLine="420"/>
        <w:jc w:val="left"/>
        <w:spacing w:line="430" w:lineRule="exact"/>
        <w:widowControl/>
        <w:rPr>
          <w:rFonts w:ascii="宋体" w:hAnsi="宋体" w:cs="宋体"/>
          <w:color w:val="auto"/>
          <w:szCs w:val="21"/>
          <w:highlight w:val="none"/>
        </w:rPr>
      </w:pPr>
      <w:r>
        <w:rPr>
          <w:rFonts w:hint="eastAsia" w:ascii="宋体" w:hAnsi="宋体" w:cs="宋体"/>
          <w:color w:val="auto"/>
          <w:szCs w:val="21"/>
          <w:highlight w:val="none"/>
        </w:rPr>
        <w:t xml:space="preserve">1.采购人信息</w:t>
      </w:r>
      <w:r/>
    </w:p>
    <w:p>
      <w:pPr>
        <w:ind w:firstLine="420"/>
        <w:jc w:val="left"/>
        <w:spacing w:line="430" w:lineRule="exact"/>
        <w:rPr>
          <w:rFonts w:ascii="宋体" w:hAnsi="宋体" w:cs="宋体"/>
          <w:color w:val="auto"/>
          <w:szCs w:val="21"/>
          <w:highlight w:val="none"/>
        </w:rPr>
      </w:pPr>
      <w:r>
        <w:rPr>
          <w:rFonts w:hint="eastAsia" w:ascii="宋体" w:hAnsi="宋体" w:cs="宋体"/>
          <w:color w:val="auto"/>
          <w:szCs w:val="21"/>
          <w:highlight w:val="none"/>
        </w:rPr>
        <w:t xml:space="preserve">名 称：扬州市市场监督管理局</w:t>
      </w:r>
      <w:r/>
    </w:p>
    <w:p>
      <w:pPr>
        <w:ind w:firstLine="420"/>
        <w:jc w:val="left"/>
        <w:spacing w:line="430" w:lineRule="exact"/>
        <w:rPr>
          <w:rFonts w:ascii="宋体" w:hAnsi="宋体" w:cs="宋体"/>
          <w:color w:val="auto"/>
          <w:szCs w:val="21"/>
          <w:highlight w:val="none"/>
        </w:rPr>
      </w:pPr>
      <w:r>
        <w:rPr>
          <w:rFonts w:hint="eastAsia" w:ascii="宋体" w:hAnsi="宋体" w:cs="宋体"/>
          <w:color w:val="auto"/>
          <w:szCs w:val="21"/>
          <w:highlight w:val="none"/>
        </w:rPr>
        <w:t xml:space="preserve">地 址：扬州市邗江区文昌西路525号 </w:t>
      </w:r>
      <w:r/>
    </w:p>
    <w:p>
      <w:pPr>
        <w:ind w:firstLine="420"/>
        <w:jc w:val="left"/>
        <w:spacing w:line="430" w:lineRule="exact"/>
        <w:rPr>
          <w:rFonts w:ascii="宋体" w:hAnsi="宋体" w:cs="宋体"/>
          <w:color w:val="auto"/>
          <w:szCs w:val="21"/>
          <w:highlight w:val="none"/>
        </w:rPr>
      </w:pPr>
      <w:r>
        <w:rPr>
          <w:rFonts w:hint="eastAsia" w:ascii="宋体" w:hAnsi="宋体" w:cs="宋体"/>
          <w:color w:val="auto"/>
          <w:szCs w:val="21"/>
          <w:highlight w:val="none"/>
        </w:rPr>
        <w:t xml:space="preserve">联系方式：0514-89332671</w:t>
      </w:r>
      <w:r/>
    </w:p>
    <w:p>
      <w:pPr>
        <w:ind w:firstLine="420"/>
        <w:jc w:val="left"/>
        <w:spacing w:line="430" w:lineRule="exact"/>
        <w:rPr>
          <w:rFonts w:ascii="宋体" w:hAnsi="宋体" w:cs="宋体"/>
          <w:color w:val="auto"/>
          <w:szCs w:val="21"/>
          <w:highlight w:val="none"/>
        </w:rPr>
      </w:pPr>
      <w:r>
        <w:rPr>
          <w:rFonts w:hint="eastAsia" w:ascii="宋体" w:hAnsi="宋体" w:cs="宋体"/>
          <w:color w:val="auto"/>
          <w:szCs w:val="21"/>
          <w:highlight w:val="none"/>
        </w:rPr>
        <w:t xml:space="preserve">2.代理机构信息</w:t>
      </w:r>
      <w:r/>
    </w:p>
    <w:p>
      <w:pPr>
        <w:ind w:firstLine="420"/>
        <w:jc w:val="left"/>
        <w:spacing w:line="430" w:lineRule="exact"/>
        <w:rPr>
          <w:rFonts w:ascii="宋体" w:hAnsi="宋体" w:cs="宋体"/>
          <w:color w:val="auto"/>
          <w:szCs w:val="21"/>
          <w:highlight w:val="none"/>
        </w:rPr>
      </w:pPr>
      <w:r>
        <w:rPr>
          <w:rFonts w:hint="eastAsia" w:ascii="宋体" w:hAnsi="宋体" w:cs="宋体"/>
          <w:color w:val="auto"/>
          <w:szCs w:val="21"/>
          <w:highlight w:val="none"/>
        </w:rPr>
        <w:t xml:space="preserve">名 称：江苏汇诚投资咨询管理有限公司</w:t>
      </w:r>
      <w:r/>
    </w:p>
    <w:p>
      <w:pPr>
        <w:ind w:firstLine="420"/>
        <w:spacing w:line="430" w:lineRule="exact"/>
        <w:rPr>
          <w:rFonts w:ascii="宋体" w:hAnsi="宋体" w:cs="宋体"/>
          <w:color w:val="auto"/>
          <w:szCs w:val="21"/>
          <w:highlight w:val="none"/>
        </w:rPr>
      </w:pPr>
      <w:r>
        <w:rPr>
          <w:rFonts w:hint="eastAsia" w:ascii="宋体" w:hAnsi="宋体" w:cs="宋体"/>
          <w:color w:val="auto"/>
          <w:szCs w:val="21"/>
          <w:highlight w:val="none"/>
        </w:rPr>
        <w:t xml:space="preserve">地　址：扬州市邗江区邗江北路68号三楼西入口</w:t>
      </w:r>
      <w:r/>
    </w:p>
    <w:p>
      <w:pPr>
        <w:ind w:firstLine="420"/>
        <w:spacing w:line="430" w:lineRule="exact"/>
        <w:rPr>
          <w:rFonts w:ascii="宋体" w:hAnsi="宋体" w:cs="宋体"/>
          <w:color w:val="auto"/>
          <w:szCs w:val="21"/>
          <w:highlight w:val="none"/>
        </w:rPr>
      </w:pPr>
      <w:r/>
      <w:bookmarkStart w:id="35" w:name="_Toc28359087"/>
      <w:r/>
      <w:bookmarkStart w:id="36" w:name="_Toc28359010"/>
      <w:r>
        <w:rPr>
          <w:rFonts w:hint="eastAsia" w:ascii="宋体" w:hAnsi="宋体" w:cs="宋体"/>
          <w:color w:val="auto"/>
          <w:szCs w:val="21"/>
          <w:highlight w:val="none"/>
        </w:rPr>
        <w:t xml:space="preserve">联系人：唐磊</w:t>
      </w:r>
      <w:r/>
    </w:p>
    <w:p>
      <w:pPr>
        <w:ind w:firstLine="420"/>
        <w:spacing w:line="430" w:lineRule="exact"/>
        <w:rPr>
          <w:rFonts w:ascii="宋体" w:hAnsi="宋体" w:cs="宋体"/>
          <w:color w:val="auto"/>
          <w:szCs w:val="21"/>
          <w:highlight w:val="none"/>
          <w:u w:val="single"/>
        </w:rPr>
      </w:pPr>
      <w:r>
        <w:rPr>
          <w:rFonts w:hint="eastAsia" w:ascii="宋体" w:hAnsi="宋体" w:cs="宋体"/>
          <w:color w:val="auto"/>
          <w:szCs w:val="21"/>
          <w:highlight w:val="none"/>
        </w:rPr>
        <w:t xml:space="preserve">联系方式：0514-89787281</w:t>
      </w:r>
      <w:bookmarkEnd w:id="35"/>
      <w:r/>
      <w:bookmarkEnd w:id="36"/>
      <w:r/>
      <w:r/>
    </w:p>
    <w:p>
      <w:pPr>
        <w:ind w:firstLine="422"/>
        <w:spacing w:line="430" w:lineRule="exact"/>
        <w:tabs>
          <w:tab w:val="left" w:pos="266" w:leader="none"/>
        </w:tabs>
        <w:rPr>
          <w:rFonts w:ascii="宋体" w:hAnsi="宋体" w:cs="宋体"/>
          <w:b/>
          <w:bCs/>
          <w:color w:val="auto"/>
          <w:szCs w:val="21"/>
          <w:highlight w:val="none"/>
        </w:rPr>
      </w:pPr>
      <w:r>
        <w:rPr>
          <w:rFonts w:ascii="宋体" w:hAnsi="宋体" w:cs="宋体"/>
          <w:b/>
          <w:bCs/>
          <w:color w:val="auto"/>
          <w:szCs w:val="21"/>
          <w:highlight w:val="none"/>
        </w:rPr>
      </w:r>
      <w:r/>
    </w:p>
    <w:p>
      <w:pPr>
        <w:ind w:firstLine="420"/>
        <w:jc w:val="right"/>
        <w:spacing w:line="430" w:lineRule="exact"/>
        <w:rPr>
          <w:rFonts w:ascii="宋体" w:hAnsi="宋体" w:cs="宋体"/>
          <w:color w:val="auto"/>
          <w:szCs w:val="21"/>
          <w:highlight w:val="none"/>
        </w:rPr>
      </w:pPr>
      <w:r>
        <w:rPr>
          <w:rFonts w:ascii="宋体" w:hAnsi="宋体" w:cs="宋体"/>
          <w:color w:val="auto"/>
          <w:szCs w:val="21"/>
          <w:highlight w:val="none"/>
        </w:rPr>
      </w:r>
      <w:r/>
    </w:p>
    <w:p>
      <w:pPr>
        <w:ind w:firstLine="420"/>
        <w:jc w:val="right"/>
        <w:spacing w:line="430" w:lineRule="exact"/>
        <w:rPr>
          <w:rFonts w:ascii="宋体" w:hAnsi="宋体" w:cs="宋体"/>
          <w:color w:val="auto"/>
          <w:szCs w:val="21"/>
          <w:highlight w:val="none"/>
        </w:rPr>
      </w:pPr>
      <w:r>
        <w:rPr>
          <w:rFonts w:hint="eastAsia" w:ascii="宋体" w:hAnsi="宋体" w:cs="宋体"/>
          <w:color w:val="auto"/>
          <w:szCs w:val="21"/>
          <w:highlight w:val="none"/>
        </w:rPr>
        <w:t xml:space="preserve">江苏汇诚投资咨询管理有限公司</w:t>
      </w:r>
      <w:r/>
    </w:p>
    <w:p>
      <w:pPr>
        <w:ind w:firstLine="420"/>
        <w:jc w:val="right"/>
        <w:spacing w:line="430" w:lineRule="exact"/>
        <w:rPr>
          <w:rFonts w:ascii="宋体" w:hAnsi="宋体" w:cs="宋体"/>
          <w:color w:val="auto"/>
          <w:szCs w:val="21"/>
          <w:highlight w:val="none"/>
        </w:rPr>
        <w:sectPr>
          <w:footerReference w:type="default" r:id="rId13"/>
          <w:footnotePr/>
          <w:endnotePr/>
          <w:type w:val="nextPage"/>
          <w:pgSz w:w="11906" w:h="16838" w:orient="portrait"/>
          <w:pgMar w:top="1440" w:right="1800" w:bottom="1440" w:left="1800" w:header="851" w:footer="992" w:gutter="0"/>
          <w:pgNumType w:start="2"/>
          <w:cols w:num="1" w:sep="0" w:space="1701" w:equalWidth="1"/>
          <w:docGrid w:linePitch="360"/>
        </w:sectPr>
      </w:pPr>
      <w:r>
        <w:rPr>
          <w:rFonts w:hint="eastAsia" w:ascii="宋体" w:hAnsi="宋体" w:cs="宋体"/>
          <w:color w:val="auto"/>
          <w:szCs w:val="21"/>
          <w:highlight w:val="none"/>
        </w:rPr>
        <w:t xml:space="preserve">202</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年</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月</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日</w:t>
      </w:r>
      <w:r/>
    </w:p>
    <w:p>
      <w:pPr>
        <w:rPr>
          <w:color w:val="auto"/>
          <w:highlight w:val="none"/>
        </w:rPr>
      </w:pPr>
      <w:r>
        <w:rPr>
          <w:color w:val="auto"/>
          <w:highlight w:val="none"/>
        </w:rPr>
      </w:r>
      <w:r/>
    </w:p>
    <w:p>
      <w:pPr>
        <w:pStyle w:val="974"/>
        <w:numPr>
          <w:ilvl w:val="0"/>
          <w:numId w:val="2"/>
        </w:numPr>
        <w:jc w:val="center"/>
        <w:spacing w:line="240" w:lineRule="auto"/>
        <w:rPr>
          <w:rFonts w:ascii="宋体" w:hAnsi="宋体"/>
          <w:color w:val="auto"/>
          <w:szCs w:val="36"/>
          <w:highlight w:val="none"/>
        </w:rPr>
      </w:pPr>
      <w:r/>
      <w:bookmarkStart w:id="37" w:name="_Toc55204178"/>
      <w:r>
        <w:rPr>
          <w:rFonts w:hint="eastAsia" w:ascii="宋体" w:hAnsi="宋体"/>
          <w:color w:val="auto"/>
          <w:szCs w:val="36"/>
          <w:highlight w:val="none"/>
        </w:rPr>
        <w:t xml:space="preserve">投标人须知</w:t>
      </w:r>
      <w:bookmarkEnd w:id="37"/>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1、招标方式</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1.1本次招标采取公开招标方式，本招标文件仅适用于</w:t>
      </w:r>
      <w:r>
        <w:rPr>
          <w:rFonts w:hint="eastAsia" w:ascii="宋体" w:hAnsi="宋体" w:cs="宋体"/>
          <w:bCs/>
          <w:color w:val="auto"/>
          <w:szCs w:val="21"/>
          <w:highlight w:val="none"/>
          <w:lang w:eastAsia="zh-CN"/>
        </w:rPr>
        <w:t xml:space="preserve">JSZC-321000-HCZX-G2026-0010</w:t>
      </w:r>
      <w:r>
        <w:rPr>
          <w:rFonts w:hint="eastAsia" w:ascii="宋体" w:hAnsi="宋体" w:cs="宋体"/>
          <w:bCs/>
          <w:color w:val="auto"/>
          <w:szCs w:val="21"/>
          <w:highlight w:val="none"/>
        </w:rPr>
        <w:t xml:space="preserve">号项目。</w:t>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2、投标人</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2.1 本招标文件中“供应商”，即“投标人”，是指参加投标竞争，并符合招标文件规定资格条件的法人、其他组织或者自然人。</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2.2合格的投标人</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2.2.1 满足招标公告中供应商的资格条件要求的规定。</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2.2.2 满足本文件实质性条款的规定。</w:t>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3、适用法律</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3.1 本次招标及由此产生的合同受中华人民共和国有关的法律法规制约和保护。</w:t>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4、投标费用</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4.1 投标人应自行承担所有与参加投标有关的费用，无论投标过程中的做法和结果如 何，代理机构在任何情况下均无义务和责任承担这些费用。 </w:t>
      </w:r>
      <w:r/>
    </w:p>
    <w:p>
      <w:pPr>
        <w:ind w:firstLine="422"/>
        <w:jc w:val="left"/>
        <w:spacing w:line="440" w:lineRule="exact"/>
        <w:rPr>
          <w:rFonts w:ascii="宋体" w:hAnsi="宋体" w:cs="宋体"/>
          <w:b/>
          <w:bCs/>
          <w:color w:val="auto"/>
          <w:szCs w:val="21"/>
          <w:highlight w:val="none"/>
        </w:rPr>
      </w:pPr>
      <w:r>
        <w:rPr>
          <w:rFonts w:hint="eastAsia" w:ascii="宋体" w:hAnsi="宋体" w:cs="宋体"/>
          <w:b/>
          <w:color w:val="auto"/>
          <w:szCs w:val="21"/>
          <w:highlight w:val="none"/>
        </w:rPr>
        <w:t xml:space="preserve">4.2</w:t>
      </w:r>
      <w:r>
        <w:rPr>
          <w:rFonts w:hint="eastAsia" w:ascii="宋体" w:hAnsi="宋体" w:cs="宋体"/>
          <w:b/>
          <w:bCs/>
          <w:color w:val="auto"/>
          <w:szCs w:val="21"/>
          <w:highlight w:val="none"/>
        </w:rPr>
        <w:t xml:space="preserve">本次采购由中标人在领取中标通知书前按照</w:t>
      </w:r>
      <w:r>
        <w:rPr>
          <w:rFonts w:hint="eastAsia" w:ascii="宋体" w:hAnsi="宋体" w:cs="宋体"/>
          <w:b/>
          <w:bCs/>
          <w:color w:val="auto"/>
          <w:szCs w:val="21"/>
          <w:highlight w:val="none"/>
          <w:lang w:val="en-US" w:eastAsia="zh-CN"/>
        </w:rPr>
        <w:t xml:space="preserve">4</w:t>
      </w:r>
      <w:r>
        <w:rPr>
          <w:rFonts w:hint="eastAsia" w:ascii="宋体" w:hAnsi="宋体" w:cs="宋体"/>
          <w:b/>
          <w:bCs/>
          <w:color w:val="auto"/>
          <w:szCs w:val="21"/>
          <w:highlight w:val="none"/>
        </w:rPr>
        <w:t xml:space="preserve">50元/包一次性支付给招标代理机构代理服务费。</w:t>
      </w:r>
      <w:r/>
    </w:p>
    <w:p>
      <w:pPr>
        <w:ind w:firstLine="422"/>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（1）代理服务费以人民币支付；</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（2）代理服务费一次性以电汇、转账等非现金形式支付；</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（3）招标代理服务费不在投标报价中单列，包含在投标总价中，由中标单位支付给代理机构。</w:t>
      </w:r>
      <w:r/>
    </w:p>
    <w:p>
      <w:pPr>
        <w:ind w:firstLine="632"/>
        <w:jc w:val="left"/>
        <w:spacing w:line="44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招标代理服务费开户银行：中国工商银行扬州雍华府支行</w:t>
      </w:r>
      <w:r>
        <w:rPr>
          <w:rFonts w:hint="eastAsia" w:ascii="宋体" w:hAnsi="宋体" w:cs="宋体"/>
          <w:b/>
          <w:bCs/>
          <w:color w:val="auto"/>
          <w:szCs w:val="21"/>
          <w:highlight w:val="none"/>
        </w:rPr>
        <w:br w:type="textWrapping" w:clear="all"/>
      </w:r>
      <w:r>
        <w:rPr>
          <w:rFonts w:hint="eastAsia" w:ascii="宋体" w:hAnsi="宋体" w:cs="宋体"/>
          <w:b/>
          <w:bCs/>
          <w:color w:val="auto"/>
          <w:szCs w:val="21"/>
          <w:highlight w:val="none"/>
        </w:rPr>
        <w:t xml:space="preserve">    开户名称：江苏汇诚投资咨询管理有限公司邗江分公司</w:t>
      </w:r>
      <w:r>
        <w:rPr>
          <w:rFonts w:hint="eastAsia" w:ascii="宋体" w:hAnsi="宋体" w:cs="宋体"/>
          <w:b/>
          <w:bCs/>
          <w:color w:val="auto"/>
          <w:szCs w:val="21"/>
          <w:highlight w:val="none"/>
        </w:rPr>
        <w:br w:type="textWrapping" w:clear="all"/>
      </w:r>
      <w:r>
        <w:rPr>
          <w:rFonts w:hint="eastAsia" w:ascii="宋体" w:hAnsi="宋体" w:cs="宋体"/>
          <w:b/>
          <w:bCs/>
          <w:color w:val="auto"/>
          <w:szCs w:val="21"/>
          <w:highlight w:val="none"/>
        </w:rPr>
        <w:t xml:space="preserve">    开户帐号：1108020809100091782</w:t>
      </w:r>
      <w:r/>
    </w:p>
    <w:p>
      <w:pPr>
        <w:ind w:firstLine="422"/>
        <w:spacing w:line="44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4.3专家评审费按《扬州市财政局关于进一步规范扬州市政府采购专家评审费标准的通知》（扬财购〔2020〕40号）执行。</w:t>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5、招标文件的约束力</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5.1 投标人一旦参加本项目采购活动，即被认为接受了本招标文件的规定和约束。</w:t>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6、招标文件构成</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6.1 招标文件有以下部分组成：</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（1）招标公告</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（2）投标人须知</w:t>
      </w:r>
      <w:r>
        <w:rPr>
          <w:rFonts w:hint="eastAsia" w:ascii="宋体" w:hAnsi="宋体" w:cs="宋体"/>
          <w:bCs/>
          <w:color w:val="auto"/>
          <w:szCs w:val="21"/>
          <w:highlight w:val="none"/>
        </w:rPr>
        <w:tab/>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（3）合同条款及格式</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（4）项目需求</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（5）评标方法与评标标准</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（6）投标文件格式</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请仔细检查招标文件是否齐全，如有缺漏请立即与代理机构联系解决。</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6.2 招标的最小单位是包。招标服务数量及技术要求中未分包的，供应商对要求提供的服务不得部分投标；招标服务数量及技术要求中已经分包的，应当以包为单位投标。</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6.3 招标文件如果要求供应商提交备选投标方案的，供应商可以提交备选方案；否则，备选方案将被拒绝。</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7、招标文件的澄清</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7.1 任何要求对招标文件进行澄清的投标人，应在投标截止日期的十日前按招标公告中的通讯地址，以书面形式通知代理机构。</w:t>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8、招标文件的修改</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8.1 在投标截止时间前，代理机构可以对招标文件进行修改。</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8.2代理机构在招标文件要求提交投标文件截止时间前，有权按照法定要求推迟投标截止时间和开标时间。</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8.3招标文件的修改将在“扬州市政府采购网”、“江苏省政府采购网”公布，补充文件将作为招标文件的组成部分，并对投标人具有约束力。</w:t>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9、投标文件的语言、度量衡单位、货币</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9.1投标人提交的投标文件以及投标人与代理机构就有关投标的所有来往通知、函件和文件均应使用简体中文。</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9.2 除技术性能另有规定外，投标文件所使用的度量衡单位，均须采用国家法定计量单位。</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9.3投标人应使用人民币报价。</w:t>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10、投标文件构成</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10.1投标文件由以下部分组成</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（1）资格审查响应对照表</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（2）符合性审查响应对照表</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（3）非实质性响应对照表</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（4）开标一览表 </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（5）分项报价表 </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（6）技术参数响应及偏离表 </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（7）商务条款响应及偏离表 </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（8）其他 （投标人认为有必要提供的声明和文件，如有自拟并自行添加）</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10.2投标人应当根据招标文件要求编制投标文件，投标文件应对招标文件提出的要求和条件作出响应，并在相应的投标文件中逐条标明满足与否。</w:t>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11、证明投标人资格及符合招标文件规定的文件</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11.1投标人应按要求提交资格证明文件及符合招标文件规定的文件。</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11.2投标人应提交证明其有资格参加投标和中标后有能力独立履行合同的文件。</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11.3投标人除必须具有履行合同所需提供的产品或服务的能力外，还必须具备相应的财务、技术方面的能力。</w:t>
      </w:r>
      <w:r/>
    </w:p>
    <w:p>
      <w:pPr>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    11.4投标人应提交根据合同要求提供的证明服务质量合格以及符合招标文件规定的证明文件。</w:t>
      </w:r>
      <w:r/>
    </w:p>
    <w:p>
      <w:pPr>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    11.5证明投标人所提供服务与招标文件的要求相一致的文件可以是手册、图纸、文字资料和数据。</w:t>
      </w:r>
      <w:r/>
    </w:p>
    <w:p>
      <w:pPr>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12、</w:t>
      </w:r>
      <w:r>
        <w:rPr>
          <w:rFonts w:hint="eastAsia" w:ascii="宋体" w:hAnsi="宋体" w:cs="宋体"/>
          <w:b/>
          <w:bCs/>
          <w:color w:val="auto"/>
          <w:szCs w:val="21"/>
          <w:highlight w:val="none"/>
        </w:rPr>
        <w:t xml:space="preserve">分项报价表</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12.1 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12.2 标的物</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采购人需求的服务供应、安装，调试及有关技术服务等。</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12.3其它费用处理</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招标文件未列明，而投标人认为必需的费用也需列入报价。</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12.4投标货币</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投标文件中的服务单价和总价无特殊规定的采用人民币报价，以元为单位标注。招标文件中另有规定的按规定执行。</w:t>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13、技术参数响应及偏离表、商务条款响应及偏离表及投标货物说明</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13.1 对招标文件中的技术与商务条款要求逐项作出响应或偏离，并说明原因；</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13.2 提供参加本项目类似案例简介；</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13.3 培训计划；</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13.4 投标人认为需要的其他技术文件或说明。</w:t>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14、服务承诺及售后服务机构、人员的情况介绍</w:t>
      </w:r>
      <w:r/>
    </w:p>
    <w:p>
      <w:pPr>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    14.1投标人的服务承诺应按不低于招标文件中商务要求的标准。</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14.2提供投标人有关售后服务的管理制度、售后服务机构的分布情况、售后服务人员的数量、素质、技术水平及售后服务的反应能力。</w:t>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15、投标函和开标一览表</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15.1 投标人应按照招标文件中提供的格式完整、正确填写投标函、开标一览表。</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15.2 开标一览表中的价格应与投标文件中分项报价表中的价格一致，如不一致，不作为无效投标处理，但评标时按开标一览表中价格为准。</w:t>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16、投标有效期</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16.1 投标有效期为开标之日起六十（60）天。投标有效期比规定短的将被视为非响应性投标而予以拒绝。</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spacing w:line="440" w:lineRule="exact"/>
        <w:rPr>
          <w:rFonts w:ascii="宋体" w:hAnsi="宋体" w:cs="宋体"/>
          <w:b/>
          <w:color w:val="auto"/>
          <w:szCs w:val="21"/>
          <w:highlight w:val="none"/>
        </w:rPr>
      </w:pPr>
      <w:r/>
      <w:bookmarkStart w:id="38" w:name="_Toc20823297"/>
      <w:r/>
      <w:bookmarkStart w:id="39" w:name="_Toc462564084"/>
      <w:r/>
      <w:bookmarkStart w:id="40" w:name="_Toc513029225"/>
      <w:r/>
      <w:bookmarkStart w:id="41" w:name="_Toc16938541"/>
      <w:r>
        <w:rPr>
          <w:rFonts w:hint="eastAsia" w:ascii="宋体" w:hAnsi="宋体" w:cs="宋体"/>
          <w:b/>
          <w:color w:val="auto"/>
          <w:szCs w:val="21"/>
          <w:highlight w:val="none"/>
        </w:rPr>
        <w:t xml:space="preserve">17、投标文件</w:t>
      </w:r>
      <w:bookmarkEnd w:id="38"/>
      <w:r/>
      <w:bookmarkEnd w:id="39"/>
      <w:r/>
      <w:bookmarkEnd w:id="40"/>
      <w:r/>
      <w:bookmarkEnd w:id="41"/>
      <w:r>
        <w:rPr>
          <w:rFonts w:hint="eastAsia" w:ascii="宋体" w:hAnsi="宋体" w:cs="宋体"/>
          <w:b/>
          <w:color w:val="auto"/>
          <w:szCs w:val="21"/>
          <w:highlight w:val="none"/>
        </w:rPr>
        <w:t xml:space="preserve">的递交</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17.1 电子投标文件的递交投标人应当按照《操作手册》规定，在投标截止时间前制作并上传电子投标文件。</w:t>
      </w:r>
      <w:bookmarkStart w:id="42" w:name="_Toc16938542"/>
      <w:r/>
      <w:bookmarkStart w:id="43" w:name="_Toc513029226"/>
      <w:r/>
      <w:bookmarkStart w:id="44" w:name="_Toc20823298"/>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17.2</w:t>
      </w:r>
      <w:r>
        <w:rPr>
          <w:rFonts w:hint="eastAsia" w:ascii="宋体" w:hAnsi="宋体" w:cs="宋体"/>
          <w:b/>
          <w:bCs/>
          <w:color w:val="auto"/>
          <w:szCs w:val="21"/>
          <w:highlight w:val="none"/>
        </w:rPr>
        <w:t xml:space="preserve">政府采购管理交易系统（苏采云）</w:t>
      </w:r>
      <w:r>
        <w:rPr>
          <w:rFonts w:hint="eastAsia" w:ascii="宋体" w:hAnsi="宋体" w:cs="宋体"/>
          <w:b/>
          <w:color w:val="auto"/>
          <w:szCs w:val="21"/>
          <w:highlight w:val="none"/>
        </w:rPr>
        <w:t xml:space="preserve">相关要求是本招标文件的组成部分。</w:t>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17.3投标人应对 CA 证书妥善保管，如被他人盗用投标，因此带来的结果均由投标人自行承担。</w:t>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17.4投标人应当对招标文件提出的要求和条件作出实质性响应，并在电子投标系统逐条应答。</w:t>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17.5投标人应对要求提供的资格证明文件（如资质证书、资格证书）、技术资料（如白皮书、彩页、手册、检测报告等）扫描上传至投标系统。</w:t>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17.6投标人应当在招标文件要求提交投标文件的截止时间前，将投标文件提交至“苏采云”系统，逾期提交的投标文件，“苏采云”系统将自动拒收。</w:t>
      </w:r>
      <w:r/>
    </w:p>
    <w:p>
      <w:pPr>
        <w:ind w:firstLine="422"/>
        <w:spacing w:line="440" w:lineRule="exact"/>
        <w:rPr>
          <w:rFonts w:ascii="宋体" w:hAnsi="宋体" w:cs="宋体"/>
          <w:color w:val="auto"/>
          <w:szCs w:val="21"/>
          <w:highlight w:val="none"/>
        </w:rPr>
      </w:pPr>
      <w:r>
        <w:rPr>
          <w:rFonts w:hint="eastAsia" w:ascii="宋体" w:hAnsi="宋体" w:cs="宋体"/>
          <w:b/>
          <w:color w:val="auto"/>
          <w:szCs w:val="21"/>
          <w:highlight w:val="none"/>
        </w:rPr>
        <w:t xml:space="preserve">17.7各投标人应在规定时间内凭CA证书进行网上解密。</w:t>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18、投标截止日期</w:t>
      </w:r>
      <w:bookmarkEnd w:id="42"/>
      <w:r/>
      <w:bookmarkEnd w:id="43"/>
      <w:r/>
      <w:bookmarkEnd w:id="44"/>
      <w:r/>
      <w:r/>
    </w:p>
    <w:p>
      <w:pPr>
        <w:ind w:firstLine="420"/>
        <w:spacing w:line="440" w:lineRule="exact"/>
        <w:rPr>
          <w:rFonts w:ascii="宋体" w:hAnsi="宋体" w:cs="宋体"/>
          <w:bCs/>
          <w:i/>
          <w:iCs/>
          <w:color w:val="auto"/>
          <w:szCs w:val="21"/>
          <w:highlight w:val="none"/>
          <w:u w:val="single"/>
        </w:rPr>
      </w:pPr>
      <w:r>
        <w:rPr>
          <w:rFonts w:hint="eastAsia" w:ascii="宋体" w:hAnsi="宋体" w:cs="宋体"/>
          <w:bCs/>
          <w:i/>
          <w:iCs/>
          <w:color w:val="auto"/>
          <w:szCs w:val="21"/>
          <w:highlight w:val="none"/>
          <w:u w:val="single"/>
        </w:rPr>
        <w:t xml:space="preserve">18.1 投标人上传电子投标文件的时间不得迟于招标公告中规定的投标截止时间。</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投标人应充分考虑到网络环境、网络带宽等风险因素，如因投标人自身原因造成的电子投标文件上传不成功由投标人自行承担全部责任。</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18.2 代理机构可以按照规定，通过修改招标文件延长投标截止日期，在此情况下，投标人的所有权利和义务以及投标人受制的截止日期均应以延长后新的截止日期为准。</w:t>
      </w:r>
      <w:r/>
    </w:p>
    <w:p>
      <w:pPr>
        <w:ind w:firstLine="422"/>
        <w:spacing w:line="440" w:lineRule="exact"/>
        <w:rPr>
          <w:rFonts w:ascii="宋体" w:hAnsi="宋体" w:cs="宋体"/>
          <w:b/>
          <w:color w:val="auto"/>
          <w:szCs w:val="21"/>
          <w:highlight w:val="none"/>
        </w:rPr>
      </w:pPr>
      <w:r/>
      <w:bookmarkStart w:id="45" w:name="_Toc20823299"/>
      <w:r/>
      <w:bookmarkStart w:id="46" w:name="_Toc16938543"/>
      <w:r/>
      <w:bookmarkStart w:id="47" w:name="_Toc513029227"/>
      <w:r>
        <w:rPr>
          <w:rFonts w:hint="eastAsia" w:ascii="宋体" w:hAnsi="宋体" w:cs="宋体"/>
          <w:b/>
          <w:color w:val="auto"/>
          <w:szCs w:val="21"/>
          <w:highlight w:val="none"/>
        </w:rPr>
        <w:t xml:space="preserve">19、投标文件</w:t>
      </w:r>
      <w:bookmarkEnd w:id="45"/>
      <w:r/>
      <w:bookmarkEnd w:id="46"/>
      <w:r/>
      <w:bookmarkEnd w:id="47"/>
      <w:r>
        <w:rPr>
          <w:rFonts w:hint="eastAsia" w:ascii="宋体" w:hAnsi="宋体" w:cs="宋体"/>
          <w:b/>
          <w:color w:val="auto"/>
          <w:szCs w:val="21"/>
          <w:highlight w:val="none"/>
        </w:rPr>
        <w:t xml:space="preserve">的拒收</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19.1代理机构拒绝接收在其规定的投标截止时间后上传的任何投标文件。</w:t>
      </w:r>
      <w:r/>
    </w:p>
    <w:p>
      <w:pPr>
        <w:ind w:firstLine="422"/>
        <w:spacing w:line="440" w:lineRule="exact"/>
        <w:rPr>
          <w:rFonts w:ascii="宋体" w:hAnsi="宋体" w:cs="宋体"/>
          <w:b/>
          <w:color w:val="auto"/>
          <w:szCs w:val="21"/>
          <w:highlight w:val="none"/>
        </w:rPr>
      </w:pPr>
      <w:r/>
      <w:bookmarkStart w:id="48" w:name="_Toc16938544"/>
      <w:r/>
      <w:bookmarkStart w:id="49" w:name="_Toc20823300"/>
      <w:r/>
      <w:bookmarkStart w:id="50" w:name="_Toc513029228"/>
      <w:r>
        <w:rPr>
          <w:rFonts w:hint="eastAsia" w:ascii="宋体" w:hAnsi="宋体" w:cs="宋体"/>
          <w:b/>
          <w:color w:val="auto"/>
          <w:szCs w:val="21"/>
          <w:highlight w:val="none"/>
        </w:rPr>
        <w:t xml:space="preserve">20、投标文件的撤回和修改</w:t>
      </w:r>
      <w:bookmarkEnd w:id="48"/>
      <w:r/>
      <w:bookmarkEnd w:id="49"/>
      <w:r/>
      <w:bookmarkEnd w:id="50"/>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20.1 投标文件的撤回</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20.1.1 电子投标文件的撤回</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投标人可在投标截止时间前，撤回其电子投标文件，具体操作方法见《操作手册》。</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20.1.2 投标人撤回电子投标文件，则认为其不再参与本项目投标活动。</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20.2 投标文件的修改</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投标人可在投标截止时间前，对其电子投标文件进行修改，具体操作方法见《操作手册》。</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20.3 在投标截止时间之后，投标人不得对其电子投标文件作任何修改。</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20.4 在投标截止时间至招标文件中规定的投标有效期满之间的这段时间内，投标人不得撤回其投标。</w:t>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21、开标</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21.1 代理机构将在招标公告中规定的时间和地点组织公开开标。投标人应当按照《操作手册》规定，参加开标活动。投标人未参加开标的，视同认可开标结果。</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21.2投标人不足3家的，不得开标。</w:t>
      </w:r>
      <w:r/>
    </w:p>
    <w:p>
      <w:pPr>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    </w:t>
      </w:r>
      <w:r>
        <w:rPr>
          <w:rFonts w:hint="eastAsia" w:ascii="宋体" w:hAnsi="宋体" w:cs="宋体"/>
          <w:b/>
          <w:color w:val="auto"/>
          <w:szCs w:val="21"/>
          <w:highlight w:val="none"/>
        </w:rPr>
        <w:t xml:space="preserve">21.3开标仪式由代理机构主持。“政府采购管理交易系统（苏采云）”将自动对项目进行开标，并宣读各投标人的《开标一览表》。</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21.4投标人在开标过程中涉及到的投标文件解密、开标结果确认等工作，应按照《操作手册》规定执行。</w:t>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22、评标委员会</w:t>
      </w:r>
      <w:r/>
    </w:p>
    <w:p>
      <w:pPr>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    22.1 开标后，代理机构将立即组织评标委员会（以下简称评委会）进行评标。</w:t>
      </w:r>
      <w:r/>
    </w:p>
    <w:p>
      <w:pPr>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    22.2 评委会由采购人代表和有关技术、经济等方面的专家组成，且人员构成符合政府采购有关规定。</w:t>
      </w:r>
      <w:r/>
    </w:p>
    <w:p>
      <w:pPr>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    22.3评委会独立工作，负责评审所有投标文件并确定中标候选人。</w:t>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23、评标过程的保密与公正</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23.1公开开标后，直至签订合同之日止，凡是与审查、澄清、评价和比较投标的有关资料以及授标建议等，采购人、评委、代理机构工作人员均不得向投标人或与评标无关的其他人员透露。</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23.2在评标过程中，投标人不得以任何行为影响评标过程，否则其投标文件将被作为无效投标文件。</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23.3 在评标期间，代理机构将设专门工作人员与投标人联系。</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23.4 代理机构和评委会不向未中标的投标人解释未中标原因，也不公布评标过程中的相关细节。</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23.5 采用综合评分法的项目，未中标的投标人可于中标结果公告期限届满之日起通过“政府采购管理交易系统（苏采云）”查看自己的评审得分及排序情况。</w:t>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24、投标的澄清</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24.1评标期间，为有助于对投标文件的审查、评价和比较，评委会有权以电子函件形式要求投标人对其投标文件进行澄清，但并非对每个投标人都作澄清要求。</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    24.3 接到评委会澄清要求的投标人如未按规定做出澄清，其风险由投标人自行承担。</w:t>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25、对投标文件的初审</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25.1投标文件初审分为资格审查和符合性审查。</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25.1.1资格审查：依据法律法规和招标文件的规定，由采购人对投标文件中的资格证明文件进行审查。并将审查结论以书面形式向评委会反馈。</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25.1.2符合性检查：依据招标文件的规定，由评委会从投标文件的有效性、完整性和对招标文件的响应程度进行审查，以确定是否对招标文件的实质性要求作出响应。</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25.3如果投标文件实质上没有响应招标文件的要求，评委会将予以拒绝，投标人不得通过修改或撤销不合要求的偏离或保留而使其投标成为实质性响应的投标。</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25.4评委会将对确定为实质性响应的投标进行进一步审核，看其是否有计算上或累加上的算术错误，修正错误的原则如下：</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（1）投标文件中开标一览表内容与投标文件中相应内容不一致的，以开标一览表为准。</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（2）大写金额与小写金额不一致的，以大写金额为准。</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（3）单价金额小数点或者百分比有明显错位的，以开标一览表的总价为准，并修改单价。</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（4）总价金额与按单价汇总金额不一致的，以单价金额计算结果为准。</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同时出现两种以上错误的，按照前款规定的顺序修正。</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25.6评委会将允许修正投标文件中不构成重大偏离的、微小的、非正规的、不一致的或不规则的地方，但这些修改不能影响任何投标人相应的名次排列。</w:t>
      </w:r>
      <w:r/>
    </w:p>
    <w:p>
      <w:pPr>
        <w:ind w:firstLine="420"/>
        <w:jc w:val="left"/>
        <w:spacing w:line="440" w:lineRule="exact"/>
        <w:rPr>
          <w:rFonts w:hint="eastAsia" w:ascii="宋体" w:hAnsi="宋体" w:cs="宋体"/>
          <w:color w:val="auto"/>
          <w:highlight w:val="none"/>
        </w:rPr>
      </w:pPr>
      <w:r>
        <w:rPr>
          <w:rFonts w:hint="eastAsia" w:ascii="宋体" w:hAnsi="宋体" w:cs="宋体"/>
          <w:color w:val="auto"/>
          <w:szCs w:val="21"/>
          <w:highlight w:val="none"/>
        </w:rPr>
        <w:t xml:space="preserve">25.7 投标人在开、评标全过程中应保持通讯畅通，并安排专人与代理机构及评委会联系。</w:t>
      </w:r>
      <w:r/>
    </w:p>
    <w:p>
      <w:pPr>
        <w:ind w:firstLine="422"/>
        <w:spacing w:line="440" w:lineRule="exact"/>
        <w:rPr>
          <w:rFonts w:hint="eastAsia" w:ascii="宋体" w:hAnsi="宋体" w:cs="宋体"/>
          <w:b/>
          <w:bCs/>
          <w:color w:val="auto"/>
          <w:highlight w:val="none"/>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b/>
          <w:bCs/>
          <w:color w:val="auto"/>
          <w:highlight w:val="none"/>
        </w:rPr>
        <w:t xml:space="preserve">25.8.1 评标过程中出现下列情形之一的，评标委员会应当启动异常低价投标审查程序：</w:t>
      </w:r>
      <w:r>
        <w:rPr>
          <w:rFonts w:hint="eastAsia" w:ascii="宋体" w:hAnsi="宋体" w:cs="宋体"/>
          <w:b/>
          <w:bCs/>
          <w:color w:val="auto"/>
          <w:highlight w:val="none"/>
        </w:rPr>
      </w:r>
    </w:p>
    <w:p>
      <w:pPr>
        <w:ind w:firstLine="422"/>
        <w:spacing w:line="440" w:lineRule="exact"/>
        <w:rPr>
          <w:rFonts w:hint="eastAsia" w:ascii="宋体" w:hAnsi="宋体" w:cs="宋体"/>
          <w:b/>
          <w:bCs/>
          <w:color w:val="auto"/>
          <w:highlight w:val="none"/>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b/>
          <w:bCs/>
          <w:color w:val="auto"/>
          <w:highlight w:val="none"/>
        </w:rPr>
        <w:t xml:space="preserve">（1）投标（响应）报价低于全部通过符合性审查供应商投标（响应）报价平均值50%的，即投标（响应）报价&lt;全部通过符合性审查供应商投标（响应）报价平均值×50%；</w:t>
      </w:r>
      <w:r>
        <w:rPr>
          <w:rFonts w:hint="eastAsia" w:ascii="宋体" w:hAnsi="宋体" w:cs="宋体"/>
          <w:b/>
          <w:bCs/>
          <w:color w:val="auto"/>
          <w:highlight w:val="none"/>
        </w:rPr>
      </w:r>
    </w:p>
    <w:p>
      <w:pPr>
        <w:ind w:firstLine="422"/>
        <w:spacing w:line="440" w:lineRule="exact"/>
        <w:rPr>
          <w:rFonts w:hint="eastAsia" w:ascii="宋体" w:hAnsi="宋体" w:cs="宋体"/>
          <w:b/>
          <w:bCs/>
          <w:color w:val="auto"/>
          <w:highlight w:val="none"/>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b/>
          <w:bCs/>
          <w:color w:val="auto"/>
          <w:highlight w:val="none"/>
        </w:rPr>
        <w:t xml:space="preserve">（2）投标（响应）报价低于通过符合性审查的次低报价供应商投标（响应）报价50%的，即投标（响应）报价&lt;通过符合性审查的次低报价供应商投标（响应）报价×50%；</w:t>
      </w:r>
      <w:r>
        <w:rPr>
          <w:rFonts w:hint="eastAsia" w:ascii="宋体" w:hAnsi="宋体" w:cs="宋体"/>
          <w:b/>
          <w:bCs/>
          <w:color w:val="auto"/>
          <w:highlight w:val="none"/>
        </w:rPr>
      </w:r>
    </w:p>
    <w:p>
      <w:pPr>
        <w:ind w:firstLine="422"/>
        <w:spacing w:line="440" w:lineRule="exact"/>
        <w:rPr>
          <w:rFonts w:hint="eastAsia" w:ascii="宋体" w:hAnsi="宋体" w:cs="宋体"/>
          <w:b/>
          <w:bCs/>
          <w:color w:val="auto"/>
          <w:highlight w:val="none"/>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b/>
          <w:bCs/>
          <w:color w:val="auto"/>
          <w:highlight w:val="none"/>
        </w:rPr>
        <w:t xml:space="preserve">（3）投标（响应）报价低于采购项目最高限价45%的，即投标（响应）报价&lt;采购项目最高限价×45%； </w:t>
      </w:r>
      <w:r>
        <w:rPr>
          <w:rFonts w:hint="eastAsia" w:ascii="宋体" w:hAnsi="宋体" w:cs="宋体"/>
          <w:b/>
          <w:bCs/>
          <w:color w:val="auto"/>
          <w:highlight w:val="none"/>
        </w:rPr>
      </w:r>
    </w:p>
    <w:p>
      <w:pPr>
        <w:ind w:firstLine="422"/>
        <w:spacing w:line="440" w:lineRule="exact"/>
        <w:rPr>
          <w:rFonts w:ascii="宋体" w:hAnsi="宋体" w:cs="宋体"/>
          <w:color w:val="auto"/>
          <w:highlight w:val="none"/>
        </w:rPr>
      </w:pPr>
      <w:r>
        <w:rPr>
          <w:rFonts w:hint="eastAsia" w:ascii="宋体" w:hAnsi="宋体" w:cs="宋体"/>
          <w:b/>
          <w:bCs/>
          <w:color w:val="auto"/>
          <w:highlight w:val="none"/>
        </w:rPr>
        <w:t xml:space="preserve">（4）评审委员会基于专业判断，认为供应商报价过低，有可能影响产品质量或者不能诚信履约的其他情形。</w:t>
      </w:r>
      <w:r/>
      <w:r>
        <w:rPr>
          <w:rFonts w:hint="eastAsia" w:ascii="宋体" w:hAnsi="宋体" w:cs="宋体"/>
          <w:color w:val="auto"/>
          <w:szCs w:val="21"/>
          <w:highlight w:val="none"/>
        </w:rPr>
      </w:r>
      <w:r>
        <w:rPr>
          <w:rFonts w:hint="eastAsia" w:ascii="宋体" w:hAnsi="宋体" w:cs="宋体"/>
          <w:color w:val="auto"/>
          <w:szCs w:val="21"/>
          <w:highlight w:val="none"/>
        </w:rP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26、无效投标、废标及投标人不足三家的处理</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26.1无效投标条款</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26.1.1 投标人未成功解密电子投标文件的。</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26.1.2 投标人未按照招标文件要求上传电子投标文件的。</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26.1.3投标人在报价时采用选择性报价的。</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26.1.4投标人不具备招标文件中规定资格要求的。</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26.1.5投标人的报价超过了采购预算或最高限价的。</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26.1.6未通过符合性审查的。</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26.1.7不符合招标文件中规定的其他实质性要求和条件的（</w:t>
      </w:r>
      <w:r>
        <w:rPr>
          <w:rFonts w:hint="eastAsia" w:ascii="宋体" w:hAnsi="宋体" w:cs="宋体"/>
          <w:bCs/>
          <w:i/>
          <w:iCs/>
          <w:color w:val="auto"/>
          <w:szCs w:val="21"/>
          <w:highlight w:val="none"/>
          <w:u w:val="single"/>
        </w:rPr>
        <w:t xml:space="preserve">本招标文件中斜体且有下划线部分为实质性要求和条件</w:t>
      </w:r>
      <w:r>
        <w:rPr>
          <w:rFonts w:hint="eastAsia" w:ascii="宋体" w:hAnsi="宋体" w:cs="宋体"/>
          <w:bCs/>
          <w:color w:val="auto"/>
          <w:szCs w:val="21"/>
          <w:highlight w:val="none"/>
        </w:rPr>
        <w:t xml:space="preserve">）。</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26.1.8 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26.1.9  投标文件含有采购人不能接受的附加条件的。</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26.1.10 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26.1.11 本项目采购产品被财政部、国家发改委、生态环境部等列入“节能产品品目清单”、“环境标志产品品目清单”强制采购范围，而投标人所投标产品不在强制采购范围内的。</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26.1.12 投标文件未按照招标文件要求加盖电子签章。</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26.1.13其他法律、法规及本招标文件规定的属无效投标的情形。</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26.2废标条款：</w:t>
      </w:r>
      <w:r/>
    </w:p>
    <w:p>
      <w:pPr>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    26.2.1符合专业条件的供应商或者对招标文件作实质响应的供应商不足三家的。26.2.2出现影响采购公正的违法、违规行为的。</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26.2.3因重大变故，采购任务取消的。</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26.2.4评委会认定招标文件存在歧义、重大缺陷导致评审工作无法进行。</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26.3 投标截止时间结束后参加投标的供应商不足三家的处理：</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26.3.1如出现投标截止时间结束后参加投标的供应商或者在评标期间对招标文件做出实质性响应的供应商不足三家情况，按政府采购相关规定执行。</w:t>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27、确定中标单位</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27.1评委会根据本招标文件规定评标方法与评标标准向采购人推荐出中标候选人。</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27.2 采购人应根据评委会推荐的中标候选人确定中标人。</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27.3代理机构将在“扬州市政府采购网”、“江苏省政府采购网”发布中标公告，公告期限为1个工作日。</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27.4若有充分证据证明，中标人出现下列情况之一的，一经查实，将被取消中标资格：</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27.4.1提供虚假材料谋取中标的；</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27.4.2向采购人、代理机构行贿或者提供其他不正当利益的；</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27.4.3恶意竞争，投标总报价明显低于其自身合理成本且又无法提供证明的；</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27.4.4属于本文件规定的无效条件，但在评标过程中又未被评委会发现的；</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27.4.5与采购人或者其他投标人恶意串通的；</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27.4.6采取不正当手段诋毁、排挤其他供应商的；</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27.4.7不符合法律、法规的规定的。</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27.5. 有下列情形之一的，视为投标人串通投标，投标无效：</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27.5.1不同投标人的投标文件由同一单位或者个人编制。</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27.5.2不同投标人委托同一单位或者个人办理投标事宜。</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27.5.3 不同投标人的投标文件载明的项目管理成员或者联系人员为同一人。</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27.5.4不同投标人的投标文件异常一致或者投标报价呈规律性差异。</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27.5.5不同投标人的投标文件相互混装。</w:t>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28、质疑处理</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28.1提出质疑的供应商应当是参与所质疑项目采购活动的供应商。潜在供应商依法获取其可质疑的采购文件的，可以对采购文件提出质疑。</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对项目需求部分的质疑，潜在供应商应向采购人提出，由采购人负责答复。</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28.2投标人认为采购文件、采购过程和中标或成交结果使自己的权益受到损害的，可以在知道或应知其权益受到损害之日起7个工作日内，以书面形式向采购人或代理机构提出质疑。</w:t>
      </w:r>
      <w:r/>
    </w:p>
    <w:p>
      <w:pPr>
        <w:ind w:firstLine="420"/>
        <w:jc w:val="left"/>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28.2.1对采购文件提出质疑的，应当在获取采购文件之日或者采购文件公告期限届满之日起7个工作日内提出。</w:t>
      </w:r>
      <w:r>
        <w:rPr>
          <w:rFonts w:hint="eastAsia" w:ascii="宋体" w:hAnsi="宋体" w:cs="宋体"/>
          <w:bCs/>
          <w:color w:val="auto"/>
          <w:szCs w:val="21"/>
          <w:highlight w:val="none"/>
        </w:rPr>
        <w:br w:type="textWrapping" w:clear="all"/>
      </w:r>
      <w:r>
        <w:rPr>
          <w:rFonts w:hint="eastAsia" w:ascii="宋体" w:hAnsi="宋体" w:cs="宋体"/>
          <w:bCs/>
          <w:color w:val="auto"/>
          <w:szCs w:val="21"/>
          <w:highlight w:val="none"/>
        </w:rPr>
        <w:t xml:space="preserve">    28.2.2对采购过程提出质疑的，为各采购程序环节结束之日起7个工作日内提出。</w:t>
      </w:r>
      <w:r>
        <w:rPr>
          <w:rFonts w:hint="eastAsia" w:ascii="宋体" w:hAnsi="宋体" w:cs="宋体"/>
          <w:bCs/>
          <w:color w:val="auto"/>
          <w:szCs w:val="21"/>
          <w:highlight w:val="none"/>
        </w:rPr>
        <w:br w:type="textWrapping" w:clear="all"/>
      </w:r>
      <w:r>
        <w:rPr>
          <w:rFonts w:hint="eastAsia" w:ascii="宋体" w:hAnsi="宋体" w:cs="宋体"/>
          <w:bCs/>
          <w:color w:val="auto"/>
          <w:szCs w:val="21"/>
          <w:highlight w:val="none"/>
        </w:rPr>
        <w:t xml:space="preserve">    28.2.3对中标结果提出质疑的，为中标结果公告期限届满之日起7个工作日内提出。</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28.5 代理机构及采购人只接收以纸质原件形式送达的质疑，</w:t>
      </w:r>
      <w:r>
        <w:rPr>
          <w:rFonts w:hint="eastAsia" w:ascii="宋体" w:hAnsi="宋体" w:cs="宋体"/>
          <w:b/>
          <w:color w:val="auto"/>
          <w:szCs w:val="21"/>
          <w:highlight w:val="none"/>
          <w:u w:val="single"/>
        </w:rPr>
        <w:t xml:space="preserve">同时需与采购代理机构经办人确认是否收到《质疑函》，如供应商未按上述要求去做，将自行承担所产生的风险。</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采购人质疑接收人及联系方式见招标文件第一章。</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28.6代理机构收到质疑申请后，将对质疑的形式和内容进行审查，如质疑内容、格式不符合规定，代理机构将告知质疑人进行补正。</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28.7质疑人应当在法定质疑期限内进行补正并重新提交质疑函。</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28.8 以下情形的质疑不予受理</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28.8.1 内容不符合《政府采购质疑和投诉办法》第十二条规定的质疑。</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28.8.2 超出政府采购法定期限的质疑。</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28.8.3 以传真、电子邮件等方式递交的非原件形式的质疑。</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28.8.4 未参加投标活动的供应商或在投标活动中自身权益未受到损害的供应商所提出的质疑。</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28.8.5供应商组成联合体参加投标，联合体中任何一方或多方未按要求签字、盖章、加盖公章的质疑。</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28.10代理机构应当在收到供应商的书面质疑后7个工作日内作出答复，并以书面形式通知质疑供应商和其他有关供应商，但答复的内容不得涉及商业秘密。</w:t>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29、中标通知书</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29.l 中标结果确定后，代理机构将向中标人发出中标通知书。</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29.2 中标人可在“政府采购管理交易系统（苏采云）”中标通知书下载模块中自行下载中标通知书。</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29.3中标通知书将是合同的一个组成部分。对采购人和中标人均具有法律效力。中标通知书发出后，采购人改变中标结果的，或者中标人放弃中标项目的，应当依法承担法律责任。</w:t>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30、 签订合同</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30.l中标人应在中标通知书发出之日起</w:t>
      </w:r>
      <w:r>
        <w:rPr>
          <w:rFonts w:hint="eastAsia" w:ascii="宋体" w:hAnsi="宋体" w:cs="宋体"/>
          <w:bCs/>
          <w:color w:val="auto"/>
          <w:szCs w:val="21"/>
          <w:highlight w:val="none"/>
          <w:lang w:val="en-US" w:eastAsia="zh-CN"/>
        </w:rPr>
        <w:t xml:space="preserve">三十</w:t>
      </w:r>
      <w:r>
        <w:rPr>
          <w:rFonts w:hint="eastAsia" w:ascii="宋体" w:hAnsi="宋体" w:cs="宋体"/>
          <w:bCs/>
          <w:color w:val="auto"/>
          <w:szCs w:val="21"/>
          <w:highlight w:val="none"/>
        </w:rPr>
        <w:t xml:space="preserve">日内，按照招标文件确定的事项与采购人签订政府采购合同。</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30.2 招标文件、中标人的投标文件及招标过程中有关澄清、承诺文件均应作为合同附件。</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30.3 合同在“政府采购管理交易系统（苏采云）”中签订，签订合同后，</w:t>
      </w:r>
      <w:r>
        <w:rPr>
          <w:rFonts w:hint="eastAsia" w:ascii="宋体" w:hAnsi="宋体" w:cs="宋体"/>
          <w:bCs/>
          <w:i/>
          <w:iCs/>
          <w:color w:val="auto"/>
          <w:szCs w:val="21"/>
          <w:highlight w:val="none"/>
          <w:u w:val="single"/>
        </w:rPr>
        <w:t xml:space="preserve">中标人不得将货物或服务及其他服务进行转包</w:t>
      </w:r>
      <w:r>
        <w:rPr>
          <w:rFonts w:hint="eastAsia" w:ascii="宋体" w:hAnsi="宋体" w:cs="宋体"/>
          <w:bCs/>
          <w:color w:val="auto"/>
          <w:szCs w:val="21"/>
          <w:highlight w:val="none"/>
        </w:rPr>
        <w:t xml:space="preserve">。未经采购人同意，中标人也不得采用分包的形式履行合同，否则采购人有权终止合同，中标人的履约保证金将不予退还。转包或分包造成采购人损失的，中标人应承担赔偿责任。</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firstLine="422"/>
        <w:jc w:val="left"/>
        <w:spacing w:line="440" w:lineRule="exact"/>
        <w:rPr>
          <w:rFonts w:ascii="宋体" w:hAnsi="宋体" w:cs="宋体"/>
          <w:bCs/>
          <w:color w:val="auto"/>
          <w:szCs w:val="21"/>
          <w:highlight w:val="none"/>
        </w:rPr>
      </w:pPr>
      <w:r>
        <w:rPr>
          <w:rFonts w:hint="eastAsia" w:ascii="宋体" w:hAnsi="宋体" w:cs="宋体"/>
          <w:b/>
          <w:bCs/>
          <w:color w:val="auto"/>
          <w:szCs w:val="21"/>
          <w:highlight w:val="none"/>
        </w:rPr>
        <w:t xml:space="preserve">31、其他</w:t>
      </w:r>
      <w:r>
        <w:rPr>
          <w:rFonts w:hint="eastAsia" w:ascii="宋体" w:hAnsi="宋体" w:cs="宋体"/>
          <w:color w:val="auto"/>
          <w:szCs w:val="21"/>
          <w:highlight w:val="none"/>
        </w:rPr>
        <w:br w:type="textWrapping" w:clear="all"/>
      </w:r>
      <w:r>
        <w:rPr>
          <w:rFonts w:hint="eastAsia" w:ascii="宋体" w:hAnsi="宋体" w:cs="宋体"/>
          <w:color w:val="auto"/>
          <w:szCs w:val="21"/>
          <w:highlight w:val="none"/>
        </w:rPr>
        <w:t xml:space="preserve">    31.1 依据《政府采购促进中小企业发展管理办法》享受享受扶持政策获得政府采购合同的，小微企业不得将合同分包给大中型企业，中型企业不得将合同分包给大型企业。</w:t>
      </w:r>
      <w:r/>
    </w:p>
    <w:p>
      <w:pPr>
        <w:pStyle w:val="974"/>
        <w:jc w:val="center"/>
        <w:rPr>
          <w:rFonts w:ascii="宋体" w:hAnsi="宋体"/>
          <w:color w:val="auto"/>
          <w:szCs w:val="36"/>
          <w:highlight w:val="none"/>
        </w:rPr>
        <w:sectPr>
          <w:headerReference w:type="default" r:id="rId10"/>
          <w:footerReference w:type="default" r:id="rId14"/>
          <w:footnotePr/>
          <w:endnotePr/>
          <w:type w:val="nextPage"/>
          <w:pgSz w:w="11906" w:h="16838" w:orient="portrait"/>
          <w:pgMar w:top="1440" w:right="1800" w:bottom="1440" w:left="1800" w:header="851" w:footer="992" w:gutter="0"/>
          <w:cols w:num="1" w:sep="0" w:space="1701" w:equalWidth="1"/>
          <w:docGrid w:linePitch="360"/>
        </w:sectPr>
      </w:pPr>
      <w:r/>
      <w:bookmarkStart w:id="51" w:name="_Toc55204179"/>
      <w:r/>
      <w:bookmarkStart w:id="52" w:name="_Hlk69392822"/>
      <w:r/>
      <w:r/>
    </w:p>
    <w:p>
      <w:pPr>
        <w:pStyle w:val="974"/>
        <w:jc w:val="center"/>
        <w:rPr>
          <w:rFonts w:ascii="宋体" w:hAnsi="宋体"/>
          <w:color w:val="auto"/>
          <w:szCs w:val="36"/>
          <w:highlight w:val="none"/>
        </w:rPr>
      </w:pPr>
      <w:r>
        <w:rPr>
          <w:rFonts w:hint="eastAsia" w:ascii="宋体" w:hAnsi="宋体"/>
          <w:color w:val="auto"/>
          <w:szCs w:val="36"/>
          <w:highlight w:val="none"/>
        </w:rPr>
        <w:t xml:space="preserve">第三章 合同条款及格式</w:t>
      </w:r>
      <w:bookmarkEnd w:id="51"/>
      <w:r/>
      <w:r/>
    </w:p>
    <w:p>
      <w:pPr>
        <w:pStyle w:val="1001"/>
        <w:ind w:firstLine="420"/>
        <w:spacing w:before="120" w:after="120" w:line="360" w:lineRule="auto"/>
        <w:rPr>
          <w:rFonts w:hAnsi="宋体"/>
          <w:color w:val="auto"/>
          <w:sz w:val="21"/>
          <w:highlight w:val="none"/>
        </w:rPr>
      </w:pPr>
      <w:r>
        <w:rPr>
          <w:rFonts w:hint="eastAsia" w:hAnsi="宋体"/>
          <w:color w:val="auto"/>
          <w:sz w:val="21"/>
          <w:highlight w:val="none"/>
        </w:rPr>
        <w:t xml:space="preserve">以下为中标后签定本项目合同的通用条款，中标人不得提出实质性的修改，关于专用条款将由采购人与中标人结合本项目具体情况协商后签订。</w:t>
      </w:r>
      <w:r/>
    </w:p>
    <w:p>
      <w:pPr>
        <w:pStyle w:val="1001"/>
        <w:ind w:firstLine="422"/>
        <w:jc w:val="center"/>
        <w:spacing w:before="120" w:after="120" w:line="360" w:lineRule="auto"/>
        <w:rPr>
          <w:rFonts w:hAnsi="宋体"/>
          <w:b/>
          <w:bCs/>
          <w:color w:val="auto"/>
          <w:sz w:val="21"/>
          <w:highlight w:val="none"/>
        </w:rPr>
      </w:pPr>
      <w:r>
        <w:rPr>
          <w:rFonts w:hint="eastAsia" w:hAnsi="宋体"/>
          <w:b/>
          <w:bCs/>
          <w:color w:val="auto"/>
          <w:sz w:val="21"/>
          <w:highlight w:val="none"/>
        </w:rPr>
        <w:t xml:space="preserve">扬州市政府采购合同（服务)（合同编号）（包号）</w:t>
      </w:r>
      <w:r/>
    </w:p>
    <w:p>
      <w:pPr>
        <w:pStyle w:val="1001"/>
        <w:ind w:firstLine="420"/>
        <w:spacing w:before="120" w:after="120" w:line="360" w:lineRule="auto"/>
        <w:rPr>
          <w:rFonts w:hAnsi="宋体"/>
          <w:color w:val="auto"/>
          <w:sz w:val="21"/>
          <w:highlight w:val="none"/>
        </w:rPr>
      </w:pPr>
      <w:r>
        <w:rPr>
          <w:rFonts w:hint="eastAsia" w:hAnsi="宋体"/>
          <w:color w:val="auto"/>
          <w:sz w:val="21"/>
          <w:highlight w:val="none"/>
        </w:rPr>
        <w:t xml:space="preserve">项目名称：扬州市市场监督管理局</w:t>
      </w:r>
      <w:r>
        <w:rPr>
          <w:rFonts w:hint="eastAsia" w:hAnsi="宋体"/>
          <w:color w:val="auto"/>
          <w:sz w:val="21"/>
          <w:highlight w:val="none"/>
          <w:lang w:eastAsia="zh-CN"/>
        </w:rPr>
        <w:t xml:space="preserve">2026年扬州市食品安全</w:t>
      </w:r>
      <w:r>
        <w:rPr>
          <w:rFonts w:hint="eastAsia" w:hAnsi="宋体"/>
          <w:color w:val="auto"/>
          <w:sz w:val="21"/>
          <w:highlight w:val="none"/>
        </w:rPr>
        <w:t xml:space="preserve">机动任务食品安全抽检采购项目               </w:t>
      </w:r>
      <w:r/>
    </w:p>
    <w:p>
      <w:pPr>
        <w:pStyle w:val="1001"/>
        <w:ind w:firstLine="420"/>
        <w:spacing w:before="120" w:after="120" w:line="360" w:lineRule="auto"/>
        <w:rPr>
          <w:rFonts w:hAnsi="宋体"/>
          <w:color w:val="auto"/>
          <w:sz w:val="21"/>
          <w:highlight w:val="none"/>
        </w:rPr>
      </w:pPr>
      <w:r>
        <w:rPr>
          <w:rFonts w:hint="eastAsia" w:hAnsi="宋体"/>
          <w:color w:val="auto"/>
          <w:sz w:val="21"/>
          <w:highlight w:val="none"/>
        </w:rPr>
        <w:t xml:space="preserve">项目编号：</w:t>
      </w:r>
      <w:r>
        <w:rPr>
          <w:rFonts w:hint="eastAsia" w:hAnsi="宋体"/>
          <w:color w:val="auto"/>
          <w:sz w:val="21"/>
          <w:highlight w:val="none"/>
          <w:lang w:eastAsia="zh-CN"/>
        </w:rPr>
        <w:t xml:space="preserve">JSZC-321000-HCZX-G2026-0010</w:t>
      </w:r>
      <w:r>
        <w:rPr>
          <w:rFonts w:hint="eastAsia" w:hAnsi="宋体"/>
          <w:color w:val="auto"/>
          <w:sz w:val="21"/>
          <w:highlight w:val="none"/>
        </w:rPr>
        <w:t xml:space="preserve">号</w:t>
      </w:r>
      <w:r/>
    </w:p>
    <w:p>
      <w:pPr>
        <w:pStyle w:val="1001"/>
        <w:ind w:firstLine="420"/>
        <w:spacing w:before="120" w:after="120" w:line="360" w:lineRule="auto"/>
        <w:rPr>
          <w:rFonts w:hAnsi="宋体"/>
          <w:color w:val="auto"/>
          <w:sz w:val="21"/>
          <w:highlight w:val="none"/>
        </w:rPr>
      </w:pPr>
      <w:r>
        <w:rPr>
          <w:rFonts w:hint="eastAsia" w:hAnsi="宋体"/>
          <w:color w:val="auto"/>
          <w:sz w:val="21"/>
          <w:highlight w:val="none"/>
        </w:rPr>
        <w:t xml:space="preserve">甲方：（买方）扬州市市场监督管理局</w:t>
      </w:r>
      <w:r/>
    </w:p>
    <w:p>
      <w:pPr>
        <w:pStyle w:val="1001"/>
        <w:ind w:firstLine="420"/>
        <w:spacing w:before="120" w:after="120" w:line="360" w:lineRule="auto"/>
        <w:rPr>
          <w:rFonts w:hAnsi="宋体"/>
          <w:color w:val="auto"/>
          <w:sz w:val="21"/>
          <w:highlight w:val="none"/>
        </w:rPr>
      </w:pPr>
      <w:r>
        <w:rPr>
          <w:rFonts w:hint="eastAsia" w:hAnsi="宋体"/>
          <w:color w:val="auto"/>
          <w:sz w:val="21"/>
          <w:highlight w:val="none"/>
        </w:rPr>
        <w:t xml:space="preserve">乙方：（卖方）_________</w:t>
      </w:r>
      <w:r/>
    </w:p>
    <w:p>
      <w:pPr>
        <w:pStyle w:val="1001"/>
        <w:ind w:firstLine="420"/>
        <w:spacing w:before="120" w:after="120" w:line="360" w:lineRule="auto"/>
        <w:rPr>
          <w:rFonts w:hAnsi="宋体"/>
          <w:color w:val="auto"/>
          <w:sz w:val="21"/>
          <w:highlight w:val="none"/>
        </w:rPr>
      </w:pPr>
      <w:r>
        <w:rPr>
          <w:rFonts w:hint="eastAsia" w:hAnsi="宋体"/>
          <w:color w:val="auto"/>
          <w:sz w:val="21"/>
          <w:highlight w:val="none"/>
        </w:rPr>
        <w:t xml:space="preserve">见证方：</w:t>
      </w:r>
      <w:r/>
    </w:p>
    <w:p>
      <w:pPr>
        <w:pStyle w:val="1001"/>
        <w:ind w:firstLine="420"/>
        <w:spacing w:before="120" w:after="120" w:line="360" w:lineRule="auto"/>
        <w:rPr>
          <w:rFonts w:hAnsi="宋体"/>
          <w:color w:val="auto"/>
          <w:sz w:val="21"/>
          <w:highlight w:val="none"/>
        </w:rPr>
      </w:pPr>
      <w:r>
        <w:rPr>
          <w:rFonts w:hint="eastAsia" w:hAnsi="宋体"/>
          <w:color w:val="auto"/>
          <w:sz w:val="21"/>
          <w:highlight w:val="none"/>
        </w:rPr>
        <w:t xml:space="preserve">甲、乙双方根据江苏汇诚投资咨询管理有限公司</w:t>
      </w:r>
      <w:r>
        <w:rPr>
          <w:rFonts w:hint="eastAsia" w:hAnsi="宋体"/>
          <w:color w:val="auto"/>
          <w:sz w:val="21"/>
          <w:highlight w:val="none"/>
          <w:u w:val="single"/>
        </w:rPr>
        <w:t xml:space="preserve">         </w:t>
      </w:r>
      <w:r>
        <w:rPr>
          <w:rFonts w:hint="eastAsia" w:hAnsi="宋体"/>
          <w:color w:val="auto"/>
          <w:sz w:val="21"/>
          <w:highlight w:val="none"/>
        </w:rPr>
        <w:t xml:space="preserve">项目公开招标的结果，签署本合同。</w:t>
      </w:r>
      <w:r/>
    </w:p>
    <w:p>
      <w:pPr>
        <w:pStyle w:val="1001"/>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一、服务及货物</w:t>
      </w:r>
      <w:r/>
    </w:p>
    <w:p>
      <w:pPr>
        <w:pStyle w:val="1001"/>
        <w:ind w:firstLine="420"/>
        <w:spacing w:before="120" w:after="120" w:line="360" w:lineRule="auto"/>
        <w:rPr>
          <w:rFonts w:hAnsi="宋体"/>
          <w:color w:val="auto"/>
          <w:sz w:val="21"/>
          <w:highlight w:val="none"/>
        </w:rPr>
      </w:pPr>
      <w:r>
        <w:rPr>
          <w:rFonts w:hint="eastAsia" w:hAnsi="宋体"/>
          <w:color w:val="auto"/>
          <w:sz w:val="21"/>
          <w:highlight w:val="none"/>
        </w:rPr>
        <w:t xml:space="preserve">1.1 服务及货物名称：</w:t>
      </w:r>
      <w:r/>
    </w:p>
    <w:p>
      <w:pPr>
        <w:pStyle w:val="1001"/>
        <w:ind w:firstLine="420"/>
        <w:spacing w:before="120" w:after="120" w:line="360" w:lineRule="auto"/>
        <w:rPr>
          <w:rFonts w:hAnsi="宋体"/>
          <w:color w:val="auto"/>
          <w:sz w:val="21"/>
          <w:highlight w:val="none"/>
        </w:rPr>
      </w:pPr>
      <w:r>
        <w:rPr>
          <w:rFonts w:hAnsi="宋体"/>
          <w:color w:val="auto"/>
          <w:sz w:val="21"/>
          <w:highlight w:val="none"/>
        </w:rPr>
        <w:t xml:space="preserve">1.2 型号规格：</w:t>
      </w:r>
      <w:r/>
    </w:p>
    <w:p>
      <w:pPr>
        <w:pStyle w:val="1001"/>
        <w:ind w:firstLine="420"/>
        <w:spacing w:before="120" w:after="120" w:line="360" w:lineRule="auto"/>
        <w:rPr>
          <w:rFonts w:hAnsi="宋体"/>
          <w:color w:val="auto"/>
          <w:sz w:val="21"/>
          <w:highlight w:val="none"/>
        </w:rPr>
      </w:pPr>
      <w:r>
        <w:rPr>
          <w:rFonts w:hAnsi="宋体"/>
          <w:color w:val="auto"/>
          <w:sz w:val="21"/>
          <w:highlight w:val="none"/>
        </w:rPr>
        <w:t xml:space="preserve">1.3 数量（单位）</w:t>
      </w:r>
      <w:r/>
    </w:p>
    <w:p>
      <w:pPr>
        <w:pStyle w:val="1001"/>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二、合同金额</w:t>
      </w:r>
      <w:r/>
    </w:p>
    <w:p>
      <w:pPr>
        <w:pStyle w:val="1001"/>
        <w:ind w:firstLine="420"/>
        <w:spacing w:before="120" w:after="120" w:line="360" w:lineRule="auto"/>
        <w:rPr>
          <w:rFonts w:hint="eastAsia" w:hAnsi="宋体"/>
          <w:color w:val="auto"/>
          <w:sz w:val="21"/>
          <w:highlight w:val="none"/>
        </w:rPr>
      </w:pPr>
      <w:r>
        <w:rPr>
          <w:rFonts w:hint="eastAsia" w:hAnsi="宋体"/>
          <w:color w:val="auto"/>
          <w:sz w:val="21"/>
          <w:highlight w:val="none"/>
        </w:rPr>
        <w:t xml:space="preserve">2.1 本合同金额为（大写）：________</w:t>
      </w:r>
      <w:r>
        <w:rPr>
          <w:rFonts w:hint="eastAsia" w:hAnsi="宋体"/>
          <w:color w:val="auto"/>
          <w:sz w:val="21"/>
          <w:highlight w:val="none"/>
          <w:lang w:val="en-US" w:eastAsia="zh-CN"/>
        </w:rPr>
        <w:t xml:space="preserve">元</w:t>
      </w:r>
      <w:r>
        <w:rPr>
          <w:rFonts w:hint="eastAsia" w:hAnsi="宋体"/>
          <w:color w:val="auto"/>
          <w:sz w:val="21"/>
          <w:highlight w:val="none"/>
        </w:rPr>
        <w:t xml:space="preserve">（__________元）人民币。</w:t>
      </w:r>
      <w:r/>
    </w:p>
    <w:p>
      <w:pPr>
        <w:pStyle w:val="1001"/>
        <w:ind w:firstLine="422"/>
        <w:spacing w:before="120" w:after="120" w:line="360" w:lineRule="auto"/>
        <w:rPr>
          <w:rFonts w:hint="eastAsia" w:hAnsi="宋体"/>
          <w:color w:val="auto"/>
          <w:sz w:val="21"/>
          <w:highlight w:val="none"/>
        </w:rPr>
      </w:pPr>
      <w:r>
        <w:rPr>
          <w:rFonts w:hint="eastAsia" w:hAnsi="宋体"/>
          <w:color w:val="auto"/>
          <w:sz w:val="21"/>
          <w:highlight w:val="none"/>
        </w:rPr>
        <w:t xml:space="preserve">2.2 本合同单价（大写）：________</w:t>
      </w:r>
      <w:r>
        <w:rPr>
          <w:rFonts w:hint="eastAsia" w:hAnsi="宋体"/>
          <w:color w:val="auto"/>
          <w:sz w:val="21"/>
          <w:highlight w:val="none"/>
          <w:lang w:val="en-US" w:eastAsia="zh-CN"/>
        </w:rPr>
        <w:t xml:space="preserve">元/批次</w:t>
      </w:r>
      <w:r>
        <w:rPr>
          <w:rFonts w:hint="eastAsia" w:hAnsi="宋体"/>
          <w:color w:val="auto"/>
          <w:sz w:val="21"/>
          <w:highlight w:val="none"/>
        </w:rPr>
        <w:t xml:space="preserve">（__________元</w:t>
      </w:r>
      <w:r>
        <w:rPr>
          <w:rFonts w:hint="eastAsia" w:hAnsi="宋体"/>
          <w:color w:val="auto"/>
          <w:sz w:val="21"/>
          <w:highlight w:val="none"/>
          <w:lang w:val="en-US" w:eastAsia="zh-CN"/>
        </w:rPr>
        <w:t xml:space="preserve">/批次</w:t>
      </w:r>
      <w:r>
        <w:rPr>
          <w:rFonts w:hint="eastAsia" w:hAnsi="宋体"/>
          <w:color w:val="auto"/>
          <w:sz w:val="21"/>
          <w:highlight w:val="none"/>
        </w:rPr>
        <w:t xml:space="preserve">）人民币。</w:t>
      </w:r>
      <w:r/>
    </w:p>
    <w:p>
      <w:pPr>
        <w:pStyle w:val="1001"/>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三、技术资料</w:t>
      </w:r>
      <w:r/>
    </w:p>
    <w:p>
      <w:pPr>
        <w:pStyle w:val="1001"/>
        <w:ind w:firstLine="420"/>
        <w:spacing w:before="120" w:after="120" w:line="360" w:lineRule="auto"/>
        <w:rPr>
          <w:rFonts w:hAnsi="宋体"/>
          <w:color w:val="auto"/>
          <w:sz w:val="21"/>
          <w:highlight w:val="none"/>
        </w:rPr>
      </w:pPr>
      <w:r>
        <w:rPr>
          <w:rFonts w:hint="eastAsia" w:hAnsi="宋体"/>
          <w:color w:val="auto"/>
          <w:sz w:val="21"/>
          <w:highlight w:val="none"/>
        </w:rPr>
        <w:t xml:space="preserve">3.1乙方应按招标文件规定的时间向甲方提供使用货物及服务的有关技术资料。</w:t>
      </w:r>
      <w:r/>
    </w:p>
    <w:p>
      <w:pPr>
        <w:pStyle w:val="1001"/>
        <w:ind w:firstLine="420"/>
        <w:spacing w:before="120" w:after="120" w:line="360" w:lineRule="auto"/>
        <w:rPr>
          <w:rFonts w:hAnsi="宋体"/>
          <w:color w:val="auto"/>
          <w:sz w:val="21"/>
          <w:highlight w:val="none"/>
        </w:rPr>
      </w:pPr>
      <w:r>
        <w:rPr>
          <w:rFonts w:hint="eastAsia" w:hAnsi="宋体"/>
          <w:color w:val="auto"/>
          <w:sz w:val="21"/>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1001"/>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四、知识产权</w:t>
      </w:r>
      <w:r/>
    </w:p>
    <w:p>
      <w:pPr>
        <w:pStyle w:val="1001"/>
        <w:ind w:firstLine="420"/>
        <w:spacing w:before="120" w:after="120" w:line="360" w:lineRule="auto"/>
        <w:rPr>
          <w:rFonts w:hAnsi="宋体"/>
          <w:color w:val="auto"/>
          <w:sz w:val="21"/>
          <w:highlight w:val="none"/>
        </w:rPr>
      </w:pPr>
      <w:r>
        <w:rPr>
          <w:rFonts w:hint="eastAsia" w:hAnsi="宋体"/>
          <w:color w:val="auto"/>
          <w:sz w:val="21"/>
          <w:highlight w:val="none"/>
        </w:rPr>
        <w:t xml:space="preserve">4.1乙方应保证甲方在使用、接受本合同货物及服务或其任何一部分时不受第三方提出侵犯其专利权、版权、商标权和工业设计权等知识产权的起诉。一旦出现侵权，由乙方负全部责任。</w:t>
      </w:r>
      <w:r/>
    </w:p>
    <w:p>
      <w:pPr>
        <w:pStyle w:val="1001"/>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五、产权担保</w:t>
      </w:r>
      <w:r/>
    </w:p>
    <w:p>
      <w:pPr>
        <w:pStyle w:val="1001"/>
        <w:ind w:firstLine="420"/>
        <w:spacing w:before="120" w:after="120" w:line="360" w:lineRule="auto"/>
        <w:rPr>
          <w:rFonts w:hAnsi="宋体"/>
          <w:color w:val="auto"/>
          <w:sz w:val="21"/>
          <w:highlight w:val="none"/>
        </w:rPr>
      </w:pPr>
      <w:r>
        <w:rPr>
          <w:rFonts w:hint="eastAsia" w:hAnsi="宋体"/>
          <w:color w:val="auto"/>
          <w:sz w:val="21"/>
          <w:highlight w:val="none"/>
        </w:rPr>
        <w:t xml:space="preserve">5.1 乙方保证所交付的货物及服务的所有权完全属于乙方且无任何抵押、查封等产权瑕疵。</w:t>
      </w:r>
      <w:r/>
    </w:p>
    <w:p>
      <w:pPr>
        <w:pStyle w:val="1001"/>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六、履约保证金</w:t>
      </w:r>
      <w:r/>
    </w:p>
    <w:p>
      <w:pPr>
        <w:pStyle w:val="1001"/>
        <w:ind w:firstLine="420"/>
        <w:spacing w:before="120" w:after="120" w:line="360" w:lineRule="auto"/>
        <w:rPr>
          <w:rFonts w:hAnsi="宋体"/>
          <w:color w:val="auto"/>
          <w:sz w:val="21"/>
          <w:highlight w:val="none"/>
        </w:rPr>
      </w:pPr>
      <w:r>
        <w:rPr>
          <w:rFonts w:hAnsi="宋体"/>
          <w:color w:val="auto"/>
          <w:sz w:val="21"/>
          <w:highlight w:val="none"/>
        </w:rPr>
        <w:t xml:space="preserve">6.1 收取履约保证金的，</w:t>
      </w:r>
      <w:r>
        <w:rPr>
          <w:rFonts w:hint="eastAsia" w:hAnsi="宋体"/>
          <w:color w:val="auto"/>
          <w:sz w:val="21"/>
          <w:highlight w:val="none"/>
        </w:rPr>
        <w:t xml:space="preserve">允许中标人自主选择支票、汇票、本票、保函等非现金形式缴纳或提交，</w:t>
      </w:r>
      <w:r>
        <w:rPr>
          <w:rFonts w:hAnsi="宋体"/>
          <w:color w:val="auto"/>
          <w:sz w:val="21"/>
          <w:highlight w:val="none"/>
        </w:rPr>
        <w:t xml:space="preserve">应当在采购合同中约定履约保证金退还的方式、时间、条件和不予退还的情形，明确逾期退还履约保证金的违约责任。</w:t>
      </w:r>
      <w:r/>
    </w:p>
    <w:p>
      <w:pPr>
        <w:pStyle w:val="1001"/>
        <w:ind w:firstLine="420"/>
        <w:spacing w:before="120" w:after="120" w:line="360" w:lineRule="auto"/>
        <w:rPr>
          <w:rFonts w:hAnsi="宋体"/>
          <w:color w:val="auto"/>
          <w:sz w:val="21"/>
          <w:highlight w:val="none"/>
        </w:rPr>
      </w:pPr>
      <w:r>
        <w:rPr>
          <w:rFonts w:hint="eastAsia" w:hAnsi="宋体"/>
          <w:color w:val="auto"/>
          <w:sz w:val="21"/>
          <w:highlight w:val="none"/>
        </w:rPr>
        <w:t xml:space="preserve">6.2履约保证金用以约束乙方在合同履行中的行为，以及弥补合同履行中由于乙方自身行为可能给甲方带来的各种损失；若履约保证金额不足以弥补乙方违约造成甲方损失的，甲方可继续向乙方主张索赔。</w:t>
      </w:r>
      <w:r/>
    </w:p>
    <w:p>
      <w:pPr>
        <w:pStyle w:val="1001"/>
        <w:ind w:firstLine="420"/>
        <w:spacing w:before="120" w:after="120" w:line="360" w:lineRule="auto"/>
        <w:rPr>
          <w:rFonts w:hAnsi="宋体" w:cs="宋体"/>
          <w:color w:val="auto"/>
          <w:sz w:val="21"/>
          <w:highlight w:val="none"/>
        </w:rPr>
      </w:pPr>
      <w:r>
        <w:rPr>
          <w:rFonts w:hint="eastAsia" w:hAnsi="宋体" w:cs="宋体"/>
          <w:color w:val="auto"/>
          <w:sz w:val="21"/>
          <w:highlight w:val="none"/>
        </w:rPr>
        <w:t xml:space="preserve">6.3 履约保证金扣除甲方应得的补偿后的余额，在本合同履行结束后由甲方无息退还。逾期退还的，按中国人民银行同期贷款基准利率上浮20%后的利率支付超期资金占用费，但因乙方自身原因导致无法及时退还的除外。 </w:t>
      </w:r>
      <w:r/>
    </w:p>
    <w:p>
      <w:pPr>
        <w:pStyle w:val="1001"/>
        <w:ind w:firstLine="420"/>
        <w:spacing w:before="120" w:after="120" w:line="360" w:lineRule="auto"/>
        <w:rPr>
          <w:rFonts w:hAnsi="宋体"/>
          <w:color w:val="auto"/>
          <w:sz w:val="21"/>
          <w:highlight w:val="none"/>
        </w:rPr>
      </w:pPr>
      <w:r>
        <w:rPr>
          <w:rFonts w:hint="eastAsia" w:hAnsi="宋体"/>
          <w:color w:val="auto"/>
          <w:sz w:val="21"/>
          <w:highlight w:val="none"/>
        </w:rPr>
        <w:t xml:space="preserve">6.4 履约保证金收取：无</w:t>
      </w:r>
      <w:r/>
    </w:p>
    <w:p>
      <w:pPr>
        <w:pStyle w:val="1001"/>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七、转包或分包</w:t>
      </w:r>
      <w:r/>
    </w:p>
    <w:p>
      <w:pPr>
        <w:pStyle w:val="1001"/>
        <w:ind w:firstLine="420"/>
        <w:spacing w:before="120" w:after="120" w:line="360" w:lineRule="auto"/>
        <w:rPr>
          <w:rFonts w:hAnsi="宋体"/>
          <w:color w:val="auto"/>
          <w:sz w:val="21"/>
          <w:highlight w:val="none"/>
        </w:rPr>
      </w:pPr>
      <w:r>
        <w:rPr>
          <w:rFonts w:hint="eastAsia" w:hAnsi="宋体"/>
          <w:color w:val="auto"/>
          <w:sz w:val="21"/>
          <w:highlight w:val="none"/>
        </w:rPr>
        <w:t xml:space="preserve">7.1本合同范围的货物及服务，应由乙方直接供应，不得转让他人供应；</w:t>
      </w:r>
      <w:r/>
    </w:p>
    <w:p>
      <w:pPr>
        <w:pStyle w:val="1001"/>
        <w:ind w:firstLine="420"/>
        <w:spacing w:before="120" w:after="120" w:line="360" w:lineRule="auto"/>
        <w:rPr>
          <w:rFonts w:hAnsi="宋体"/>
          <w:color w:val="auto"/>
          <w:sz w:val="21"/>
          <w:highlight w:val="none"/>
        </w:rPr>
      </w:pPr>
      <w:r>
        <w:rPr>
          <w:rFonts w:hint="eastAsia" w:hAnsi="宋体"/>
          <w:color w:val="auto"/>
          <w:sz w:val="21"/>
          <w:highlight w:val="none"/>
        </w:rPr>
        <w:t xml:space="preserve">7.2 除非得到甲方的书面同意，乙方不得部分分包给他人供应。</w:t>
      </w:r>
      <w:r/>
    </w:p>
    <w:p>
      <w:pPr>
        <w:pStyle w:val="1001"/>
        <w:ind w:firstLine="420"/>
        <w:spacing w:before="120" w:after="120" w:line="360" w:lineRule="auto"/>
        <w:rPr>
          <w:rFonts w:hAnsi="宋体"/>
          <w:color w:val="auto"/>
          <w:sz w:val="21"/>
          <w:highlight w:val="none"/>
        </w:rPr>
      </w:pPr>
      <w:r>
        <w:rPr>
          <w:rFonts w:hint="eastAsia" w:hAnsi="宋体"/>
          <w:color w:val="auto"/>
          <w:sz w:val="21"/>
          <w:highlight w:val="none"/>
        </w:rPr>
        <w:t xml:space="preserve">7.3如有转让和未经甲方同意的分包行为，甲方有权给予终止合同。</w:t>
      </w:r>
      <w:r/>
    </w:p>
    <w:p>
      <w:pPr>
        <w:pStyle w:val="1001"/>
        <w:ind w:left="315" w:firstLine="105"/>
        <w:spacing w:before="120" w:after="120" w:line="360" w:lineRule="auto"/>
        <w:rPr>
          <w:rFonts w:hAnsi="宋体"/>
          <w:b/>
          <w:bCs/>
          <w:color w:val="auto"/>
          <w:sz w:val="21"/>
          <w:highlight w:val="none"/>
        </w:rPr>
      </w:pPr>
      <w:r>
        <w:rPr>
          <w:rFonts w:hint="eastAsia" w:hAnsi="宋体"/>
          <w:b/>
          <w:bCs/>
          <w:color w:val="auto"/>
          <w:sz w:val="21"/>
          <w:highlight w:val="none"/>
        </w:rPr>
        <w:t xml:space="preserve">八、服务期</w:t>
      </w:r>
      <w:r/>
    </w:p>
    <w:p>
      <w:pPr>
        <w:pStyle w:val="1001"/>
        <w:ind w:firstLine="420"/>
        <w:spacing w:before="120" w:after="120" w:line="360" w:lineRule="auto"/>
        <w:rPr>
          <w:rFonts w:hAnsi="宋体"/>
          <w:color w:val="auto"/>
          <w:sz w:val="21"/>
          <w:highlight w:val="none"/>
          <w:u w:val="single"/>
        </w:rPr>
      </w:pPr>
      <w:r>
        <w:rPr>
          <w:rFonts w:hint="eastAsia" w:hAnsi="宋体"/>
          <w:color w:val="auto"/>
          <w:sz w:val="21"/>
          <w:highlight w:val="none"/>
        </w:rPr>
        <w:t xml:space="preserve">8.1 服务期：</w:t>
      </w:r>
      <w:r>
        <w:rPr>
          <w:rFonts w:hint="eastAsia" w:hAnsi="宋体"/>
          <w:color w:val="auto"/>
          <w:sz w:val="21"/>
          <w:highlight w:val="none"/>
          <w:u w:val="single"/>
        </w:rPr>
        <w:t xml:space="preserve">202</w:t>
      </w:r>
      <w:r>
        <w:rPr>
          <w:rFonts w:hint="eastAsia" w:hAnsi="宋体"/>
          <w:color w:val="auto"/>
          <w:sz w:val="21"/>
          <w:highlight w:val="none"/>
          <w:u w:val="single"/>
          <w:lang w:val="en-US" w:eastAsia="zh-CN"/>
        </w:rPr>
        <w:t xml:space="preserve">6</w:t>
      </w:r>
      <w:r>
        <w:rPr>
          <w:rFonts w:hint="eastAsia" w:hAnsi="宋体"/>
          <w:color w:val="auto"/>
          <w:sz w:val="21"/>
          <w:highlight w:val="none"/>
          <w:u w:val="single"/>
        </w:rPr>
        <w:t xml:space="preserve">年12月20日前完成抽检服务</w:t>
      </w:r>
      <w:r/>
    </w:p>
    <w:p>
      <w:pPr>
        <w:pStyle w:val="1001"/>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九、交付期、交付方式及交付地点</w:t>
      </w:r>
      <w:r/>
    </w:p>
    <w:p>
      <w:pPr>
        <w:pStyle w:val="1001"/>
        <w:ind w:firstLine="420"/>
        <w:spacing w:before="120" w:after="120" w:line="360" w:lineRule="auto"/>
        <w:rPr>
          <w:rFonts w:hAnsi="宋体"/>
          <w:color w:val="auto"/>
          <w:sz w:val="21"/>
          <w:highlight w:val="none"/>
        </w:rPr>
      </w:pPr>
      <w:r>
        <w:rPr>
          <w:rFonts w:hint="eastAsia" w:hAnsi="宋体"/>
          <w:color w:val="auto"/>
          <w:sz w:val="21"/>
          <w:highlight w:val="none"/>
        </w:rPr>
        <w:t xml:space="preserve">9.1 交付期：</w:t>
      </w:r>
      <w:r>
        <w:rPr>
          <w:rFonts w:hint="eastAsia" w:hAnsi="宋体"/>
          <w:color w:val="auto"/>
          <w:sz w:val="21"/>
          <w:highlight w:val="none"/>
          <w:u w:val="single"/>
        </w:rPr>
        <w:t xml:space="preserve">每份报告20个工作日内出具，所有报告202</w:t>
      </w:r>
      <w:r>
        <w:rPr>
          <w:rFonts w:hint="eastAsia" w:hAnsi="宋体"/>
          <w:color w:val="auto"/>
          <w:sz w:val="21"/>
          <w:highlight w:val="none"/>
          <w:u w:val="single"/>
          <w:lang w:val="en-US" w:eastAsia="zh-CN"/>
        </w:rPr>
        <w:t xml:space="preserve">6</w:t>
      </w:r>
      <w:r>
        <w:rPr>
          <w:rFonts w:hint="eastAsia" w:hAnsi="宋体"/>
          <w:color w:val="auto"/>
          <w:sz w:val="21"/>
          <w:highlight w:val="none"/>
          <w:u w:val="single"/>
        </w:rPr>
        <w:t xml:space="preserve">年12月20日前出具。</w:t>
      </w:r>
      <w:r/>
    </w:p>
    <w:p>
      <w:pPr>
        <w:pStyle w:val="1001"/>
        <w:ind w:firstLine="420"/>
        <w:spacing w:before="120" w:after="120" w:line="360" w:lineRule="auto"/>
        <w:rPr>
          <w:rFonts w:hAnsi="宋体"/>
          <w:color w:val="auto"/>
          <w:sz w:val="21"/>
          <w:highlight w:val="none"/>
        </w:rPr>
      </w:pPr>
      <w:r>
        <w:rPr>
          <w:rFonts w:hint="eastAsia" w:hAnsi="宋体"/>
          <w:color w:val="auto"/>
          <w:sz w:val="21"/>
          <w:highlight w:val="none"/>
        </w:rPr>
        <w:t xml:space="preserve">9.2 交付方式：</w:t>
      </w:r>
      <w:r>
        <w:rPr>
          <w:rFonts w:hint="eastAsia" w:hAnsi="宋体"/>
          <w:color w:val="auto"/>
          <w:sz w:val="21"/>
          <w:highlight w:val="none"/>
          <w:u w:val="single"/>
        </w:rPr>
        <w:t xml:space="preserve">在国家总局食品安全智慧监管系统提交全部检测报告数据，任务完成后三日内报送检测分析报告、全要素汇总表、PDF格式检测报告供存档。</w:t>
      </w:r>
      <w:r/>
    </w:p>
    <w:p>
      <w:pPr>
        <w:pStyle w:val="1001"/>
        <w:ind w:firstLine="420"/>
        <w:spacing w:before="120" w:after="120" w:line="360" w:lineRule="auto"/>
        <w:rPr>
          <w:rFonts w:hAnsi="宋体"/>
          <w:color w:val="auto"/>
          <w:sz w:val="21"/>
          <w:highlight w:val="none"/>
          <w:u w:val="single"/>
        </w:rPr>
      </w:pPr>
      <w:r>
        <w:rPr>
          <w:rFonts w:hint="eastAsia" w:hAnsi="宋体"/>
          <w:color w:val="auto"/>
          <w:sz w:val="21"/>
          <w:highlight w:val="none"/>
        </w:rPr>
        <w:t xml:space="preserve">9.3 交付地点：</w:t>
      </w:r>
      <w:r>
        <w:rPr>
          <w:rFonts w:hint="eastAsia" w:hAnsi="宋体"/>
          <w:color w:val="auto"/>
          <w:sz w:val="21"/>
          <w:highlight w:val="none"/>
          <w:u w:val="single"/>
        </w:rPr>
        <w:t xml:space="preserve">甲方指定地点</w:t>
      </w:r>
      <w:r/>
    </w:p>
    <w:p>
      <w:pPr>
        <w:pStyle w:val="1001"/>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十、货款支付</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10.1 本合同项下所有款项均以人民币支付。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10.2 本合同项下的采购资金由甲方支付，付款前乙方向甲方开具发票。</w:t>
      </w:r>
      <w:r/>
    </w:p>
    <w:p>
      <w:pPr>
        <w:pStyle w:val="1001"/>
        <w:ind w:firstLine="420"/>
        <w:spacing w:line="440" w:lineRule="exact"/>
        <w:rPr>
          <w:rFonts w:hAnsi="宋体" w:cs="宋体"/>
          <w:color w:val="auto"/>
          <w:sz w:val="21"/>
          <w:highlight w:val="none"/>
        </w:rPr>
      </w:pPr>
      <w:r>
        <w:rPr>
          <w:rFonts w:hint="eastAsia" w:hAnsi="宋体" w:cs="宋体"/>
          <w:color w:val="auto"/>
          <w:sz w:val="21"/>
          <w:highlight w:val="none"/>
        </w:rPr>
        <w:t xml:space="preserve">10.3 甲方付款方式：</w:t>
      </w:r>
      <w:r/>
    </w:p>
    <w:p>
      <w:pPr>
        <w:pStyle w:val="1001"/>
        <w:ind w:firstLine="420"/>
        <w:spacing w:line="440" w:lineRule="exact"/>
        <w:rPr>
          <w:rFonts w:hAnsi="宋体" w:cs="宋体"/>
          <w:color w:val="auto"/>
          <w:sz w:val="21"/>
          <w:highlight w:val="none"/>
        </w:rPr>
      </w:pPr>
      <w:r>
        <w:rPr>
          <w:rFonts w:hint="eastAsia" w:hAnsi="宋体" w:cs="宋体"/>
          <w:color w:val="auto"/>
          <w:sz w:val="21"/>
          <w:highlight w:val="none"/>
        </w:rPr>
        <w:t xml:space="preserve">合同签订后（财政资金拨付到位），乙方向甲方开具发票，甲方自收到发票之日起10个工作日内支付合同总价的30%；</w:t>
      </w:r>
      <w:r/>
    </w:p>
    <w:p>
      <w:pPr>
        <w:pStyle w:val="1001"/>
        <w:ind w:firstLine="420"/>
        <w:spacing w:line="440" w:lineRule="exact"/>
        <w:rPr>
          <w:rFonts w:hAnsi="宋体" w:cs="宋体"/>
          <w:color w:val="auto"/>
          <w:sz w:val="21"/>
          <w:highlight w:val="none"/>
        </w:rPr>
      </w:pPr>
      <w:r>
        <w:rPr>
          <w:rFonts w:hint="eastAsia" w:hAnsi="宋体" w:cs="宋体"/>
          <w:color w:val="auto"/>
          <w:sz w:val="21"/>
          <w:highlight w:val="none"/>
        </w:rPr>
        <w:t xml:space="preserve">全部检验任务完成后报送检测分析报告、全要素汇总表、PDF格式检测报告，经检查合格出具项目验收报告后，乙方向甲方开具发票，甲方自收到发票之日起10个工作日内支付合同总价的70%。</w:t>
      </w:r>
      <w:r/>
    </w:p>
    <w:p>
      <w:pPr>
        <w:pStyle w:val="1001"/>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十一、税费</w:t>
      </w:r>
      <w:r/>
    </w:p>
    <w:p>
      <w:pPr>
        <w:pStyle w:val="1001"/>
        <w:ind w:firstLine="420"/>
        <w:spacing w:before="120" w:after="120" w:line="360" w:lineRule="auto"/>
        <w:rPr>
          <w:rFonts w:hAnsi="宋体"/>
          <w:color w:val="auto"/>
          <w:sz w:val="21"/>
          <w:highlight w:val="none"/>
        </w:rPr>
      </w:pPr>
      <w:r>
        <w:rPr>
          <w:rFonts w:hint="eastAsia" w:hAnsi="宋体"/>
          <w:color w:val="auto"/>
          <w:sz w:val="21"/>
          <w:highlight w:val="none"/>
        </w:rPr>
        <w:t xml:space="preserve">11.1本合同执行中相关的一切税费均由乙方负担。</w:t>
      </w:r>
      <w:r/>
    </w:p>
    <w:p>
      <w:pPr>
        <w:pStyle w:val="1001"/>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十二、质量保证及售后服务</w:t>
      </w:r>
      <w:r/>
    </w:p>
    <w:p>
      <w:pPr>
        <w:ind w:firstLine="420"/>
        <w:spacing w:line="360" w:lineRule="auto"/>
        <w:rPr>
          <w:rFonts w:ascii="宋体" w:hAnsi="宋体"/>
          <w:color w:val="auto"/>
          <w:szCs w:val="21"/>
          <w:highlight w:val="none"/>
        </w:rPr>
      </w:pPr>
      <w:r>
        <w:rPr>
          <w:rFonts w:hint="eastAsia" w:ascii="宋体" w:hAnsi="宋体" w:cs="宋体"/>
          <w:color w:val="auto"/>
          <w:szCs w:val="21"/>
          <w:highlight w:val="none"/>
        </w:rPr>
        <w:t xml:space="preserve">12.1 乙方应按招标文件规定及投标文件承诺的技术性能、技术要求、质量标准向甲方提供服务；若无特殊说明，则按国家有关部门最新颁布的标准及规范为准。</w:t>
      </w:r>
      <w:r/>
    </w:p>
    <w:p>
      <w:pPr>
        <w:ind w:firstLine="420"/>
        <w:spacing w:line="360" w:lineRule="auto"/>
        <w:rPr>
          <w:rFonts w:ascii="宋体" w:hAnsi="宋体"/>
          <w:color w:val="auto"/>
          <w:szCs w:val="21"/>
          <w:highlight w:val="none"/>
        </w:rPr>
      </w:pPr>
      <w:r>
        <w:rPr>
          <w:rFonts w:hint="eastAsia" w:ascii="宋体" w:hAnsi="宋体" w:cs="宋体"/>
          <w:color w:val="auto"/>
          <w:szCs w:val="21"/>
          <w:highlight w:val="none"/>
        </w:rPr>
        <w:t xml:space="preserve">12.2乙方应保证其提供的服务是全面和规范的，并完全符合招投标文件。如因乙方提供的服务有瑕疵造成甲方损失的，所需费用由乙方承担。</w:t>
      </w:r>
      <w:r/>
    </w:p>
    <w:p>
      <w:pPr>
        <w:ind w:firstLine="420"/>
        <w:spacing w:line="360" w:lineRule="auto"/>
        <w:rPr>
          <w:rFonts w:hAnsi="宋体"/>
          <w:color w:val="auto"/>
          <w:highlight w:val="none"/>
        </w:rPr>
      </w:pPr>
      <w:r>
        <w:rPr>
          <w:rFonts w:hint="eastAsia" w:ascii="宋体" w:hAnsi="宋体" w:cs="宋体"/>
          <w:color w:val="auto"/>
          <w:szCs w:val="21"/>
          <w:highlight w:val="none"/>
        </w:rPr>
        <w:t xml:space="preserve">12.3 如在使用过程中发生质量问题，乙方在接到甲方通知后在___小时内到达甲方现场。</w:t>
      </w:r>
      <w:r/>
    </w:p>
    <w:p>
      <w:pPr>
        <w:pStyle w:val="1001"/>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十三、交付和验收</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13.1 乙方应当在合同签订后</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天内完成服务事项，招标文件有约定的，从其约定。</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在交付前，乙方应作出全面检查和对验收文件进行整理，并列出清单，作为甲方初验收和使用的技术条件依据，检验的结果交甲方。</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13.2 验收标准：按乙方投标文件的承诺，并不低于国家相关标准。</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对于乙方要交付的服务，甲乙双方须在</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工作日内初验收，甲方对乙方提交的服务依据招标文件上的技术要求和国家有关质量标准进行现场初步验收，外观、说明书、包装符合招标文件技术要求的，给予签收，初步验收不合格的不予签收。</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13.3 乙方按照招标文件要求负责安装并培训甲方的使用操作人员，乙方在甲方使用前进行调试，调试直到符合技术要求的甲方才做最终验收。</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13.4 对技术复杂的货物，甲方可请国家认可的专业检测机构或者相关专家参与初步验收及最终验收，并由其出具质量检测报告或者评审报告。验收时乙方必须在现场，验收完毕后作出验收结果报告；甲方牵头组织验收，验收相关费用由乙方支付。</w:t>
      </w:r>
      <w:r/>
    </w:p>
    <w:p>
      <w:pPr>
        <w:ind w:firstLine="420"/>
        <w:spacing w:line="360" w:lineRule="auto"/>
        <w:rPr>
          <w:rFonts w:ascii="宋体" w:hAnsi="宋体"/>
          <w:color w:val="auto"/>
          <w:szCs w:val="21"/>
          <w:highlight w:val="none"/>
          <w:u w:val="single"/>
        </w:rPr>
      </w:pPr>
      <w:r>
        <w:rPr>
          <w:rFonts w:hint="eastAsia" w:ascii="宋体" w:hAnsi="宋体"/>
          <w:color w:val="auto"/>
          <w:szCs w:val="21"/>
          <w:highlight w:val="none"/>
        </w:rPr>
        <w:t xml:space="preserve">13.5 甲乙双方关于调试和验收的其他约定：</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r/>
    </w:p>
    <w:p>
      <w:pPr>
        <w:pStyle w:val="1001"/>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十四、包装、发运及运输</w:t>
      </w:r>
      <w:r/>
    </w:p>
    <w:p>
      <w:pPr>
        <w:pStyle w:val="1001"/>
        <w:ind w:firstLine="420"/>
        <w:spacing w:line="360" w:lineRule="auto"/>
        <w:rPr>
          <w:rFonts w:hAnsi="宋体"/>
          <w:color w:val="auto"/>
          <w:sz w:val="21"/>
          <w:highlight w:val="none"/>
        </w:rPr>
      </w:pPr>
      <w:r>
        <w:rPr>
          <w:rFonts w:hint="eastAsia" w:hAnsi="宋体"/>
          <w:color w:val="auto"/>
          <w:sz w:val="21"/>
          <w:highlight w:val="none"/>
        </w:rPr>
        <w:t xml:space="preserve">14.1 乙方应对其提供的服务所涉及物品在发运前对其进行满足运输距离、防潮、防震、防锈和防破损装卸等要求包装，以保证安全运达甲方指定地点。</w:t>
      </w:r>
      <w:r/>
    </w:p>
    <w:p>
      <w:pPr>
        <w:pStyle w:val="1001"/>
        <w:ind w:firstLine="420"/>
        <w:spacing w:line="360" w:lineRule="auto"/>
        <w:rPr>
          <w:rFonts w:hAnsi="宋体"/>
          <w:color w:val="auto"/>
          <w:sz w:val="21"/>
          <w:highlight w:val="none"/>
        </w:rPr>
      </w:pPr>
      <w:r>
        <w:rPr>
          <w:rFonts w:hint="eastAsia" w:hAnsi="宋体"/>
          <w:color w:val="auto"/>
          <w:sz w:val="21"/>
          <w:highlight w:val="none"/>
        </w:rPr>
        <w:t xml:space="preserve">14.2 乙方交付时，使用说明书、检验证明书、随配附件和工具以及清单一并附于内。</w:t>
      </w:r>
      <w:r/>
    </w:p>
    <w:p>
      <w:pPr>
        <w:pStyle w:val="1001"/>
        <w:ind w:firstLine="420"/>
        <w:spacing w:line="360" w:lineRule="auto"/>
        <w:rPr>
          <w:rFonts w:hAnsi="宋体"/>
          <w:color w:val="auto"/>
          <w:sz w:val="21"/>
          <w:highlight w:val="none"/>
        </w:rPr>
      </w:pPr>
      <w:r>
        <w:rPr>
          <w:rFonts w:hint="eastAsia" w:hAnsi="宋体"/>
          <w:color w:val="auto"/>
          <w:sz w:val="21"/>
          <w:highlight w:val="none"/>
        </w:rPr>
        <w:t xml:space="preserve">14.3乙方在提供的服务所涉及物品在货物发运手续办理完毕后24小时内或货到甲方48小时前通知甲方，以准备甲方接货。根据甲方通知的时间和指定的地点，乙方负责安排送货、装卸、清点、堆放，设备初验收合格前的保管工作由乙方负责，费用乙方承担。</w:t>
      </w:r>
      <w:r/>
    </w:p>
    <w:p>
      <w:pPr>
        <w:pStyle w:val="1001"/>
        <w:ind w:firstLine="420"/>
        <w:spacing w:line="360" w:lineRule="auto"/>
        <w:rPr>
          <w:rFonts w:hAnsi="宋体"/>
          <w:color w:val="auto"/>
          <w:sz w:val="21"/>
          <w:highlight w:val="none"/>
        </w:rPr>
      </w:pPr>
      <w:r>
        <w:rPr>
          <w:rFonts w:hint="eastAsia" w:hAnsi="宋体"/>
          <w:color w:val="auto"/>
          <w:sz w:val="21"/>
          <w:highlight w:val="none"/>
        </w:rPr>
        <w:t xml:space="preserve">14.4 服务在交付甲方前发生的风险均由乙方负责。</w:t>
      </w:r>
      <w:r/>
    </w:p>
    <w:p>
      <w:pPr>
        <w:pStyle w:val="1001"/>
        <w:ind w:firstLine="420"/>
        <w:spacing w:before="120" w:after="120" w:line="360" w:lineRule="auto"/>
        <w:rPr>
          <w:rFonts w:hAnsi="宋体"/>
          <w:color w:val="auto"/>
          <w:sz w:val="21"/>
          <w:highlight w:val="none"/>
        </w:rPr>
      </w:pPr>
      <w:r>
        <w:rPr>
          <w:rFonts w:hint="eastAsia" w:hAnsi="宋体"/>
          <w:color w:val="auto"/>
          <w:sz w:val="21"/>
          <w:highlight w:val="none"/>
        </w:rPr>
        <w:t xml:space="preserve">14.5 服务在规定的交付期限内由乙方送达甲方指定的地点。</w:t>
      </w:r>
      <w:r/>
    </w:p>
    <w:p>
      <w:pPr>
        <w:pStyle w:val="1001"/>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十五、违约责任</w:t>
      </w:r>
      <w:r/>
    </w:p>
    <w:p>
      <w:pPr>
        <w:pStyle w:val="1001"/>
        <w:ind w:firstLine="420"/>
        <w:spacing w:before="120" w:after="120" w:line="360" w:lineRule="auto"/>
        <w:rPr>
          <w:rFonts w:hAnsi="宋体"/>
          <w:color w:val="auto"/>
          <w:sz w:val="21"/>
          <w:highlight w:val="none"/>
        </w:rPr>
      </w:pPr>
      <w:r>
        <w:rPr>
          <w:rFonts w:hint="eastAsia" w:hAnsi="宋体"/>
          <w:color w:val="auto"/>
          <w:sz w:val="21"/>
          <w:highlight w:val="none"/>
        </w:rPr>
        <w:t xml:space="preserve">15.1 甲方无正当理由拒收服务的，甲方向乙方偿付拒收款项总值的百分之五违约金。</w:t>
      </w:r>
      <w:r/>
    </w:p>
    <w:p>
      <w:pPr>
        <w:pStyle w:val="1001"/>
        <w:ind w:firstLine="420"/>
        <w:spacing w:before="120" w:after="120" w:line="360" w:lineRule="auto"/>
        <w:rPr>
          <w:rFonts w:hAnsi="宋体"/>
          <w:color w:val="auto"/>
          <w:sz w:val="21"/>
          <w:highlight w:val="none"/>
        </w:rPr>
      </w:pPr>
      <w:r>
        <w:rPr>
          <w:rFonts w:hint="eastAsia" w:hAnsi="宋体"/>
          <w:color w:val="auto"/>
          <w:sz w:val="21"/>
          <w:highlight w:val="none"/>
        </w:rPr>
        <w:t xml:space="preserve">15.2 甲方无故逾期验收和办理款项支付手续的,甲方应按逾期付款总额每日万分之五向乙方支付违约金。</w:t>
      </w:r>
      <w:r/>
    </w:p>
    <w:p>
      <w:pPr>
        <w:pStyle w:val="1001"/>
        <w:ind w:firstLine="420"/>
        <w:spacing w:before="120" w:after="120" w:line="360" w:lineRule="auto"/>
        <w:rPr>
          <w:rFonts w:hAnsi="宋体"/>
          <w:color w:val="auto"/>
          <w:sz w:val="21"/>
          <w:highlight w:val="none"/>
        </w:rPr>
      </w:pPr>
      <w:r>
        <w:rPr>
          <w:rFonts w:hint="eastAsia" w:hAnsi="宋体"/>
          <w:color w:val="auto"/>
          <w:sz w:val="21"/>
          <w:highlight w:val="none"/>
        </w:rPr>
        <w:t xml:space="preserve">15.3 乙方逾期交付服务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pStyle w:val="1001"/>
        <w:ind w:firstLine="420"/>
        <w:spacing w:before="120" w:after="120" w:line="360" w:lineRule="auto"/>
        <w:rPr>
          <w:rFonts w:hAnsi="宋体"/>
          <w:color w:val="auto"/>
          <w:sz w:val="21"/>
          <w:highlight w:val="none"/>
        </w:rPr>
      </w:pPr>
      <w:r>
        <w:rPr>
          <w:rFonts w:hint="eastAsia" w:hAnsi="宋体"/>
          <w:color w:val="auto"/>
          <w:sz w:val="21"/>
          <w:highlight w:val="none"/>
        </w:rPr>
        <w:t xml:space="preserve">15.4 乙方所交的服务数量、质量不符合合同规定及招标文件规定标准的，甲方有权拒收该服务，乙方愿意更换服务但逾期交付的，按乙方逾期交付处理。乙方拒绝更换服务的，甲方可单方面解除合同。</w:t>
      </w:r>
      <w:r/>
    </w:p>
    <w:p>
      <w:pPr>
        <w:pStyle w:val="1001"/>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十六、不可抗力事件处理</w:t>
      </w:r>
      <w:r/>
    </w:p>
    <w:p>
      <w:pPr>
        <w:pStyle w:val="1001"/>
        <w:ind w:firstLine="420"/>
        <w:spacing w:before="120" w:after="120" w:line="360" w:lineRule="auto"/>
        <w:rPr>
          <w:rFonts w:hAnsi="宋体"/>
          <w:color w:val="auto"/>
          <w:sz w:val="21"/>
          <w:highlight w:val="none"/>
        </w:rPr>
      </w:pPr>
      <w:r>
        <w:rPr>
          <w:rFonts w:hint="eastAsia" w:hAnsi="宋体"/>
          <w:color w:val="auto"/>
          <w:sz w:val="21"/>
          <w:highlight w:val="none"/>
        </w:rPr>
        <w:t xml:space="preserve">16.1 在合同有效期内，任何一方因不可抗力事件导致不能履行合同，则合同履行期可延长，其延长期与不可抗力影响期相同。</w:t>
      </w:r>
      <w:r/>
    </w:p>
    <w:p>
      <w:pPr>
        <w:pStyle w:val="1001"/>
        <w:ind w:firstLine="420"/>
        <w:spacing w:before="120" w:after="120" w:line="360" w:lineRule="auto"/>
        <w:rPr>
          <w:rFonts w:hAnsi="宋体"/>
          <w:color w:val="auto"/>
          <w:sz w:val="21"/>
          <w:highlight w:val="none"/>
        </w:rPr>
      </w:pPr>
      <w:r>
        <w:rPr>
          <w:rFonts w:hint="eastAsia" w:hAnsi="宋体"/>
          <w:color w:val="auto"/>
          <w:sz w:val="21"/>
          <w:highlight w:val="none"/>
        </w:rPr>
        <w:t xml:space="preserve">16.2 不可抗力事件发生后，应立即通知对方，并寄送有关权威机构出具的证明。</w:t>
      </w:r>
      <w:r/>
    </w:p>
    <w:p>
      <w:pPr>
        <w:pStyle w:val="1001"/>
        <w:ind w:firstLine="420"/>
        <w:spacing w:before="120" w:after="120" w:line="360" w:lineRule="auto"/>
        <w:rPr>
          <w:rFonts w:hAnsi="宋体"/>
          <w:color w:val="auto"/>
          <w:sz w:val="21"/>
          <w:highlight w:val="none"/>
        </w:rPr>
      </w:pPr>
      <w:r>
        <w:rPr>
          <w:rFonts w:hint="eastAsia" w:hAnsi="宋体"/>
          <w:color w:val="auto"/>
          <w:sz w:val="21"/>
          <w:highlight w:val="none"/>
        </w:rPr>
        <w:t xml:space="preserve">16.3 不可抗力事件延续120天以上，双方应通过友好协商，确定是否继续履行合同。</w:t>
      </w:r>
      <w:r/>
    </w:p>
    <w:p>
      <w:pPr>
        <w:pStyle w:val="1001"/>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十七、诉讼</w:t>
      </w:r>
      <w:r/>
    </w:p>
    <w:p>
      <w:pPr>
        <w:pStyle w:val="1001"/>
        <w:ind w:firstLine="420"/>
        <w:spacing w:before="120" w:after="120" w:line="360" w:lineRule="auto"/>
        <w:rPr>
          <w:rFonts w:hAnsi="宋体"/>
          <w:color w:val="auto"/>
          <w:sz w:val="21"/>
          <w:highlight w:val="none"/>
        </w:rPr>
      </w:pPr>
      <w:r>
        <w:rPr>
          <w:rFonts w:hint="eastAsia" w:hAnsi="宋体"/>
          <w:color w:val="auto"/>
          <w:sz w:val="21"/>
          <w:highlight w:val="none"/>
        </w:rPr>
        <w:t xml:space="preserve">17.1 双方在执行合同中所发生的一切争议，应通过协商解决。如协商不成，可向合同签订地法院起诉，合同签订地在此约定为扬州市。</w:t>
      </w:r>
      <w:r/>
    </w:p>
    <w:p>
      <w:pPr>
        <w:ind w:firstLine="422"/>
        <w:spacing w:line="360" w:lineRule="auto"/>
        <w:rPr>
          <w:rFonts w:hAnsi="宋体"/>
          <w:color w:val="auto"/>
          <w:szCs w:val="21"/>
          <w:highlight w:val="none"/>
        </w:rPr>
      </w:pPr>
      <w:r>
        <w:rPr>
          <w:rFonts w:hint="eastAsia" w:ascii="宋体" w:hAnsi="宋体"/>
          <w:b/>
          <w:bCs/>
          <w:color w:val="auto"/>
          <w:szCs w:val="21"/>
          <w:highlight w:val="none"/>
        </w:rPr>
        <w:t xml:space="preserve">十八、</w:t>
      </w:r>
      <w:r>
        <w:rPr>
          <w:rFonts w:hint="eastAsia" w:ascii="宋体" w:hAnsi="宋体" w:cs="宋体"/>
          <w:bCs/>
          <w:color w:val="auto"/>
          <w:highlight w:val="none"/>
        </w:rPr>
        <w:t xml:space="preserve">为落实好政府采购履约资金扶持政策，乙方可凭政府采购合同办理融资贷款，详见江苏政府采购网“政采贷”专栏。</w:t>
      </w:r>
      <w:r/>
    </w:p>
    <w:p>
      <w:pPr>
        <w:pStyle w:val="1001"/>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十九、合同生效及其它</w:t>
      </w:r>
      <w:r/>
    </w:p>
    <w:p>
      <w:pPr>
        <w:pStyle w:val="1001"/>
        <w:ind w:firstLine="420"/>
        <w:spacing w:before="120" w:after="120" w:line="360" w:lineRule="auto"/>
        <w:rPr>
          <w:rFonts w:hAnsi="宋体"/>
          <w:color w:val="auto"/>
          <w:sz w:val="21"/>
          <w:highlight w:val="none"/>
        </w:rPr>
      </w:pPr>
      <w:r>
        <w:rPr>
          <w:rFonts w:hint="eastAsia" w:hAnsi="宋体"/>
          <w:color w:val="auto"/>
          <w:sz w:val="21"/>
          <w:highlight w:val="none"/>
        </w:rPr>
        <w:t xml:space="preserve">19.1 合同经双方法定代表人签章并加盖单位公章，并经江苏汇诚投资咨询管理有限公司见证盖章后生效。</w:t>
      </w:r>
      <w:r/>
    </w:p>
    <w:p>
      <w:pPr>
        <w:pStyle w:val="1001"/>
        <w:ind w:firstLine="420"/>
        <w:spacing w:before="120" w:after="120" w:line="360" w:lineRule="auto"/>
        <w:rPr>
          <w:rFonts w:hAnsi="宋体"/>
          <w:color w:val="auto"/>
          <w:sz w:val="21"/>
          <w:highlight w:val="none"/>
        </w:rPr>
      </w:pPr>
      <w:r>
        <w:rPr>
          <w:rFonts w:hint="eastAsia" w:hAnsi="宋体"/>
          <w:color w:val="auto"/>
          <w:sz w:val="21"/>
          <w:highlight w:val="none"/>
        </w:rPr>
        <w:t xml:space="preserve">19.2本合同未尽事宜，遵照《民法典》有关条文执行。</w:t>
      </w:r>
      <w:r/>
    </w:p>
    <w:p>
      <w:pPr>
        <w:pStyle w:val="1001"/>
        <w:ind w:firstLine="420"/>
        <w:spacing w:before="120" w:after="120" w:line="360" w:lineRule="auto"/>
        <w:rPr>
          <w:rFonts w:hAnsi="宋体"/>
          <w:color w:val="auto"/>
          <w:sz w:val="21"/>
          <w:highlight w:val="none"/>
        </w:rPr>
      </w:pPr>
      <w:r>
        <w:rPr>
          <w:rFonts w:hint="eastAsia" w:hAnsi="宋体"/>
          <w:color w:val="auto"/>
          <w:sz w:val="21"/>
          <w:highlight w:val="none"/>
        </w:rPr>
        <w:t xml:space="preserve">19.3 本合同正本一式四份，具有同等法律效力，甲方、乙方、见证方及财政监管部门各执一份。  </w:t>
      </w:r>
      <w:r/>
    </w:p>
    <w:tbl>
      <w:tblPr>
        <w:tblStyle w:val="766"/>
        <w:tblW w:w="0" w:type="auto"/>
        <w:tblInd w:w="-81"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1001"/>
              <w:spacing w:before="120" w:after="120" w:line="360" w:lineRule="auto"/>
              <w:rPr>
                <w:rFonts w:hAnsi="宋体"/>
                <w:color w:val="auto"/>
                <w:sz w:val="21"/>
                <w:highlight w:val="none"/>
              </w:rPr>
            </w:pPr>
            <w:r>
              <w:rPr>
                <w:rFonts w:hint="eastAsia" w:hAnsi="宋体"/>
                <w:color w:val="auto"/>
                <w:sz w:val="21"/>
                <w:highlight w:val="none"/>
              </w:rPr>
              <w:t xml:space="preserve">甲方： 扬州市市场监督管理局</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1001"/>
              <w:spacing w:before="120" w:after="120" w:line="360" w:lineRule="auto"/>
              <w:rPr>
                <w:rFonts w:hAnsi="宋体"/>
                <w:color w:val="auto"/>
                <w:sz w:val="21"/>
                <w:highlight w:val="none"/>
              </w:rPr>
            </w:pPr>
            <w:r>
              <w:rPr>
                <w:rFonts w:hint="eastAsia" w:hAnsi="宋体"/>
                <w:color w:val="auto"/>
                <w:sz w:val="21"/>
                <w:highlight w:val="none"/>
              </w:rPr>
              <w:t xml:space="preserve">乙方： </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1001"/>
              <w:spacing w:before="120" w:after="120" w:line="360" w:lineRule="auto"/>
              <w:rPr>
                <w:rFonts w:hAnsi="宋体"/>
                <w:color w:val="auto"/>
                <w:sz w:val="21"/>
                <w:highlight w:val="none"/>
              </w:rPr>
            </w:pPr>
            <w:r>
              <w:rPr>
                <w:rFonts w:hint="eastAsia" w:hAnsi="宋体"/>
                <w:color w:val="auto"/>
                <w:sz w:val="21"/>
                <w:highlight w:val="none"/>
              </w:rPr>
              <w:t xml:space="preserve">地址： 扬州市邗江区文昌西路525号</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1001"/>
              <w:spacing w:before="120" w:after="120" w:line="360" w:lineRule="auto"/>
              <w:rPr>
                <w:rFonts w:hAnsi="宋体"/>
                <w:color w:val="auto"/>
                <w:sz w:val="21"/>
                <w:highlight w:val="none"/>
              </w:rPr>
            </w:pPr>
            <w:r>
              <w:rPr>
                <w:rFonts w:hint="eastAsia" w:hAnsi="宋体"/>
                <w:color w:val="auto"/>
                <w:sz w:val="21"/>
                <w:highlight w:val="none"/>
              </w:rPr>
              <w:t xml:space="preserve">地址： </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1001"/>
              <w:spacing w:before="120" w:after="120" w:line="360" w:lineRule="auto"/>
              <w:rPr>
                <w:rFonts w:hAnsi="宋体"/>
                <w:color w:val="auto"/>
                <w:sz w:val="21"/>
                <w:highlight w:val="none"/>
              </w:rPr>
            </w:pPr>
            <w:r>
              <w:rPr>
                <w:rFonts w:hint="eastAsia" w:hAnsi="宋体"/>
                <w:color w:val="auto"/>
                <w:sz w:val="21"/>
                <w:highlight w:val="none"/>
              </w:rPr>
              <w:t xml:space="preserve">法定代表人或授权代表：</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1001"/>
              <w:spacing w:before="120" w:after="120" w:line="360" w:lineRule="auto"/>
              <w:rPr>
                <w:rFonts w:hAnsi="宋体"/>
                <w:color w:val="auto"/>
                <w:sz w:val="21"/>
                <w:highlight w:val="none"/>
              </w:rPr>
            </w:pPr>
            <w:r>
              <w:rPr>
                <w:rFonts w:hint="eastAsia" w:hAnsi="宋体"/>
                <w:color w:val="auto"/>
                <w:sz w:val="21"/>
                <w:highlight w:val="none"/>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1001"/>
              <w:spacing w:before="120" w:after="120" w:line="360" w:lineRule="auto"/>
              <w:rPr>
                <w:rFonts w:hAnsi="宋体"/>
                <w:color w:val="auto"/>
                <w:sz w:val="21"/>
                <w:highlight w:val="none"/>
              </w:rPr>
            </w:pPr>
            <w:r>
              <w:rPr>
                <w:rFonts w:hint="eastAsia" w:hAnsi="宋体"/>
                <w:color w:val="auto"/>
                <w:sz w:val="21"/>
                <w:highlight w:val="none"/>
              </w:rPr>
              <w:t xml:space="preserve">联系电话：</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1001"/>
              <w:spacing w:before="120" w:after="120" w:line="360" w:lineRule="auto"/>
              <w:rPr>
                <w:rFonts w:hAnsi="宋体"/>
                <w:color w:val="auto"/>
                <w:sz w:val="21"/>
                <w:highlight w:val="none"/>
              </w:rPr>
            </w:pPr>
            <w:r>
              <w:rPr>
                <w:rFonts w:hint="eastAsia" w:hAnsi="宋体"/>
                <w:color w:val="auto"/>
                <w:sz w:val="21"/>
                <w:highlight w:val="none"/>
              </w:rPr>
              <w:t xml:space="preserve">联系电话：</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1001"/>
              <w:spacing w:before="120" w:after="120" w:line="360" w:lineRule="auto"/>
              <w:rPr>
                <w:rFonts w:hAnsi="宋体"/>
                <w:color w:val="auto"/>
                <w:sz w:val="21"/>
                <w:highlight w:val="none"/>
              </w:rPr>
            </w:pPr>
            <w:r>
              <w:rPr>
                <w:rFonts w:hint="eastAsia" w:hAnsi="宋体"/>
                <w:color w:val="auto"/>
                <w:sz w:val="21"/>
                <w:highlight w:val="none"/>
              </w:rPr>
              <w:t xml:space="preserve">日期：      年    月    日  </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1001"/>
              <w:spacing w:before="120" w:after="120" w:line="360" w:lineRule="auto"/>
              <w:rPr>
                <w:rFonts w:hAnsi="宋体"/>
                <w:color w:val="auto"/>
                <w:sz w:val="21"/>
                <w:highlight w:val="none"/>
              </w:rPr>
            </w:pPr>
            <w:r>
              <w:rPr>
                <w:rFonts w:hint="eastAsia" w:hAnsi="宋体"/>
                <w:color w:val="auto"/>
                <w:sz w:val="21"/>
                <w:highlight w:val="none"/>
              </w:rPr>
              <w:t xml:space="preserve">日期：      年    月    日</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1001"/>
              <w:spacing w:before="120" w:after="120" w:line="360" w:lineRule="auto"/>
              <w:rPr>
                <w:rFonts w:hAnsi="宋体"/>
                <w:color w:val="auto"/>
                <w:sz w:val="21"/>
                <w:highlight w:val="none"/>
              </w:rPr>
            </w:pPr>
            <w:r>
              <w:rPr>
                <w:rFonts w:hint="eastAsia" w:hAnsi="宋体"/>
                <w:color w:val="auto"/>
                <w:sz w:val="21"/>
                <w:highlight w:val="none"/>
              </w:rPr>
              <w:t xml:space="preserve">见证方：江苏汇诚投资咨询管理有限公司</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1001"/>
              <w:spacing w:before="120" w:after="120" w:line="360" w:lineRule="auto"/>
              <w:rPr>
                <w:rFonts w:hAnsi="宋体"/>
                <w:color w:val="auto"/>
                <w:sz w:val="21"/>
                <w:highlight w:val="none"/>
              </w:rPr>
            </w:pPr>
            <w:r>
              <w:rPr>
                <w:rFonts w:hAnsi="宋体"/>
                <w:color w:val="auto"/>
                <w:sz w:val="21"/>
                <w:highlight w:val="none"/>
              </w:rPr>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1001"/>
              <w:spacing w:before="120" w:after="120" w:line="360" w:lineRule="auto"/>
              <w:rPr>
                <w:rFonts w:hAnsi="宋体"/>
                <w:color w:val="auto"/>
                <w:sz w:val="21"/>
                <w:highlight w:val="none"/>
              </w:rPr>
            </w:pPr>
            <w:r>
              <w:rPr>
                <w:rFonts w:hint="eastAsia" w:hAnsi="宋体"/>
                <w:color w:val="auto"/>
                <w:sz w:val="21"/>
                <w:highlight w:val="none"/>
              </w:rPr>
              <w:t xml:space="preserve">项目经办人：</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1001"/>
              <w:spacing w:before="120" w:after="120" w:line="360" w:lineRule="auto"/>
              <w:rPr>
                <w:rFonts w:hAnsi="宋体"/>
                <w:color w:val="auto"/>
                <w:sz w:val="21"/>
                <w:highlight w:val="none"/>
              </w:rPr>
            </w:pPr>
            <w:r>
              <w:rPr>
                <w:rFonts w:hAnsi="宋体"/>
                <w:color w:val="auto"/>
                <w:sz w:val="21"/>
                <w:highlight w:val="none"/>
              </w:rPr>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1001"/>
              <w:spacing w:before="120" w:after="120" w:line="360" w:lineRule="auto"/>
              <w:rPr>
                <w:rFonts w:hAnsi="宋体"/>
                <w:color w:val="auto"/>
                <w:sz w:val="21"/>
                <w:highlight w:val="none"/>
              </w:rPr>
            </w:pPr>
            <w:r>
              <w:rPr>
                <w:rFonts w:hint="eastAsia" w:hAnsi="宋体"/>
                <w:color w:val="auto"/>
                <w:sz w:val="21"/>
                <w:highlight w:val="none"/>
              </w:rPr>
              <w:t xml:space="preserve">日期：      年    月    日 </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1001"/>
              <w:spacing w:before="120" w:after="120" w:line="360" w:lineRule="auto"/>
              <w:rPr>
                <w:rFonts w:hAnsi="宋体"/>
                <w:color w:val="auto"/>
                <w:sz w:val="21"/>
                <w:highlight w:val="none"/>
              </w:rPr>
            </w:pPr>
            <w:r>
              <w:rPr>
                <w:rFonts w:hAnsi="宋体"/>
                <w:color w:val="auto"/>
                <w:sz w:val="21"/>
                <w:highlight w:val="none"/>
              </w:rPr>
            </w:r>
            <w:r/>
          </w:p>
        </w:tc>
      </w:tr>
    </w:tbl>
    <w:p>
      <w:pPr>
        <w:pStyle w:val="1001"/>
        <w:spacing w:before="120" w:after="120" w:line="360" w:lineRule="auto"/>
        <w:rPr>
          <w:rFonts w:hAnsi="宋体"/>
          <w:color w:val="auto"/>
          <w:sz w:val="21"/>
          <w:highlight w:val="none"/>
        </w:rPr>
      </w:pPr>
      <w:r>
        <w:rPr>
          <w:rFonts w:hint="eastAsia" w:hAnsi="宋体"/>
          <w:color w:val="auto"/>
          <w:sz w:val="21"/>
          <w:highlight w:val="none"/>
        </w:rPr>
        <w:t xml:space="preserve"> </w:t>
      </w:r>
      <w:r/>
    </w:p>
    <w:p>
      <w:pPr>
        <w:pStyle w:val="1001"/>
        <w:spacing w:before="120" w:after="120" w:line="360" w:lineRule="auto"/>
        <w:rPr>
          <w:rFonts w:hAnsi="宋体"/>
          <w:color w:val="auto"/>
          <w:sz w:val="21"/>
          <w:highlight w:val="none"/>
        </w:rPr>
      </w:pPr>
      <w:r>
        <w:rPr>
          <w:rFonts w:hint="eastAsia" w:hAnsi="宋体"/>
          <w:color w:val="auto"/>
          <w:sz w:val="21"/>
          <w:highlight w:val="none"/>
        </w:rPr>
        <w:t xml:space="preserve">  </w:t>
      </w:r>
      <w:r/>
    </w:p>
    <w:p>
      <w:pPr>
        <w:rPr>
          <w:color w:val="auto"/>
          <w:highlight w:val="none"/>
        </w:rPr>
      </w:pPr>
      <w:r>
        <w:rPr>
          <w:color w:val="auto"/>
          <w:highlight w:val="none"/>
        </w:rPr>
        <w:br w:type="page" w:clear="all"/>
      </w:r>
      <w:bookmarkEnd w:id="52"/>
      <w:r/>
      <w:r/>
    </w:p>
    <w:p>
      <w:pPr>
        <w:pStyle w:val="974"/>
        <w:jc w:val="center"/>
        <w:spacing w:line="240" w:lineRule="auto"/>
        <w:rPr>
          <w:color w:val="auto"/>
          <w:highlight w:val="none"/>
        </w:rPr>
      </w:pPr>
      <w:r>
        <w:rPr>
          <w:rFonts w:hint="eastAsia"/>
          <w:color w:val="auto"/>
          <w:highlight w:val="none"/>
        </w:rPr>
        <w:t xml:space="preserve">第四章 项目需求</w:t>
      </w:r>
      <w:r/>
    </w:p>
    <w:p>
      <w:pPr>
        <w:rPr>
          <w:color w:val="auto"/>
          <w:highlight w:val="none"/>
        </w:rPr>
      </w:pPr>
      <w:r>
        <w:rPr>
          <w:color w:val="auto"/>
          <w:highlight w:val="none"/>
        </w:rPr>
      </w:r>
      <w:r/>
    </w:p>
    <w:p>
      <w:pPr>
        <w:spacing w:line="360" w:lineRule="auto"/>
        <w:rPr>
          <w:color w:val="auto"/>
          <w:highlight w:val="none"/>
        </w:rPr>
      </w:pPr>
      <w:r>
        <w:rPr>
          <w:rFonts w:hint="eastAsia"/>
          <w:b/>
          <w:bCs/>
          <w:color w:val="auto"/>
          <w:highlight w:val="none"/>
        </w:rPr>
        <w:t xml:space="preserve">注： 本章内容里斜体且有下划线部分为实质性要求和条件，投标文件不满足的，视为无效投标处理。请各供应商制作电子投标文件时，将实质性响应的内容在政府采购管理交易系统（苏采云）</w:t>
      </w:r>
      <w:r>
        <w:rPr>
          <w:b/>
          <w:bCs/>
          <w:color w:val="auto"/>
          <w:highlight w:val="none"/>
        </w:rPr>
        <w:t xml:space="preserve">“</w:t>
      </w:r>
      <w:r>
        <w:rPr>
          <w:rFonts w:hint="eastAsia"/>
          <w:b/>
          <w:bCs/>
          <w:color w:val="auto"/>
          <w:highlight w:val="none"/>
        </w:rPr>
        <w:t xml:space="preserve">符合证明文件格式</w:t>
      </w:r>
      <w:r>
        <w:rPr>
          <w:b/>
          <w:bCs/>
          <w:color w:val="auto"/>
          <w:highlight w:val="none"/>
        </w:rPr>
        <w:t xml:space="preserve">”</w:t>
      </w:r>
      <w:r>
        <w:rPr>
          <w:rFonts w:hint="eastAsia"/>
          <w:b/>
          <w:bCs/>
          <w:color w:val="auto"/>
          <w:highlight w:val="none"/>
        </w:rPr>
        <w:t xml:space="preserve">中准确填写或上传。</w:t>
      </w:r>
      <w:r/>
    </w:p>
    <w:p>
      <w:pPr>
        <w:rPr>
          <w:color w:val="auto"/>
          <w:highlight w:val="none"/>
        </w:rPr>
      </w:pPr>
      <w:r>
        <w:rPr>
          <w:color w:val="auto"/>
          <w:highlight w:val="none"/>
        </w:rPr>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一、项目简介</w:t>
      </w:r>
      <w:r/>
    </w:p>
    <w:p>
      <w:pPr>
        <w:ind w:firstLine="420"/>
        <w:spacing w:line="430" w:lineRule="exact"/>
        <w:rPr>
          <w:rFonts w:ascii="宋体" w:hAnsi="宋体" w:cs="宋体"/>
          <w:color w:val="auto"/>
          <w:szCs w:val="21"/>
          <w:highlight w:val="none"/>
        </w:rPr>
      </w:pPr>
      <w:r>
        <w:rPr>
          <w:rFonts w:hint="eastAsia" w:ascii="宋体" w:hAnsi="宋体" w:cs="宋体"/>
          <w:color w:val="auto"/>
          <w:szCs w:val="21"/>
          <w:highlight w:val="none"/>
        </w:rPr>
        <w:t xml:space="preserve">为确保</w:t>
      </w:r>
      <w:r>
        <w:rPr>
          <w:rFonts w:hint="eastAsia" w:ascii="宋体" w:hAnsi="宋体" w:cs="宋体"/>
          <w:color w:val="auto"/>
          <w:szCs w:val="21"/>
          <w:highlight w:val="none"/>
          <w:lang w:eastAsia="zh-CN"/>
        </w:rPr>
        <w:t xml:space="preserve">2026年扬州市食品安全</w:t>
      </w:r>
      <w:r>
        <w:rPr>
          <w:rFonts w:hint="eastAsia" w:ascii="宋体" w:hAnsi="宋体" w:cs="宋体"/>
          <w:color w:val="auto"/>
          <w:szCs w:val="21"/>
          <w:highlight w:val="none"/>
        </w:rPr>
        <w:t xml:space="preserve">机动任务抽检工作顺利开展,现向全国范围内检测机构</w:t>
      </w:r>
      <w:r>
        <w:rPr>
          <w:rFonts w:hint="eastAsia" w:ascii="宋体" w:hAnsi="宋体" w:cs="宋体"/>
          <w:color w:val="auto"/>
          <w:szCs w:val="21"/>
          <w:highlight w:val="none"/>
          <w:lang w:val="en-US" w:eastAsia="zh-CN"/>
        </w:rPr>
        <w:t xml:space="preserve">进行</w:t>
      </w:r>
      <w:r>
        <w:rPr>
          <w:rFonts w:hint="eastAsia" w:ascii="宋体" w:hAnsi="宋体" w:cs="宋体"/>
          <w:color w:val="auto"/>
          <w:szCs w:val="21"/>
          <w:highlight w:val="none"/>
        </w:rPr>
        <w:t xml:space="preserve">公开招标，</w:t>
      </w:r>
      <w:r>
        <w:rPr>
          <w:rFonts w:hint="eastAsia" w:ascii="宋体" w:hAnsi="宋体" w:cs="宋体"/>
          <w:color w:val="auto"/>
          <w:szCs w:val="21"/>
          <w:highlight w:val="none"/>
          <w:lang w:val="en-US" w:eastAsia="zh-CN"/>
        </w:rPr>
        <w:t xml:space="preserve">入围的</w:t>
      </w:r>
      <w:r>
        <w:rPr>
          <w:rFonts w:hint="eastAsia" w:ascii="宋体" w:hAnsi="宋体" w:cs="宋体"/>
          <w:color w:val="auto"/>
          <w:szCs w:val="21"/>
          <w:highlight w:val="none"/>
        </w:rPr>
        <w:t xml:space="preserve">检测机构有资格承担</w:t>
      </w:r>
      <w:r>
        <w:rPr>
          <w:rFonts w:hint="eastAsia" w:ascii="宋体" w:hAnsi="宋体" w:cs="宋体"/>
          <w:color w:val="auto"/>
          <w:szCs w:val="21"/>
          <w:highlight w:val="none"/>
          <w:lang w:eastAsia="zh-CN"/>
        </w:rPr>
        <w:t xml:space="preserve">2026年扬州市食品安全</w:t>
      </w:r>
      <w:r>
        <w:rPr>
          <w:rFonts w:hint="eastAsia" w:ascii="宋体" w:hAnsi="宋体" w:cs="宋体"/>
          <w:color w:val="auto"/>
          <w:szCs w:val="21"/>
          <w:highlight w:val="none"/>
        </w:rPr>
        <w:t xml:space="preserve">机动任务抽检工作。本次招标只招承担扬州市市场监督管理局</w:t>
      </w:r>
      <w:r>
        <w:rPr>
          <w:rFonts w:hint="eastAsia" w:ascii="宋体" w:hAnsi="宋体" w:cs="宋体"/>
          <w:color w:val="auto"/>
          <w:szCs w:val="21"/>
          <w:highlight w:val="none"/>
          <w:lang w:eastAsia="zh-CN"/>
        </w:rPr>
        <w:t xml:space="preserve">2026年扬州市食品安全</w:t>
      </w:r>
      <w:r>
        <w:rPr>
          <w:rFonts w:hint="eastAsia" w:ascii="宋体" w:hAnsi="宋体" w:cs="宋体"/>
          <w:color w:val="auto"/>
          <w:szCs w:val="21"/>
          <w:highlight w:val="none"/>
        </w:rPr>
        <w:t xml:space="preserve">机动任务抽检任务的承检机构。抽检</w:t>
      </w:r>
      <w:r>
        <w:rPr>
          <w:rFonts w:hint="eastAsia" w:ascii="宋体" w:hAnsi="宋体" w:cs="宋体"/>
          <w:color w:val="auto"/>
          <w:szCs w:val="21"/>
          <w:highlight w:val="none"/>
          <w:lang w:val="en-US" w:eastAsia="zh-CN"/>
        </w:rPr>
        <w:t xml:space="preserve">机构</w:t>
      </w:r>
      <w:r>
        <w:rPr>
          <w:rFonts w:hint="eastAsia" w:ascii="宋体" w:hAnsi="宋体" w:cs="宋体"/>
          <w:color w:val="auto"/>
          <w:szCs w:val="21"/>
          <w:highlight w:val="none"/>
        </w:rPr>
        <w:t xml:space="preserve">服务内容:负责扬州市全市食品安全机动环节监督抽检工作，抽检场所及具体品种根据实际工作需要制定，覆盖品类依据国家市场监督管理总局核准的粮食及粮食制品、蔬菜及其制品、水果及其制品、水产品及其制品、食用油(油脂)及其制品等</w:t>
      </w:r>
      <w:r>
        <w:rPr>
          <w:rFonts w:hint="eastAsia" w:ascii="宋体" w:hAnsi="宋体" w:cs="宋体"/>
          <w:color w:val="auto"/>
          <w:szCs w:val="21"/>
          <w:highlight w:val="none"/>
        </w:rPr>
        <w:t xml:space="preserve">3</w:t>
      </w: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rPr>
        <w:t xml:space="preserve">大类产品</w:t>
      </w:r>
      <w:r>
        <w:rPr>
          <w:rFonts w:hint="eastAsia" w:ascii="宋体" w:hAnsi="宋体" w:cs="宋体"/>
          <w:color w:val="auto"/>
          <w:szCs w:val="21"/>
          <w:highlight w:val="none"/>
        </w:rPr>
        <w:t xml:space="preserve">。</w:t>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二、项目要求</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1、基本要求</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1.1严格遵守《中华人民共和国食品安全法》、《食品安全抽样检验管理办法》、《江苏省食品安全监督抽检工作实施办法》等相关法律、法规、规章的规定。</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1.2按照国家法律、法规、国家标准规定和采购人要求开展抽样、检验等各项任务， 并根据承担的检验任务出具检验实施方案交采购人审查确定。</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2、服务步骤：中标供应商应按以下主要步骤开展相关工作：</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2.1由采购方根据对应分包中标供应商确定该承检机构承担的检测范围；</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2.2承检机构负责抽样；</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2.3承检机构负责检验、检验报告出具以及检验结果的确认；</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2.4承检机构负责通过</w:t>
      </w:r>
      <w:bookmarkStart w:id="53" w:name="_Hlk86768829"/>
      <w:r>
        <w:rPr>
          <w:rFonts w:hint="eastAsia" w:ascii="宋体" w:hAnsi="宋体" w:cs="宋体"/>
          <w:color w:val="auto"/>
          <w:szCs w:val="21"/>
          <w:highlight w:val="none"/>
        </w:rPr>
        <w:t xml:space="preserve">采购人指定系统</w:t>
      </w:r>
      <w:bookmarkEnd w:id="53"/>
      <w:r>
        <w:rPr>
          <w:rFonts w:hint="eastAsia" w:ascii="宋体" w:hAnsi="宋体" w:cs="宋体"/>
          <w:color w:val="auto"/>
          <w:szCs w:val="21"/>
          <w:highlight w:val="none"/>
        </w:rPr>
        <w:t xml:space="preserve">录入上传数据；</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2.5承检机构负责协助采购人办理异议处理和复检工作；</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2.6承检机构负责汇总材料及上报；</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2.7承检机构负责协助拟定、发布公告。</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3、服务内容</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3.1承检机构应在规定时间内完成采购方部署的抽检监测工作，并对抽样环节全程录像。按采购人要求予以检测并依法出具检验报告，上报数据至指定的数据平台，汇总样品抽检监测结果信息，提交抽检监测工作分析总结报告，未经采购方同意不得擅自发布抽检监测结果。</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3.2为确保抽检监测结果的有效性和公信力，减少争议，避免样品发生变化影响检验结果的情形，供应商在抽样后应及时将样品送达检测实验室，采取合理的储运方式并做好各项指标记录，保证转运过程可追溯。</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3.3 承检机构应当收集分析抽检监测中遇到的各类问题并加以研究分析，在报告中提出有关制度性建设性的建议，能够有助于食品安全标准、食品补充检验方法或食品快速检测方法等制度修订与研究。</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3.4承检机构应建立抽检合格备份样品再利用工作机制，并积极开展抽检合格备份样品再利用管理工作。</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3.5承检机构应按照采购方要求及时通过采购人指定系统上传录入数据。</w:t>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三、服务要求</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严格按照《国家食品安全监督抽检实施细则》（最新版）规定的检验方法进行检验，不得擅自变更检验方法、增加或者减少检验项目，不得擅自修改判定原则，承检机构对其出具的检验报告的真实性和准确性负责。采购人通过现场检查和盲样考核等方式对各承检机构所做出的检验数据进行考核，发现存在上述问题或者弄虚作假、擅自修改检验数据等情形的，将取消承检机构的食品抽检任务资格，并对所造成的损失和不良影响承担法律责任，剩余任务由采购人分配给其他承检机构。</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2、投标人应制定明确规范、科学有效的内控制度，明确各岗位业务操作规范和操作流程，涵盖采样、送检、检测、复核、签署报告、录入信息、上报结果、发布公告等业务流程涉及的所有环节。</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3、中标供应商按照法律法规和采购人要求抽样并完成检测任务后，所有备样不得自行处置，按采购人有关备样处置的要求处置。</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4、投标人对抽检信息、数据等负有保密义务，未经采购人授权，不得向除采购人外的任何单位与个人透露任何信息。</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5、检验项目由采购人确定，投标人应按照采购人要求，及时将抽样检验相关资料准确录入采购人指定的信息管理系统。</w:t>
      </w:r>
      <w:r/>
    </w:p>
    <w:p>
      <w:pPr>
        <w:ind w:firstLine="420"/>
        <w:spacing w:line="440" w:lineRule="exact"/>
        <w:rPr>
          <w:rFonts w:ascii="宋体" w:hAnsi="宋体" w:cs="宋体"/>
          <w:b/>
          <w:bCs/>
          <w:color w:val="auto"/>
          <w:szCs w:val="21"/>
          <w:highlight w:val="none"/>
        </w:rPr>
      </w:pPr>
      <w:r>
        <w:rPr>
          <w:rFonts w:hint="eastAsia" w:ascii="宋体" w:hAnsi="宋体" w:cs="宋体"/>
          <w:color w:val="auto"/>
          <w:szCs w:val="21"/>
          <w:highlight w:val="none"/>
        </w:rPr>
        <w:t xml:space="preserve">★6、抽样检验的工作人员必须为投标人在职员工，投标人不得将检验任务转包给其他检验机构，一经发现，立即终止承检任务。</w:t>
      </w:r>
      <w:r>
        <w:rPr>
          <w:rFonts w:hint="eastAsia" w:ascii="宋体" w:hAnsi="宋体" w:cs="宋体"/>
          <w:b/>
          <w:bCs/>
          <w:color w:val="auto"/>
          <w:szCs w:val="21"/>
          <w:highlight w:val="none"/>
        </w:rPr>
        <w:t xml:space="preserve">（供应商提供书面承诺函响应并加盖公章，格式自拟，内容应完全响应招标文件要求。）</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7、投标人应按照采购人要求，严格遵守抽样工作规范，保证抽样工作有效。样品抽取要由专门人员完成，样品运输要符合样品管理规定，鼓励派专人专车送达。</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8、投标人应在规定时间内完成采购人部署的抽样检验工作，必须保证抽检过程公平、公正，依法出具检验报告，汇总样品抽检结果信息，提交抽检工作分析总结报告。出现检验事故的，立即终止承检任务。</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9、为保证检验任务高效优质地完成，投标人须接受采购人组织的各种形式的检查和考核，对于采购人在考核中提出的问题要及时进行整改，并提交整改报告。整改不到位的，采购人有权终止合同并保留追究其经济赔偿责任和法律责任的权利。</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10、若违反抽样、检验、信息披露等相关规定的，采购人有权终止合同，取消中标人承检任务并追究其经济赔偿责任和法律责任。</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11、中标人不得拒绝采购人委托的抽检任务，否则视为违约。</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12、采购人有权按服务响应、履约情况、考核情况等因素综合评定后调整服务任务。</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★13、中标的承检机构有下列情形之一的，采购人有权终止、解除合同，收回按照合同支付的抽样检验费用，供应商还须赔偿采购人因此遭受的损失：</w:t>
      </w:r>
      <w:r/>
    </w:p>
    <w:p>
      <w:pPr>
        <w:ind w:firstLine="420"/>
        <w:spacing w:line="440" w:lineRule="exact"/>
        <w:rPr>
          <w:rFonts w:ascii="宋体" w:hAnsi="宋体" w:cs="宋体"/>
          <w:color w:val="auto"/>
          <w:szCs w:val="21"/>
          <w:highlight w:val="none"/>
        </w:rPr>
      </w:pPr>
      <w:r/>
      <w:bookmarkStart w:id="54" w:name="_Hlk162876826"/>
      <w:r>
        <w:rPr>
          <w:rFonts w:hint="eastAsia" w:ascii="宋体" w:hAnsi="宋体" w:cs="宋体"/>
          <w:color w:val="auto"/>
          <w:szCs w:val="21"/>
          <w:highlight w:val="none"/>
        </w:rPr>
        <w:t xml:space="preserve">13.1出具虚假检验报告、不实检验报告的；</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13.2利用抽样检验工作之便牟取不正当利益的；</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13.3违反规定事先通知被抽检食品生产经营者的；</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13.4谎报、瞒报、擅自发布食品安全抽样检验信息的；</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13.5因自身原因，未按照规定的时限和程序报告不合格检验结论，造成严重后果的；</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13.6超资质范围出具检验报告的；</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13.7存在物料不平衡情况的；</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13.8有其他违法违规行为的。</w:t>
      </w:r>
      <w:bookmarkEnd w:id="54"/>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针对上述★终止、解除合同有关情形，供应商提供书面承诺函响应，原件加盖供应商公章扫描上传，格式自拟，内容应完全响应招标文件要求。</w:t>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★四、保密要求</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中标供应商及其服务人员应做好保密工作。在项目实施过程中要建立工作登记单实现可追溯并确保相关档案实体及电子档信息的安全。未经允许不得对接触到的各种资料、文件拍照、拍摄，各种实体及电子资料等不得损坏、丢失和泄密。否则由此造成的一切后果供应商需承担相关法律责任和赔偿责任。</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2、服务人员不得以任何形式将档案资料（包括纸质档和电子档）带出指定工作现场，不得以任何形式进行泄漏、传播。</w:t>
      </w:r>
      <w:r/>
    </w:p>
    <w:p>
      <w:pPr>
        <w:ind w:firstLine="420"/>
        <w:spacing w:line="440" w:lineRule="exact"/>
        <w:rPr>
          <w:rFonts w:ascii="宋体" w:hAnsi="宋体" w:cs="宋体"/>
          <w:color w:val="auto"/>
          <w:szCs w:val="21"/>
          <w:highlight w:val="none"/>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cs="宋体"/>
          <w:color w:val="auto"/>
          <w:szCs w:val="21"/>
          <w:highlight w:val="none"/>
        </w:rPr>
        <w:t xml:space="preserve">3、供应商应对其服务人员保密义务承担责任，如因其服务人员违反保密义务导致采购</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人产生损失或支出费用的，采购人有权要求供应商承担责任。</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4、供应商及其服务人员的保密期限为永久，不因本项目所签订的文件或合同的终止而终止。</w:t>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针对上述★保密要求内容，供应商须提供书面承诺函响应，原件加盖供应商公章扫描上传，格式自拟，内容应完全响应招标文件要求。</w:t>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五、服务期限</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服务期限：</w:t>
      </w:r>
      <w:r>
        <w:rPr>
          <w:rFonts w:hint="eastAsia" w:ascii="宋体" w:hAnsi="宋体" w:cs="宋体"/>
          <w:color w:val="auto"/>
          <w:szCs w:val="21"/>
          <w:highlight w:val="none"/>
        </w:rPr>
        <w:t xml:space="preserve">自合同生效之日起至202</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年12月20日</w:t>
      </w:r>
      <w:r/>
    </w:p>
    <w:p>
      <w:pPr>
        <w:ind w:firstLine="422"/>
        <w:spacing w:line="440" w:lineRule="exact"/>
        <w:rPr>
          <w:rFonts w:ascii="宋体" w:hAnsi="宋体" w:cs="宋体"/>
          <w:color w:val="auto"/>
          <w:szCs w:val="21"/>
          <w:highlight w:val="none"/>
        </w:rPr>
      </w:pPr>
      <w:r>
        <w:rPr>
          <w:rFonts w:hint="eastAsia" w:ascii="宋体" w:hAnsi="宋体" w:cs="宋体"/>
          <w:b/>
          <w:color w:val="auto"/>
          <w:szCs w:val="21"/>
          <w:highlight w:val="none"/>
        </w:rPr>
        <w:t xml:space="preserve">六、项目内容</w:t>
      </w:r>
      <w:r/>
    </w:p>
    <w:p>
      <w:pPr>
        <w:pStyle w:val="1019"/>
        <w:ind w:left="0"/>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一）标的物为37个大类、271个食品细类的食品抽检。食品品种抽检基准价格包含了检验费用、抽样费和买样费。（注：抽检品种及项目范围根据国家市场监管总局下发的《2025年食品安全监督抽检实施细则》中规定的2025年食品安全监督抽检品种、项目表全项目检测开展检测工作。如国家市场监管总局或江苏省市场监督管理局下发的抽检计划有更新，招标人有权按照实际情况进行调整。）</w:t>
      </w:r>
      <w:r/>
    </w:p>
    <w:p>
      <w:pPr>
        <w:pStyle w:val="1019"/>
        <w:ind w:left="0"/>
        <w:jc w:val="left"/>
        <w:spacing w:line="440" w:lineRule="exact"/>
        <w:rPr>
          <w:rFonts w:ascii="宋体" w:hAnsi="宋体" w:cs="宋体"/>
          <w:color w:val="auto"/>
          <w:szCs w:val="21"/>
          <w:highlight w:val="none"/>
        </w:rPr>
      </w:pPr>
      <w:r>
        <w:rPr>
          <w:rFonts w:ascii="宋体" w:hAnsi="宋体" w:cs="宋体"/>
          <w:color w:val="auto"/>
          <w:szCs w:val="21"/>
          <w:highlight w:val="none"/>
        </w:rPr>
      </w:r>
      <w:r/>
    </w:p>
    <w:p>
      <w:pPr>
        <w:pStyle w:val="756"/>
        <w:jc w:val="center"/>
        <w:spacing w:before="0" w:after="0" w:line="44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202</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年食品安全监督抽检品种、项目表</w:t>
      </w:r>
      <w:r/>
    </w:p>
    <w:p>
      <w:pPr>
        <w:pStyle w:val="767"/>
        <w:ind w:firstLine="0"/>
        <w:rPr>
          <w:color w:val="auto"/>
          <w:highlight w:val="none"/>
        </w:rPr>
      </w:pPr>
      <w:r>
        <w:rPr>
          <w:color w:val="auto"/>
          <w:highlight w:val="none"/>
        </w:rPr>
      </w:r>
      <w:r/>
    </w:p>
    <w:tbl>
      <w:tblPr>
        <w:tblStyle w:val="766"/>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681"/>
        <w:gridCol w:w="1276"/>
        <w:gridCol w:w="1276"/>
        <w:gridCol w:w="1686"/>
        <w:gridCol w:w="1331"/>
        <w:gridCol w:w="790"/>
        <w:gridCol w:w="7134"/>
      </w:tblGrid>
      <w:tr>
        <w:trPr>
          <w:trHeight w:val="555"/>
        </w:trPr>
        <w:tc>
          <w:tcPr>
            <w:tcBorders>
              <w:top w:val="single" w:color="auto" w:sz="4" w:space="0"/>
              <w:left w:val="single" w:color="auto" w:sz="4" w:space="0"/>
              <w:bottom w:val="single" w:color="auto" w:sz="4" w:space="0"/>
              <w:right w:val="single" w:color="auto" w:sz="4" w:space="0"/>
            </w:tcBorders>
            <w:tcW w:w="261" w:type="pct"/>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序号</w:t>
            </w:r>
            <w:r/>
          </w:p>
        </w:tc>
        <w:tc>
          <w:tcPr>
            <w:tcBorders>
              <w:top w:val="single" w:color="auto"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食品大类</w:t>
            </w:r>
            <w:r>
              <w:rPr>
                <w:rFonts w:hint="eastAsia" w:ascii="宋体" w:hAnsi="宋体" w:eastAsia="宋体" w:cs="宋体"/>
                <w:b/>
                <w:bCs/>
                <w:color w:val="auto"/>
                <w:sz w:val="21"/>
                <w:szCs w:val="21"/>
                <w:highlight w:val="none"/>
              </w:rPr>
              <w:br/>
            </w:r>
            <w:r>
              <w:rPr>
                <w:rFonts w:hint="eastAsia" w:ascii="宋体" w:hAnsi="宋体" w:eastAsia="宋体" w:cs="宋体"/>
                <w:b/>
                <w:bCs/>
                <w:color w:val="auto"/>
                <w:sz w:val="21"/>
                <w:szCs w:val="21"/>
                <w:highlight w:val="none"/>
              </w:rPr>
              <w:t xml:space="preserve">(一级)</w:t>
            </w:r>
            <w:r/>
          </w:p>
        </w:tc>
        <w:tc>
          <w:tcPr>
            <w:tcBorders>
              <w:top w:val="single" w:color="auto"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食品亚类</w:t>
            </w:r>
            <w:r>
              <w:rPr>
                <w:rFonts w:hint="eastAsia" w:ascii="宋体" w:hAnsi="宋体" w:eastAsia="宋体" w:cs="宋体"/>
                <w:b/>
                <w:bCs/>
                <w:color w:val="auto"/>
                <w:sz w:val="21"/>
                <w:szCs w:val="21"/>
                <w:highlight w:val="none"/>
              </w:rPr>
              <w:br/>
            </w:r>
            <w:r>
              <w:rPr>
                <w:rFonts w:hint="eastAsia" w:ascii="宋体" w:hAnsi="宋体" w:eastAsia="宋体" w:cs="宋体"/>
                <w:b/>
                <w:bCs/>
                <w:color w:val="auto"/>
                <w:sz w:val="21"/>
                <w:szCs w:val="21"/>
                <w:highlight w:val="none"/>
              </w:rPr>
              <w:t xml:space="preserve">(二级)</w:t>
            </w:r>
            <w:r/>
          </w:p>
        </w:tc>
        <w:tc>
          <w:tcPr>
            <w:tcBorders>
              <w:top w:val="single" w:color="auto"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食品品种</w:t>
            </w:r>
            <w:r>
              <w:rPr>
                <w:rFonts w:hint="eastAsia" w:ascii="宋体" w:hAnsi="宋体" w:eastAsia="宋体" w:cs="宋体"/>
                <w:b/>
                <w:bCs/>
                <w:color w:val="auto"/>
                <w:sz w:val="21"/>
                <w:szCs w:val="21"/>
                <w:highlight w:val="none"/>
              </w:rPr>
              <w:br/>
            </w:r>
            <w:r>
              <w:rPr>
                <w:rFonts w:hint="eastAsia" w:ascii="宋体" w:hAnsi="宋体" w:eastAsia="宋体" w:cs="宋体"/>
                <w:b/>
                <w:bCs/>
                <w:color w:val="auto"/>
                <w:sz w:val="21"/>
                <w:szCs w:val="21"/>
                <w:highlight w:val="none"/>
              </w:rPr>
              <w:t xml:space="preserve">(三级)</w:t>
            </w:r>
            <w:r/>
          </w:p>
        </w:tc>
        <w:tc>
          <w:tcPr>
            <w:tcBorders>
              <w:top w:val="single" w:color="auto"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食品细类</w:t>
            </w:r>
            <w:r>
              <w:rPr>
                <w:rFonts w:hint="eastAsia" w:ascii="宋体" w:hAnsi="宋体" w:eastAsia="宋体" w:cs="宋体"/>
                <w:b/>
                <w:bCs/>
                <w:color w:val="auto"/>
                <w:sz w:val="21"/>
                <w:szCs w:val="21"/>
                <w:highlight w:val="none"/>
              </w:rPr>
              <w:br/>
            </w:r>
            <w:r>
              <w:rPr>
                <w:rFonts w:hint="eastAsia" w:ascii="宋体" w:hAnsi="宋体" w:eastAsia="宋体" w:cs="宋体"/>
                <w:b/>
                <w:bCs/>
                <w:color w:val="auto"/>
                <w:sz w:val="21"/>
                <w:szCs w:val="21"/>
                <w:highlight w:val="none"/>
              </w:rPr>
              <w:t xml:space="preserve">(四级)</w:t>
            </w:r>
            <w:r/>
          </w:p>
        </w:tc>
        <w:tc>
          <w:tcPr>
            <w:tcBorders>
              <w:top w:val="single" w:color="auto"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风险</w:t>
            </w:r>
            <w:r>
              <w:rPr>
                <w:rFonts w:hint="eastAsia" w:ascii="宋体" w:hAnsi="宋体" w:eastAsia="宋体" w:cs="宋体"/>
                <w:b/>
                <w:bCs/>
                <w:color w:val="auto"/>
                <w:sz w:val="21"/>
                <w:szCs w:val="21"/>
                <w:highlight w:val="none"/>
              </w:rPr>
              <w:br/>
            </w:r>
            <w:r>
              <w:rPr>
                <w:rFonts w:hint="eastAsia" w:ascii="宋体" w:hAnsi="宋体" w:eastAsia="宋体" w:cs="宋体"/>
                <w:b/>
                <w:bCs/>
                <w:color w:val="auto"/>
                <w:sz w:val="21"/>
                <w:szCs w:val="21"/>
                <w:highlight w:val="none"/>
              </w:rPr>
              <w:t xml:space="preserve">等级</w:t>
            </w:r>
            <w:r/>
          </w:p>
        </w:tc>
        <w:tc>
          <w:tcPr>
            <w:tcBorders>
              <w:top w:val="single" w:color="auto"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抽检项目</w:t>
            </w:r>
            <w:r/>
          </w:p>
        </w:tc>
      </w:tr>
      <w:tr>
        <w:trPr>
          <w:trHeight w:val="951"/>
        </w:trPr>
        <w:tc>
          <w:tcPr>
            <w:tcBorders>
              <w:top w:val="none" w:color="000000" w:sz="4" w:space="0"/>
              <w:left w:val="single" w:color="auto" w:sz="4" w:space="0"/>
              <w:bottom w:val="single" w:color="000000" w:sz="4" w:space="0"/>
              <w:right w:val="single" w:color="auto" w:sz="4" w:space="0"/>
            </w:tcBorders>
            <w:tcW w:w="26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 </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粮食加工品</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小麦粉</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小麦粉</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小麦粉</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镉(以Cd计)、苯并[a]芘、玉米赤霉烯酮、脱氧雪腐镰刀菌烯醇、赭曲霉毒素A、黄曲霉毒素B₁ 、偶氮甲酰胺、过氧化苯甲酰</w:t>
            </w:r>
            <w:r/>
          </w:p>
        </w:tc>
      </w:tr>
      <w:tr>
        <w:trPr>
          <w:trHeight w:val="803"/>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大米</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大米</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大米</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铅(以Pb计)、镉(以Cd计)、无机砷(以As计)、苯并[a]芘、黄曲霉毒素B₁ 、赭曲霉毒素A</w:t>
            </w:r>
            <w:r/>
          </w:p>
        </w:tc>
      </w:tr>
      <w:tr>
        <w:trPr>
          <w:trHeight w:val="93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挂面</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挂面</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挂面</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铅(以Pb计)、黄曲霉毒素B₁ 、脱氢乙酸及其钠盐(以脱氢乙酸计)、合成着色剂(柠檬黄、日落黄)</w:t>
            </w:r>
            <w:r/>
          </w:p>
        </w:tc>
      </w:tr>
      <w:tr>
        <w:trPr>
          <w:trHeight w:val="861"/>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其他粮食加工品</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谷物加工品</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谷物加工品</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铅(以Pb计)、镉(以Cd计)、黄曲霉毒素B₁ 、赭曲霉毒素A</w:t>
            </w:r>
            <w:r/>
          </w:p>
        </w:tc>
      </w:tr>
      <w:tr>
        <w:trPr>
          <w:trHeight w:val="105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谷物碾磨加工品</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玉米粉(片、渣)</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苯并[a]芘、黄曲霉毒素B₁ 、赭曲霉毒素A、玉米赤霉烯酮、脱氧雪腐镰刀菌烯醇</w:t>
            </w:r>
            <w:r/>
          </w:p>
        </w:tc>
      </w:tr>
      <w:tr>
        <w:trPr>
          <w:trHeight w:val="88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米粉</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铅(以Pb计)、镉(以Cd计)、总汞(以Hg计)、无机砷(以As计)、苯并[a]芘</w:t>
            </w:r>
            <w:r/>
          </w:p>
        </w:tc>
      </w:tr>
      <w:tr>
        <w:trPr>
          <w:trHeight w:val="945"/>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其他谷物碾磨加工品</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铅(以Pb计)、铬(以Cr计)、赭曲霉毒素A</w:t>
            </w:r>
            <w:r/>
          </w:p>
        </w:tc>
      </w:tr>
      <w:tr>
        <w:trPr>
          <w:trHeight w:val="1011"/>
        </w:trPr>
        <w:tc>
          <w:tcPr>
            <w:tcBorders>
              <w:top w:val="none" w:color="000000" w:sz="4" w:space="0"/>
              <w:left w:val="single" w:color="auto" w:sz="4" w:space="0"/>
              <w:bottom w:val="single" w:color="000000" w:sz="4" w:space="0"/>
              <w:right w:val="single" w:color="auto" w:sz="4" w:space="0"/>
            </w:tcBorders>
            <w:tcW w:w="26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 </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粮食加工品</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其他粮食加工品</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谷物粉类制成品</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生湿面制品</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铅(以Pb计)、苯甲酸及其钠盐(以苯甲酸计)、山梨酸及其钾盐(以山梨酸计)、脱氢乙酸及其钠盐(以脱氢乙酸计)、二氧化硫残留量、合成着色剂(柠檬黄)</w:t>
            </w:r>
            <w:r/>
          </w:p>
        </w:tc>
      </w:tr>
      <w:tr>
        <w:trPr>
          <w:trHeight w:val="114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发酵面制品</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苯甲酸及其钠盐(以苯甲酸计)、山梨酸及其钾盐(以山梨酸计)、脱氢乙酸及其钠盐(以脱氢乙酸计)、糖精钠(以糖精计)、甜蜜素(以环己基氨基磺酸计)、安赛蜜、合成着色剂(柠檬黄、胭脂红)、菌落总数、大肠菌群</w:t>
            </w:r>
            <w:r/>
          </w:p>
        </w:tc>
      </w:tr>
      <w:tr>
        <w:trPr>
          <w:trHeight w:val="1011"/>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米粉制品</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苯甲酸及其钠盐(以苯甲酸计)、山梨酸及其钾盐(以山梨酸计)、脱氢乙酸及其钠盐(以脱氢乙酸计)、二氧化硫残留量、合成着色剂(柠檬黄、日落黄、喹啉黄、亮蓝、靛蓝)、菌落总数、大肠菌群</w:t>
            </w:r>
            <w:r/>
          </w:p>
        </w:tc>
      </w:tr>
      <w:tr>
        <w:trPr>
          <w:trHeight w:val="114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其他谷物粉类制成品</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黄曲霉毒素B₁、苯甲酸及其钠盐(以苯甲酸计)、山梨酸及其钾盐(以山梨酸计)、脱氢乙酸及其钠盐(以脱氢乙酸计)、菌落总数、大肠菌群</w:t>
            </w:r>
            <w:r/>
          </w:p>
        </w:tc>
      </w:tr>
      <w:tr>
        <w:trPr>
          <w:trHeight w:val="700"/>
        </w:trPr>
        <w:tc>
          <w:tcPr>
            <w:tcBorders>
              <w:top w:val="none" w:color="000000" w:sz="4" w:space="0"/>
              <w:left w:val="single" w:color="auto" w:sz="4" w:space="0"/>
              <w:bottom w:val="single" w:color="000000" w:sz="4" w:space="0"/>
              <w:right w:val="single" w:color="auto" w:sz="4" w:space="0"/>
            </w:tcBorders>
            <w:tcW w:w="26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 </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食用油、油</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脂及其制品</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食用植物油</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食用植物油</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花生油</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酸值/酸价、过氧化值、黄曲霉毒素B₁ 、苯并[a]芘、溶剂残留量、特丁基对苯二酚(TBHQ)</w:t>
            </w:r>
            <w:r/>
          </w:p>
        </w:tc>
      </w:tr>
      <w:tr>
        <w:trPr>
          <w:trHeight w:val="69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玉米油</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酸值/酸价、过氧化值、黄曲霉毒素B₁ 、苯并[a]芘、特丁基对苯二酚(TBHQ)</w:t>
            </w:r>
            <w:r/>
          </w:p>
        </w:tc>
      </w:tr>
      <w:tr>
        <w:trPr>
          <w:trHeight w:val="681"/>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芝麻油</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酸值/酸价、过氧化值、苯并[a]芘、溶剂残留量、乙基麦芽酚</w:t>
            </w:r>
            <w:r/>
          </w:p>
        </w:tc>
      </w:tr>
      <w:tr>
        <w:trPr>
          <w:trHeight w:val="891"/>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橄榄油、油橄榄果渣油</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酸值/酸价、过氧化值、溶剂残留量、特丁基对苯二酚(TBHQ)</w:t>
            </w:r>
            <w:r/>
          </w:p>
        </w:tc>
      </w:tr>
      <w:tr>
        <w:trPr>
          <w:trHeight w:val="865"/>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菜籽油</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酸值/酸价、过氧化值、铅(以Pb计)、苯并[a]芘、溶剂残留量、特丁基对苯二酚(TBHQ)、乙基麦芽酚</w:t>
            </w:r>
            <w:r/>
          </w:p>
        </w:tc>
      </w:tr>
      <w:tr>
        <w:trPr>
          <w:trHeight w:val="810"/>
        </w:trPr>
        <w:tc>
          <w:tcPr>
            <w:tcBorders>
              <w:top w:val="none" w:color="000000" w:sz="4" w:space="0"/>
              <w:left w:val="single" w:color="auto" w:sz="4" w:space="0"/>
              <w:bottom w:val="single" w:color="000000" w:sz="4" w:space="0"/>
              <w:right w:val="single" w:color="auto" w:sz="4" w:space="0"/>
            </w:tcBorders>
            <w:tcW w:w="26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 </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食用油、油</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脂及其制品</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食用植物油</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食用植物油</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大豆油</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酸值/酸价、过氧化值、苯并[a]芘、溶剂残留量、特丁基对苯二酚(TBHQ)</w:t>
            </w:r>
            <w:r/>
          </w:p>
        </w:tc>
      </w:tr>
      <w:tr>
        <w:trPr>
          <w:trHeight w:val="767"/>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食用植物调和油</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酸价、过氧化值、苯并[a]芘、溶剂残留量、特丁基对苯二酚(TBHQ)、乙基麦芽酚</w:t>
            </w:r>
            <w:r/>
          </w:p>
        </w:tc>
      </w:tr>
      <w:tr>
        <w:trPr>
          <w:trHeight w:val="78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油茶籽油</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酸值/酸价、过氧化值、铅(以Pb计)、苯并[a]芘、溶剂残留量、特丁基对苯二酚(TBHQ)</w:t>
            </w:r>
            <w:r/>
          </w:p>
        </w:tc>
      </w:tr>
      <w:tr>
        <w:trPr>
          <w:trHeight w:val="777"/>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其他食用植物油</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酸值/酸价、过氧化值、苯并[a]芘、溶剂残留量、特丁基对苯二酚(TBHQ)</w:t>
            </w:r>
            <w:r/>
          </w:p>
        </w:tc>
      </w:tr>
      <w:tr>
        <w:trPr>
          <w:trHeight w:val="745"/>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食用动物油脂</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食用动物油脂</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食用动物油脂</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酸价、过氧化值、丙二醛、苯并[a]芘</w:t>
            </w:r>
            <w:r/>
          </w:p>
        </w:tc>
      </w:tr>
      <w:tr>
        <w:trPr>
          <w:trHeight w:val="715"/>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食用油脂制品</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食用油脂制品</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食用油脂制品</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酸价(以脂肪计)、过氧化值(以脂肪计)、大肠菌群、霉菌</w:t>
            </w:r>
            <w:r/>
          </w:p>
        </w:tc>
      </w:tr>
      <w:tr>
        <w:trPr>
          <w:trHeight w:val="1660"/>
        </w:trPr>
        <w:tc>
          <w:tcPr>
            <w:tcBorders>
              <w:top w:val="none" w:color="000000" w:sz="4" w:space="0"/>
              <w:left w:val="single" w:color="auto" w:sz="4" w:space="0"/>
              <w:bottom w:val="single" w:color="000000" w:sz="4" w:space="0"/>
              <w:right w:val="single" w:color="auto" w:sz="4" w:space="0"/>
            </w:tcBorders>
            <w:tcW w:w="26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 </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调味品</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酱油</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酱油</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酱油</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氨基酸态氮、全氮(以氮计)、铵盐(以占氨基酸态氮的百分比计)、苯甲酸及其钠盐(以苯甲酸计)、山梨酸及其钾盐(以山梨酸计)、脱氢乙酸及其钠盐(以脱氢乙酸计)、对羟基苯甲酸酯类及其钠盐(以对羟基苯甲酸计)、防腐剂混合使用时各自用量占其最大使用量的比例之和、糖精钠(以糖精计)、三氯蔗糖、甜蜜素(以环己基氨基磺酸计)、菌落总数、大肠菌群</w:t>
            </w:r>
            <w:r/>
          </w:p>
        </w:tc>
      </w:tr>
      <w:tr>
        <w:trPr>
          <w:trHeight w:val="1675"/>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食醋</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食醋</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食醋</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总酸(以乙酸计)、不挥发酸(以乳酸计)、苯甲酸及其钠盐(以苯甲酸计)、山梨酸及其</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钾盐(以山梨酸计)、脱氢乙酸及其钠盐(以脱氢乙酸计)、对羟基苯甲酸酯类及其钠盐</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(以对羟基苯甲酸计)、防腐剂混合使用时各自用量占其最大使用量的比例之和、糖精钠</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(以糖精计)、三氯蔗糖、甜蜜素(以环己基氨基磺酸计)、菌落总数</w:t>
            </w:r>
            <w:r/>
          </w:p>
        </w:tc>
      </w:tr>
      <w:tr>
        <w:trPr>
          <w:trHeight w:val="1341"/>
        </w:trPr>
        <w:tc>
          <w:tcPr>
            <w:tcBorders>
              <w:top w:val="none" w:color="000000" w:sz="4" w:space="0"/>
              <w:left w:val="single" w:color="auto" w:sz="4" w:space="0"/>
              <w:bottom w:val="single" w:color="000000" w:sz="4" w:space="0"/>
              <w:right w:val="single" w:color="auto" w:sz="4" w:space="0"/>
            </w:tcBorders>
            <w:tcW w:w="26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 </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调味品</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酱类</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酿造酱</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黄豆酱、甜面酱等</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氨基酸态氮、黄曲霉毒素B₁ 、苯甲酸及其钠盐(以苯甲酸计)、山梨酸及其钾盐(以山梨酸</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计)、脱氢乙酸及其钠盐(以脱氢乙酸计)、防腐剂混合使用时各自用量占其最大使用量的</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比例之和、糖精钠(以糖精计)、三氯蔗糖、甜蜜素(以环己基氨基磺酸计)、安赛蜜、大</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肠菌群</w:t>
            </w:r>
            <w:r/>
          </w:p>
        </w:tc>
      </w:tr>
      <w:tr>
        <w:trPr>
          <w:trHeight w:val="112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调味料酒</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调味料酒</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料酒</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氨基酸态氮(以氮计)、苯甲酸及其钠盐(以苯甲酸计)、山梨酸及其钾盐(以山梨酸计)</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、脱氢乙酸及其钠盐(以脱氢乙酸计)、甜蜜素(以环己基氨基磺酸计)、三氯蔗糖</w:t>
            </w:r>
            <w:r/>
          </w:p>
        </w:tc>
      </w:tr>
      <w:tr>
        <w:trPr>
          <w:trHeight w:val="70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香辛料类</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香辛料类</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香辛料调味油</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酸价/酸值、过氧化值、铅(以Pb计)</w:t>
            </w:r>
            <w:r/>
          </w:p>
        </w:tc>
      </w:tr>
      <w:tr>
        <w:trPr>
          <w:trHeight w:val="123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辣椒、花椒、辣椒粉、花椒粉</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铅(以Pb计)、罗丹明B、苏丹红I、苏丹红Ⅱ、苏丹红Ⅲ、苏丹红IV、脱氢乙酸及其钠盐</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(以脱氢乙酸计)、二氧化硫残留量、合成着色剂(柠檬黄、日落黄、胭脂红)、沙门氏菌</w:t>
            </w:r>
            <w:r/>
          </w:p>
        </w:tc>
      </w:tr>
      <w:tr>
        <w:trPr>
          <w:trHeight w:val="1131"/>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其他香辛料调味品</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铅(以Pb计)、脱氢乙酸及其钠盐(以脱氢乙酸计)、二氧化硫残留量、甜蜜素(以环己</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基氨基磺酸计)、合成着色剂(柠檬黄、日落黄、苋菜红、胭脂红、亮蓝)、丙溴磷、氯氰</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菊酯和高效氯氰菊酯、多菌灵、毒死蜱、克百威、沙门氏菌</w:t>
            </w:r>
            <w:r/>
          </w:p>
        </w:tc>
      </w:tr>
      <w:tr>
        <w:trPr>
          <w:trHeight w:val="108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调味料</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固体复合调味料</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鸡粉、鸡精调味料</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谷氨酸钠、呈味核苷酸二钠、铅(以Pb计)、糖精钠(以糖精计)、甜蜜素(以环己基氨</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基磺酸计)、安赛蜜、菌落总数、大肠菌群</w:t>
            </w:r>
            <w:r/>
          </w:p>
        </w:tc>
      </w:tr>
      <w:tr>
        <w:trPr>
          <w:trHeight w:val="1347"/>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其他固体调味料</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铅(以Pb计)、苏丹红I、苏丹红Ⅱ、苏丹红Ⅲ、苏丹红IV、罂粟碱、吗啡、可待因、那</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可丁、苯甲酸及其钠盐(以苯甲酸计)、山梨酸及其钾盐(以山梨酸计)、脱氢乙酸及其钠</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盐(以脱氢乙酸计)、防腐剂混合使用时各自用量占其最大使用量的比例之和、糖精钠(以</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糖精计)、甜蜜素(以环己基氨基磺酸计)、安赛蜜、阿斯巴甜、二氧化硫残留量</w:t>
            </w:r>
            <w:r/>
          </w:p>
        </w:tc>
      </w:tr>
      <w:tr>
        <w:trPr>
          <w:trHeight w:val="891"/>
        </w:trPr>
        <w:tc>
          <w:tcPr>
            <w:tcBorders>
              <w:top w:val="none" w:color="000000" w:sz="4" w:space="0"/>
              <w:left w:val="single" w:color="auto" w:sz="4" w:space="0"/>
              <w:bottom w:val="single" w:color="000000" w:sz="4" w:space="0"/>
              <w:right w:val="single" w:color="auto" w:sz="4" w:space="0"/>
            </w:tcBorders>
            <w:tcW w:w="261" w:type="pct"/>
            <w:vAlign w:val="center"/>
            <w:vMerge w:val="restart"/>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 </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调味品</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调味料</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半固体复合</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调味料</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蛋黄酱、沙拉酱</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二氧化钛</w:t>
            </w:r>
            <w:r/>
          </w:p>
        </w:tc>
      </w:tr>
      <w:tr>
        <w:trPr>
          <w:trHeight w:val="861"/>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坚果与籽类的泥(酱)</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酸价/酸值、过氧化值、铅(以Pb计)、黄曲霉毒素B₁</w:t>
            </w:r>
            <w:r/>
          </w:p>
        </w:tc>
      </w:tr>
      <w:tr>
        <w:trPr>
          <w:trHeight w:val="1071"/>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辣椒酱</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苯甲酸及其钠盐(以苯甲酸计)、山梨酸及其钾盐(以山梨酸计)、脱氢乙酸及其钠盐(以</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脱氢乙酸计)、防腐剂混合使用时各自用量占其最大使用量的比例之和、甜蜜素(以环己基</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氨基磺酸计)、二氧化硫残留量</w:t>
            </w:r>
            <w:r/>
          </w:p>
        </w:tc>
      </w:tr>
      <w:tr>
        <w:trPr>
          <w:trHeight w:val="108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火锅底料、麻辣烫底料</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罂粟碱、吗啡、可待因、那可丁、苯甲酸及其钠盐(以苯甲酸计)、山梨酸及其钾盐(以山</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梨酸计)、脱氢乙酸及其钠盐(以脱氢乙酸计)、防腐剂混合使用时各自用量占其最大使用</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量的比例之和</w:t>
            </w:r>
            <w:r/>
          </w:p>
        </w:tc>
      </w:tr>
      <w:tr>
        <w:trPr>
          <w:trHeight w:val="1041"/>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其他半固体调味料</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铅(以Pb计)、罗丹明B、罂粟碱、吗啡、可待因、那可丁、苯甲酸及其钠盐(以苯甲酸</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计)、山梨酸及其钾盐(以山梨酸计)、脱氢乙酸及其钠盐(以脱氢乙酸计)、防腐剂混合</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使用时各自用量占其最大使用量的比例之和、甜蜜素(以环己基氨基磺酸计)、安赛蜜</w:t>
            </w:r>
            <w:r/>
          </w:p>
        </w:tc>
      </w:tr>
      <w:tr>
        <w:trPr>
          <w:trHeight w:val="109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液体复合调味料</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蚝油、虾油、鱼露</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氨基酸态氮、苯甲酸及其钠盐(以苯甲酸计)、山梨酸及其钾盐(以山梨酸计)、脱氢乙酸</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及其钠盐(以脱氢乙酸计)、防腐剂混合使用时各自用量占其最大使用量的比例之和、菌落</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总数、大肠菌群</w:t>
            </w:r>
            <w:r/>
          </w:p>
        </w:tc>
      </w:tr>
      <w:tr>
        <w:trPr>
          <w:trHeight w:val="1292"/>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其他液体调味料</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苯甲酸及其钠盐(以苯甲酸计)、山梨酸及其钾盐(以山梨酸计)、脱氢乙酸及其钠盐(以脱氢乙酸计)、防腐剂混合使用时各自用量占其最大使用量的比例之和、糖精钠(以糖精计)、甜蜜素(以环己基氨基磺酸计)、合成着色剂(柠檬黄、日落黄、胭脂红、诱惑红)、相同色泽着色剂混合使用时各自用量占其最大使用量的比例之和、菌落总数</w:t>
            </w:r>
            <w:r/>
          </w:p>
        </w:tc>
      </w:tr>
      <w:tr>
        <w:trPr>
          <w:trHeight w:val="636"/>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味精</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味精</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味精</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谷氨酸钠</w:t>
            </w:r>
            <w:r/>
          </w:p>
        </w:tc>
      </w:tr>
      <w:tr>
        <w:trPr>
          <w:trHeight w:val="960"/>
        </w:trPr>
        <w:tc>
          <w:tcPr>
            <w:tcBorders>
              <w:top w:val="none" w:color="000000" w:sz="4" w:space="0"/>
              <w:left w:val="single" w:color="auto" w:sz="4" w:space="0"/>
              <w:bottom w:val="single" w:color="000000" w:sz="4" w:space="0"/>
              <w:right w:val="single" w:color="auto" w:sz="4" w:space="0"/>
            </w:tcBorders>
            <w:tcW w:w="26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 </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调味品</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食盐</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食用盐</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普通食用盐</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氯化钠、钡(以Ba计)、碘(以I计)、铅(以Pb计)、总砷(以As计)、镉(以Cd计)、总汞(以Hg计)、亚铁氰化钾/亚铁氰化钠(以亚铁氰根计)</w:t>
            </w:r>
            <w:r/>
          </w:p>
        </w:tc>
      </w:tr>
      <w:tr>
        <w:trPr>
          <w:trHeight w:val="96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低钠食用盐</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氯化钾、钡(以Ba计)、碘(以I计)、铅(以Pb计)、总砷(以As计)、镉(以Cd计)、总汞(以Hg计)、亚铁氰化钾/亚铁氰化钠(以亚铁氰根计)</w:t>
            </w:r>
            <w:r/>
          </w:p>
        </w:tc>
      </w:tr>
      <w:tr>
        <w:trPr>
          <w:trHeight w:val="981"/>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风味食用盐</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钡(以Ba计)、铅(以Pb计)、总砷(以As计)、镉(以Cd计)、总汞(以Hg计)、亚铁氰化钾/亚铁氰化钠(以亚铁氰根计)</w:t>
            </w:r>
            <w:r/>
          </w:p>
        </w:tc>
      </w:tr>
      <w:tr>
        <w:trPr>
          <w:trHeight w:val="752"/>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特殊工艺食用盐</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氯化钠、钡(以Ba计)、碘(以I计)、铅(以Pb计)、总砷(以As计)、镉(以Cd计)、总汞(以Hg计)、亚铁氰化钾/亚铁氰化钠(以亚铁氰根计)</w:t>
            </w:r>
            <w:r/>
          </w:p>
        </w:tc>
      </w:tr>
      <w:tr>
        <w:trPr>
          <w:trHeight w:val="981"/>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食品生产加工用盐</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食品生产加工用盐</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铅(以Pb计)、总砷(以As计)、镉(以Cd计)、总汞(以Hg计)、亚铁氰化钾/亚铁氰化钠(以亚铁氰根计)、亚硝酸盐(以NaNO₂计)</w:t>
            </w:r>
            <w:r/>
          </w:p>
        </w:tc>
      </w:tr>
      <w:tr>
        <w:trPr>
          <w:trHeight w:val="960"/>
        </w:trPr>
        <w:tc>
          <w:tcPr>
            <w:tcBorders>
              <w:top w:val="none" w:color="000000" w:sz="4" w:space="0"/>
              <w:left w:val="single" w:color="auto" w:sz="4" w:space="0"/>
              <w:bottom w:val="single" w:color="000000" w:sz="4" w:space="0"/>
              <w:right w:val="single" w:color="auto" w:sz="4" w:space="0"/>
            </w:tcBorders>
            <w:tcW w:w="26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 </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肉制品</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预制肉制品</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调理肉制品</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调理肉制品(非速冻)</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苯甲酸及其钠盐(以苯甲酸计)、山梨酸及其钾盐(以山梨酸计)、脱氢乙酸及其钠盐(以脱氢乙酸计)</w:t>
            </w:r>
            <w:r/>
          </w:p>
        </w:tc>
      </w:tr>
      <w:tr>
        <w:trPr>
          <w:trHeight w:val="139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腌腊肉制品</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腌腊肉制品</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过氧化值(以脂肪计)、铅(以Pb计)、总砷(以As计)、亚硝酸盐(以亚硝酸钠计)、苯甲酸及其钠盐(以苯甲酸计)、山梨酸及其钾盐(以山梨酸计)、脱氢乙酸及其钠盐(以脱氢乙酸计)、合成着色剂(柠檬黄、日落黄、胭脂红、诱惑红、苋菜红、酸性红)、氯霉素</w:t>
            </w:r>
            <w:r/>
          </w:p>
        </w:tc>
      </w:tr>
      <w:tr>
        <w:trPr>
          <w:trHeight w:val="936"/>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熟肉制品</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发酵肉制品</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发酵肉制品</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亚硝酸盐(以亚硝酸钠计)、纳他霉素、大肠菌群、沙门氏菌、金黄色葡萄球菌、单核细胞增生李斯特氏菌、致泻大肠埃希氏菌</w:t>
            </w:r>
            <w:r/>
          </w:p>
        </w:tc>
      </w:tr>
      <w:tr>
        <w:trPr>
          <w:trHeight w:val="1990"/>
        </w:trPr>
        <w:tc>
          <w:tcPr>
            <w:tcBorders>
              <w:top w:val="none" w:color="000000" w:sz="4" w:space="0"/>
              <w:left w:val="single" w:color="auto" w:sz="4" w:space="0"/>
              <w:bottom w:val="single" w:color="000000" w:sz="4" w:space="0"/>
              <w:right w:val="single" w:color="auto" w:sz="4" w:space="0"/>
            </w:tcBorders>
            <w:tcW w:w="26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 </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肉制品</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熟肉制品</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酱卤肉制品</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酱卤肉制品</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镉(以Cd计)、铬(以Cri计)、总砷(以As计)、N-二甲基亚硝胺、亚硝酸盐(以亚硝酸</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钠计)、苯甲酸及其钠盐(以苯甲酸计)、山梨酸及其钾盐(以山梨酸计)、脱氢乙酸及其</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钠盐(以脱氢乙酸计)、纳他霉素、防腐剂混合使用时各自用量占其最大使用量的比例之和</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、糖精钠(以糖精计)、合成着色剂(柠檬黄、日落黄、胭脂红、诱惑红)、氯霉素、菌落</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总数、大肠菌群、沙门氏菌、金黄色葡萄球菌、单核细胞增生李斯特氏菌、致泻大肠埃希氏</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菌、商业无菌</w:t>
            </w:r>
            <w:r/>
          </w:p>
        </w:tc>
      </w:tr>
      <w:tr>
        <w:trPr>
          <w:trHeight w:val="133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油炸肉制品</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油炸肉制品</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N-二甲基亚硝胺、亚硝酸盐(以亚硝酸钠计)、苯甲酸及其钠盐(以苯甲酸计)、山梨酸及</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其钾盐(以山梨酸计)、沙门氏菌、金黄色葡萄球菌、单核细胞增生李斯特氏菌、致泻大肠</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埃希氏菌</w:t>
            </w:r>
            <w:r/>
          </w:p>
        </w:tc>
      </w:tr>
      <w:tr>
        <w:trPr>
          <w:trHeight w:val="1641"/>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熟肉干制品</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熟肉干制品</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铅(以Pb计)、N-二甲基亚硝胺、苯甲酸及其钠盐(以苯甲酸计)、山梨酸及其钾盐(以</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山梨酸计)、脱氢乙酸及其钠盐(以脱氢乙酸计)、防腐剂混合使用时各自用量占其最大使</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用量的比例之和、合成着色剂(胭脂红、诱惑红)、氯霉素、菌落总数、大肠菌群、沙门氏</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菌、金黄色葡萄球菌、单核细胞增生李斯特氏菌、致泻大肠埃希氏菌</w:t>
            </w:r>
            <w:r/>
          </w:p>
        </w:tc>
      </w:tr>
      <w:tr>
        <w:trPr>
          <w:trHeight w:val="1382"/>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熏烧烤肉制品</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熏烧烤肉制品</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苯并[a]芘、N-二甲基亚硝胺、亚硝酸盐(以亚硝酸钠计)、苯甲酸及其钠盐(以苯甲酸</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计)、山梨酸及其钾盐(以山梨酸计)、纳他霉素、合成着色剂(柠檬黄、日落黄、胭脂</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红)、氯霉素、菌落总数、大肠菌群、沙门氏菌、金黄色葡萄球菌、单核细胞增生李斯特氏</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菌、致泻大肠埃希氏菌</w:t>
            </w:r>
            <w:r/>
          </w:p>
        </w:tc>
      </w:tr>
      <w:tr>
        <w:trPr>
          <w:trHeight w:val="1545"/>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熏煮香肠火</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腿制品</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熏煮香肠火</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腿制品</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亚硝酸盐(以亚硝酸钠计)、苯甲酸及其钠盐(以苯甲酸计)、山梨酸及其钾盐(以山梨酸</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计)、脱氢乙酸及其钠盐(以脱氢乙酸计)、纳他霉素、防腐剂混合使用时各自用量占其最</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大使用量的比例之和、合成着色剂(胭脂红、诱惑红)、氯霉素、菌落总数、大肠菌群、沙</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门氏菌、金黄色葡萄球菌、单核细胞增生李斯特氏菌、致泻大肠埃希氏菌</w:t>
            </w:r>
            <w:r/>
          </w:p>
        </w:tc>
      </w:tr>
      <w:tr>
        <w:trPr>
          <w:trHeight w:val="900"/>
        </w:trPr>
        <w:tc>
          <w:tcPr>
            <w:tcBorders>
              <w:top w:val="none" w:color="000000" w:sz="4" w:space="0"/>
              <w:left w:val="single" w:color="auto" w:sz="4" w:space="0"/>
              <w:bottom w:val="single" w:color="000000" w:sz="4" w:space="0"/>
              <w:right w:val="single" w:color="auto" w:sz="4" w:space="0"/>
            </w:tcBorders>
            <w:tcW w:w="26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 </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乳制品</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乳制品</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液体乳</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巴氏杀菌乳</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蛋白质、酸度、三聚氰胺、铅(以Pb计)、丙二醇、沙门氏菌、金黄色葡萄球菌、菌落总</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数、大肠菌群</w:t>
            </w:r>
            <w:r/>
          </w:p>
        </w:tc>
      </w:tr>
      <w:tr>
        <w:trPr>
          <w:trHeight w:val="60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灭菌乳</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蛋白质、非脂乳固体、酸度、脂肪、三聚氰胺、铅(以Pb计)、丙二醇、商业无菌</w:t>
            </w:r>
            <w:r/>
          </w:p>
        </w:tc>
      </w:tr>
      <w:tr>
        <w:trPr>
          <w:trHeight w:val="58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高温杀菌乳</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蛋白质、酸度、三聚氰胺、铅(以Pb计)、沙门氏菌、菌落总数、大肠菌群、丙二醇</w:t>
            </w:r>
            <w:r/>
          </w:p>
        </w:tc>
      </w:tr>
      <w:tr>
        <w:trPr>
          <w:trHeight w:val="126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发酵乳</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脂肪、蛋白质、酸度、山梨酸及其钾盐(以山梨酸计)、甜蜜素(以环己基氨基磺酸计)、</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阿斯巴甜、安赛蜜、三聚氰胺、铅(以Pb计)、金黄色葡萄球菌、沙门氏菌、大肠菌群、</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酵母、霉菌</w:t>
            </w:r>
            <w:r/>
          </w:p>
        </w:tc>
      </w:tr>
      <w:tr>
        <w:trPr>
          <w:trHeight w:val="75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调制乳</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蛋白质、三聚氰胺、铅(以Pb计)、商业无菌、菌落总数、大肠菌群</w:t>
            </w:r>
            <w:r/>
          </w:p>
        </w:tc>
      </w:tr>
      <w:tr>
        <w:trPr>
          <w:trHeight w:val="108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乳粉</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乳粉(全脂</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、脱脂、部</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分脱脂)和</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调制乳粉</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蛋白质、脂肪、复原乳酸度、杂质度、水分、三聚氰胺、铅(以Pb计)、菌落总数、大肠菌群</w:t>
            </w:r>
            <w:r/>
          </w:p>
        </w:tc>
      </w:tr>
      <w:tr>
        <w:trPr>
          <w:trHeight w:val="120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乳清粉和乳清蛋白粉 (企业原料 )</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脱盐乳清粉、非脱盐乳清粉、浓缩乳清蛋白粉、分离乳清蛋白粉</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蛋白质、三聚氰胺</w:t>
            </w:r>
            <w:r/>
          </w:p>
        </w:tc>
      </w:tr>
      <w:tr>
        <w:trPr>
          <w:trHeight w:val="126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其他乳制品(浓缩乳制品、奶油、干酪、固态成型产品)</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浓缩乳制品</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蛋白质、三聚氰胺、商业无菌、菌落总数、大肠菌群</w:t>
            </w:r>
            <w:r/>
          </w:p>
        </w:tc>
      </w:tr>
      <w:tr>
        <w:trPr>
          <w:trHeight w:val="981"/>
        </w:trPr>
        <w:tc>
          <w:tcPr>
            <w:tcBorders>
              <w:top w:val="none" w:color="000000" w:sz="4" w:space="0"/>
              <w:left w:val="single" w:color="auto" w:sz="4" w:space="0"/>
              <w:bottom w:val="single" w:color="000000" w:sz="4" w:space="0"/>
              <w:right w:val="single" w:color="auto" w:sz="4" w:space="0"/>
            </w:tcBorders>
            <w:tcW w:w="26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 </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乳制品</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乳制品</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其他乳制品(浓缩乳制品、奶油、干酪、固态成型产品)</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稀奶油、奶油和无水奶油</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脂肪、酸度、三聚氰胺、脱氢乙酸及其钠盐(以脱氢乙酸计)、沙门氏菌、商业无菌、菌落</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总数、大肠菌群、霉菌</w:t>
            </w:r>
            <w:r/>
          </w:p>
        </w:tc>
      </w:tr>
      <w:tr>
        <w:trPr>
          <w:trHeight w:val="951"/>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干酪、再制干酪、干酪制品</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三聚氰胺、金黄色葡萄球菌、沙门氏菌、单核细胞增生李斯特氏菌、菌落总数、大肠菌群、</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霉菌</w:t>
            </w:r>
            <w:r/>
          </w:p>
        </w:tc>
      </w:tr>
      <w:tr>
        <w:trPr>
          <w:trHeight w:val="96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奶片、奶条等固态成型产品</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蛋白质、脱氢乙酸及其钠盐(以脱氢乙酸计)、三聚氰胺、沙门氏菌</w:t>
            </w:r>
            <w:r/>
          </w:p>
        </w:tc>
      </w:tr>
      <w:tr>
        <w:trPr>
          <w:trHeight w:val="831"/>
        </w:trPr>
        <w:tc>
          <w:tcPr>
            <w:tcBorders>
              <w:top w:val="none" w:color="000000" w:sz="4" w:space="0"/>
              <w:left w:val="single" w:color="auto" w:sz="4" w:space="0"/>
              <w:bottom w:val="single" w:color="000000" w:sz="4" w:space="0"/>
              <w:right w:val="single" w:color="auto" w:sz="4" w:space="0"/>
            </w:tcBorders>
            <w:tcW w:w="26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 </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饮料</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饮料</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包装饮用水</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饮用天然矿泉水</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界限指标、铅(以Pb计)、总砷(以As计)、镉(以Cd计)、总汞(以Hg计)、镍、溴酸</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盐、硝酸盐(以NO₃计)、亚硝酸盐(以NO₂计)、大肠菌群、铜绿假单胞菌</w:t>
            </w:r>
            <w:r/>
          </w:p>
        </w:tc>
      </w:tr>
      <w:tr>
        <w:trPr>
          <w:trHeight w:val="93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饮用纯净水</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电导率、耗氧量(以O₂计)、铅(以Pb计)、总砷(以As计)、镉(以Cd计)、亚硝酸盐</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(以NO₂计)、余氯(游离氯)、溴酸盐、三氯甲烷、大肠菌群、铜绿假单胞菌</w:t>
            </w:r>
            <w:r/>
          </w:p>
        </w:tc>
      </w:tr>
      <w:tr>
        <w:trPr>
          <w:trHeight w:val="861"/>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其他类饮用水</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耗氧量(以O₂计)、铅(以Pb计)、总砷(以As计)、镉(以Cd计)、亚硝酸盐(以NO₂</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计)、余氯(游离氯)、溴酸盐、三氯甲烷、大肠菌群、铜绿假单胞菌</w:t>
            </w:r>
            <w:r/>
          </w:p>
        </w:tc>
      </w:tr>
      <w:tr>
        <w:trPr>
          <w:trHeight w:val="153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果蔬汁类及</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   其饮料</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果蔬汁类及</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其饮料</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铅(以Pb计)、展青霉素、苯甲酸及其钠盐(以苯甲酸计)、山梨酸及其钾盐(以山梨酸</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计)、脱氢乙酸及其钠盐(以脱氢乙酸计)、纳他霉素、防腐剂混合使用时各自用量占其最</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大使用量的比例之和、安赛蜜、甜蜜素(以环己基氨基磺酸计)、阿斯巴甜、合成着色剂</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(柠檬黄、新红、苋菜红、靛蓝、胭脂红、日落黄、诱惑红、亮蓝、酸性红、喹味黄、赤藓</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红)、菌落总数、大肠菌群、霉菌、酵母</w:t>
            </w:r>
            <w:r/>
          </w:p>
        </w:tc>
      </w:tr>
      <w:tr>
        <w:trPr>
          <w:trHeight w:val="865"/>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蛋白饮料</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蛋白饮料</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蛋白质、乳酸菌数、氰化物(以HCN计)、三聚氰胺、脱氢乙酸及其钠盐(以脱氢乙酸</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计)、安赛蜜、甜蜜素(以环己基氨基磺酸计)、阿斯巴甜、菌落总数、大肠菌群、霉菌、</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酵母、商业无菌</w:t>
            </w:r>
            <w:r/>
          </w:p>
        </w:tc>
      </w:tr>
      <w:tr>
        <w:trPr>
          <w:trHeight w:val="1080"/>
        </w:trPr>
        <w:tc>
          <w:tcPr>
            <w:tcBorders>
              <w:top w:val="none" w:color="000000" w:sz="4" w:space="0"/>
              <w:left w:val="single" w:color="auto" w:sz="4" w:space="0"/>
              <w:bottom w:val="single" w:color="000000" w:sz="4" w:space="0"/>
              <w:right w:val="single" w:color="auto" w:sz="4" w:space="0"/>
            </w:tcBorders>
            <w:tcW w:w="26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 </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饮料</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饮料</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碳酸饮料</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(汽水)</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碳酸饮料</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(汽水)</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二氧化碳气容量、苯甲酸及其钠盐(以苯甲酸计)、山梨酸及其钾盐(以山梨酸计)、防腐</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剂混合使用时各自用量占其最大使用量的比例之和、安赛蜜、甜蜜素(以环己基氨基磺酸</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计)、阿斯巴甜、菌落总数、霉菌、酵母</w:t>
            </w:r>
            <w:r/>
          </w:p>
        </w:tc>
      </w:tr>
      <w:tr>
        <w:trPr>
          <w:trHeight w:val="100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茶饮料</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茶饮料</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茶多酚、咖啡因、脱氢乙酸及其钠盐(以脱氢乙酸计)、安赛蜜、甜蜜素(以环己基氨基磺</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酸计)、阿斯巴甜、菌落总数</w:t>
            </w:r>
            <w:r/>
          </w:p>
        </w:tc>
      </w:tr>
      <w:tr>
        <w:trPr>
          <w:trHeight w:val="163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固体饮料</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固体饮料</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蛋白质、乳酸菌数、铅(以Pb计)、氰化物(以HCN计)、苯甲酸及其钠盐(以苯甲酸</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计)、山梨酸及其钾盐(以山梨酸计)、防腐剂混合使用时各自用量占其最大使用量的比例</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之和、糖精钠(以糖精计)、安赛蜜、甜蜜素(以环己基氨基磺酸计)、阿斯巴甜、合成着</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色剂(柠檬黄、新红、苋菜红、靛蓝、胭脂红、日落黄、诱惑红、亮蓝、酸性红、喹啉黄、</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赤藓红)、相同色泽着色剂混合使用时各自用量占其最大使用量的比例之和、菌落总数、大</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肠菌群、霉菌</w:t>
            </w:r>
            <w:r/>
          </w:p>
        </w:tc>
      </w:tr>
      <w:tr>
        <w:trPr>
          <w:trHeight w:val="153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其他饮料</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其他饮料</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苯甲酸及其钠盐(以苯甲酸计)、山梨酸及其钾盐(以山梨酸计)、脱氢乙酸及其钠盐(以</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脱氢乙酸计)、防腐剂混合使用时各自用量占其最大使用量的比例之和、糖精钠(以糖精</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计)、安赛蜜、甜蜜素(以环己基氨基磺酸计)、阿斯巴甜、合成着色剂(柠檬黄、新红、</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苋菜红、靛蓝、胭脂红、日落黄、诱惑红、亮蓝、酸性红、喹啉黄、赤藓红)、菌落总数、</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大肠菌群、霉菌、酵母</w:t>
            </w:r>
            <w:r/>
          </w:p>
        </w:tc>
      </w:tr>
      <w:tr>
        <w:trPr>
          <w:trHeight w:val="1080"/>
        </w:trPr>
        <w:tc>
          <w:tcPr>
            <w:tcBorders>
              <w:top w:val="none" w:color="000000" w:sz="4" w:space="0"/>
              <w:left w:val="single" w:color="auto" w:sz="4" w:space="0"/>
              <w:bottom w:val="single" w:color="000000" w:sz="4" w:space="0"/>
              <w:right w:val="single" w:color="auto" w:sz="4" w:space="0"/>
            </w:tcBorders>
            <w:tcW w:w="26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 </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方便食品</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方便食品</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方便面</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油炸面、非油炸面、方便米粉(米线)、方便粉丝</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水分、酸价(以脂肪计)(KOH)、过氧化值(以脂肪计)、菌落总数、大肠菌群、霉菌</w:t>
            </w:r>
            <w:r/>
          </w:p>
        </w:tc>
      </w:tr>
      <w:tr>
        <w:trPr>
          <w:trHeight w:val="1375"/>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调味面制品</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调味面制品</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酸价(以脂肪计)(KOH)、过氧化值(以脂肪计)、苯甲酸及其钠盐(以苯甲酸计)、</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山梨酸及其钾盐(以山梨酸计)、脱氢乙酸及其钠盐(以脱氢乙酸计)、糖精钠(以糖精</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计)、甜蜜素(以环己基氨基磺酸计)、安赛蜜、三氯蔗糖、合成着色剂(柠檬黄、日落黄</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、诱惑红、苋菜红)、菌落总数、大肠菌群、霉菌、沙门氏菌、金黄色葡萄球菌</w:t>
            </w:r>
            <w:r/>
          </w:p>
        </w:tc>
      </w:tr>
      <w:tr>
        <w:trPr>
          <w:trHeight w:val="1253"/>
        </w:trPr>
        <w:tc>
          <w:tcPr>
            <w:tcBorders>
              <w:top w:val="none" w:color="000000" w:sz="4" w:space="0"/>
              <w:left w:val="single" w:color="auto" w:sz="4" w:space="0"/>
              <w:bottom w:val="single" w:color="auto" w:sz="4" w:space="0"/>
              <w:right w:val="single" w:color="auto" w:sz="4" w:space="0"/>
            </w:tcBorders>
            <w:tcW w:w="26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 </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方便食品</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方便食品</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其他方便食品</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方便粥、方</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便盒饭、冷</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面及其他熟</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制方便食品</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等</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酸价(以脂肪计)(KOH)、过氧化值(以脂肪计)、铅(以Pb计)、黄曲霉毒素B₁ 、苯</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甲酸及其钠盐(以苯甲酸计)、山梨酸及其钾盐(以山梨酸计)、脱氢乙酸及其钠盐(以脱</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氢乙酸计)、糖精钠(以糖精计)、菌落总数、大肠菌群、霉菌、沙门氏菌、金黄色葡萄球</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菌</w:t>
            </w:r>
            <w:r/>
          </w:p>
        </w:tc>
      </w:tr>
      <w:tr>
        <w:trPr>
          <w:trHeight w:val="1461"/>
        </w:trPr>
        <w:tc>
          <w:tcPr>
            <w:tcBorders>
              <w:top w:val="none" w:color="000000" w:sz="4" w:space="0"/>
              <w:left w:val="single" w:color="auto" w:sz="4" w:space="0"/>
              <w:bottom w:val="single" w:color="auto" w:sz="4" w:space="0"/>
              <w:right w:val="single" w:color="auto" w:sz="4" w:space="0"/>
            </w:tcBorders>
            <w:tcW w:w="26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 </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饼干</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饼干</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饼干</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饼干</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酸价(以脂肪计)(KOH)、过氧化值(以脂肪计)、山梨酸及其钾盐(以山梨酸计)、</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铝的残留量(干样品，以Al计)、脱氢乙酸及其钠盐(以脱氢乙酸计)、甜蜜素(以环己基</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氨基磺酸计)、糖精钠(以糖精计)、二氧化硫残留量、苯甲酸及其钠盐(以苯甲酸计)、</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合成着色剂(柠檬黄、日落黄、胭脂红、苋菜红、亮蓝、靛蓝、诱惑红)、菌落总数、大肠</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菌群、金黄色葡萄球菌、沙门氏菌、霉菌</w:t>
            </w:r>
            <w:r/>
          </w:p>
        </w:tc>
      </w:tr>
      <w:tr>
        <w:trPr>
          <w:trHeight w:val="732"/>
        </w:trPr>
        <w:tc>
          <w:tcPr>
            <w:tcBorders>
              <w:top w:val="none" w:color="000000" w:sz="4" w:space="0"/>
              <w:left w:val="single" w:color="auto" w:sz="4" w:space="0"/>
              <w:bottom w:val="single" w:color="000000" w:sz="4" w:space="0"/>
              <w:right w:val="single" w:color="auto" w:sz="4" w:space="0"/>
            </w:tcBorders>
            <w:tcW w:w="26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 </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罐头</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罐头</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畜禽水产罐头</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畜禽肉类罐头</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铅(以Pb计)、镉(以Cd计)、脱氢乙酸及其钠盐(以脱氢乙酸计)、苯甲酸及其钠盐</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(以苯甲酸计)、山梨酸及其钾盐(以山梨酸计)、商业无菌</w:t>
            </w:r>
            <w:r/>
          </w:p>
        </w:tc>
      </w:tr>
      <w:tr>
        <w:trPr>
          <w:trHeight w:val="109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水产动物类</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罐头</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组胺、铅(以Pb计)、无机砷(以As计)、脱氢乙酸及其钠盐(以脱氢乙酸计)、苯甲酸</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及其钠盐(以苯甲酸计)、山梨酸及其钾盐(以山梨酸计)、糖精钠(以糖精计)、甜蜜素</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(以环己基氨基磺酸计)、商业无菌</w:t>
            </w:r>
            <w:r/>
          </w:p>
        </w:tc>
      </w:tr>
      <w:tr>
        <w:trPr>
          <w:trHeight w:val="111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果蔬罐头</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水果类罐头</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铅(以Pb计)、合成着色剂(柠檬黄、日落黄、苋菜红、胭脂红、赤藓红、诱惑红、亮</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蓝)、脱氢乙酸及其钠盐(以脱氢乙酸计)、苯甲酸及其钠盐(以苯甲酸计)、山梨酸及其</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钾盐(以山梨酸计)、糖精钠(以糖精计)、甜蜜素(以环己基氨基磺酸计)、二氧化硫残</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留量、商业无菌</w:t>
            </w:r>
            <w:r/>
          </w:p>
        </w:tc>
      </w:tr>
      <w:tr>
        <w:trPr>
          <w:trHeight w:val="109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蔬菜类罐头</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铅(以Pb计)、合成着色剂(柠檬黄、日落黄)、脱氢乙酸及其钠盐(以脱氢乙酸计)、</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苯甲酸及其钠盐(以苯甲酸计)、山梨酸及其钾盐(以山梨酸计)、乙二胺四乙酸二钠、二</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氧化硫残留量、商业无菌</w:t>
            </w:r>
            <w:r/>
          </w:p>
        </w:tc>
      </w:tr>
      <w:tr>
        <w:trPr>
          <w:trHeight w:val="1035"/>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食用菌罐头</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铅(以Pb计)、脱氢乙酸及其钠盐(以脱氢乙酸计)、苯甲酸及其钠盐(以苯甲酸计)、</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山梨酸及其钾盐(以山梨酸计)、乙二胺四乙酸二钠、二氧化硫残留量、商业无菌</w:t>
            </w:r>
            <w:r/>
          </w:p>
        </w:tc>
      </w:tr>
      <w:tr>
        <w:trPr>
          <w:trHeight w:val="891"/>
        </w:trPr>
        <w:tc>
          <w:tcPr>
            <w:tcBorders>
              <w:top w:val="none" w:color="000000" w:sz="4" w:space="0"/>
              <w:left w:val="single" w:color="auto" w:sz="4" w:space="0"/>
              <w:bottom w:val="single" w:color="auto" w:sz="4" w:space="0"/>
              <w:right w:val="single" w:color="auto" w:sz="4" w:space="0"/>
            </w:tcBorders>
            <w:tcW w:w="26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 </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罐头</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罐头</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其他罐头</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其他罐头</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黄曲霉毒素B₁ 、脱氢乙酸及其钠盐(以脱氢乙酸计)、苯甲酸及其钠盐(以苯甲酸计)、山</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梨酸及其钾盐(以山梨酸计)、乙二胺四乙酸二钠、商业无菌</w:t>
            </w:r>
            <w:r/>
          </w:p>
        </w:tc>
      </w:tr>
      <w:tr>
        <w:trPr>
          <w:trHeight w:val="1311"/>
        </w:trPr>
        <w:tc>
          <w:tcPr>
            <w:tcBorders>
              <w:top w:val="none" w:color="000000" w:sz="4" w:space="0"/>
              <w:left w:val="single" w:color="auto" w:sz="4" w:space="0"/>
              <w:bottom w:val="single" w:color="auto" w:sz="4" w:space="0"/>
              <w:right w:val="single" w:color="auto" w:sz="4" w:space="0"/>
            </w:tcBorders>
            <w:tcW w:w="26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 </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冷冻饮品</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冷冻饮品</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冷冻饮品</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冰淇淋、雪</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糕、雪泥、</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冰棍、食用</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冰、甜味冰</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、其他类</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蛋白质、甜蜜素(以环己基氨基磺酸计)、糖精钠(以糖精计)、安赛蜜、三氯蔗糖、合成</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着色剂(柠檬黄、日落黄)、菌落总数、大肠菌群、沙门氏菌、单核细胞增生李斯特氏菌</w:t>
            </w:r>
            <w:r/>
          </w:p>
        </w:tc>
      </w:tr>
      <w:tr>
        <w:trPr>
          <w:trHeight w:val="861"/>
        </w:trPr>
        <w:tc>
          <w:tcPr>
            <w:tcBorders>
              <w:top w:val="none" w:color="000000" w:sz="4" w:space="0"/>
              <w:left w:val="single" w:color="auto" w:sz="4" w:space="0"/>
              <w:bottom w:val="single" w:color="000000" w:sz="4" w:space="0"/>
              <w:right w:val="single" w:color="auto" w:sz="4" w:space="0"/>
            </w:tcBorders>
            <w:tcW w:w="26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 </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速冻食品</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速冻面米食品</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速冻面米食品</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速冻面米生</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   制品</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过氧化值(以脂肪计)、铅(以Pb计)、糖精钠(以糖精计)、甜蜜素(以环己基氨基磺</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酸计)、合成着色剂(柠檬黄、日落黄、苋菜红、亮蓝)</w:t>
            </w:r>
            <w:r/>
          </w:p>
        </w:tc>
      </w:tr>
      <w:tr>
        <w:trPr>
          <w:trHeight w:val="99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速冻面米熟</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   制品</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过氧化值(以脂肪计)、铅(以Pb计)、糖精钠(以糖精计)、甜蜜素(以环己基氨基磺</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酸计)、合成着色剂(柠檬黄、日落黄、苋菜红、亮蓝)、菌落总数、大肠菌群、沙门氏菌</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、金黄色葡萄球菌</w:t>
            </w:r>
            <w:r/>
          </w:p>
        </w:tc>
      </w:tr>
      <w:tr>
        <w:trPr>
          <w:trHeight w:val="912"/>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速冻调制食品</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速冻调理肉制品</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速冻调理肉制品</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过氧化值(以脂肪计)、铅(以Pb计)、铬(以Cr计)、氯霉素、合成着色剂(胭脂红、</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柠檬黄、日落黄、诱惑红)、亚硝酸盐、菌落总数、大肠菌群、沙门氏菌、金黄色葡萄球菌</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、单核细胞增生李斯特氏菌</w:t>
            </w:r>
            <w:r/>
          </w:p>
        </w:tc>
      </w:tr>
      <w:tr>
        <w:trPr>
          <w:trHeight w:val="91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速冻调制水</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产制品</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速冻调制水</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  产制品</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挥发性盐基氮、苯甲酸及其钠盐(以苯甲酸计)、山梨酸及其钾盐(以山梨酸计)、菌落总</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数、大肠菌群、沙门氏菌、副溶血性弧菌、单核细胞增生李斯特氏菌</w:t>
            </w:r>
            <w:r/>
          </w:p>
        </w:tc>
      </w:tr>
      <w:tr>
        <w:trPr>
          <w:trHeight w:val="711"/>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速冻其他食品</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速冻谷物食品</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速冻谷物食品</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铅(以Pb计)、黄曲霉毒素B₁</w:t>
            </w:r>
            <w:r/>
          </w:p>
        </w:tc>
      </w:tr>
      <w:tr>
        <w:trPr>
          <w:trHeight w:val="711"/>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速冻蔬菜制品</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速冻蔬菜制品</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铅(以Pb计)、镉(以Cd计)、糖精钠(以糖精计)</w:t>
            </w:r>
            <w:r/>
          </w:p>
        </w:tc>
      </w:tr>
      <w:tr>
        <w:trPr>
          <w:trHeight w:val="666"/>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速冻水果制品</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速冻水果制品</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铅(以Pb计)、镉(以Cd计)、菌落总数、大肠菌群、霉菌、沙门氏菌、金黄色葡萄球菌</w:t>
            </w:r>
            <w:r/>
          </w:p>
        </w:tc>
      </w:tr>
      <w:tr>
        <w:trPr>
          <w:trHeight w:val="1440"/>
        </w:trPr>
        <w:tc>
          <w:tcPr>
            <w:tcBorders>
              <w:top w:val="none" w:color="000000" w:sz="4" w:space="0"/>
              <w:left w:val="single" w:color="auto" w:sz="4" w:space="0"/>
              <w:bottom w:val="single" w:color="000000" w:sz="4" w:space="0"/>
              <w:right w:val="single" w:color="auto" w:sz="4" w:space="0"/>
            </w:tcBorders>
            <w:tcW w:w="26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 </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薯类和膨化食品</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薯类和膨化食品</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膨化食品</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含油型膨化</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食品和非含</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油型膨化食</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品</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水分、酸价(以脂肪计)(KOH)、过氧化值(以脂肪计)、黄曲霉毒素B₁ 、糖精钠(以</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糖精计)、苯甲酸及其钠盐(以苯甲酸计)、山梨酸及其钾盐(以山梨酸计)、甜蜜素(以</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环己基氨基磺酸计)、菌落总数、大肠菌群、沙门氏菌、金黄色葡萄球菌</w:t>
            </w:r>
            <w:r/>
          </w:p>
        </w:tc>
      </w:tr>
      <w:tr>
        <w:trPr>
          <w:trHeight w:val="78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薯类食品</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干制薯类</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酸价(以脂肪计)(KOH)、过氧化值(以脂肪计)、菌落总数、大肠菌群、铅(以</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Pb计)、沙门氏菌、金黄色葡萄球菌</w:t>
            </w:r>
            <w:r/>
          </w:p>
        </w:tc>
      </w:tr>
      <w:tr>
        <w:trPr>
          <w:trHeight w:val="78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冷冻薯类</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铅(以Pb计)</w:t>
            </w:r>
            <w:r/>
          </w:p>
        </w:tc>
      </w:tr>
      <w:tr>
        <w:trPr>
          <w:trHeight w:val="78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薯泥(酱)</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类</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铅(以Pb计)、苯甲酸及其钠盐(以苯甲酸计)、山梨酸及其钾盐(以山梨酸计)、商业</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无菌、沙门氏菌、金黄色葡萄球菌</w:t>
            </w:r>
            <w:r/>
          </w:p>
        </w:tc>
      </w:tr>
      <w:tr>
        <w:trPr>
          <w:trHeight w:val="78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薯粉类</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铅(以Pb计)</w:t>
            </w:r>
            <w:r/>
          </w:p>
        </w:tc>
      </w:tr>
      <w:tr>
        <w:trPr>
          <w:trHeight w:val="78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其他薯类食品</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铅(以Pb计)、沙门氏菌、金黄色葡萄球菌</w:t>
            </w:r>
            <w:r/>
          </w:p>
        </w:tc>
      </w:tr>
      <w:tr>
        <w:trPr>
          <w:trHeight w:val="1060"/>
        </w:trPr>
        <w:tc>
          <w:tcPr>
            <w:tcBorders>
              <w:top w:val="none" w:color="000000" w:sz="4" w:space="0"/>
              <w:left w:val="single" w:color="auto" w:sz="4" w:space="0"/>
              <w:bottom w:val="single" w:color="auto" w:sz="4" w:space="0"/>
              <w:right w:val="single" w:color="auto" w:sz="4" w:space="0"/>
            </w:tcBorders>
            <w:tcW w:w="26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 </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糖果制品</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糖果制品(含巧克力及制品)</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糖果</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糖果</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铅(以Pb计)、糖精钠(以糖精计)、甜蜜素(以环己基氨基磺酸计)、合成着色剂(柠檬黄、新红、苋菜红、靛蓝、胭脂红、日落黄、诱惑红、亮蓝、酸性红、喹啉黄、赤藓红)、相同色泽着色剂混合使用时各自用量占其最大使用量的比例之和、二氧化硫残留量、菌落总数、大肠菌群</w:t>
            </w:r>
            <w:r/>
          </w:p>
        </w:tc>
      </w:tr>
      <w:tr>
        <w:trPr>
          <w:trHeight w:val="1551"/>
        </w:trPr>
        <w:tc>
          <w:tcPr>
            <w:tcBorders>
              <w:top w:val="none" w:color="000000" w:sz="4" w:space="0"/>
              <w:left w:val="single" w:color="auto" w:sz="4" w:space="0"/>
              <w:bottom w:val="single" w:color="000000" w:sz="4" w:space="0"/>
              <w:right w:val="single" w:color="auto" w:sz="4" w:space="0"/>
            </w:tcBorders>
            <w:tcW w:w="26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 </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糖果制品</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糖果制品</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(含巧克力</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及制品)</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巧克力及巧</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克力制品</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巧克力、巧</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克力制品、</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代可可脂巧</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克力及代可</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可脂巧克力</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  制品</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铅(以Pb计)、沙门氏菌</w:t>
            </w:r>
            <w:r/>
          </w:p>
        </w:tc>
      </w:tr>
      <w:tr>
        <w:trPr>
          <w:trHeight w:val="99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果冻</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果冻</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山梨酸及其钾盐(以山梨酸计)、苯甲酸及其钠盐(以苯甲酸计)、糖精钠(以糖精计)、</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甜蜜素(以环己基氨基磺酸计)、安赛蜜、菌落总数、大肠菌群、霉菌、酵母</w:t>
            </w:r>
            <w:r/>
          </w:p>
        </w:tc>
      </w:tr>
      <w:tr>
        <w:trPr>
          <w:trHeight w:val="1570"/>
        </w:trPr>
        <w:tc>
          <w:tcPr>
            <w:tcBorders>
              <w:top w:val="none" w:color="000000" w:sz="4" w:space="0"/>
              <w:left w:val="single" w:color="auto" w:sz="4" w:space="0"/>
              <w:bottom w:val="single" w:color="000000" w:sz="4" w:space="0"/>
              <w:right w:val="single" w:color="auto" w:sz="4" w:space="0"/>
            </w:tcBorders>
            <w:tcW w:w="26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 </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茶叶及相关</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制品</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茶叶</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茶叶</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绿茶、红茶</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、乌龙茶、</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黄茶、白茶</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、黑茶、花</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茶、袋泡茶</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、紧压茶</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铅(以Pb计)、草甘膦、吡虫啉、乙酰甲胺磷、联苯菊酯、灭多威、三氯杀螨醇、氰戊菊</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酯和S-氰戊菊酯、甲拌磷、克百威、水胺硫磷、氧乐果、毒死蜱、啶虫脒、多菌灵、茚虫威</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、合成着色剂(柠檬黄、日落黄、胭脂红、亮蓝)</w:t>
            </w:r>
            <w:r/>
          </w:p>
        </w:tc>
      </w:tr>
      <w:tr>
        <w:trPr>
          <w:trHeight w:val="921"/>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含茶制品和</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代用茶</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含茶制品</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速溶茶类、</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其他含茶制</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   品</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铅(以Pb计)、菌落总数、霉菌、霉菌及酵母</w:t>
            </w:r>
            <w:r/>
          </w:p>
        </w:tc>
      </w:tr>
      <w:tr>
        <w:trPr>
          <w:trHeight w:val="102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代用茶</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代用茶</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铅(以Pb计)、二氧化硫残留量、啶虫脒、克百威、毒死蜱、吡虫啉、氯氟氰菊酯和高效</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氯氟氰菊酯、三唑磷、霉菌</w:t>
            </w:r>
            <w:r/>
          </w:p>
        </w:tc>
      </w:tr>
      <w:tr>
        <w:trPr>
          <w:trHeight w:val="1030"/>
        </w:trPr>
        <w:tc>
          <w:tcPr>
            <w:tcBorders>
              <w:top w:val="none" w:color="000000" w:sz="4" w:space="0"/>
              <w:left w:val="single" w:color="auto" w:sz="4" w:space="0"/>
              <w:bottom w:val="single" w:color="000000" w:sz="4" w:space="0"/>
              <w:right w:val="single" w:color="auto" w:sz="4" w:space="0"/>
            </w:tcBorders>
            <w:tcW w:w="26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 </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酒类</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蒸馏酒</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白酒</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白酒、白酒</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(液态)、</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白酒(原</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   酒 )</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酒精度、铅(以Pb计)、甲醇、氰化物(以HCN计)、糖精钠(以糖精计)、甜蜜素(以</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环己基氨基磺酸计)、三氯蔗糖、安赛蜜</w:t>
            </w:r>
            <w:r/>
          </w:p>
        </w:tc>
      </w:tr>
      <w:tr>
        <w:trPr>
          <w:trHeight w:val="1086"/>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发酵酒</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黄酒</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黄酒</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酒精度、氨基酸态氮、苯甲酸及其钠盐(以苯甲酸计)、山梨酸及其钾盐(以山梨酸计)、</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糖精钠(以糖精计)、甜蜜素(以环己基氨基磺酸计)</w:t>
            </w:r>
            <w:r/>
          </w:p>
        </w:tc>
      </w:tr>
      <w:tr>
        <w:trPr>
          <w:trHeight w:val="690"/>
        </w:trPr>
        <w:tc>
          <w:tcPr>
            <w:tcBorders>
              <w:top w:val="none" w:color="000000" w:sz="4" w:space="0"/>
              <w:left w:val="single" w:color="auto" w:sz="4" w:space="0"/>
              <w:bottom w:val="single" w:color="000000" w:sz="4" w:space="0"/>
              <w:right w:val="single" w:color="auto" w:sz="4" w:space="0"/>
            </w:tcBorders>
            <w:tcW w:w="26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 </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酒类</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发酵酒</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啤酒</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啤酒</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酒精度、甲醛</w:t>
            </w:r>
            <w:r/>
          </w:p>
        </w:tc>
      </w:tr>
      <w:tr>
        <w:trPr>
          <w:trHeight w:val="1131"/>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葡萄酒</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葡萄酒</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酒精度、甲醇、苯甲酸及其钠盐(以苯甲酸计)、山梨酸及其钾盐(以山梨酸计)、糖精钠</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(以糖精计)、二氧化硫残留量、甜蜜素(以环己基氨基磺酸计)、三氯蔗糖、合成着色剂</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(柠檬黄、日落黄、新红、胭脂红、赤藓红、苋菜红、诱惑红、酸性红、亮蓝)</w:t>
            </w:r>
            <w:r/>
          </w:p>
        </w:tc>
      </w:tr>
      <w:tr>
        <w:trPr>
          <w:trHeight w:val="921"/>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果酒</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果酒</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酒精度、展青霉素、糖精钠(以糖精计)、甜蜜素(以环己基氨基磺酸计)、安赛蜜、二氧</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化硫残留量、酸性红</w:t>
            </w:r>
            <w:r/>
          </w:p>
        </w:tc>
      </w:tr>
      <w:tr>
        <w:trPr>
          <w:trHeight w:val="111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其他酒</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配制酒</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以蒸馏酒及</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食用酒精为</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酒基的配制</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酒</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酒精度、甲醇、氰化物(以HCN计)、甜蜜素(以环己基氨基磺酸计)、安赛蜜</w:t>
            </w:r>
            <w:r/>
          </w:p>
        </w:tc>
      </w:tr>
      <w:tr>
        <w:trPr>
          <w:trHeight w:val="109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以发酵酒为</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酒基的配制</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酒</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酒精度、苯甲酸及其钠盐(以苯甲酸计)、山梨酸及其钾盐(以山梨酸计)、甜蜜素(以环</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己基氨基磺酸计)、防腐剂混合使用时各自用量占其最大使用量的比例之和、安赛蜜</w:t>
            </w:r>
            <w:r/>
          </w:p>
        </w:tc>
      </w:tr>
      <w:tr>
        <w:trPr>
          <w:trHeight w:val="96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其他蒸馏酒</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其他蒸馏酒</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酒精度、铅(以Pb计)、甲醇、氰化物(以HCN计)、甜蜜素(以环己基氨基磺酸计)、</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三氯蔗糖</w:t>
            </w:r>
            <w:r/>
          </w:p>
        </w:tc>
      </w:tr>
      <w:tr>
        <w:trPr>
          <w:trHeight w:val="96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其他发酵酒</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其他发酵酒</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酒精度、苯甲酸及其钠盐(以苯甲酸计)、山梨酸及其钾盐(以山梨酸计)、糖精钠(以糖</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精计)、甜蜜素(以环己基氨基磺酸计)、安赛蜜</w:t>
            </w:r>
            <w:r/>
          </w:p>
        </w:tc>
      </w:tr>
      <w:tr>
        <w:trPr>
          <w:trHeight w:val="1315"/>
        </w:trPr>
        <w:tc>
          <w:tcPr>
            <w:tcBorders>
              <w:top w:val="none" w:color="000000" w:sz="4" w:space="0"/>
              <w:left w:val="single" w:color="auto" w:sz="4" w:space="0"/>
              <w:bottom w:val="single" w:color="auto" w:sz="4" w:space="0"/>
              <w:right w:val="single" w:color="auto" w:sz="4" w:space="0"/>
            </w:tcBorders>
            <w:tcW w:w="26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 </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蔬菜制品</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蔬菜制品</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酱腌菜</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酱腌菜</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铅(以Pb计)、亚硝酸盐(以NaNO₂计)、苯甲酸及其钠盐(以苯甲酸计)、山梨酸及其钾</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盐(以山梨酸计)、脱氢乙酸及其钠盐(以脱氢乙酸计)、糖精钠(以糖精计)、甜蜜素</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(以环己基氨基磺酸计)、安赛蜜、二氧化硫残留量、防腐剂混合使用时各自用量占其最大</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使用量的比例之和、合成着色剂(柠檬黄、日落黄、诱惑红)、大肠菌群</w:t>
            </w:r>
            <w:r/>
          </w:p>
        </w:tc>
      </w:tr>
      <w:tr>
        <w:trPr>
          <w:trHeight w:val="1011"/>
        </w:trPr>
        <w:tc>
          <w:tcPr>
            <w:tcBorders>
              <w:top w:val="none" w:color="000000" w:sz="4" w:space="0"/>
              <w:left w:val="single" w:color="auto" w:sz="4" w:space="0"/>
              <w:bottom w:val="single" w:color="000000" w:sz="4" w:space="0"/>
              <w:right w:val="single" w:color="auto" w:sz="4" w:space="0"/>
            </w:tcBorders>
            <w:tcW w:w="26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 </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蔬菜制品</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蔬菜制品</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蔬菜干制品</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蔬菜干制品</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铅(以Pb计)、苯甲酸及其钠盐(以苯甲酸计)、山梨酸及其钾盐(以山梨酸计)、二氧</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化硫残留量、合成着色剂(柠檬黄、日落黄、胭脂红、苋菜红、亮蓝)</w:t>
            </w:r>
            <w:r/>
          </w:p>
        </w:tc>
      </w:tr>
      <w:tr>
        <w:trPr>
          <w:trHeight w:val="822"/>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其他蔬菜制品</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其他蔬菜制品</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铅(以Pb计)、苯甲酸及其钠盐(以苯甲酸计)、山梨酸及其钾盐(以山梨酸计)、脱氢</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乙酸及其钠盐(以脱氢乙酸计)、二氧化硫残留量</w:t>
            </w:r>
            <w:r/>
          </w:p>
        </w:tc>
      </w:tr>
      <w:tr>
        <w:trPr>
          <w:trHeight w:val="1011"/>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食用菌制品</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干制食用菌</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铅(以Pb计)、镉(以Cd计)、总汞(以Hg计)、甲基汞(以Hg计)、总砷(以As计)、</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无机砷(以As计)</w:t>
            </w:r>
            <w:r/>
          </w:p>
        </w:tc>
      </w:tr>
      <w:tr>
        <w:trPr>
          <w:trHeight w:val="108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腌渍食用菌</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苯甲酸及其钠盐(以苯甲酸计)、山梨酸及其钾盐(以山梨酸计)、脱氢乙酸及其钠盐(以</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脱氢乙酸计)、防腐剂混合使用时各自用量占其最大使用量的比例之和</w:t>
            </w:r>
            <w:r/>
          </w:p>
        </w:tc>
      </w:tr>
      <w:tr>
        <w:trPr>
          <w:trHeight w:val="1701"/>
        </w:trPr>
        <w:tc>
          <w:tcPr>
            <w:tcBorders>
              <w:top w:val="none" w:color="000000" w:sz="4" w:space="0"/>
              <w:left w:val="single" w:color="auto" w:sz="4" w:space="0"/>
              <w:bottom w:val="single" w:color="000000" w:sz="4" w:space="0"/>
              <w:right w:val="single" w:color="auto" w:sz="4" w:space="0"/>
            </w:tcBorders>
            <w:tcW w:w="26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 </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水果制品</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水果制品</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蜜饯</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蜜饯类、凉</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果类、果脯</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类、话化类</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、果糕类</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铅(以Pb计)、苯甲酸及其钠盐(以苯甲酸计)、山梨酸及其钾盐(以山梨酸计)、脱氢</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乙酸及其钠盐(以脱氢乙酸计)、防腐剂混合使用时各自用量占其最大使用量的比例之和、</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糖精钠(以糖精计)、甜蜜素(以环己基氨基磺酸计)、安赛蜜、二氧化硫残留量、合成着</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色剂(亮蓝、柠檬黄、日落黄、苋菜红、胭脂红、诱惑红、喹啉黄)、相同色泽着色剂混合</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使用时各自用量占其最大使用量的比例之和、乙二胺四乙酸二钠、菌落总数、大肠菌群、霉</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菌</w:t>
            </w:r>
            <w:r/>
          </w:p>
        </w:tc>
      </w:tr>
      <w:tr>
        <w:trPr>
          <w:trHeight w:val="1491"/>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水果干制品</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水果干制品</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(含干枸</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杞 )</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铅(以Pb计)、啶虫脒、吡虫啉、克百威、氯氟氰菊酯和高效氯氟氰菊酯、氯氰菊酯和高</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效氯氰菊酯、苯甲酸及其钠盐(以苯甲酸计)、山梨酸及其钾盐(以山梨酸计)、脱氢乙酸</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及其钠盐(以脱氢乙酸计)、糖精钠(以糖精计)、二氧化硫残留量、合成着色剂(亮蓝、</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柠檬黄、日落黄、苋菜红、胭脂红、诱惑红、喹啉黄)、菌落总数、大肠菌群、霉菌</w:t>
            </w:r>
            <w:r/>
          </w:p>
        </w:tc>
      </w:tr>
      <w:tr>
        <w:trPr>
          <w:trHeight w:val="885"/>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果酱</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果酱</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铅(以Pb计)、脱氢乙酸及其钠盐(以脱氢乙酸计)、菌落总数、大肠菌群、霉菌、商业</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无菌</w:t>
            </w:r>
            <w:r/>
          </w:p>
        </w:tc>
      </w:tr>
      <w:tr>
        <w:trPr>
          <w:trHeight w:val="1311"/>
        </w:trPr>
        <w:tc>
          <w:tcPr>
            <w:tcBorders>
              <w:top w:val="none" w:color="000000" w:sz="4" w:space="0"/>
              <w:left w:val="single" w:color="auto" w:sz="4" w:space="0"/>
              <w:bottom w:val="single" w:color="000000" w:sz="4" w:space="0"/>
              <w:right w:val="single" w:color="auto" w:sz="4" w:space="0"/>
            </w:tcBorders>
            <w:tcW w:w="26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 </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炒货食品及</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坚果制品</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炒货食品及</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坚果制品</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炒货食品及</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坚果制品</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(烘炒类、</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油炸类、其</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他类)</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开心果、杏</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仁、扁桃仁</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、松仁、瓜</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子</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酸价(以脂肪计)(KOH)、过氧化值(以脂肪计)、铅(以Pb计)、黄曲霉毒素B₁、苯</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甲酸及其钠盐(以苯甲酸计)、山梨酸及其钾盐(以山梨酸计)、脱氢乙酸及其钠盐(以脱</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氢乙酸计)、二氧化硫残留量、糖精钠(以糖精计)、甜蜜素(以环己基氨基磺酸计)、安</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赛蜜、大肠菌群、霉菌</w:t>
            </w:r>
            <w:r/>
          </w:p>
        </w:tc>
      </w:tr>
      <w:tr>
        <w:trPr>
          <w:trHeight w:val="121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其他炒货食</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品及坚果制</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品</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酸价(以脂肪计)(KOH)、过氧化值(以脂肪计)、铅(以Pb计)、黄曲霉毒素B₁、苯</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甲酸及其钠盐(以苯甲酸计)、山梨酸及其钾盐(以山梨酸计)、脱氢乙酸及其钠盐(以脱</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氢乙酸计)、二氧化硫残留量、糖精钠(以糖精计)、甜蜜素(以环己基氨基磺酸计)、安</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赛蜜、大肠菌群、霉菌</w:t>
            </w:r>
            <w:r/>
          </w:p>
        </w:tc>
      </w:tr>
      <w:tr>
        <w:trPr>
          <w:trHeight w:val="790"/>
        </w:trPr>
        <w:tc>
          <w:tcPr>
            <w:tcBorders>
              <w:top w:val="none" w:color="000000" w:sz="4" w:space="0"/>
              <w:left w:val="single" w:color="auto" w:sz="4" w:space="0"/>
              <w:bottom w:val="single" w:color="000000" w:sz="4" w:space="0"/>
              <w:right w:val="single" w:color="auto" w:sz="4" w:space="0"/>
            </w:tcBorders>
            <w:tcW w:w="26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 </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蛋制品</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蛋制品</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再制蛋</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再制蛋</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铅(以Pb计)、苯甲酸及其钠盐(以苯甲酸计)、山梨酸及其钾盐(以山梨酸计)、菌落</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总数、大肠菌群、沙门氏菌</w:t>
            </w:r>
            <w:r/>
          </w:p>
        </w:tc>
      </w:tr>
      <w:tr>
        <w:trPr>
          <w:trHeight w:val="58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干蛋类</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干蛋类</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菌落总数、大肠菌群、沙门氏菌</w:t>
            </w:r>
            <w:r/>
          </w:p>
        </w:tc>
      </w:tr>
      <w:tr>
        <w:trPr>
          <w:trHeight w:val="55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冰蛋类</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冰蛋类</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菌落总数、大肠菌群、沙门氏菌</w:t>
            </w:r>
            <w:r/>
          </w:p>
        </w:tc>
      </w:tr>
      <w:tr>
        <w:trPr>
          <w:trHeight w:val="79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其他类</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其他类</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铅(以Pb计)、苯甲酸及其钠盐(以苯甲酸计)、山梨酸及其钾盐(以山梨酸计)、脱氢</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乙酸及其钠盐(以脱氢乙酸计)、菌落总数、大肠菌群、沙门氏菌</w:t>
            </w:r>
            <w:r/>
          </w:p>
        </w:tc>
      </w:tr>
      <w:tr>
        <w:trPr>
          <w:trHeight w:val="550"/>
        </w:trPr>
        <w:tc>
          <w:tcPr>
            <w:tcBorders>
              <w:top w:val="none" w:color="000000" w:sz="4" w:space="0"/>
              <w:left w:val="single" w:color="auto" w:sz="4" w:space="0"/>
              <w:bottom w:val="single" w:color="000000" w:sz="4" w:space="0"/>
              <w:right w:val="single" w:color="auto" w:sz="4" w:space="0"/>
            </w:tcBorders>
            <w:tcW w:w="26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 </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可可及焙烤</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咖啡产品</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焙炒咖啡</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焙炒咖啡</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焙炒咖啡</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咖啡因、铅(以Pb计)、赭曲霉毒素A</w:t>
            </w:r>
            <w:r/>
          </w:p>
        </w:tc>
      </w:tr>
      <w:tr>
        <w:trPr>
          <w:trHeight w:val="58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可可制品</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可可制品</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可可制品</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铅(以Pb计)、沙门氏菌</w:t>
            </w:r>
            <w:r/>
          </w:p>
        </w:tc>
      </w:tr>
      <w:tr>
        <w:trPr>
          <w:trHeight w:val="580"/>
        </w:trPr>
        <w:tc>
          <w:tcPr>
            <w:tcBorders>
              <w:top w:val="none" w:color="000000" w:sz="4" w:space="0"/>
              <w:left w:val="single" w:color="auto" w:sz="4" w:space="0"/>
              <w:bottom w:val="single" w:color="000000" w:sz="4" w:space="0"/>
              <w:right w:val="single" w:color="auto" w:sz="4" w:space="0"/>
            </w:tcBorders>
            <w:tcW w:w="26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 </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食糖</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食糖</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食糖</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白砂糖</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蔗糖分、还原糖分、色值、干燥失重、二氧化硫残留量、螨</w:t>
            </w:r>
            <w:r/>
          </w:p>
        </w:tc>
      </w:tr>
      <w:tr>
        <w:trPr>
          <w:trHeight w:val="58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绵白糖</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总糖分、还原糖分、色值、干燥失重、二氧化硫残留量、螨</w:t>
            </w:r>
            <w:r/>
          </w:p>
        </w:tc>
      </w:tr>
      <w:tr>
        <w:trPr>
          <w:trHeight w:val="666"/>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赤砂糖</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总糖分、不溶于水杂质、干燥失重、二氧化硫残留量、螨、合成着色剂(柠檬黄、新红、苋</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菜红、胭脂红、日落黄、诱惑红、酸性红、喹啉黄、赤藓红)</w:t>
            </w:r>
            <w:r/>
          </w:p>
        </w:tc>
      </w:tr>
      <w:tr>
        <w:trPr>
          <w:trHeight w:val="831"/>
        </w:trPr>
        <w:tc>
          <w:tcPr>
            <w:tcBorders>
              <w:top w:val="none" w:color="000000" w:sz="4" w:space="0"/>
              <w:left w:val="single" w:color="auto" w:sz="4" w:space="0"/>
              <w:bottom w:val="single" w:color="000000" w:sz="4" w:space="0"/>
              <w:right w:val="single" w:color="auto" w:sz="4" w:space="0"/>
            </w:tcBorders>
            <w:tcW w:w="26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 </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食糖</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食糖</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食糖</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红糖</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总糖分、不溶于水杂质、干燥失重、二氧化硫残留量、螨、合成着色剂(柠檬黄、新红、苋</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菜红、胭脂红、日落黄、诱惑红、酸性红、喹啉黄、赤藓红)</w:t>
            </w:r>
            <w:r/>
          </w:p>
        </w:tc>
      </w:tr>
      <w:tr>
        <w:trPr>
          <w:trHeight w:val="81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冰糖</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蔗糖分、还原糖分、色值、干燥失重、二氧化硫残留量、螨、合成着色剂(柠檬黄、新红、</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苋菜红、胭脂红、日落黄、诱惑红、酸性红、喹啉黄、赤藓红)</w:t>
            </w:r>
            <w:r/>
          </w:p>
        </w:tc>
      </w:tr>
      <w:tr>
        <w:trPr>
          <w:trHeight w:val="81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冰片糖</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总糖分、还原糖分、干燥失重、二氧化硫残留量、螨、合成着色剂(柠檬黄、新红、苋菜红</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、胭脂红、日落黄、诱惑红、酸性红、喹啉黄、赤藓红)</w:t>
            </w:r>
            <w:r/>
          </w:p>
        </w:tc>
      </w:tr>
      <w:tr>
        <w:trPr>
          <w:trHeight w:val="651"/>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方糖</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蔗糖分、还原糖分、色值、干燥失重、二氧化硫残留量、螨</w:t>
            </w:r>
            <w:r/>
          </w:p>
        </w:tc>
      </w:tr>
      <w:tr>
        <w:trPr>
          <w:trHeight w:val="981"/>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其他糖</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蔗糖分、总糖分、色值、还原糖分、干燥失重、二氧化硫残留量、螨、合成着色剂(柠檬黄</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、新红、苋菜红、胭脂红、日落黄、诱惑红、酸性红、喹啉黄、赤藓红)、菌落总数、大肠</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菌群、霉菌、酵母菌</w:t>
            </w:r>
            <w:r/>
          </w:p>
        </w:tc>
      </w:tr>
      <w:tr>
        <w:trPr>
          <w:trHeight w:val="741"/>
        </w:trPr>
        <w:tc>
          <w:tcPr>
            <w:tcBorders>
              <w:top w:val="none" w:color="000000" w:sz="4" w:space="0"/>
              <w:left w:val="single" w:color="auto" w:sz="4" w:space="0"/>
              <w:bottom w:val="single" w:color="000000" w:sz="4" w:space="0"/>
              <w:right w:val="single" w:color="auto" w:sz="4" w:space="0"/>
            </w:tcBorders>
            <w:tcW w:w="26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 </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水产制品</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水产制品</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干制水产品</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藻类干制品</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铅(以Pb计)、菌落总数、大肠菌群</w:t>
            </w:r>
            <w:r/>
          </w:p>
        </w:tc>
      </w:tr>
      <w:tr>
        <w:trPr>
          <w:trHeight w:val="88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预制动物性</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水产干制品</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过氧化值(以脂肪计)、镉(以Cd计)、苯甲酸及其钠盐(以苯甲酸计)、山梨酸及其钾</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盐(以山梨酸计)、合成着色剂(柠檬黄、胭脂红、日落黄)</w:t>
            </w:r>
            <w:r/>
          </w:p>
        </w:tc>
      </w:tr>
      <w:tr>
        <w:trPr>
          <w:trHeight w:val="981"/>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盐渍水产品</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盐渍鱼</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过氧化值(以脂肪计)、组胺、镉(以Cd计)、苯甲酸及其钠盐(以苯甲酸计)、山梨酸</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及其钾盐(以山梨酸计)</w:t>
            </w:r>
            <w:r/>
          </w:p>
        </w:tc>
      </w:tr>
      <w:tr>
        <w:trPr>
          <w:trHeight w:val="681"/>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盐渍藻</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铅(以Pb计)、苯甲酸及其钠盐(以苯甲酸计)、山梨酸及其钾盐(以山梨酸计)</w:t>
            </w:r>
            <w:r/>
          </w:p>
        </w:tc>
      </w:tr>
      <w:tr>
        <w:trPr>
          <w:trHeight w:val="567"/>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其他盐渍水产品</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苯甲酸及其钠盐(以苯甲酸计)、山梨酸及其钾盐(以山梨酸计)</w:t>
            </w:r>
            <w:r/>
          </w:p>
        </w:tc>
      </w:tr>
      <w:tr>
        <w:trPr>
          <w:trHeight w:val="632"/>
        </w:trPr>
        <w:tc>
          <w:tcPr>
            <w:tcBorders>
              <w:top w:val="none" w:color="000000" w:sz="4" w:space="0"/>
              <w:left w:val="single" w:color="auto" w:sz="4" w:space="0"/>
              <w:bottom w:val="single" w:color="000000" w:sz="4" w:space="0"/>
              <w:right w:val="single" w:color="auto" w:sz="4" w:space="0"/>
            </w:tcBorders>
            <w:tcW w:w="26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 </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水产制品</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水产制品</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鱼糜制品</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预制鱼糜制品</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苯甲酸及其钠盐(以苯甲酸计)、山梨酸及其钾盐(以山梨酸计)、脱氢乙酸及其钠盐(以</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脱氢乙酸计)、合成着色剂(诱惑红)</w:t>
            </w:r>
            <w:r/>
          </w:p>
        </w:tc>
      </w:tr>
      <w:tr>
        <w:trPr>
          <w:trHeight w:val="831"/>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熟制动物性</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水产制品</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熟制动物性</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水产制品</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铅(以Pb计)、镉(以Cd计)、苯甲酸及其钠盐(以苯甲酸计)、山梨酸及其钾盐(以山</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梨酸计)、甜蜜素(以环己基氨基磺酸计)、脱氢乙酸及其钠盐(以脱氢乙酸计)</w:t>
            </w:r>
            <w:r/>
          </w:p>
        </w:tc>
      </w:tr>
      <w:tr>
        <w:trPr>
          <w:trHeight w:val="94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生食水产品</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生食动物性</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水产品</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挥发性盐基氮、苯甲酸及其钠盐(以苯甲酸计)、山梨酸及其钾盐(以山梨酸计)、铝的残</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留量(以即食海蜇中Al计)、菌落总数、大肠菌群、沙门氏菌、副溶血性弧菌、单核细胞增</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生李斯特氏菌</w:t>
            </w:r>
            <w:r/>
          </w:p>
        </w:tc>
      </w:tr>
      <w:tr>
        <w:trPr>
          <w:trHeight w:val="932"/>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其他水产制品</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其他水产制品</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铅(以Pb计)、苯甲酸及其钠盐(以苯甲酸计)、山梨酸及其钾盐(以山梨酸计)、脱氢</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乙酸及其钠盐(以脱氢乙酸计)、合成着色剂(柠檬黄)、甜蜜素(以环己基氨基磺酸计)</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、防腐剂混合使用时各自用量占其最大使用量的比例之和、菌落总数</w:t>
            </w:r>
            <w:r/>
          </w:p>
        </w:tc>
      </w:tr>
      <w:tr>
        <w:trPr>
          <w:trHeight w:val="861"/>
        </w:trPr>
        <w:tc>
          <w:tcPr>
            <w:tcBorders>
              <w:top w:val="none" w:color="000000" w:sz="4" w:space="0"/>
              <w:left w:val="single" w:color="auto" w:sz="4" w:space="0"/>
              <w:bottom w:val="single" w:color="000000" w:sz="4" w:space="0"/>
              <w:right w:val="single" w:color="auto" w:sz="4" w:space="0"/>
            </w:tcBorders>
            <w:tcW w:w="26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 </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淀粉及淀粉</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制品</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淀粉及淀粉</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制品</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淀粉</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淀粉</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铅(以Pb计)、菌落总数、大肠菌群、霉菌和酵母、二氧化硫残留量、脱氢乙酸及其钠盐</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(以脱氢乙酸计)、葛根素</w:t>
            </w:r>
            <w:r/>
          </w:p>
        </w:tc>
      </w:tr>
      <w:tr>
        <w:trPr>
          <w:trHeight w:val="123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淀粉制品</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粉丝粉条</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铅(以Pb计)、苯甲酸及其钠盐(以苯甲酸计)、山梨酸及其钾盐(以山梨酸计)、脱氢</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乙酸及其钠盐(以脱氢乙酸计)、铝的残留量(干样品，以Al计)、二氧化硫残留量、合成</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着色剂(柠檬黄、新红、苋菜红、靛蓝、胭脂红、日落黄、诱惑红、亮蓝、酸性红、喹啉黄</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、赤藓红)</w:t>
            </w:r>
            <w:r/>
          </w:p>
        </w:tc>
      </w:tr>
      <w:tr>
        <w:trPr>
          <w:trHeight w:val="1022"/>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其他淀粉制品</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苯甲酸及其钠盐(以苯甲酸计)、山梨酸及其钾盐(以山梨酸计)、脱氢乙酸及其钠盐(以</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脱氢乙酸计)、铝的残留量(干样品，以Al计)、二氧化硫残留量、合成着色剂(柠檬黄、</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新红、苋菜红、靛蓝、胭脂红、日落黄、诱惑红、亮蓝、酸性红、喹啉黄、赤藓红)、相同</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色泽着色剂混合使用时各自用量占其最大使用量的比例之和</w:t>
            </w:r>
            <w:r/>
          </w:p>
        </w:tc>
      </w:tr>
      <w:tr>
        <w:trPr>
          <w:trHeight w:val="1305"/>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淀粉糖</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淀粉糖</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铅(以Pb计)、总砷(以As计)、葡萄糖含量(以干基计，质量分数)、IMO含量(占干</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物质，质量分数)、IG₂+P+IG₃含量(占干物质，质量分数)、果糖(占干基比)、果糖+葡</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萄糖(占干基比)、5-羟甲基糠醛(以吸光度计)、果糖+葡萄糖含量(以干物质计)、果</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糖含量(以干物质计)、麦芽糖含量(以干物质计，质量分数)、干物质(固形物)、硫酸</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灰分</w:t>
            </w:r>
            <w:r/>
          </w:p>
        </w:tc>
      </w:tr>
      <w:tr>
        <w:trPr>
          <w:trHeight w:val="1800"/>
        </w:trPr>
        <w:tc>
          <w:tcPr>
            <w:tcBorders>
              <w:top w:val="none" w:color="000000" w:sz="4" w:space="0"/>
              <w:left w:val="single" w:color="auto" w:sz="4" w:space="0"/>
              <w:bottom w:val="single" w:color="000000" w:sz="4" w:space="0"/>
              <w:right w:val="single" w:color="auto" w:sz="4" w:space="0"/>
            </w:tcBorders>
            <w:tcW w:w="26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 </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糕点</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糕点</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面包</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面包</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酸价(以脂肪计)(KOH)、过氧化值(以脂肪计)、铅(以Pb计)、苯甲酸及其钠盐</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(以苯甲酸计)、山梨酸及其钾盐(以山梨酸计)、糖精钠(以糖精计)、甜蜜素(以环己</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基氨基磺酸计)、安赛蜜、铝的残留量(干样品，以Al计)、丙酸及其钠盐、钙盐(以丙酸</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计)、脱氢乙酸及其钠盐(以脱氢乙酸计)、三氯蔗糖、合成着色剂(柠檬黄、日落黄、胭</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脂红、苋菜红、亮蓝、诱惑红)、防腐剂混合使用时各自用量占其最大使用量的比例之和、</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菌落总数、大肠菌群、金黄色葡萄球菌、沙门氏菌、霉菌</w:t>
            </w:r>
            <w:r/>
          </w:p>
        </w:tc>
      </w:tr>
      <w:tr>
        <w:trPr>
          <w:trHeight w:val="144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月饼</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月饼</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酸价(以脂肪计)(KOH)、过氧化值(以脂肪计)、糖精钠(以糖精计)、苯甲酸及其</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钠盐(以苯甲酸计)、山梨酸及其钾盐(以山梨酸计)、铝的残留量(干样品，以Al计)、</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丙酸及其钠盐、钙盐(以丙酸计)、脱氢乙酸及其钠盐(以脱氢乙酸计)、纳他霉素、合成</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着色剂(柠檬黄、日落黄、胭脂红、苋菜红、亮蓝、赤藓红、诱惑红)、防腐剂混合使用时</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各自用量占其最大使用量的比例之和、菌落总数、大肠菌群、金黄色葡萄球菌、沙门氏菌、</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霉菌</w:t>
            </w:r>
            <w:r/>
          </w:p>
        </w:tc>
      </w:tr>
      <w:tr>
        <w:trPr>
          <w:trHeight w:val="981"/>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粽子</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粽子</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过氧化值(以脂肪计)、甜蜜素(以环己基氨基磺酸计)、山梨酸及其钾盐(以山梨酸计)</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、脱氢乙酸及其钠盐(以脱氢乙酸计)、糖精钠(以糖精计)、安赛蜜、菌落总数、大肠菌</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群、金黄色葡萄球菌、沙门氏菌、霉菌、商业无菌</w:t>
            </w:r>
            <w:r/>
          </w:p>
        </w:tc>
      </w:tr>
      <w:tr>
        <w:trPr>
          <w:trHeight w:val="165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糕点</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糕点</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酸价(以脂肪计)(KOH)、过氧化值(以脂肪计)、铅(以Pb计)、苯甲酸及其钠盐</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(以苯甲酸计)、山梨酸及其钾盐(以山梨酸计)、糖精钠(以糖精计)、甜蜜素(以环己</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基氨基磺酸计)、安赛蜜、铝的残留量(干样品，以Al计)、丙酸及其钠盐、钙盐(以丙酸</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计)、脱氢乙酸及其钠盐(以脱氢乙酸计)、纳他霉素、三氯蔗糖、丙二醇、合成着色剂</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(柠檬黄、日落黄、胭脂红、苋菜红、亮蓝、赤藓红、诱惑红)、防腐剂混合使用时各自用</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量占其最大使用量的比例之和、菌落总数、大肠菌群、金黄色葡萄球菌、沙门氏菌、霉菌</w:t>
            </w:r>
            <w:r/>
          </w:p>
        </w:tc>
      </w:tr>
      <w:tr>
        <w:trPr>
          <w:trHeight w:val="992"/>
        </w:trPr>
        <w:tc>
          <w:tcPr>
            <w:tcBorders>
              <w:top w:val="none" w:color="000000" w:sz="4" w:space="0"/>
              <w:left w:val="single" w:color="auto" w:sz="4" w:space="0"/>
              <w:bottom w:val="single" w:color="000000" w:sz="4" w:space="0"/>
              <w:right w:val="single" w:color="auto" w:sz="4" w:space="0"/>
            </w:tcBorders>
            <w:tcW w:w="26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 </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豆制品</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豆制品</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发酵性豆制品</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腐乳、豆豉</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、纳豆等</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铅(以Pb计)、黄曲霉毒素B₁ 、苯甲酸及其钠盐(以苯甲酸计)、山梨酸及其钾盐(以山</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梨酸计)、脱氢乙酸及其钠盐(以脱氢乙酸计)、糖精钠(以糖精计)、甜蜜素(以环己基</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氨基磺酸计)、铝的残留量(干样品，以Al计)、大肠菌群</w:t>
            </w:r>
            <w:r/>
          </w:p>
        </w:tc>
      </w:tr>
      <w:tr>
        <w:trPr>
          <w:trHeight w:val="1077"/>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非发酵性豆制品</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腐竹、油皮</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及其再制品</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蛋白质、铅(以Pb计)、碱性嫩黄、苯甲酸及其钠盐(以苯甲酸计)、山梨酸及其钾盐</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(以山梨酸计)、脱氢乙酸及其钠盐(以脱氢乙酸计)、二氧化硫残留量、铝的残留量(干</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样品，以Al计)、合成着色剂(柠檬黄、日落黄)</w:t>
            </w:r>
            <w:r/>
          </w:p>
        </w:tc>
      </w:tr>
      <w:tr>
        <w:trPr>
          <w:trHeight w:val="1352"/>
        </w:trPr>
        <w:tc>
          <w:tcPr>
            <w:tcBorders>
              <w:top w:val="none" w:color="000000" w:sz="4" w:space="0"/>
              <w:left w:val="single" w:color="auto" w:sz="4" w:space="0"/>
              <w:bottom w:val="single" w:color="000000" w:sz="4" w:space="0"/>
              <w:right w:val="single" w:color="auto" w:sz="4" w:space="0"/>
            </w:tcBorders>
            <w:tcW w:w="26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 </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豆制品</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豆制品</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非发酵性豆制品</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豆干、豆腐</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、豆皮等</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铅(以Pb计)、苯甲酸及其钠盐(以苯甲酸计)、山梨酸及其钾盐(以山梨酸计)、脱氢</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乙酸及其钠盐(以脱氢乙酸计)、丙酸及其钠盐、钙盐(以丙酸计)、防腐剂混合使用时各</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自用量占其最大使用量的比例之和、糖精钠(以糖精计)、三氯蔗糖、甜蜜素(以环己基氨</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基磺酸计)、铝的残留量(干样品，以Al计)、合成着色剂(柠檬黄、日落黄)、大肠菌群</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、金黄色葡萄球菌</w:t>
            </w:r>
            <w:r/>
          </w:p>
        </w:tc>
      </w:tr>
      <w:tr>
        <w:trPr>
          <w:trHeight w:val="112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其他豆制品</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大豆蛋白类</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制品等</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铅(以Pb计)、苯甲酸及其钠盐(以苯甲酸计)、山梨酸及其钾盐(以山梨酸计)、脱氢</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乙酸及其钠盐(以脱氢乙酸计)、糖精钠(以糖精计)、三氯蔗糖、铝的残留量(干样品，</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以Al计)、大肠菌群</w:t>
            </w:r>
            <w:r/>
          </w:p>
        </w:tc>
      </w:tr>
      <w:tr>
        <w:trPr>
          <w:trHeight w:val="1011"/>
        </w:trPr>
        <w:tc>
          <w:tcPr>
            <w:tcBorders>
              <w:top w:val="none" w:color="000000" w:sz="4" w:space="0"/>
              <w:left w:val="single" w:color="auto" w:sz="4" w:space="0"/>
              <w:bottom w:val="single" w:color="000000" w:sz="4" w:space="0"/>
              <w:right w:val="single" w:color="auto" w:sz="4" w:space="0"/>
            </w:tcBorders>
            <w:tcW w:w="26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 </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蜂产品</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蜂产品</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蜂蜜</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蜂蜜</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果糖和葡萄糖、蔗糖、铅(以Pb计)、山梨酸及其钾盐(以山梨酸计)、氯霉素、呋喃西</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林代谢物、呋喃唑酮代谢物、甲硝唑、双甲脒、诺氟沙星、氧氟沙星、菌落总数、霉菌计数</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、嗜渗酵母计数</w:t>
            </w:r>
            <w:r/>
          </w:p>
        </w:tc>
      </w:tr>
      <w:tr>
        <w:trPr>
          <w:trHeight w:val="109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蜂王浆(含</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蜂王浆冻干</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品 )</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蜂王浆(含</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蜂王浆冻干</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品 )</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10-羟基-2-癸烯酸、酸度、蛋白质、呋喃西林代谢物</w:t>
            </w:r>
            <w:r/>
          </w:p>
        </w:tc>
      </w:tr>
      <w:tr>
        <w:trPr>
          <w:trHeight w:val="79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蜂花粉</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蜂花粉</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铅(以Pb计)、菌落总数、大肠菌群、霉菌</w:t>
            </w:r>
            <w:r/>
          </w:p>
        </w:tc>
      </w:tr>
      <w:tr>
        <w:trPr>
          <w:trHeight w:val="78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蜂产品制品</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蜂产品制品</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山梨酸及其钾盐(以山梨酸计)、合成着色剂(柠檬黄、日落黄)、菌落总数</w:t>
            </w:r>
            <w:r/>
          </w:p>
        </w:tc>
      </w:tr>
      <w:tr>
        <w:trPr>
          <w:trHeight w:val="1581"/>
        </w:trPr>
        <w:tc>
          <w:tcPr>
            <w:tcBorders>
              <w:top w:val="none" w:color="000000" w:sz="4" w:space="0"/>
              <w:left w:val="single" w:color="auto" w:sz="4" w:space="0"/>
              <w:bottom w:val="single" w:color="auto" w:sz="4" w:space="0"/>
              <w:right w:val="single" w:color="auto" w:sz="4" w:space="0"/>
            </w:tcBorders>
            <w:tcW w:w="26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 </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保健食品</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保健食品</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保健食品</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保健食品</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氨基酸、10-羟基-2-癸烯酸、蛋白质、二十二碳六烯酸、二十碳五烯酸、泛酸、钙、还原糖、肌醇、赖氨酸、绿原酸、铁、维生素A、维生素B₁ 、维生素B₁₂ 、维生素B₂ 、维生素B₆ 、维生素C、维生素D、维生素D₃ 、维生素E、硒、锌、烟酰胺、叶酸、免疫球蛋白IgG、总黄酮、总皂苷、总蒽醌、吡啶甲酸铬、芦荟苷、总三萜、嗜酸乳杆菌、双歧杆菌、水分、可溶性固形物、酸价、过氧化值、崩解时限、灰分、铅(Pb)、总砷(As)、总汞(Hg)、硬胶囊壳中的铬、菌落总数、大肠菌群、霉菌和酵母、金黄色葡萄球菌、沙门氏菌</w:t>
            </w:r>
            <w:r/>
          </w:p>
        </w:tc>
      </w:tr>
      <w:tr>
        <w:trPr>
          <w:trHeight w:val="2640"/>
        </w:trPr>
        <w:tc>
          <w:tcPr>
            <w:tcBorders>
              <w:top w:val="none" w:color="000000" w:sz="4" w:space="0"/>
              <w:left w:val="single" w:color="auto" w:sz="4" w:space="0"/>
              <w:bottom w:val="single" w:color="000000" w:sz="4" w:space="0"/>
              <w:right w:val="single" w:color="auto" w:sz="4" w:space="0"/>
            </w:tcBorders>
            <w:tcW w:w="26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 </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特殊膳食食品</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婴幼儿辅助</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食品</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婴幼儿谷类</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辅助食品</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婴幼儿谷物</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辅助食品、</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婴幼儿高蛋</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白谷物辅助</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食品、婴幼</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儿生制类谷</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物辅助食品</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、婴幼儿饼</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干或其他婴</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幼儿谷物辅</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  助食品</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能量、蛋白质、脂肪、亚油酸、月桂酸占总脂肪的比值、肉豆蔻酸占总脂肪的比值、维生素A、维生素D、维生素B₁ 、钙、铁、锌、钠、维生素E、维生素B₂ 、维生素B₆ 、维生素B1 ₂、烟酸、叶酸、泛酸、维生素C、生物素、磷、碘、钾、水分、不溶性膳食纤维、脲酶活性定性测定、铅(以Pb计)、无机砷(以As计)、锡(以Sn计)、镉(以Cd计)、黄曲霉毒素B₁ 、硝酸盐(以NaNO₃计)、亚硝酸盐(以NaNO₂计)、菌落总数、大肠菌群、沙门氏菌、二十二碳六烯酸、花生四烯酸、金黄色葡萄球菌</w:t>
            </w:r>
            <w:r/>
          </w:p>
        </w:tc>
      </w:tr>
      <w:tr>
        <w:trPr>
          <w:trHeight w:val="132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婴幼儿罐装</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辅助食品</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泥 ( 糊 ) 状</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罐装食品、</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颗粒状罐装</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食品、汁类</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 罐装食品</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蛋白质、脂肪、总钠、铅(以Pb计)、无机砷(以As计)、总汞(以Hg计)、锡(以Sn计)、硝酸盐(以NaNO₃计)、亚硝酸盐(以NaNO₂计)、商业无菌、霉菌</w:t>
            </w:r>
            <w:r/>
          </w:p>
        </w:tc>
      </w:tr>
      <w:tr>
        <w:trPr>
          <w:trHeight w:val="156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营养补充品</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营养补充品</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辅食营养素</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补充食品、</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辅食营养素</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补充片、辅</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食营养素撒</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    剂</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蛋白质、钙、铁、锌、维生素A、维生素D、维生素B₁ 、维生素B₂ 、维生素K₁ 、烟酸(烟酰胺)、维生素B₆ 、叶酸、维生素B₁₂ 、泛酸、胆碱、生物素、维生素C、二十二碳六烯酸、脲酶活性定性、铅(以Pb计)、总砷(以As计)、黄曲霉毒素M、黄曲霉毒素B₁ 、硝酸盐(以NaNO₃计)、亚硝酸盐(以NaNO₂计)、菌落总数、大肠菌群、沙门氏菌、金黄色葡萄球菌</w:t>
            </w:r>
            <w:r/>
          </w:p>
        </w:tc>
      </w:tr>
      <w:tr>
        <w:trPr>
          <w:trHeight w:val="156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孕妇及乳母</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营养补充食</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    品</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铁、维生素A、维生素D、叶酸、维生素B₁₂ 、钙、镁、锌、硒、维生素E、维生素K、维生素B₁ 、维生素B₂ 、维生素B₆ 、烟酸(烟酰胺)、泛酸、胆碱、生物素、维生素C、二十二碳六烯酸、脲酶活性定性、铅(以Pb计)、总砷(以As计)、硝酸盐(以NaNO₃计)、亚硝酸盐(以NaNO₂计)、黄曲霉毒素M₁ 、黄曲霉毒素B₁ 、大肠菌群、沙门氏菌、金黄色葡萄球菌</w:t>
            </w:r>
            <w:r/>
          </w:p>
        </w:tc>
      </w:tr>
      <w:tr>
        <w:trPr>
          <w:trHeight w:val="132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运动营养食品</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咖啡因、肌酸、肽类、维生素A、维生素D、维生素E、维生素B₁ 、维生素B₂ 、维生素B₆ 、维生素B₁₂、维生素C、叶酸、烟酸、生物素、泛酸、钙、钠、钾、镁、铁、锌、硒、铜、碘、锰、磷、钼、铬、左旋肉碱、牛磺酸、铅(以Pb计)、总砷(以As计)、黄曲霉毒素M₁、黄曲霉毒素B₁ 、沙门氏菌、金黄色葡萄球菌</w:t>
            </w:r>
            <w:r/>
          </w:p>
        </w:tc>
      </w:tr>
      <w:tr>
        <w:trPr>
          <w:trHeight w:val="900"/>
        </w:trPr>
        <w:tc>
          <w:tcPr>
            <w:tcBorders>
              <w:top w:val="none" w:color="000000" w:sz="4" w:space="0"/>
              <w:left w:val="single" w:color="auto" w:sz="4" w:space="0"/>
              <w:bottom w:val="single" w:color="000000" w:sz="4" w:space="0"/>
              <w:right w:val="single" w:color="auto" w:sz="4" w:space="0"/>
            </w:tcBorders>
            <w:tcW w:w="26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 </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餐饮食品</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米面及其制</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品(自制)</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小麦粉制品</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(自制)</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馒头花卷</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(自制)</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苯甲酸及其钠盐(以苯甲酸计)、山梨酸及其钾盐(以山梨酸计)、糖精钠(以糖精计)、脱氢乙酸及其钠盐(以脱氢乙酸计)、甜蜜素(以环己基氨基磺酸计)</w:t>
            </w:r>
            <w:r/>
          </w:p>
        </w:tc>
      </w:tr>
      <w:tr>
        <w:trPr>
          <w:trHeight w:val="792"/>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包子(自制 )</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苯甲酸及其钠盐(以苯甲酸计)、山梨酸及其钾盐(以山梨酸计)、糖精钠(以糖精计)、脱氢乙酸及其钠盐(以脱氢乙酸计)、甜蜜素(以环己基氨基磺酸计)</w:t>
            </w:r>
            <w:r/>
          </w:p>
        </w:tc>
      </w:tr>
      <w:tr>
        <w:trPr>
          <w:trHeight w:val="73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油饼油条</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(自制)</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铝的残留量(干样品，以Al计)</w:t>
            </w:r>
            <w:r/>
          </w:p>
        </w:tc>
      </w:tr>
      <w:tr>
        <w:trPr>
          <w:trHeight w:val="632"/>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凉皮(自制 )</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脱氢乙酸及其钠盐(以脱氢乙酸计)</w:t>
            </w:r>
            <w:r/>
          </w:p>
        </w:tc>
      </w:tr>
      <w:tr>
        <w:trPr>
          <w:trHeight w:val="66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肉制品(自制 )</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熟肉制品</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(自制)</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肉冻皮冻</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(自制)</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铬(以Cr计)</w:t>
            </w:r>
            <w:r/>
          </w:p>
        </w:tc>
      </w:tr>
      <w:tr>
        <w:trPr>
          <w:trHeight w:val="67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熏烧烤肉类</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(自制)</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N-二甲基亚硝胺、苯并[a]芘、铅(以Pb计)</w:t>
            </w:r>
            <w:r/>
          </w:p>
        </w:tc>
      </w:tr>
      <w:tr>
        <w:trPr>
          <w:trHeight w:val="855"/>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调味料(自制 )</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调味料(自制 )</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火锅麻辣烫</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底料(自</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制 )</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罂粟碱、吗啡、可待因、那可丁</w:t>
            </w:r>
            <w:r/>
          </w:p>
        </w:tc>
      </w:tr>
      <w:tr>
        <w:trPr>
          <w:trHeight w:val="940"/>
        </w:trPr>
        <w:tc>
          <w:tcPr>
            <w:tcBorders>
              <w:top w:val="none" w:color="000000" w:sz="4" w:space="0"/>
              <w:left w:val="single" w:color="auto" w:sz="4" w:space="0"/>
              <w:bottom w:val="single" w:color="000000" w:sz="4" w:space="0"/>
              <w:right w:val="single" w:color="auto" w:sz="4" w:space="0"/>
            </w:tcBorders>
            <w:tcW w:w="26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 </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餐饮食品</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水产制品</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(自制)</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预制水产制</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品(自制)</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生食动物性</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水产品(自</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制 )</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铝的残留量(以即食海蜇中Al计)</w:t>
            </w:r>
            <w:r/>
          </w:p>
        </w:tc>
      </w:tr>
      <w:tr>
        <w:trPr>
          <w:trHeight w:val="97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坚果及籽类</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食品(自</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制 )</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坚果及籽类</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食品(自</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制 )</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花生制品</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(自制)</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黄曲霉毒素B₁ 、苯甲酸及其钠盐(以苯甲酸计)、山梨酸及其钾盐(以山梨酸计)、脱氢乙酸及其钠盐(以脱氢乙酸计)</w:t>
            </w:r>
            <w:r/>
          </w:p>
        </w:tc>
      </w:tr>
      <w:tr>
        <w:trPr>
          <w:trHeight w:val="861"/>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餐饮具</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复用餐饮具</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复用餐饮具</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(餐馆自行</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消毒)</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阴离子合成洗涤剂(以十二烷基苯磺酸钠计)、大肠菌群</w:t>
            </w:r>
            <w:r/>
          </w:p>
        </w:tc>
      </w:tr>
      <w:tr>
        <w:trPr>
          <w:trHeight w:val="1191"/>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复用餐饮具</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(集中清洗</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消毒服务单</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位消毒)</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阴离子合成洗涤剂(以十二烷基苯磺酸钠计)、大肠菌群</w:t>
            </w:r>
            <w:r/>
          </w:p>
        </w:tc>
      </w:tr>
      <w:tr>
        <w:trPr>
          <w:trHeight w:val="891"/>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焙烤食品</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(自制)</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焙烤食品</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(自制)</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糕点(自制 )</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酸价(以脂肪计)(KOH)、过氧化值(以脂肪计)、山梨酸及其钾盐(以山梨酸计)、脱氢乙酸及其钠盐(以脱氢乙酸计)、防腐剂混合使用时各自用量占其最大使用量的比例之和、铝的残留量(干样品，以Al计)</w:t>
            </w:r>
            <w:r/>
          </w:p>
        </w:tc>
      </w:tr>
      <w:tr>
        <w:trPr>
          <w:trHeight w:val="951"/>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食用油、油</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脂及其制品</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(自制)</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食用油、油</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脂及其制品</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(自制)</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煎炸过程用油</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极性组分、酸价(KOH)</w:t>
            </w:r>
            <w:r/>
          </w:p>
        </w:tc>
      </w:tr>
      <w:tr>
        <w:trPr>
          <w:trHeight w:val="861"/>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淀粉制品</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(自制)</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粉丝粉条</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(自制)</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粉丝粉条</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(自制)</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铝的残留量(干样品，以Al计)、脱氢乙酸及其钠盐(以脱氢乙酸计)</w:t>
            </w:r>
            <w:r/>
          </w:p>
        </w:tc>
      </w:tr>
      <w:tr>
        <w:trPr>
          <w:trHeight w:val="69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饮料(自制 )</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饮料(自制 )</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奶茶(自制 )</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脱氢乙酸及其钠盐(以脱氢乙酸计)</w:t>
            </w:r>
            <w:r/>
          </w:p>
        </w:tc>
      </w:tr>
      <w:tr>
        <w:trPr>
          <w:trHeight w:val="666"/>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除上述类别的餐饮食品</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根据各省实际情况而定</w:t>
            </w:r>
            <w:r/>
          </w:p>
        </w:tc>
      </w:tr>
      <w:tr>
        <w:trPr>
          <w:trHeight w:val="512"/>
        </w:trPr>
        <w:tc>
          <w:tcPr>
            <w:tcBorders>
              <w:top w:val="none" w:color="000000" w:sz="4" w:space="0"/>
              <w:left w:val="single" w:color="auto" w:sz="4" w:space="0"/>
              <w:bottom w:val="single" w:color="000000" w:sz="4" w:space="0"/>
              <w:right w:val="single" w:color="auto" w:sz="4" w:space="0"/>
            </w:tcBorders>
            <w:tcW w:w="26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 </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食品添加剂</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食品添加剂</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复配食品添加剂</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复配食品添加剂</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铅(Pb)、砷(以As计)、致病性微生物</w:t>
            </w:r>
            <w:r/>
          </w:p>
        </w:tc>
      </w:tr>
      <w:tr>
        <w:trPr>
          <w:trHeight w:val="61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食品用香精</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食品用香精</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砷(以As计)含量/无机砷含量、菌落总数</w:t>
            </w:r>
            <w:r/>
          </w:p>
        </w:tc>
      </w:tr>
      <w:tr>
        <w:trPr>
          <w:trHeight w:val="63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单一食品添加剂</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明胶</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铬(Cr)、铅(Pb)、总砷(As)、二氧化硫、过氧化物</w:t>
            </w:r>
            <w:r/>
          </w:p>
        </w:tc>
      </w:tr>
      <w:tr>
        <w:trPr>
          <w:trHeight w:val="741"/>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糖精钠</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糖精钠含量、干燥失重、总砷(以As计)、铅(Pb)、酸度和碱度、苯甲酸盐和水杨酸盐</w:t>
            </w:r>
            <w:r/>
          </w:p>
        </w:tc>
      </w:tr>
      <w:tr>
        <w:trPr>
          <w:trHeight w:val="103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环己基氨基</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磺酸钠(又</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名甜蜜素)</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环己基氨基磺酸钠含量(以干基计)、硫酸盐(以SO₄计)、pH(100g/L水溶液)、干燥减量、氨基磺酸、环己胺、双环己胺、吸光值(100g/L溶液)、透明度(以100g/L溶液的透光率表示)、重金属(以Pb计)、砷(As)</w:t>
            </w:r>
            <w:r/>
          </w:p>
        </w:tc>
      </w:tr>
      <w:tr>
        <w:trPr>
          <w:trHeight w:val="1071"/>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碳酸钠</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总碱量(以Na₂CO₃计)(以干基计)、总碱量(以Na₂CO₃计)(以湿基计)、水不溶物(以干基计)、氯化物(以NaCl计)(以干基计)、铁(Fe)(以干基计)、铅(Pb)(以干基计)、砷(As)(以干基计)</w:t>
            </w:r>
            <w:r/>
          </w:p>
        </w:tc>
      </w:tr>
      <w:tr>
        <w:trPr>
          <w:trHeight w:val="831"/>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碳酸氢钠</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总碱量(以NaHCO₃计)、干燥减量、pH(10g/L水溶液)、铵盐、澄清度、氯化物(以Cl计)、白度、砷(As)、重金属(以Pb计)</w:t>
            </w:r>
            <w:r/>
          </w:p>
        </w:tc>
      </w:tr>
      <w:tr>
        <w:trPr>
          <w:trHeight w:val="861"/>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焦糖色</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吸光度E:01%(610nm)、氨氮(以N计)、二氧化硫(以SO₂计)、4-甲基咪唑、总氮(以N计)、总硫(以S计)、总砷(以As计)、铅(Pb)、总汞(以Hg计)</w:t>
            </w:r>
            <w:r/>
          </w:p>
        </w:tc>
      </w:tr>
      <w:tr>
        <w:trPr>
          <w:trHeight w:val="81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蜂蜡</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过氧化值，酸值(以KOH计),皂化值(以KOH计),熔程，甘油和其他多元醇，铅(Pb),巴西棕榈蜡，纯白地蜡、石蜡及其他蜡，脂肪、日本蜡、松脂和皂质</w:t>
            </w:r>
            <w:r/>
          </w:p>
        </w:tc>
      </w:tr>
      <w:tr>
        <w:trPr>
          <w:trHeight w:val="846"/>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红曲米</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水分、黄曲霉毒素B₁ 、色价、细度150μm(100目)通过率、总砷(以As计)、重金属(以Pb计)、大肠菌群、沙门氏菌、志贺氏菌、金黄色葡萄球菌</w:t>
            </w:r>
            <w:r/>
          </w:p>
        </w:tc>
      </w:tr>
      <w:tr>
        <w:trPr>
          <w:trHeight w:val="760"/>
        </w:trPr>
        <w:tc>
          <w:tcPr>
            <w:tcBorders>
              <w:top w:val="none" w:color="000000" w:sz="4" w:space="0"/>
              <w:left w:val="single" w:color="auto" w:sz="4" w:space="0"/>
              <w:bottom w:val="single" w:color="000000" w:sz="4" w:space="0"/>
              <w:right w:val="single" w:color="auto" w:sz="4" w:space="0"/>
            </w:tcBorders>
            <w:tcW w:w="26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 </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食品添加剂</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食品添加剂</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单一食品添加剂</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红曲红</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一般</w:t>
            </w:r>
            <w:r/>
          </w:p>
        </w:tc>
        <w:tc>
          <w:tcPr>
            <w:tcBorders>
              <w:top w:val="none" w:color="000000" w:sz="4" w:space="0"/>
              <w:left w:val="none" w:color="000000" w:sz="4" w:space="0"/>
              <w:bottom w:val="none" w:color="000000" w:sz="4" w:space="0"/>
              <w:right w:val="none" w:color="000000" w:sz="4" w:space="0"/>
            </w:tcBorders>
            <w:tcW w:w="2538" w:type="pct"/>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295275</wp:posOffset>
                      </wp:positionH>
                      <wp:positionV relativeFrom="paragraph">
                        <wp:posOffset>100330</wp:posOffset>
                      </wp:positionV>
                      <wp:extent cx="647700" cy="161925"/>
                      <wp:effectExtent l="0" t="0" r="0" b="9525"/>
                      <wp:wrapNone/>
                      <wp:docPr id="3" name="image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9"/>
                              <pic:cNvPicPr>
                                <a:picLocks noChangeAspect="1"/>
                              </pic:cNvPicPr>
                              <pic:nvPr/>
                            </pic:nvPicPr>
                            <pic:blipFill>
                              <a:blip r:embed="rId17"/>
                              <a:stretch/>
                            </pic:blipFill>
                            <pic:spPr bwMode="auto">
                              <a:xfrm>
                                <a:off x="0" y="0"/>
                                <a:ext cx="647700" cy="1619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text;margin-left:23.2pt;mso-position-horizontal:absolute;mso-position-vertical-relative:text;margin-top:7.9pt;mso-position-vertical:absolute;width:51.0pt;height:12.8pt;mso-wrap-distance-left:9.0pt;mso-wrap-distance-top:0.0pt;mso-wrap-distance-right:9.0pt;mso-wrap-distance-bottom:0.0pt;" stroked="f">
                      <v:path textboxrect="0,0,0,0"/>
                      <v:imagedata r:id="rId17" o:title=""/>
                    </v:shape>
                  </w:pict>
                </mc:Fallback>
              </mc:AlternateContent>
            </w:r>
            <w:r/>
          </w:p>
          <w:tbl>
            <w:tblPr>
              <w:tblStyle w:val="766"/>
              <w:tblW w:w="0" w:type="auto"/>
              <w:tblCellSpacing w:w="0" w:type="dxa"/>
              <w:tblInd w:w="0" w:type="dxa"/>
              <w:tblLayout w:type="autofit"/>
              <w:tblCellMar>
                <w:left w:w="0" w:type="dxa"/>
                <w:top w:w="0" w:type="dxa"/>
                <w:right w:w="0" w:type="dxa"/>
                <w:bottom w:w="0" w:type="dxa"/>
              </w:tblCellMar>
              <w:tblLook w:val="04A0" w:firstRow="1" w:lastRow="0" w:firstColumn="1" w:lastColumn="0" w:noHBand="0" w:noVBand="1"/>
            </w:tblPr>
            <w:tblGrid>
              <w:gridCol w:w="6918"/>
            </w:tblGrid>
            <w:tr>
              <w:trPr>
                <w:tblCellSpacing w:w="0" w:type="dxa"/>
                <w:trHeight w:val="760"/>
              </w:trPr>
              <w:tc>
                <w:tcPr>
                  <w:tcBorders>
                    <w:top w:val="none" w:color="000000" w:sz="4" w:space="0"/>
                    <w:left w:val="none" w:color="000000" w:sz="4" w:space="0"/>
                    <w:bottom w:val="single" w:color="auto" w:sz="4" w:space="0"/>
                    <w:right w:val="single" w:color="auto" w:sz="4" w:space="0"/>
                  </w:tcBorders>
                  <w:tcW w:w="798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色价nm、干燥减量、铅(Pb)、砷(As)</w:t>
                  </w:r>
                  <w:r/>
                </w:p>
              </w:tc>
            </w:tr>
          </w:tbl>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76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红曲黄色素</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一般</w:t>
            </w:r>
            <w:r/>
          </w:p>
        </w:tc>
        <w:tc>
          <w:tcPr>
            <w:tcBorders>
              <w:top w:val="none" w:color="000000" w:sz="4" w:space="0"/>
              <w:left w:val="none" w:color="000000" w:sz="4" w:space="0"/>
              <w:bottom w:val="none" w:color="000000" w:sz="4" w:space="0"/>
              <w:right w:val="none" w:color="000000" w:sz="4" w:space="0"/>
            </w:tcBorders>
            <w:tcW w:w="2538" w:type="pct"/>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219075</wp:posOffset>
                      </wp:positionH>
                      <wp:positionV relativeFrom="paragraph">
                        <wp:posOffset>104775</wp:posOffset>
                      </wp:positionV>
                      <wp:extent cx="723900" cy="157480"/>
                      <wp:effectExtent l="0" t="0" r="0" b="0"/>
                      <wp:wrapNone/>
                      <wp:docPr id="4" name="image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8"/>
                              <pic:cNvPicPr>
                                <a:picLocks noChangeAspect="1"/>
                              </pic:cNvPicPr>
                              <pic:nvPr/>
                            </pic:nvPicPr>
                            <pic:blipFill>
                              <a:blip r:embed="rId18"/>
                              <a:stretch/>
                            </pic:blipFill>
                            <pic:spPr bwMode="auto">
                              <a:xfrm>
                                <a:off x="0" y="0"/>
                                <a:ext cx="723900" cy="1574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0288;o:allowoverlap:true;o:allowincell:true;mso-position-horizontal-relative:text;margin-left:17.2pt;mso-position-horizontal:absolute;mso-position-vertical-relative:text;margin-top:8.2pt;mso-position-vertical:absolute;width:57.0pt;height:12.4pt;mso-wrap-distance-left:9.0pt;mso-wrap-distance-top:0.0pt;mso-wrap-distance-right:9.0pt;mso-wrap-distance-bottom:0.0pt;" stroked="f">
                      <v:path textboxrect="0,0,0,0"/>
                      <v:imagedata r:id="rId18" o:title=""/>
                    </v:shape>
                  </w:pict>
                </mc:Fallback>
              </mc:AlternateContent>
            </w:r>
            <w:r/>
          </w:p>
          <w:tbl>
            <w:tblPr>
              <w:tblStyle w:val="766"/>
              <w:tblW w:w="0" w:type="auto"/>
              <w:tblCellSpacing w:w="0" w:type="dxa"/>
              <w:tblInd w:w="0" w:type="dxa"/>
              <w:tblLayout w:type="autofit"/>
              <w:tblCellMar>
                <w:left w:w="0" w:type="dxa"/>
                <w:top w:w="0" w:type="dxa"/>
                <w:right w:w="0" w:type="dxa"/>
                <w:bottom w:w="0" w:type="dxa"/>
              </w:tblCellMar>
              <w:tblLook w:val="04A0" w:firstRow="1" w:lastRow="0" w:firstColumn="1" w:lastColumn="0" w:noHBand="0" w:noVBand="1"/>
            </w:tblPr>
            <w:tblGrid>
              <w:gridCol w:w="6918"/>
            </w:tblGrid>
            <w:tr>
              <w:trPr>
                <w:tblCellSpacing w:w="0" w:type="dxa"/>
                <w:trHeight w:val="760"/>
              </w:trPr>
              <w:tc>
                <w:tcPr>
                  <w:tcBorders>
                    <w:top w:val="none" w:color="000000" w:sz="4" w:space="0"/>
                    <w:left w:val="none" w:color="000000" w:sz="4" w:space="0"/>
                    <w:bottom w:val="single" w:color="auto" w:sz="4" w:space="0"/>
                    <w:right w:val="single" w:color="auto" w:sz="4" w:space="0"/>
                  </w:tcBorders>
                  <w:tcW w:w="798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色nm、干燥减量、灼烧残渣、铅(Pb)、总砷(以As计)</w:t>
                  </w:r>
                  <w:r/>
                </w:p>
              </w:tc>
            </w:tr>
          </w:tbl>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8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胶基</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胶基</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铅(Pb)、总砷(以As计)</w:t>
            </w:r>
            <w:r/>
          </w:p>
        </w:tc>
      </w:tr>
      <w:tr>
        <w:trPr>
          <w:trHeight w:val="75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食品工业用</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酶制剂</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食品工业用</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酶制剂</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铅(Pb)、总砷(以As计)、菌落总数、大肠菌群、大肠埃希氏菌、沙门氏菌、抗菌活性</w:t>
            </w:r>
            <w:r/>
          </w:p>
        </w:tc>
      </w:tr>
      <w:tr>
        <w:trPr>
          <w:trHeight w:val="1210"/>
        </w:trPr>
        <w:tc>
          <w:tcPr>
            <w:tcBorders>
              <w:top w:val="none" w:color="000000" w:sz="4" w:space="0"/>
              <w:left w:val="single" w:color="auto" w:sz="4" w:space="0"/>
              <w:bottom w:val="single" w:color="000000" w:sz="4" w:space="0"/>
              <w:right w:val="single" w:color="auto" w:sz="4" w:space="0"/>
            </w:tcBorders>
            <w:tcW w:w="26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 </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畜禽肉及副产品</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畜禽肉及副产品</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畜肉</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猪肉</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挥发性盐基氮、呋喃唑酮代谢物、呋喃西林代谢物、氯霉素、克伦特罗、莱克多巴胺、沙丁胺醇、喹乙醇、恩诺沙星、替米考星、磺胺类(总量)、甲氧苄啶、氟苯尼考、多西环素、地塞米松、甲硝唑、氯丙嗪、林可霉素、土霉素/金霉素/四环素(组合含量)</w:t>
            </w:r>
            <w:r/>
          </w:p>
        </w:tc>
      </w:tr>
      <w:tr>
        <w:trPr>
          <w:trHeight w:val="1221"/>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牛肉</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挥发性盐基氮、呋喃唑酮代谢物、呋喃西林代谢物、氯霉素、克伦特罗、莱克多巴胺、沙丁胺醇、恩诺沙星、磺胺类(总量)、甲氧苄啶、氟苯尼考、多西环素、地塞米松、林可霉素、倍他米松、土霉素/金霉素/四环素(组合含量)</w:t>
            </w:r>
            <w:r/>
          </w:p>
        </w:tc>
      </w:tr>
      <w:tr>
        <w:trPr>
          <w:trHeight w:val="88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羊肉</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呋喃唑酮代谢物、呋喃西林代谢物、氯霉素、克伦特罗、莱克多巴胺、沙丁胺醇、恩诺沙星、磺胺类(总量)、氟苯尼考、林可霉素、环丙氨嗪、土霉素/金霉素/四环素(组合含量)</w:t>
            </w:r>
            <w:r/>
          </w:p>
        </w:tc>
      </w:tr>
      <w:tr>
        <w:trPr>
          <w:trHeight w:val="78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其他畜肉</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呋喃唑酮代谢物、氯霉素、克伦特罗、莱克多巴胺、沙丁胺醇、氧氟沙星</w:t>
            </w:r>
            <w:r/>
          </w:p>
        </w:tc>
      </w:tr>
      <w:tr>
        <w:trPr>
          <w:trHeight w:val="1146"/>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禽肉</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鸡肉</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挥发性盐基氮、呋喃唑酮代谢物、呋喃西林代谢物、呋喃它酮代谢物、氯霉素、氧氟沙星、培氟沙星、诺氟沙星、恩诺沙星、沙拉沙星、替米考星、磺胺类(总量)、甲氧苄啶、氟苯尼考、多西环素、甲硝唑、尼卡巴嗪、环丙氨嗪、土霉素/金霉素/四环素(组合含量)</w:t>
            </w:r>
            <w:r/>
          </w:p>
        </w:tc>
      </w:tr>
      <w:tr>
        <w:trPr>
          <w:trHeight w:val="1011"/>
        </w:trPr>
        <w:tc>
          <w:tcPr>
            <w:tcBorders>
              <w:top w:val="none" w:color="000000" w:sz="4" w:space="0"/>
              <w:left w:val="single" w:color="auto" w:sz="4" w:space="0"/>
              <w:bottom w:val="single" w:color="000000" w:sz="4" w:space="0"/>
              <w:right w:val="single" w:color="auto" w:sz="4" w:space="0"/>
            </w:tcBorders>
            <w:tcW w:w="26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 </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畜禽肉及副产品</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畜禽肉及副产品</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禽肉</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鸭肉</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呋喃唑酮代谢物、呋喃妥因代谢物、氯霉素、氧氟沙星、恩诺沙星、磺胺类(总量)、氟苯尼考、多西环素、甲硝唑、环丙氨嗪</w:t>
            </w:r>
            <w:r/>
          </w:p>
        </w:tc>
      </w:tr>
      <w:tr>
        <w:trPr>
          <w:trHeight w:val="715"/>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其他禽肉</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呋喃唑酮代谢物、氯霉素、氧氟沙星、恩诺沙星、磺胺类(总量)、多西环素、甲硝唑、环丙氨嗪</w:t>
            </w:r>
            <w:r/>
          </w:p>
        </w:tc>
      </w:tr>
      <w:tr>
        <w:trPr>
          <w:trHeight w:val="1011"/>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畜副产品</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猪肝</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镉(以Cd计)、呋喃唑酮代谢物、呋喃西林代谢物、氯霉素、克伦特罗、莱克多巴胺、沙丁胺醇、恩诺沙星、磺胺类(总量)、甲氧苄啶、氯丙嗪</w:t>
            </w:r>
            <w:r/>
          </w:p>
        </w:tc>
      </w:tr>
      <w:tr>
        <w:trPr>
          <w:trHeight w:val="64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牛肝</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克伦特罗、莱克多巴胺、沙丁胺醇</w:t>
            </w:r>
            <w:r/>
          </w:p>
        </w:tc>
      </w:tr>
      <w:tr>
        <w:trPr>
          <w:trHeight w:val="60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羊肝</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克伦特罗、莱克多巴胺、沙丁胺醇、环丙氨嗪</w:t>
            </w:r>
            <w:r/>
          </w:p>
        </w:tc>
      </w:tr>
      <w:tr>
        <w:trPr>
          <w:trHeight w:val="61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猪肾</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呋喃西林代谢物、氯霉素、克伦特罗、莱克多巴胺、沙丁胺醇、恩诺沙星、磺胺类(总量)、甲氧苄啶</w:t>
            </w:r>
            <w:r/>
          </w:p>
        </w:tc>
      </w:tr>
      <w:tr>
        <w:trPr>
          <w:trHeight w:val="63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牛肾</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克伦特罗、莱克多巴胺、沙丁胺醇、恩诺沙星</w:t>
            </w:r>
            <w:r/>
          </w:p>
        </w:tc>
      </w:tr>
      <w:tr>
        <w:trPr>
          <w:trHeight w:val="61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羊肾</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镉(以Cd计)、克伦特罗、莱克多巴胺、沙丁胺醇、恩诺沙星、环丙氨嗪</w:t>
            </w:r>
            <w:r/>
          </w:p>
        </w:tc>
      </w:tr>
      <w:tr>
        <w:trPr>
          <w:trHeight w:val="715"/>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其他畜副产品</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呋喃唑酮代谢物、呋喃西林代谢物、氯霉素、克伦特罗、莱克多巴胺、沙丁胺醇</w:t>
            </w:r>
            <w:r/>
          </w:p>
        </w:tc>
      </w:tr>
      <w:tr>
        <w:trPr>
          <w:trHeight w:val="681"/>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禽副产品</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鸡肝</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呋喃唑酮代谢物、呋喃西林代谢物、氯霉素、氧氟沙星、恩诺沙星、环丙氨嗪</w:t>
            </w:r>
            <w:r/>
          </w:p>
        </w:tc>
      </w:tr>
      <w:tr>
        <w:trPr>
          <w:trHeight w:val="70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其他禽副产品</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呋喃唑酮代谢物、呋喃西林代谢物、氯霉素、诺氟沙星、环丙氨嗪</w:t>
            </w:r>
            <w:r/>
          </w:p>
        </w:tc>
      </w:tr>
      <w:tr>
        <w:trPr>
          <w:trHeight w:val="1030"/>
        </w:trPr>
        <w:tc>
          <w:tcPr>
            <w:tcBorders>
              <w:top w:val="none" w:color="000000" w:sz="4" w:space="0"/>
              <w:left w:val="single" w:color="auto" w:sz="4" w:space="0"/>
              <w:bottom w:val="single" w:color="000000" w:sz="4" w:space="0"/>
              <w:right w:val="single" w:color="auto" w:sz="4" w:space="0"/>
            </w:tcBorders>
            <w:tcW w:w="26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 </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蔬菜</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蔬菜</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豆芽</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豆芽</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铅(以Pb计)、总汞(以Hg计)、4-氯苯氧乙酸钠(以4-氯苯氧乙酸计)、6-苄基腺嘌呤(6-BA)、亚硫酸盐(以SO₂计)</w:t>
            </w:r>
            <w:r/>
          </w:p>
        </w:tc>
      </w:tr>
      <w:tr>
        <w:trPr>
          <w:trHeight w:val="93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鲜食用菌</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鲜食用菌</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镉(以Cd计)、无机砷(以As计)、百菌清、除虫脲、氯氟氰菊酯和高效氯氟氰菊酯、氯氰菊酯和高效氯氰菊酯</w:t>
            </w:r>
            <w:r/>
          </w:p>
        </w:tc>
      </w:tr>
      <w:tr>
        <w:trPr>
          <w:trHeight w:val="103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鳞茎类蔬菜</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韭菜</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铅(以Pb计)、镉(以Cd计)、阿维菌素、敌敌畏、毒死蜱、多菌灵、二甲戊灵、氟虫腈、腐霉利、甲胺磷、甲拌磷、克百威、乐果、六六六、氯氟氰菊酯和高效氯氟氰菊酯、氯氰菊酯和高效氯氰菊酯、三氯杀螨醇、三唑磷、水胺硫磷、辛硫磷、氧乐果、乙酰甲胺磷</w:t>
            </w:r>
            <w:r/>
          </w:p>
        </w:tc>
      </w:tr>
      <w:tr>
        <w:trPr>
          <w:trHeight w:val="1011"/>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葱</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铅(以Pb计)、镉(以Cd计)、丙环唑、毒死蜱、甲拌磷、甲基异柳磷、克百威、氯氟氰菊酯和高效氯氟氰菊酯、噻虫嗪、三唑磷、水胺硫磷、戊唑醇、氧乐果、乙酰甲胺磷</w:t>
            </w:r>
            <w:r/>
          </w:p>
        </w:tc>
      </w:tr>
      <w:tr>
        <w:trPr>
          <w:trHeight w:val="662"/>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芸薹属类蔬菜</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菜薹</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镉(以Cd计)、吡虫啉、啶虫脒、毒死蜱、氟虫腈、联苯菊酯、噻虫胺</w:t>
            </w:r>
            <w:r/>
          </w:p>
        </w:tc>
      </w:tr>
      <w:tr>
        <w:trPr>
          <w:trHeight w:val="115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叶菜类蔬菜</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菠菜</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铅(以Pb计)、镉(以Cd计)、铬(以Cr计)、阿维菌素、毒死蜱、氟虫腈、腐霉利、甲氨基阿维菌素苯甲酸盐、甲拌磷、乐果、氯氟氰菊酯和高效氯氟氰菊酯、水胺硫磷、氧乐果、乙酰甲胺磷</w:t>
            </w:r>
            <w:r/>
          </w:p>
        </w:tc>
      </w:tr>
      <w:tr>
        <w:trPr>
          <w:trHeight w:val="792"/>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大白菜</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镉(以Cd计)、阿维菌素、吡虫啉、毒死蜱、氟虫腈、甲拌磷、乐果、氧乐果、乙酰甲胺磷</w:t>
            </w:r>
            <w:r/>
          </w:p>
        </w:tc>
      </w:tr>
      <w:tr>
        <w:trPr>
          <w:trHeight w:val="1335"/>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普通白菜</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(小白菜、</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小油菜、青</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菜 )</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镉(以Cd计)、阿维菌素、吡虫啉、敌敌畏、啶虫脒、毒死蜱、氟虫腈、氟氯氰菊酯和高效氟氯氰菊酯、甲氨基阿维菌素苯甲酸盐、甲拌磷、甲基异柳磷、克百威、氯氟氰菊酯和高效氯氟氰菊酯、氯氰菊酯和高效氯氰菊酯、噻虫胺、水胺硫磷、氧乐果、乙酰甲胺磷</w:t>
            </w:r>
            <w:r/>
          </w:p>
        </w:tc>
      </w:tr>
      <w:tr>
        <w:trPr>
          <w:trHeight w:val="1260"/>
        </w:trPr>
        <w:tc>
          <w:tcPr>
            <w:tcBorders>
              <w:top w:val="none" w:color="000000" w:sz="4" w:space="0"/>
              <w:left w:val="single" w:color="auto" w:sz="4" w:space="0"/>
              <w:bottom w:val="single" w:color="000000" w:sz="4" w:space="0"/>
              <w:right w:val="single" w:color="auto" w:sz="4" w:space="0"/>
            </w:tcBorders>
            <w:tcW w:w="26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 </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蔬菜</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蔬菜</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叶菜类蔬菜</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芹菜</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铅(以Pb计)、镉(以Cd计)、阿维菌素、百菌清、苯醚甲环唑、敌敌畏、啶虫脒、毒死蜱、二甲戊灵、氟虫腈、甲拌磷、甲基异柳磷、腈菌唑、克百威、乐果、氯氟氰菊酯和高效氯氟氰菊酯、氯氰菊酯和高效氯氰菊酯、噻虫胺、噻虫嗪、三氯杀螨醇、水胺硫磷、辛硫磷、氧乐果、乙酰甲胺磷</w:t>
            </w:r>
            <w:r/>
          </w:p>
        </w:tc>
      </w:tr>
      <w:tr>
        <w:trPr>
          <w:trHeight w:val="94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油麦菜</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阿维菌素、吡虫啉、啶虫脒、毒死蜱、氟虫腈、甲氨基阿维菌素苯甲酸盐、甲拌磷、腈菌唑、克百威、氯氟氰菊酯和高效氯氟氰菊酯、灭多威、噻虫嗪、三氯杀螨醇、氧乐果、乙酰甲胺磷</w:t>
            </w:r>
            <w:r/>
          </w:p>
        </w:tc>
      </w:tr>
      <w:tr>
        <w:trPr>
          <w:trHeight w:val="103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茄果类蔬菜</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茄子</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铅(以Pb计)、镉(以Cd计)、吡唑醚菌酯、毒死蜱、氟虫腈、甲氨基阿维菌素苯甲酸盐、甲胺磷、甲拌磷、克百威、噻虫胺、噻虫嗪、霜霉威和霜霉威盐酸盐、水胺硫磷、氧乐果、乙酰甲胺磷</w:t>
            </w:r>
            <w:r/>
          </w:p>
        </w:tc>
      </w:tr>
      <w:tr>
        <w:trPr>
          <w:trHeight w:val="121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辣椒</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铅(以Pb计)、镉(以Cd计)、倍硫磷、吡虫啉、吡唑醚菌酯、丙溴磷、敌敌畏、啶虫脒、毒死蜱、呋虫胺、氟虫腈、甲氨基阿维菌素苯甲酸盐、甲胺磷、甲拌磷、克百威、乐果、联苯菊酯、氯氟氰菊酯和高效氯氟氰菊酯、噻虫胺、噻虫嗪、三唑磷、杀扑磷、水胺硫磷、氧乐果、乙酰甲胺磷</w:t>
            </w:r>
            <w:r/>
          </w:p>
        </w:tc>
      </w:tr>
      <w:tr>
        <w:trPr>
          <w:trHeight w:val="861"/>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甜椒</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镉(以Cd计)、阿维菌素、倍硫磷、吡虫啉、吡唑醚菌酯、毒死蜱、克百威、噻虫胺、噻虫嗪、氧乐果</w:t>
            </w:r>
            <w:r/>
          </w:p>
        </w:tc>
      </w:tr>
      <w:tr>
        <w:trPr>
          <w:trHeight w:val="88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瓜类蔬菜</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黄瓜</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阿维菌素、哒螨灵、敌敌畏、毒死蜱、腐霉利、甲氨基阿维菌素苯甲酸盐、甲拌磷、克百威、乐果、噻虫嗪、氧乐果、乙螨唑、乙酰甲胺磷、异丙威</w:t>
            </w:r>
            <w:r/>
          </w:p>
        </w:tc>
      </w:tr>
      <w:tr>
        <w:trPr>
          <w:trHeight w:val="109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豆类蔬菜</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豇豆</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阿维菌素、倍硫磷、啶虫脒、毒死蜱、氟虫腈、甲氨基阿维菌素苯甲酸盐、甲胺磷、甲拌磷、甲基异柳磷、克百威、乐果、氯氟氰菊酯和高效氯氟氰菊酯、氯氰菊酯和高效氯氰菊酯、灭蝇胺、噻虫胺、噻虫嗪、三唑磷、水胺硫磷、氧乐果、乙酰甲胺磷</w:t>
            </w:r>
            <w:r/>
          </w:p>
        </w:tc>
      </w:tr>
      <w:tr>
        <w:trPr>
          <w:trHeight w:val="885"/>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菜豆</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倍硫磷、吡虫啉、毒死蜱、多菌灵、甲氨基阿维菌素苯甲酸盐、甲胺磷、克百威、氯氟氰菊酯和高效氯氟氰菊酯、灭蝇胺、噻虫胺、水胺硫磷、氧乐果、乙酰甲胺磷</w:t>
            </w:r>
            <w:r/>
          </w:p>
        </w:tc>
      </w:tr>
      <w:tr>
        <w:trPr>
          <w:trHeight w:val="790"/>
        </w:trPr>
        <w:tc>
          <w:tcPr>
            <w:tcBorders>
              <w:top w:val="none" w:color="000000" w:sz="4" w:space="0"/>
              <w:left w:val="single" w:color="auto" w:sz="4" w:space="0"/>
              <w:bottom w:val="single" w:color="000000" w:sz="4" w:space="0"/>
              <w:right w:val="single" w:color="auto" w:sz="4" w:space="0"/>
            </w:tcBorders>
            <w:tcW w:w="26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 </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蔬菜</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蔬菜</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豆类蔬菜</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食荚豌豆</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阿维菌素、吡唑醚菌酯、毒死蜱、多菌灵、甲氨基阿维菌素苯甲酸盐、灭蝇胺、噻虫胺、烯酰吗啉、氧乐果、乙酰甲胺磷</w:t>
            </w:r>
            <w:r/>
          </w:p>
        </w:tc>
      </w:tr>
      <w:tr>
        <w:trPr>
          <w:trHeight w:val="831"/>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根茎类和薯</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芋类蔬菜</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马铃薯</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铅(以Pb计)、镉(以Cd计)、毒死蜱、甲拌磷、氯氟氰菊酯和高效氯氟氰菊酯、氯氰菊酯和高效氯氰菊酯、噻虫嗪、杀扑磷、乙酰甲胺磷</w:t>
            </w:r>
            <w:r/>
          </w:p>
        </w:tc>
      </w:tr>
      <w:tr>
        <w:trPr>
          <w:trHeight w:val="861"/>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甘薯</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铅(以Pb计)、毒死蜱、氟虫腈、甲拌磷、氯氟氰菊酯和高效氯氟氰菊酯、氯氰菊酯和高效氯氰菊酯、噻虫嗪、杀扑磷</w:t>
            </w:r>
            <w:r/>
          </w:p>
        </w:tc>
      </w:tr>
      <w:tr>
        <w:trPr>
          <w:trHeight w:val="711"/>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山药</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铅(以Pb计)、毒死蜱、氯氟氰菊酯和高效氯氟氰菊酯、咪鲜胺和咪鲜胺锰盐、涕灭威</w:t>
            </w:r>
            <w:r/>
          </w:p>
        </w:tc>
      </w:tr>
      <w:tr>
        <w:trPr>
          <w:trHeight w:val="711"/>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胡萝卜</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铅(以Pb计)、毒死蜱、氟虫腈、甲拌磷、氯氟氰菊酯和高效氯氟氰菊酯、噻虫胺</w:t>
            </w:r>
            <w:r/>
          </w:p>
        </w:tc>
      </w:tr>
      <w:tr>
        <w:trPr>
          <w:trHeight w:val="512"/>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萝卜</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铅(以Pb计)、毒死蜱、甲胺磷、甲拌磷、氯氟氰菊酯和高效氯氟氰菊酯、噻虫嗪、氧乐果</w:t>
            </w:r>
            <w:r/>
          </w:p>
        </w:tc>
      </w:tr>
      <w:tr>
        <w:trPr>
          <w:trHeight w:val="96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姜</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铅(以Pb计)、镉(以Cd计)、吡虫啉、吡唑醚菌酯、敌敌畏、毒死蜱、甲胺磷、甲拌磷、克百威、六六六、氯氟氰菊酯和高效氯氟氰菊酯、氯氰菊酯和高效氯氰菊酯、氯唑磷、咪鲜胺和咪鲜胺锰盐、噻虫胺、噻虫嗪、二氧化硫残留量</w:t>
            </w:r>
            <w:r/>
          </w:p>
        </w:tc>
      </w:tr>
      <w:tr>
        <w:trPr>
          <w:trHeight w:val="981"/>
        </w:trPr>
        <w:tc>
          <w:tcPr>
            <w:tcBorders>
              <w:top w:val="none" w:color="000000" w:sz="4" w:space="0"/>
              <w:left w:val="single" w:color="auto" w:sz="4" w:space="0"/>
              <w:bottom w:val="single" w:color="000000" w:sz="4" w:space="0"/>
              <w:right w:val="single" w:color="auto" w:sz="4" w:space="0"/>
            </w:tcBorders>
            <w:tcW w:w="26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 </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水产品</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水产品</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淡水产品</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淡水鱼</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挥发性盐基氮、镉(以Cd计)、孔雀石绿、氯霉素、呋喃唑酮代谢物、呋喃西林代谢物、呋喃妥因代谢物、五氯酚酸钠(以五氯酚计)、恩诺沙星、沙拉沙星、磺胺类(总量)、甲氧苄啶、氟苯尼考、甲硝唑、地西泮、氧氟沙星、诺氟沙星、培氟沙星</w:t>
            </w:r>
            <w:r/>
          </w:p>
        </w:tc>
      </w:tr>
      <w:tr>
        <w:trPr>
          <w:trHeight w:val="1041"/>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淡水虾</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镉(以Cd计)、孔雀石绿、氯霉素、呋喃唑酮代谢物、呋喃妥因代谢物、五氯酚酸钠(以五氯酚计)、恩诺沙星、磺胺类(总量)、土霉素/金霉素/四环素(组合含量)、氧氟沙星、诺氟沙星</w:t>
            </w:r>
            <w:r/>
          </w:p>
        </w:tc>
      </w:tr>
      <w:tr>
        <w:trPr>
          <w:trHeight w:val="615"/>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淡水蟹</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镉(以Cd计)、孔雀石绿、氯霉素、五氯酚酸钠(以五氯酚计)、呋喃唑酮代谢物</w:t>
            </w:r>
            <w:r/>
          </w:p>
        </w:tc>
      </w:tr>
      <w:tr>
        <w:trPr>
          <w:trHeight w:val="1210"/>
        </w:trPr>
        <w:tc>
          <w:tcPr>
            <w:tcBorders>
              <w:top w:val="none" w:color="000000" w:sz="4" w:space="0"/>
              <w:left w:val="single" w:color="auto" w:sz="4" w:space="0"/>
              <w:bottom w:val="single" w:color="000000" w:sz="4" w:space="0"/>
              <w:right w:val="single" w:color="auto" w:sz="4" w:space="0"/>
            </w:tcBorders>
            <w:tcW w:w="26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 </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水产品</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水产品</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海水产品</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海水鱼</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挥发性盐基氮、组胺、镉(以Cd计)、孔雀石绿、氯霉素、呋喃唑酮代谢物、呋喃它酮代谢物、呋喃西林代谢物、五氯酚酸钠(以五氯酚计)、恩诺沙星、磺胺类(总量)、土霉素/金霉素/四环素(组合含量)、甲氧苄啶、甲硝唑、氧氟沙星、培氟沙星、诺氟沙星</w:t>
            </w:r>
            <w:r/>
          </w:p>
        </w:tc>
      </w:tr>
      <w:tr>
        <w:trPr>
          <w:trHeight w:val="121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海水虾</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挥发性盐基氮、镉(以Cd计)、二氧化硫残留量、孔雀石绿、氯霉素、呋喃唑酮代谢物、呋喃它酮代谢物、呋喃妥因代谢物、五氯酚酸钠(以五氯酚计)、恩诺沙星、土霉素/金霉素/四环素(组合含量)、磺胺类(总量)、诺氟沙星</w:t>
            </w:r>
            <w:r/>
          </w:p>
        </w:tc>
      </w:tr>
      <w:tr>
        <w:trPr>
          <w:trHeight w:val="69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海水蟹</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镉(以Cd计)、二氧化硫残留量、氯霉素、呋喃妥因代谢物</w:t>
            </w:r>
            <w:r/>
          </w:p>
        </w:tc>
      </w:tr>
      <w:tr>
        <w:trPr>
          <w:trHeight w:val="861"/>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贝类</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贝类</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镉(以Cd计)、无机砷(以As计)、孔雀石绿、氯霉素、呋喃唑酮代谢物、呋喃西林代谢物、呋喃妥因代谢物、五氯酚酸钠(以五氯酚计)、恩诺沙星、氟苯尼考、磺胺类(总量)</w:t>
            </w:r>
            <w:r/>
          </w:p>
        </w:tc>
      </w:tr>
      <w:tr>
        <w:trPr>
          <w:trHeight w:val="106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其他水产品</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其他水产品</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镉(以Cd计)、孔雀石绿、氯霉素、呋喃唑酮代谢物、呋喃西林代谢物、呋喃妥因代谢物、五氯酚酸钠(以五氯酚计)、恩诺沙星、磺胺类(总量)、氟苯尼考、甲硝唑、氧氟沙星、诺氟沙星</w:t>
            </w:r>
            <w:r/>
          </w:p>
        </w:tc>
      </w:tr>
      <w:tr>
        <w:trPr>
          <w:trHeight w:val="700"/>
        </w:trPr>
        <w:tc>
          <w:tcPr>
            <w:tcBorders>
              <w:top w:val="none" w:color="000000" w:sz="4" w:space="0"/>
              <w:left w:val="single" w:color="auto" w:sz="4" w:space="0"/>
              <w:bottom w:val="single" w:color="000000" w:sz="4" w:space="0"/>
              <w:right w:val="single" w:color="auto" w:sz="4" w:space="0"/>
            </w:tcBorders>
            <w:tcW w:w="26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 </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水果类</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水果类</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仁果类水果</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苹果</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敌敌畏、啶虫脒、毒死蜱、甲拌磷、克百威、氧乐果、三氯杀螨醇</w:t>
            </w:r>
            <w:r/>
          </w:p>
        </w:tc>
      </w:tr>
      <w:tr>
        <w:trPr>
          <w:trHeight w:val="94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梨</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吡虫啉、敌敌畏、毒死蜱、多菌灵、克百威、氯氟氰菊酯和高效氯氟氰菊酯、氧乐果、水胺硫磷、苯醚甲环唑、咪鲜胺和咪鲜胺锰盐、噻虫嗪、乙螨唑、乙酰甲胺磷</w:t>
            </w:r>
            <w:r/>
          </w:p>
        </w:tc>
      </w:tr>
      <w:tr>
        <w:trPr>
          <w:trHeight w:val="72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核果类水果</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枣</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多菌灵、氟虫腈、氰戊菊酯和S-氰戊菊酯、氧乐果、糖精钠(以糖精计)</w:t>
            </w:r>
            <w:r/>
          </w:p>
        </w:tc>
      </w:tr>
      <w:tr>
        <w:trPr>
          <w:trHeight w:val="865"/>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桃</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苯醚甲环唑、敌敌畏、多菌灵、氟硅唑、甲胺磷、克百威、氧乐果、溴氰菊酯、吡虫啉、氯氟氰菊酯和高效氯氟氰菊酯、噻虫胺</w:t>
            </w:r>
            <w:r/>
          </w:p>
        </w:tc>
      </w:tr>
      <w:tr>
        <w:trPr>
          <w:trHeight w:val="730"/>
        </w:trPr>
        <w:tc>
          <w:tcPr>
            <w:tcBorders>
              <w:top w:val="none" w:color="000000" w:sz="4" w:space="0"/>
              <w:left w:val="single" w:color="auto" w:sz="4" w:space="0"/>
              <w:bottom w:val="single" w:color="000000" w:sz="4" w:space="0"/>
              <w:right w:val="single" w:color="auto" w:sz="4" w:space="0"/>
            </w:tcBorders>
            <w:tcW w:w="26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 </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水果类</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水果类</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核果类水果</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油桃</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甲胺磷、克百威、氧乐果、敌敌畏、苯醚甲环唑、噻虫胺</w:t>
            </w:r>
            <w:r/>
          </w:p>
        </w:tc>
      </w:tr>
      <w:tr>
        <w:trPr>
          <w:trHeight w:val="1101"/>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柑橘类水果</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柑、橘</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苯醚甲环唑、丙溴磷、克百威、联苯菊酯、氯唑磷、三唑磷、水胺硫磷、氧乐果、氯氟氰菊酯和高效氯氟氰菊酯、甲拌磷、2,4-滴和2,4-滴钠盐、狄氏剂、毒死蜱、杀扑磷、敌敌畏、联苯肼酯</w:t>
            </w:r>
            <w:r/>
          </w:p>
        </w:tc>
      </w:tr>
      <w:tr>
        <w:trPr>
          <w:trHeight w:val="66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柚</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水胺硫磷、联苯菊酯、氯氟氰菊酯和高效氯氟氰菊酯、氯唑磷、多菌灵、克百威</w:t>
            </w:r>
            <w:r/>
          </w:p>
        </w:tc>
      </w:tr>
      <w:tr>
        <w:trPr>
          <w:trHeight w:val="681"/>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柠檬</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多菌灵、克百威、联苯菊酯、水胺硫磷、乙螨唑、氯唑磷、毒死蜱</w:t>
            </w:r>
            <w:r/>
          </w:p>
        </w:tc>
      </w:tr>
      <w:tr>
        <w:trPr>
          <w:trHeight w:val="94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橙</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丙溴磷、克百威、联苯菊酯、三唑磷、杀扑磷、水胺硫磷、氧乐果、2,4-滴和2,4-滴钠盐、苯醚甲环唑、氯唑磷、敌敌畏、氯氟氰菊酯和高效氯氟氰菊酯、乙酰甲胺磷</w:t>
            </w:r>
            <w:r/>
          </w:p>
        </w:tc>
      </w:tr>
      <w:tr>
        <w:trPr>
          <w:trHeight w:val="93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浆果和其他小型水果</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葡萄</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苯醚甲环唑、己唑醇、克百威、氯氰菊酯和高效氯氰菊酯、霜霉威和霜霉威盐酸盐、氧乐果、氯氟氰菊酯和高效氯氟氰菊酯、氟虫腈、氯吡脲、联苯菊酯、氟唑菌酰胺、戊唑醇、腈苯唑</w:t>
            </w:r>
            <w:r/>
          </w:p>
        </w:tc>
      </w:tr>
      <w:tr>
        <w:trPr>
          <w:trHeight w:val="70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草莓</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阿维菌素、敌敌畏、多菌灵、克百威、烯酰吗啉、氧乐果、戊菌唑、吡虫啉、乙酰甲胺磷</w:t>
            </w:r>
            <w:r/>
          </w:p>
        </w:tc>
      </w:tr>
      <w:tr>
        <w:trPr>
          <w:trHeight w:val="681"/>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猕猴桃</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敌敌畏、多菌灵、氯吡脲、氧乐果</w:t>
            </w:r>
            <w:r/>
          </w:p>
        </w:tc>
      </w:tr>
      <w:tr>
        <w:trPr>
          <w:trHeight w:val="94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桑葚</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脱氢乙酸及其钠盐(以脱氢乙酸计)、苯甲酸及其钠盐(以苯甲酸计)、山梨酸及其钾盐(以山梨酸计)、糖精钠(以糖精计)、三氯蔗糖、甜蜜素(以环己基氨基磺酸计)、多菌灵</w:t>
            </w:r>
            <w:r/>
          </w:p>
        </w:tc>
      </w:tr>
      <w:tr>
        <w:trPr>
          <w:trHeight w:val="775"/>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热带和亚热带水果</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香蕉</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苯醚甲环唑、吡唑醚菌酯、多菌灵、氟虫腈、甲拌磷、腈苯唑、吡虫啉、噻虫胺、噻虫嗪、联苯菊酯、烯唑醇、百菌清、噻唑膦、氟唑菌酰胺</w:t>
            </w:r>
            <w:r/>
          </w:p>
        </w:tc>
      </w:tr>
      <w:tr>
        <w:trPr>
          <w:trHeight w:val="870"/>
        </w:trPr>
        <w:tc>
          <w:tcPr>
            <w:tcBorders>
              <w:top w:val="none" w:color="000000" w:sz="4" w:space="0"/>
              <w:left w:val="single" w:color="auto" w:sz="4" w:space="0"/>
              <w:bottom w:val="single" w:color="000000" w:sz="4" w:space="0"/>
              <w:right w:val="single" w:color="auto" w:sz="4" w:space="0"/>
            </w:tcBorders>
            <w:tcW w:w="26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 </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水果类</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水果类</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热带和亚热</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带水果</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芒果</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苯醚甲环唑、戊唑醇、氧乐果、吡唑醚菌酯、噻虫胺、乙酰甲胺磷、吡虫啉、噻虫嗪、噻嗪酮</w:t>
            </w:r>
            <w:r/>
          </w:p>
        </w:tc>
      </w:tr>
      <w:tr>
        <w:trPr>
          <w:trHeight w:val="861"/>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火龙果</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氟虫腈、甲胺磷、克百威、氧乐果、乙酰甲胺磷、噻虫嗪</w:t>
            </w:r>
            <w:r/>
          </w:p>
        </w:tc>
      </w:tr>
      <w:tr>
        <w:trPr>
          <w:trHeight w:val="102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荔枝</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多菌灵、氧乐果、毒死蜱、苯醚甲环唑、氯氰菊酯和高效氯氰菊酯、氯氟氰菊酯和高效氯氟氰菊酯、吡唑醚菌酯、除虫脲、氰霜唑、氟吗啉、咪鲜胺和咪鲜胺锰盐、乐果</w:t>
            </w:r>
            <w:r/>
          </w:p>
        </w:tc>
      </w:tr>
      <w:tr>
        <w:trPr>
          <w:trHeight w:val="1161"/>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杨梅</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脱氢乙酸及其钠盐(以脱氢乙酸计)、苯甲酸及其钠盐(以苯甲酸计)、山梨酸及其钾盐(以山梨酸计)、糖精钠(以糖精计)、三氯蔗糖、甜蜜素(以环己基氨基磺酸计)、敌敌畏、氧乐果、啶虫脒</w:t>
            </w:r>
            <w:r/>
          </w:p>
        </w:tc>
      </w:tr>
      <w:tr>
        <w:trPr>
          <w:trHeight w:val="921"/>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龙眼</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二氧化硫残留量、克百威、氯氰菊酯和高效氯氰菊酯、氧乐果</w:t>
            </w:r>
            <w:r/>
          </w:p>
        </w:tc>
      </w:tr>
      <w:tr>
        <w:trPr>
          <w:trHeight w:val="99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橄榄</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三氯蔗糖、糖精钠(以糖精计)、甜蜜素(以环己基氨基磺酸计)、多菌灵、甲胺磷、戊唑醇、乙酰甲胺磷</w:t>
            </w:r>
            <w:r/>
          </w:p>
        </w:tc>
      </w:tr>
      <w:tr>
        <w:trPr>
          <w:trHeight w:val="81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番木瓜</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噻虫胺、噻虫嗪、乙酰甲胺磷</w:t>
            </w:r>
            <w:r/>
          </w:p>
        </w:tc>
      </w:tr>
      <w:tr>
        <w:trPr>
          <w:trHeight w:val="801"/>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瓜果类水果</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西瓜</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克百威、噻虫嗪、氧乐果、乙酰甲胺磷、苯醚甲环唑</w:t>
            </w:r>
            <w:r/>
          </w:p>
        </w:tc>
      </w:tr>
      <w:tr>
        <w:trPr>
          <w:trHeight w:val="745"/>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甜瓜类</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克百威、烯酰吗啉、氧乐果、乙酰甲胺磷</w:t>
            </w:r>
            <w:r/>
          </w:p>
        </w:tc>
      </w:tr>
      <w:tr>
        <w:trPr>
          <w:trHeight w:val="1011"/>
        </w:trPr>
        <w:tc>
          <w:tcPr>
            <w:tcBorders>
              <w:top w:val="none" w:color="000000" w:sz="4" w:space="0"/>
              <w:left w:val="single" w:color="auto" w:sz="4" w:space="0"/>
              <w:bottom w:val="single" w:color="000000" w:sz="4" w:space="0"/>
              <w:right w:val="single" w:color="auto" w:sz="4" w:space="0"/>
            </w:tcBorders>
            <w:tcW w:w="26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 </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鲜蛋</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鲜蛋</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鲜蛋</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鸡蛋</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甲硝唑、地美硝唑、呋喃唑酮代谢物、氟虫腈、氯霉素、氟苯尼考、甲砜霉素、恩诺沙星、氧氟沙星、沙拉沙星、甲氧苄啶、磺胺类(总量)、多西环素、地克珠利、托曲珠利</w:t>
            </w:r>
            <w:r/>
          </w:p>
        </w:tc>
      </w:tr>
      <w:tr>
        <w:trPr>
          <w:trHeight w:val="81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其他禽蛋</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呋喃唑酮代谢物、磺胺类(总量)、多西环素</w:t>
            </w:r>
            <w:r/>
          </w:p>
        </w:tc>
      </w:tr>
      <w:tr>
        <w:trPr>
          <w:trHeight w:val="831"/>
        </w:trPr>
        <w:tc>
          <w:tcPr>
            <w:tcBorders>
              <w:top w:val="none" w:color="000000" w:sz="4" w:space="0"/>
              <w:left w:val="single" w:color="auto" w:sz="4" w:space="0"/>
              <w:bottom w:val="single" w:color="auto" w:sz="4" w:space="0"/>
              <w:right w:val="single" w:color="auto" w:sz="4" w:space="0"/>
            </w:tcBorders>
            <w:tcW w:w="26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 </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豆类</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豆类</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豆类</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豆类</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铅(以Pb计)、铬(以Cr计)、赭曲霉毒素A、吡虫啉、环丙唑醇</w:t>
            </w:r>
            <w:r/>
          </w:p>
        </w:tc>
      </w:tr>
      <w:tr>
        <w:trPr>
          <w:trHeight w:val="981"/>
        </w:trPr>
        <w:tc>
          <w:tcPr>
            <w:tcBorders>
              <w:top w:val="none" w:color="000000" w:sz="4" w:space="0"/>
              <w:left w:val="single" w:color="auto" w:sz="4" w:space="0"/>
              <w:bottom w:val="single" w:color="000000" w:sz="4" w:space="0"/>
              <w:right w:val="single" w:color="auto" w:sz="4" w:space="0"/>
            </w:tcBorders>
            <w:tcW w:w="26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37 </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生干坚果与</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籽类食品</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生干坚果与</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籽类食品</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生干坚果与</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籽类食品</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生干坚果</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酸价(以脂肪计)(KOH)、过氧化值(以脂肪计)、二氧化硫残留量、吡虫啉</w:t>
            </w:r>
            <w:r/>
          </w:p>
        </w:tc>
      </w:tr>
      <w:tr>
        <w:trPr>
          <w:trHeight w:val="985"/>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生干籽类</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酸价(以脂肪计)(KOH)、过氧化值(以脂肪计)、铅(以Pb计)、镉(以Cd计)、黄曲霉毒素B₁ 、噻虫嗪、噻虫胺</w:t>
            </w:r>
            <w:r/>
          </w:p>
        </w:tc>
      </w:tr>
    </w:tbl>
    <w:p>
      <w:pPr>
        <w:rPr>
          <w:color w:val="auto"/>
          <w:highlight w:val="none"/>
        </w:rPr>
      </w:pPr>
      <w:r>
        <w:rPr>
          <w:color w:val="auto"/>
          <w:highlight w:val="none"/>
        </w:rPr>
      </w:r>
      <w:r/>
    </w:p>
    <w:p>
      <w:pPr>
        <w:pStyle w:val="814"/>
        <w:rPr>
          <w:rFonts w:hAnsi="宋体" w:cs="宋体"/>
          <w:color w:val="auto"/>
          <w:sz w:val="21"/>
          <w:szCs w:val="21"/>
          <w:highlight w:val="none"/>
        </w:rPr>
      </w:pPr>
      <w:r>
        <w:rPr>
          <w:rFonts w:hAnsi="宋体" w:cs="宋体"/>
          <w:color w:val="auto"/>
          <w:sz w:val="21"/>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pStyle w:val="814"/>
        <w:rPr>
          <w:rFonts w:hAnsi="宋体" w:cs="宋体"/>
          <w:color w:val="auto"/>
          <w:sz w:val="21"/>
          <w:szCs w:val="21"/>
          <w:highlight w:val="none"/>
        </w:rPr>
      </w:pPr>
      <w:r>
        <w:rPr>
          <w:rFonts w:hAnsi="宋体" w:cs="宋体"/>
          <w:color w:val="auto"/>
          <w:sz w:val="21"/>
          <w:szCs w:val="21"/>
          <w:highlight w:val="none"/>
        </w:rPr>
      </w:r>
      <w:r/>
    </w:p>
    <w:p>
      <w:pPr>
        <w:pStyle w:val="814"/>
        <w:rPr>
          <w:color w:val="auto"/>
          <w:highlight w:val="none"/>
        </w:rPr>
        <w:sectPr>
          <w:footnotePr/>
          <w:endnotePr/>
          <w:type w:val="nextPage"/>
          <w:pgSz w:w="16838" w:h="11906" w:orient="landscape"/>
          <w:pgMar w:top="1803" w:right="1440" w:bottom="1803" w:left="1440" w:header="851" w:footer="992" w:gutter="0"/>
          <w:cols w:num="1" w:sep="0" w:space="1701" w:equalWidth="1"/>
          <w:docGrid w:linePitch="360"/>
        </w:sectPr>
      </w:pPr>
      <w:r>
        <w:rPr>
          <w:color w:val="auto"/>
          <w:highlight w:val="none"/>
        </w:rPr>
      </w:r>
      <w:r/>
    </w:p>
    <w:p>
      <w:pPr>
        <w:rPr>
          <w:color w:val="auto"/>
          <w:highlight w:val="none"/>
        </w:rPr>
      </w:pPr>
      <w:r>
        <w:rPr>
          <w:color w:val="auto"/>
          <w:highlight w:val="none"/>
        </w:rPr>
      </w:r>
      <w:r/>
    </w:p>
    <w:p>
      <w:pPr>
        <w:pStyle w:val="974"/>
        <w:jc w:val="center"/>
        <w:spacing w:line="240" w:lineRule="auto"/>
        <w:rPr>
          <w:color w:val="auto"/>
          <w:highlight w:val="none"/>
        </w:rPr>
      </w:pPr>
      <w:r/>
      <w:bookmarkStart w:id="55" w:name="_Toc55204181"/>
      <w:r>
        <w:rPr>
          <w:rFonts w:hint="eastAsia"/>
          <w:color w:val="auto"/>
          <w:highlight w:val="none"/>
        </w:rPr>
        <w:t xml:space="preserve">第五章 评标方法及评标标准</w:t>
      </w:r>
      <w:bookmarkEnd w:id="55"/>
      <w:r/>
      <w:r/>
    </w:p>
    <w:p>
      <w:pPr>
        <w:pStyle w:val="1015"/>
        <w:ind w:firstLine="422"/>
        <w:rPr>
          <w:rFonts w:ascii="宋体" w:hAnsi="宋体"/>
          <w:b/>
          <w:color w:val="auto"/>
          <w:sz w:val="21"/>
          <w:szCs w:val="21"/>
          <w:highlight w:val="none"/>
        </w:rPr>
      </w:pPr>
      <w:r>
        <w:rPr>
          <w:rFonts w:hint="eastAsia" w:ascii="宋体" w:hAnsi="宋体"/>
          <w:b/>
          <w:color w:val="auto"/>
          <w:sz w:val="21"/>
          <w:szCs w:val="21"/>
          <w:highlight w:val="none"/>
        </w:rPr>
        <w:t xml:space="preserve">一、评标方法</w:t>
      </w:r>
      <w:r/>
    </w:p>
    <w:p>
      <w:pPr>
        <w:pStyle w:val="1015"/>
        <w:ind w:firstLine="420"/>
        <w:rPr>
          <w:rFonts w:ascii="宋体" w:hAnsi="宋体"/>
          <w:color w:val="auto"/>
          <w:sz w:val="21"/>
          <w:szCs w:val="21"/>
          <w:highlight w:val="none"/>
        </w:rPr>
      </w:pPr>
      <w:r>
        <w:rPr>
          <w:rFonts w:hint="eastAsia" w:ascii="宋体" w:hAnsi="宋体"/>
          <w:color w:val="auto"/>
          <w:sz w:val="21"/>
          <w:szCs w:val="21"/>
          <w:highlight w:val="none"/>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2"/>
        <w:spacing w:line="360" w:lineRule="auto"/>
        <w:rPr>
          <w:rFonts w:ascii="Times New Roman" w:hAnsi="Times New Roman"/>
          <w:b/>
          <w:color w:val="auto"/>
          <w:szCs w:val="21"/>
          <w:highlight w:val="none"/>
        </w:rPr>
      </w:pPr>
      <w:r/>
      <w:bookmarkStart w:id="56" w:name="_Toc449017024"/>
      <w:r/>
      <w:bookmarkStart w:id="57" w:name="_Toc449016388"/>
      <w:r>
        <w:rPr>
          <w:rFonts w:ascii="Times New Roman" w:hAnsi="Times New Roman"/>
          <w:b/>
          <w:color w:val="auto"/>
          <w:szCs w:val="21"/>
          <w:highlight w:val="none"/>
        </w:rPr>
        <w:t xml:space="preserve">二、</w:t>
      </w:r>
      <w:r>
        <w:rPr>
          <w:rFonts w:hint="eastAsia" w:ascii="Times New Roman" w:hAnsi="Times New Roman"/>
          <w:b/>
          <w:color w:val="auto"/>
          <w:szCs w:val="21"/>
          <w:highlight w:val="none"/>
        </w:rPr>
        <w:t xml:space="preserve">政府采购政策功能落实</w:t>
      </w:r>
      <w:bookmarkEnd w:id="56"/>
      <w:r/>
      <w:bookmarkEnd w:id="57"/>
      <w:r/>
      <w:r/>
    </w:p>
    <w:p>
      <w:pPr>
        <w:ind w:firstLine="420"/>
        <w:spacing w:line="360" w:lineRule="auto"/>
        <w:rPr>
          <w:rFonts w:ascii="Times New Roman" w:hAnsi="Times New Roman"/>
          <w:b/>
          <w:color w:val="auto"/>
          <w:szCs w:val="21"/>
          <w:highlight w:val="none"/>
        </w:rPr>
      </w:pPr>
      <w:r>
        <w:rPr>
          <w:rFonts w:ascii="Times New Roman" w:hAnsi="Times New Roman"/>
          <w:color w:val="auto"/>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1015"/>
        <w:ind w:left="315" w:firstLine="105"/>
        <w:rPr>
          <w:rFonts w:ascii="Times New Roman" w:hAnsi="Times New Roman"/>
          <w:color w:val="auto"/>
          <w:sz w:val="21"/>
          <w:szCs w:val="21"/>
          <w:highlight w:val="none"/>
        </w:rPr>
      </w:pPr>
      <w:r>
        <w:rPr>
          <w:rFonts w:ascii="Times New Roman" w:hAnsi="Times New Roman"/>
          <w:color w:val="auto"/>
          <w:sz w:val="21"/>
          <w:szCs w:val="21"/>
          <w:highlight w:val="none"/>
        </w:rPr>
        <w:t xml:space="preserve">1、小微型企业价格扣除</w:t>
      </w:r>
      <w:r/>
    </w:p>
    <w:p>
      <w:pPr>
        <w:pStyle w:val="1015"/>
        <w:ind w:firstLine="420"/>
        <w:rPr>
          <w:rFonts w:ascii="Times New Roman" w:hAnsi="Times New Roman"/>
          <w:color w:val="auto"/>
          <w:sz w:val="21"/>
          <w:szCs w:val="21"/>
          <w:highlight w:val="none"/>
        </w:rPr>
      </w:pPr>
      <w:r>
        <w:rPr>
          <w:rFonts w:ascii="Times New Roman" w:hAnsi="Times New Roman"/>
          <w:color w:val="auto"/>
          <w:sz w:val="21"/>
          <w:szCs w:val="21"/>
          <w:highlight w:val="none"/>
        </w:rPr>
        <w:t xml:space="preserve">（1）本项目对小型和微型企业产品给予</w:t>
      </w:r>
      <w:r>
        <w:rPr>
          <w:rFonts w:hint="eastAsia" w:ascii="Times New Roman" w:hAnsi="Times New Roman"/>
          <w:color w:val="auto"/>
          <w:sz w:val="21"/>
          <w:szCs w:val="21"/>
          <w:highlight w:val="none"/>
        </w:rPr>
        <w:t xml:space="preserve">20</w:t>
      </w:r>
      <w:r>
        <w:rPr>
          <w:rFonts w:ascii="Times New Roman" w:hAnsi="Times New Roman"/>
          <w:color w:val="auto"/>
          <w:sz w:val="21"/>
          <w:szCs w:val="21"/>
          <w:highlight w:val="none"/>
        </w:rPr>
        <w:t xml:space="preserve">%的扣除价格，用扣除后的价格参与评审。</w:t>
      </w:r>
      <w:r/>
    </w:p>
    <w:p>
      <w:pPr>
        <w:pStyle w:val="1015"/>
        <w:ind w:firstLine="420"/>
        <w:rPr>
          <w:rFonts w:ascii="Times New Roman" w:hAnsi="Times New Roman"/>
          <w:color w:val="auto"/>
          <w:sz w:val="21"/>
          <w:szCs w:val="21"/>
          <w:highlight w:val="none"/>
        </w:rPr>
      </w:pPr>
      <w:r>
        <w:rPr>
          <w:rFonts w:ascii="Times New Roman" w:hAnsi="Times New Roman"/>
          <w:color w:val="auto"/>
          <w:sz w:val="21"/>
          <w:szCs w:val="21"/>
          <w:highlight w:val="none"/>
        </w:rPr>
        <w:t xml:space="preserve">（2）供应商需按照采购文件的要求提供相应的《</w:t>
      </w:r>
      <w:r>
        <w:rPr>
          <w:rFonts w:hint="eastAsia" w:ascii="Times New Roman" w:hAnsi="Times New Roman"/>
          <w:color w:val="auto"/>
          <w:sz w:val="21"/>
          <w:szCs w:val="21"/>
          <w:highlight w:val="none"/>
        </w:rPr>
        <w:t xml:space="preserve">中小</w:t>
      </w:r>
      <w:r>
        <w:rPr>
          <w:rFonts w:ascii="Times New Roman" w:hAnsi="Times New Roman"/>
          <w:color w:val="auto"/>
          <w:sz w:val="21"/>
          <w:szCs w:val="21"/>
          <w:highlight w:val="none"/>
        </w:rPr>
        <w:t xml:space="preserve">企业声明函》。</w:t>
      </w:r>
      <w:r/>
    </w:p>
    <w:p>
      <w:pPr>
        <w:pStyle w:val="1015"/>
        <w:ind w:left="420" w:firstLine="0"/>
        <w:rPr>
          <w:rFonts w:ascii="Times New Roman" w:hAnsi="Times New Roman"/>
          <w:color w:val="auto"/>
          <w:sz w:val="21"/>
          <w:szCs w:val="21"/>
          <w:highlight w:val="none"/>
        </w:rPr>
      </w:pPr>
      <w:r>
        <w:rPr>
          <w:rFonts w:ascii="Times New Roman" w:hAnsi="Times New Roman"/>
          <w:color w:val="auto"/>
          <w:sz w:val="21"/>
          <w:szCs w:val="21"/>
          <w:highlight w:val="none"/>
        </w:rPr>
        <w:t xml:space="preserve">2、残疾人福利单位价格扣除</w:t>
      </w:r>
      <w:r/>
    </w:p>
    <w:p>
      <w:pPr>
        <w:pStyle w:val="1015"/>
        <w:rPr>
          <w:rFonts w:ascii="Times New Roman" w:hAnsi="Times New Roman"/>
          <w:color w:val="auto"/>
          <w:sz w:val="21"/>
          <w:szCs w:val="21"/>
          <w:highlight w:val="none"/>
        </w:rPr>
      </w:pPr>
      <w:r>
        <w:rPr>
          <w:rFonts w:ascii="Times New Roman" w:hAnsi="Times New Roman"/>
          <w:color w:val="auto"/>
          <w:sz w:val="21"/>
          <w:szCs w:val="21"/>
          <w:highlight w:val="none"/>
        </w:rPr>
        <w:t xml:space="preserve">（1）本项目对残疾人福利性单位视同小型、微型企业，给予</w:t>
      </w:r>
      <w:r>
        <w:rPr>
          <w:rFonts w:hint="eastAsia" w:ascii="Times New Roman" w:hAnsi="Times New Roman"/>
          <w:color w:val="auto"/>
          <w:sz w:val="21"/>
          <w:szCs w:val="21"/>
          <w:highlight w:val="none"/>
        </w:rPr>
        <w:t xml:space="preserve">20</w:t>
      </w:r>
      <w:r>
        <w:rPr>
          <w:rFonts w:ascii="Times New Roman" w:hAnsi="Times New Roman"/>
          <w:color w:val="auto"/>
          <w:sz w:val="21"/>
          <w:szCs w:val="21"/>
          <w:highlight w:val="none"/>
        </w:rPr>
        <w:t xml:space="preserve">%的价格扣除，用扣除后的价格参与评审。</w:t>
      </w:r>
      <w:r/>
    </w:p>
    <w:p>
      <w:pPr>
        <w:pStyle w:val="1015"/>
        <w:ind w:left="420" w:firstLine="0"/>
        <w:rPr>
          <w:rFonts w:ascii="Times New Roman" w:hAnsi="Times New Roman"/>
          <w:color w:val="auto"/>
          <w:sz w:val="21"/>
          <w:szCs w:val="21"/>
          <w:highlight w:val="none"/>
        </w:rPr>
      </w:pPr>
      <w:r>
        <w:rPr>
          <w:rFonts w:ascii="Times New Roman" w:hAnsi="Times New Roman"/>
          <w:color w:val="auto"/>
          <w:sz w:val="21"/>
          <w:szCs w:val="21"/>
          <w:highlight w:val="none"/>
        </w:rPr>
        <w:t xml:space="preserve">（2）残疾人福利单位需按照采购文件的要求提供《残疾人福利性单位声明函》。</w:t>
      </w:r>
      <w:r/>
    </w:p>
    <w:p>
      <w:pPr>
        <w:pStyle w:val="1015"/>
        <w:ind w:firstLine="420"/>
        <w:rPr>
          <w:rFonts w:ascii="Times New Roman" w:hAnsi="Times New Roman"/>
          <w:color w:val="auto"/>
          <w:sz w:val="21"/>
          <w:szCs w:val="21"/>
          <w:highlight w:val="none"/>
        </w:rPr>
      </w:pPr>
      <w:r>
        <w:rPr>
          <w:rFonts w:ascii="Times New Roman" w:hAnsi="Times New Roman"/>
          <w:color w:val="auto"/>
          <w:sz w:val="21"/>
          <w:szCs w:val="21"/>
          <w:highlight w:val="none"/>
        </w:rPr>
        <w:t xml:space="preserve">（3）残疾人福利单位标准请参照《关于促进残疾人就业政府采购政策的通知》（财库2017〕141号）。</w:t>
      </w:r>
      <w:r/>
    </w:p>
    <w:p>
      <w:pPr>
        <w:pStyle w:val="1015"/>
        <w:ind w:left="420" w:firstLine="0"/>
        <w:rPr>
          <w:rFonts w:ascii="Times New Roman" w:hAnsi="Times New Roman"/>
          <w:color w:val="auto"/>
          <w:sz w:val="21"/>
          <w:szCs w:val="21"/>
          <w:highlight w:val="none"/>
        </w:rPr>
      </w:pPr>
      <w:r>
        <w:rPr>
          <w:rFonts w:ascii="Times New Roman" w:hAnsi="Times New Roman"/>
          <w:color w:val="auto"/>
          <w:sz w:val="21"/>
          <w:szCs w:val="21"/>
          <w:highlight w:val="none"/>
        </w:rPr>
        <w:t xml:space="preserve">3、监狱和戒毒企业价格扣除</w:t>
      </w:r>
      <w:r/>
    </w:p>
    <w:p>
      <w:pPr>
        <w:pStyle w:val="1015"/>
        <w:rPr>
          <w:rFonts w:ascii="Times New Roman" w:hAnsi="Times New Roman"/>
          <w:color w:val="auto"/>
          <w:sz w:val="21"/>
          <w:szCs w:val="21"/>
          <w:highlight w:val="none"/>
        </w:rPr>
      </w:pPr>
      <w:r>
        <w:rPr>
          <w:rFonts w:ascii="Times New Roman" w:hAnsi="Times New Roman"/>
          <w:color w:val="auto"/>
          <w:sz w:val="21"/>
          <w:szCs w:val="21"/>
          <w:highlight w:val="none"/>
        </w:rPr>
        <w:t xml:space="preserve">（1）本项目对监狱和戒毒企业（简称监狱企业）视同小型、微型企业，给予</w:t>
      </w:r>
      <w:r>
        <w:rPr>
          <w:rFonts w:hint="eastAsia" w:ascii="Times New Roman" w:hAnsi="Times New Roman"/>
          <w:color w:val="auto"/>
          <w:sz w:val="21"/>
          <w:szCs w:val="21"/>
          <w:highlight w:val="none"/>
        </w:rPr>
        <w:t xml:space="preserve">20</w:t>
      </w:r>
      <w:r>
        <w:rPr>
          <w:rFonts w:ascii="Times New Roman" w:hAnsi="Times New Roman"/>
          <w:color w:val="auto"/>
          <w:sz w:val="21"/>
          <w:szCs w:val="21"/>
          <w:highlight w:val="none"/>
        </w:rPr>
        <w:t xml:space="preserve">%的价格扣除，用扣除后的价格参与评审。</w:t>
      </w:r>
      <w:r/>
    </w:p>
    <w:p>
      <w:pPr>
        <w:pStyle w:val="1015"/>
        <w:rPr>
          <w:rFonts w:ascii="Times New Roman" w:hAnsi="Times New Roman"/>
          <w:color w:val="auto"/>
          <w:sz w:val="21"/>
          <w:szCs w:val="21"/>
          <w:highlight w:val="none"/>
        </w:rPr>
      </w:pPr>
      <w:r>
        <w:rPr>
          <w:rFonts w:ascii="Times New Roman" w:hAnsi="Times New Roman"/>
          <w:color w:val="auto"/>
          <w:sz w:val="21"/>
          <w:szCs w:val="21"/>
          <w:highlight w:val="none"/>
        </w:rPr>
        <w:t xml:space="preserve">（2）监狱企业参加政府采购活动时，需提供由省级以上监狱管理局、戒毒管理局</w:t>
      </w:r>
      <w:r>
        <w:rPr>
          <w:rFonts w:hint="eastAsia" w:ascii="Times New Roman" w:hAnsi="Times New Roman"/>
          <w:color w:val="auto"/>
          <w:sz w:val="21"/>
          <w:szCs w:val="21"/>
          <w:highlight w:val="none"/>
        </w:rPr>
        <w:t xml:space="preserve">（</w:t>
      </w:r>
      <w:r>
        <w:rPr>
          <w:rFonts w:ascii="Times New Roman" w:hAnsi="Times New Roman"/>
          <w:color w:val="auto"/>
          <w:sz w:val="21"/>
          <w:szCs w:val="21"/>
          <w:highlight w:val="none"/>
        </w:rPr>
        <w:t xml:space="preserve">含新疆生产建设兵团</w:t>
      </w:r>
      <w:r>
        <w:rPr>
          <w:rFonts w:hint="eastAsia" w:ascii="Times New Roman" w:hAnsi="Times New Roman"/>
          <w:color w:val="auto"/>
          <w:sz w:val="21"/>
          <w:szCs w:val="21"/>
          <w:highlight w:val="none"/>
        </w:rPr>
        <w:t xml:space="preserve">）</w:t>
      </w:r>
      <w:r>
        <w:rPr>
          <w:rFonts w:ascii="Times New Roman" w:hAnsi="Times New Roman"/>
          <w:color w:val="auto"/>
          <w:sz w:val="21"/>
          <w:szCs w:val="21"/>
          <w:highlight w:val="none"/>
        </w:rPr>
        <w:t xml:space="preserve">出具的属于监狱企业的证明文件。供应商如不提供上述证明文件，价格将不做相应扣除。</w:t>
      </w:r>
      <w:r/>
    </w:p>
    <w:p>
      <w:pPr>
        <w:pStyle w:val="1015"/>
        <w:rPr>
          <w:rFonts w:ascii="Times New Roman" w:hAnsi="Times New Roman"/>
          <w:color w:val="auto"/>
          <w:sz w:val="21"/>
          <w:szCs w:val="21"/>
          <w:highlight w:val="none"/>
        </w:rPr>
      </w:pPr>
      <w:r>
        <w:rPr>
          <w:rFonts w:ascii="Times New Roman" w:hAnsi="Times New Roman"/>
          <w:color w:val="auto"/>
          <w:sz w:val="21"/>
          <w:szCs w:val="21"/>
          <w:highlight w:val="none"/>
        </w:rPr>
        <w:t xml:space="preserve">（3）监狱企业标准请参照《关于政府采购支持监狱企业发展有关问题的通知》（财库[2014]68号）。</w:t>
      </w:r>
      <w:r/>
    </w:p>
    <w:p>
      <w:pPr>
        <w:pStyle w:val="1015"/>
        <w:ind w:firstLine="420"/>
        <w:rPr>
          <w:rFonts w:ascii="Times New Roman" w:hAnsi="Times New Roman"/>
          <w:color w:val="auto"/>
          <w:sz w:val="21"/>
          <w:szCs w:val="21"/>
          <w:highlight w:val="none"/>
        </w:rPr>
      </w:pPr>
      <w:r>
        <w:rPr>
          <w:rFonts w:ascii="Times New Roman" w:hAnsi="Times New Roman"/>
          <w:color w:val="auto"/>
          <w:sz w:val="21"/>
          <w:szCs w:val="21"/>
          <w:highlight w:val="none"/>
        </w:rPr>
        <w:t xml:space="preserve">4、残疾人福利单位、监狱企业属于小型、微型企业的，不重复享受政策。</w:t>
      </w:r>
      <w:r/>
    </w:p>
    <w:p>
      <w:pPr>
        <w:pStyle w:val="1015"/>
        <w:rPr>
          <w:rFonts w:ascii="Times New Roman" w:hAnsi="Times New Roman"/>
          <w:color w:val="auto"/>
          <w:sz w:val="21"/>
          <w:szCs w:val="21"/>
          <w:highlight w:val="none"/>
        </w:rPr>
      </w:pPr>
      <w:r>
        <w:rPr>
          <w:rFonts w:ascii="Times New Roman" w:hAnsi="Times New Roman"/>
          <w:color w:val="auto"/>
          <w:sz w:val="21"/>
          <w:szCs w:val="21"/>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Times New Roman" w:hAnsi="Times New Roman"/>
          <w:color w:val="auto"/>
          <w:sz w:val="21"/>
          <w:szCs w:val="21"/>
          <w:highlight w:val="none"/>
        </w:rPr>
        <w:t xml:space="preserve">6</w:t>
      </w:r>
      <w:r>
        <w:rPr>
          <w:rFonts w:ascii="Times New Roman" w:hAnsi="Times New Roman"/>
          <w:color w:val="auto"/>
          <w:sz w:val="21"/>
          <w:szCs w:val="21"/>
          <w:highlight w:val="none"/>
        </w:rPr>
        <w:t xml:space="preserve">%的价格扣除，用扣除后的价格参与评审。</w:t>
      </w:r>
      <w:r/>
    </w:p>
    <w:p>
      <w:pPr>
        <w:pStyle w:val="1015"/>
        <w:rPr>
          <w:rFonts w:ascii="Times New Roman" w:hAnsi="Times New Roman"/>
          <w:color w:val="auto"/>
          <w:sz w:val="21"/>
          <w:szCs w:val="21"/>
          <w:highlight w:val="none"/>
        </w:rPr>
      </w:pPr>
      <w:r>
        <w:rPr>
          <w:rFonts w:ascii="Times New Roman" w:hAnsi="Times New Roman"/>
          <w:color w:val="auto"/>
          <w:sz w:val="21"/>
          <w:szCs w:val="21"/>
          <w:highlight w:val="none"/>
        </w:rPr>
        <w:t xml:space="preserve">6、联合体各方均为小型、微型企业（残疾人福利单位、监狱企业）的，联合体享受</w:t>
      </w:r>
      <w:r>
        <w:rPr>
          <w:rFonts w:hint="eastAsia" w:ascii="Times New Roman" w:hAnsi="Times New Roman"/>
          <w:color w:val="auto"/>
          <w:sz w:val="21"/>
          <w:szCs w:val="21"/>
          <w:highlight w:val="none"/>
        </w:rPr>
        <w:t xml:space="preserve">20</w:t>
      </w:r>
      <w:r>
        <w:rPr>
          <w:rFonts w:ascii="Times New Roman" w:hAnsi="Times New Roman"/>
          <w:color w:val="auto"/>
          <w:sz w:val="21"/>
          <w:szCs w:val="21"/>
          <w:highlight w:val="none"/>
        </w:rPr>
        <w:t xml:space="preserve">%价格扣除，用扣除后的价格参与评审。</w:t>
      </w:r>
      <w:r/>
    </w:p>
    <w:p>
      <w:pPr>
        <w:ind w:firstLine="420"/>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7、大中型企业向小型、微型企业分包的，分包意向协议约定小型、微型企业合同份额占到合同总金额30%以上的，给予6%的价格扣除，用扣除后的价格参与评审。</w:t>
      </w:r>
      <w:r/>
    </w:p>
    <w:p>
      <w:pPr>
        <w:ind w:firstLine="211"/>
        <w:jc w:val="left"/>
        <w:spacing w:line="360" w:lineRule="auto"/>
        <w:rPr>
          <w:rFonts w:ascii="宋体" w:hAnsi="宋体"/>
          <w:b/>
          <w:color w:val="auto"/>
          <w:szCs w:val="21"/>
          <w:highlight w:val="none"/>
        </w:rPr>
      </w:pPr>
      <w:r>
        <w:rPr>
          <w:rFonts w:hint="eastAsia" w:ascii="宋体" w:hAnsi="宋体"/>
          <w:b/>
          <w:color w:val="auto"/>
          <w:szCs w:val="21"/>
          <w:highlight w:val="none"/>
        </w:rPr>
        <w:t xml:space="preserve">三、评标标准</w:t>
      </w:r>
      <w:r/>
    </w:p>
    <w:tbl>
      <w:tblPr>
        <w:tblStyle w:val="766"/>
        <w:tblW w:w="9729" w:type="dxa"/>
        <w:jc w:val="center"/>
        <w:tblBorders>
          <w:top w:val="none" w:color="auto" w:sz="6" w:space="0"/>
          <w:left w:val="none" w:color="auto" w:sz="6" w:space="0"/>
          <w:bottom w:val="none" w:color="auto" w:sz="6" w:space="0"/>
          <w:right w:val="none" w:color="auto" w:sz="6" w:space="0"/>
          <w:insideH w:val="single" w:color="auto" w:sz="6" w:space="0"/>
          <w:insideV w:val="single" w:color="auto" w:sz="6" w:space="0"/>
        </w:tblBorders>
        <w:shd w:val="clear" w:color="auto" w:fill="ffffff"/>
        <w:tblLayout w:type="fixed"/>
        <w:tblCellMar>
          <w:left w:w="0" w:type="dxa"/>
          <w:top w:w="0" w:type="dxa"/>
          <w:right w:w="0" w:type="dxa"/>
          <w:bottom w:w="0" w:type="dxa"/>
        </w:tblCellMar>
        <w:tblLook w:val="04A0" w:firstRow="1" w:lastRow="0" w:firstColumn="1" w:lastColumn="0" w:noHBand="0" w:noVBand="1"/>
      </w:tblPr>
      <w:tblGrid>
        <w:gridCol w:w="1365"/>
        <w:gridCol w:w="8364"/>
      </w:tblGrid>
      <w:tr>
        <w:trPr>
          <w:jc w:val="center"/>
          <w:trHeight w:val="20"/>
        </w:trPr>
        <w:tc>
          <w:tcPr>
            <w:shd w:val="clear" w:color="auto" w:fill="ffffff"/>
            <w:tcBorders>
              <w:top w:val="single" w:color="auto" w:sz="8" w:space="0"/>
              <w:left w:val="single" w:color="auto" w:sz="8" w:space="0"/>
              <w:bottom w:val="single" w:color="auto" w:sz="8" w:space="0"/>
              <w:right w:val="single" w:color="auto" w:sz="8" w:space="0"/>
            </w:tcBorders>
            <w:tcMar>
              <w:left w:w="108" w:type="dxa"/>
              <w:right w:w="108" w:type="dxa"/>
            </w:tcMar>
            <w:tcW w:w="1365" w:type="dxa"/>
            <w:vAlign w:val="center"/>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项  目</w:t>
            </w:r>
            <w:r/>
          </w:p>
        </w:tc>
        <w:tc>
          <w:tcPr>
            <w:shd w:val="clear" w:color="auto" w:fill="ffffff"/>
            <w:tcBorders>
              <w:top w:val="single" w:color="auto" w:sz="8" w:space="0"/>
              <w:left w:val="single" w:color="auto" w:sz="8" w:space="0"/>
              <w:bottom w:val="single" w:color="auto" w:sz="8" w:space="0"/>
              <w:right w:val="single" w:color="auto" w:sz="8" w:space="0"/>
            </w:tcBorders>
            <w:tcMar>
              <w:left w:w="108" w:type="dxa"/>
              <w:right w:w="108" w:type="dxa"/>
            </w:tcMar>
            <w:tcW w:w="8364" w:type="dxa"/>
            <w:vAlign w:val="center"/>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评分标准</w:t>
            </w:r>
            <w:r/>
          </w:p>
        </w:tc>
      </w:tr>
      <w:tr>
        <w:trPr>
          <w:jc w:val="center"/>
          <w:trHeight w:val="20"/>
        </w:trPr>
        <w:tc>
          <w:tcPr>
            <w:shd w:val="clear" w:color="auto" w:fill="ffffff"/>
            <w:tcBorders>
              <w:top w:val="single" w:color="auto" w:sz="8" w:space="0"/>
              <w:left w:val="single" w:color="auto" w:sz="8" w:space="0"/>
              <w:bottom w:val="single" w:color="auto" w:sz="8" w:space="0"/>
              <w:right w:val="single" w:color="auto" w:sz="8" w:space="0"/>
            </w:tcBorders>
            <w:tcMar>
              <w:left w:w="108" w:type="dxa"/>
              <w:right w:w="108" w:type="dxa"/>
            </w:tcMar>
            <w:tcW w:w="1365" w:type="dxa"/>
            <w:vAlign w:val="center"/>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报价</w:t>
            </w:r>
            <w:r/>
          </w:p>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（10分）</w:t>
            </w:r>
            <w:r/>
          </w:p>
        </w:tc>
        <w:tc>
          <w:tcPr>
            <w:shd w:val="clear" w:color="auto" w:fill="ffffff"/>
            <w:tcBorders>
              <w:top w:val="single" w:color="auto" w:sz="8" w:space="0"/>
              <w:left w:val="single" w:color="auto" w:sz="8" w:space="0"/>
              <w:bottom w:val="single" w:color="auto" w:sz="8" w:space="0"/>
              <w:right w:val="single" w:color="auto" w:sz="8" w:space="0"/>
            </w:tcBorders>
            <w:tcMar>
              <w:left w:w="108" w:type="dxa"/>
              <w:right w:w="108" w:type="dxa"/>
            </w:tcMar>
            <w:tcW w:w="8364" w:type="dxa"/>
            <w:vAlign w:val="center"/>
            <w:textDirection w:val="lrTb"/>
            <w:noWrap w:val="false"/>
          </w:tcPr>
          <w:p>
            <w:pPr>
              <w:spacing w:line="44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以满足招标文件要求的且投标</w:t>
            </w:r>
            <w:r>
              <w:rPr>
                <w:rFonts w:hint="eastAsia" w:ascii="宋体" w:hAnsi="宋体" w:cs="宋体"/>
                <w:color w:val="auto"/>
                <w:szCs w:val="21"/>
                <w:highlight w:val="none"/>
                <w:lang w:val="en-US" w:eastAsia="zh-CN"/>
              </w:rPr>
              <w:t xml:space="preserve">报价最低</w:t>
            </w:r>
            <w:r>
              <w:rPr>
                <w:rFonts w:hint="eastAsia" w:ascii="宋体" w:hAnsi="宋体" w:cs="宋体"/>
                <w:color w:val="auto"/>
                <w:szCs w:val="21"/>
                <w:highlight w:val="none"/>
              </w:rPr>
              <w:t xml:space="preserve">的投标报价为评标基准价，得满分10分，其他投标报价得分=（评标基准价/其他投标报价）×10×100%。</w:t>
            </w:r>
            <w:r/>
          </w:p>
          <w:p>
            <w:pPr>
              <w:pStyle w:val="767"/>
              <w:ind w:left="0" w:firstLine="0"/>
              <w:rPr>
                <w:color w:val="auto"/>
                <w:highlight w:val="none"/>
              </w:rPr>
            </w:pPr>
            <w:r>
              <w:rPr>
                <w:rFonts w:hint="eastAsia" w:ascii="宋体" w:hAnsi="宋体" w:cs="宋体"/>
                <w:color w:val="auto"/>
                <w:sz w:val="21"/>
                <w:szCs w:val="21"/>
                <w:highlight w:val="none"/>
                <w:lang w:val="en-US" w:eastAsia="zh-CN"/>
              </w:rPr>
              <w:t xml:space="preserve">注：投标报价低于最高投标限价的75%</w:t>
            </w:r>
            <w:r>
              <w:rPr>
                <w:rFonts w:hint="eastAsia" w:ascii="宋体" w:hAnsi="宋体" w:cs="宋体"/>
                <w:color w:val="auto"/>
                <w:sz w:val="21"/>
                <w:szCs w:val="21"/>
                <w:highlight w:val="none"/>
              </w:rPr>
              <w:t xml:space="preserve">以下（含</w:t>
            </w:r>
            <w:r>
              <w:rPr>
                <w:rFonts w:hint="eastAsia" w:ascii="宋体" w:hAnsi="宋体" w:cs="宋体"/>
                <w:color w:val="auto"/>
                <w:sz w:val="21"/>
                <w:szCs w:val="21"/>
                <w:highlight w:val="none"/>
                <w:lang w:val="en-US" w:eastAsia="zh-CN"/>
              </w:rPr>
              <w:t xml:space="preserve">75%</w:t>
            </w:r>
            <w:r>
              <w:rPr>
                <w:rFonts w:hint="eastAsia" w:ascii="宋体" w:hAnsi="宋体" w:cs="宋体"/>
                <w:color w:val="auto"/>
                <w:sz w:val="21"/>
                <w:szCs w:val="21"/>
                <w:highlight w:val="none"/>
              </w:rPr>
              <w:t xml:space="preserve">）需提供合理性说明上传系统。</w:t>
            </w:r>
            <w:r/>
          </w:p>
        </w:tc>
      </w:tr>
      <w:tr>
        <w:trPr>
          <w:jc w:val="center"/>
          <w:trHeight w:val="20"/>
        </w:trPr>
        <w:tc>
          <w:tcPr>
            <w:shd w:val="clear" w:color="auto" w:fill="ffffff"/>
            <w:tcBorders>
              <w:top w:val="single" w:color="auto" w:sz="8" w:space="0"/>
              <w:left w:val="single" w:color="auto" w:sz="8" w:space="0"/>
              <w:bottom w:val="single" w:color="auto" w:sz="8" w:space="0"/>
              <w:right w:val="single" w:color="auto" w:sz="8" w:space="0"/>
            </w:tcBorders>
            <w:tcMar>
              <w:left w:w="108" w:type="dxa"/>
              <w:right w:w="108" w:type="dxa"/>
            </w:tcMar>
            <w:tcW w:w="1365" w:type="dxa"/>
            <w:vAlign w:val="center"/>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拟投入本项目人员</w:t>
            </w:r>
            <w:r/>
          </w:p>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（11分）</w:t>
            </w:r>
            <w:r/>
          </w:p>
        </w:tc>
        <w:tc>
          <w:tcPr>
            <w:shd w:val="clear" w:color="auto" w:fill="ffffff"/>
            <w:tcBorders>
              <w:top w:val="single" w:color="auto" w:sz="8" w:space="0"/>
              <w:left w:val="single" w:color="auto" w:sz="8" w:space="0"/>
              <w:bottom w:val="single" w:color="auto" w:sz="8" w:space="0"/>
              <w:right w:val="single" w:color="auto" w:sz="8" w:space="0"/>
            </w:tcBorders>
            <w:tcMar>
              <w:left w:w="108" w:type="dxa"/>
              <w:right w:w="108" w:type="dxa"/>
            </w:tcMar>
            <w:tcW w:w="8364" w:type="dxa"/>
            <w:vAlign w:val="center"/>
            <w:textDirection w:val="lrTb"/>
            <w:noWrap w:val="false"/>
          </w:tcPr>
          <w:p>
            <w:pP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具有与食品抽检工作相匹配的专职抽样人员和检验人员。</w:t>
            </w:r>
            <w:r/>
          </w:p>
          <w:p>
            <w:pP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1、人员数量（5分）</w:t>
            </w:r>
            <w:r/>
          </w:p>
          <w:p>
            <w:pP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其中食品抽样人员10名以上（含）得2分，不足按比例得分；食品检验人员40名以上（含）得3分，不足按比例得分。投标人须按照招标文件要求的格式提供人员清单。每一名人员须同时提供以下材料：</w:t>
              <mc:AlternateContent>
                <mc:Choice Requires="wpg">
                  <w:drawing>
                    <wp:inline xmlns:wp="http://schemas.openxmlformats.org/drawingml/2006/wordprocessingDrawing" distT="0" distB="0" distL="0" distR="0">
                      <wp:extent cx="723900" cy="723900"/>
                      <wp:effectExtent l="0" t="0" r="0" b="0"/>
                      <wp:docPr id="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1882424" name=""/>
                              <pic:cNvPicPr>
                                <a:picLocks noChangeAspect="1"/>
                              </pic:cNvPicPr>
                              <pic:nvPr/>
                            </pic:nvPicPr>
                            <pic:blipFill>
                              <a:blip r:embed="rId19"/>
                              <a:stretch/>
                            </pic:blipFill>
                            <pic:spPr bwMode="auto">
                              <a:xfrm>
                                <a:off x="0" y="0"/>
                                <a:ext cx="723899" cy="7238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57.0pt;height:57.0pt;mso-wrap-distance-left:0.0pt;mso-wrap-distance-top:0.0pt;mso-wrap-distance-right:0.0pt;mso-wrap-distance-bottom:0.0pt;" stroked="false">
                      <v:path textboxrect="0,0,0,0"/>
                      <v:imagedata r:id="rId19" o:title=""/>
                    </v:shape>
                  </w:pict>
                </mc:Fallback>
              </mc:AlternateContent>
            </w:r>
            <w:r/>
          </w:p>
          <w:p>
            <w:pPr>
              <w:numPr>
                <w:ilvl w:val="0"/>
                <w:numId w:val="4"/>
              </w:numPr>
              <w:keepLines w:val="0"/>
              <w:keepNext w:val="0"/>
              <w:pageBreakBefore w:val="0"/>
              <w:spacing w:line="44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食品人员岗位证明；</w:t>
            </w:r>
            <w:r/>
          </w:p>
          <w:p>
            <w:pPr>
              <w:numPr>
                <w:ilvl w:val="0"/>
                <w:numId w:val="4"/>
              </w:numPr>
              <w:keepLines w:val="0"/>
              <w:keepNext w:val="0"/>
              <w:pageBreakBefore w:val="0"/>
              <w:spacing w:line="44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投标人近三个月任意一个月为其缴纳单位</w:t>
            </w:r>
            <w:r>
              <w:rPr>
                <w:rFonts w:hint="eastAsia" w:ascii="宋体" w:hAnsi="宋体" w:eastAsia="宋体" w:cs="宋体"/>
                <w:b/>
                <w:bCs/>
                <w:color w:val="auto"/>
                <w:sz w:val="21"/>
                <w:szCs w:val="21"/>
                <w:highlight w:val="none"/>
              </w:rPr>
              <w:t xml:space="preserve">社保</w:t>
            </w:r>
            <w:r>
              <w:rPr>
                <w:rFonts w:hint="eastAsia" w:ascii="宋体" w:hAnsi="宋体" w:eastAsia="宋体" w:cs="宋体"/>
                <w:b/>
                <w:bCs/>
                <w:color w:val="auto"/>
                <w:sz w:val="21"/>
                <w:szCs w:val="21"/>
                <w:highlight w:val="none"/>
              </w:rPr>
              <w:t xml:space="preserve">的记录（证明资料应为社保收缴部门盖章证明资料、社保窗口打印资料或社保官网截图，补缴社保不给予计算）；</w:t>
            </w:r>
            <w:r/>
          </w:p>
          <w:p>
            <w:pPr>
              <w:numPr>
                <w:ilvl w:val="0"/>
                <w:numId w:val="4"/>
              </w:numPr>
              <w:keepLines w:val="0"/>
              <w:keepNext w:val="0"/>
              <w:pageBreakBefore w:val="0"/>
              <w:spacing w:line="44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职称证书（指获得人力资源和社会保障部门或国家职能部门颁发的证书）、岗位授权证书；</w:t>
            </w:r>
            <w:r/>
          </w:p>
          <w:p>
            <w:pPr>
              <w:numPr>
                <w:ilvl w:val="0"/>
                <w:numId w:val="4"/>
              </w:numPr>
              <w:keepLines w:val="0"/>
              <w:keepNext w:val="0"/>
              <w:pageBreakBefore w:val="0"/>
              <w:spacing w:line="44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学历证书、学位证书及学信网查询记录；学信网无法查询的需提供毕业院校、人社部门等颁发机构或监管机构等单位出具的证明；海外留学人员学历无法通过学信网站查询的，需提供教育部留学服务中心出具的学历学位认证书及教育部留学服务中心官网查询截图；非食品、生物、化学相关专业的，还须提供3年以上食品检测工作经历证明材料。</w:t>
            </w:r>
            <w:r/>
          </w:p>
          <w:p>
            <w:pPr>
              <w:numPr>
                <w:ilvl w:val="0"/>
                <w:numId w:val="4"/>
              </w:numPr>
              <w:keepLines w:val="0"/>
              <w:keepNext w:val="0"/>
              <w:pageBreakBefore w:val="0"/>
              <w:spacing w:line="44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近三年内（自2023年起）食品检验检测原始记录（含本人签名）及相对应的加盖资质认定（CMA）章的食品检验检测报告等证明材料。</w:t>
            </w:r>
            <w:r/>
          </w:p>
          <w:p>
            <w:pPr>
              <w:numPr>
                <w:ilvl w:val="0"/>
                <w:numId w:val="4"/>
              </w:numPr>
              <w:keepLines w:val="0"/>
              <w:keepNext w:val="0"/>
              <w:pageBreakBefore w:val="0"/>
              <w:spacing w:line="44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提供承诺函原件加盖投标人公章，承诺函承诺投标文件中拟投入的所有人员为本次项目服务人员且均为本单位在职成员，格式自拟。</w:t>
            </w:r>
            <w:r/>
          </w:p>
          <w:p>
            <w:pPr>
              <w:numPr>
                <w:ilvl w:val="0"/>
                <w:numId w:val="0"/>
              </w:numPr>
              <w:keepLines w:val="0"/>
              <w:keepNext w:val="0"/>
              <w:pageBreakBefore w:val="0"/>
              <w:spacing w:line="44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注：提供</w:t>
            </w:r>
            <w:r>
              <w:rPr>
                <w:rFonts w:hint="eastAsia" w:ascii="宋体" w:hAnsi="宋体" w:eastAsia="宋体" w:cs="宋体"/>
                <w:b/>
                <w:bCs/>
                <w:color w:val="auto"/>
                <w:sz w:val="21"/>
                <w:szCs w:val="21"/>
                <w:highlight w:val="none"/>
                <w:lang w:val="en-US" w:eastAsia="zh-CN"/>
              </w:rPr>
              <w:t xml:space="preserve">上述</w:t>
            </w:r>
            <w:r>
              <w:rPr>
                <w:rFonts w:hint="eastAsia" w:ascii="宋体" w:hAnsi="宋体" w:eastAsia="宋体" w:cs="宋体"/>
                <w:b/>
                <w:bCs/>
                <w:color w:val="auto"/>
                <w:sz w:val="21"/>
                <w:szCs w:val="21"/>
                <w:highlight w:val="none"/>
              </w:rPr>
              <w:t xml:space="preserve">材料</w:t>
            </w:r>
            <w:r>
              <w:rPr>
                <w:rFonts w:hint="eastAsia" w:ascii="宋体" w:hAnsi="宋体" w:eastAsia="宋体" w:cs="宋体"/>
                <w:b/>
                <w:bCs/>
                <w:color w:val="auto"/>
                <w:sz w:val="21"/>
                <w:szCs w:val="21"/>
                <w:highlight w:val="none"/>
                <w:lang w:val="en-US" w:eastAsia="zh-CN"/>
              </w:rPr>
              <w:t xml:space="preserve">原件扫描上传</w:t>
            </w:r>
            <w:r>
              <w:rPr>
                <w:rFonts w:hint="eastAsia" w:ascii="宋体" w:hAnsi="宋体" w:eastAsia="宋体" w:cs="宋体"/>
                <w:b/>
                <w:bCs/>
                <w:color w:val="auto"/>
                <w:sz w:val="21"/>
                <w:szCs w:val="21"/>
                <w:highlight w:val="none"/>
              </w:rPr>
              <w:t xml:space="preserve">加盖投标人公章</w:t>
            </w:r>
            <w:r>
              <w:rPr>
                <w:rFonts w:hint="eastAsia" w:ascii="宋体" w:hAnsi="宋体" w:eastAsia="宋体" w:cs="宋体"/>
                <w:b/>
                <w:bCs/>
                <w:color w:val="auto"/>
                <w:sz w:val="21"/>
                <w:szCs w:val="21"/>
                <w:highlight w:val="none"/>
                <w:lang w:val="en-US" w:eastAsia="zh-CN"/>
              </w:rPr>
              <w:t xml:space="preserve">，</w:t>
            </w:r>
            <w:r>
              <w:rPr>
                <w:rFonts w:hint="eastAsia" w:ascii="宋体" w:hAnsi="宋体" w:eastAsia="宋体" w:cs="宋体"/>
                <w:b/>
                <w:bCs/>
                <w:color w:val="auto"/>
                <w:sz w:val="21"/>
                <w:szCs w:val="21"/>
                <w:highlight w:val="none"/>
              </w:rPr>
              <w:t xml:space="preserve">未达到上述要求，证明文件不完整、缺项、不清晰可辨或未提供有效证明材料的不计分。抽样人员与检验人员不得重复，重复的不计分。</w:t>
            </w:r>
            <w:r/>
          </w:p>
          <w:p>
            <w:pP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2、人员实力（4分）</w:t>
            </w:r>
            <w:r/>
          </w:p>
          <w:p>
            <w:pPr>
              <w:keepLines w:val="0"/>
              <w:keepNext w:val="0"/>
              <w:pageBreakBefore w:val="0"/>
              <w:spacing w:line="440" w:lineRule="exact"/>
              <w:widowControl w:val="off"/>
              <w:rPr>
                <w:rFonts w:hint="eastAsia" w:ascii="宋体" w:hAnsi="宋体" w:eastAsia="宋体" w:cs="宋体"/>
                <w:color w:val="auto"/>
                <w:sz w:val="21"/>
                <w:szCs w:val="21"/>
                <w:highlight w:val="none"/>
                <w:lang w:val="zh-CN"/>
              </w:rPr>
            </w:pPr>
            <w:r>
              <w:rPr>
                <w:rFonts w:hint="eastAsia" w:ascii="宋体" w:hAnsi="宋体" w:cs="宋体"/>
                <w:color w:val="auto"/>
                <w:sz w:val="21"/>
                <w:szCs w:val="21"/>
                <w:highlight w:val="none"/>
                <w:lang w:val="en-US" w:eastAsia="zh-CN"/>
              </w:rPr>
              <w:t xml:space="preserve">①</w:t>
            </w:r>
            <w:r>
              <w:rPr>
                <w:rFonts w:hint="eastAsia" w:ascii="宋体" w:hAnsi="宋体" w:eastAsia="宋体" w:cs="宋体"/>
                <w:color w:val="auto"/>
                <w:sz w:val="21"/>
                <w:szCs w:val="21"/>
                <w:highlight w:val="none"/>
                <w:lang w:val="zh-CN"/>
              </w:rPr>
              <w:t xml:space="preserve">工作满2年及以上的食品检验业务领域正高级技术职称人员达到6人，得</w:t>
            </w: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zh-CN"/>
              </w:rPr>
              <w:t xml:space="preserve">分；4-5人，得</w:t>
            </w:r>
            <w:r>
              <w:rPr>
                <w:rFonts w:hint="eastAsia" w:ascii="宋体" w:hAnsi="宋体" w:eastAsia="宋体" w:cs="宋体"/>
                <w:color w:val="auto"/>
                <w:sz w:val="21"/>
                <w:szCs w:val="21"/>
                <w:highlight w:val="none"/>
              </w:rPr>
              <w:t xml:space="preserve">1.5</w:t>
            </w:r>
            <w:r>
              <w:rPr>
                <w:rFonts w:hint="eastAsia" w:ascii="宋体" w:hAnsi="宋体" w:eastAsia="宋体" w:cs="宋体"/>
                <w:color w:val="auto"/>
                <w:sz w:val="21"/>
                <w:szCs w:val="21"/>
                <w:highlight w:val="none"/>
                <w:lang w:val="zh-CN"/>
              </w:rPr>
              <w:t xml:space="preserve">分；2-3人，得</w:t>
            </w: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zh-CN"/>
              </w:rPr>
              <w:t xml:space="preserve">分；仅有1人，得</w:t>
            </w:r>
            <w:r>
              <w:rPr>
                <w:rFonts w:hint="eastAsia" w:ascii="宋体" w:hAnsi="宋体" w:eastAsia="宋体" w:cs="宋体"/>
                <w:color w:val="auto"/>
                <w:sz w:val="21"/>
                <w:szCs w:val="21"/>
                <w:highlight w:val="none"/>
              </w:rPr>
              <w:t xml:space="preserve">0.5</w:t>
            </w:r>
            <w:r>
              <w:rPr>
                <w:rFonts w:hint="eastAsia" w:ascii="宋体" w:hAnsi="宋体" w:eastAsia="宋体" w:cs="宋体"/>
                <w:color w:val="auto"/>
                <w:sz w:val="21"/>
                <w:szCs w:val="21"/>
                <w:highlight w:val="none"/>
                <w:lang w:val="zh-CN"/>
              </w:rPr>
              <w:t xml:space="preserve">分，</w:t>
            </w:r>
            <w:r>
              <w:rPr>
                <w:rFonts w:hint="eastAsia" w:ascii="宋体" w:hAnsi="宋体" w:eastAsia="宋体" w:cs="宋体"/>
                <w:color w:val="auto"/>
                <w:sz w:val="21"/>
                <w:szCs w:val="21"/>
                <w:highlight w:val="none"/>
              </w:rPr>
              <w:t xml:space="preserve">其他不得分</w:t>
            </w:r>
            <w:r>
              <w:rPr>
                <w:rFonts w:hint="eastAsia" w:ascii="宋体" w:hAnsi="宋体" w:eastAsia="宋体" w:cs="宋体"/>
                <w:color w:val="auto"/>
                <w:sz w:val="21"/>
                <w:szCs w:val="21"/>
                <w:highlight w:val="none"/>
                <w:lang w:val="zh-CN"/>
              </w:rPr>
              <w:t xml:space="preserve">；</w:t>
            </w:r>
            <w:r/>
          </w:p>
          <w:p>
            <w:pP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②</w:t>
            </w:r>
            <w:r>
              <w:rPr>
                <w:rFonts w:hint="eastAsia" w:ascii="宋体" w:hAnsi="宋体" w:eastAsia="宋体" w:cs="宋体"/>
                <w:color w:val="auto"/>
                <w:sz w:val="21"/>
                <w:szCs w:val="21"/>
                <w:highlight w:val="none"/>
                <w:lang w:val="zh-CN"/>
              </w:rPr>
              <w:t xml:space="preserve">工作满2年及以上的食品检验业务领域副高级技术职称人员达到6人，得</w:t>
            </w: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zh-CN"/>
              </w:rPr>
              <w:t xml:space="preserve">分；4-5人，得</w:t>
            </w:r>
            <w:r>
              <w:rPr>
                <w:rFonts w:hint="eastAsia" w:ascii="宋体" w:hAnsi="宋体" w:eastAsia="宋体" w:cs="宋体"/>
                <w:color w:val="auto"/>
                <w:sz w:val="21"/>
                <w:szCs w:val="21"/>
                <w:highlight w:val="none"/>
              </w:rPr>
              <w:t xml:space="preserve">1.5</w:t>
            </w:r>
            <w:r>
              <w:rPr>
                <w:rFonts w:hint="eastAsia" w:ascii="宋体" w:hAnsi="宋体" w:eastAsia="宋体" w:cs="宋体"/>
                <w:color w:val="auto"/>
                <w:sz w:val="21"/>
                <w:szCs w:val="21"/>
                <w:highlight w:val="none"/>
                <w:lang w:val="zh-CN"/>
              </w:rPr>
              <w:t xml:space="preserve">分；2-3人，得</w:t>
            </w: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zh-CN"/>
              </w:rPr>
              <w:t xml:space="preserve">分；仅有1人，得</w:t>
            </w:r>
            <w:r>
              <w:rPr>
                <w:rFonts w:hint="eastAsia" w:ascii="宋体" w:hAnsi="宋体" w:eastAsia="宋体" w:cs="宋体"/>
                <w:color w:val="auto"/>
                <w:sz w:val="21"/>
                <w:szCs w:val="21"/>
                <w:highlight w:val="none"/>
              </w:rPr>
              <w:t xml:space="preserve">0.5分</w:t>
            </w: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rPr>
              <w:t xml:space="preserve">其他不得分。</w:t>
            </w:r>
            <w:r/>
          </w:p>
          <w:p>
            <w:pP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（须提供职称证书、学位证书、投标人近三个月任意一个月为其缴纳社保证明等原件扫描上传加盖投标人公章，同一人员的职称和学历不重复计算得分）</w:t>
            </w:r>
            <w:r/>
          </w:p>
          <w:p>
            <w:pP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3、项目负责人（2分）</w:t>
            </w:r>
            <w:r/>
          </w:p>
          <w:p>
            <w:pPr>
              <w:keepLines w:val="0"/>
              <w:keepNext w:val="0"/>
              <w:pageBreakBefore w:val="0"/>
              <w:spacing w:line="440" w:lineRule="exact"/>
              <w:widowControl w:val="off"/>
              <w:rPr>
                <w:rFonts w:hint="eastAsia" w:ascii="宋体" w:hAnsi="宋体" w:eastAsia="宋体" w:cs="宋体"/>
                <w:color w:val="auto"/>
                <w:sz w:val="21"/>
                <w:szCs w:val="21"/>
                <w:highlight w:val="none"/>
                <w:lang w:val="zh-CN"/>
              </w:rPr>
            </w:pPr>
            <w:r>
              <w:rPr>
                <w:rFonts w:hint="eastAsia" w:ascii="宋体" w:hAnsi="宋体" w:cs="宋体"/>
                <w:color w:val="auto"/>
                <w:sz w:val="21"/>
                <w:szCs w:val="21"/>
                <w:highlight w:val="none"/>
                <w:lang w:val="en-US" w:eastAsia="zh-CN"/>
              </w:rPr>
              <w:t xml:space="preserve">拟投标本项目项目负责人同时</w:t>
            </w:r>
            <w:r>
              <w:rPr>
                <w:rFonts w:hint="eastAsia" w:ascii="宋体" w:hAnsi="宋体" w:eastAsia="宋体" w:cs="宋体"/>
                <w:color w:val="auto"/>
                <w:sz w:val="21"/>
                <w:szCs w:val="21"/>
                <w:highlight w:val="none"/>
                <w:lang w:val="zh-CN"/>
              </w:rPr>
              <w:t xml:space="preserve">具备研究生以上学历，具有食品、化学、生物等与食品检测相关专业的正高级职称，且从事食品抽检工作年限5年以上，得</w:t>
            </w: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zh-CN"/>
              </w:rPr>
              <w:t xml:space="preserve">分；</w:t>
            </w:r>
            <w:r>
              <w:rPr>
                <w:rFonts w:hint="eastAsia" w:ascii="宋体" w:hAnsi="宋体" w:cs="宋体"/>
                <w:color w:val="auto"/>
                <w:sz w:val="21"/>
                <w:szCs w:val="21"/>
                <w:highlight w:val="none"/>
                <w:lang w:val="en-US" w:eastAsia="zh-CN"/>
              </w:rPr>
              <w:t xml:space="preserve">同时</w:t>
            </w:r>
            <w:r>
              <w:rPr>
                <w:rFonts w:hint="eastAsia" w:ascii="宋体" w:hAnsi="宋体" w:eastAsia="宋体" w:cs="宋体"/>
                <w:color w:val="auto"/>
                <w:sz w:val="21"/>
                <w:szCs w:val="21"/>
                <w:highlight w:val="none"/>
                <w:lang w:val="zh-CN"/>
              </w:rPr>
              <w:t xml:space="preserve">具备本科学历，具有食品、化学、生物等与食品检测相关专业的高级职称，且从事食品抽检工作年限3年以上，得</w:t>
            </w: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zh-CN"/>
              </w:rPr>
              <w:t xml:space="preserve">分； 不符合上述要求的，不得分。</w:t>
            </w:r>
            <w:r/>
          </w:p>
          <w:p>
            <w:pPr>
              <w:keepLines w:val="0"/>
              <w:keepNext w:val="0"/>
              <w:pageBreakBefore w:val="0"/>
              <w:spacing w:line="440" w:lineRule="exact"/>
              <w:widowControl w:val="off"/>
              <w:rPr>
                <w:rFonts w:ascii="宋体" w:hAnsi="宋体" w:cs="宋体"/>
                <w:color w:val="auto"/>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b/>
                <w:bCs/>
                <w:color w:val="auto"/>
                <w:sz w:val="21"/>
                <w:szCs w:val="21"/>
                <w:highlight w:val="none"/>
              </w:rPr>
              <w:t xml:space="preserve">须提供相应证明文件原件扫描上传加盖投标人公章，未提供相应内容的不计分。）</w:t>
            </w:r>
            <w:r/>
          </w:p>
        </w:tc>
      </w:tr>
      <w:tr>
        <w:trPr>
          <w:jc w:val="center"/>
          <w:trHeight w:val="689"/>
        </w:trPr>
        <w:tc>
          <w:tcPr>
            <w:shd w:val="clear" w:color="auto" w:fill="ffffff"/>
            <w:tcBorders>
              <w:top w:val="single" w:color="auto" w:sz="8" w:space="0"/>
              <w:left w:val="single" w:color="auto" w:sz="8" w:space="0"/>
              <w:bottom w:val="single" w:color="auto" w:sz="8" w:space="0"/>
              <w:right w:val="single" w:color="auto" w:sz="8" w:space="0"/>
            </w:tcBorders>
            <w:tcMar>
              <w:left w:w="108" w:type="dxa"/>
              <w:right w:w="108" w:type="dxa"/>
            </w:tcMar>
            <w:tcW w:w="1365" w:type="dxa"/>
            <w:vAlign w:val="center"/>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拟投入本项目设施</w:t>
            </w:r>
            <w:r/>
          </w:p>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（24分）</w:t>
            </w:r>
            <w:r/>
          </w:p>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Borders>
              <w:top w:val="single" w:color="auto" w:sz="8" w:space="0"/>
              <w:left w:val="single" w:color="auto" w:sz="8" w:space="0"/>
              <w:bottom w:val="single" w:color="auto" w:sz="8" w:space="0"/>
              <w:right w:val="single" w:color="auto" w:sz="8" w:space="0"/>
            </w:tcBorders>
            <w:tcMar>
              <w:left w:w="108" w:type="dxa"/>
              <w:right w:w="108" w:type="dxa"/>
            </w:tcMar>
            <w:tcW w:w="8364" w:type="dxa"/>
            <w:vAlign w:val="center"/>
            <w:textDirection w:val="lrTb"/>
            <w:noWrap w:val="false"/>
          </w:tcPr>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1、实验室场地（5分）</w:t>
            </w:r>
            <w:r/>
          </w:p>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根据投标人具备的与食品检测工作相适应的实验场所建筑面积、具体布局等进行评价。食品检测实验室建筑面积（不含办公室），低于3000m²（不含）不得分，3000m²（含）得3分，每增加500m²加1分，满分5分。</w:t>
            </w:r>
            <w:r>
              <w:rPr>
                <w:rFonts w:hint="eastAsia" w:ascii="宋体" w:hAnsi="宋体" w:cs="宋体"/>
                <w:b/>
                <w:bCs/>
                <w:color w:val="auto"/>
                <w:szCs w:val="21"/>
                <w:highlight w:val="none"/>
              </w:rPr>
              <w:t xml:space="preserve">（须提供食品实验室平面布局图及各组成部分面积清单扫描上传加盖投标人公章）</w:t>
            </w:r>
            <w:r/>
          </w:p>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2、实验室设备（10分）</w:t>
            </w:r>
            <w:r/>
          </w:p>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投标人具有满足食品安全检测的设施及仪器设备。其中具有液质联用仪2台、液相色谱仪3台、气相色谱仪3台、气质联用仪2台、气相色谱串联质谱仪（GC-MS/MS）1台、电感耦合等离子体质谱仪（ICP-MS）1台、原子荧光光谱仪1台、原子吸收分光光度计1台得基本分6分。每少1台扣1分，每增加一台加0.5分，满分10分。</w:t>
            </w:r>
            <w:r>
              <w:rPr>
                <w:rFonts w:hint="eastAsia" w:ascii="宋体" w:hAnsi="宋体" w:cs="宋体"/>
                <w:b/>
                <w:bCs/>
                <w:color w:val="auto"/>
                <w:szCs w:val="21"/>
                <w:highlight w:val="none"/>
              </w:rPr>
              <w:t xml:space="preserve">（提供以上仪器设备清单、设备原值、购置时间、台套数、计量检定证明、发票、仪器在实验室的照片等其他证明材料上传系统加盖投标人公章，证明资料不完整、不清晰可辨或不一致的不计分。）</w:t>
            </w:r>
            <w:r/>
          </w:p>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3、实验室运输实力（9分）</w:t>
            </w:r>
            <w:r/>
          </w:p>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投标人具备满足食品抽检工作要求的抽样工具、车辆及特殊贮存条件要求的运输设备情况。 </w:t>
            </w:r>
            <w:r/>
          </w:p>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①投标人自有采样车每有一辆得 1 分，租赁采样车每有一辆得 0.5 分，满分4 分； </w:t>
            </w:r>
            <w:r/>
          </w:p>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②投标人自有冷藏车每有一辆得 1 分，租赁冷藏车每有一辆得 0.5 分，满分 3 分； </w:t>
            </w:r>
            <w:r/>
          </w:p>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③投标人具备用于样品保存的车载冰箱，每有 5 个得 1 分，满分 2 分。</w:t>
            </w:r>
            <w:r/>
          </w:p>
          <w:p>
            <w:pPr>
              <w:spacing w:line="440" w:lineRule="exact"/>
              <w:rPr>
                <w:rFonts w:ascii="宋体" w:hAnsi="宋体" w:cs="宋体"/>
                <w:color w:val="auto"/>
                <w:szCs w:val="21"/>
                <w:highlight w:val="none"/>
              </w:rPr>
            </w:pPr>
            <w:r>
              <w:rPr>
                <w:rFonts w:hint="eastAsia" w:ascii="宋体" w:hAnsi="宋体" w:cs="宋体"/>
                <w:b/>
                <w:bCs/>
                <w:color w:val="auto"/>
                <w:szCs w:val="21"/>
                <w:highlight w:val="none"/>
              </w:rPr>
              <w:t xml:space="preserve">（须提供以上车辆行驶证或车辆租赁协议及车载冰箱发票扫描上传加盖投标人公章）</w:t>
            </w:r>
            <w:r/>
          </w:p>
        </w:tc>
      </w:tr>
      <w:tr>
        <w:trPr>
          <w:jc w:val="center"/>
          <w:trHeight w:val="20"/>
        </w:trPr>
        <w:tc>
          <w:tcPr>
            <w:shd w:val="clear" w:color="auto" w:fill="ffffff"/>
            <w:tcBorders>
              <w:top w:val="single" w:color="auto" w:sz="8" w:space="0"/>
              <w:left w:val="single" w:color="auto" w:sz="8" w:space="0"/>
              <w:bottom w:val="single" w:color="auto" w:sz="8" w:space="0"/>
              <w:right w:val="single" w:color="auto" w:sz="8" w:space="0"/>
            </w:tcBorders>
            <w:tcMar>
              <w:left w:w="108" w:type="dxa"/>
              <w:right w:w="108" w:type="dxa"/>
            </w:tcMar>
            <w:tcW w:w="1365" w:type="dxa"/>
            <w:vAlign w:val="center"/>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技术实施方案和应急方案</w:t>
            </w:r>
            <w:r/>
          </w:p>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（22分）</w:t>
            </w:r>
            <w:r/>
          </w:p>
        </w:tc>
        <w:tc>
          <w:tcPr>
            <w:shd w:val="clear" w:color="auto" w:fill="ffffff"/>
            <w:tcBorders>
              <w:top w:val="single" w:color="auto" w:sz="8" w:space="0"/>
              <w:left w:val="single" w:color="auto" w:sz="8" w:space="0"/>
              <w:bottom w:val="single" w:color="auto" w:sz="8" w:space="0"/>
              <w:right w:val="single" w:color="auto" w:sz="8" w:space="0"/>
            </w:tcBorders>
            <w:tcMar>
              <w:left w:w="108" w:type="dxa"/>
              <w:right w:w="108" w:type="dxa"/>
            </w:tcMar>
            <w:tcW w:w="8364" w:type="dxa"/>
            <w:vAlign w:val="center"/>
            <w:textDirection w:val="lrTb"/>
            <w:noWrap w:val="false"/>
          </w:tcPr>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1、对本项目食品抽检计划实施的保障情况，实施的组织情况、实施方案、质量控制等进行评分。（7分）</w:t>
            </w:r>
            <w:r/>
          </w:p>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方案细致全面、合理，技术可行性强得7分；</w:t>
            </w:r>
            <w:r/>
          </w:p>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方案较为完整，技术可行性较强得4分；</w:t>
            </w:r>
            <w:r/>
          </w:p>
          <w:p>
            <w:pPr>
              <w:spacing w:line="440" w:lineRule="exact"/>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方案不完整、技术可行性较低得2分</w:t>
            </w:r>
            <w:r>
              <w:rPr>
                <w:rFonts w:hint="eastAsia" w:ascii="宋体" w:hAnsi="宋体" w:cs="宋体"/>
                <w:color w:val="auto"/>
                <w:szCs w:val="21"/>
                <w:highlight w:val="none"/>
                <w:lang w:eastAsia="zh-CN"/>
              </w:rPr>
              <w:t xml:space="preserve">；</w:t>
            </w:r>
            <w:r/>
          </w:p>
          <w:p>
            <w:pPr>
              <w:spacing w:line="440" w:lineRule="exact"/>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不提供方案不得分</w:t>
            </w:r>
            <w:r>
              <w:rPr>
                <w:rFonts w:hint="eastAsia" w:ascii="宋体" w:hAnsi="宋体" w:cs="宋体"/>
                <w:color w:val="auto"/>
                <w:szCs w:val="21"/>
                <w:highlight w:val="none"/>
                <w:lang w:eastAsia="zh-CN"/>
              </w:rPr>
              <w:t xml:space="preserve">。</w:t>
            </w:r>
            <w:r/>
          </w:p>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2、对本项目食品应急抽检计划方案和快速响应的保障情况，应急响应的组织情况、实施方案、质量控制、应急响应时间以及快速响应保障方案的时效快速性、措施合理性等进行评分。（7分）</w:t>
            </w:r>
            <w:r/>
          </w:p>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方案细致全面、合理，符合响应需求，技术可行性强得7分；</w:t>
            </w:r>
            <w:r/>
          </w:p>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方案较为完整，基本符合响应需求得4分；</w:t>
            </w:r>
            <w:r/>
          </w:p>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方案不完整、响应度低、技术可行性较低得2分。</w:t>
            </w:r>
            <w:r/>
          </w:p>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不提供方案不得分。</w:t>
            </w:r>
            <w:r/>
          </w:p>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3、投标人针对抽检数据质量水平的把控能力，如何规范抽检数据，提高抽检工作数据质量等情况进行评分。（4分）</w:t>
            </w:r>
            <w:r/>
          </w:p>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方案要点齐全、条理清晰，可操作性强得4分；</w:t>
            </w:r>
            <w:r/>
          </w:p>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方案要点基本齐全、条理较清晰，可操作性较强得2分；</w:t>
            </w:r>
            <w:r/>
          </w:p>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方案要点不足、条理不清晰，可操作性较低得1分；</w:t>
            </w:r>
            <w:r/>
          </w:p>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其他或未提供的不得分。</w:t>
            </w:r>
            <w:r/>
          </w:p>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4、投标人在实施食品抽检服务之外为采购人提供相关增值服务进行评分。（4分）</w:t>
            </w:r>
            <w:r/>
          </w:p>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方案细致全面、合理，增值服务好得4分；</w:t>
            </w:r>
            <w:r/>
          </w:p>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方案较为完整，增值服务较好得2分；</w:t>
            </w:r>
            <w:r/>
          </w:p>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方案不完整、增值服务一般得1分。</w:t>
            </w:r>
            <w:r/>
          </w:p>
          <w:p>
            <w:pPr>
              <w:pStyle w:val="767"/>
              <w:ind w:firstLine="0"/>
              <w:rPr>
                <w:color w:val="auto"/>
                <w:highlight w:val="none"/>
              </w:rPr>
            </w:pPr>
            <w:r>
              <w:rPr>
                <w:rFonts w:hint="eastAsia" w:ascii="宋体" w:hAnsi="宋体" w:cs="宋体"/>
                <w:color w:val="auto"/>
                <w:sz w:val="21"/>
                <w:szCs w:val="21"/>
                <w:highlight w:val="none"/>
              </w:rPr>
              <w:t xml:space="preserve">不提供方案不得分。</w:t>
            </w:r>
            <w:r/>
          </w:p>
        </w:tc>
      </w:tr>
      <w:tr>
        <w:trPr>
          <w:jc w:val="center"/>
          <w:trHeight w:val="20"/>
        </w:trPr>
        <w:tc>
          <w:tcPr>
            <w:shd w:val="clear" w:color="auto" w:fill="ffffff"/>
            <w:tcBorders>
              <w:top w:val="single" w:color="auto" w:sz="8" w:space="0"/>
              <w:left w:val="single" w:color="auto" w:sz="8" w:space="0"/>
              <w:bottom w:val="single" w:color="auto" w:sz="8" w:space="0"/>
              <w:right w:val="single" w:color="auto" w:sz="8" w:space="0"/>
            </w:tcBorders>
            <w:tcMar>
              <w:left w:w="108" w:type="dxa"/>
              <w:right w:w="108" w:type="dxa"/>
            </w:tcMar>
            <w:tcW w:w="1365" w:type="dxa"/>
            <w:vAlign w:val="center"/>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企业实力</w:t>
            </w:r>
            <w:r/>
          </w:p>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（13分）</w:t>
            </w:r>
            <w:r/>
          </w:p>
        </w:tc>
        <w:tc>
          <w:tcPr>
            <w:shd w:val="clear" w:color="auto" w:fill="ffffff"/>
            <w:tcBorders>
              <w:top w:val="single" w:color="auto" w:sz="8" w:space="0"/>
              <w:left w:val="single" w:color="auto" w:sz="8" w:space="0"/>
              <w:bottom w:val="single" w:color="auto" w:sz="8" w:space="0"/>
              <w:right w:val="single" w:color="auto" w:sz="8" w:space="0"/>
            </w:tcBorders>
            <w:tcMar>
              <w:left w:w="108" w:type="dxa"/>
              <w:right w:w="108" w:type="dxa"/>
            </w:tcMar>
            <w:tcW w:w="8364" w:type="dxa"/>
            <w:vAlign w:val="center"/>
            <w:textDirection w:val="lrTb"/>
            <w:noWrap w:val="false"/>
          </w:tcPr>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1、专业类产品检测能力（2分）</w:t>
            </w:r>
            <w:r/>
          </w:p>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①投标人通过 CNAS 认证的得 1 分；</w:t>
            </w:r>
            <w:r/>
          </w:p>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②投标人通过 CATL 考核的得 1 分；</w:t>
            </w:r>
            <w:r/>
          </w:p>
          <w:p>
            <w:pPr>
              <w:spacing w:line="44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（须提供相关证明材料上传系统加盖投标人公章）</w:t>
            </w:r>
            <w:r/>
          </w:p>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2、综合覆盖率（5分）</w:t>
            </w:r>
            <w:r/>
          </w:p>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投标人对《2025年国家食品安全监督抽检实施细则》中37类食品（含食用农产品）列出的各产品检验项目表的项目覆盖率在95%（不含）以下的不得分；95%得1分，每增加1%加1分，满分5分。</w:t>
            </w:r>
            <w:r>
              <w:rPr>
                <w:rFonts w:hint="eastAsia" w:ascii="宋体" w:hAnsi="宋体" w:cs="宋体"/>
                <w:b/>
                <w:bCs/>
                <w:color w:val="auto"/>
                <w:szCs w:val="21"/>
                <w:highlight w:val="none"/>
              </w:rPr>
              <w:t xml:space="preserve">（须提供证书、实验室资质及检验项目资质情况表的对照表上传系统加盖投标人公章）</w:t>
            </w:r>
            <w:r/>
          </w:p>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3、能力验证（4分）</w:t>
            </w:r>
            <w:r/>
          </w:p>
          <w:p>
            <w:pPr>
              <w:spacing w:line="440" w:lineRule="exact"/>
              <w:rPr>
                <w:rFonts w:ascii="宋体" w:hAnsi="宋体" w:cs="宋体"/>
                <w:b/>
                <w:bCs/>
                <w:color w:val="auto"/>
                <w:szCs w:val="21"/>
                <w:highlight w:val="none"/>
              </w:rPr>
            </w:pPr>
            <w:r>
              <w:rPr>
                <w:rFonts w:hint="eastAsia" w:ascii="宋体" w:hAnsi="宋体" w:cs="宋体"/>
                <w:color w:val="auto"/>
                <w:szCs w:val="21"/>
                <w:highlight w:val="none"/>
              </w:rPr>
              <w:t xml:space="preserve">根据投标人参加的能力验证数量和结果进行评审。</w:t>
            </w:r>
            <w:r>
              <w:rPr>
                <w:rFonts w:hint="eastAsia" w:ascii="宋体" w:hAnsi="宋体" w:cs="宋体"/>
                <w:color w:val="auto"/>
                <w:szCs w:val="21"/>
                <w:highlight w:val="none"/>
                <w:lang w:val="zh-CN"/>
              </w:rPr>
              <w:t xml:space="preserve">自202</w:t>
            </w:r>
            <w:r>
              <w:rPr>
                <w:rFonts w:hint="eastAsia" w:ascii="宋体" w:hAnsi="宋体" w:cs="宋体"/>
                <w:color w:val="auto"/>
                <w:szCs w:val="21"/>
                <w:highlight w:val="none"/>
              </w:rPr>
              <w:t xml:space="preserve">4</w:t>
            </w:r>
            <w:r>
              <w:rPr>
                <w:rFonts w:hint="eastAsia" w:ascii="宋体" w:hAnsi="宋体" w:cs="宋体"/>
                <w:color w:val="auto"/>
                <w:szCs w:val="21"/>
                <w:highlight w:val="none"/>
                <w:lang w:val="zh-CN"/>
              </w:rPr>
              <w:t xml:space="preserve">年1月1日以来，参加相关机构组织的食品检测能力验证或市场监管部门组织的盲样考核，获得满意结果，</w:t>
            </w:r>
            <w:r>
              <w:rPr>
                <w:rFonts w:hint="eastAsia" w:ascii="宋体" w:hAnsi="宋体" w:cs="宋体"/>
                <w:color w:val="auto"/>
                <w:szCs w:val="21"/>
                <w:highlight w:val="none"/>
              </w:rPr>
              <w:t xml:space="preserve">具备全部9个领域，得4分；具备8个领域，得3分；具备7个领域，得</w:t>
            </w:r>
            <w:r>
              <w:rPr>
                <w:rFonts w:hint="eastAsia" w:ascii="宋体" w:hAnsi="宋体" w:cs="宋体"/>
                <w:color w:val="auto"/>
                <w:highlight w:val="none"/>
              </w:rPr>
              <w:t xml:space="preserve">2</w:t>
            </w:r>
            <w:r>
              <w:rPr>
                <w:rFonts w:hint="eastAsia" w:ascii="宋体" w:hAnsi="宋体" w:cs="宋体"/>
                <w:color w:val="auto"/>
                <w:szCs w:val="21"/>
                <w:highlight w:val="none"/>
              </w:rPr>
              <w:t xml:space="preserve">分；</w:t>
            </w:r>
            <w:r>
              <w:rPr>
                <w:rFonts w:hint="eastAsia" w:ascii="宋体" w:hAnsi="宋体" w:cs="宋体"/>
                <w:color w:val="auto"/>
                <w:highlight w:val="none"/>
              </w:rPr>
              <w:t xml:space="preserve">具备5-6个领域，得1分；</w:t>
            </w:r>
            <w:r>
              <w:rPr>
                <w:rFonts w:hint="eastAsia" w:ascii="宋体" w:hAnsi="宋体" w:cs="宋体"/>
                <w:color w:val="auto"/>
                <w:szCs w:val="21"/>
                <w:highlight w:val="none"/>
              </w:rPr>
              <w:t xml:space="preserve">其他不得分。（9个领域为：农药残留、兽药残留、重金属、真菌毒素、食品添加剂、非法添加、微生物、营养元素、动物源性成分）</w:t>
            </w:r>
            <w:r>
              <w:rPr>
                <w:rFonts w:hint="eastAsia" w:ascii="宋体" w:hAnsi="宋体" w:cs="宋体"/>
                <w:color w:val="auto"/>
                <w:szCs w:val="21"/>
                <w:highlight w:val="none"/>
              </w:rPr>
              <w:t xml:space="preserve">（</w:t>
            </w:r>
            <w:r>
              <w:rPr>
                <w:rFonts w:hint="eastAsia" w:ascii="宋体" w:hAnsi="宋体" w:cs="宋体"/>
                <w:b/>
                <w:bCs/>
                <w:color w:val="auto"/>
                <w:szCs w:val="21"/>
                <w:highlight w:val="none"/>
              </w:rPr>
              <w:t xml:space="preserve">须提供能力验证证书或相关文件</w:t>
            </w:r>
            <w:r>
              <w:rPr>
                <w:rFonts w:hint="eastAsia" w:ascii="宋体" w:hAnsi="宋体" w:cs="宋体"/>
                <w:b/>
                <w:bCs/>
                <w:color w:val="auto"/>
                <w:szCs w:val="21"/>
                <w:highlight w:val="none"/>
                <w:lang w:val="en-US" w:eastAsia="zh-CN"/>
              </w:rPr>
              <w:t xml:space="preserve">原件扫描</w:t>
            </w:r>
            <w:r>
              <w:rPr>
                <w:rFonts w:hint="eastAsia" w:ascii="宋体" w:hAnsi="宋体" w:cs="宋体"/>
                <w:b/>
                <w:bCs/>
                <w:color w:val="auto"/>
                <w:szCs w:val="21"/>
                <w:highlight w:val="none"/>
              </w:rPr>
              <w:t xml:space="preserve">上传系统加盖投标人公章）</w:t>
            </w:r>
            <w:r/>
          </w:p>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4、服务能力（2分）</w:t>
            </w:r>
            <w:r/>
          </w:p>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①投标人具有食品检测技术相关的专利的每项得 0.2分，最高得 1 分。</w:t>
            </w:r>
            <w:r/>
          </w:p>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②投标人参与过国家、行业、地方食品相关检查方法、标准制定或承担过市级及以上食品相关科研项目的，每有一个得0.2分，最高得1分。</w:t>
            </w:r>
            <w:r/>
          </w:p>
          <w:p>
            <w:pPr>
              <w:spacing w:line="440" w:lineRule="exact"/>
              <w:rPr>
                <w:rFonts w:ascii="宋体" w:hAnsi="宋体" w:cs="宋体"/>
                <w:color w:val="auto"/>
                <w:szCs w:val="21"/>
                <w:highlight w:val="none"/>
              </w:rPr>
            </w:pPr>
            <w:r>
              <w:rPr>
                <w:rFonts w:hint="eastAsia" w:ascii="宋体" w:hAnsi="宋体" w:cs="宋体"/>
                <w:b/>
                <w:bCs/>
                <w:color w:val="auto"/>
                <w:szCs w:val="21"/>
                <w:highlight w:val="none"/>
              </w:rPr>
              <w:t xml:space="preserve">（提供承担课题的合同书及其他相关证明材料上传系统加盖投标人公章）。</w:t>
            </w:r>
            <w:r/>
          </w:p>
        </w:tc>
      </w:tr>
      <w:tr>
        <w:trPr>
          <w:jc w:val="center"/>
          <w:trHeight w:val="20"/>
        </w:trPr>
        <w:tc>
          <w:tcPr>
            <w:shd w:val="clear" w:color="auto" w:fill="ffffff"/>
            <w:tcBorders>
              <w:top w:val="single" w:color="auto" w:sz="8" w:space="0"/>
              <w:left w:val="single" w:color="auto" w:sz="8" w:space="0"/>
              <w:bottom w:val="single" w:color="auto" w:sz="8" w:space="0"/>
              <w:right w:val="single" w:color="auto" w:sz="8" w:space="0"/>
            </w:tcBorders>
            <w:tcMar>
              <w:left w:w="108" w:type="dxa"/>
              <w:right w:w="108" w:type="dxa"/>
            </w:tcMar>
            <w:tcW w:w="1365" w:type="dxa"/>
            <w:vAlign w:val="center"/>
            <w:textDirection w:val="lrTb"/>
            <w:noWrap w:val="false"/>
          </w:tcPr>
          <w:p>
            <w:pPr>
              <w:jc w:val="center"/>
              <w:spacing w:line="440" w:lineRule="exact"/>
              <w:rPr>
                <w:rFonts w:ascii="宋体" w:hAnsi="宋体" w:cs="宋体"/>
                <w:color w:val="auto"/>
                <w:szCs w:val="21"/>
                <w:highlight w:val="none"/>
              </w:rPr>
            </w:pPr>
            <w:r>
              <w:rPr>
                <w:rFonts w:ascii="Times New Roman" w:hAnsi="Times New Roman" w:cs="Times New Roman"/>
                <w:color w:val="auto"/>
                <w:szCs w:val="21"/>
                <w:highlight w:val="none"/>
              </w:rPr>
              <w:t xml:space="preserve">企业经验及评价</w:t>
            </w:r>
            <w:r/>
          </w:p>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（11分）</w:t>
            </w:r>
            <w:r/>
          </w:p>
        </w:tc>
        <w:tc>
          <w:tcPr>
            <w:shd w:val="clear" w:color="auto" w:fill="ffffff"/>
            <w:tcBorders>
              <w:top w:val="single" w:color="auto" w:sz="8" w:space="0"/>
              <w:left w:val="single" w:color="auto" w:sz="8" w:space="0"/>
              <w:bottom w:val="single" w:color="auto" w:sz="8" w:space="0"/>
              <w:right w:val="single" w:color="auto" w:sz="8" w:space="0"/>
            </w:tcBorders>
            <w:tcMar>
              <w:left w:w="108" w:type="dxa"/>
              <w:right w:w="108" w:type="dxa"/>
            </w:tcMar>
            <w:tcW w:w="8364" w:type="dxa"/>
            <w:vAlign w:val="center"/>
            <w:textDirection w:val="lrTb"/>
            <w:noWrap w:val="false"/>
          </w:tcPr>
          <w:p>
            <w:pPr>
              <w:spacing w:line="440" w:lineRule="exact"/>
              <w:rPr>
                <w:rFonts w:ascii="Times New Roman" w:hAnsi="Times New Roman" w:cs="Times New Roman"/>
                <w:color w:val="auto"/>
                <w:szCs w:val="21"/>
                <w:highlight w:val="none"/>
              </w:rPr>
            </w:pPr>
            <w:r>
              <w:rPr>
                <w:rFonts w:hint="eastAsia" w:ascii="Times New Roman" w:hAnsi="Times New Roman" w:cs="Times New Roman"/>
                <w:color w:val="auto"/>
                <w:szCs w:val="21"/>
                <w:highlight w:val="none"/>
                <w:lang w:val="en-US" w:eastAsia="zh-CN"/>
              </w:rPr>
              <w:t xml:space="preserve">1</w:t>
            </w:r>
            <w:r>
              <w:rPr>
                <w:rFonts w:ascii="Times New Roman" w:hAnsi="Times New Roman" w:cs="Times New Roman"/>
                <w:color w:val="auto"/>
                <w:szCs w:val="21"/>
                <w:highlight w:val="none"/>
              </w:rPr>
              <w:t xml:space="preserve">、</w:t>
            </w:r>
            <w:r>
              <w:rPr>
                <w:rFonts w:hint="eastAsia" w:ascii="宋体" w:hAnsi="宋体" w:cs="宋体"/>
                <w:color w:val="auto"/>
                <w:szCs w:val="21"/>
                <w:highlight w:val="none"/>
              </w:rPr>
              <w:t xml:space="preserve">投标人自2023年以来承担过</w:t>
            </w:r>
            <w:r>
              <w:rPr>
                <w:rFonts w:hint="eastAsia" w:ascii="宋体" w:hAnsi="宋体" w:cs="宋体"/>
                <w:color w:val="auto"/>
                <w:szCs w:val="21"/>
                <w:highlight w:val="none"/>
                <w:lang w:eastAsia="zh-CN"/>
              </w:rPr>
              <w:t xml:space="preserve">市</w:t>
            </w:r>
            <w:r>
              <w:rPr>
                <w:rFonts w:hint="eastAsia" w:ascii="宋体" w:hAnsi="宋体" w:cs="宋体"/>
                <w:color w:val="auto"/>
                <w:szCs w:val="21"/>
                <w:highlight w:val="none"/>
              </w:rPr>
              <w:t xml:space="preserve">级及以上</w:t>
            </w:r>
            <w:r>
              <w:rPr>
                <w:rFonts w:ascii="Times New Roman" w:hAnsi="Times New Roman" w:cs="Times New Roman"/>
                <w:color w:val="auto"/>
                <w:szCs w:val="21"/>
                <w:highlight w:val="none"/>
              </w:rPr>
              <w:t xml:space="preserve">市场监管部门</w:t>
            </w:r>
            <w:r>
              <w:rPr>
                <w:rFonts w:hint="eastAsia" w:ascii="宋体" w:hAnsi="宋体" w:cs="宋体"/>
                <w:color w:val="auto"/>
                <w:szCs w:val="21"/>
                <w:highlight w:val="none"/>
              </w:rPr>
              <w:t xml:space="preserve">食品抽检任务得</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分，最高得6分。</w:t>
            </w:r>
            <w:r>
              <w:rPr>
                <w:rFonts w:hint="eastAsia" w:ascii="宋体" w:hAnsi="宋体" w:cs="宋体"/>
                <w:b/>
                <w:bCs/>
                <w:color w:val="auto"/>
                <w:szCs w:val="21"/>
                <w:highlight w:val="none"/>
              </w:rPr>
              <w:t xml:space="preserve">（需同时提供中标通知书、有效合同复印件、经费结算发票、政府采购网站中标公示截图证明四项相关证明材料，缺一不可，承检单位须与投标人一致，同一类型不可重复得分，未按照要求提供的不得分。)</w:t>
            </w:r>
            <w:r/>
          </w:p>
          <w:p>
            <w:pPr>
              <w:spacing w:line="440" w:lineRule="exact"/>
              <w:rPr>
                <w:rFonts w:ascii="宋体" w:hAnsi="宋体" w:cs="宋体"/>
                <w:color w:val="auto"/>
                <w:szCs w:val="21"/>
                <w:highlight w:val="none"/>
              </w:rPr>
            </w:pPr>
            <w:r>
              <w:rPr>
                <w:rFonts w:hint="eastAsia" w:ascii="Times New Roman" w:hAnsi="Times New Roman" w:cs="Times New Roman"/>
                <w:color w:val="auto"/>
                <w:spacing w:val="-2"/>
                <w:szCs w:val="21"/>
                <w:highlight w:val="none"/>
                <w:lang w:val="en-US" w:eastAsia="zh-CN"/>
              </w:rPr>
              <w:t xml:space="preserve">2</w:t>
            </w:r>
            <w:r>
              <w:rPr>
                <w:rFonts w:ascii="Times New Roman" w:hAnsi="Times New Roman" w:cs="Times New Roman"/>
                <w:color w:val="auto"/>
                <w:spacing w:val="-2"/>
                <w:szCs w:val="21"/>
                <w:highlight w:val="none"/>
              </w:rPr>
              <w:t xml:space="preserve">、投标人提供2023年以来在</w:t>
            </w:r>
            <w:r>
              <w:rPr>
                <w:rFonts w:hint="eastAsia" w:ascii="Times New Roman" w:hAnsi="Times New Roman" w:cs="Times New Roman"/>
                <w:color w:val="auto"/>
                <w:spacing w:val="-2"/>
                <w:szCs w:val="21"/>
                <w:highlight w:val="none"/>
                <w:lang w:eastAsia="zh-CN"/>
              </w:rPr>
              <w:t xml:space="preserve">市</w:t>
            </w:r>
            <w:r>
              <w:rPr>
                <w:rFonts w:ascii="Times New Roman" w:hAnsi="Times New Roman" w:cs="Times New Roman"/>
                <w:color w:val="auto"/>
                <w:spacing w:val="-2"/>
                <w:szCs w:val="21"/>
                <w:highlight w:val="none"/>
              </w:rPr>
              <w:t xml:space="preserve">级及以上</w:t>
            </w:r>
            <w:r>
              <w:rPr>
                <w:rFonts w:ascii="Times New Roman" w:hAnsi="Times New Roman" w:cs="Times New Roman"/>
                <w:color w:val="auto"/>
                <w:szCs w:val="21"/>
                <w:highlight w:val="none"/>
              </w:rPr>
              <w:t xml:space="preserve">市场监管部门</w:t>
            </w:r>
            <w:r>
              <w:rPr>
                <w:rFonts w:ascii="Times New Roman" w:hAnsi="Times New Roman" w:cs="Times New Roman"/>
                <w:color w:val="auto"/>
                <w:spacing w:val="-2"/>
                <w:szCs w:val="21"/>
                <w:highlight w:val="none"/>
              </w:rPr>
              <w:t xml:space="preserve">组织的承检机构综合考核中综合评价优秀（或90分（含）以上</w:t>
            </w:r>
            <w:r>
              <w:rPr>
                <w:rFonts w:hint="eastAsia" w:ascii="Times New Roman" w:hAnsi="Times New Roman" w:cs="Times New Roman"/>
                <w:color w:val="auto"/>
                <w:spacing w:val="-2"/>
                <w:szCs w:val="21"/>
                <w:highlight w:val="none"/>
                <w:lang w:val="en-US" w:eastAsia="zh-CN"/>
              </w:rPr>
              <w:t xml:space="preserve">或</w:t>
            </w:r>
            <w:r>
              <w:rPr>
                <w:rFonts w:ascii="Times New Roman" w:hAnsi="Times New Roman" w:cs="Times New Roman"/>
                <w:color w:val="auto"/>
                <w:spacing w:val="-2"/>
                <w:szCs w:val="21"/>
                <w:highlight w:val="none"/>
              </w:rPr>
              <w:t xml:space="preserve">A等次）的得</w:t>
            </w:r>
            <w:r>
              <w:rPr>
                <w:rFonts w:hint="eastAsia" w:ascii="Times New Roman" w:hAnsi="Times New Roman" w:cs="Times New Roman"/>
                <w:color w:val="auto"/>
                <w:spacing w:val="-2"/>
                <w:szCs w:val="21"/>
                <w:highlight w:val="none"/>
                <w:lang w:val="en-US" w:eastAsia="zh-CN"/>
              </w:rPr>
              <w:t xml:space="preserve">2</w:t>
            </w:r>
            <w:r>
              <w:rPr>
                <w:rFonts w:ascii="Times New Roman" w:hAnsi="Times New Roman" w:cs="Times New Roman"/>
                <w:color w:val="auto"/>
                <w:spacing w:val="-2"/>
                <w:szCs w:val="21"/>
                <w:highlight w:val="none"/>
              </w:rPr>
              <w:t xml:space="preserve">分，良好得</w:t>
            </w:r>
            <w:r>
              <w:rPr>
                <w:rFonts w:hint="eastAsia" w:ascii="Times New Roman" w:hAnsi="Times New Roman" w:cs="Times New Roman"/>
                <w:color w:val="auto"/>
                <w:spacing w:val="-2"/>
                <w:szCs w:val="21"/>
                <w:highlight w:val="none"/>
              </w:rPr>
              <w:t xml:space="preserve">1</w:t>
            </w:r>
            <w:r>
              <w:rPr>
                <w:rFonts w:ascii="Times New Roman" w:hAnsi="Times New Roman" w:cs="Times New Roman"/>
                <w:color w:val="auto"/>
                <w:spacing w:val="-2"/>
                <w:szCs w:val="21"/>
                <w:highlight w:val="none"/>
              </w:rPr>
              <w:t xml:space="preserve">分，其他等次不得分</w:t>
            </w:r>
            <w:r>
              <w:rPr>
                <w:rFonts w:hint="eastAsia" w:ascii="Times New Roman" w:hAnsi="Times New Roman" w:cs="Times New Roman"/>
                <w:color w:val="auto"/>
                <w:spacing w:val="-2"/>
                <w:szCs w:val="21"/>
                <w:highlight w:val="none"/>
                <w:lang w:eastAsia="zh-CN"/>
              </w:rPr>
              <w:t xml:space="preserve">，</w:t>
            </w:r>
            <w:r>
              <w:rPr>
                <w:rFonts w:ascii="Times New Roman" w:hAnsi="Times New Roman" w:cs="Times New Roman"/>
                <w:color w:val="auto"/>
                <w:spacing w:val="-2"/>
                <w:szCs w:val="21"/>
                <w:highlight w:val="none"/>
              </w:rPr>
              <w:t xml:space="preserve">满分5分。</w:t>
            </w:r>
            <w:r>
              <w:rPr>
                <w:rFonts w:ascii="Times New Roman" w:hAnsi="Times New Roman" w:cs="Times New Roman"/>
                <w:b/>
                <w:bCs/>
                <w:color w:val="auto"/>
                <w:szCs w:val="21"/>
                <w:highlight w:val="none"/>
              </w:rPr>
              <w:t xml:space="preserve">（须提供承担任务的合同、中标通知书及对应食品监管部门开具的相关证明材料扫描上传加盖公章，未提供相关证明材料的不得分，按照考核中成绩中最好的填报，同一类型不重复得分。中标通知书中的招标人、合同中的甲方、考核文件中组织方需一致，否则无效）</w:t>
            </w:r>
            <w:r/>
          </w:p>
        </w:tc>
      </w:tr>
      <w:tr>
        <w:trPr>
          <w:jc w:val="center"/>
          <w:trHeight w:val="20"/>
        </w:trPr>
        <w:tc>
          <w:tcPr>
            <w:shd w:val="clear" w:color="auto" w:fill="ffffff"/>
            <w:tcBorders>
              <w:top w:val="single" w:color="auto" w:sz="8" w:space="0"/>
              <w:left w:val="single" w:color="auto" w:sz="8" w:space="0"/>
              <w:bottom w:val="single" w:color="auto" w:sz="8" w:space="0"/>
              <w:right w:val="single" w:color="auto" w:sz="8" w:space="0"/>
            </w:tcBorders>
            <w:tcMar>
              <w:left w:w="108" w:type="dxa"/>
              <w:right w:w="108" w:type="dxa"/>
            </w:tcMar>
            <w:tcW w:w="1365" w:type="dxa"/>
            <w:vAlign w:val="center"/>
            <w:textDirection w:val="lrTb"/>
            <w:noWrap w:val="false"/>
          </w:tcPr>
          <w:p>
            <w:pPr>
              <w:jc w:val="center"/>
              <w:spacing w:line="440" w:lineRule="exact"/>
              <w:rPr>
                <w:rFonts w:ascii="宋体" w:hAnsi="宋体" w:cs="宋体"/>
                <w:color w:val="auto"/>
                <w:szCs w:val="21"/>
                <w:highlight w:val="none"/>
              </w:rPr>
            </w:pPr>
            <w:r>
              <w:rPr>
                <w:rFonts w:hint="eastAsia" w:ascii="Times New Roman" w:hAnsi="Times New Roman" w:cs="Times New Roman"/>
                <w:color w:val="auto"/>
                <w:szCs w:val="21"/>
                <w:highlight w:val="none"/>
              </w:rPr>
              <w:t xml:space="preserve">分析报告（5分）</w:t>
            </w:r>
            <w:r/>
          </w:p>
        </w:tc>
        <w:tc>
          <w:tcPr>
            <w:shd w:val="clear" w:color="auto" w:fill="ffffff"/>
            <w:tcBorders>
              <w:top w:val="single" w:color="auto" w:sz="8" w:space="0"/>
              <w:left w:val="single" w:color="auto" w:sz="8" w:space="0"/>
              <w:bottom w:val="single" w:color="auto" w:sz="8" w:space="0"/>
              <w:right w:val="single" w:color="auto" w:sz="8" w:space="0"/>
            </w:tcBorders>
            <w:tcMar>
              <w:left w:w="108" w:type="dxa"/>
              <w:right w:w="108" w:type="dxa"/>
            </w:tcMar>
            <w:tcW w:w="8364" w:type="dxa"/>
            <w:vAlign w:val="center"/>
            <w:textDirection w:val="lrTb"/>
            <w:noWrap w:val="false"/>
          </w:tcPr>
          <w:p>
            <w:pPr>
              <w:jc w:val="left"/>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根据投标人上一年度（202</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年）分析报告进行评分。</w:t>
            </w:r>
            <w:r/>
          </w:p>
          <w:p>
            <w:pPr>
              <w:jc w:val="left"/>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分析报告应包括但不限于任务抽检情况、结果分析、风险警示、工作建议等方面内容。</w:t>
            </w:r>
            <w:r/>
          </w:p>
          <w:p>
            <w:pPr>
              <w:jc w:val="left"/>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（1）分析报告内容全面、表述通俗易懂、风险提示清晰明确、建议切实可行，得 5 分；</w:t>
            </w:r>
            <w:r/>
          </w:p>
          <w:p>
            <w:pPr>
              <w:jc w:val="left"/>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（2）分析报告内容相对全面、表述较通俗、风险提示较明确、建议较可行，得 4 分；</w:t>
            </w:r>
            <w:r/>
          </w:p>
          <w:p>
            <w:pPr>
              <w:jc w:val="left"/>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（3）分析报告内容存在不足、表述难理解、风险提示模糊不明、建议缺乏可行性，得 3 分；</w:t>
            </w:r>
            <w:r/>
          </w:p>
          <w:p>
            <w:pPr>
              <w:jc w:val="left"/>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（4）分析报告内容严重不足、表述混乱、风险提示不明确、建议不可行，得 1 分；</w:t>
            </w:r>
            <w:r/>
          </w:p>
          <w:p>
            <w:pPr>
              <w:keepLines w:val="0"/>
              <w:keepNext w:val="0"/>
              <w:pageBreakBefore w:val="0"/>
              <w:spacing w:line="440" w:lineRule="exact"/>
              <w:widowControl w:val="off"/>
              <w:rPr>
                <w:rFonts w:ascii="宋体" w:hAnsi="宋体" w:cs="宋体"/>
                <w:color w:val="auto"/>
                <w:szCs w:val="21"/>
                <w:highlight w:val="none"/>
              </w:rPr>
            </w:pPr>
            <w:r>
              <w:rPr>
                <w:rFonts w:hint="eastAsia" w:ascii="宋体" w:hAnsi="宋体" w:eastAsia="宋体" w:cs="宋体"/>
                <w:color w:val="auto"/>
                <w:sz w:val="21"/>
                <w:szCs w:val="21"/>
                <w:highlight w:val="none"/>
              </w:rPr>
              <w:t xml:space="preserve">（5）其他或未提供的不得分。</w:t>
            </w:r>
            <w:r/>
          </w:p>
        </w:tc>
      </w:tr>
      <w:tr>
        <w:trPr>
          <w:jc w:val="center"/>
          <w:trHeight w:val="20"/>
        </w:trPr>
        <w:tc>
          <w:tcPr>
            <w:shd w:val="clear" w:color="auto" w:fill="ffffff"/>
            <w:tcBorders>
              <w:top w:val="single" w:color="auto" w:sz="8" w:space="0"/>
              <w:left w:val="single" w:color="auto" w:sz="8" w:space="0"/>
              <w:bottom w:val="single" w:color="auto" w:sz="8" w:space="0"/>
              <w:right w:val="single" w:color="auto" w:sz="8" w:space="0"/>
            </w:tcBorders>
            <w:tcMar>
              <w:left w:w="108" w:type="dxa"/>
              <w:right w:w="108" w:type="dxa"/>
            </w:tcMar>
            <w:tcW w:w="1365" w:type="dxa"/>
            <w:vAlign w:val="center"/>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响应时间</w:t>
            </w:r>
            <w:r/>
          </w:p>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（4分）</w:t>
            </w:r>
            <w:r/>
          </w:p>
        </w:tc>
        <w:tc>
          <w:tcPr>
            <w:shd w:val="clear" w:color="auto" w:fill="ffffff"/>
            <w:tcBorders>
              <w:top w:val="single" w:color="auto" w:sz="8" w:space="0"/>
              <w:left w:val="single" w:color="auto" w:sz="8" w:space="0"/>
              <w:bottom w:val="single" w:color="auto" w:sz="8" w:space="0"/>
              <w:right w:val="single" w:color="auto" w:sz="8" w:space="0"/>
            </w:tcBorders>
            <w:tcMar>
              <w:left w:w="108" w:type="dxa"/>
              <w:right w:w="108" w:type="dxa"/>
            </w:tcMar>
            <w:tcW w:w="8364" w:type="dxa"/>
            <w:vAlign w:val="center"/>
            <w:textDirection w:val="lrTb"/>
            <w:noWrap w:val="false"/>
          </w:tcPr>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接到采购人通知后响应时间（到采购单位）</w:t>
            </w:r>
            <w:r>
              <w:rPr>
                <w:rFonts w:hint="eastAsia" w:ascii="宋体" w:hAnsi="宋体" w:cs="宋体"/>
                <w:color w:val="auto"/>
                <w:szCs w:val="21"/>
                <w:highlight w:val="none"/>
                <w:lang w:eastAsia="zh-CN"/>
              </w:rPr>
              <w:t xml:space="preserve">开展应急响应工作</w:t>
            </w:r>
            <w:r>
              <w:rPr>
                <w:rFonts w:hint="eastAsia" w:ascii="宋体" w:hAnsi="宋体" w:cs="宋体"/>
                <w:color w:val="auto"/>
                <w:szCs w:val="21"/>
                <w:highlight w:val="none"/>
              </w:rPr>
              <w:t xml:space="preserve">（4分）</w:t>
            </w:r>
            <w:r/>
          </w:p>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投标人承诺响应时间1.5小时（含）以内得4分；</w:t>
            </w:r>
            <w:r/>
          </w:p>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投标人承诺响应时间1.5小时（不含）至2.5小时（含）的得3分；</w:t>
            </w:r>
            <w:r/>
          </w:p>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投标人承诺响应时间2.5小时（不含）至3.5小时（含）的得2分；</w:t>
            </w:r>
            <w:r/>
          </w:p>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投标人承诺响应时间3.5小时（不含）以上得1分。</w:t>
            </w:r>
            <w:r/>
          </w:p>
          <w:p>
            <w:pPr>
              <w:spacing w:line="440" w:lineRule="exact"/>
              <w:rPr>
                <w:rFonts w:ascii="宋体" w:hAnsi="宋体" w:cs="宋体"/>
                <w:color w:val="auto"/>
                <w:szCs w:val="21"/>
                <w:highlight w:val="none"/>
              </w:rPr>
            </w:pPr>
            <w:r>
              <w:rPr>
                <w:rFonts w:hint="eastAsia" w:ascii="宋体" w:hAnsi="宋体" w:cs="宋体"/>
                <w:b/>
                <w:bCs/>
                <w:color w:val="auto"/>
                <w:szCs w:val="21"/>
                <w:highlight w:val="none"/>
              </w:rPr>
              <w:t xml:space="preserve">（须提供承诺函原件，以驾车导航距离计算，投标人须提供实验室地址、导航电子地图工作时间段（8:00-18:00）从实验室地址到采购单位的导航截图作为参考依据，在投标文件中自行标距离，不得以直线距离计算，上传系统）</w:t>
            </w:r>
            <w:r/>
          </w:p>
        </w:tc>
      </w:tr>
    </w:tbl>
    <w:p>
      <w:pPr>
        <w:rPr>
          <w:rFonts w:ascii="黑体" w:eastAsia="黑体"/>
          <w:bCs/>
          <w:color w:val="auto"/>
          <w:sz w:val="44"/>
          <w:highlight w:val="none"/>
        </w:rPr>
      </w:pPr>
      <w:r>
        <w:rPr>
          <w:rFonts w:ascii="黑体" w:eastAsia="黑体"/>
          <w:bCs/>
          <w:color w:val="auto"/>
          <w:sz w:val="44"/>
          <w:highlight w:val="none"/>
        </w:rPr>
      </w:r>
      <w:r/>
    </w:p>
    <w:p>
      <w:pPr>
        <w:jc w:val="left"/>
        <w:spacing w:line="360" w:lineRule="auto"/>
        <w:tabs>
          <w:tab w:val="left" w:pos="3629" w:leader="none"/>
        </w:tabs>
        <w:rPr>
          <w:rFonts w:ascii="宋体" w:hAnsi="宋体"/>
          <w:color w:val="auto"/>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b/>
          <w:color w:val="auto"/>
          <w:highlight w:val="none"/>
        </w:rPr>
        <w:t xml:space="preserve">注：1、所有证书或证明材料需清晰可见，否则由各投标人承担由于材料原因导致的不利后果。2、严禁投标人在投标中提供虚假证明文件或虚假承诺，采购人有权在签订合同前核查拟派人员、相关配套设备设施和承诺履行情况，如发现存在虚假响应，取消其中标资格，采购人将依法追究因其虚假响应造成的损失及费用。</w:t>
      </w:r>
      <w:r/>
    </w:p>
    <w:p>
      <w:pPr>
        <w:pStyle w:val="974"/>
        <w:rPr>
          <w:rFonts w:ascii="宋体" w:hAnsi="宋体"/>
          <w:color w:val="auto"/>
          <w:highlight w:val="none"/>
        </w:rPr>
      </w:pPr>
      <w:r>
        <w:rPr>
          <w:rFonts w:ascii="宋体" w:hAnsi="宋体"/>
          <w:color w:val="auto"/>
          <w:highlight w:val="none"/>
        </w:rPr>
      </w:r>
      <w:r/>
    </w:p>
    <w:p>
      <w:pPr>
        <w:pStyle w:val="974"/>
        <w:jc w:val="center"/>
        <w:rPr>
          <w:rFonts w:ascii="宋体" w:hAnsi="宋体"/>
          <w:color w:val="auto"/>
          <w:highlight w:val="none"/>
        </w:rPr>
      </w:pPr>
      <w:r>
        <w:rPr>
          <w:rFonts w:hint="eastAsia" w:ascii="宋体" w:hAnsi="宋体"/>
          <w:color w:val="auto"/>
          <w:highlight w:val="none"/>
        </w:rPr>
        <w:t xml:space="preserve">第六章 投标文件格式 </w:t>
      </w:r>
      <w:r/>
    </w:p>
    <w:p>
      <w:pPr>
        <w:rPr>
          <w:rFonts w:ascii="黑体" w:eastAsia="黑体"/>
          <w:bCs/>
          <w:color w:val="auto"/>
          <w:sz w:val="44"/>
          <w:highlight w:val="none"/>
        </w:rPr>
      </w:pPr>
      <w:r>
        <w:rPr>
          <w:rFonts w:ascii="黑体" w:eastAsia="黑体"/>
          <w:bCs/>
          <w:color w:val="auto"/>
          <w:sz w:val="44"/>
          <w:highlight w:val="none"/>
        </w:rPr>
      </w:r>
      <w:r/>
    </w:p>
    <w:p>
      <w:pPr>
        <w:jc w:val="center"/>
        <w:rPr>
          <w:rFonts w:ascii="宋体" w:hAnsi="宋体"/>
          <w:b/>
          <w:color w:val="auto"/>
          <w:sz w:val="72"/>
          <w:highlight w:val="none"/>
        </w:rPr>
      </w:pPr>
      <w:r>
        <w:rPr>
          <w:rFonts w:hint="eastAsia" w:ascii="宋体" w:hAnsi="宋体"/>
          <w:b/>
          <w:color w:val="auto"/>
          <w:sz w:val="72"/>
          <w:highlight w:val="none"/>
        </w:rPr>
        <w:t xml:space="preserve">投  标  文  件</w:t>
      </w:r>
      <w:r/>
    </w:p>
    <w:p>
      <w:pPr>
        <w:jc w:val="center"/>
        <w:rPr>
          <w:rFonts w:ascii="宋体" w:hAnsi="宋体"/>
          <w:b/>
          <w:color w:val="auto"/>
          <w:sz w:val="72"/>
          <w:highlight w:val="none"/>
        </w:rPr>
      </w:pPr>
      <w:r>
        <w:rPr>
          <w:rFonts w:ascii="宋体" w:hAnsi="宋体"/>
          <w:b/>
          <w:color w:val="auto"/>
          <w:sz w:val="72"/>
          <w:highlight w:val="none"/>
        </w:rPr>
      </w:r>
      <w:r/>
    </w:p>
    <w:p>
      <w:pPr>
        <w:jc w:val="center"/>
        <w:rPr>
          <w:rFonts w:ascii="宋体" w:hAnsi="宋体"/>
          <w:b/>
          <w:color w:val="auto"/>
          <w:sz w:val="72"/>
          <w:highlight w:val="none"/>
        </w:rPr>
      </w:pPr>
      <w:r>
        <w:rPr>
          <w:rFonts w:ascii="宋体" w:hAnsi="宋体"/>
          <w:b/>
          <w:color w:val="auto"/>
          <w:sz w:val="72"/>
          <w:highlight w:val="none"/>
        </w:rPr>
      </w:r>
      <w:r/>
    </w:p>
    <w:p>
      <w:pPr>
        <w:jc w:val="center"/>
        <w:rPr>
          <w:rFonts w:ascii="宋体" w:hAnsi="宋体"/>
          <w:b/>
          <w:color w:val="auto"/>
          <w:sz w:val="36"/>
          <w:highlight w:val="none"/>
        </w:rPr>
      </w:pPr>
      <w:r>
        <w:rPr>
          <w:rFonts w:ascii="宋体" w:hAnsi="宋体"/>
          <w:b/>
          <w:color w:val="auto"/>
          <w:sz w:val="36"/>
          <w:highlight w:val="none"/>
        </w:rPr>
      </w:r>
      <w:r/>
    </w:p>
    <w:p>
      <w:pPr>
        <w:jc w:val="center"/>
        <w:rPr>
          <w:rFonts w:ascii="宋体" w:hAnsi="宋体"/>
          <w:b/>
          <w:color w:val="auto"/>
          <w:sz w:val="36"/>
          <w:highlight w:val="none"/>
        </w:rPr>
      </w:pPr>
      <w:r>
        <w:rPr>
          <w:rFonts w:ascii="宋体" w:hAnsi="宋体"/>
          <w:b/>
          <w:color w:val="auto"/>
          <w:sz w:val="36"/>
          <w:highlight w:val="none"/>
        </w:rPr>
      </w:r>
      <w:r/>
    </w:p>
    <w:p>
      <w:pPr>
        <w:jc w:val="center"/>
        <w:rPr>
          <w:rFonts w:ascii="宋体" w:hAnsi="宋体"/>
          <w:b/>
          <w:color w:val="auto"/>
          <w:sz w:val="36"/>
          <w:highlight w:val="none"/>
        </w:rPr>
      </w:pPr>
      <w:r>
        <w:rPr>
          <w:rFonts w:ascii="宋体" w:hAnsi="宋体"/>
          <w:b/>
          <w:color w:val="auto"/>
          <w:sz w:val="36"/>
          <w:highlight w:val="none"/>
        </w:rPr>
      </w:r>
      <w:r/>
    </w:p>
    <w:p>
      <w:pPr>
        <w:jc w:val="center"/>
        <w:rPr>
          <w:rFonts w:ascii="宋体" w:hAnsi="宋体"/>
          <w:b/>
          <w:color w:val="auto"/>
          <w:sz w:val="36"/>
          <w:highlight w:val="none"/>
        </w:rPr>
      </w:pPr>
      <w:r>
        <w:rPr>
          <w:rFonts w:ascii="宋体" w:hAnsi="宋体"/>
          <w:b/>
          <w:color w:val="auto"/>
          <w:sz w:val="36"/>
          <w:highlight w:val="none"/>
        </w:rPr>
      </w:r>
      <w:r/>
    </w:p>
    <w:p>
      <w:pPr>
        <w:rPr>
          <w:rFonts w:ascii="宋体" w:hAnsi="宋体"/>
          <w:b/>
          <w:color w:val="auto"/>
          <w:sz w:val="36"/>
          <w:highlight w:val="none"/>
        </w:rPr>
      </w:pPr>
      <w:r>
        <w:rPr>
          <w:rFonts w:ascii="宋体" w:hAnsi="宋体"/>
          <w:b/>
          <w:color w:val="auto"/>
          <w:sz w:val="36"/>
          <w:highlight w:val="none"/>
        </w:rPr>
      </w:r>
      <w:r/>
    </w:p>
    <w:p>
      <w:pPr>
        <w:jc w:val="center"/>
        <w:rPr>
          <w:rFonts w:ascii="宋体" w:hAnsi="宋体"/>
          <w:b/>
          <w:color w:val="auto"/>
          <w:sz w:val="36"/>
          <w:highlight w:val="none"/>
        </w:rPr>
      </w:pPr>
      <w:r>
        <w:rPr>
          <w:rFonts w:ascii="宋体" w:hAnsi="宋体"/>
          <w:b/>
          <w:color w:val="auto"/>
          <w:sz w:val="36"/>
          <w:highlight w:val="none"/>
        </w:rPr>
      </w:r>
      <w:r/>
    </w:p>
    <w:p>
      <w:pPr>
        <w:ind w:firstLine="1084"/>
        <w:rPr>
          <w:rFonts w:ascii="宋体" w:hAnsi="宋体"/>
          <w:b/>
          <w:color w:val="auto"/>
          <w:sz w:val="36"/>
          <w:highlight w:val="none"/>
        </w:rPr>
      </w:pPr>
      <w:r>
        <w:rPr>
          <w:rFonts w:hint="eastAsia" w:ascii="宋体" w:hAnsi="宋体"/>
          <w:b/>
          <w:color w:val="auto"/>
          <w:sz w:val="36"/>
          <w:highlight w:val="none"/>
        </w:rPr>
        <w:t xml:space="preserve">项 目 名 称：</w:t>
      </w:r>
      <w:r>
        <w:rPr>
          <w:rFonts w:hint="eastAsia" w:ascii="宋体" w:hAnsi="宋体"/>
          <w:b/>
          <w:color w:val="auto"/>
          <w:sz w:val="36"/>
          <w:highlight w:val="none"/>
          <w:u w:val="single"/>
        </w:rPr>
        <w:t xml:space="preserve">               </w:t>
      </w:r>
      <w:r/>
    </w:p>
    <w:p>
      <w:pPr>
        <w:ind w:firstLine="1084"/>
        <w:rPr>
          <w:rFonts w:ascii="宋体" w:hAnsi="宋体"/>
          <w:b/>
          <w:color w:val="auto"/>
          <w:sz w:val="36"/>
          <w:highlight w:val="none"/>
          <w:u w:val="single"/>
        </w:rPr>
      </w:pPr>
      <w:r>
        <w:rPr>
          <w:rFonts w:hint="eastAsia" w:ascii="宋体" w:hAnsi="宋体"/>
          <w:b/>
          <w:color w:val="auto"/>
          <w:sz w:val="36"/>
          <w:highlight w:val="none"/>
        </w:rPr>
        <w:t xml:space="preserve">招 标 编 号：</w:t>
      </w:r>
      <w:r>
        <w:rPr>
          <w:rFonts w:hint="eastAsia" w:ascii="宋体" w:hAnsi="宋体"/>
          <w:b/>
          <w:color w:val="auto"/>
          <w:sz w:val="36"/>
          <w:highlight w:val="none"/>
          <w:u w:val="single"/>
        </w:rPr>
        <w:t xml:space="preserve">               </w:t>
      </w:r>
      <w:r/>
    </w:p>
    <w:p>
      <w:pPr>
        <w:rPr>
          <w:rFonts w:ascii="宋体" w:hAnsi="宋体"/>
          <w:b/>
          <w:color w:val="auto"/>
          <w:sz w:val="36"/>
          <w:highlight w:val="none"/>
          <w:u w:val="single"/>
        </w:rPr>
      </w:pPr>
      <w:r>
        <w:rPr>
          <w:rFonts w:hint="eastAsia" w:ascii="宋体" w:hAnsi="宋体"/>
          <w:b/>
          <w:color w:val="auto"/>
          <w:sz w:val="36"/>
          <w:highlight w:val="none"/>
        </w:rPr>
        <w:t xml:space="preserve">      投标人名称 ：</w:t>
      </w:r>
      <w:r>
        <w:rPr>
          <w:rFonts w:hint="eastAsia" w:ascii="宋体" w:hAnsi="宋体"/>
          <w:b/>
          <w:color w:val="auto"/>
          <w:sz w:val="36"/>
          <w:highlight w:val="none"/>
          <w:u w:val="single"/>
        </w:rPr>
        <w:t xml:space="preserve">               </w:t>
      </w:r>
      <w:r/>
    </w:p>
    <w:p>
      <w:pPr>
        <w:rPr>
          <w:rFonts w:ascii="宋体" w:hAnsi="宋体"/>
          <w:b/>
          <w:color w:val="auto"/>
          <w:sz w:val="36"/>
          <w:highlight w:val="none"/>
          <w:u w:val="single"/>
        </w:rPr>
      </w:pPr>
      <w:r>
        <w:rPr>
          <w:rFonts w:hint="eastAsia" w:ascii="宋体" w:hAnsi="宋体"/>
          <w:b/>
          <w:color w:val="auto"/>
          <w:sz w:val="36"/>
          <w:highlight w:val="none"/>
        </w:rPr>
        <w:t xml:space="preserve">      日      期 ：</w:t>
      </w:r>
      <w:r>
        <w:rPr>
          <w:rFonts w:hint="eastAsia" w:ascii="宋体" w:hAnsi="宋体"/>
          <w:b/>
          <w:color w:val="auto"/>
          <w:sz w:val="36"/>
          <w:highlight w:val="none"/>
          <w:u w:val="single"/>
        </w:rPr>
        <w:t xml:space="preserve">               </w:t>
      </w:r>
      <w:r/>
    </w:p>
    <w:p>
      <w:pPr>
        <w:ind w:firstLine="1084"/>
        <w:rPr>
          <w:rFonts w:ascii="宋体" w:hAnsi="宋体"/>
          <w:b/>
          <w:color w:val="auto"/>
          <w:sz w:val="36"/>
          <w:highlight w:val="none"/>
        </w:rPr>
      </w:pPr>
      <w:r>
        <w:rPr>
          <w:rFonts w:hint="eastAsia" w:ascii="宋体" w:hAnsi="宋体"/>
          <w:b/>
          <w:color w:val="auto"/>
          <w:sz w:val="36"/>
          <w:highlight w:val="none"/>
        </w:rPr>
        <w:t xml:space="preserve">投  标  人：</w:t>
      </w:r>
      <w:r>
        <w:rPr>
          <w:rFonts w:hint="eastAsia" w:ascii="宋体" w:hAnsi="宋体"/>
          <w:b/>
          <w:color w:val="auto"/>
          <w:sz w:val="36"/>
          <w:highlight w:val="none"/>
          <w:u w:val="single"/>
        </w:rPr>
        <w:t xml:space="preserve">         </w:t>
      </w:r>
      <w:r>
        <w:rPr>
          <w:rFonts w:hint="eastAsia" w:ascii="宋体" w:hAnsi="宋体"/>
          <w:b/>
          <w:color w:val="auto"/>
          <w:sz w:val="36"/>
          <w:highlight w:val="none"/>
        </w:rPr>
        <w:t xml:space="preserve">（电子签章）</w:t>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jc w:val="center"/>
        <w:spacing w:line="440" w:lineRule="exact"/>
        <w:rPr>
          <w:rFonts w:ascii="宋体" w:hAnsi="宋体"/>
          <w:b/>
          <w:bCs/>
          <w:color w:val="auto"/>
          <w:sz w:val="32"/>
          <w:szCs w:val="32"/>
          <w:highlight w:val="none"/>
        </w:rPr>
      </w:pPr>
      <w:r>
        <w:rPr>
          <w:rFonts w:hint="eastAsia" w:ascii="宋体" w:hAnsi="宋体"/>
          <w:b/>
          <w:bCs/>
          <w:color w:val="auto"/>
          <w:sz w:val="32"/>
          <w:szCs w:val="32"/>
          <w:highlight w:val="none"/>
        </w:rPr>
        <w:t xml:space="preserve">投标主要文件目录</w:t>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一、资格审查响应对照表</w:t>
      </w:r>
      <w:r/>
    </w:p>
    <w:p>
      <w:pPr>
        <w:ind w:left="480"/>
        <w:spacing w:line="360" w:lineRule="auto"/>
        <w:rPr>
          <w:rFonts w:ascii="宋体" w:hAnsi="宋体"/>
          <w:color w:val="auto"/>
          <w:sz w:val="24"/>
          <w:highlight w:val="none"/>
        </w:rPr>
      </w:pPr>
      <w:r>
        <w:rPr>
          <w:rFonts w:hint="eastAsia" w:ascii="宋体" w:hAnsi="宋体"/>
          <w:color w:val="auto"/>
          <w:sz w:val="24"/>
          <w:highlight w:val="none"/>
        </w:rPr>
        <w:t xml:space="preserve">二、符合性审查响应对照表</w:t>
      </w:r>
      <w:r/>
    </w:p>
    <w:p>
      <w:pPr>
        <w:ind w:left="480"/>
        <w:spacing w:line="360" w:lineRule="auto"/>
        <w:rPr>
          <w:rFonts w:ascii="宋体" w:hAnsi="宋体"/>
          <w:color w:val="auto"/>
          <w:sz w:val="24"/>
          <w:highlight w:val="none"/>
        </w:rPr>
      </w:pPr>
      <w:r>
        <w:rPr>
          <w:rFonts w:hint="eastAsia" w:ascii="宋体" w:hAnsi="宋体"/>
          <w:color w:val="auto"/>
          <w:sz w:val="24"/>
          <w:highlight w:val="none"/>
        </w:rPr>
        <w:t xml:space="preserve">三、非实质性响应对照表</w:t>
      </w:r>
      <w:r/>
    </w:p>
    <w:p>
      <w:pPr>
        <w:ind w:firstLine="480"/>
        <w:spacing w:line="360" w:lineRule="auto"/>
        <w:rPr>
          <w:rFonts w:ascii="宋体" w:hAnsi="宋体"/>
          <w:b/>
          <w:bCs/>
          <w:color w:val="auto"/>
          <w:sz w:val="24"/>
          <w:highlight w:val="none"/>
        </w:rPr>
      </w:pPr>
      <w:r>
        <w:rPr>
          <w:rFonts w:hint="eastAsia" w:ascii="宋体" w:hAnsi="宋体"/>
          <w:color w:val="auto"/>
          <w:sz w:val="24"/>
          <w:highlight w:val="none"/>
        </w:rPr>
        <w:t xml:space="preserve">四</w:t>
      </w:r>
      <w:r>
        <w:rPr>
          <w:rFonts w:hint="eastAsia" w:ascii="宋体" w:hAnsi="宋体"/>
          <w:b/>
          <w:bCs/>
          <w:color w:val="auto"/>
          <w:sz w:val="24"/>
          <w:highlight w:val="none"/>
        </w:rPr>
        <w:t xml:space="preserve">、</w:t>
      </w:r>
      <w:r>
        <w:rPr>
          <w:rFonts w:hint="eastAsia" w:ascii="宋体" w:hAnsi="宋体"/>
          <w:i/>
          <w:color w:val="auto"/>
          <w:sz w:val="24"/>
          <w:highlight w:val="none"/>
          <w:u w:val="single"/>
        </w:rPr>
        <w:t xml:space="preserve">开标一览表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五、分项报价表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六</w:t>
      </w:r>
      <w:r>
        <w:rPr>
          <w:rFonts w:hint="eastAsia" w:ascii="宋体" w:hAnsi="宋体" w:cs="Courier New"/>
          <w:color w:val="auto"/>
          <w:sz w:val="24"/>
          <w:szCs w:val="24"/>
          <w:highlight w:val="none"/>
        </w:rPr>
        <w:t xml:space="preserve">、</w:t>
      </w:r>
      <w:r>
        <w:rPr>
          <w:rFonts w:hint="eastAsia" w:ascii="宋体" w:hAnsi="宋体"/>
          <w:color w:val="auto"/>
          <w:sz w:val="24"/>
          <w:szCs w:val="24"/>
          <w:highlight w:val="none"/>
        </w:rPr>
        <w:t xml:space="preserve">技术参数响应及偏离表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七、商务条款响应及偏离表</w:t>
      </w:r>
      <w:r/>
    </w:p>
    <w:p>
      <w:pPr>
        <w:ind w:firstLine="480"/>
        <w:spacing w:line="360" w:lineRule="auto"/>
        <w:rPr>
          <w:color w:val="auto"/>
          <w:sz w:val="36"/>
          <w:szCs w:val="36"/>
          <w:highlight w:val="none"/>
        </w:rPr>
      </w:pPr>
      <w:r>
        <w:rPr>
          <w:rFonts w:hint="eastAsia" w:ascii="宋体" w:hAnsi="宋体"/>
          <w:color w:val="auto"/>
          <w:sz w:val="24"/>
          <w:highlight w:val="none"/>
        </w:rPr>
        <w:t xml:space="preserve">八、其他 （投标人认为有必要提供的声明和文件，如有自拟并自行添加）</w:t>
      </w:r>
      <w:r/>
    </w:p>
    <w:p>
      <w:pPr>
        <w:contextualSpacing/>
        <w:jc w:val="center"/>
        <w:rPr>
          <w:rFonts w:ascii="宋体" w:hAnsi="宋体"/>
          <w:b/>
          <w:color w:val="auto"/>
          <w:sz w:val="72"/>
          <w:highlight w:val="none"/>
        </w:rPr>
      </w:pPr>
      <w:r>
        <w:rPr>
          <w:rFonts w:ascii="宋体" w:hAnsi="宋体"/>
          <w:b/>
          <w:color w:val="auto"/>
          <w:sz w:val="72"/>
          <w:highlight w:val="none"/>
        </w:rPr>
      </w:r>
      <w:r/>
    </w:p>
    <w:p>
      <w:pPr>
        <w:contextualSpacing/>
        <w:jc w:val="center"/>
        <w:spacing w:line="600" w:lineRule="exact"/>
        <w:rPr>
          <w:rFonts w:ascii="宋体" w:hAnsi="宋体"/>
          <w:b/>
          <w:color w:val="auto"/>
          <w:sz w:val="72"/>
          <w:highlight w:val="none"/>
        </w:rPr>
      </w:pPr>
      <w:r>
        <w:rPr>
          <w:rFonts w:ascii="宋体" w:hAnsi="宋体"/>
          <w:b/>
          <w:color w:val="auto"/>
          <w:sz w:val="72"/>
          <w:highlight w:val="none"/>
        </w:rPr>
      </w:r>
      <w:r/>
    </w:p>
    <w:p>
      <w:pPr>
        <w:contextualSpacing/>
        <w:jc w:val="center"/>
        <w:spacing w:line="600" w:lineRule="exact"/>
        <w:rPr>
          <w:rFonts w:ascii="宋体" w:hAnsi="宋体"/>
          <w:b/>
          <w:color w:val="auto"/>
          <w:sz w:val="72"/>
          <w:highlight w:val="none"/>
        </w:rPr>
      </w:pPr>
      <w:r>
        <w:rPr>
          <w:rFonts w:ascii="宋体" w:hAnsi="宋体"/>
          <w:b/>
          <w:color w:val="auto"/>
          <w:sz w:val="72"/>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rPr>
          <w:rFonts w:ascii="宋体" w:hAnsi="宋体"/>
          <w:b/>
          <w:color w:val="auto"/>
          <w:sz w:val="32"/>
          <w:szCs w:val="32"/>
          <w:highlight w:val="none"/>
        </w:rPr>
      </w:pPr>
      <w:r>
        <w:rPr>
          <w:rFonts w:ascii="宋体" w:hAnsi="宋体"/>
          <w:b/>
          <w:color w:val="auto"/>
          <w:sz w:val="32"/>
          <w:szCs w:val="32"/>
          <w:highlight w:val="none"/>
        </w:rPr>
      </w:r>
      <w:r/>
    </w:p>
    <w:p>
      <w:pPr>
        <w:pStyle w:val="975"/>
        <w:rPr>
          <w:rFonts w:ascii="宋体" w:hAnsi="宋体" w:eastAsia="宋体"/>
          <w:b w:val="0"/>
          <w:color w:val="auto"/>
          <w:sz w:val="32"/>
          <w:szCs w:val="32"/>
          <w:highlight w:val="none"/>
        </w:rPr>
      </w:pPr>
      <w:r>
        <w:rPr>
          <w:rFonts w:hint="eastAsia" w:ascii="宋体" w:hAnsi="宋体"/>
          <w:color w:val="auto"/>
          <w:sz w:val="32"/>
          <w:szCs w:val="32"/>
          <w:highlight w:val="none"/>
        </w:rPr>
        <w:br w:type="page" w:clear="all"/>
      </w:r>
      <w:r>
        <w:rPr>
          <w:rFonts w:hint="eastAsia" w:ascii="宋体" w:hAnsi="宋体" w:eastAsia="宋体"/>
          <w:color w:val="auto"/>
          <w:sz w:val="32"/>
          <w:highlight w:val="none"/>
        </w:rPr>
        <w:t xml:space="preserve">一、资格审查响应对照表</w:t>
      </w:r>
      <w:r/>
    </w:p>
    <w:tbl>
      <w:tblPr>
        <w:tblStyle w:val="766"/>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2158"/>
      </w:tblGrid>
      <w:tr>
        <w:trPr>
          <w:trHeight w:val="647"/>
        </w:trPr>
        <w:tc>
          <w:tcPr>
            <w:tcW w:w="646" w:type="dxa"/>
            <w:vAlign w:val="center"/>
            <w:textDirection w:val="lrTb"/>
            <w:noWrap w:val="false"/>
          </w:tcPr>
          <w:p>
            <w:pPr>
              <w:jc w:val="center"/>
              <w:spacing w:line="240" w:lineRule="atLeast"/>
              <w:rPr>
                <w:rFonts w:ascii="幼圆" w:eastAsia="幼圆"/>
                <w:b/>
                <w:color w:val="auto"/>
                <w:szCs w:val="21"/>
                <w:highlight w:val="none"/>
              </w:rPr>
            </w:pPr>
            <w:r>
              <w:rPr>
                <w:rFonts w:hint="eastAsia" w:ascii="幼圆" w:eastAsia="幼圆"/>
                <w:b/>
                <w:color w:val="auto"/>
                <w:szCs w:val="21"/>
                <w:highlight w:val="none"/>
              </w:rPr>
              <w:t xml:space="preserve">序号</w:t>
            </w:r>
            <w:r/>
          </w:p>
        </w:tc>
        <w:tc>
          <w:tcPr>
            <w:tcW w:w="5447" w:type="dxa"/>
            <w:vAlign w:val="center"/>
            <w:textDirection w:val="lrTb"/>
            <w:noWrap w:val="false"/>
          </w:tcPr>
          <w:p>
            <w:pPr>
              <w:jc w:val="center"/>
              <w:spacing w:line="240" w:lineRule="atLeast"/>
              <w:rPr>
                <w:rFonts w:ascii="幼圆" w:eastAsia="幼圆"/>
                <w:b/>
                <w:color w:val="auto"/>
                <w:szCs w:val="21"/>
                <w:highlight w:val="none"/>
              </w:rPr>
            </w:pPr>
            <w:r>
              <w:rPr>
                <w:rFonts w:hint="eastAsia" w:ascii="幼圆" w:eastAsia="幼圆"/>
                <w:b/>
                <w:color w:val="auto"/>
                <w:szCs w:val="21"/>
                <w:highlight w:val="none"/>
              </w:rPr>
              <w:t xml:space="preserve">资格审查响应内容</w:t>
            </w:r>
            <w:r/>
          </w:p>
        </w:tc>
        <w:tc>
          <w:tcPr>
            <w:tcW w:w="2158" w:type="dxa"/>
            <w:vAlign w:val="center"/>
            <w:textDirection w:val="lrTb"/>
            <w:noWrap w:val="false"/>
          </w:tcPr>
          <w:p>
            <w:pPr>
              <w:jc w:val="center"/>
              <w:spacing w:line="240" w:lineRule="atLeast"/>
              <w:rPr>
                <w:rFonts w:ascii="幼圆" w:eastAsia="幼圆"/>
                <w:b/>
                <w:color w:val="auto"/>
                <w:szCs w:val="21"/>
                <w:highlight w:val="none"/>
              </w:rPr>
            </w:pPr>
            <w:r>
              <w:rPr>
                <w:rFonts w:hint="eastAsia" w:ascii="幼圆" w:eastAsia="幼圆"/>
                <w:b/>
                <w:color w:val="auto"/>
                <w:szCs w:val="21"/>
                <w:highlight w:val="none"/>
              </w:rPr>
              <w:t xml:space="preserve">是否响应</w:t>
            </w:r>
            <w:r/>
          </w:p>
          <w:p>
            <w:pPr>
              <w:jc w:val="center"/>
              <w:spacing w:line="240" w:lineRule="atLeast"/>
              <w:rPr>
                <w:rFonts w:ascii="幼圆" w:eastAsia="幼圆"/>
                <w:b/>
                <w:color w:val="auto"/>
                <w:szCs w:val="21"/>
                <w:highlight w:val="none"/>
              </w:rPr>
            </w:pPr>
            <w:r>
              <w:rPr>
                <w:rFonts w:hint="eastAsia" w:ascii="幼圆" w:eastAsia="幼圆"/>
                <w:b/>
                <w:color w:val="auto"/>
                <w:szCs w:val="21"/>
                <w:highlight w:val="none"/>
              </w:rPr>
              <w:t xml:space="preserve">（填是或者否）</w:t>
            </w:r>
            <w:r/>
          </w:p>
        </w:tc>
      </w:tr>
      <w:tr>
        <w:trPr>
          <w:trHeight w:val="335"/>
        </w:trPr>
        <w:tc>
          <w:tcPr>
            <w:gridSpan w:val="3"/>
            <w:tcW w:w="8251" w:type="dxa"/>
            <w:vAlign w:val="center"/>
            <w:textDirection w:val="lrTb"/>
            <w:noWrap w:val="false"/>
          </w:tcPr>
          <w:p>
            <w:pPr>
              <w:rPr>
                <w:rFonts w:ascii="宋体" w:hAnsi="宋体"/>
                <w:b/>
                <w:color w:val="auto"/>
                <w:szCs w:val="21"/>
                <w:highlight w:val="none"/>
              </w:rPr>
            </w:pPr>
            <w:r>
              <w:rPr>
                <w:rFonts w:hint="eastAsia" w:ascii="宋体" w:hAnsi="宋体"/>
                <w:b/>
                <w:color w:val="auto"/>
                <w:szCs w:val="21"/>
                <w:highlight w:val="none"/>
              </w:rPr>
              <w:t xml:space="preserve">通用资格条件</w:t>
            </w:r>
            <w:r/>
          </w:p>
        </w:tc>
      </w:tr>
      <w:tr>
        <w:trPr>
          <w:trHeight w:val="761"/>
        </w:trPr>
        <w:tc>
          <w:tcPr>
            <w:tcW w:w="646" w:type="dxa"/>
            <w:vAlign w:val="center"/>
            <w:textDirection w:val="lrTb"/>
            <w:noWrap w:val="false"/>
          </w:tcPr>
          <w:p>
            <w:pPr>
              <w:jc w:val="center"/>
              <w:rPr>
                <w:rFonts w:ascii="宋体" w:hAnsi="宋体"/>
                <w:b/>
                <w:color w:val="auto"/>
                <w:szCs w:val="21"/>
                <w:highlight w:val="none"/>
              </w:rPr>
            </w:pPr>
            <w:r>
              <w:rPr>
                <w:rFonts w:hint="eastAsia" w:ascii="宋体" w:hAnsi="宋体"/>
                <w:color w:val="auto"/>
                <w:szCs w:val="21"/>
                <w:highlight w:val="none"/>
              </w:rPr>
              <w:t xml:space="preserve">1</w:t>
            </w:r>
            <w:r/>
          </w:p>
        </w:tc>
        <w:tc>
          <w:tcPr>
            <w:tcW w:w="5447"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法人或者其他组织的营业执照等证明文件，自然人的身份证明（身份证为正、反面）</w:t>
            </w:r>
            <w:r/>
          </w:p>
        </w:tc>
        <w:tc>
          <w:tcPr>
            <w:tcW w:w="2158"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r>
      <w:tr>
        <w:trPr>
          <w:trHeight w:val="585"/>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2</w:t>
            </w:r>
            <w:r/>
          </w:p>
        </w:tc>
        <w:tc>
          <w:tcPr>
            <w:tcW w:w="5447"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依法缴纳税收和社会保障资金的相关材料（提供提交投标文件截止时间前一年内至少一个月依法缴纳税收及缴纳社会保障资金的证明材料。供应商依法享受缓缴、免缴税收、社会保障资金的提供证明材料。）</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585"/>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3</w:t>
            </w:r>
            <w:r/>
          </w:p>
        </w:tc>
        <w:tc>
          <w:tcPr>
            <w:tcW w:w="5447"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上一年度的财务状况报告（成立不满一年不需提供）</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417"/>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4</w:t>
            </w:r>
            <w:r/>
          </w:p>
        </w:tc>
        <w:tc>
          <w:tcPr>
            <w:tcW w:w="5447"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具备履行合同所必需的设备和专业技术能力的证明材料</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780"/>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5</w:t>
            </w:r>
            <w:r/>
          </w:p>
        </w:tc>
        <w:tc>
          <w:tcPr>
            <w:tcW w:w="5447"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参加本次政府采购活动前3年内在经营活动中没有重大违法记录的书面声明</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780"/>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6</w:t>
            </w:r>
            <w:r/>
          </w:p>
        </w:tc>
        <w:tc>
          <w:tcPr>
            <w:tcW w:w="5447"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投标文件中无需提供证明材料）</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780"/>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7</w:t>
            </w:r>
            <w:r/>
          </w:p>
        </w:tc>
        <w:tc>
          <w:tcPr>
            <w:tcW w:w="5447"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供应商信用承诺函</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90"/>
        </w:trPr>
        <w:tc>
          <w:tcPr>
            <w:gridSpan w:val="3"/>
            <w:tcW w:w="8251" w:type="dxa"/>
            <w:vAlign w:val="center"/>
            <w:textDirection w:val="lrTb"/>
            <w:noWrap w:val="false"/>
          </w:tcPr>
          <w:p>
            <w:pPr>
              <w:rPr>
                <w:rFonts w:ascii="宋体" w:hAnsi="宋体"/>
                <w:color w:val="auto"/>
                <w:szCs w:val="21"/>
                <w:highlight w:val="none"/>
              </w:rPr>
            </w:pPr>
            <w:r>
              <w:rPr>
                <w:rFonts w:hint="eastAsia" w:ascii="宋体" w:hAnsi="宋体" w:cs="宋体"/>
                <w:b/>
                <w:bCs/>
                <w:color w:val="auto"/>
                <w:szCs w:val="21"/>
                <w:highlight w:val="none"/>
              </w:rPr>
              <w:t xml:space="preserve">落实政府采购政策需满足的资格要求</w:t>
            </w:r>
            <w:r/>
          </w:p>
        </w:tc>
      </w:tr>
      <w:tr>
        <w:trPr>
          <w:trHeight w:val="1410"/>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8</w:t>
            </w:r>
            <w:r/>
          </w:p>
        </w:tc>
        <w:tc>
          <w:tcPr>
            <w:tcW w:w="5447" w:type="dxa"/>
            <w:vAlign w:val="center"/>
            <w:textDirection w:val="lrTb"/>
            <w:noWrap w:val="false"/>
          </w:tcPr>
          <w:p>
            <w:pPr>
              <w:pStyle w:val="977"/>
              <w:rPr>
                <w:color w:val="auto"/>
                <w:highlight w:val="none"/>
              </w:rPr>
            </w:pPr>
            <w:r>
              <w:rPr>
                <w:rFonts w:hint="eastAsia" w:ascii="宋体" w:hAnsi="宋体" w:cs="宋体"/>
                <w:b w:val="0"/>
                <w:bCs w:val="0"/>
                <w:color w:val="auto"/>
                <w:sz w:val="21"/>
                <w:szCs w:val="21"/>
                <w:highlight w:val="none"/>
              </w:rPr>
              <w:t xml:space="preserve">根据《政府采购促进中小企业发展管理办法》（财库〔2020〕46 号），本项目对小型和微型企业、残疾人福利单位、监狱和戒毒企业提供的货物、服务给予20%的价格扣除。  </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400"/>
        </w:trPr>
        <w:tc>
          <w:tcPr>
            <w:gridSpan w:val="3"/>
            <w:tcW w:w="8251" w:type="dxa"/>
            <w:vAlign w:val="center"/>
            <w:textDirection w:val="lrTb"/>
            <w:noWrap w:val="false"/>
          </w:tcPr>
          <w:p>
            <w:pPr>
              <w:spacing w:line="360" w:lineRule="auto"/>
              <w:rPr>
                <w:rFonts w:ascii="宋体" w:hAnsi="宋体"/>
                <w:color w:val="auto"/>
                <w:szCs w:val="21"/>
                <w:highlight w:val="none"/>
              </w:rPr>
            </w:pPr>
            <w:r>
              <w:rPr>
                <w:rFonts w:hint="eastAsia" w:ascii="宋体" w:hAnsi="宋体"/>
                <w:b/>
                <w:color w:val="auto"/>
                <w:szCs w:val="21"/>
                <w:highlight w:val="none"/>
              </w:rPr>
              <w:t xml:space="preserve">特定资格条件</w:t>
            </w:r>
            <w:r/>
          </w:p>
        </w:tc>
      </w:tr>
      <w:tr>
        <w:trPr>
          <w:trHeight w:val="389"/>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9</w:t>
            </w:r>
            <w:r/>
          </w:p>
        </w:tc>
        <w:tc>
          <w:tcPr>
            <w:tcW w:w="5447" w:type="dxa"/>
            <w:vAlign w:val="center"/>
            <w:textDirection w:val="lrTb"/>
            <w:noWrap w:val="false"/>
          </w:tcPr>
          <w:p>
            <w:pPr>
              <w:spacing w:line="360" w:lineRule="auto"/>
              <w:rPr>
                <w:rFonts w:ascii="宋体" w:hAnsi="宋体"/>
                <w:iCs/>
                <w:color w:val="auto"/>
                <w:szCs w:val="21"/>
                <w:highlight w:val="none"/>
              </w:rPr>
            </w:pPr>
            <w:r>
              <w:rPr>
                <w:rFonts w:hint="eastAsia" w:ascii="宋体" w:hAnsi="宋体" w:cs="宋体"/>
                <w:iCs/>
                <w:color w:val="auto"/>
                <w:szCs w:val="21"/>
                <w:highlight w:val="none"/>
                <w:lang w:bidi="ar"/>
              </w:rPr>
              <w:t xml:space="preserve">供应商具有行政主管部门颁发的有效期内食品检验检测机构资质认定证书（提供有效证书原件扫描上传系统）。</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400"/>
        </w:trPr>
        <w:tc>
          <w:tcPr>
            <w:gridSpan w:val="3"/>
            <w:tcW w:w="8251" w:type="dxa"/>
            <w:vAlign w:val="center"/>
            <w:textDirection w:val="lrTb"/>
            <w:noWrap w:val="false"/>
          </w:tcPr>
          <w:p>
            <w:pPr>
              <w:rPr>
                <w:rFonts w:ascii="宋体" w:hAnsi="宋体"/>
                <w:color w:val="auto"/>
                <w:szCs w:val="21"/>
                <w:highlight w:val="none"/>
              </w:rPr>
            </w:pPr>
            <w:r>
              <w:rPr>
                <w:rFonts w:hint="eastAsia" w:ascii="宋体" w:hAnsi="宋体"/>
                <w:b/>
                <w:color w:val="auto"/>
                <w:szCs w:val="21"/>
                <w:highlight w:val="none"/>
              </w:rPr>
              <w:t xml:space="preserve">其他资格条件</w:t>
            </w:r>
            <w:r/>
          </w:p>
        </w:tc>
      </w:tr>
      <w:tr>
        <w:trPr>
          <w:trHeight w:val="400"/>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11</w:t>
            </w:r>
            <w:r/>
          </w:p>
        </w:tc>
        <w:tc>
          <w:tcPr>
            <w:tcW w:w="5447" w:type="dxa"/>
            <w:vAlign w:val="center"/>
            <w:textDirection w:val="lrTb"/>
            <w:noWrap w:val="false"/>
          </w:tcPr>
          <w:p>
            <w:pPr>
              <w:jc w:val="left"/>
              <w:spacing w:line="0" w:lineRule="atLeast"/>
              <w:rPr>
                <w:rFonts w:ascii="宋体" w:hAnsi="宋体"/>
                <w:iCs/>
                <w:color w:val="auto"/>
                <w:szCs w:val="21"/>
                <w:highlight w:val="none"/>
              </w:rPr>
            </w:pPr>
            <w:r>
              <w:rPr>
                <w:rFonts w:hint="eastAsia" w:ascii="宋体" w:hAnsi="宋体"/>
                <w:iCs/>
                <w:color w:val="auto"/>
                <w:szCs w:val="21"/>
                <w:highlight w:val="none"/>
              </w:rPr>
              <w:t xml:space="preserve">投标函</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400"/>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12</w:t>
            </w:r>
            <w:r/>
          </w:p>
        </w:tc>
        <w:tc>
          <w:tcPr>
            <w:tcW w:w="5447" w:type="dxa"/>
            <w:vAlign w:val="center"/>
            <w:textDirection w:val="lrTb"/>
            <w:noWrap w:val="false"/>
          </w:tcPr>
          <w:p>
            <w:pPr>
              <w:jc w:val="left"/>
              <w:spacing w:line="0" w:lineRule="atLeast"/>
              <w:rPr>
                <w:rFonts w:ascii="宋体" w:hAnsi="宋体"/>
                <w:iCs/>
                <w:color w:val="auto"/>
                <w:szCs w:val="21"/>
                <w:highlight w:val="none"/>
              </w:rPr>
            </w:pPr>
            <w:r>
              <w:rPr>
                <w:rFonts w:hint="eastAsia" w:ascii="宋体" w:hAnsi="宋体"/>
                <w:iCs/>
                <w:color w:val="auto"/>
                <w:szCs w:val="21"/>
                <w:highlight w:val="none"/>
              </w:rPr>
              <w:t xml:space="preserve">法人授权书</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bl>
    <w:p>
      <w:pPr>
        <w:ind w:firstLine="1476"/>
        <w:spacing w:before="156" w:after="156" w:line="360" w:lineRule="auto"/>
        <w:rPr>
          <w:rFonts w:ascii="宋体" w:hAnsi="宋体"/>
          <w:b/>
          <w:bCs/>
          <w:color w:val="auto"/>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b/>
          <w:bCs/>
          <w:color w:val="auto"/>
          <w:highlight w:val="none"/>
        </w:rPr>
      </w:r>
      <w:r/>
    </w:p>
    <w:p>
      <w:pPr>
        <w:ind w:firstLine="1476"/>
        <w:spacing w:before="156" w:after="156" w:line="360" w:lineRule="auto"/>
        <w:rPr>
          <w:rFonts w:ascii="宋体" w:hAnsi="宋体"/>
          <w:b/>
          <w:bCs/>
          <w:color w:val="auto"/>
          <w:highlight w:val="none"/>
        </w:rPr>
      </w:pPr>
      <w:r>
        <w:rPr>
          <w:rFonts w:hint="eastAsia" w:ascii="宋体" w:hAnsi="宋体"/>
          <w:b/>
          <w:bCs/>
          <w:color w:val="auto"/>
          <w:highlight w:val="none"/>
        </w:rPr>
        <w:t xml:space="preserve">具备履行合同所必需的设备和专业技术能力的书面声明</w:t>
      </w:r>
      <w:r/>
    </w:p>
    <w:p>
      <w:pPr>
        <w:ind w:firstLine="492"/>
        <w:spacing w:line="460" w:lineRule="exact"/>
        <w:rPr>
          <w:rFonts w:ascii="宋体" w:hAnsi="宋体"/>
          <w:bCs/>
          <w:color w:val="auto"/>
          <w:szCs w:val="21"/>
          <w:highlight w:val="none"/>
        </w:rPr>
      </w:pPr>
      <w:r>
        <w:rPr>
          <w:rFonts w:hint="eastAsia" w:ascii="宋体" w:hAnsi="宋体"/>
          <w:bCs/>
          <w:color w:val="auto"/>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color w:val="auto"/>
          <w:szCs w:val="21"/>
          <w:highlight w:val="none"/>
        </w:rPr>
      </w:pPr>
      <w:r>
        <w:rPr>
          <w:rFonts w:hint="eastAsia" w:ascii="宋体" w:hAnsi="宋体"/>
          <w:bCs/>
          <w:color w:val="auto"/>
          <w:szCs w:val="21"/>
          <w:highlight w:val="none"/>
        </w:rPr>
        <w:t xml:space="preserve">主要设备有：</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w:t>
      </w:r>
      <w:r/>
    </w:p>
    <w:p>
      <w:pPr>
        <w:ind w:firstLine="492"/>
        <w:spacing w:line="460" w:lineRule="exact"/>
        <w:rPr>
          <w:rFonts w:ascii="宋体" w:hAnsi="宋体"/>
          <w:bCs/>
          <w:color w:val="auto"/>
          <w:szCs w:val="21"/>
          <w:highlight w:val="none"/>
        </w:rPr>
      </w:pPr>
      <w:r>
        <w:rPr>
          <w:rFonts w:hint="eastAsia" w:ascii="宋体" w:hAnsi="宋体"/>
          <w:bCs/>
          <w:color w:val="auto"/>
          <w:szCs w:val="21"/>
          <w:highlight w:val="none"/>
        </w:rPr>
        <w:t xml:space="preserve">主要专业技术能力有：</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w:t>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pStyle w:val="977"/>
        <w:rPr>
          <w:color w:val="auto"/>
          <w:highlight w:val="none"/>
        </w:rPr>
      </w:pPr>
      <w:r>
        <w:rPr>
          <w:color w:val="auto"/>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jc w:val="center"/>
        <w:spacing w:line="360" w:lineRule="auto"/>
        <w:rPr>
          <w:rFonts w:ascii="宋体" w:hAnsi="宋体"/>
          <w:b/>
          <w:bCs/>
          <w:color w:val="auto"/>
          <w:highlight w:val="none"/>
        </w:rPr>
      </w:pPr>
      <w:r>
        <w:rPr>
          <w:rFonts w:hint="eastAsia" w:ascii="宋体" w:hAnsi="宋体"/>
          <w:b/>
          <w:bCs/>
          <w:color w:val="auto"/>
          <w:highlight w:val="none"/>
        </w:rPr>
        <w:t xml:space="preserve">参加本次政府采购活动前 3 年内在经营活动中没有重大违法记录的书面声明</w:t>
      </w:r>
      <w:r/>
    </w:p>
    <w:p>
      <w:pPr>
        <w:spacing w:line="360" w:lineRule="auto"/>
        <w:rPr>
          <w:rFonts w:ascii="宋体" w:hAnsi="宋体"/>
          <w:color w:val="auto"/>
          <w:highlight w:val="none"/>
        </w:rPr>
      </w:pPr>
      <w:r>
        <w:rPr>
          <w:rFonts w:ascii="宋体" w:hAnsi="宋体"/>
          <w:color w:val="auto"/>
          <w:highlight w:val="none"/>
        </w:rPr>
      </w:r>
      <w:r/>
    </w:p>
    <w:p>
      <w:pPr>
        <w:jc w:val="center"/>
        <w:spacing w:after="312" w:line="360" w:lineRule="auto"/>
        <w:rPr>
          <w:rFonts w:ascii="宋体" w:hAnsi="宋体"/>
          <w:b/>
          <w:bCs/>
          <w:color w:val="auto"/>
          <w:highlight w:val="none"/>
        </w:rPr>
      </w:pPr>
      <w:r>
        <w:rPr>
          <w:rFonts w:hint="eastAsia" w:ascii="宋体" w:hAnsi="宋体"/>
          <w:b/>
          <w:bCs/>
          <w:color w:val="auto"/>
          <w:highlight w:val="none"/>
        </w:rPr>
        <w:t xml:space="preserve">声  明</w:t>
      </w:r>
      <w:r/>
    </w:p>
    <w:p>
      <w:pPr>
        <w:spacing w:line="360" w:lineRule="auto"/>
        <w:rPr>
          <w:rFonts w:ascii="宋体" w:hAnsi="宋体"/>
          <w:bCs/>
          <w:color w:val="auto"/>
          <w:highlight w:val="none"/>
        </w:rPr>
      </w:pPr>
      <w:r>
        <w:rPr>
          <w:rFonts w:hint="eastAsia" w:ascii="宋体" w:hAnsi="宋体"/>
          <w:b/>
          <w:bCs/>
          <w:color w:val="auto"/>
          <w:highlight w:val="none"/>
        </w:rPr>
        <w:t xml:space="preserve">    </w:t>
      </w:r>
      <w:r>
        <w:rPr>
          <w:rFonts w:hint="eastAsia" w:ascii="宋体" w:hAnsi="宋体"/>
          <w:bCs/>
          <w:color w:val="auto"/>
          <w:highlight w:val="none"/>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ascii="宋体" w:hAnsi="宋体"/>
          <w:bCs/>
          <w:color w:val="auto"/>
          <w:highlight w:val="none"/>
        </w:rPr>
      </w:pPr>
      <w:r>
        <w:rPr>
          <w:rFonts w:hint="eastAsia" w:ascii="宋体" w:hAnsi="宋体"/>
          <w:bCs/>
          <w:color w:val="auto"/>
          <w:highlight w:val="none"/>
        </w:rPr>
        <w:t xml:space="preserve">                               供应商名称（公章）：</w:t>
      </w:r>
      <w:r/>
    </w:p>
    <w:p>
      <w:pPr>
        <w:spacing w:line="360" w:lineRule="auto"/>
        <w:rPr>
          <w:rFonts w:ascii="宋体" w:hAnsi="宋体"/>
          <w:bCs/>
          <w:color w:val="auto"/>
          <w:highlight w:val="none"/>
        </w:rPr>
      </w:pPr>
      <w:r>
        <w:rPr>
          <w:rFonts w:hint="eastAsia" w:ascii="宋体" w:hAnsi="宋体"/>
          <w:bCs/>
          <w:color w:val="auto"/>
          <w:highlight w:val="none"/>
        </w:rPr>
        <w:t xml:space="preserve">                               法定代表人签章：</w:t>
      </w:r>
      <w:r>
        <w:rPr>
          <w:rFonts w:hint="eastAsia" w:ascii="宋体" w:hAnsi="宋体"/>
          <w:bCs/>
          <w:color w:val="auto"/>
          <w:highlight w:val="none"/>
          <w:u w:val="single"/>
        </w:rPr>
        <w:t xml:space="preserve">_______________________</w:t>
      </w:r>
      <w:r/>
    </w:p>
    <w:p>
      <w:pPr>
        <w:spacing w:line="360" w:lineRule="auto"/>
        <w:rPr>
          <w:rFonts w:ascii="宋体" w:hAnsi="宋体"/>
          <w:bCs/>
          <w:color w:val="auto"/>
          <w:highlight w:val="none"/>
        </w:rPr>
      </w:pPr>
      <w:r>
        <w:rPr>
          <w:rFonts w:hint="eastAsia" w:ascii="宋体" w:hAnsi="宋体"/>
          <w:bCs/>
          <w:color w:val="auto"/>
          <w:highlight w:val="none"/>
        </w:rPr>
        <w:t xml:space="preserve">                               日期：</w:t>
      </w:r>
      <w:r>
        <w:rPr>
          <w:rFonts w:hint="eastAsia" w:ascii="宋体" w:hAnsi="宋体"/>
          <w:bCs/>
          <w:color w:val="auto"/>
          <w:highlight w:val="none"/>
          <w:u w:val="single"/>
        </w:rPr>
        <w:t xml:space="preserve">______</w:t>
      </w:r>
      <w:r>
        <w:rPr>
          <w:rFonts w:hint="eastAsia" w:ascii="宋体" w:hAnsi="宋体"/>
          <w:bCs/>
          <w:color w:val="auto"/>
          <w:highlight w:val="none"/>
        </w:rPr>
        <w:t xml:space="preserve">年</w:t>
      </w:r>
      <w:r>
        <w:rPr>
          <w:rFonts w:hint="eastAsia" w:ascii="宋体" w:hAnsi="宋体"/>
          <w:bCs/>
          <w:color w:val="auto"/>
          <w:highlight w:val="none"/>
          <w:u w:val="single"/>
        </w:rPr>
        <w:t xml:space="preserve">    </w:t>
      </w:r>
      <w:r>
        <w:rPr>
          <w:rFonts w:hint="eastAsia" w:ascii="宋体" w:hAnsi="宋体"/>
          <w:bCs/>
          <w:color w:val="auto"/>
          <w:highlight w:val="none"/>
        </w:rPr>
        <w:t xml:space="preserve">月</w:t>
      </w:r>
      <w:r>
        <w:rPr>
          <w:rFonts w:hint="eastAsia" w:ascii="宋体" w:hAnsi="宋体"/>
          <w:bCs/>
          <w:color w:val="auto"/>
          <w:highlight w:val="none"/>
          <w:u w:val="single"/>
        </w:rPr>
        <w:t xml:space="preserve">    </w:t>
      </w:r>
      <w:r>
        <w:rPr>
          <w:rFonts w:hint="eastAsia" w:ascii="宋体" w:hAnsi="宋体"/>
          <w:bCs/>
          <w:color w:val="auto"/>
          <w:highlight w:val="none"/>
        </w:rPr>
        <w:t xml:space="preserve">日</w:t>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440" w:lineRule="exact"/>
        <w:rPr>
          <w:rFonts w:ascii="方正仿宋_GBK"/>
          <w:color w:val="auto"/>
          <w:szCs w:val="32"/>
          <w:highlight w:val="none"/>
        </w:rPr>
      </w:pPr>
      <w:r>
        <w:rPr>
          <w:rFonts w:hint="eastAsia" w:ascii="宋体" w:hAnsi="宋体"/>
          <w:b/>
          <w:bCs/>
          <w:color w:val="auto"/>
          <w:highlight w:val="none"/>
        </w:rPr>
        <w:br w:type="page" w:clear="all"/>
      </w:r>
      <w:r>
        <w:rPr>
          <w:rFonts w:hint="eastAsia" w:ascii="宋体" w:hAnsi="宋体"/>
          <w:b/>
          <w:color w:val="auto"/>
          <w:szCs w:val="21"/>
          <w:highlight w:val="none"/>
        </w:rPr>
        <w:t xml:space="preserve">供应商信用承诺书</w:t>
      </w:r>
      <w:r/>
    </w:p>
    <w:p>
      <w:pPr>
        <w:spacing w:line="440" w:lineRule="exact"/>
        <w:rPr>
          <w:rFonts w:ascii="宋体" w:hAnsi="宋体"/>
          <w:color w:val="auto"/>
          <w:szCs w:val="21"/>
          <w:highlight w:val="none"/>
        </w:rPr>
      </w:pPr>
      <w:r>
        <w:rPr>
          <w:rFonts w:hint="eastAsia" w:ascii="宋体" w:hAnsi="宋体"/>
          <w:color w:val="auto"/>
          <w:szCs w:val="21"/>
          <w:highlight w:val="none"/>
        </w:rPr>
        <w:t xml:space="preserve">承诺主体名称：</w:t>
      </w:r>
      <w:r/>
    </w:p>
    <w:p>
      <w:pPr>
        <w:spacing w:line="440" w:lineRule="exact"/>
        <w:rPr>
          <w:rFonts w:ascii="宋体" w:hAnsi="宋体"/>
          <w:color w:val="auto"/>
          <w:szCs w:val="21"/>
          <w:highlight w:val="none"/>
        </w:rPr>
      </w:pPr>
      <w:r>
        <w:rPr>
          <w:rFonts w:hint="eastAsia" w:ascii="宋体" w:hAnsi="宋体"/>
          <w:color w:val="auto"/>
          <w:szCs w:val="21"/>
          <w:highlight w:val="none"/>
        </w:rPr>
        <w:t xml:space="preserve">统一社会信用代码：</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一、对提供给注册登记部门、行业管理部门、司法部门、行业组织以及在政府采购活动中提交的所有资料的合法性、真实性、准确性和有效性负责；</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三、严格依法开展生产经营活动，主动接受行业监管，自愿接受依法开展的日常检查；违法失信经营后将自愿接受约束和惩戒，并依法承担相应责任；</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四、自觉接受行政管理部门、行业组织、社会公众、新闻舆论的监督；</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五、自觉做到自我约束、自我管理，不制假售假、商标侵权、虚假宣传、违约毁约、恶意逃债、偷税漏税、垄断和不正当竞争，维护经营者、消费者的合法权益；</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六、提出政府采购质疑和投诉坚持依法依规、诚实信用原则，在全国范围12个月内没有三次以上查无实据的政府采购投诉；</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七、严格遵守信用信息公示相关规定，向社会公示信用信息；</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八、在“信用中国”和“中国政府采购网”网站中无违法违规、较重或严重失信记录；</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十、本承诺书自签订之日起生效。</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 （注：法定代表人或负责人、主体名称发生变更的应当重新做出承诺。）</w:t>
      </w:r>
      <w:r/>
    </w:p>
    <w:p>
      <w:pPr>
        <w:spacing w:line="440" w:lineRule="exact"/>
        <w:rPr>
          <w:rFonts w:ascii="宋体" w:hAnsi="宋体"/>
          <w:color w:val="auto"/>
          <w:szCs w:val="21"/>
          <w:highlight w:val="none"/>
        </w:rPr>
      </w:pPr>
      <w:r>
        <w:rPr>
          <w:rFonts w:ascii="宋体" w:hAnsi="宋体"/>
          <w:color w:val="auto"/>
          <w:szCs w:val="21"/>
          <w:highlight w:val="none"/>
        </w:rPr>
      </w:r>
      <w:r/>
    </w:p>
    <w:p>
      <w:pPr>
        <w:jc w:val="center"/>
        <w:spacing w:line="440" w:lineRule="exact"/>
        <w:rPr>
          <w:rFonts w:ascii="宋体" w:hAnsi="宋体"/>
          <w:color w:val="auto"/>
          <w:szCs w:val="21"/>
          <w:highlight w:val="none"/>
        </w:rPr>
      </w:pPr>
      <w:r>
        <w:rPr>
          <w:rFonts w:hint="eastAsia" w:ascii="宋体" w:hAnsi="宋体"/>
          <w:color w:val="auto"/>
          <w:szCs w:val="21"/>
          <w:highlight w:val="none"/>
        </w:rPr>
        <w:t xml:space="preserve">　　　　　　　　　　        承诺单位（签章）：           </w:t>
      </w:r>
      <w:r/>
    </w:p>
    <w:p>
      <w:pPr>
        <w:jc w:val="center"/>
        <w:spacing w:line="440" w:lineRule="exact"/>
        <w:rPr>
          <w:rFonts w:ascii="宋体" w:hAnsi="宋体"/>
          <w:color w:val="auto"/>
          <w:szCs w:val="21"/>
          <w:highlight w:val="none"/>
        </w:rPr>
      </w:pPr>
      <w:r>
        <w:rPr>
          <w:rFonts w:hint="eastAsia" w:ascii="宋体" w:hAnsi="宋体"/>
          <w:color w:val="auto"/>
          <w:szCs w:val="21"/>
          <w:highlight w:val="none"/>
        </w:rPr>
        <w:t xml:space="preserve">　　　　　　　　　   　  法定代表人（负责人）：</w:t>
      </w:r>
      <w:r/>
    </w:p>
    <w:p>
      <w:pPr>
        <w:jc w:val="center"/>
        <w:spacing w:line="440" w:lineRule="exact"/>
        <w:rPr>
          <w:rFonts w:ascii="宋体" w:hAnsi="宋体"/>
          <w:color w:val="auto"/>
          <w:szCs w:val="21"/>
          <w:highlight w:val="none"/>
        </w:rPr>
      </w:pPr>
      <w:r>
        <w:rPr>
          <w:rFonts w:hint="eastAsia" w:ascii="宋体" w:hAnsi="宋体"/>
          <w:color w:val="auto"/>
          <w:szCs w:val="21"/>
          <w:highlight w:val="none"/>
        </w:rPr>
        <w:t xml:space="preserve">　　　　　　　　　      　年    月    日</w:t>
      </w:r>
      <w:r/>
    </w:p>
    <w:p>
      <w:pPr>
        <w:spacing w:line="560" w:lineRule="exact"/>
        <w:rPr>
          <w:rFonts w:ascii="宋体" w:hAnsi="宋体" w:cs="宋体"/>
          <w:color w:val="auto"/>
          <w:szCs w:val="21"/>
          <w:highlight w:val="none"/>
        </w:rPr>
      </w:pPr>
      <w:r>
        <w:rPr>
          <w:rFonts w:ascii="宋体" w:hAnsi="宋体" w:cs="宋体"/>
          <w:color w:val="auto"/>
          <w:szCs w:val="21"/>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hint="eastAsia" w:ascii="宋体" w:hAnsi="宋体"/>
          <w:b/>
          <w:bCs/>
          <w:color w:val="auto"/>
          <w:highlight w:val="none"/>
        </w:rPr>
        <w:t xml:space="preserve">投标函格式</w:t>
      </w:r>
      <w:r/>
    </w:p>
    <w:p>
      <w:pPr>
        <w:pStyle w:val="1015"/>
        <w:ind w:firstLine="0"/>
        <w:spacing w:before="0" w:after="0"/>
        <w:rPr>
          <w:rFonts w:ascii="宋体" w:hAnsi="宋体"/>
          <w:color w:val="auto"/>
          <w:sz w:val="21"/>
          <w:szCs w:val="21"/>
          <w:highlight w:val="none"/>
        </w:rPr>
      </w:pPr>
      <w:r>
        <w:rPr>
          <w:rFonts w:hint="eastAsia" w:ascii="宋体" w:hAnsi="宋体"/>
          <w:color w:val="auto"/>
          <w:sz w:val="21"/>
          <w:szCs w:val="21"/>
          <w:highlight w:val="none"/>
        </w:rPr>
        <w:t xml:space="preserve">致：</w:t>
      </w:r>
      <w:r>
        <w:rPr>
          <w:rFonts w:hint="eastAsia" w:hAnsi="宋体"/>
          <w:color w:val="auto"/>
          <w:sz w:val="21"/>
          <w:highlight w:val="none"/>
        </w:rPr>
        <w:t xml:space="preserve">江苏汇诚投资咨询管理有限公司</w:t>
      </w:r>
      <w:r/>
    </w:p>
    <w:p>
      <w:pPr>
        <w:pStyle w:val="1015"/>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根据贵方的（）号招标文件，正式授权下述签字人_________________(姓名)代表我方______________（投标人的名称），全权处理本次项目投标的有关事宜。</w:t>
      </w:r>
      <w:r/>
    </w:p>
    <w:p>
      <w:pPr>
        <w:pStyle w:val="1015"/>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据此函，__________签字人（姓名）兹宣布同意如下：</w:t>
      </w:r>
      <w:r/>
    </w:p>
    <w:p>
      <w:pPr>
        <w:pStyle w:val="1015"/>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1.按招标文件规定的各项要求，向买方提供所需货物与服务。</w:t>
      </w:r>
      <w:r/>
    </w:p>
    <w:p>
      <w:pPr>
        <w:pStyle w:val="1015"/>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2.我们完全理解贵方不一定将合同授予最低报价的投标人。</w:t>
      </w:r>
      <w:r/>
    </w:p>
    <w:p>
      <w:pPr>
        <w:pStyle w:val="1015"/>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3.我们已详细审核全部招标文件及其有效补充文件，我们知道必须放弃提出含糊不清或误解问题的权利。</w:t>
      </w:r>
      <w:r/>
    </w:p>
    <w:p>
      <w:pPr>
        <w:pStyle w:val="1015"/>
        <w:spacing w:before="0" w:after="0"/>
        <w:rPr>
          <w:rFonts w:ascii="宋体" w:hAnsi="宋体"/>
          <w:color w:val="auto"/>
          <w:sz w:val="21"/>
          <w:szCs w:val="21"/>
          <w:highlight w:val="none"/>
        </w:rPr>
      </w:pPr>
      <w:r>
        <w:rPr>
          <w:rFonts w:hint="eastAsia" w:ascii="宋体" w:hAnsi="宋体"/>
          <w:color w:val="auto"/>
          <w:sz w:val="21"/>
          <w:szCs w:val="21"/>
          <w:highlight w:val="none"/>
        </w:rPr>
        <w:t xml:space="preserve">4.我们同意从规定的开标日期起遵循本投标文件，并在规定的投标有效期期满之前均具有约束力。</w:t>
      </w:r>
      <w:r/>
    </w:p>
    <w:p>
      <w:pPr>
        <w:pStyle w:val="1015"/>
        <w:spacing w:before="0" w:after="0"/>
        <w:rPr>
          <w:rFonts w:ascii="宋体" w:hAnsi="宋体"/>
          <w:color w:val="auto"/>
          <w:sz w:val="21"/>
          <w:szCs w:val="21"/>
          <w:highlight w:val="none"/>
        </w:rPr>
      </w:pPr>
      <w:r>
        <w:rPr>
          <w:rFonts w:hint="eastAsia" w:ascii="宋体" w:hAnsi="宋体"/>
          <w:color w:val="auto"/>
          <w:sz w:val="21"/>
          <w:szCs w:val="21"/>
          <w:highlight w:val="none"/>
        </w:rPr>
        <w:t xml:space="preserve">5.同意向贵方提供贵方可能另外要求的与投标有关的任何证据或资料，并保证我方已提供和将要提供的文件是真实的、准确的。</w:t>
      </w:r>
      <w:r/>
    </w:p>
    <w:p>
      <w:pPr>
        <w:pStyle w:val="1015"/>
        <w:spacing w:before="0" w:after="0"/>
        <w:rPr>
          <w:rFonts w:ascii="宋体" w:hAnsi="宋体"/>
          <w:color w:val="auto"/>
          <w:sz w:val="21"/>
          <w:szCs w:val="21"/>
          <w:highlight w:val="none"/>
        </w:rPr>
      </w:pPr>
      <w:r>
        <w:rPr>
          <w:rFonts w:hint="eastAsia" w:ascii="宋体" w:hAnsi="宋体"/>
          <w:color w:val="auto"/>
          <w:sz w:val="21"/>
          <w:szCs w:val="21"/>
          <w:highlight w:val="none"/>
        </w:rPr>
        <w:t xml:space="preserve">6.一旦我方中标,我方将根据招标文件的规定，严格履行合同的责任和义务,并保证在招标文件规定的时间完成项目，交付买方验收、使用。</w:t>
      </w:r>
      <w:r/>
    </w:p>
    <w:p>
      <w:pPr>
        <w:pStyle w:val="1015"/>
        <w:ind w:left="425" w:firstLine="105"/>
        <w:spacing w:before="0" w:after="0"/>
        <w:rPr>
          <w:rFonts w:ascii="宋体" w:hAnsi="宋体"/>
          <w:color w:val="auto"/>
          <w:sz w:val="21"/>
          <w:szCs w:val="21"/>
          <w:highlight w:val="none"/>
        </w:rPr>
      </w:pPr>
      <w:r>
        <w:rPr>
          <w:rFonts w:hint="eastAsia" w:ascii="宋体" w:hAnsi="宋体"/>
          <w:color w:val="auto"/>
          <w:sz w:val="21"/>
          <w:szCs w:val="21"/>
          <w:highlight w:val="none"/>
        </w:rPr>
        <w:t xml:space="preserve">7.与本投标有关的正式通讯地址为：</w:t>
      </w:r>
      <w:r/>
    </w:p>
    <w:p>
      <w:pPr>
        <w:pStyle w:val="1015"/>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地 址：</w:t>
      </w:r>
      <w:r/>
    </w:p>
    <w:p>
      <w:pPr>
        <w:pStyle w:val="1015"/>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邮 编：</w:t>
      </w:r>
      <w:r/>
    </w:p>
    <w:p>
      <w:pPr>
        <w:pStyle w:val="1015"/>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电 话： </w:t>
      </w:r>
      <w:r/>
    </w:p>
    <w:p>
      <w:pPr>
        <w:pStyle w:val="1015"/>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传 真： </w:t>
      </w:r>
      <w:r/>
    </w:p>
    <w:p>
      <w:pPr>
        <w:pStyle w:val="1015"/>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投标人开户行：</w:t>
      </w:r>
      <w:r/>
    </w:p>
    <w:p>
      <w:pPr>
        <w:pStyle w:val="1015"/>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账 户： </w:t>
      </w:r>
      <w:r/>
    </w:p>
    <w:p>
      <w:pPr>
        <w:pStyle w:val="1015"/>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行 号：</w:t>
      </w:r>
      <w:r/>
    </w:p>
    <w:p>
      <w:pPr>
        <w:pStyle w:val="1015"/>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日 期：________年____月____日</w:t>
      </w:r>
      <w:r/>
    </w:p>
    <w:p>
      <w:pPr>
        <w:contextualSpacing/>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rPr>
          <w:rFonts w:ascii="宋体" w:hAnsi="宋体"/>
          <w:b/>
          <w:color w:val="auto"/>
          <w:sz w:val="32"/>
          <w:szCs w:val="32"/>
          <w:highlight w:val="none"/>
        </w:rPr>
      </w:pPr>
      <w:r>
        <w:rPr>
          <w:rFonts w:hint="eastAsia" w:ascii="宋体" w:hAnsi="宋体"/>
          <w:b/>
          <w:color w:val="auto"/>
          <w:sz w:val="32"/>
          <w:szCs w:val="32"/>
          <w:highlight w:val="none"/>
        </w:rPr>
        <w:br w:type="page" w:clear="all"/>
      </w:r>
      <w:r/>
    </w:p>
    <w:p>
      <w:pPr>
        <w:pStyle w:val="995"/>
        <w:ind w:firstLine="422"/>
        <w:jc w:val="center"/>
        <w:spacing w:after="312" w:line="360" w:lineRule="auto"/>
        <w:rPr>
          <w:rFonts w:ascii="宋体" w:hAnsi="宋体"/>
          <w:b/>
          <w:color w:val="auto"/>
          <w:sz w:val="21"/>
          <w:szCs w:val="21"/>
          <w:highlight w:val="none"/>
        </w:rPr>
      </w:pPr>
      <w:r>
        <w:rPr>
          <w:rFonts w:hint="eastAsia" w:ascii="宋体" w:hAnsi="宋体"/>
          <w:b/>
          <w:color w:val="auto"/>
          <w:sz w:val="21"/>
          <w:szCs w:val="21"/>
          <w:highlight w:val="none"/>
        </w:rPr>
        <w:t xml:space="preserve">法人授权书</w:t>
      </w:r>
      <w:r/>
    </w:p>
    <w:p>
      <w:pPr>
        <w:pStyle w:val="995"/>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本授权书声明：</w:t>
      </w:r>
      <w:r>
        <w:rPr>
          <w:rFonts w:ascii="宋体" w:hAnsi="宋体"/>
          <w:color w:val="auto"/>
          <w:sz w:val="21"/>
          <w:szCs w:val="21"/>
          <w:highlight w:val="none"/>
        </w:rPr>
        <w:t xml:space="preserve">________________</w:t>
      </w:r>
      <w:r>
        <w:rPr>
          <w:rFonts w:hint="eastAsia" w:ascii="宋体" w:hAnsi="宋体"/>
          <w:color w:val="auto"/>
          <w:sz w:val="21"/>
          <w:szCs w:val="21"/>
          <w:highlight w:val="none"/>
        </w:rPr>
        <w:t xml:space="preserve">（投标人名称）授权</w:t>
      </w:r>
      <w:r>
        <w:rPr>
          <w:rFonts w:ascii="宋体" w:hAnsi="宋体"/>
          <w:color w:val="auto"/>
          <w:sz w:val="21"/>
          <w:szCs w:val="21"/>
          <w:highlight w:val="none"/>
        </w:rPr>
        <w:t xml:space="preserve">________________</w:t>
      </w:r>
      <w:r>
        <w:rPr>
          <w:rFonts w:hint="eastAsia" w:ascii="宋体" w:hAnsi="宋体"/>
          <w:color w:val="auto"/>
          <w:sz w:val="21"/>
          <w:szCs w:val="21"/>
          <w:highlight w:val="none"/>
        </w:rPr>
        <w:t xml:space="preserve">（被授权人的姓名）为我方就（项目编号）号（项目名称）项目采购活动的合法代理人，以本公司名义全权处理一切与该项目采购有关的事务。</w:t>
      </w:r>
      <w:r/>
    </w:p>
    <w:p>
      <w:pPr>
        <w:pStyle w:val="995"/>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本授权书于</w:t>
      </w:r>
      <w:r>
        <w:rPr>
          <w:rFonts w:ascii="宋体" w:hAnsi="宋体"/>
          <w:color w:val="auto"/>
          <w:sz w:val="21"/>
          <w:szCs w:val="21"/>
          <w:highlight w:val="none"/>
        </w:rPr>
        <w:t xml:space="preserve">______</w:t>
      </w:r>
      <w:r>
        <w:rPr>
          <w:rFonts w:hint="eastAsia" w:ascii="宋体" w:hAnsi="宋体"/>
          <w:color w:val="auto"/>
          <w:sz w:val="21"/>
          <w:szCs w:val="21"/>
          <w:highlight w:val="none"/>
        </w:rPr>
        <w:t xml:space="preserve">年</w:t>
      </w:r>
      <w:r>
        <w:rPr>
          <w:rFonts w:ascii="宋体" w:hAnsi="宋体"/>
          <w:color w:val="auto"/>
          <w:sz w:val="21"/>
          <w:szCs w:val="21"/>
          <w:highlight w:val="none"/>
        </w:rPr>
        <w:t xml:space="preserve">____</w:t>
      </w:r>
      <w:r>
        <w:rPr>
          <w:rFonts w:hint="eastAsia" w:ascii="宋体" w:hAnsi="宋体"/>
          <w:color w:val="auto"/>
          <w:sz w:val="21"/>
          <w:szCs w:val="21"/>
          <w:highlight w:val="none"/>
        </w:rPr>
        <w:t xml:space="preserve">月</w:t>
      </w:r>
      <w:r>
        <w:rPr>
          <w:rFonts w:ascii="宋体" w:hAnsi="宋体"/>
          <w:color w:val="auto"/>
          <w:sz w:val="21"/>
          <w:szCs w:val="21"/>
          <w:highlight w:val="none"/>
        </w:rPr>
        <w:t xml:space="preserve">____</w:t>
      </w:r>
      <w:r>
        <w:rPr>
          <w:rFonts w:hint="eastAsia" w:ascii="宋体" w:hAnsi="宋体"/>
          <w:color w:val="auto"/>
          <w:sz w:val="21"/>
          <w:szCs w:val="21"/>
          <w:highlight w:val="none"/>
        </w:rPr>
        <w:t xml:space="preserve">日起生效，特此声明。</w:t>
      </w:r>
      <w:r/>
    </w:p>
    <w:p>
      <w:pPr>
        <w:pStyle w:val="995"/>
        <w:ind w:firstLine="0"/>
        <w:spacing w:line="360" w:lineRule="auto"/>
        <w:rPr>
          <w:rFonts w:ascii="宋体" w:hAnsi="宋体"/>
          <w:color w:val="auto"/>
          <w:sz w:val="21"/>
          <w:szCs w:val="21"/>
          <w:highlight w:val="none"/>
        </w:rPr>
      </w:pPr>
      <w:r>
        <w:rPr>
          <w:rFonts w:ascii="宋体" w:hAnsi="宋体"/>
          <w:color w:val="auto"/>
          <w:sz w:val="21"/>
          <w:szCs w:val="21"/>
          <w:highlight w:val="none"/>
        </w:rPr>
        <w:t xml:space="preserve">    </w:t>
      </w:r>
      <w:r/>
    </w:p>
    <w:p>
      <w:pPr>
        <w:pStyle w:val="995"/>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被授权人姓名：</w:t>
      </w:r>
      <w:r>
        <w:rPr>
          <w:rFonts w:ascii="宋体" w:hAnsi="宋体"/>
          <w:color w:val="auto"/>
          <w:sz w:val="21"/>
          <w:szCs w:val="21"/>
          <w:highlight w:val="none"/>
        </w:rPr>
        <w:t xml:space="preserve">_____________________</w:t>
      </w:r>
      <w:r>
        <w:rPr>
          <w:rFonts w:hint="eastAsia" w:ascii="宋体" w:hAnsi="宋体"/>
          <w:color w:val="auto"/>
          <w:sz w:val="21"/>
          <w:szCs w:val="21"/>
          <w:highlight w:val="none"/>
          <w:u w:val="single"/>
        </w:rPr>
        <w:t xml:space="preserve">         </w:t>
      </w:r>
      <w:r>
        <w:rPr>
          <w:rFonts w:ascii="宋体" w:hAnsi="宋体"/>
          <w:color w:val="auto"/>
          <w:sz w:val="21"/>
          <w:szCs w:val="21"/>
          <w:highlight w:val="none"/>
        </w:rPr>
        <w:t xml:space="preserve">__</w:t>
      </w:r>
      <w:r>
        <w:rPr>
          <w:rFonts w:hint="eastAsia" w:ascii="宋体" w:hAnsi="宋体"/>
          <w:color w:val="auto"/>
          <w:sz w:val="21"/>
          <w:szCs w:val="21"/>
          <w:highlight w:val="none"/>
        </w:rPr>
        <w:t xml:space="preserve">     </w:t>
      </w:r>
      <w:r/>
    </w:p>
    <w:p>
      <w:pPr>
        <w:pStyle w:val="995"/>
        <w:ind w:firstLine="420"/>
        <w:spacing w:line="360" w:lineRule="auto"/>
        <w:rPr>
          <w:rFonts w:ascii="宋体" w:hAnsi="宋体"/>
          <w:color w:val="auto"/>
          <w:sz w:val="21"/>
          <w:szCs w:val="21"/>
          <w:highlight w:val="none"/>
          <w:u w:val="single"/>
        </w:rPr>
      </w:pPr>
      <w:r>
        <w:rPr>
          <w:rFonts w:hint="eastAsia" w:ascii="宋体" w:hAnsi="宋体"/>
          <w:color w:val="auto"/>
          <w:sz w:val="21"/>
          <w:szCs w:val="21"/>
          <w:highlight w:val="none"/>
        </w:rPr>
        <w:t xml:space="preserve">联系电话（手机）：</w:t>
      </w:r>
      <w:r>
        <w:rPr>
          <w:rFonts w:hint="eastAsia" w:ascii="宋体" w:hAnsi="宋体"/>
          <w:color w:val="auto"/>
          <w:sz w:val="21"/>
          <w:szCs w:val="21"/>
          <w:highlight w:val="none"/>
          <w:u w:val="single"/>
        </w:rPr>
        <w:t xml:space="preserve">                             </w:t>
      </w:r>
      <w:r/>
    </w:p>
    <w:p>
      <w:pPr>
        <w:pStyle w:val="995"/>
        <w:ind w:firstLine="0"/>
        <w:spacing w:line="360" w:lineRule="auto"/>
        <w:rPr>
          <w:rFonts w:ascii="宋体" w:hAnsi="宋体"/>
          <w:color w:val="auto"/>
          <w:sz w:val="21"/>
          <w:szCs w:val="21"/>
          <w:highlight w:val="none"/>
        </w:rPr>
      </w:pPr>
      <w:r>
        <w:rPr>
          <w:rFonts w:ascii="宋体" w:hAnsi="宋体"/>
          <w:color w:val="auto"/>
          <w:sz w:val="21"/>
          <w:szCs w:val="21"/>
          <w:highlight w:val="none"/>
        </w:rPr>
        <w:t xml:space="preserve">    </w:t>
      </w:r>
      <w:r>
        <w:rPr>
          <w:rFonts w:hint="eastAsia" w:ascii="宋体" w:hAnsi="宋体"/>
          <w:color w:val="auto"/>
          <w:sz w:val="21"/>
          <w:szCs w:val="21"/>
          <w:highlight w:val="none"/>
        </w:rPr>
        <w:t xml:space="preserve">单位名称：</w:t>
      </w:r>
      <w:r>
        <w:rPr>
          <w:rFonts w:ascii="宋体" w:hAnsi="宋体"/>
          <w:color w:val="auto"/>
          <w:sz w:val="21"/>
          <w:szCs w:val="21"/>
          <w:highlight w:val="none"/>
        </w:rPr>
        <w:t xml:space="preserve">____________________________________</w:t>
      </w:r>
      <w:r/>
    </w:p>
    <w:p>
      <w:pPr>
        <w:pStyle w:val="995"/>
        <w:ind w:firstLine="420"/>
        <w:spacing w:line="360" w:lineRule="auto"/>
        <w:rPr>
          <w:color w:val="auto"/>
          <w:sz w:val="21"/>
          <w:szCs w:val="21"/>
          <w:highlight w:val="none"/>
          <w:u w:val="single"/>
        </w:rPr>
      </w:pPr>
      <w:r>
        <w:rPr>
          <w:rFonts w:hint="eastAsia"/>
          <w:color w:val="auto"/>
          <w:sz w:val="21"/>
          <w:szCs w:val="21"/>
          <w:highlight w:val="none"/>
        </w:rPr>
        <w:t xml:space="preserve">单位地址：</w:t>
      </w:r>
      <w:r>
        <w:rPr>
          <w:color w:val="auto"/>
          <w:sz w:val="21"/>
          <w:szCs w:val="21"/>
          <w:highlight w:val="none"/>
          <w:u w:val="single"/>
        </w:rPr>
        <w:t xml:space="preserve">                                         </w:t>
      </w:r>
      <w:r/>
    </w:p>
    <w:p>
      <w:pPr>
        <w:pStyle w:val="995"/>
        <w:ind w:firstLine="420"/>
        <w:spacing w:line="360" w:lineRule="auto"/>
        <w:rPr>
          <w:color w:val="auto"/>
          <w:sz w:val="21"/>
          <w:szCs w:val="21"/>
          <w:highlight w:val="none"/>
        </w:rPr>
      </w:pPr>
      <w:r>
        <w:rPr>
          <w:rFonts w:hint="eastAsia"/>
          <w:color w:val="auto"/>
          <w:sz w:val="21"/>
          <w:szCs w:val="21"/>
          <w:highlight w:val="none"/>
        </w:rPr>
        <w:t xml:space="preserve">日期：</w:t>
      </w:r>
      <w:r>
        <w:rPr>
          <w:color w:val="auto"/>
          <w:sz w:val="21"/>
          <w:szCs w:val="21"/>
          <w:highlight w:val="none"/>
          <w:u w:val="single"/>
        </w:rPr>
        <w:t xml:space="preserve">                                         </w:t>
      </w:r>
      <w:r>
        <w:rPr>
          <w:color w:val="auto"/>
          <w:sz w:val="21"/>
          <w:szCs w:val="21"/>
          <w:highlight w:val="none"/>
        </w:rPr>
        <w:t xml:space="preserve"> </w:t>
      </w:r>
      <w:r/>
    </w:p>
    <w:p>
      <w:pPr>
        <w:spacing w:line="460" w:lineRule="exact"/>
        <w:rPr>
          <w:rFonts w:ascii="宋体" w:hAnsi="宋体"/>
          <w:bCs/>
          <w:color w:val="auto"/>
          <w:highlight w:val="none"/>
        </w:rPr>
      </w:pPr>
      <w:r>
        <w:rPr>
          <w:rFonts w:ascii="宋体" w:hAnsi="宋体"/>
          <w:bCs/>
          <w:color w:val="auto"/>
          <w:highlight w:val="none"/>
        </w:rPr>
      </w:r>
      <w:r/>
    </w:p>
    <w:p>
      <w:pPr>
        <w:spacing w:line="460" w:lineRule="exact"/>
        <w:rPr>
          <w:rFonts w:ascii="宋体" w:hAnsi="宋体"/>
          <w:bCs/>
          <w:color w:val="auto"/>
          <w:sz w:val="24"/>
          <w:highlight w:val="none"/>
        </w:rPr>
      </w:pPr>
      <w:r>
        <w:rPr>
          <w:rFonts w:ascii="宋体" w:hAnsi="宋体"/>
          <w:bCs/>
          <w:color w:val="auto"/>
          <w:sz w:val="24"/>
          <w:highlight w:val="none"/>
        </w:rPr>
      </w:r>
      <w:r/>
    </w:p>
    <w:p>
      <w:pPr>
        <w:ind w:firstLine="420"/>
        <w:spacing w:line="460" w:lineRule="exact"/>
        <w:rPr>
          <w:rFonts w:ascii="宋体" w:hAnsi="宋体"/>
          <w:bCs/>
          <w:color w:val="auto"/>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bCs/>
          <w:color w:val="auto"/>
          <w:highlight w:val="none"/>
        </w:rPr>
        <w:t xml:space="preserve">被授权人身份证复印件</w:t>
      </w:r>
      <w:r/>
    </w:p>
    <w:p>
      <w:pPr>
        <w:rPr>
          <w:rFonts w:ascii="宋体" w:hAnsi="宋体"/>
          <w:b/>
          <w:color w:val="auto"/>
          <w:sz w:val="32"/>
          <w:szCs w:val="32"/>
          <w:highlight w:val="none"/>
        </w:rPr>
      </w:pPr>
      <w:r>
        <w:rPr>
          <w:rFonts w:ascii="宋体" w:hAnsi="宋体"/>
          <w:b/>
          <w:color w:val="auto"/>
          <w:sz w:val="32"/>
          <w:szCs w:val="32"/>
          <w:highlight w:val="none"/>
        </w:rPr>
      </w:r>
      <w:r/>
    </w:p>
    <w:p>
      <w:pPr>
        <w:pStyle w:val="975"/>
        <w:rPr>
          <w:rFonts w:ascii="宋体" w:hAnsi="宋体" w:eastAsia="宋体"/>
          <w:color w:val="auto"/>
          <w:sz w:val="32"/>
          <w:highlight w:val="none"/>
        </w:rPr>
      </w:pPr>
      <w:r>
        <w:rPr>
          <w:rFonts w:hint="eastAsia" w:ascii="宋体" w:hAnsi="宋体" w:eastAsia="宋体"/>
          <w:color w:val="auto"/>
          <w:sz w:val="32"/>
          <w:highlight w:val="none"/>
        </w:rPr>
        <w:t xml:space="preserve">二、符合性审查响应对照表</w:t>
      </w:r>
      <w:r/>
    </w:p>
    <w:p>
      <w:pPr>
        <w:rPr>
          <w:rFonts w:ascii="宋体" w:hAnsi="宋体"/>
          <w:b/>
          <w:color w:val="auto"/>
          <w:sz w:val="32"/>
          <w:szCs w:val="32"/>
          <w:highlight w:val="none"/>
        </w:rPr>
      </w:pPr>
      <w:r>
        <w:rPr>
          <w:rFonts w:ascii="宋体" w:hAnsi="宋体"/>
          <w:b/>
          <w:color w:val="auto"/>
          <w:sz w:val="32"/>
          <w:szCs w:val="32"/>
          <w:highlight w:val="none"/>
        </w:rPr>
      </w:r>
      <w:r/>
    </w:p>
    <w:tbl>
      <w:tblPr>
        <w:tblStyle w:val="766"/>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序号</w:t>
            </w:r>
            <w:r/>
          </w:p>
        </w:tc>
        <w:tc>
          <w:tcPr>
            <w:tcW w:w="5447"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符合性审查响应内容</w:t>
            </w:r>
            <w:r/>
          </w:p>
        </w:tc>
        <w:tc>
          <w:tcPr>
            <w:tcW w:w="1680" w:type="dxa"/>
            <w:vAlign w:val="center"/>
            <w:textDirection w:val="lrTb"/>
            <w:noWrap w:val="false"/>
          </w:tcPr>
          <w:p>
            <w:pPr>
              <w:jc w:val="center"/>
              <w:spacing w:line="240" w:lineRule="atLeast"/>
              <w:rPr>
                <w:rFonts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（填是或者否）</w:t>
            </w:r>
            <w:r/>
          </w:p>
        </w:tc>
        <w:tc>
          <w:tcPr>
            <w:tcW w:w="1308"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响应情况</w:t>
            </w:r>
            <w:r/>
          </w:p>
        </w:tc>
      </w:tr>
      <w:tr>
        <w:trPr>
          <w:trHeight w:val="585"/>
        </w:trPr>
        <w:tc>
          <w:tcPr>
            <w:tcW w:w="646" w:type="dxa"/>
            <w:vAlign w:val="center"/>
            <w:textDirection w:val="lrTb"/>
            <w:noWrap w:val="false"/>
          </w:tcPr>
          <w:p>
            <w:pPr>
              <w:jc w:val="center"/>
              <w:rPr>
                <w:rFonts w:ascii="宋体" w:hAnsi="宋体"/>
                <w:b/>
                <w:color w:val="auto"/>
                <w:szCs w:val="21"/>
                <w:highlight w:val="none"/>
              </w:rPr>
            </w:pPr>
            <w:r>
              <w:rPr>
                <w:rFonts w:hint="eastAsia" w:ascii="宋体" w:hAnsi="宋体"/>
                <w:b/>
                <w:color w:val="auto"/>
                <w:szCs w:val="21"/>
                <w:highlight w:val="none"/>
              </w:rPr>
              <w:t xml:space="preserve">1</w:t>
            </w:r>
            <w:r/>
          </w:p>
        </w:tc>
        <w:tc>
          <w:tcPr>
            <w:tcW w:w="5447" w:type="dxa"/>
            <w:vAlign w:val="center"/>
            <w:textDirection w:val="lrTb"/>
            <w:noWrap w:val="false"/>
          </w:tcPr>
          <w:p>
            <w:pPr>
              <w:spacing w:line="0" w:lineRule="atLeast"/>
              <w:rPr>
                <w:rFonts w:ascii="宋体" w:hAnsi="宋体"/>
                <w:iCs/>
                <w:color w:val="auto"/>
                <w:szCs w:val="21"/>
                <w:highlight w:val="none"/>
              </w:rPr>
            </w:pPr>
            <w:r>
              <w:rPr>
                <w:rFonts w:hint="eastAsia" w:ascii="宋体" w:hAnsi="宋体"/>
                <w:iCs/>
                <w:color w:val="auto"/>
                <w:szCs w:val="21"/>
                <w:highlight w:val="none"/>
              </w:rPr>
              <w:t xml:space="preserve">采购需求中必须满足的实质性要求（即加斜体下划线内容，每条详细列出）</w:t>
            </w:r>
            <w:r/>
          </w:p>
        </w:tc>
        <w:tc>
          <w:tcPr>
            <w:tcW w:w="1680"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c>
          <w:tcPr>
            <w:tcW w:w="1308"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r>
      <w:tr>
        <w:trPr>
          <w:trHeight w:val="585"/>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2</w:t>
            </w:r>
            <w:r/>
          </w:p>
        </w:tc>
        <w:tc>
          <w:tcPr>
            <w:tcW w:w="5447" w:type="dxa"/>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r>
            <w:r/>
          </w:p>
        </w:tc>
        <w:tc>
          <w:tcPr>
            <w:tcW w:w="168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585"/>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3</w:t>
            </w:r>
            <w:r/>
          </w:p>
        </w:tc>
        <w:tc>
          <w:tcPr>
            <w:tcW w:w="5447" w:type="dxa"/>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r>
            <w:r/>
          </w:p>
        </w:tc>
        <w:tc>
          <w:tcPr>
            <w:tcW w:w="168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417"/>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4</w:t>
            </w:r>
            <w:r/>
          </w:p>
        </w:tc>
        <w:tc>
          <w:tcPr>
            <w:tcW w:w="5447" w:type="dxa"/>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r>
            <w:r/>
          </w:p>
        </w:tc>
        <w:tc>
          <w:tcPr>
            <w:tcW w:w="168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780"/>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5</w:t>
            </w:r>
            <w:r/>
          </w:p>
        </w:tc>
        <w:tc>
          <w:tcPr>
            <w:tcW w:w="5447" w:type="dxa"/>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t xml:space="preserve">……</w:t>
            </w:r>
            <w:r/>
          </w:p>
        </w:tc>
        <w:tc>
          <w:tcPr>
            <w:tcW w:w="168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bl>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pStyle w:val="975"/>
        <w:rPr>
          <w:rFonts w:ascii="宋体" w:hAnsi="宋体" w:eastAsia="宋体"/>
          <w:color w:val="auto"/>
          <w:sz w:val="32"/>
          <w:highlight w:val="none"/>
        </w:rPr>
      </w:pPr>
      <w:r>
        <w:rPr>
          <w:rFonts w:hint="eastAsia" w:ascii="宋体" w:hAnsi="宋体" w:eastAsia="宋体"/>
          <w:color w:val="auto"/>
          <w:sz w:val="32"/>
          <w:highlight w:val="none"/>
        </w:rPr>
        <w:t xml:space="preserve">三、非实质性响应对照表</w:t>
      </w:r>
      <w:r/>
    </w:p>
    <w:p>
      <w:pPr>
        <w:rPr>
          <w:rFonts w:ascii="宋体" w:hAnsi="宋体"/>
          <w:b/>
          <w:color w:val="auto"/>
          <w:sz w:val="32"/>
          <w:szCs w:val="32"/>
          <w:highlight w:val="none"/>
        </w:rPr>
      </w:pPr>
      <w:r>
        <w:rPr>
          <w:rFonts w:ascii="宋体" w:hAnsi="宋体"/>
          <w:b/>
          <w:color w:val="auto"/>
          <w:sz w:val="32"/>
          <w:szCs w:val="32"/>
          <w:highlight w:val="none"/>
        </w:rPr>
      </w:r>
      <w:r/>
    </w:p>
    <w:tbl>
      <w:tblPr>
        <w:tblStyle w:val="766"/>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序号</w:t>
            </w:r>
            <w:r/>
          </w:p>
        </w:tc>
        <w:tc>
          <w:tcPr>
            <w:tcW w:w="5447"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非实质性响应内容</w:t>
            </w:r>
            <w:r/>
          </w:p>
        </w:tc>
        <w:tc>
          <w:tcPr>
            <w:tcW w:w="1680" w:type="dxa"/>
            <w:vAlign w:val="center"/>
            <w:textDirection w:val="lrTb"/>
            <w:noWrap w:val="false"/>
          </w:tcPr>
          <w:p>
            <w:pPr>
              <w:jc w:val="center"/>
              <w:spacing w:line="240" w:lineRule="atLeast"/>
              <w:rPr>
                <w:rFonts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（填是或者否）</w:t>
            </w:r>
            <w:r/>
          </w:p>
        </w:tc>
        <w:tc>
          <w:tcPr>
            <w:tcW w:w="1308" w:type="dxa"/>
            <w:vAlign w:val="center"/>
            <w:textDirection w:val="lrTb"/>
            <w:noWrap w:val="false"/>
          </w:tcPr>
          <w:p>
            <w:pPr>
              <w:jc w:val="center"/>
              <w:spacing w:line="240" w:lineRule="atLeast"/>
              <w:rPr>
                <w:rFonts w:ascii="宋体" w:hAnsi="宋体" w:cs="宋体"/>
                <w:b/>
                <w:color w:val="auto"/>
                <w:szCs w:val="21"/>
                <w:highlight w:val="none"/>
              </w:rPr>
            </w:pPr>
            <w:r>
              <w:rPr>
                <w:rFonts w:hint="eastAsia" w:ascii="宋体" w:hAnsi="宋体" w:cs="宋体"/>
                <w:b/>
                <w:color w:val="auto"/>
                <w:szCs w:val="21"/>
                <w:highlight w:val="none"/>
              </w:rPr>
              <w:t xml:space="preserve">响应情况</w:t>
            </w:r>
            <w:r/>
          </w:p>
        </w:tc>
      </w:tr>
      <w:tr>
        <w:trPr>
          <w:trHeight w:val="585"/>
        </w:trPr>
        <w:tc>
          <w:tcPr>
            <w:tcW w:w="646" w:type="dxa"/>
            <w:vAlign w:val="center"/>
            <w:textDirection w:val="lrTb"/>
            <w:noWrap w:val="false"/>
          </w:tcPr>
          <w:p>
            <w:pPr>
              <w:jc w:val="center"/>
              <w:rPr>
                <w:rFonts w:ascii="宋体" w:hAnsi="宋体"/>
                <w:b/>
                <w:color w:val="auto"/>
                <w:szCs w:val="21"/>
                <w:highlight w:val="none"/>
              </w:rPr>
            </w:pPr>
            <w:r>
              <w:rPr>
                <w:rFonts w:hint="eastAsia" w:ascii="宋体" w:hAnsi="宋体"/>
                <w:color w:val="auto"/>
                <w:szCs w:val="21"/>
                <w:highlight w:val="none"/>
              </w:rPr>
              <w:t xml:space="preserve">1</w:t>
            </w:r>
            <w:r/>
          </w:p>
        </w:tc>
        <w:tc>
          <w:tcPr>
            <w:tcW w:w="5447" w:type="dxa"/>
            <w:vAlign w:val="center"/>
            <w:textDirection w:val="lrTb"/>
            <w:noWrap w:val="false"/>
          </w:tcPr>
          <w:p>
            <w:pPr>
              <w:spacing w:line="0" w:lineRule="atLeast"/>
              <w:rPr>
                <w:rFonts w:ascii="宋体" w:hAnsi="宋体"/>
                <w:iCs/>
                <w:color w:val="auto"/>
                <w:szCs w:val="21"/>
                <w:highlight w:val="none"/>
              </w:rPr>
            </w:pPr>
            <w:r>
              <w:rPr>
                <w:rFonts w:hint="eastAsia" w:ascii="宋体" w:hAnsi="宋体"/>
                <w:color w:val="auto"/>
                <w:szCs w:val="21"/>
                <w:highlight w:val="none"/>
              </w:rPr>
              <w:t xml:space="preserve">《残疾人福利性单位声明函》</w:t>
            </w:r>
            <w:r/>
          </w:p>
        </w:tc>
        <w:tc>
          <w:tcPr>
            <w:tcW w:w="1680"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c>
          <w:tcPr>
            <w:tcW w:w="1308"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r>
      <w:tr>
        <w:trPr>
          <w:trHeight w:val="585"/>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2</w:t>
            </w:r>
            <w:r/>
          </w:p>
        </w:tc>
        <w:tc>
          <w:tcPr>
            <w:tcW w:w="5447" w:type="dxa"/>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t xml:space="preserve">……</w:t>
            </w:r>
            <w:r/>
          </w:p>
        </w:tc>
        <w:tc>
          <w:tcPr>
            <w:tcW w:w="168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780"/>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3</w:t>
            </w:r>
            <w:r/>
          </w:p>
        </w:tc>
        <w:tc>
          <w:tcPr>
            <w:tcW w:w="5447" w:type="dxa"/>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t xml:space="preserve">……</w:t>
            </w:r>
            <w:r/>
          </w:p>
        </w:tc>
        <w:tc>
          <w:tcPr>
            <w:tcW w:w="168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bl>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rPr>
          <w:color w:val="auto"/>
          <w:highlight w:val="none"/>
        </w:rPr>
      </w:pPr>
      <w:r>
        <w:rPr>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center"/>
        <w:spacing w:before="312" w:after="312" w:line="360" w:lineRule="auto"/>
        <w:rPr>
          <w:b/>
          <w:bCs/>
          <w:color w:val="auto"/>
          <w:highlight w:val="none"/>
        </w:rPr>
      </w:pPr>
      <w:r>
        <w:rPr>
          <w:b/>
          <w:bCs/>
          <w:color w:val="auto"/>
          <w:highlight w:val="none"/>
        </w:rPr>
      </w:r>
      <w:r/>
    </w:p>
    <w:p>
      <w:pPr>
        <w:jc w:val="center"/>
        <w:spacing w:before="312" w:after="312" w:line="360" w:lineRule="auto"/>
        <w:rPr>
          <w:b/>
          <w:bCs/>
          <w:color w:val="auto"/>
          <w:highlight w:val="none"/>
        </w:rPr>
      </w:pPr>
      <w:r>
        <w:rPr>
          <w:b/>
          <w:bCs/>
          <w:color w:val="auto"/>
          <w:highlight w:val="none"/>
        </w:rPr>
      </w:r>
      <w:r/>
    </w:p>
    <w:p>
      <w:pPr>
        <w:jc w:val="center"/>
        <w:spacing w:before="312" w:after="312" w:line="360" w:lineRule="auto"/>
        <w:rPr>
          <w:b/>
          <w:bCs/>
          <w:color w:val="auto"/>
          <w:highlight w:val="none"/>
        </w:rPr>
      </w:pPr>
      <w:r>
        <w:rPr>
          <w:b/>
          <w:bCs/>
          <w:color w:val="auto"/>
          <w:highlight w:val="none"/>
        </w:rPr>
      </w:r>
      <w:r/>
    </w:p>
    <w:p>
      <w:pPr>
        <w:jc w:val="center"/>
        <w:spacing w:before="312" w:after="312" w:line="360" w:lineRule="auto"/>
        <w:rPr>
          <w:b/>
          <w:bCs/>
          <w:color w:val="auto"/>
          <w:highlight w:val="none"/>
        </w:rPr>
      </w:pPr>
      <w:r>
        <w:rPr>
          <w:rFonts w:hint="eastAsia"/>
          <w:b/>
          <w:bCs/>
          <w:color w:val="auto"/>
          <w:highlight w:val="none"/>
        </w:rPr>
        <w:t xml:space="preserve">中小企业声明函（工程、服务）</w:t>
      </w:r>
      <w:r/>
    </w:p>
    <w:p>
      <w:pPr>
        <w:ind w:firstLine="420"/>
        <w:jc w:val="left"/>
        <w:spacing w:line="360" w:lineRule="auto"/>
        <w:rPr>
          <w:color w:val="auto"/>
          <w:highlight w:val="none"/>
        </w:rPr>
      </w:pPr>
      <w:r>
        <w:rPr>
          <w:rFonts w:hint="eastAsia"/>
          <w:color w:val="auto"/>
          <w:highlight w:val="none"/>
        </w:rPr>
        <w:t xml:space="preserve">本公司（联合体）郑重声明，根据《政府采购促进中小企业发展管理办法》（财库﹝2020﹞46 号）的规定，本公司（联合体）参加</w:t>
      </w:r>
      <w:r>
        <w:rPr>
          <w:rFonts w:hint="eastAsia"/>
          <w:color w:val="auto"/>
          <w:highlight w:val="none"/>
          <w:u w:val="single"/>
        </w:rPr>
        <w:t xml:space="preserve">（单位名称）</w:t>
      </w:r>
      <w:r>
        <w:rPr>
          <w:rFonts w:hint="eastAsia"/>
          <w:color w:val="auto"/>
          <w:highlight w:val="none"/>
        </w:rPr>
        <w:t xml:space="preserve">的</w:t>
      </w:r>
      <w:r>
        <w:rPr>
          <w:rFonts w:hint="eastAsia"/>
          <w:color w:val="auto"/>
          <w:highlight w:val="none"/>
          <w:u w:val="single"/>
        </w:rPr>
        <w:t xml:space="preserve">（项目名称）</w:t>
      </w:r>
      <w:r>
        <w:rPr>
          <w:rFonts w:hint="eastAsia"/>
          <w:color w:val="auto"/>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360" w:lineRule="auto"/>
        <w:rPr>
          <w:color w:val="auto"/>
          <w:highlight w:val="none"/>
          <w:u w:val="single"/>
        </w:rPr>
      </w:pPr>
      <w:r>
        <w:rPr>
          <w:rFonts w:hint="eastAsia"/>
          <w:color w:val="auto"/>
          <w:highlight w:val="none"/>
        </w:rPr>
        <w:t xml:space="preserve">1. </w:t>
      </w:r>
      <w:r>
        <w:rPr>
          <w:rFonts w:hint="eastAsia"/>
          <w:color w:val="auto"/>
          <w:highlight w:val="none"/>
          <w:u w:val="single"/>
        </w:rPr>
        <w:t xml:space="preserve">（标的名称） </w:t>
      </w:r>
      <w:r>
        <w:rPr>
          <w:rFonts w:hint="eastAsia"/>
          <w:color w:val="auto"/>
          <w:highlight w:val="none"/>
        </w:rPr>
        <w:t xml:space="preserve">，属于</w:t>
      </w:r>
      <w:r>
        <w:rPr>
          <w:rFonts w:hint="eastAsia"/>
          <w:b/>
          <w:bCs/>
          <w:color w:val="auto"/>
          <w:highlight w:val="none"/>
          <w:u w:val="single"/>
        </w:rPr>
        <w:t xml:space="preserve">（其他未列明行业）</w:t>
      </w:r>
      <w:r>
        <w:rPr>
          <w:rFonts w:hint="eastAsia" w:ascii="宋体" w:hAnsi="宋体"/>
          <w:b/>
          <w:bCs/>
          <w:color w:val="auto"/>
          <w:highlight w:val="none"/>
          <w:u w:val="single"/>
        </w:rPr>
        <w:t xml:space="preserve">（不得对行业类别修改）</w:t>
      </w:r>
      <w:r>
        <w:rPr>
          <w:rFonts w:hint="eastAsia"/>
          <w:color w:val="auto"/>
          <w:highlight w:val="none"/>
        </w:rPr>
        <w:t xml:space="preserve">；承建（承接）企业为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w:t>
      </w:r>
      <w:r>
        <w:rPr>
          <w:color w:val="auto"/>
          <w:highlight w:val="none"/>
        </w:rPr>
        <w:fldChar w:fldCharType="begin"/>
      </w:r>
      <w:r>
        <w:rPr>
          <w:color w:val="auto"/>
          <w:highlight w:val="none"/>
        </w:rPr>
        <w:instrText xml:space="preserve"> HYPERLINK \l "br1" </w:instrText>
      </w:r>
      <w:r>
        <w:rPr>
          <w:color w:val="auto"/>
          <w:highlight w:val="none"/>
        </w:rPr>
        <w:fldChar w:fldCharType="separate"/>
      </w:r>
      <w:r>
        <w:rPr>
          <w:rFonts w:ascii="仿宋" w:eastAsia="Times New Roman"/>
          <w:color w:val="auto"/>
          <w:spacing w:val="-1"/>
          <w:highlight w:val="none"/>
          <w:vertAlign w:val="superscript"/>
        </w:rPr>
        <w:t xml:space="preserve">1</w:t>
      </w:r>
      <w:r>
        <w:rPr>
          <w:rFonts w:ascii="仿宋" w:eastAsia="Times New Roman"/>
          <w:color w:val="auto"/>
          <w:spacing w:val="-1"/>
          <w:highlight w:val="none"/>
          <w:vertAlign w:val="superscript"/>
        </w:rPr>
        <w:fldChar w:fldCharType="end"/>
      </w:r>
      <w:r>
        <w:rPr>
          <w:rFonts w:hint="eastAsia"/>
          <w:color w:val="auto"/>
          <w:highlight w:val="none"/>
        </w:rPr>
        <w:t xml:space="preserve">，属于</w:t>
      </w:r>
      <w:r>
        <w:rPr>
          <w:rFonts w:hint="eastAsia"/>
          <w:color w:val="auto"/>
          <w:highlight w:val="none"/>
          <w:u w:val="single"/>
        </w:rPr>
        <w:t xml:space="preserve">（中型企业、小型企业、微型企业）；</w:t>
      </w:r>
      <w:r/>
    </w:p>
    <w:p>
      <w:pPr>
        <w:ind w:firstLine="420"/>
        <w:jc w:val="left"/>
        <w:spacing w:line="360" w:lineRule="auto"/>
        <w:rPr>
          <w:color w:val="auto"/>
          <w:highlight w:val="none"/>
          <w:u w:val="single"/>
        </w:rPr>
      </w:pPr>
      <w:r>
        <w:rPr>
          <w:rFonts w:hint="eastAsia"/>
          <w:color w:val="auto"/>
          <w:highlight w:val="none"/>
        </w:rPr>
        <w:t xml:space="preserve">2. </w:t>
      </w:r>
      <w:r>
        <w:rPr>
          <w:rFonts w:hint="eastAsia"/>
          <w:color w:val="auto"/>
          <w:highlight w:val="none"/>
          <w:u w:val="single"/>
        </w:rPr>
        <w:t xml:space="preserve">（标的名称）</w:t>
      </w:r>
      <w:r>
        <w:rPr>
          <w:rFonts w:hint="eastAsia"/>
          <w:color w:val="auto"/>
          <w:highlight w:val="none"/>
        </w:rPr>
        <w:t xml:space="preserve"> ，属于</w:t>
      </w:r>
      <w:r>
        <w:rPr>
          <w:rFonts w:hint="eastAsia"/>
          <w:b/>
          <w:bCs/>
          <w:color w:val="auto"/>
          <w:highlight w:val="none"/>
          <w:u w:val="single"/>
        </w:rPr>
        <w:t xml:space="preserve">（其他未列明行业）（不得对行业类别修改）</w:t>
      </w:r>
      <w:r>
        <w:rPr>
          <w:rFonts w:hint="eastAsia"/>
          <w:color w:val="auto"/>
          <w:highlight w:val="none"/>
        </w:rPr>
        <w:t xml:space="preserve">；承建（承接）企业为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ind w:firstLine="420"/>
        <w:jc w:val="left"/>
        <w:spacing w:line="360" w:lineRule="auto"/>
        <w:rPr>
          <w:color w:val="auto"/>
          <w:highlight w:val="none"/>
        </w:rPr>
      </w:pPr>
      <w:r>
        <w:rPr>
          <w:rFonts w:hint="eastAsia"/>
          <w:color w:val="auto"/>
          <w:highlight w:val="none"/>
        </w:rPr>
        <w:t xml:space="preserve">……</w:t>
      </w:r>
      <w:r/>
    </w:p>
    <w:p>
      <w:pPr>
        <w:ind w:firstLine="420"/>
        <w:jc w:val="left"/>
        <w:spacing w:line="360" w:lineRule="auto"/>
        <w:rPr>
          <w:color w:val="auto"/>
          <w:highlight w:val="none"/>
        </w:rPr>
      </w:pPr>
      <w:r>
        <w:rPr>
          <w:rFonts w:hint="eastAsia"/>
          <w:color w:val="auto"/>
          <w:highlight w:val="none"/>
        </w:rPr>
        <w:t xml:space="preserve">以上企业，不属于大企业的分支机构，不存在控股股东为大企业的情形，也不存在与大企业的负责人为同一人的情形。</w:t>
      </w:r>
      <w:r/>
    </w:p>
    <w:p>
      <w:pPr>
        <w:ind w:firstLine="420"/>
        <w:jc w:val="left"/>
        <w:spacing w:line="360" w:lineRule="auto"/>
        <w:rPr>
          <w:color w:val="auto"/>
          <w:highlight w:val="none"/>
        </w:rPr>
      </w:pPr>
      <w:r>
        <w:rPr>
          <w:rFonts w:hint="eastAsia"/>
          <w:color w:val="auto"/>
          <w:highlight w:val="none"/>
        </w:rPr>
        <w:t xml:space="preserve">本企业对上述声明内容的真实性负责。如有虚假，将依法承担相应责任。</w:t>
      </w:r>
      <w:r/>
    </w:p>
    <w:p>
      <w:pPr>
        <w:ind w:firstLine="420"/>
        <w:jc w:val="left"/>
        <w:spacing w:line="360" w:lineRule="auto"/>
        <w:rPr>
          <w:color w:val="auto"/>
          <w:highlight w:val="none"/>
        </w:rPr>
      </w:pPr>
      <w:r>
        <w:rPr>
          <w:color w:val="auto"/>
          <w:highlight w:val="none"/>
        </w:rPr>
      </w:r>
      <w:r/>
    </w:p>
    <w:p>
      <w:pPr>
        <w:spacing w:line="360" w:lineRule="auto"/>
        <w:rPr>
          <w:rFonts w:ascii="宋体" w:hAnsi="宋体"/>
          <w:color w:val="auto"/>
          <w:highlight w:val="none"/>
        </w:rPr>
      </w:pPr>
      <w:r>
        <w:rPr>
          <w:rFonts w:hint="eastAsia" w:ascii="宋体" w:hAnsi="宋体"/>
          <w:color w:val="auto"/>
          <w:highlight w:val="none"/>
        </w:rPr>
        <w:t xml:space="preserve">注：1、</w:t>
      </w:r>
      <w:r>
        <w:rPr>
          <w:rFonts w:hint="eastAsia"/>
          <w:color w:val="auto"/>
          <w:highlight w:val="none"/>
        </w:rPr>
        <w:t xml:space="preserve">从业人员（不仅指在职职工）、营业收入、资产总额填报上一年度数据，无上一年度数据的新成立企业可不填报。</w:t>
      </w:r>
      <w:r/>
    </w:p>
    <w:p>
      <w:pPr>
        <w:ind w:firstLine="420"/>
        <w:spacing w:line="360" w:lineRule="auto"/>
        <w:rPr>
          <w:rFonts w:ascii="宋体" w:hAnsi="宋体"/>
          <w:color w:val="auto"/>
          <w:highlight w:val="none"/>
        </w:rPr>
      </w:pPr>
      <w:r>
        <w:rPr>
          <w:rFonts w:hint="eastAsia" w:ascii="宋体" w:hAnsi="宋体"/>
          <w:color w:val="auto"/>
          <w:highlight w:val="none"/>
        </w:rPr>
        <w:t xml:space="preserve">2、供应商如不提供此声明函，价格将不做相应扣除。</w:t>
      </w:r>
      <w:r/>
    </w:p>
    <w:p>
      <w:pPr>
        <w:spacing w:line="360" w:lineRule="auto"/>
        <w:rPr>
          <w:rFonts w:ascii="宋体" w:hAnsi="宋体"/>
          <w:color w:val="auto"/>
          <w:highlight w:val="none"/>
        </w:rPr>
      </w:pPr>
      <w:r>
        <w:rPr>
          <w:rFonts w:hint="eastAsia" w:ascii="宋体" w:hAnsi="宋体"/>
          <w:color w:val="auto"/>
          <w:highlight w:val="none"/>
        </w:rPr>
        <w:t xml:space="preserve">    3、企业声明函请完整填写，中标后将公示。</w:t>
      </w:r>
      <w:r/>
    </w:p>
    <w:p>
      <w:pPr>
        <w:ind w:firstLine="420"/>
        <w:jc w:val="left"/>
        <w:spacing w:line="360" w:lineRule="auto"/>
        <w:rPr>
          <w:color w:val="auto"/>
          <w:highlight w:val="none"/>
        </w:rPr>
      </w:pPr>
      <w:r>
        <w:rPr>
          <w:rFonts w:hint="eastAsia"/>
          <w:color w:val="auto"/>
          <w:highlight w:val="none"/>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jc w:val="left"/>
        <w:spacing w:line="360" w:lineRule="auto"/>
        <w:rPr>
          <w:color w:val="auto"/>
          <w:highlight w:val="none"/>
        </w:rPr>
      </w:pPr>
      <w:r>
        <w:rPr>
          <w:rFonts w:hint="eastAsia"/>
          <w:color w:val="auto"/>
          <w:highlight w:val="none"/>
        </w:rPr>
        <w:t xml:space="preserve">5、中小企业不得属于大企业的分支机构，不得存在控股股东为大企业的情形，不得存在与大企业的负责人为同一人的情形。</w:t>
      </w:r>
      <w:r/>
    </w:p>
    <w:p>
      <w:pPr>
        <w:ind w:firstLine="420"/>
        <w:jc w:val="left"/>
        <w:spacing w:line="360" w:lineRule="auto"/>
        <w:rPr>
          <w:color w:val="auto"/>
          <w:highlight w:val="none"/>
        </w:rPr>
      </w:pPr>
      <w:r>
        <w:rPr>
          <w:rFonts w:hint="eastAsia"/>
          <w:color w:val="auto"/>
          <w:highlight w:val="none"/>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4620"/>
        <w:jc w:val="left"/>
        <w:spacing w:line="360" w:lineRule="auto"/>
        <w:rPr>
          <w:color w:val="auto"/>
          <w:highlight w:val="none"/>
        </w:rPr>
      </w:pPr>
      <w:r>
        <w:rPr>
          <w:rFonts w:hint="eastAsia"/>
          <w:color w:val="auto"/>
          <w:highlight w:val="none"/>
        </w:rPr>
        <w:t xml:space="preserve">企业名称（盖章）：</w:t>
      </w:r>
      <w:r/>
    </w:p>
    <w:p>
      <w:pPr>
        <w:ind w:firstLine="4620"/>
        <w:jc w:val="left"/>
        <w:spacing w:line="360" w:lineRule="auto"/>
        <w:rPr>
          <w:rFonts w:ascii="宋体" w:hAnsi="宋体" w:cs="微软雅黑"/>
          <w:color w:val="auto"/>
          <w:szCs w:val="21"/>
          <w:highlight w:val="none"/>
        </w:rPr>
      </w:pPr>
      <w:r>
        <w:rPr>
          <w:rFonts w:hint="eastAsia"/>
          <w:color w:val="auto"/>
          <w:highlight w:val="none"/>
        </w:rPr>
        <w:t xml:space="preserve">日 期：</w:t>
      </w:r>
      <w:r/>
    </w:p>
    <w:p>
      <w:pPr>
        <w:pStyle w:val="975"/>
        <w:spacing w:before="300" w:after="300" w:line="360" w:lineRule="auto"/>
        <w:widowControl/>
        <w:rPr>
          <w:rFonts w:ascii="宋体" w:hAnsi="宋体" w:eastAsia="宋体"/>
          <w:color w:val="auto"/>
          <w:sz w:val="21"/>
          <w:szCs w:val="21"/>
          <w:highlight w:val="none"/>
        </w:rPr>
      </w:pPr>
      <w:r>
        <w:rPr>
          <w:rFonts w:hint="eastAsia" w:ascii="宋体" w:hAnsi="宋体" w:eastAsia="宋体" w:cs="微软雅黑"/>
          <w:bCs w:val="0"/>
          <w:color w:val="auto"/>
          <w:sz w:val="21"/>
          <w:szCs w:val="21"/>
          <w:highlight w:val="none"/>
        </w:rPr>
        <w:t xml:space="preserve">中小微企业划型标准 </w:t>
      </w:r>
      <w:r/>
    </w:p>
    <w:p>
      <w:pPr>
        <w:pStyle w:val="1002"/>
        <w:ind w:firstLine="420"/>
        <w:spacing w:before="300" w:after="452" w:line="360" w:lineRule="auto"/>
        <w:widowControl/>
        <w:rPr>
          <w:rFonts w:ascii="宋体" w:hAnsi="宋体"/>
          <w:color w:val="auto"/>
          <w:sz w:val="21"/>
          <w:szCs w:val="21"/>
          <w:highlight w:val="none"/>
        </w:rPr>
      </w:pPr>
      <w:r>
        <w:rPr>
          <w:rFonts w:hint="eastAsia" w:ascii="宋体" w:hAnsi="宋体" w:cs="仿宋"/>
          <w:color w:val="auto"/>
          <w:sz w:val="21"/>
          <w:szCs w:val="21"/>
          <w:highlight w:val="none"/>
        </w:rPr>
        <w:t xml:space="preserve">    </w:t>
      </w:r>
      <w:r>
        <w:rPr>
          <w:rStyle w:val="980"/>
          <w:rFonts w:hint="eastAsia" w:ascii="宋体" w:hAnsi="宋体" w:cs="仿宋"/>
          <w:color w:val="auto"/>
          <w:sz w:val="21"/>
          <w:szCs w:val="21"/>
          <w:highlight w:val="none"/>
        </w:rPr>
        <w:t xml:space="preserve">中小微企业划型标准如下：</w:t>
      </w:r>
      <w:r/>
    </w:p>
    <w:tbl>
      <w:tblPr>
        <w:tblStyle w:val="766"/>
        <w:tblW w:w="10385" w:type="dxa"/>
        <w:tblCellSpacing w:w="15" w:type="dxa"/>
        <w:tblInd w:w="-1012"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800"/>
        <w:gridCol w:w="2097"/>
        <w:gridCol w:w="1181"/>
        <w:gridCol w:w="1860"/>
        <w:gridCol w:w="1920"/>
        <w:gridCol w:w="1527"/>
      </w:tblGrid>
      <w:tr>
        <w:trPr>
          <w:tblCellSpacing w:w="15" w:type="dxa"/>
          <w:trHeight w:val="285"/>
        </w:trPr>
        <w:tc>
          <w:tcPr>
            <w:tcMar>
              <w:left w:w="105" w:type="dxa"/>
              <w:top w:w="0" w:type="dxa"/>
              <w:right w:w="105" w:type="dxa"/>
              <w:bottom w:w="0" w:type="dxa"/>
            </w:tcMar>
            <w:tcW w:w="1755" w:type="dxa"/>
            <w:vAlign w:val="center"/>
            <w:textDirection w:val="lrTb"/>
            <w:noWrap w:val="false"/>
          </w:tcPr>
          <w:p>
            <w:pPr>
              <w:pStyle w:val="1002"/>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行业名称</w:t>
            </w:r>
            <w:r/>
          </w:p>
        </w:tc>
        <w:tc>
          <w:tcPr>
            <w:tcMar>
              <w:left w:w="105" w:type="dxa"/>
              <w:top w:w="0" w:type="dxa"/>
              <w:right w:w="105" w:type="dxa"/>
              <w:bottom w:w="0" w:type="dxa"/>
            </w:tcMar>
            <w:tcW w:w="2067"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指标名称</w:t>
            </w:r>
            <w:r/>
          </w:p>
        </w:tc>
        <w:tc>
          <w:tcPr>
            <w:tcMar>
              <w:left w:w="105" w:type="dxa"/>
              <w:top w:w="0" w:type="dxa"/>
              <w:right w:w="105" w:type="dxa"/>
              <w:bottom w:w="0" w:type="dxa"/>
            </w:tcMar>
            <w:tcW w:w="1151"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计量单位</w:t>
            </w:r>
            <w:r/>
          </w:p>
        </w:tc>
        <w:tc>
          <w:tcPr>
            <w:tcMar>
              <w:left w:w="105" w:type="dxa"/>
              <w:top w:w="0" w:type="dxa"/>
              <w:right w:w="105" w:type="dxa"/>
              <w:bottom w:w="0" w:type="dxa"/>
            </w:tcMar>
            <w:tcW w:w="1830"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中型</w:t>
            </w:r>
            <w:r/>
          </w:p>
        </w:tc>
        <w:tc>
          <w:tcPr>
            <w:tcMar>
              <w:left w:w="105" w:type="dxa"/>
              <w:top w:w="0" w:type="dxa"/>
              <w:right w:w="105" w:type="dxa"/>
              <w:bottom w:w="0" w:type="dxa"/>
            </w:tcMar>
            <w:tcW w:w="1890"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小型</w:t>
            </w:r>
            <w:r/>
          </w:p>
        </w:tc>
        <w:tc>
          <w:tcPr>
            <w:tcMar>
              <w:left w:w="105" w:type="dxa"/>
              <w:top w:w="0" w:type="dxa"/>
              <w:right w:w="105" w:type="dxa"/>
              <w:bottom w:w="0" w:type="dxa"/>
            </w:tcMar>
            <w:tcW w:w="1482"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微型</w:t>
            </w:r>
            <w:r/>
          </w:p>
        </w:tc>
      </w:tr>
      <w:tr>
        <w:trPr>
          <w:tblCellSpacing w:w="15" w:type="dxa"/>
          <w:trHeight w:val="225"/>
        </w:trPr>
        <w:tc>
          <w:tcPr>
            <w:tcMar>
              <w:left w:w="105" w:type="dxa"/>
              <w:top w:w="0" w:type="dxa"/>
              <w:right w:w="105" w:type="dxa"/>
              <w:bottom w:w="0" w:type="dxa"/>
            </w:tcMar>
            <w:tcW w:w="1755"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农、林、牧、渔</w:t>
            </w:r>
            <w:r/>
          </w:p>
        </w:tc>
        <w:tc>
          <w:tcPr>
            <w:tcMar>
              <w:left w:w="105" w:type="dxa"/>
              <w:top w:w="0" w:type="dxa"/>
              <w:right w:w="105" w:type="dxa"/>
              <w:bottom w:w="0" w:type="dxa"/>
            </w:tcMar>
            <w:tcW w:w="2067"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万元</w:t>
            </w:r>
            <w:r/>
          </w:p>
        </w:tc>
        <w:tc>
          <w:tcPr>
            <w:tcMar>
              <w:left w:w="105" w:type="dxa"/>
              <w:top w:w="0" w:type="dxa"/>
              <w:right w:w="105" w:type="dxa"/>
              <w:bottom w:w="0" w:type="dxa"/>
            </w:tcMar>
            <w:tcW w:w="1830"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500≤Y＜20000</w:t>
            </w:r>
            <w:r/>
          </w:p>
        </w:tc>
        <w:tc>
          <w:tcPr>
            <w:tcMar>
              <w:left w:w="105" w:type="dxa"/>
              <w:top w:w="0" w:type="dxa"/>
              <w:right w:w="105" w:type="dxa"/>
              <w:bottom w:w="0" w:type="dxa"/>
            </w:tcMar>
            <w:tcW w:w="1890"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50≤Y＜500</w:t>
            </w:r>
            <w:r/>
          </w:p>
        </w:tc>
        <w:tc>
          <w:tcPr>
            <w:tcMar>
              <w:left w:w="105" w:type="dxa"/>
              <w:top w:w="0" w:type="dxa"/>
              <w:right w:w="105" w:type="dxa"/>
              <w:bottom w:w="0" w:type="dxa"/>
            </w:tcMar>
            <w:tcW w:w="1482"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Y＜50</w:t>
            </w:r>
            <w:r/>
          </w:p>
        </w:tc>
      </w:tr>
      <w:tr>
        <w:trPr>
          <w:tblCellSpacing w:w="15" w:type="dxa"/>
          <w:trHeight w:val="225"/>
        </w:trPr>
        <w:tc>
          <w:tcPr>
            <w:tcMar>
              <w:left w:w="105" w:type="dxa"/>
              <w:top w:w="0" w:type="dxa"/>
              <w:right w:w="105" w:type="dxa"/>
              <w:bottom w:w="0" w:type="dxa"/>
            </w:tcMar>
            <w:tcW w:w="1755" w:type="dxa"/>
            <w:vAlign w:val="center"/>
            <w:vMerge w:val="restart"/>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工业</w:t>
            </w:r>
            <w:r/>
          </w:p>
        </w:tc>
        <w:tc>
          <w:tcPr>
            <w:tcMar>
              <w:left w:w="105" w:type="dxa"/>
              <w:top w:w="0" w:type="dxa"/>
              <w:right w:w="105" w:type="dxa"/>
              <w:bottom w:w="0" w:type="dxa"/>
            </w:tcMar>
            <w:tcW w:w="2067"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人</w:t>
            </w:r>
            <w:r/>
          </w:p>
        </w:tc>
        <w:tc>
          <w:tcPr>
            <w:tcMar>
              <w:left w:w="105" w:type="dxa"/>
              <w:top w:w="0" w:type="dxa"/>
              <w:right w:w="105" w:type="dxa"/>
              <w:bottom w:w="0" w:type="dxa"/>
            </w:tcMar>
            <w:tcW w:w="1830"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300≤X＜1000</w:t>
            </w:r>
            <w:r/>
          </w:p>
        </w:tc>
        <w:tc>
          <w:tcPr>
            <w:tcMar>
              <w:left w:w="105" w:type="dxa"/>
              <w:top w:w="0" w:type="dxa"/>
              <w:right w:w="105" w:type="dxa"/>
              <w:bottom w:w="0" w:type="dxa"/>
            </w:tcMar>
            <w:tcW w:w="1890"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20≤X＜300</w:t>
            </w:r>
            <w:r/>
          </w:p>
        </w:tc>
        <w:tc>
          <w:tcPr>
            <w:tcMar>
              <w:left w:w="105" w:type="dxa"/>
              <w:top w:w="0" w:type="dxa"/>
              <w:right w:w="105" w:type="dxa"/>
              <w:bottom w:w="0" w:type="dxa"/>
            </w:tcMar>
            <w:tcW w:w="1482"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X＜20</w:t>
            </w:r>
            <w:r/>
          </w:p>
        </w:tc>
      </w:tr>
      <w:tr>
        <w:trPr>
          <w:tblCellSpacing w:w="15" w:type="dxa"/>
          <w:trHeight w:val="225"/>
        </w:trPr>
        <w:tc>
          <w:tcPr>
            <w:tcW w:w="1755"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2067"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万元</w:t>
            </w:r>
            <w:r/>
          </w:p>
        </w:tc>
        <w:tc>
          <w:tcPr>
            <w:tcMar>
              <w:left w:w="105" w:type="dxa"/>
              <w:top w:w="0" w:type="dxa"/>
              <w:right w:w="105" w:type="dxa"/>
              <w:bottom w:w="0" w:type="dxa"/>
            </w:tcMar>
            <w:tcW w:w="1830"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2000≤Y＜40000</w:t>
            </w:r>
            <w:r/>
          </w:p>
        </w:tc>
        <w:tc>
          <w:tcPr>
            <w:tcMar>
              <w:left w:w="105" w:type="dxa"/>
              <w:top w:w="0" w:type="dxa"/>
              <w:right w:w="105" w:type="dxa"/>
              <w:bottom w:w="0" w:type="dxa"/>
            </w:tcMar>
            <w:tcW w:w="1890"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300≤Y＜2000</w:t>
            </w:r>
            <w:r/>
          </w:p>
        </w:tc>
        <w:tc>
          <w:tcPr>
            <w:tcMar>
              <w:left w:w="105" w:type="dxa"/>
              <w:top w:w="0" w:type="dxa"/>
              <w:right w:w="105" w:type="dxa"/>
              <w:bottom w:w="0" w:type="dxa"/>
            </w:tcMar>
            <w:tcW w:w="1482"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Y＜300</w:t>
            </w:r>
            <w:r/>
          </w:p>
        </w:tc>
      </w:tr>
      <w:tr>
        <w:trPr>
          <w:tblCellSpacing w:w="15" w:type="dxa"/>
          <w:trHeight w:val="225"/>
        </w:trPr>
        <w:tc>
          <w:tcPr>
            <w:tcMar>
              <w:left w:w="105" w:type="dxa"/>
              <w:top w:w="0" w:type="dxa"/>
              <w:right w:w="105" w:type="dxa"/>
              <w:bottom w:w="0" w:type="dxa"/>
            </w:tcMar>
            <w:tcW w:w="1755" w:type="dxa"/>
            <w:vAlign w:val="center"/>
            <w:vMerge w:val="restart"/>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建筑业</w:t>
            </w:r>
            <w:r/>
          </w:p>
        </w:tc>
        <w:tc>
          <w:tcPr>
            <w:tcMar>
              <w:left w:w="105" w:type="dxa"/>
              <w:top w:w="0" w:type="dxa"/>
              <w:right w:w="105" w:type="dxa"/>
              <w:bottom w:w="0" w:type="dxa"/>
            </w:tcMar>
            <w:tcW w:w="2067"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万元</w:t>
            </w:r>
            <w:r/>
          </w:p>
        </w:tc>
        <w:tc>
          <w:tcPr>
            <w:tcMar>
              <w:left w:w="105" w:type="dxa"/>
              <w:top w:w="0" w:type="dxa"/>
              <w:right w:w="105" w:type="dxa"/>
              <w:bottom w:w="0" w:type="dxa"/>
            </w:tcMar>
            <w:tcW w:w="1830"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6000≤Y＜80000</w:t>
            </w:r>
            <w:r/>
          </w:p>
        </w:tc>
        <w:tc>
          <w:tcPr>
            <w:tcMar>
              <w:left w:w="105" w:type="dxa"/>
              <w:top w:w="0" w:type="dxa"/>
              <w:right w:w="105" w:type="dxa"/>
              <w:bottom w:w="0" w:type="dxa"/>
            </w:tcMar>
            <w:tcW w:w="1890"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300≤Y＜6000</w:t>
            </w:r>
            <w:r/>
          </w:p>
        </w:tc>
        <w:tc>
          <w:tcPr>
            <w:tcMar>
              <w:left w:w="105" w:type="dxa"/>
              <w:top w:w="0" w:type="dxa"/>
              <w:right w:w="105" w:type="dxa"/>
              <w:bottom w:w="0" w:type="dxa"/>
            </w:tcMar>
            <w:tcW w:w="1482"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Y＜300</w:t>
            </w:r>
            <w:r/>
          </w:p>
        </w:tc>
      </w:tr>
      <w:tr>
        <w:trPr>
          <w:tblCellSpacing w:w="15" w:type="dxa"/>
          <w:trHeight w:val="225"/>
        </w:trPr>
        <w:tc>
          <w:tcPr>
            <w:tcW w:w="1755"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2067"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资产总额（Z）</w:t>
            </w:r>
            <w:r/>
          </w:p>
        </w:tc>
        <w:tc>
          <w:tcPr>
            <w:tcMar>
              <w:left w:w="105" w:type="dxa"/>
              <w:top w:w="0" w:type="dxa"/>
              <w:right w:w="105" w:type="dxa"/>
              <w:bottom w:w="0" w:type="dxa"/>
            </w:tcMar>
            <w:tcW w:w="1151"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万元</w:t>
            </w:r>
            <w:r/>
          </w:p>
        </w:tc>
        <w:tc>
          <w:tcPr>
            <w:tcMar>
              <w:left w:w="105" w:type="dxa"/>
              <w:top w:w="0" w:type="dxa"/>
              <w:right w:w="105" w:type="dxa"/>
              <w:bottom w:w="0" w:type="dxa"/>
            </w:tcMar>
            <w:tcW w:w="1830"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5000≤Z＜80000</w:t>
            </w:r>
            <w:r/>
          </w:p>
        </w:tc>
        <w:tc>
          <w:tcPr>
            <w:tcMar>
              <w:left w:w="105" w:type="dxa"/>
              <w:top w:w="0" w:type="dxa"/>
              <w:right w:w="105" w:type="dxa"/>
              <w:bottom w:w="0" w:type="dxa"/>
            </w:tcMar>
            <w:tcW w:w="1890"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300≤Z＜5000</w:t>
            </w:r>
            <w:r/>
          </w:p>
        </w:tc>
        <w:tc>
          <w:tcPr>
            <w:tcMar>
              <w:left w:w="105" w:type="dxa"/>
              <w:top w:w="0" w:type="dxa"/>
              <w:right w:w="105" w:type="dxa"/>
              <w:bottom w:w="0" w:type="dxa"/>
            </w:tcMar>
            <w:tcW w:w="1482"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Z＜300</w:t>
            </w:r>
            <w:r/>
          </w:p>
        </w:tc>
      </w:tr>
      <w:tr>
        <w:trPr>
          <w:tblCellSpacing w:w="15" w:type="dxa"/>
          <w:trHeight w:val="225"/>
        </w:trPr>
        <w:tc>
          <w:tcPr>
            <w:tcMar>
              <w:left w:w="105" w:type="dxa"/>
              <w:top w:w="0" w:type="dxa"/>
              <w:right w:w="105" w:type="dxa"/>
              <w:bottom w:w="0" w:type="dxa"/>
            </w:tcMar>
            <w:tcW w:w="1755" w:type="dxa"/>
            <w:vAlign w:val="center"/>
            <w:vMerge w:val="restart"/>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批发业</w:t>
            </w:r>
            <w:r/>
          </w:p>
        </w:tc>
        <w:tc>
          <w:tcPr>
            <w:tcMar>
              <w:left w:w="105" w:type="dxa"/>
              <w:top w:w="0" w:type="dxa"/>
              <w:right w:w="105" w:type="dxa"/>
              <w:bottom w:w="0" w:type="dxa"/>
            </w:tcMar>
            <w:tcW w:w="2067"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人</w:t>
            </w:r>
            <w:r/>
          </w:p>
        </w:tc>
        <w:tc>
          <w:tcPr>
            <w:tcMar>
              <w:left w:w="105" w:type="dxa"/>
              <w:top w:w="0" w:type="dxa"/>
              <w:right w:w="105" w:type="dxa"/>
              <w:bottom w:w="0" w:type="dxa"/>
            </w:tcMar>
            <w:tcW w:w="1830"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20≤X＜200</w:t>
            </w:r>
            <w:r/>
          </w:p>
        </w:tc>
        <w:tc>
          <w:tcPr>
            <w:tcMar>
              <w:left w:w="105" w:type="dxa"/>
              <w:top w:w="0" w:type="dxa"/>
              <w:right w:w="105" w:type="dxa"/>
              <w:bottom w:w="0" w:type="dxa"/>
            </w:tcMar>
            <w:tcW w:w="1890"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5≤X＜20</w:t>
            </w:r>
            <w:r/>
          </w:p>
        </w:tc>
        <w:tc>
          <w:tcPr>
            <w:tcMar>
              <w:left w:w="105" w:type="dxa"/>
              <w:top w:w="0" w:type="dxa"/>
              <w:right w:w="105" w:type="dxa"/>
              <w:bottom w:w="0" w:type="dxa"/>
            </w:tcMar>
            <w:tcW w:w="1482"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X＜5</w:t>
            </w:r>
            <w:r/>
          </w:p>
        </w:tc>
      </w:tr>
      <w:tr>
        <w:trPr>
          <w:tblCellSpacing w:w="15" w:type="dxa"/>
          <w:trHeight w:val="225"/>
        </w:trPr>
        <w:tc>
          <w:tcPr>
            <w:tcW w:w="1755"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2067"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万元</w:t>
            </w:r>
            <w:r/>
          </w:p>
        </w:tc>
        <w:tc>
          <w:tcPr>
            <w:tcMar>
              <w:left w:w="105" w:type="dxa"/>
              <w:top w:w="0" w:type="dxa"/>
              <w:right w:w="105" w:type="dxa"/>
              <w:bottom w:w="0" w:type="dxa"/>
            </w:tcMar>
            <w:tcW w:w="1830"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5000≤Y＜40000</w:t>
            </w:r>
            <w:r/>
          </w:p>
        </w:tc>
        <w:tc>
          <w:tcPr>
            <w:tcMar>
              <w:left w:w="105" w:type="dxa"/>
              <w:top w:w="0" w:type="dxa"/>
              <w:right w:w="105" w:type="dxa"/>
              <w:bottom w:w="0" w:type="dxa"/>
            </w:tcMar>
            <w:tcW w:w="1890"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1000≤Y＜5000</w:t>
            </w:r>
            <w:r/>
          </w:p>
        </w:tc>
        <w:tc>
          <w:tcPr>
            <w:tcMar>
              <w:left w:w="105" w:type="dxa"/>
              <w:top w:w="0" w:type="dxa"/>
              <w:right w:w="105" w:type="dxa"/>
              <w:bottom w:w="0" w:type="dxa"/>
            </w:tcMar>
            <w:tcW w:w="1482"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Y＜1000</w:t>
            </w:r>
            <w:r/>
          </w:p>
        </w:tc>
      </w:tr>
      <w:tr>
        <w:trPr>
          <w:tblCellSpacing w:w="15" w:type="dxa"/>
          <w:trHeight w:val="225"/>
        </w:trPr>
        <w:tc>
          <w:tcPr>
            <w:tcMar>
              <w:left w:w="105" w:type="dxa"/>
              <w:top w:w="0" w:type="dxa"/>
              <w:right w:w="105" w:type="dxa"/>
              <w:bottom w:w="0" w:type="dxa"/>
            </w:tcMar>
            <w:tcW w:w="1755" w:type="dxa"/>
            <w:vAlign w:val="center"/>
            <w:vMerge w:val="restart"/>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零售业</w:t>
            </w:r>
            <w:r/>
          </w:p>
        </w:tc>
        <w:tc>
          <w:tcPr>
            <w:tcMar>
              <w:left w:w="105" w:type="dxa"/>
              <w:top w:w="0" w:type="dxa"/>
              <w:right w:w="105" w:type="dxa"/>
              <w:bottom w:w="0" w:type="dxa"/>
            </w:tcMar>
            <w:tcW w:w="2067"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人</w:t>
            </w:r>
            <w:r/>
          </w:p>
        </w:tc>
        <w:tc>
          <w:tcPr>
            <w:tcMar>
              <w:left w:w="105" w:type="dxa"/>
              <w:top w:w="0" w:type="dxa"/>
              <w:right w:w="105" w:type="dxa"/>
              <w:bottom w:w="0" w:type="dxa"/>
            </w:tcMar>
            <w:tcW w:w="1830"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50≤X＜300</w:t>
            </w:r>
            <w:r/>
          </w:p>
        </w:tc>
        <w:tc>
          <w:tcPr>
            <w:tcMar>
              <w:left w:w="105" w:type="dxa"/>
              <w:top w:w="0" w:type="dxa"/>
              <w:right w:w="105" w:type="dxa"/>
              <w:bottom w:w="0" w:type="dxa"/>
            </w:tcMar>
            <w:tcW w:w="1890"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10≤X＜50</w:t>
            </w:r>
            <w:r/>
          </w:p>
        </w:tc>
        <w:tc>
          <w:tcPr>
            <w:tcMar>
              <w:left w:w="105" w:type="dxa"/>
              <w:top w:w="0" w:type="dxa"/>
              <w:right w:w="105" w:type="dxa"/>
              <w:bottom w:w="0" w:type="dxa"/>
            </w:tcMar>
            <w:tcW w:w="1482"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X＜10</w:t>
            </w:r>
            <w:r/>
          </w:p>
        </w:tc>
      </w:tr>
      <w:tr>
        <w:trPr>
          <w:tblCellSpacing w:w="15" w:type="dxa"/>
          <w:trHeight w:val="225"/>
        </w:trPr>
        <w:tc>
          <w:tcPr>
            <w:tcW w:w="1755"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2067"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万元</w:t>
            </w:r>
            <w:r/>
          </w:p>
        </w:tc>
        <w:tc>
          <w:tcPr>
            <w:tcMar>
              <w:left w:w="105" w:type="dxa"/>
              <w:top w:w="0" w:type="dxa"/>
              <w:right w:w="105" w:type="dxa"/>
              <w:bottom w:w="0" w:type="dxa"/>
            </w:tcMar>
            <w:tcW w:w="1830"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500≤Y＜20000</w:t>
            </w:r>
            <w:r/>
          </w:p>
        </w:tc>
        <w:tc>
          <w:tcPr>
            <w:tcMar>
              <w:left w:w="105" w:type="dxa"/>
              <w:top w:w="0" w:type="dxa"/>
              <w:right w:w="105" w:type="dxa"/>
              <w:bottom w:w="0" w:type="dxa"/>
            </w:tcMar>
            <w:tcW w:w="1890"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100≤Y＜500</w:t>
            </w:r>
            <w:r/>
          </w:p>
        </w:tc>
        <w:tc>
          <w:tcPr>
            <w:tcMar>
              <w:left w:w="105" w:type="dxa"/>
              <w:top w:w="0" w:type="dxa"/>
              <w:right w:w="105" w:type="dxa"/>
              <w:bottom w:w="0" w:type="dxa"/>
            </w:tcMar>
            <w:tcW w:w="1482"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755" w:type="dxa"/>
            <w:vAlign w:val="center"/>
            <w:vMerge w:val="restart"/>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交通运输业</w:t>
            </w:r>
            <w:r/>
          </w:p>
        </w:tc>
        <w:tc>
          <w:tcPr>
            <w:tcMar>
              <w:left w:w="105" w:type="dxa"/>
              <w:top w:w="0" w:type="dxa"/>
              <w:right w:w="105" w:type="dxa"/>
              <w:bottom w:w="0" w:type="dxa"/>
            </w:tcMar>
            <w:tcW w:w="2067"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人</w:t>
            </w:r>
            <w:r/>
          </w:p>
        </w:tc>
        <w:tc>
          <w:tcPr>
            <w:tcMar>
              <w:left w:w="105" w:type="dxa"/>
              <w:top w:w="0" w:type="dxa"/>
              <w:right w:w="105" w:type="dxa"/>
              <w:bottom w:w="0" w:type="dxa"/>
            </w:tcMar>
            <w:tcW w:w="1830"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300≤X＜1000</w:t>
            </w:r>
            <w:r/>
          </w:p>
        </w:tc>
        <w:tc>
          <w:tcPr>
            <w:tcMar>
              <w:left w:w="105" w:type="dxa"/>
              <w:top w:w="0" w:type="dxa"/>
              <w:right w:w="105" w:type="dxa"/>
              <w:bottom w:w="0" w:type="dxa"/>
            </w:tcMar>
            <w:tcW w:w="1890"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20≤X＜300</w:t>
            </w:r>
            <w:r/>
          </w:p>
        </w:tc>
        <w:tc>
          <w:tcPr>
            <w:tcMar>
              <w:left w:w="105" w:type="dxa"/>
              <w:top w:w="0" w:type="dxa"/>
              <w:right w:w="105" w:type="dxa"/>
              <w:bottom w:w="0" w:type="dxa"/>
            </w:tcMar>
            <w:tcW w:w="1482"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X＜20</w:t>
            </w:r>
            <w:r/>
          </w:p>
        </w:tc>
      </w:tr>
      <w:tr>
        <w:trPr>
          <w:tblCellSpacing w:w="15" w:type="dxa"/>
          <w:trHeight w:val="225"/>
        </w:trPr>
        <w:tc>
          <w:tcPr>
            <w:tcW w:w="1755"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2067"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万元</w:t>
            </w:r>
            <w:r/>
          </w:p>
        </w:tc>
        <w:tc>
          <w:tcPr>
            <w:tcMar>
              <w:left w:w="105" w:type="dxa"/>
              <w:top w:w="0" w:type="dxa"/>
              <w:right w:w="105" w:type="dxa"/>
              <w:bottom w:w="0" w:type="dxa"/>
            </w:tcMar>
            <w:tcW w:w="1830"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3000≤Y＜30000</w:t>
            </w:r>
            <w:r/>
          </w:p>
        </w:tc>
        <w:tc>
          <w:tcPr>
            <w:tcMar>
              <w:left w:w="105" w:type="dxa"/>
              <w:top w:w="0" w:type="dxa"/>
              <w:right w:w="105" w:type="dxa"/>
              <w:bottom w:w="0" w:type="dxa"/>
            </w:tcMar>
            <w:tcW w:w="1890"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200≤Y＜3000</w:t>
            </w:r>
            <w:r/>
          </w:p>
        </w:tc>
        <w:tc>
          <w:tcPr>
            <w:tcMar>
              <w:left w:w="105" w:type="dxa"/>
              <w:top w:w="0" w:type="dxa"/>
              <w:right w:w="105" w:type="dxa"/>
              <w:bottom w:w="0" w:type="dxa"/>
            </w:tcMar>
            <w:tcW w:w="1482"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Y＜200</w:t>
            </w:r>
            <w:r/>
          </w:p>
        </w:tc>
      </w:tr>
      <w:tr>
        <w:trPr>
          <w:tblCellSpacing w:w="15" w:type="dxa"/>
          <w:trHeight w:val="225"/>
        </w:trPr>
        <w:tc>
          <w:tcPr>
            <w:tcMar>
              <w:left w:w="105" w:type="dxa"/>
              <w:top w:w="0" w:type="dxa"/>
              <w:right w:w="105" w:type="dxa"/>
              <w:bottom w:w="0" w:type="dxa"/>
            </w:tcMar>
            <w:tcW w:w="1755" w:type="dxa"/>
            <w:vAlign w:val="center"/>
            <w:vMerge w:val="restart"/>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仓储业</w:t>
            </w:r>
            <w:r/>
          </w:p>
        </w:tc>
        <w:tc>
          <w:tcPr>
            <w:tcMar>
              <w:left w:w="105" w:type="dxa"/>
              <w:top w:w="0" w:type="dxa"/>
              <w:right w:w="105" w:type="dxa"/>
              <w:bottom w:w="0" w:type="dxa"/>
            </w:tcMar>
            <w:tcW w:w="2067"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人</w:t>
            </w:r>
            <w:r/>
          </w:p>
        </w:tc>
        <w:tc>
          <w:tcPr>
            <w:tcMar>
              <w:left w:w="105" w:type="dxa"/>
              <w:top w:w="0" w:type="dxa"/>
              <w:right w:w="105" w:type="dxa"/>
              <w:bottom w:w="0" w:type="dxa"/>
            </w:tcMar>
            <w:tcW w:w="1830"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100≤X＜200</w:t>
            </w:r>
            <w:r/>
          </w:p>
        </w:tc>
        <w:tc>
          <w:tcPr>
            <w:tcMar>
              <w:left w:w="105" w:type="dxa"/>
              <w:top w:w="0" w:type="dxa"/>
              <w:right w:w="105" w:type="dxa"/>
              <w:bottom w:w="0" w:type="dxa"/>
            </w:tcMar>
            <w:tcW w:w="1890"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20≤X＜100</w:t>
            </w:r>
            <w:r/>
          </w:p>
        </w:tc>
        <w:tc>
          <w:tcPr>
            <w:tcMar>
              <w:left w:w="105" w:type="dxa"/>
              <w:top w:w="0" w:type="dxa"/>
              <w:right w:w="105" w:type="dxa"/>
              <w:bottom w:w="0" w:type="dxa"/>
            </w:tcMar>
            <w:tcW w:w="1482"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X＜20</w:t>
            </w:r>
            <w:r/>
          </w:p>
        </w:tc>
      </w:tr>
      <w:tr>
        <w:trPr>
          <w:tblCellSpacing w:w="15" w:type="dxa"/>
          <w:trHeight w:val="225"/>
        </w:trPr>
        <w:tc>
          <w:tcPr>
            <w:tcW w:w="1755"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2067"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万元</w:t>
            </w:r>
            <w:r/>
          </w:p>
        </w:tc>
        <w:tc>
          <w:tcPr>
            <w:tcMar>
              <w:left w:w="105" w:type="dxa"/>
              <w:top w:w="0" w:type="dxa"/>
              <w:right w:w="105" w:type="dxa"/>
              <w:bottom w:w="0" w:type="dxa"/>
            </w:tcMar>
            <w:tcW w:w="1830"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1000≤Y＜30000</w:t>
            </w:r>
            <w:r/>
          </w:p>
        </w:tc>
        <w:tc>
          <w:tcPr>
            <w:tcMar>
              <w:left w:w="105" w:type="dxa"/>
              <w:top w:w="0" w:type="dxa"/>
              <w:right w:w="105" w:type="dxa"/>
              <w:bottom w:w="0" w:type="dxa"/>
            </w:tcMar>
            <w:tcW w:w="1890"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100≤Y＜1000</w:t>
            </w:r>
            <w:r/>
          </w:p>
        </w:tc>
        <w:tc>
          <w:tcPr>
            <w:tcMar>
              <w:left w:w="105" w:type="dxa"/>
              <w:top w:w="0" w:type="dxa"/>
              <w:right w:w="105" w:type="dxa"/>
              <w:bottom w:w="0" w:type="dxa"/>
            </w:tcMar>
            <w:tcW w:w="1482"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755" w:type="dxa"/>
            <w:vAlign w:val="center"/>
            <w:vMerge w:val="restart"/>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邮政业</w:t>
            </w:r>
            <w:r/>
          </w:p>
        </w:tc>
        <w:tc>
          <w:tcPr>
            <w:tcMar>
              <w:left w:w="105" w:type="dxa"/>
              <w:top w:w="0" w:type="dxa"/>
              <w:right w:w="105" w:type="dxa"/>
              <w:bottom w:w="0" w:type="dxa"/>
            </w:tcMar>
            <w:tcW w:w="2067"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人</w:t>
            </w:r>
            <w:r/>
          </w:p>
        </w:tc>
        <w:tc>
          <w:tcPr>
            <w:tcMar>
              <w:left w:w="105" w:type="dxa"/>
              <w:top w:w="0" w:type="dxa"/>
              <w:right w:w="105" w:type="dxa"/>
              <w:bottom w:w="0" w:type="dxa"/>
            </w:tcMar>
            <w:tcW w:w="1830"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300≤X＜1000</w:t>
            </w:r>
            <w:r/>
          </w:p>
        </w:tc>
        <w:tc>
          <w:tcPr>
            <w:tcMar>
              <w:left w:w="105" w:type="dxa"/>
              <w:top w:w="0" w:type="dxa"/>
              <w:right w:w="105" w:type="dxa"/>
              <w:bottom w:w="0" w:type="dxa"/>
            </w:tcMar>
            <w:tcW w:w="1890"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20≤X＜300</w:t>
            </w:r>
            <w:r/>
          </w:p>
        </w:tc>
        <w:tc>
          <w:tcPr>
            <w:tcMar>
              <w:left w:w="105" w:type="dxa"/>
              <w:top w:w="0" w:type="dxa"/>
              <w:right w:w="105" w:type="dxa"/>
              <w:bottom w:w="0" w:type="dxa"/>
            </w:tcMar>
            <w:tcW w:w="1482"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X＜20</w:t>
            </w:r>
            <w:r/>
          </w:p>
        </w:tc>
      </w:tr>
      <w:tr>
        <w:trPr>
          <w:tblCellSpacing w:w="15" w:type="dxa"/>
          <w:trHeight w:val="225"/>
        </w:trPr>
        <w:tc>
          <w:tcPr>
            <w:tcW w:w="1755"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2067"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万元</w:t>
            </w:r>
            <w:r/>
          </w:p>
        </w:tc>
        <w:tc>
          <w:tcPr>
            <w:tcMar>
              <w:left w:w="105" w:type="dxa"/>
              <w:top w:w="0" w:type="dxa"/>
              <w:right w:w="105" w:type="dxa"/>
              <w:bottom w:w="0" w:type="dxa"/>
            </w:tcMar>
            <w:tcW w:w="1830"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2000≤Y＜30000</w:t>
            </w:r>
            <w:r/>
          </w:p>
        </w:tc>
        <w:tc>
          <w:tcPr>
            <w:tcMar>
              <w:left w:w="105" w:type="dxa"/>
              <w:top w:w="0" w:type="dxa"/>
              <w:right w:w="105" w:type="dxa"/>
              <w:bottom w:w="0" w:type="dxa"/>
            </w:tcMar>
            <w:tcW w:w="1890"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100≤Y＜2000</w:t>
            </w:r>
            <w:r/>
          </w:p>
        </w:tc>
        <w:tc>
          <w:tcPr>
            <w:tcMar>
              <w:left w:w="105" w:type="dxa"/>
              <w:top w:w="0" w:type="dxa"/>
              <w:right w:w="105" w:type="dxa"/>
              <w:bottom w:w="0" w:type="dxa"/>
            </w:tcMar>
            <w:tcW w:w="1482"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755" w:type="dxa"/>
            <w:vAlign w:val="center"/>
            <w:vMerge w:val="restart"/>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住宿业</w:t>
            </w:r>
            <w:r/>
          </w:p>
        </w:tc>
        <w:tc>
          <w:tcPr>
            <w:tcMar>
              <w:left w:w="105" w:type="dxa"/>
              <w:top w:w="0" w:type="dxa"/>
              <w:right w:w="105" w:type="dxa"/>
              <w:bottom w:w="0" w:type="dxa"/>
            </w:tcMar>
            <w:tcW w:w="2067"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人</w:t>
            </w:r>
            <w:r/>
          </w:p>
        </w:tc>
        <w:tc>
          <w:tcPr>
            <w:tcMar>
              <w:left w:w="105" w:type="dxa"/>
              <w:top w:w="0" w:type="dxa"/>
              <w:right w:w="105" w:type="dxa"/>
              <w:bottom w:w="0" w:type="dxa"/>
            </w:tcMar>
            <w:tcW w:w="1830"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100≤X＜300</w:t>
            </w:r>
            <w:r/>
          </w:p>
        </w:tc>
        <w:tc>
          <w:tcPr>
            <w:tcMar>
              <w:left w:w="105" w:type="dxa"/>
              <w:top w:w="0" w:type="dxa"/>
              <w:right w:w="105" w:type="dxa"/>
              <w:bottom w:w="0" w:type="dxa"/>
            </w:tcMar>
            <w:tcW w:w="1890" w:type="dxa"/>
            <w:vAlign w:val="center"/>
            <w:textDirection w:val="lrTb"/>
            <w:noWrap w:val="false"/>
          </w:tcPr>
          <w:p>
            <w:pPr>
              <w:pStyle w:val="1002"/>
              <w:ind w:firstLine="420"/>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10≤X＜100</w:t>
            </w:r>
            <w:r/>
          </w:p>
        </w:tc>
        <w:tc>
          <w:tcPr>
            <w:tcMar>
              <w:left w:w="105" w:type="dxa"/>
              <w:top w:w="0" w:type="dxa"/>
              <w:right w:w="105" w:type="dxa"/>
              <w:bottom w:w="0" w:type="dxa"/>
            </w:tcMar>
            <w:tcW w:w="1482"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X＜10</w:t>
            </w:r>
            <w:r/>
          </w:p>
        </w:tc>
      </w:tr>
      <w:tr>
        <w:trPr>
          <w:tblCellSpacing w:w="15" w:type="dxa"/>
          <w:trHeight w:val="225"/>
        </w:trPr>
        <w:tc>
          <w:tcPr>
            <w:tcW w:w="1755"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2067"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万元</w:t>
            </w:r>
            <w:r/>
          </w:p>
        </w:tc>
        <w:tc>
          <w:tcPr>
            <w:tcMar>
              <w:left w:w="105" w:type="dxa"/>
              <w:top w:w="0" w:type="dxa"/>
              <w:right w:w="105" w:type="dxa"/>
              <w:bottom w:w="0" w:type="dxa"/>
            </w:tcMar>
            <w:tcW w:w="1830"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2000≤Y＜10000</w:t>
            </w:r>
            <w:r/>
          </w:p>
        </w:tc>
        <w:tc>
          <w:tcPr>
            <w:tcMar>
              <w:left w:w="105" w:type="dxa"/>
              <w:top w:w="0" w:type="dxa"/>
              <w:right w:w="105" w:type="dxa"/>
              <w:bottom w:w="0" w:type="dxa"/>
            </w:tcMar>
            <w:tcW w:w="1890"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100≤Y＜2000</w:t>
            </w:r>
            <w:r/>
          </w:p>
        </w:tc>
        <w:tc>
          <w:tcPr>
            <w:tcMar>
              <w:left w:w="105" w:type="dxa"/>
              <w:top w:w="0" w:type="dxa"/>
              <w:right w:w="105" w:type="dxa"/>
              <w:bottom w:w="0" w:type="dxa"/>
            </w:tcMar>
            <w:tcW w:w="1482"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755" w:type="dxa"/>
            <w:vAlign w:val="center"/>
            <w:vMerge w:val="restart"/>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餐饮业</w:t>
            </w:r>
            <w:r/>
          </w:p>
        </w:tc>
        <w:tc>
          <w:tcPr>
            <w:tcMar>
              <w:left w:w="105" w:type="dxa"/>
              <w:top w:w="0" w:type="dxa"/>
              <w:right w:w="105" w:type="dxa"/>
              <w:bottom w:w="0" w:type="dxa"/>
            </w:tcMar>
            <w:tcW w:w="2067"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人</w:t>
            </w:r>
            <w:r/>
          </w:p>
        </w:tc>
        <w:tc>
          <w:tcPr>
            <w:tcMar>
              <w:left w:w="105" w:type="dxa"/>
              <w:top w:w="0" w:type="dxa"/>
              <w:right w:w="105" w:type="dxa"/>
              <w:bottom w:w="0" w:type="dxa"/>
            </w:tcMar>
            <w:tcW w:w="1830"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100≤X＜300</w:t>
            </w:r>
            <w:r/>
          </w:p>
        </w:tc>
        <w:tc>
          <w:tcPr>
            <w:tcMar>
              <w:left w:w="105" w:type="dxa"/>
              <w:top w:w="0" w:type="dxa"/>
              <w:right w:w="105" w:type="dxa"/>
              <w:bottom w:w="0" w:type="dxa"/>
            </w:tcMar>
            <w:tcW w:w="1890"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10≤X＜100</w:t>
            </w:r>
            <w:r/>
          </w:p>
        </w:tc>
        <w:tc>
          <w:tcPr>
            <w:tcMar>
              <w:left w:w="105" w:type="dxa"/>
              <w:top w:w="0" w:type="dxa"/>
              <w:right w:w="105" w:type="dxa"/>
              <w:bottom w:w="0" w:type="dxa"/>
            </w:tcMar>
            <w:tcW w:w="1482"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X＜10</w:t>
            </w:r>
            <w:r/>
          </w:p>
        </w:tc>
      </w:tr>
      <w:tr>
        <w:trPr>
          <w:tblCellSpacing w:w="15" w:type="dxa"/>
          <w:trHeight w:val="225"/>
        </w:trPr>
        <w:tc>
          <w:tcPr>
            <w:tcW w:w="1755"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2067"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万元</w:t>
            </w:r>
            <w:r/>
          </w:p>
        </w:tc>
        <w:tc>
          <w:tcPr>
            <w:tcMar>
              <w:left w:w="105" w:type="dxa"/>
              <w:top w:w="0" w:type="dxa"/>
              <w:right w:w="105" w:type="dxa"/>
              <w:bottom w:w="0" w:type="dxa"/>
            </w:tcMar>
            <w:tcW w:w="1830"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2000≤Y＜10000</w:t>
            </w:r>
            <w:r/>
          </w:p>
        </w:tc>
        <w:tc>
          <w:tcPr>
            <w:tcMar>
              <w:left w:w="105" w:type="dxa"/>
              <w:top w:w="0" w:type="dxa"/>
              <w:right w:w="105" w:type="dxa"/>
              <w:bottom w:w="0" w:type="dxa"/>
            </w:tcMar>
            <w:tcW w:w="1890"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100≤Y＜2000</w:t>
            </w:r>
            <w:r/>
          </w:p>
        </w:tc>
        <w:tc>
          <w:tcPr>
            <w:tcMar>
              <w:left w:w="105" w:type="dxa"/>
              <w:top w:w="0" w:type="dxa"/>
              <w:right w:w="105" w:type="dxa"/>
              <w:bottom w:w="0" w:type="dxa"/>
            </w:tcMar>
            <w:tcW w:w="1482"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755" w:type="dxa"/>
            <w:vAlign w:val="center"/>
            <w:vMerge w:val="restart"/>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信息传输业</w:t>
            </w:r>
            <w:r/>
          </w:p>
        </w:tc>
        <w:tc>
          <w:tcPr>
            <w:tcMar>
              <w:left w:w="105" w:type="dxa"/>
              <w:top w:w="0" w:type="dxa"/>
              <w:right w:w="105" w:type="dxa"/>
              <w:bottom w:w="0" w:type="dxa"/>
            </w:tcMar>
            <w:tcW w:w="2067"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人</w:t>
            </w:r>
            <w:r/>
          </w:p>
        </w:tc>
        <w:tc>
          <w:tcPr>
            <w:tcMar>
              <w:left w:w="105" w:type="dxa"/>
              <w:top w:w="0" w:type="dxa"/>
              <w:right w:w="105" w:type="dxa"/>
              <w:bottom w:w="0" w:type="dxa"/>
            </w:tcMar>
            <w:tcW w:w="1830"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100≤X＜2000</w:t>
            </w:r>
            <w:r/>
          </w:p>
        </w:tc>
        <w:tc>
          <w:tcPr>
            <w:tcMar>
              <w:left w:w="105" w:type="dxa"/>
              <w:top w:w="0" w:type="dxa"/>
              <w:right w:w="105" w:type="dxa"/>
              <w:bottom w:w="0" w:type="dxa"/>
            </w:tcMar>
            <w:tcW w:w="1890"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10≤X＜100</w:t>
            </w:r>
            <w:r/>
          </w:p>
        </w:tc>
        <w:tc>
          <w:tcPr>
            <w:tcMar>
              <w:left w:w="105" w:type="dxa"/>
              <w:top w:w="0" w:type="dxa"/>
              <w:right w:w="105" w:type="dxa"/>
              <w:bottom w:w="0" w:type="dxa"/>
            </w:tcMar>
            <w:tcW w:w="1482"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X＜10</w:t>
            </w:r>
            <w:r/>
          </w:p>
        </w:tc>
      </w:tr>
      <w:tr>
        <w:trPr>
          <w:tblCellSpacing w:w="15" w:type="dxa"/>
          <w:trHeight w:val="225"/>
        </w:trPr>
        <w:tc>
          <w:tcPr>
            <w:tcW w:w="1755"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2067"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万元</w:t>
            </w:r>
            <w:r/>
          </w:p>
        </w:tc>
        <w:tc>
          <w:tcPr>
            <w:tcMar>
              <w:left w:w="105" w:type="dxa"/>
              <w:top w:w="0" w:type="dxa"/>
              <w:right w:w="105" w:type="dxa"/>
              <w:bottom w:w="0" w:type="dxa"/>
            </w:tcMar>
            <w:tcW w:w="1830"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1000≤Y＜100000</w:t>
            </w:r>
            <w:r/>
          </w:p>
        </w:tc>
        <w:tc>
          <w:tcPr>
            <w:tcMar>
              <w:left w:w="105" w:type="dxa"/>
              <w:top w:w="0" w:type="dxa"/>
              <w:right w:w="105" w:type="dxa"/>
              <w:bottom w:w="0" w:type="dxa"/>
            </w:tcMar>
            <w:tcW w:w="1890"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100≤Y＜1000</w:t>
            </w:r>
            <w:r/>
          </w:p>
        </w:tc>
        <w:tc>
          <w:tcPr>
            <w:tcMar>
              <w:left w:w="105" w:type="dxa"/>
              <w:top w:w="0" w:type="dxa"/>
              <w:right w:w="105" w:type="dxa"/>
              <w:bottom w:w="0" w:type="dxa"/>
            </w:tcMar>
            <w:tcW w:w="1482"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755" w:type="dxa"/>
            <w:vAlign w:val="center"/>
            <w:vMerge w:val="restart"/>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软件和信息技术服务业</w:t>
            </w:r>
            <w:r/>
          </w:p>
        </w:tc>
        <w:tc>
          <w:tcPr>
            <w:tcMar>
              <w:left w:w="105" w:type="dxa"/>
              <w:top w:w="0" w:type="dxa"/>
              <w:right w:w="105" w:type="dxa"/>
              <w:bottom w:w="0" w:type="dxa"/>
            </w:tcMar>
            <w:tcW w:w="2067"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人</w:t>
            </w:r>
            <w:r/>
          </w:p>
        </w:tc>
        <w:tc>
          <w:tcPr>
            <w:tcMar>
              <w:left w:w="105" w:type="dxa"/>
              <w:top w:w="0" w:type="dxa"/>
              <w:right w:w="105" w:type="dxa"/>
              <w:bottom w:w="0" w:type="dxa"/>
            </w:tcMar>
            <w:tcW w:w="1830"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100≤X＜300</w:t>
            </w:r>
            <w:r/>
          </w:p>
        </w:tc>
        <w:tc>
          <w:tcPr>
            <w:tcMar>
              <w:left w:w="105" w:type="dxa"/>
              <w:top w:w="0" w:type="dxa"/>
              <w:right w:w="105" w:type="dxa"/>
              <w:bottom w:w="0" w:type="dxa"/>
            </w:tcMar>
            <w:tcW w:w="1890"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10≤X＜100</w:t>
            </w:r>
            <w:r/>
          </w:p>
        </w:tc>
        <w:tc>
          <w:tcPr>
            <w:tcMar>
              <w:left w:w="105" w:type="dxa"/>
              <w:top w:w="0" w:type="dxa"/>
              <w:right w:w="105" w:type="dxa"/>
              <w:bottom w:w="0" w:type="dxa"/>
            </w:tcMar>
            <w:tcW w:w="1482"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X＜10</w:t>
            </w:r>
            <w:r/>
          </w:p>
        </w:tc>
      </w:tr>
      <w:tr>
        <w:trPr>
          <w:tblCellSpacing w:w="15" w:type="dxa"/>
          <w:trHeight w:val="225"/>
        </w:trPr>
        <w:tc>
          <w:tcPr>
            <w:tcW w:w="1755"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2067"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万元</w:t>
            </w:r>
            <w:r/>
          </w:p>
        </w:tc>
        <w:tc>
          <w:tcPr>
            <w:tcMar>
              <w:left w:w="105" w:type="dxa"/>
              <w:top w:w="0" w:type="dxa"/>
              <w:right w:w="105" w:type="dxa"/>
              <w:bottom w:w="0" w:type="dxa"/>
            </w:tcMar>
            <w:tcW w:w="1830"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1000≤Y＜10000</w:t>
            </w:r>
            <w:r/>
          </w:p>
        </w:tc>
        <w:tc>
          <w:tcPr>
            <w:tcMar>
              <w:left w:w="105" w:type="dxa"/>
              <w:top w:w="0" w:type="dxa"/>
              <w:right w:w="105" w:type="dxa"/>
              <w:bottom w:w="0" w:type="dxa"/>
            </w:tcMar>
            <w:tcW w:w="1890"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50≤Y＜1000</w:t>
            </w:r>
            <w:r/>
          </w:p>
        </w:tc>
        <w:tc>
          <w:tcPr>
            <w:tcMar>
              <w:left w:w="105" w:type="dxa"/>
              <w:top w:w="0" w:type="dxa"/>
              <w:right w:w="105" w:type="dxa"/>
              <w:bottom w:w="0" w:type="dxa"/>
            </w:tcMar>
            <w:tcW w:w="1482"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Y＜50</w:t>
            </w:r>
            <w:r/>
          </w:p>
        </w:tc>
      </w:tr>
      <w:tr>
        <w:trPr>
          <w:tblCellSpacing w:w="15" w:type="dxa"/>
          <w:trHeight w:val="225"/>
        </w:trPr>
        <w:tc>
          <w:tcPr>
            <w:tcMar>
              <w:left w:w="105" w:type="dxa"/>
              <w:top w:w="0" w:type="dxa"/>
              <w:right w:w="105" w:type="dxa"/>
              <w:bottom w:w="0" w:type="dxa"/>
            </w:tcMar>
            <w:tcW w:w="1755" w:type="dxa"/>
            <w:vAlign w:val="center"/>
            <w:vMerge w:val="restart"/>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房地产开发经营</w:t>
            </w:r>
            <w:r/>
          </w:p>
        </w:tc>
        <w:tc>
          <w:tcPr>
            <w:tcMar>
              <w:left w:w="105" w:type="dxa"/>
              <w:top w:w="0" w:type="dxa"/>
              <w:right w:w="105" w:type="dxa"/>
              <w:bottom w:w="0" w:type="dxa"/>
            </w:tcMar>
            <w:tcW w:w="2067"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万元</w:t>
            </w:r>
            <w:r/>
          </w:p>
        </w:tc>
        <w:tc>
          <w:tcPr>
            <w:tcMar>
              <w:left w:w="105" w:type="dxa"/>
              <w:top w:w="0" w:type="dxa"/>
              <w:right w:w="105" w:type="dxa"/>
              <w:bottom w:w="0" w:type="dxa"/>
            </w:tcMar>
            <w:tcW w:w="1830"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1000≤Y＜200000</w:t>
            </w:r>
            <w:r/>
          </w:p>
        </w:tc>
        <w:tc>
          <w:tcPr>
            <w:tcMar>
              <w:left w:w="105" w:type="dxa"/>
              <w:top w:w="0" w:type="dxa"/>
              <w:right w:w="105" w:type="dxa"/>
              <w:bottom w:w="0" w:type="dxa"/>
            </w:tcMar>
            <w:tcW w:w="1890"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100≤X＜1000</w:t>
            </w:r>
            <w:r/>
          </w:p>
        </w:tc>
        <w:tc>
          <w:tcPr>
            <w:tcMar>
              <w:left w:w="105" w:type="dxa"/>
              <w:top w:w="0" w:type="dxa"/>
              <w:right w:w="105" w:type="dxa"/>
              <w:bottom w:w="0" w:type="dxa"/>
            </w:tcMar>
            <w:tcW w:w="1482"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X＜100</w:t>
            </w:r>
            <w:r/>
          </w:p>
        </w:tc>
      </w:tr>
      <w:tr>
        <w:trPr>
          <w:tblCellSpacing w:w="15" w:type="dxa"/>
          <w:trHeight w:val="225"/>
        </w:trPr>
        <w:tc>
          <w:tcPr>
            <w:tcW w:w="1755"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2067"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资产总额（Z）</w:t>
            </w:r>
            <w:r/>
          </w:p>
        </w:tc>
        <w:tc>
          <w:tcPr>
            <w:tcMar>
              <w:left w:w="105" w:type="dxa"/>
              <w:top w:w="0" w:type="dxa"/>
              <w:right w:w="105" w:type="dxa"/>
              <w:bottom w:w="0" w:type="dxa"/>
            </w:tcMar>
            <w:tcW w:w="1151"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万元</w:t>
            </w:r>
            <w:r/>
          </w:p>
        </w:tc>
        <w:tc>
          <w:tcPr>
            <w:tcMar>
              <w:left w:w="105" w:type="dxa"/>
              <w:top w:w="0" w:type="dxa"/>
              <w:right w:w="105" w:type="dxa"/>
              <w:bottom w:w="0" w:type="dxa"/>
            </w:tcMar>
            <w:tcW w:w="1830"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5000≤Z＜10000</w:t>
            </w:r>
            <w:r/>
          </w:p>
        </w:tc>
        <w:tc>
          <w:tcPr>
            <w:tcMar>
              <w:left w:w="105" w:type="dxa"/>
              <w:top w:w="0" w:type="dxa"/>
              <w:right w:w="105" w:type="dxa"/>
              <w:bottom w:w="0" w:type="dxa"/>
            </w:tcMar>
            <w:tcW w:w="1890"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2000≤Y＜5000</w:t>
            </w:r>
            <w:r/>
          </w:p>
        </w:tc>
        <w:tc>
          <w:tcPr>
            <w:tcMar>
              <w:left w:w="105" w:type="dxa"/>
              <w:top w:w="0" w:type="dxa"/>
              <w:right w:w="105" w:type="dxa"/>
              <w:bottom w:w="0" w:type="dxa"/>
            </w:tcMar>
            <w:tcW w:w="1482"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Y＜2000</w:t>
            </w:r>
            <w:r/>
          </w:p>
        </w:tc>
      </w:tr>
      <w:tr>
        <w:trPr>
          <w:tblCellSpacing w:w="15" w:type="dxa"/>
          <w:trHeight w:val="225"/>
        </w:trPr>
        <w:tc>
          <w:tcPr>
            <w:tcMar>
              <w:left w:w="105" w:type="dxa"/>
              <w:top w:w="0" w:type="dxa"/>
              <w:right w:w="105" w:type="dxa"/>
              <w:bottom w:w="0" w:type="dxa"/>
            </w:tcMar>
            <w:tcW w:w="1755" w:type="dxa"/>
            <w:vAlign w:val="center"/>
            <w:vMerge w:val="restart"/>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物业管理</w:t>
            </w:r>
            <w:r/>
          </w:p>
        </w:tc>
        <w:tc>
          <w:tcPr>
            <w:tcMar>
              <w:left w:w="105" w:type="dxa"/>
              <w:top w:w="0" w:type="dxa"/>
              <w:right w:w="105" w:type="dxa"/>
              <w:bottom w:w="0" w:type="dxa"/>
            </w:tcMar>
            <w:tcW w:w="2067"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人</w:t>
            </w:r>
            <w:r/>
          </w:p>
        </w:tc>
        <w:tc>
          <w:tcPr>
            <w:tcMar>
              <w:left w:w="105" w:type="dxa"/>
              <w:top w:w="0" w:type="dxa"/>
              <w:right w:w="105" w:type="dxa"/>
              <w:bottom w:w="0" w:type="dxa"/>
            </w:tcMar>
            <w:tcW w:w="1830"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300≤X＜1000</w:t>
            </w:r>
            <w:r/>
          </w:p>
        </w:tc>
        <w:tc>
          <w:tcPr>
            <w:tcMar>
              <w:left w:w="105" w:type="dxa"/>
              <w:top w:w="0" w:type="dxa"/>
              <w:right w:w="105" w:type="dxa"/>
              <w:bottom w:w="0" w:type="dxa"/>
            </w:tcMar>
            <w:tcW w:w="1890"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100≤X＜300</w:t>
            </w:r>
            <w:r/>
          </w:p>
        </w:tc>
        <w:tc>
          <w:tcPr>
            <w:tcMar>
              <w:left w:w="105" w:type="dxa"/>
              <w:top w:w="0" w:type="dxa"/>
              <w:right w:w="105" w:type="dxa"/>
              <w:bottom w:w="0" w:type="dxa"/>
            </w:tcMar>
            <w:tcW w:w="1482"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X＜100</w:t>
            </w:r>
            <w:r/>
          </w:p>
        </w:tc>
      </w:tr>
      <w:tr>
        <w:trPr>
          <w:tblCellSpacing w:w="15" w:type="dxa"/>
          <w:trHeight w:val="225"/>
        </w:trPr>
        <w:tc>
          <w:tcPr>
            <w:tcW w:w="1755"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2067"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万元</w:t>
            </w:r>
            <w:r/>
          </w:p>
        </w:tc>
        <w:tc>
          <w:tcPr>
            <w:tcMar>
              <w:left w:w="105" w:type="dxa"/>
              <w:top w:w="0" w:type="dxa"/>
              <w:right w:w="105" w:type="dxa"/>
              <w:bottom w:w="0" w:type="dxa"/>
            </w:tcMar>
            <w:tcW w:w="1830"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1000≤Y＜5000</w:t>
            </w:r>
            <w:r/>
          </w:p>
        </w:tc>
        <w:tc>
          <w:tcPr>
            <w:tcMar>
              <w:left w:w="105" w:type="dxa"/>
              <w:top w:w="0" w:type="dxa"/>
              <w:right w:w="105" w:type="dxa"/>
              <w:bottom w:w="0" w:type="dxa"/>
            </w:tcMar>
            <w:tcW w:w="1890"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500≤Y＜1000</w:t>
            </w:r>
            <w:r/>
          </w:p>
        </w:tc>
        <w:tc>
          <w:tcPr>
            <w:tcMar>
              <w:left w:w="105" w:type="dxa"/>
              <w:top w:w="0" w:type="dxa"/>
              <w:right w:w="105" w:type="dxa"/>
              <w:bottom w:w="0" w:type="dxa"/>
            </w:tcMar>
            <w:tcW w:w="1482"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Y＜500</w:t>
            </w:r>
            <w:r/>
          </w:p>
        </w:tc>
      </w:tr>
      <w:tr>
        <w:trPr>
          <w:tblCellSpacing w:w="15" w:type="dxa"/>
          <w:trHeight w:val="225"/>
        </w:trPr>
        <w:tc>
          <w:tcPr>
            <w:tcMar>
              <w:left w:w="105" w:type="dxa"/>
              <w:top w:w="0" w:type="dxa"/>
              <w:right w:w="105" w:type="dxa"/>
              <w:bottom w:w="0" w:type="dxa"/>
            </w:tcMar>
            <w:tcW w:w="1755" w:type="dxa"/>
            <w:vAlign w:val="center"/>
            <w:vMerge w:val="restart"/>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租赁和商务服务业</w:t>
            </w:r>
            <w:r/>
          </w:p>
        </w:tc>
        <w:tc>
          <w:tcPr>
            <w:tcMar>
              <w:left w:w="105" w:type="dxa"/>
              <w:top w:w="0" w:type="dxa"/>
              <w:right w:w="105" w:type="dxa"/>
              <w:bottom w:w="0" w:type="dxa"/>
            </w:tcMar>
            <w:tcW w:w="2067"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人</w:t>
            </w:r>
            <w:r/>
          </w:p>
        </w:tc>
        <w:tc>
          <w:tcPr>
            <w:tcMar>
              <w:left w:w="105" w:type="dxa"/>
              <w:top w:w="0" w:type="dxa"/>
              <w:right w:w="105" w:type="dxa"/>
              <w:bottom w:w="0" w:type="dxa"/>
            </w:tcMar>
            <w:tcW w:w="1830"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100≤X＜300</w:t>
            </w:r>
            <w:r/>
          </w:p>
        </w:tc>
        <w:tc>
          <w:tcPr>
            <w:tcMar>
              <w:left w:w="105" w:type="dxa"/>
              <w:top w:w="0" w:type="dxa"/>
              <w:right w:w="105" w:type="dxa"/>
              <w:bottom w:w="0" w:type="dxa"/>
            </w:tcMar>
            <w:tcW w:w="1890"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10≤X＜100</w:t>
            </w:r>
            <w:r/>
          </w:p>
        </w:tc>
        <w:tc>
          <w:tcPr>
            <w:tcMar>
              <w:left w:w="105" w:type="dxa"/>
              <w:top w:w="0" w:type="dxa"/>
              <w:right w:w="105" w:type="dxa"/>
              <w:bottom w:w="0" w:type="dxa"/>
            </w:tcMar>
            <w:tcW w:w="1482"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X＜10</w:t>
            </w:r>
            <w:r/>
          </w:p>
        </w:tc>
      </w:tr>
      <w:tr>
        <w:trPr>
          <w:tblCellSpacing w:w="15" w:type="dxa"/>
          <w:trHeight w:val="225"/>
        </w:trPr>
        <w:tc>
          <w:tcPr>
            <w:tcW w:w="1755"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2067"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资产总额（Z）</w:t>
            </w:r>
            <w:r/>
          </w:p>
        </w:tc>
        <w:tc>
          <w:tcPr>
            <w:tcMar>
              <w:left w:w="105" w:type="dxa"/>
              <w:top w:w="0" w:type="dxa"/>
              <w:right w:w="105" w:type="dxa"/>
              <w:bottom w:w="0" w:type="dxa"/>
            </w:tcMar>
            <w:tcW w:w="1151"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万元</w:t>
            </w:r>
            <w:r/>
          </w:p>
        </w:tc>
        <w:tc>
          <w:tcPr>
            <w:tcMar>
              <w:left w:w="105" w:type="dxa"/>
              <w:top w:w="0" w:type="dxa"/>
              <w:right w:w="105" w:type="dxa"/>
              <w:bottom w:w="0" w:type="dxa"/>
            </w:tcMar>
            <w:tcW w:w="1830"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8000≤Z＜120000</w:t>
            </w:r>
            <w:r/>
          </w:p>
        </w:tc>
        <w:tc>
          <w:tcPr>
            <w:tcMar>
              <w:left w:w="105" w:type="dxa"/>
              <w:top w:w="0" w:type="dxa"/>
              <w:right w:w="105" w:type="dxa"/>
              <w:bottom w:w="0" w:type="dxa"/>
            </w:tcMar>
            <w:tcW w:w="1890"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100≤Z＜8000</w:t>
            </w:r>
            <w:r/>
          </w:p>
        </w:tc>
        <w:tc>
          <w:tcPr>
            <w:tcMar>
              <w:left w:w="105" w:type="dxa"/>
              <w:top w:w="0" w:type="dxa"/>
              <w:right w:w="105" w:type="dxa"/>
              <w:bottom w:w="0" w:type="dxa"/>
            </w:tcMar>
            <w:tcW w:w="1482"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755"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其他未列明行业</w:t>
            </w:r>
            <w:r/>
          </w:p>
        </w:tc>
        <w:tc>
          <w:tcPr>
            <w:tcMar>
              <w:left w:w="105" w:type="dxa"/>
              <w:top w:w="0" w:type="dxa"/>
              <w:right w:w="105" w:type="dxa"/>
              <w:bottom w:w="0" w:type="dxa"/>
            </w:tcMar>
            <w:tcW w:w="2067"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人</w:t>
            </w:r>
            <w:r/>
          </w:p>
        </w:tc>
        <w:tc>
          <w:tcPr>
            <w:tcMar>
              <w:left w:w="105" w:type="dxa"/>
              <w:top w:w="0" w:type="dxa"/>
              <w:right w:w="105" w:type="dxa"/>
              <w:bottom w:w="0" w:type="dxa"/>
            </w:tcMar>
            <w:tcW w:w="1830"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100≤X＜300</w:t>
            </w:r>
            <w:r/>
          </w:p>
        </w:tc>
        <w:tc>
          <w:tcPr>
            <w:tcMar>
              <w:left w:w="105" w:type="dxa"/>
              <w:top w:w="0" w:type="dxa"/>
              <w:right w:w="105" w:type="dxa"/>
              <w:bottom w:w="0" w:type="dxa"/>
            </w:tcMar>
            <w:tcW w:w="1890"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10≤X＜100</w:t>
            </w:r>
            <w:r/>
          </w:p>
        </w:tc>
        <w:tc>
          <w:tcPr>
            <w:tcMar>
              <w:left w:w="105" w:type="dxa"/>
              <w:top w:w="0" w:type="dxa"/>
              <w:right w:w="105" w:type="dxa"/>
              <w:bottom w:w="0" w:type="dxa"/>
            </w:tcMar>
            <w:tcW w:w="1482"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X＜10</w:t>
            </w:r>
            <w:r/>
          </w:p>
        </w:tc>
      </w:tr>
    </w:tbl>
    <w:p>
      <w:pPr>
        <w:pStyle w:val="1002"/>
        <w:ind w:firstLine="810"/>
        <w:spacing w:before="300" w:after="452" w:line="360" w:lineRule="auto"/>
        <w:widowControl/>
        <w:rPr>
          <w:rStyle w:val="980"/>
          <w:rFonts w:ascii="宋体" w:hAnsi="宋体" w:cs="仿宋"/>
          <w:color w:val="auto"/>
          <w:sz w:val="21"/>
          <w:szCs w:val="21"/>
          <w:highlight w:val="none"/>
        </w:rPr>
      </w:pPr>
      <w:r>
        <w:rPr>
          <w:rStyle w:val="980"/>
          <w:rFonts w:hint="eastAsia" w:ascii="宋体" w:hAnsi="宋体" w:cs="仿宋"/>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pStyle w:val="977"/>
        <w:rPr>
          <w:rStyle w:val="980"/>
          <w:rFonts w:cs="仿宋"/>
          <w:b w:val="0"/>
          <w:color w:val="auto"/>
          <w:sz w:val="21"/>
          <w:szCs w:val="21"/>
          <w:highlight w:val="none"/>
        </w:rPr>
      </w:pPr>
      <w:r>
        <w:rPr>
          <w:rStyle w:val="980"/>
          <w:rFonts w:ascii="宋体" w:hAnsi="宋体" w:cs="仿宋"/>
          <w:b w:val="0"/>
          <w:color w:val="auto"/>
          <w:sz w:val="21"/>
          <w:szCs w:val="21"/>
          <w:highlight w:val="none"/>
        </w:rPr>
        <w:br w:type="page" w:clear="all"/>
      </w:r>
      <w:r/>
    </w:p>
    <w:p>
      <w:pPr>
        <w:jc w:val="center"/>
        <w:rPr>
          <w:color w:val="auto"/>
          <w:highlight w:val="none"/>
        </w:rPr>
      </w:pPr>
      <w:r>
        <w:rPr>
          <w:rFonts w:hint="eastAsia" w:ascii="宋体" w:hAnsi="宋体"/>
          <w:b/>
          <w:bCs/>
          <w:color w:val="auto"/>
          <w:highlight w:val="none"/>
        </w:rPr>
        <w:t xml:space="preserve">残疾人福利性单位声明函</w:t>
      </w:r>
      <w:r/>
    </w:p>
    <w:p>
      <w:pPr>
        <w:ind w:firstLine="624"/>
        <w:spacing w:line="588" w:lineRule="exact"/>
        <w:rPr>
          <w:rFonts w:ascii="仿宋_GB2312" w:eastAsia="仿宋_GB2312"/>
          <w:color w:val="auto"/>
          <w:spacing w:val="6"/>
          <w:sz w:val="30"/>
          <w:szCs w:val="30"/>
          <w:highlight w:val="none"/>
        </w:rPr>
      </w:pPr>
      <w:r>
        <w:rPr>
          <w:rFonts w:ascii="仿宋_GB2312" w:eastAsia="仿宋_GB2312"/>
          <w:color w:val="auto"/>
          <w:spacing w:val="6"/>
          <w:sz w:val="30"/>
          <w:szCs w:val="30"/>
          <w:highlight w:val="none"/>
        </w:rPr>
      </w:r>
      <w:r/>
    </w:p>
    <w:p>
      <w:pPr>
        <w:ind w:firstLine="420"/>
        <w:spacing w:line="588" w:lineRule="exact"/>
        <w:rPr>
          <w:rFonts w:ascii="宋体" w:hAnsi="宋体"/>
          <w:color w:val="auto"/>
          <w:szCs w:val="21"/>
          <w:highlight w:val="none"/>
        </w:rPr>
      </w:pPr>
      <w:r>
        <w:rPr>
          <w:rFonts w:hint="eastAsia" w:ascii="宋体" w:hAnsi="宋体"/>
          <w:color w:val="auto"/>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588" w:lineRule="exact"/>
        <w:rPr>
          <w:rFonts w:ascii="宋体" w:hAnsi="宋体"/>
          <w:color w:val="auto"/>
          <w:szCs w:val="21"/>
          <w:highlight w:val="none"/>
        </w:rPr>
      </w:pPr>
      <w:r>
        <w:rPr>
          <w:rFonts w:hint="eastAsia" w:ascii="宋体" w:hAnsi="宋体"/>
          <w:color w:val="auto"/>
          <w:szCs w:val="21"/>
          <w:highlight w:val="none"/>
        </w:rPr>
        <w:t xml:space="preserve">本单位在本次政府采购活动中提供的残疾人福利单位产品报价合计为人民币（大写）</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圆整（￥：     ）。</w:t>
      </w:r>
      <w:r/>
    </w:p>
    <w:p>
      <w:pPr>
        <w:ind w:firstLine="420"/>
        <w:spacing w:line="588" w:lineRule="exact"/>
        <w:rPr>
          <w:rFonts w:ascii="宋体" w:hAnsi="宋体"/>
          <w:color w:val="auto"/>
          <w:szCs w:val="21"/>
          <w:highlight w:val="none"/>
        </w:rPr>
      </w:pPr>
      <w:r>
        <w:rPr>
          <w:rFonts w:hint="eastAsia" w:ascii="宋体" w:hAnsi="宋体"/>
          <w:color w:val="auto"/>
          <w:szCs w:val="21"/>
          <w:highlight w:val="none"/>
        </w:rPr>
        <w:t xml:space="preserve">本单位对上述声明的真实性负责。如有虚假，将依法承担相应责任。</w:t>
      </w:r>
      <w:r/>
    </w:p>
    <w:p>
      <w:pPr>
        <w:ind w:firstLine="420"/>
        <w:spacing w:line="588" w:lineRule="exact"/>
        <w:rPr>
          <w:rFonts w:ascii="宋体" w:hAnsi="宋体"/>
          <w:color w:val="auto"/>
          <w:szCs w:val="21"/>
          <w:highlight w:val="none"/>
        </w:rPr>
      </w:pPr>
      <w:r>
        <w:rPr>
          <w:rFonts w:ascii="宋体" w:hAnsi="宋体"/>
          <w:color w:val="auto"/>
          <w:szCs w:val="21"/>
          <w:highlight w:val="none"/>
        </w:rPr>
      </w:r>
      <w:r/>
    </w:p>
    <w:p>
      <w:pPr>
        <w:ind w:firstLine="420"/>
        <w:spacing w:line="588" w:lineRule="exact"/>
        <w:rPr>
          <w:rFonts w:ascii="宋体" w:hAnsi="宋体"/>
          <w:color w:val="auto"/>
          <w:szCs w:val="21"/>
          <w:highlight w:val="none"/>
        </w:rPr>
      </w:pPr>
      <w:r>
        <w:rPr>
          <w:rFonts w:hint="eastAsia" w:ascii="宋体" w:hAnsi="宋体"/>
          <w:color w:val="auto"/>
          <w:szCs w:val="21"/>
          <w:highlight w:val="none"/>
        </w:rPr>
        <w:t xml:space="preserve">（备注：1、供应商如不提供此声明函，价格将不做相应扣除。2、中标供应商为残疾人福利单位的，此声明函将随中标结果同时公告，接受社会监督）</w:t>
      </w:r>
      <w:r/>
    </w:p>
    <w:p>
      <w:pPr>
        <w:ind w:firstLine="444"/>
        <w:spacing w:line="588" w:lineRule="exact"/>
        <w:rPr>
          <w:rFonts w:ascii="仿宋_GB2312" w:eastAsia="仿宋_GB2312"/>
          <w:color w:val="auto"/>
          <w:spacing w:val="6"/>
          <w:szCs w:val="21"/>
          <w:highlight w:val="none"/>
        </w:rPr>
      </w:pPr>
      <w:r>
        <w:rPr>
          <w:rFonts w:ascii="仿宋_GB2312" w:eastAsia="仿宋_GB2312"/>
          <w:color w:val="auto"/>
          <w:spacing w:val="6"/>
          <w:szCs w:val="21"/>
          <w:highlight w:val="none"/>
        </w:rPr>
      </w:r>
      <w:r/>
    </w:p>
    <w:p>
      <w:pPr>
        <w:ind w:right="1560" w:firstLine="444"/>
        <w:jc w:val="center"/>
        <w:spacing w:line="588" w:lineRule="exact"/>
        <w:tabs>
          <w:tab w:val="left" w:pos="4860" w:leader="none"/>
        </w:tabs>
        <w:rPr>
          <w:rFonts w:ascii="宋体" w:hAnsi="宋体"/>
          <w:color w:val="auto"/>
          <w:szCs w:val="21"/>
          <w:highlight w:val="none"/>
        </w:rPr>
      </w:pPr>
      <w:r>
        <w:rPr>
          <w:rFonts w:hint="eastAsia" w:ascii="仿宋_GB2312" w:eastAsia="仿宋_GB2312"/>
          <w:color w:val="auto"/>
          <w:spacing w:val="6"/>
          <w:szCs w:val="21"/>
          <w:highlight w:val="none"/>
        </w:rPr>
        <w:t xml:space="preserve">             </w:t>
      </w:r>
      <w:r>
        <w:rPr>
          <w:rFonts w:hint="eastAsia" w:ascii="宋体" w:hAnsi="宋体"/>
          <w:color w:val="auto"/>
          <w:szCs w:val="21"/>
          <w:highlight w:val="none"/>
        </w:rPr>
        <w:t xml:space="preserve">               供应商全称（盖章）：</w:t>
      </w:r>
      <w:r/>
    </w:p>
    <w:p>
      <w:pPr>
        <w:ind w:right="1560" w:firstLine="420"/>
        <w:jc w:val="center"/>
        <w:spacing w:line="588" w:lineRule="exact"/>
        <w:tabs>
          <w:tab w:val="left" w:pos="4860" w:leader="none"/>
        </w:tabs>
        <w:rPr>
          <w:rFonts w:ascii="宋体" w:hAnsi="宋体"/>
          <w:color w:val="auto"/>
          <w:szCs w:val="21"/>
          <w:highlight w:val="none"/>
        </w:rPr>
      </w:pPr>
      <w:r>
        <w:rPr>
          <w:rFonts w:hint="eastAsia" w:ascii="宋体" w:hAnsi="宋体"/>
          <w:color w:val="auto"/>
          <w:szCs w:val="21"/>
          <w:highlight w:val="none"/>
        </w:rPr>
        <w:t xml:space="preserve">                              日  期：</w:t>
      </w:r>
      <w:r/>
    </w:p>
    <w:p>
      <w:pPr>
        <w:ind w:right="1560" w:firstLine="420"/>
        <w:jc w:val="center"/>
        <w:spacing w:line="588" w:lineRule="exact"/>
        <w:tabs>
          <w:tab w:val="left" w:pos="4860" w:leader="none"/>
        </w:tabs>
        <w:rPr>
          <w:rFonts w:ascii="宋体" w:hAnsi="宋体"/>
          <w:color w:val="auto"/>
          <w:szCs w:val="21"/>
          <w:highlight w:val="none"/>
        </w:rPr>
      </w:pPr>
      <w:r>
        <w:rPr>
          <w:rFonts w:hint="eastAsia" w:ascii="宋体" w:hAnsi="宋体"/>
          <w:color w:val="auto"/>
          <w:szCs w:val="21"/>
          <w:highlight w:val="none"/>
        </w:rPr>
        <w:t xml:space="preserve">                              日  期：</w:t>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center"/>
        <w:spacing w:line="360" w:lineRule="auto"/>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rPr>
          <w:rFonts w:ascii="宋体" w:hAnsi="宋体"/>
          <w:color w:val="auto"/>
          <w:sz w:val="32"/>
          <w:szCs w:val="32"/>
          <w:highlight w:val="none"/>
        </w:rPr>
      </w:pPr>
      <w:r>
        <w:rPr>
          <w:rFonts w:ascii="宋体" w:hAnsi="宋体"/>
          <w:color w:val="auto"/>
          <w:sz w:val="32"/>
          <w:szCs w:val="32"/>
          <w:highlight w:val="none"/>
        </w:rPr>
      </w:r>
      <w:r/>
    </w:p>
    <w:p>
      <w:pPr>
        <w:pStyle w:val="975"/>
        <w:ind w:firstLine="3213"/>
        <w:jc w:val="both"/>
        <w:spacing w:line="360" w:lineRule="auto"/>
        <w:rPr>
          <w:rFonts w:ascii="宋体" w:hAnsi="宋体" w:eastAsia="宋体" w:cs="宋体"/>
          <w:color w:val="auto"/>
          <w:sz w:val="24"/>
          <w:szCs w:val="20"/>
          <w:highlight w:val="none"/>
        </w:rPr>
      </w:pPr>
      <w:r>
        <w:rPr>
          <w:rFonts w:hint="eastAsia" w:ascii="宋体" w:hAnsi="宋体" w:eastAsia="宋体" w:cs="宋体"/>
          <w:bCs w:val="0"/>
          <w:color w:val="auto"/>
          <w:sz w:val="32"/>
          <w:szCs w:val="32"/>
          <w:highlight w:val="none"/>
        </w:rPr>
        <w:t xml:space="preserve">四、</w:t>
      </w:r>
      <w:r>
        <w:rPr>
          <w:rFonts w:hint="eastAsia" w:ascii="宋体" w:hAnsi="宋体" w:eastAsia="宋体" w:cs="宋体"/>
          <w:color w:val="auto"/>
          <w:sz w:val="32"/>
          <w:szCs w:val="32"/>
          <w:highlight w:val="none"/>
        </w:rPr>
        <w:t xml:space="preserve">开标一览表</w:t>
      </w:r>
      <w:r/>
    </w:p>
    <w:p>
      <w:pPr>
        <w:ind w:firstLine="480"/>
        <w:spacing w:line="360" w:lineRule="auto"/>
        <w:rPr>
          <w:color w:val="auto"/>
          <w:szCs w:val="21"/>
          <w:highlight w:val="none"/>
        </w:rPr>
      </w:pPr>
      <w:r>
        <w:rPr>
          <w:rFonts w:hint="eastAsia" w:ascii="宋体" w:hAnsi="宋体"/>
          <w:color w:val="auto"/>
          <w:szCs w:val="21"/>
          <w:highlight w:val="none"/>
        </w:rPr>
        <w:t xml:space="preserve">项目名称：</w:t>
      </w:r>
      <w:r/>
    </w:p>
    <w:p>
      <w:pPr>
        <w:ind w:firstLine="480"/>
        <w:spacing w:line="360" w:lineRule="auto"/>
        <w:rPr>
          <w:rFonts w:ascii="宋体" w:hAnsi="宋体"/>
          <w:color w:val="auto"/>
          <w:szCs w:val="21"/>
          <w:highlight w:val="none"/>
        </w:rPr>
      </w:pPr>
      <w:r>
        <w:rPr>
          <w:rFonts w:hint="eastAsia" w:ascii="宋体" w:hAnsi="宋体"/>
          <w:color w:val="auto"/>
          <w:szCs w:val="21"/>
          <w:highlight w:val="none"/>
        </w:rPr>
        <w:t xml:space="preserve">项目编号：</w:t>
      </w:r>
      <w:r/>
    </w:p>
    <w:p>
      <w:pPr>
        <w:ind w:firstLine="480"/>
        <w:spacing w:line="360" w:lineRule="auto"/>
        <w:rPr>
          <w:rFonts w:ascii="宋体" w:hAnsi="宋体"/>
          <w:color w:val="auto"/>
          <w:szCs w:val="21"/>
          <w:highlight w:val="none"/>
        </w:rPr>
      </w:pPr>
      <w:r>
        <w:rPr>
          <w:rFonts w:hint="eastAsia" w:ascii="宋体" w:hAnsi="宋体"/>
          <w:color w:val="auto"/>
          <w:szCs w:val="21"/>
          <w:highlight w:val="none"/>
        </w:rPr>
        <w:t xml:space="preserve">分包号： </w:t>
      </w:r>
      <w:r/>
    </w:p>
    <w:p>
      <w:pPr>
        <w:ind w:firstLine="480"/>
        <w:rPr>
          <w:rFonts w:ascii="宋体" w:hAnsi="宋体"/>
          <w:color w:val="auto"/>
          <w:szCs w:val="21"/>
          <w:highlight w:val="none"/>
        </w:rPr>
      </w:pPr>
      <w:r>
        <w:rPr>
          <w:rFonts w:hint="eastAsia" w:ascii="宋体" w:hAnsi="宋体"/>
          <w:color w:val="auto"/>
          <w:szCs w:val="21"/>
          <w:highlight w:val="none"/>
        </w:rPr>
        <w:t xml:space="preserve">                       </w:t>
      </w:r>
      <w:r/>
    </w:p>
    <w:tbl>
      <w:tblPr>
        <w:tblStyle w:val="766"/>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131"/>
      </w:tblGrid>
      <w:tr>
        <w:trPr>
          <w:cantSplit/>
          <w:trHeight w:val="1098"/>
        </w:trPr>
        <w:tc>
          <w:tcPr>
            <w:tcW w:w="2481" w:type="dxa"/>
            <w:vAlign w:val="center"/>
            <w:textDirection w:val="lrTb"/>
            <w:noWrap w:val="false"/>
          </w:tcPr>
          <w:p>
            <w:pPr>
              <w:pStyle w:val="983"/>
              <w:spacing w:line="30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投标服务或产品名称</w:t>
            </w:r>
            <w:r/>
          </w:p>
        </w:tc>
        <w:tc>
          <w:tcPr>
            <w:tcW w:w="6131" w:type="dxa"/>
            <w:vAlign w:val="center"/>
            <w:textDirection w:val="lrTb"/>
            <w:noWrap w:val="false"/>
          </w:tcPr>
          <w:p>
            <w:pPr>
              <w:rPr>
                <w:rFonts w:ascii="宋体" w:hAnsi="宋体"/>
                <w:color w:val="auto"/>
                <w:szCs w:val="21"/>
                <w:highlight w:val="none"/>
              </w:rPr>
            </w:pPr>
            <w:r>
              <w:rPr>
                <w:rFonts w:hint="eastAsia" w:ascii="宋体" w:hAnsi="宋体" w:cs="宋体"/>
                <w:color w:val="auto"/>
                <w:szCs w:val="21"/>
                <w:highlight w:val="none"/>
              </w:rPr>
              <w:t xml:space="preserve">                    </w:t>
            </w:r>
            <w:r>
              <w:rPr>
                <w:rFonts w:hint="eastAsia" w:ascii="宋体" w:hAnsi="宋体" w:cs="宋体"/>
                <w:color w:val="auto"/>
                <w:szCs w:val="21"/>
                <w:highlight w:val="none"/>
              </w:rPr>
              <w:t xml:space="preserve"> </w:t>
            </w:r>
            <w:r>
              <w:rPr>
                <w:rFonts w:hint="eastAsia" w:ascii="宋体" w:hAnsi="宋体" w:cs="宋体"/>
                <w:color w:val="auto"/>
                <w:szCs w:val="21"/>
                <w:highlight w:val="none"/>
                <w:lang w:val="en-US" w:eastAsia="zh-CN"/>
              </w:rPr>
              <w:t xml:space="preserve">投标总报价</w:t>
            </w:r>
            <w:r/>
          </w:p>
        </w:tc>
      </w:tr>
      <w:tr>
        <w:trPr>
          <w:cantSplit/>
          <w:trHeight w:val="1697"/>
        </w:trPr>
        <w:tc>
          <w:tcPr>
            <w:tcW w:w="2481" w:type="dxa"/>
            <w:vAlign w:val="center"/>
            <w:textDirection w:val="lrTb"/>
            <w:noWrap w:val="false"/>
          </w:tcPr>
          <w:p>
            <w:pPr>
              <w:pStyle w:val="983"/>
              <w:spacing w:line="30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6131" w:type="dxa"/>
            <w:vAlign w:val="center"/>
            <w:textDirection w:val="lrTb"/>
            <w:noWrap w:val="false"/>
          </w:tcPr>
          <w:p>
            <w:pPr>
              <w:pStyle w:val="1015"/>
              <w:ind w:firstLine="0"/>
              <w:spacing w:before="0" w:after="0" w:line="5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大写：                       </w:t>
            </w:r>
            <w:r/>
          </w:p>
          <w:p>
            <w:pPr>
              <w:pStyle w:val="1015"/>
              <w:ind w:firstLine="0"/>
              <w:spacing w:before="0" w:after="0" w:line="5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小写：    </w:t>
            </w:r>
            <w:r>
              <w:rPr>
                <w:rFonts w:hint="eastAsia" w:ascii="宋体" w:hAnsi="宋体" w:cs="宋体"/>
                <w:color w:val="auto"/>
                <w:sz w:val="21"/>
                <w:szCs w:val="21"/>
                <w:highlight w:val="none"/>
                <w:lang w:val="en-US" w:eastAsia="zh-CN"/>
              </w:rPr>
              <w:t xml:space="preserve">                              </w:t>
            </w:r>
            <w:r>
              <w:rPr>
                <w:rFonts w:hint="eastAsia" w:ascii="宋体" w:hAnsi="宋体" w:cs="宋体"/>
                <w:color w:val="auto"/>
                <w:sz w:val="21"/>
                <w:szCs w:val="21"/>
                <w:highlight w:val="none"/>
              </w:rPr>
              <w:t xml:space="preserve">（人民币：元 ）                        </w:t>
            </w:r>
            <w:r/>
          </w:p>
        </w:tc>
      </w:tr>
    </w:tbl>
    <w:p>
      <w:pPr>
        <w:rPr>
          <w:rFonts w:ascii="宋体" w:hAnsi="宋体"/>
          <w:color w:val="auto"/>
          <w:szCs w:val="21"/>
          <w:highlight w:val="none"/>
        </w:rPr>
      </w:pPr>
      <w:r>
        <w:rPr>
          <w:rFonts w:ascii="宋体" w:hAnsi="宋体"/>
          <w:color w:val="auto"/>
          <w:szCs w:val="21"/>
          <w:highlight w:val="none"/>
        </w:rPr>
      </w:r>
      <w:r/>
    </w:p>
    <w:p>
      <w:pPr>
        <w:ind w:firstLine="480"/>
        <w:rPr>
          <w:rFonts w:ascii="宋体" w:hAnsi="宋体"/>
          <w:color w:val="auto"/>
          <w:szCs w:val="21"/>
          <w:highlight w:val="none"/>
        </w:rPr>
      </w:pPr>
      <w:r>
        <w:rPr>
          <w:rFonts w:hint="eastAsia" w:ascii="宋体" w:hAnsi="宋体"/>
          <w:color w:val="auto"/>
          <w:szCs w:val="21"/>
          <w:highlight w:val="none"/>
        </w:rPr>
        <w:t xml:space="preserve">                                              日期：  </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年</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月</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日</w:t>
      </w:r>
      <w:r/>
    </w:p>
    <w:p>
      <w:pPr>
        <w:ind w:firstLine="422"/>
        <w:spacing w:line="360" w:lineRule="auto"/>
        <w:rPr>
          <w:rFonts w:ascii="宋体" w:hAnsi="宋体" w:cs="宋体"/>
          <w:b/>
          <w:bCs/>
          <w:iCs/>
          <w:color w:val="auto"/>
          <w:szCs w:val="21"/>
          <w:highlight w:val="none"/>
        </w:rPr>
      </w:pPr>
      <w:r>
        <w:rPr>
          <w:rFonts w:ascii="宋体" w:hAnsi="宋体" w:cs="宋体"/>
          <w:b/>
          <w:bCs/>
          <w:iCs/>
          <w:color w:val="auto"/>
          <w:szCs w:val="21"/>
          <w:highlight w:val="none"/>
        </w:rPr>
      </w:r>
      <w:r/>
    </w:p>
    <w:p>
      <w:pPr>
        <w:ind w:firstLine="422"/>
        <w:jc w:val="both"/>
        <w:keepLines w:val="0"/>
        <w:keepNext w:val="0"/>
        <w:pageBreakBefore w:val="0"/>
        <w:spacing w:line="440" w:lineRule="exact"/>
        <w:widowControl w:val="off"/>
        <w:rPr>
          <w:rFonts w:hint="eastAsia" w:ascii="宋体" w:hAnsi="宋体" w:eastAsia="宋体" w:cs="宋体"/>
          <w:i/>
          <w:color w:val="auto"/>
          <w:sz w:val="21"/>
          <w:szCs w:val="21"/>
          <w:highlight w:val="none"/>
          <w:u w:val="single"/>
        </w:rPr>
      </w:pPr>
      <w:r>
        <w:rPr>
          <w:rFonts w:hint="eastAsia" w:ascii="宋体" w:hAnsi="宋体" w:eastAsia="宋体" w:cs="宋体"/>
          <w:b/>
          <w:bCs/>
          <w:i w:val="0"/>
          <w:iCs/>
          <w:color w:val="auto"/>
          <w:sz w:val="21"/>
          <w:szCs w:val="21"/>
          <w:highlight w:val="none"/>
          <w:lang w:val="en-US" w:eastAsia="zh-CN"/>
        </w:rPr>
        <w:t xml:space="preserve">1</w:t>
      </w:r>
      <w:r>
        <w:rPr>
          <w:rFonts w:hint="eastAsia" w:ascii="宋体" w:hAnsi="宋体" w:eastAsia="宋体" w:cs="宋体"/>
          <w:b/>
          <w:bCs/>
          <w:i w:val="0"/>
          <w:iCs/>
          <w:color w:val="auto"/>
          <w:sz w:val="21"/>
          <w:szCs w:val="21"/>
          <w:highlight w:val="none"/>
        </w:rPr>
        <w:t xml:space="preserve">、</w:t>
      </w:r>
      <w:r>
        <w:rPr>
          <w:rFonts w:hint="eastAsia" w:ascii="宋体" w:hAnsi="宋体" w:eastAsia="宋体" w:cs="宋体"/>
          <w:i/>
          <w:color w:val="auto"/>
          <w:sz w:val="21"/>
          <w:szCs w:val="21"/>
          <w:highlight w:val="none"/>
          <w:u w:val="single"/>
        </w:rPr>
        <w:t xml:space="preserve">投标报价应包括采购文件所规定的采购范围的全部内容。</w:t>
      </w:r>
      <w:r/>
    </w:p>
    <w:p>
      <w:pPr>
        <w:pStyle w:val="1024"/>
        <w:ind w:firstLine="41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b/>
          <w:bCs/>
          <w:color w:val="auto"/>
          <w:spacing w:val="-3"/>
          <w:sz w:val="21"/>
          <w:szCs w:val="21"/>
          <w:highlight w:val="none"/>
          <w:lang w:val="en-US" w:eastAsia="zh-CN"/>
        </w:rPr>
        <w:t xml:space="preserve">4、</w:t>
      </w:r>
      <w:r>
        <w:rPr>
          <w:rFonts w:hint="eastAsia" w:ascii="宋体" w:hAnsi="宋体" w:eastAsia="宋体" w:cs="宋体"/>
          <w:b/>
          <w:bCs/>
          <w:color w:val="auto"/>
          <w:spacing w:val="-3"/>
          <w:sz w:val="21"/>
          <w:szCs w:val="21"/>
          <w:highlight w:val="none"/>
        </w:rPr>
        <w:t xml:space="preserve">如有分包，投标人投任何一个包的标的，都需单独填写开标一览表。</w:t>
      </w:r>
      <w:r/>
    </w:p>
    <w:p>
      <w:pPr>
        <w:pStyle w:val="975"/>
        <w:ind w:firstLine="3213"/>
        <w:jc w:val="both"/>
        <w:rPr>
          <w:rFonts w:ascii="宋体" w:hAnsi="宋体" w:eastAsia="宋体" w:cs="Times New Roman"/>
          <w:bCs w:val="0"/>
          <w:color w:val="auto"/>
          <w:sz w:val="32"/>
          <w:szCs w:val="32"/>
          <w:highlight w:val="none"/>
        </w:rPr>
      </w:pPr>
      <w:r>
        <w:rPr>
          <w:rFonts w:ascii="宋体" w:hAnsi="宋体" w:eastAsia="宋体" w:cs="Times New Roman"/>
          <w:bCs w:val="0"/>
          <w:color w:val="auto"/>
          <w:sz w:val="32"/>
          <w:szCs w:val="32"/>
          <w:highlight w:val="none"/>
        </w:rPr>
      </w:r>
      <w:r/>
    </w:p>
    <w:p>
      <w:pPr>
        <w:pStyle w:val="976"/>
        <w:ind w:firstLine="640"/>
        <w:rPr>
          <w:rFonts w:ascii="宋体" w:hAnsi="宋体"/>
          <w:color w:val="auto"/>
          <w:sz w:val="32"/>
          <w:szCs w:val="32"/>
          <w:highlight w:val="none"/>
        </w:rPr>
      </w:pPr>
      <w:r>
        <w:rPr>
          <w:rFonts w:ascii="宋体" w:hAnsi="宋体"/>
          <w:color w:val="auto"/>
          <w:sz w:val="32"/>
          <w:szCs w:val="32"/>
          <w:highlight w:val="none"/>
        </w:rPr>
      </w:r>
      <w:r/>
    </w:p>
    <w:p>
      <w:pPr>
        <w:rPr>
          <w:rFonts w:ascii="宋体" w:hAnsi="宋体"/>
          <w:color w:val="auto"/>
          <w:sz w:val="32"/>
          <w:szCs w:val="32"/>
          <w:highlight w:val="none"/>
        </w:rPr>
      </w:pPr>
      <w:r>
        <w:rPr>
          <w:rFonts w:hint="eastAsia" w:ascii="宋体" w:hAnsi="宋体"/>
          <w:color w:val="auto"/>
          <w:sz w:val="32"/>
          <w:szCs w:val="32"/>
          <w:highlight w:val="none"/>
        </w:rPr>
        <w:br w:type="page" w:clear="all"/>
      </w:r>
      <w:r/>
    </w:p>
    <w:p>
      <w:pPr>
        <w:pStyle w:val="975"/>
        <w:rPr>
          <w:rFonts w:ascii="宋体" w:hAnsi="宋体" w:eastAsia="宋体" w:cs="Times New Roman"/>
          <w:bCs w:val="0"/>
          <w:color w:val="auto"/>
          <w:sz w:val="32"/>
          <w:szCs w:val="32"/>
          <w:highlight w:val="none"/>
        </w:rPr>
      </w:pPr>
      <w:r/>
      <w:bookmarkStart w:id="58" w:name="_Toc113352361"/>
      <w:r>
        <w:rPr>
          <w:rFonts w:hint="eastAsia" w:ascii="宋体" w:hAnsi="宋体" w:eastAsia="宋体" w:cs="Times New Roman"/>
          <w:bCs w:val="0"/>
          <w:color w:val="auto"/>
          <w:sz w:val="32"/>
          <w:szCs w:val="32"/>
          <w:highlight w:val="none"/>
        </w:rPr>
        <w:t xml:space="preserve">五、分项报价表</w:t>
      </w:r>
      <w:bookmarkEnd w:id="58"/>
      <w:r/>
      <w:r/>
    </w:p>
    <w:tbl>
      <w:tblPr>
        <w:tblStyle w:val="76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70"/>
        <w:gridCol w:w="1733"/>
        <w:gridCol w:w="2409"/>
        <w:gridCol w:w="1985"/>
      </w:tblGrid>
      <w:tr>
        <w:trPr>
          <w:cantSplit/>
          <w:trHeight w:val="544"/>
        </w:trPr>
        <w:tc>
          <w:tcPr>
            <w:tcW w:w="2770"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1</w:t>
            </w:r>
            <w:r/>
          </w:p>
        </w:tc>
        <w:tc>
          <w:tcPr>
            <w:tcW w:w="1733"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2</w:t>
            </w:r>
            <w:r/>
          </w:p>
        </w:tc>
        <w:tc>
          <w:tcPr>
            <w:tcW w:w="2409"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3</w:t>
            </w:r>
            <w:r/>
          </w:p>
        </w:tc>
        <w:tc>
          <w:tcPr>
            <w:tcW w:w="1985"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4</w:t>
            </w:r>
            <w:r/>
          </w:p>
        </w:tc>
      </w:tr>
      <w:tr>
        <w:trPr>
          <w:cantSplit/>
          <w:trHeight w:val="437"/>
        </w:trPr>
        <w:tc>
          <w:tcPr>
            <w:tcW w:w="2770"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名称</w:t>
            </w:r>
            <w:r/>
          </w:p>
        </w:tc>
        <w:tc>
          <w:tcPr>
            <w:tcW w:w="1733"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数量</w:t>
            </w:r>
            <w:r/>
          </w:p>
        </w:tc>
        <w:tc>
          <w:tcPr>
            <w:tcW w:w="2409"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单价</w:t>
            </w:r>
            <w:r/>
          </w:p>
        </w:tc>
        <w:tc>
          <w:tcPr>
            <w:tcW w:w="1985"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总价</w:t>
            </w:r>
            <w:r/>
          </w:p>
        </w:tc>
      </w:tr>
      <w:tr>
        <w:trPr>
          <w:cantSplit/>
          <w:trHeight w:val="924"/>
        </w:trPr>
        <w:tc>
          <w:tcPr>
            <w:tcW w:w="277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733"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2409"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985"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cantSplit/>
          <w:trHeight w:val="924"/>
        </w:trPr>
        <w:tc>
          <w:tcPr>
            <w:tcW w:w="277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733"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2409"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985"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cantSplit/>
          <w:trHeight w:val="924"/>
        </w:trPr>
        <w:tc>
          <w:tcPr>
            <w:tcW w:w="277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733"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2409"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985"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cantSplit/>
          <w:trHeight w:val="580"/>
        </w:trPr>
        <w:tc>
          <w:tcPr>
            <w:tcW w:w="277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733"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2409"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985"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cantSplit/>
          <w:trHeight w:val="580"/>
        </w:trPr>
        <w:tc>
          <w:tcPr>
            <w:tcW w:w="2770" w:type="dxa"/>
            <w:vAlign w:val="center"/>
            <w:textDirection w:val="lrTb"/>
            <w:noWrap w:val="false"/>
          </w:tcPr>
          <w:p>
            <w:pPr>
              <w:rPr>
                <w:rFonts w:ascii="宋体" w:hAnsi="宋体"/>
                <w:color w:val="auto"/>
                <w:szCs w:val="21"/>
                <w:highlight w:val="none"/>
              </w:rPr>
            </w:pPr>
            <w:r>
              <w:rPr>
                <w:rFonts w:hint="eastAsia" w:ascii="宋体" w:hAnsi="宋体"/>
                <w:color w:val="auto"/>
                <w:szCs w:val="21"/>
                <w:highlight w:val="none"/>
              </w:rPr>
              <w:t xml:space="preserve">合计</w:t>
            </w:r>
            <w:r/>
          </w:p>
        </w:tc>
        <w:tc>
          <w:tcPr>
            <w:gridSpan w:val="3"/>
            <w:tcW w:w="6127"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bl>
    <w:p>
      <w:pPr>
        <w:pStyle w:val="976"/>
        <w:ind w:firstLine="0"/>
        <w:rPr>
          <w:rFonts w:ascii="宋体" w:hAnsi="宋体"/>
          <w:color w:val="auto"/>
          <w:sz w:val="32"/>
          <w:highlight w:val="none"/>
        </w:rPr>
        <w:sectPr>
          <w:headerReference w:type="default" r:id="rId11"/>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color w:val="auto"/>
          <w:sz w:val="32"/>
          <w:highlight w:val="none"/>
        </w:rPr>
      </w:r>
      <w:r/>
    </w:p>
    <w:p>
      <w:pPr>
        <w:pStyle w:val="975"/>
        <w:rPr>
          <w:rFonts w:ascii="宋体" w:hAnsi="宋体" w:eastAsia="宋体"/>
          <w:color w:val="auto"/>
          <w:sz w:val="32"/>
          <w:highlight w:val="none"/>
        </w:rPr>
      </w:pPr>
      <w:r>
        <w:rPr>
          <w:rFonts w:hint="eastAsia" w:ascii="宋体" w:hAnsi="宋体" w:eastAsia="宋体"/>
          <w:color w:val="auto"/>
          <w:sz w:val="32"/>
          <w:highlight w:val="none"/>
        </w:rPr>
        <w:t xml:space="preserve">六、技术参数响应及偏离表</w:t>
      </w:r>
      <w:r/>
    </w:p>
    <w:p>
      <w:pPr>
        <w:pStyle w:val="976"/>
        <w:ind w:firstLine="0"/>
        <w:rPr>
          <w:color w:val="auto"/>
          <w:highlight w:val="none"/>
        </w:rPr>
      </w:pPr>
      <w:r>
        <w:rPr>
          <w:rFonts w:hint="eastAsia"/>
          <w:color w:val="auto"/>
          <w:highlight w:val="none"/>
        </w:rPr>
        <w:t xml:space="preserve">分包号：</w:t>
      </w:r>
      <w:r/>
    </w:p>
    <w:tbl>
      <w:tblPr>
        <w:tblStyle w:val="766"/>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852"/>
        <w:gridCol w:w="2852"/>
        <w:gridCol w:w="1308"/>
        <w:gridCol w:w="874"/>
      </w:tblGrid>
      <w:tr>
        <w:trPr>
          <w:cantSplit/>
        </w:trPr>
        <w:tc>
          <w:tcPr>
            <w:tcW w:w="984"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序号</w:t>
            </w:r>
            <w:r/>
          </w:p>
        </w:tc>
        <w:tc>
          <w:tcPr>
            <w:tcW w:w="2852"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招标要求</w:t>
            </w:r>
            <w:r/>
          </w:p>
        </w:tc>
        <w:tc>
          <w:tcPr>
            <w:tcW w:w="2852"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投标响应</w:t>
            </w:r>
            <w:r/>
          </w:p>
        </w:tc>
        <w:tc>
          <w:tcPr>
            <w:tcW w:w="1308"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超出、符合或偏离</w:t>
            </w:r>
            <w:r/>
          </w:p>
        </w:tc>
        <w:tc>
          <w:tcPr>
            <w:tcW w:w="874"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证明材料</w:t>
            </w:r>
            <w:r/>
          </w:p>
        </w:tc>
      </w:tr>
      <w:tr>
        <w:trPr>
          <w:cantSplit/>
          <w:trHeight w:val="640"/>
        </w:trPr>
        <w:tc>
          <w:tcPr>
            <w:tcW w:w="984"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852"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852"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308"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874"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852"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852"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308"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874"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852"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852"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308"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874"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852"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852"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308"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874"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852"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852"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308"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874"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852"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852"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308"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874"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852"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852"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308"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874"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852"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852"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308"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874"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bl>
    <w:p>
      <w:pPr>
        <w:rPr>
          <w:rFonts w:ascii="宋体" w:hAnsi="宋体"/>
          <w:color w:val="auto"/>
          <w:sz w:val="24"/>
          <w:szCs w:val="24"/>
          <w:highlight w:val="none"/>
        </w:rPr>
      </w:pPr>
      <w:r>
        <w:rPr>
          <w:rFonts w:ascii="宋体" w:hAnsi="宋体"/>
          <w:color w:val="auto"/>
          <w:sz w:val="24"/>
          <w:szCs w:val="24"/>
          <w:highlight w:val="none"/>
        </w:rPr>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注：1、按照基本技术要求详细填列。</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2、行数不够，可自行添加。</w:t>
      </w:r>
      <w:r/>
    </w:p>
    <w:p>
      <w:pPr>
        <w:jc w:val="center"/>
        <w:rPr>
          <w:rFonts w:ascii="黑体" w:hAnsi="Arial" w:eastAsia="黑体"/>
          <w:b/>
          <w:color w:val="auto"/>
          <w:sz w:val="36"/>
          <w:highlight w:val="none"/>
        </w:rPr>
      </w:pPr>
      <w:r>
        <w:rPr>
          <w:rFonts w:ascii="黑体" w:hAnsi="Arial" w:eastAsia="黑体"/>
          <w:b/>
          <w:color w:val="auto"/>
          <w:sz w:val="36"/>
          <w:highlight w:val="none"/>
        </w:rPr>
      </w:r>
      <w:r/>
    </w:p>
    <w:p>
      <w:pPr>
        <w:jc w:val="center"/>
        <w:rPr>
          <w:rFonts w:ascii="黑体" w:hAnsi="Arial" w:eastAsia="黑体"/>
          <w:b/>
          <w:color w:val="auto"/>
          <w:sz w:val="36"/>
          <w:highlight w:val="none"/>
        </w:rPr>
      </w:pPr>
      <w:r>
        <w:rPr>
          <w:rFonts w:ascii="黑体" w:hAnsi="Arial" w:eastAsia="黑体"/>
          <w:b/>
          <w:color w:val="auto"/>
          <w:sz w:val="36"/>
          <w:highlight w:val="none"/>
        </w:rPr>
      </w:r>
      <w:r/>
    </w:p>
    <w:p>
      <w:pPr>
        <w:jc w:val="center"/>
        <w:rPr>
          <w:rFonts w:ascii="黑体" w:hAnsi="Arial" w:eastAsia="黑体"/>
          <w:b/>
          <w:color w:val="auto"/>
          <w:sz w:val="36"/>
          <w:highlight w:val="none"/>
        </w:rPr>
      </w:pPr>
      <w:r>
        <w:rPr>
          <w:rFonts w:ascii="黑体" w:hAnsi="Arial" w:eastAsia="黑体"/>
          <w:b/>
          <w:color w:val="auto"/>
          <w:sz w:val="36"/>
          <w:highlight w:val="none"/>
        </w:rPr>
      </w:r>
      <w:r/>
    </w:p>
    <w:p>
      <w:pPr>
        <w:jc w:val="center"/>
        <w:rPr>
          <w:rFonts w:ascii="黑体" w:hAnsi="Arial" w:eastAsia="黑体"/>
          <w:b/>
          <w:color w:val="auto"/>
          <w:sz w:val="36"/>
          <w:highlight w:val="none"/>
        </w:rPr>
      </w:pPr>
      <w:r>
        <w:rPr>
          <w:rFonts w:ascii="黑体" w:hAnsi="Arial" w:eastAsia="黑体"/>
          <w:b/>
          <w:color w:val="auto"/>
          <w:sz w:val="36"/>
          <w:highlight w:val="none"/>
        </w:rPr>
      </w:r>
      <w:r/>
    </w:p>
    <w:p>
      <w:pPr>
        <w:rPr>
          <w:rFonts w:ascii="黑体" w:hAnsi="Arial" w:eastAsia="黑体"/>
          <w:color w:val="auto"/>
          <w:sz w:val="32"/>
          <w:highlight w:val="none"/>
        </w:rPr>
      </w:pPr>
      <w:r>
        <w:rPr>
          <w:rFonts w:ascii="黑体" w:hAnsi="Arial" w:eastAsia="黑体"/>
          <w:color w:val="auto"/>
          <w:sz w:val="32"/>
          <w:highlight w:val="none"/>
        </w:rPr>
      </w:r>
      <w:r/>
    </w:p>
    <w:p>
      <w:pPr>
        <w:rPr>
          <w:rFonts w:ascii="黑体" w:hAnsi="Arial" w:eastAsia="黑体"/>
          <w:color w:val="auto"/>
          <w:sz w:val="32"/>
          <w:highlight w:val="none"/>
        </w:rPr>
      </w:pPr>
      <w:r>
        <w:rPr>
          <w:rFonts w:ascii="黑体" w:hAnsi="Arial" w:eastAsia="黑体"/>
          <w:color w:val="auto"/>
          <w:sz w:val="32"/>
          <w:highlight w:val="none"/>
        </w:rPr>
      </w:r>
      <w:r/>
    </w:p>
    <w:p>
      <w:pPr>
        <w:rPr>
          <w:rFonts w:ascii="黑体" w:hAnsi="Arial" w:eastAsia="黑体"/>
          <w:color w:val="auto"/>
          <w:sz w:val="32"/>
          <w:highlight w:val="none"/>
        </w:rPr>
      </w:pPr>
      <w:r>
        <w:rPr>
          <w:rFonts w:hint="eastAsia" w:ascii="黑体" w:hAnsi="Arial" w:eastAsia="黑体"/>
          <w:color w:val="auto"/>
          <w:sz w:val="32"/>
          <w:highlight w:val="none"/>
        </w:rPr>
        <w:br w:type="page" w:clear="all"/>
      </w:r>
      <w:r/>
    </w:p>
    <w:p>
      <w:pPr>
        <w:pStyle w:val="975"/>
        <w:rPr>
          <w:rFonts w:ascii="宋体" w:hAnsi="宋体" w:eastAsia="宋体" w:cs="Times New Roman"/>
          <w:bCs w:val="0"/>
          <w:color w:val="auto"/>
          <w:sz w:val="32"/>
          <w:szCs w:val="32"/>
          <w:highlight w:val="none"/>
        </w:rPr>
      </w:pPr>
      <w:r/>
      <w:bookmarkStart w:id="59" w:name="_Hlt26955054"/>
      <w:r/>
      <w:bookmarkEnd w:id="59"/>
      <w:r/>
      <w:bookmarkStart w:id="60" w:name="_Toc113352363"/>
      <w:r>
        <w:rPr>
          <w:rFonts w:hint="eastAsia" w:ascii="宋体" w:hAnsi="宋体" w:eastAsia="宋体" w:cs="Times New Roman"/>
          <w:bCs w:val="0"/>
          <w:color w:val="auto"/>
          <w:sz w:val="32"/>
          <w:szCs w:val="32"/>
          <w:highlight w:val="none"/>
        </w:rPr>
        <w:t xml:space="preserve">七、商务条款响应及偏离表</w:t>
      </w:r>
      <w:bookmarkEnd w:id="60"/>
      <w:r/>
      <w:r/>
    </w:p>
    <w:p>
      <w:pPr>
        <w:pStyle w:val="976"/>
        <w:rPr>
          <w:color w:val="auto"/>
          <w:highlight w:val="none"/>
        </w:rPr>
      </w:pPr>
      <w:r>
        <w:rPr>
          <w:rFonts w:hint="eastAsia"/>
          <w:color w:val="auto"/>
          <w:highlight w:val="none"/>
        </w:rPr>
        <w:t xml:space="preserve">分包号：</w:t>
      </w:r>
      <w:r/>
    </w:p>
    <w:tbl>
      <w:tblPr>
        <w:tblStyle w:val="766"/>
        <w:tblW w:w="0" w:type="auto"/>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563"/>
      </w:tblGrid>
      <w:tr>
        <w:trPr>
          <w:trHeight w:val="642"/>
        </w:trPr>
        <w:tc>
          <w:tcPr>
            <w:tcW w:w="1638" w:type="dxa"/>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项目</w:t>
            </w:r>
            <w:r/>
          </w:p>
        </w:tc>
        <w:tc>
          <w:tcPr>
            <w:tcW w:w="2502" w:type="dxa"/>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采购文件要求</w:t>
            </w:r>
            <w:r/>
          </w:p>
        </w:tc>
        <w:tc>
          <w:tcPr>
            <w:tcW w:w="1837" w:type="dxa"/>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是否响应</w:t>
            </w:r>
            <w:r/>
          </w:p>
        </w:tc>
        <w:tc>
          <w:tcPr>
            <w:tcW w:w="2563" w:type="dxa"/>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供应商的承诺或说明</w:t>
            </w:r>
            <w:r/>
          </w:p>
        </w:tc>
      </w:tr>
      <w:tr>
        <w:trPr>
          <w:trHeight w:val="540"/>
        </w:trPr>
        <w:tc>
          <w:tcPr>
            <w:tcW w:w="1638" w:type="dxa"/>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color w:val="auto"/>
                <w:szCs w:val="21"/>
                <w:highlight w:val="none"/>
              </w:rPr>
              <w:t xml:space="preserve">服务时间</w:t>
            </w:r>
            <w:r/>
          </w:p>
        </w:tc>
        <w:tc>
          <w:tcPr>
            <w:tcW w:w="2502" w:type="dxa"/>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W w:w="1837" w:type="dxa"/>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W w:w="2563" w:type="dxa"/>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440"/>
        </w:trPr>
        <w:tc>
          <w:tcPr>
            <w:tcW w:w="1638" w:type="dxa"/>
            <w:textDirection w:val="lrTb"/>
            <w:noWrap w:val="false"/>
          </w:tcPr>
          <w:p>
            <w:pPr>
              <w:jc w:val="center"/>
              <w:spacing w:before="156" w:line="360" w:lineRule="auto"/>
              <w:rPr>
                <w:rFonts w:ascii="仿宋_GB2312"/>
                <w:color w:val="auto"/>
                <w:szCs w:val="21"/>
                <w:highlight w:val="none"/>
              </w:rPr>
            </w:pPr>
            <w:r>
              <w:rPr>
                <w:rFonts w:hint="eastAsia" w:ascii="仿宋_GB2312"/>
                <w:color w:val="auto"/>
                <w:szCs w:val="21"/>
                <w:highlight w:val="none"/>
              </w:rPr>
              <w:t xml:space="preserve">服务方式</w:t>
            </w:r>
            <w:r/>
          </w:p>
        </w:tc>
        <w:tc>
          <w:tcPr>
            <w:tcW w:w="2502" w:type="dxa"/>
            <w:textDirection w:val="lrTb"/>
            <w:noWrap w:val="false"/>
          </w:tcPr>
          <w:p>
            <w:pPr>
              <w:spacing w:before="156" w:line="360" w:lineRule="auto"/>
              <w:rPr>
                <w:rFonts w:ascii="仿宋_GB2312" w:hAnsi="宋体"/>
                <w:color w:val="auto"/>
                <w:szCs w:val="21"/>
                <w:highlight w:val="none"/>
              </w:rPr>
            </w:pPr>
            <w:r>
              <w:rPr>
                <w:rFonts w:ascii="仿宋_GB2312" w:hAnsi="宋体"/>
                <w:color w:val="auto"/>
                <w:szCs w:val="21"/>
                <w:highlight w:val="none"/>
              </w:rPr>
            </w:r>
            <w:r/>
          </w:p>
        </w:tc>
        <w:tc>
          <w:tcPr>
            <w:tcW w:w="1837" w:type="dxa"/>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W w:w="2563" w:type="dxa"/>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460"/>
        </w:trPr>
        <w:tc>
          <w:tcPr>
            <w:tcW w:w="1638" w:type="dxa"/>
            <w:textDirection w:val="lrTb"/>
            <w:noWrap w:val="false"/>
          </w:tcPr>
          <w:p>
            <w:pPr>
              <w:jc w:val="center"/>
              <w:spacing w:before="156" w:line="360" w:lineRule="auto"/>
              <w:rPr>
                <w:rFonts w:ascii="仿宋_GB2312"/>
                <w:color w:val="auto"/>
                <w:szCs w:val="21"/>
                <w:highlight w:val="none"/>
              </w:rPr>
            </w:pPr>
            <w:r>
              <w:rPr>
                <w:rFonts w:hint="eastAsia" w:ascii="仿宋_GB2312"/>
                <w:color w:val="auto"/>
                <w:szCs w:val="21"/>
                <w:highlight w:val="none"/>
              </w:rPr>
              <w:t xml:space="preserve">服务地点</w:t>
            </w:r>
            <w:r/>
          </w:p>
        </w:tc>
        <w:tc>
          <w:tcPr>
            <w:tcW w:w="2502" w:type="dxa"/>
            <w:textDirection w:val="lrTb"/>
            <w:noWrap w:val="false"/>
          </w:tcPr>
          <w:p>
            <w:pPr>
              <w:spacing w:before="156" w:line="360" w:lineRule="auto"/>
              <w:rPr>
                <w:rFonts w:ascii="仿宋_GB2312" w:hAnsi="宋体"/>
                <w:color w:val="auto"/>
                <w:szCs w:val="21"/>
                <w:highlight w:val="none"/>
              </w:rPr>
            </w:pPr>
            <w:r>
              <w:rPr>
                <w:rFonts w:ascii="仿宋_GB2312" w:hAnsi="宋体"/>
                <w:color w:val="auto"/>
                <w:szCs w:val="21"/>
                <w:highlight w:val="none"/>
              </w:rPr>
            </w:r>
            <w:r/>
          </w:p>
        </w:tc>
        <w:tc>
          <w:tcPr>
            <w:tcW w:w="1837" w:type="dxa"/>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W w:w="2563" w:type="dxa"/>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402"/>
        </w:trPr>
        <w:tc>
          <w:tcPr>
            <w:tcW w:w="1638" w:type="dxa"/>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付款方式</w:t>
            </w:r>
            <w:r/>
          </w:p>
        </w:tc>
        <w:tc>
          <w:tcPr>
            <w:tcW w:w="2502" w:type="dxa"/>
            <w:textDirection w:val="lrTb"/>
            <w:noWrap w:val="false"/>
          </w:tcPr>
          <w:p>
            <w:pP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W w:w="1837" w:type="dxa"/>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W w:w="2563" w:type="dxa"/>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c>
          <w:tcPr>
            <w:tcW w:w="1638" w:type="dxa"/>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其他</w:t>
            </w:r>
            <w:r/>
          </w:p>
        </w:tc>
        <w:tc>
          <w:tcPr>
            <w:tcW w:w="2502" w:type="dxa"/>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t xml:space="preserve">……</w:t>
            </w:r>
            <w:r/>
          </w:p>
        </w:tc>
        <w:tc>
          <w:tcPr>
            <w:tcW w:w="1837" w:type="dxa"/>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W w:w="2563" w:type="dxa"/>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bl>
    <w:p>
      <w:pPr>
        <w:spacing w:line="480" w:lineRule="auto"/>
        <w:rPr>
          <w:rFonts w:ascii="仿宋_GB2312" w:hAnsi="Arial"/>
          <w:color w:val="auto"/>
          <w:sz w:val="30"/>
          <w:highlight w:val="none"/>
        </w:rPr>
      </w:pPr>
      <w:r>
        <w:rPr>
          <w:rFonts w:ascii="仿宋_GB2312" w:hAnsi="Arial"/>
          <w:color w:val="auto"/>
          <w:sz w:val="30"/>
          <w:highlight w:val="none"/>
        </w:rPr>
      </w:r>
      <w:r/>
    </w:p>
    <w:p>
      <w:pPr>
        <w:pStyle w:val="976"/>
        <w:ind w:firstLine="480"/>
        <w:rPr>
          <w:rFonts w:ascii="宋体" w:hAnsi="宋体"/>
          <w:color w:val="auto"/>
          <w:sz w:val="24"/>
          <w:highlight w:val="none"/>
        </w:rPr>
      </w:pPr>
      <w:r/>
      <w:bookmarkStart w:id="61" w:name="_Hlt26609389"/>
      <w:r/>
      <w:bookmarkEnd w:id="61"/>
      <w:r/>
      <w:bookmarkStart w:id="62" w:name="_Hlt26955066"/>
      <w:r/>
      <w:bookmarkEnd w:id="62"/>
      <w:r/>
      <w:bookmarkStart w:id="63" w:name="_Hlt26671374"/>
      <w:r/>
      <w:bookmarkEnd w:id="63"/>
      <w:r/>
      <w:bookmarkStart w:id="64" w:name="_Toc462564146"/>
      <w:r/>
      <w:r/>
    </w:p>
    <w:p>
      <w:pPr>
        <w:pStyle w:val="976"/>
        <w:ind w:firstLine="480"/>
        <w:rPr>
          <w:rFonts w:ascii="宋体" w:hAnsi="宋体"/>
          <w:color w:val="auto"/>
          <w:sz w:val="24"/>
          <w:highlight w:val="none"/>
        </w:rPr>
      </w:pPr>
      <w:r>
        <w:rPr>
          <w:rFonts w:ascii="宋体" w:hAnsi="宋体"/>
          <w:color w:val="auto"/>
          <w:sz w:val="24"/>
          <w:highlight w:val="none"/>
        </w:rPr>
      </w:r>
      <w:r/>
    </w:p>
    <w:p>
      <w:pPr>
        <w:pStyle w:val="976"/>
        <w:ind w:firstLine="480"/>
        <w:rPr>
          <w:rFonts w:ascii="宋体" w:hAnsi="宋体"/>
          <w:color w:val="auto"/>
          <w:sz w:val="24"/>
          <w:highlight w:val="none"/>
        </w:rPr>
      </w:pPr>
      <w:r>
        <w:rPr>
          <w:rFonts w:ascii="宋体" w:hAnsi="宋体"/>
          <w:color w:val="auto"/>
          <w:sz w:val="24"/>
          <w:highlight w:val="none"/>
        </w:rPr>
      </w:r>
      <w:r/>
    </w:p>
    <w:p>
      <w:pPr>
        <w:pStyle w:val="976"/>
        <w:ind w:firstLine="480"/>
        <w:rPr>
          <w:rFonts w:ascii="宋体" w:hAnsi="宋体"/>
          <w:color w:val="auto"/>
          <w:sz w:val="24"/>
          <w:highlight w:val="none"/>
        </w:rPr>
      </w:pPr>
      <w:r>
        <w:rPr>
          <w:rFonts w:ascii="宋体" w:hAnsi="宋体"/>
          <w:color w:val="auto"/>
          <w:sz w:val="24"/>
          <w:highlight w:val="none"/>
        </w:rPr>
      </w:r>
      <w:r/>
    </w:p>
    <w:p>
      <w:pPr>
        <w:pStyle w:val="976"/>
        <w:ind w:firstLine="480"/>
        <w:rPr>
          <w:rFonts w:ascii="宋体" w:hAnsi="宋体"/>
          <w:color w:val="auto"/>
          <w:sz w:val="24"/>
          <w:highlight w:val="none"/>
        </w:rPr>
      </w:pPr>
      <w:r>
        <w:rPr>
          <w:rFonts w:hint="eastAsia" w:ascii="宋体" w:hAnsi="宋体"/>
          <w:color w:val="auto"/>
          <w:sz w:val="24"/>
          <w:highlight w:val="none"/>
        </w:rPr>
        <w:t xml:space="preserve">.</w:t>
      </w:r>
      <w:r/>
    </w:p>
    <w:p>
      <w:pPr>
        <w:pStyle w:val="976"/>
        <w:ind w:firstLine="480"/>
        <w:rPr>
          <w:rFonts w:ascii="宋体" w:hAnsi="宋体"/>
          <w:color w:val="auto"/>
          <w:sz w:val="24"/>
          <w:highlight w:val="none"/>
        </w:rPr>
      </w:pPr>
      <w:r>
        <w:rPr>
          <w:rFonts w:ascii="宋体" w:hAnsi="宋体"/>
          <w:color w:val="auto"/>
          <w:sz w:val="24"/>
          <w:highlight w:val="none"/>
        </w:rPr>
      </w:r>
      <w:r/>
    </w:p>
    <w:p>
      <w:pPr>
        <w:pStyle w:val="976"/>
        <w:ind w:firstLine="480"/>
        <w:rPr>
          <w:rFonts w:ascii="宋体" w:hAnsi="宋体"/>
          <w:color w:val="auto"/>
          <w:sz w:val="24"/>
          <w:highlight w:val="none"/>
        </w:rPr>
      </w:pPr>
      <w:r>
        <w:rPr>
          <w:rFonts w:ascii="宋体" w:hAnsi="宋体"/>
          <w:color w:val="auto"/>
          <w:sz w:val="24"/>
          <w:highlight w:val="none"/>
        </w:rPr>
      </w:r>
      <w:r/>
    </w:p>
    <w:p>
      <w:pPr>
        <w:pStyle w:val="976"/>
        <w:ind w:firstLine="480"/>
        <w:rPr>
          <w:rFonts w:ascii="宋体" w:hAnsi="宋体"/>
          <w:color w:val="auto"/>
          <w:sz w:val="24"/>
          <w:highlight w:val="none"/>
        </w:rPr>
      </w:pPr>
      <w:r>
        <w:rPr>
          <w:rFonts w:ascii="宋体" w:hAnsi="宋体"/>
          <w:color w:val="auto"/>
          <w:sz w:val="24"/>
          <w:highlight w:val="none"/>
        </w:rPr>
      </w:r>
      <w:r/>
    </w:p>
    <w:p>
      <w:pPr>
        <w:pStyle w:val="976"/>
        <w:ind w:firstLine="480"/>
        <w:rPr>
          <w:rFonts w:ascii="宋体" w:hAnsi="宋体"/>
          <w:color w:val="auto"/>
          <w:sz w:val="24"/>
          <w:highlight w:val="none"/>
        </w:rPr>
      </w:pPr>
      <w:r>
        <w:rPr>
          <w:rFonts w:ascii="宋体" w:hAnsi="宋体"/>
          <w:color w:val="auto"/>
          <w:sz w:val="24"/>
          <w:highlight w:val="none"/>
        </w:rPr>
      </w:r>
      <w:r/>
    </w:p>
    <w:p>
      <w:pPr>
        <w:pStyle w:val="976"/>
        <w:ind w:firstLine="480"/>
        <w:rPr>
          <w:rFonts w:ascii="宋体" w:hAnsi="宋体"/>
          <w:color w:val="auto"/>
          <w:sz w:val="24"/>
          <w:highlight w:val="none"/>
        </w:rPr>
      </w:pPr>
      <w:r>
        <w:rPr>
          <w:rFonts w:ascii="宋体" w:hAnsi="宋体"/>
          <w:color w:val="auto"/>
          <w:sz w:val="24"/>
          <w:highlight w:val="none"/>
        </w:rPr>
      </w:r>
      <w:r/>
    </w:p>
    <w:p>
      <w:pPr>
        <w:pStyle w:val="976"/>
        <w:ind w:firstLine="480"/>
        <w:rPr>
          <w:rFonts w:ascii="宋体" w:hAnsi="宋体"/>
          <w:color w:val="auto"/>
          <w:sz w:val="24"/>
          <w:highlight w:val="none"/>
        </w:rPr>
      </w:pPr>
      <w:r>
        <w:rPr>
          <w:rFonts w:ascii="宋体" w:hAnsi="宋体"/>
          <w:color w:val="auto"/>
          <w:sz w:val="24"/>
          <w:highlight w:val="none"/>
        </w:rPr>
      </w:r>
      <w:r/>
    </w:p>
    <w:p>
      <w:pPr>
        <w:pStyle w:val="976"/>
        <w:ind w:firstLine="480"/>
        <w:rPr>
          <w:rFonts w:ascii="宋体" w:hAnsi="宋体"/>
          <w:color w:val="auto"/>
          <w:sz w:val="24"/>
          <w:highlight w:val="none"/>
        </w:rPr>
      </w:pPr>
      <w:r>
        <w:rPr>
          <w:rFonts w:ascii="宋体" w:hAnsi="宋体"/>
          <w:color w:val="auto"/>
          <w:sz w:val="24"/>
          <w:highlight w:val="none"/>
        </w:rPr>
      </w:r>
      <w:r/>
    </w:p>
    <w:p>
      <w:pPr>
        <w:pStyle w:val="976"/>
        <w:ind w:firstLine="480"/>
        <w:rPr>
          <w:rFonts w:ascii="宋体" w:hAnsi="宋体"/>
          <w:color w:val="auto"/>
          <w:sz w:val="24"/>
          <w:highlight w:val="none"/>
        </w:rPr>
      </w:pPr>
      <w:r>
        <w:rPr>
          <w:rFonts w:ascii="宋体" w:hAnsi="宋体"/>
          <w:color w:val="auto"/>
          <w:sz w:val="24"/>
          <w:highlight w:val="none"/>
        </w:rPr>
      </w:r>
      <w:r/>
    </w:p>
    <w:p>
      <w:pPr>
        <w:pStyle w:val="976"/>
        <w:ind w:firstLine="480"/>
        <w:rPr>
          <w:rFonts w:ascii="宋体" w:hAnsi="宋体"/>
          <w:color w:val="auto"/>
          <w:sz w:val="24"/>
          <w:highlight w:val="none"/>
        </w:rPr>
      </w:pPr>
      <w:r>
        <w:rPr>
          <w:rFonts w:ascii="宋体" w:hAnsi="宋体"/>
          <w:color w:val="auto"/>
          <w:sz w:val="24"/>
          <w:highlight w:val="none"/>
        </w:rPr>
      </w:r>
      <w:r/>
    </w:p>
    <w:p>
      <w:pPr>
        <w:pStyle w:val="976"/>
        <w:ind w:firstLine="480"/>
        <w:rPr>
          <w:rFonts w:ascii="宋体" w:hAnsi="宋体"/>
          <w:color w:val="auto"/>
          <w:sz w:val="24"/>
          <w:highlight w:val="none"/>
        </w:rPr>
      </w:pPr>
      <w:r>
        <w:rPr>
          <w:rFonts w:ascii="宋体" w:hAnsi="宋体"/>
          <w:color w:val="auto"/>
          <w:sz w:val="24"/>
          <w:highlight w:val="none"/>
        </w:rPr>
      </w:r>
      <w:r/>
    </w:p>
    <w:p>
      <w:pPr>
        <w:pStyle w:val="976"/>
        <w:ind w:firstLine="480"/>
        <w:rPr>
          <w:rFonts w:ascii="宋体" w:hAnsi="宋体"/>
          <w:color w:val="auto"/>
          <w:sz w:val="24"/>
          <w:highlight w:val="none"/>
        </w:rPr>
      </w:pPr>
      <w:r>
        <w:rPr>
          <w:rFonts w:ascii="宋体" w:hAnsi="宋体"/>
          <w:color w:val="auto"/>
          <w:sz w:val="24"/>
          <w:highlight w:val="none"/>
        </w:rPr>
      </w:r>
      <w:r/>
    </w:p>
    <w:p>
      <w:pPr>
        <w:pStyle w:val="976"/>
        <w:ind w:firstLine="480"/>
        <w:rPr>
          <w:rFonts w:ascii="宋体" w:hAnsi="宋体"/>
          <w:color w:val="auto"/>
          <w:sz w:val="24"/>
          <w:highlight w:val="none"/>
        </w:rPr>
      </w:pPr>
      <w:r>
        <w:rPr>
          <w:rFonts w:ascii="宋体" w:hAnsi="宋体"/>
          <w:color w:val="auto"/>
          <w:sz w:val="24"/>
          <w:highlight w:val="none"/>
        </w:rPr>
      </w:r>
      <w:r/>
    </w:p>
    <w:p>
      <w:pPr>
        <w:pStyle w:val="976"/>
        <w:ind w:firstLine="480"/>
        <w:rPr>
          <w:rFonts w:ascii="宋体" w:hAnsi="宋体"/>
          <w:color w:val="auto"/>
          <w:sz w:val="24"/>
          <w:highlight w:val="none"/>
        </w:rPr>
      </w:pPr>
      <w:r>
        <w:rPr>
          <w:rFonts w:ascii="宋体" w:hAnsi="宋体"/>
          <w:color w:val="auto"/>
          <w:sz w:val="24"/>
          <w:highlight w:val="none"/>
        </w:rPr>
      </w:r>
      <w:r/>
    </w:p>
    <w:p>
      <w:pPr>
        <w:pStyle w:val="976"/>
        <w:ind w:firstLine="480"/>
        <w:rPr>
          <w:rFonts w:ascii="宋体" w:hAnsi="宋体"/>
          <w:color w:val="auto"/>
          <w:sz w:val="24"/>
          <w:highlight w:val="none"/>
        </w:rPr>
      </w:pPr>
      <w:r>
        <w:rPr>
          <w:rFonts w:ascii="宋体" w:hAnsi="宋体"/>
          <w:color w:val="auto"/>
          <w:sz w:val="24"/>
          <w:highlight w:val="none"/>
        </w:rPr>
      </w:r>
      <w:r/>
    </w:p>
    <w:p>
      <w:pPr>
        <w:pStyle w:val="976"/>
        <w:ind w:firstLine="480"/>
        <w:rPr>
          <w:rFonts w:ascii="宋体" w:hAnsi="宋体"/>
          <w:color w:val="auto"/>
          <w:sz w:val="24"/>
          <w:highlight w:val="none"/>
        </w:rPr>
      </w:pPr>
      <w:r>
        <w:rPr>
          <w:rFonts w:ascii="宋体" w:hAnsi="宋体"/>
          <w:color w:val="auto"/>
          <w:sz w:val="24"/>
          <w:highlight w:val="none"/>
        </w:rPr>
      </w:r>
      <w:r/>
    </w:p>
    <w:p>
      <w:pPr>
        <w:pStyle w:val="976"/>
        <w:ind w:firstLine="480"/>
        <w:rPr>
          <w:rFonts w:ascii="宋体" w:hAnsi="宋体"/>
          <w:color w:val="auto"/>
          <w:sz w:val="24"/>
          <w:highlight w:val="none"/>
        </w:rPr>
      </w:pPr>
      <w:r>
        <w:rPr>
          <w:rFonts w:ascii="宋体" w:hAnsi="宋体"/>
          <w:color w:val="auto"/>
          <w:sz w:val="24"/>
          <w:highlight w:val="none"/>
        </w:rPr>
      </w:r>
      <w:r/>
    </w:p>
    <w:p>
      <w:pPr>
        <w:pStyle w:val="976"/>
        <w:ind w:firstLine="480"/>
        <w:rPr>
          <w:rFonts w:ascii="宋体" w:hAnsi="宋体"/>
          <w:color w:val="auto"/>
          <w:sz w:val="24"/>
          <w:highlight w:val="none"/>
        </w:rPr>
      </w:pPr>
      <w:r>
        <w:rPr>
          <w:rFonts w:ascii="宋体" w:hAnsi="宋体"/>
          <w:color w:val="auto"/>
          <w:sz w:val="24"/>
          <w:highlight w:val="none"/>
        </w:rPr>
      </w:r>
      <w:r/>
    </w:p>
    <w:p>
      <w:pPr>
        <w:pStyle w:val="976"/>
        <w:ind w:firstLine="480"/>
        <w:rPr>
          <w:rFonts w:ascii="宋体" w:hAnsi="宋体"/>
          <w:color w:val="auto"/>
          <w:sz w:val="24"/>
          <w:highlight w:val="none"/>
        </w:rPr>
      </w:pPr>
      <w:r>
        <w:rPr>
          <w:rFonts w:ascii="宋体" w:hAnsi="宋体"/>
          <w:color w:val="auto"/>
          <w:sz w:val="24"/>
          <w:highlight w:val="none"/>
        </w:rPr>
      </w:r>
      <w:bookmarkEnd w:id="64"/>
      <w:r/>
      <w:r/>
    </w:p>
    <w:p>
      <w:pPr>
        <w:pStyle w:val="976"/>
        <w:ind w:firstLine="480"/>
        <w:rPr>
          <w:rFonts w:ascii="宋体" w:hAnsi="宋体"/>
          <w:color w:val="auto"/>
          <w:sz w:val="24"/>
          <w:highlight w:val="none"/>
        </w:rPr>
      </w:pPr>
      <w:r>
        <w:rPr>
          <w:rFonts w:ascii="宋体" w:hAnsi="宋体"/>
          <w:color w:val="auto"/>
          <w:sz w:val="24"/>
          <w:highlight w:val="none"/>
        </w:rPr>
      </w:r>
      <w:r/>
    </w:p>
    <w:p>
      <w:pPr>
        <w:jc w:val="left"/>
        <w:widowControl/>
        <w:rPr>
          <w:rFonts w:ascii="宋体" w:hAnsi="宋体"/>
          <w:b/>
          <w:color w:val="auto"/>
          <w:highlight w:val="none"/>
        </w:rPr>
      </w:pPr>
      <w:r/>
      <w:bookmarkStart w:id="65" w:name="_格式2__法定代表人授权书"/>
      <w:r/>
      <w:bookmarkEnd w:id="65"/>
      <w:r>
        <w:rPr>
          <w:rFonts w:ascii="宋体" w:hAnsi="宋体"/>
          <w:b/>
          <w:color w:val="auto"/>
          <w:highlight w:val="none"/>
        </w:rPr>
        <w:br w:type="page" w:clear="all"/>
      </w:r>
      <w:r/>
    </w:p>
    <w:p>
      <w:pPr>
        <w:pStyle w:val="975"/>
        <w:rPr>
          <w:rFonts w:ascii="宋体" w:hAnsi="宋体" w:eastAsia="宋体" w:cs="Times New Roman"/>
          <w:bCs w:val="0"/>
          <w:color w:val="auto"/>
          <w:sz w:val="32"/>
          <w:szCs w:val="32"/>
          <w:highlight w:val="none"/>
        </w:rPr>
      </w:pPr>
      <w:r>
        <w:rPr>
          <w:rFonts w:hint="eastAsia" w:ascii="宋体" w:hAnsi="宋体" w:eastAsia="宋体" w:cs="Times New Roman"/>
          <w:bCs w:val="0"/>
          <w:color w:val="auto"/>
          <w:sz w:val="32"/>
          <w:szCs w:val="32"/>
          <w:highlight w:val="none"/>
        </w:rPr>
        <w:t xml:space="preserve">拟投入项目服务团队人员一览表 </w:t>
      </w:r>
      <w:r/>
    </w:p>
    <w:p>
      <w:pPr>
        <w:pStyle w:val="976"/>
        <w:rPr>
          <w:color w:val="auto"/>
          <w:highlight w:val="none"/>
        </w:rPr>
      </w:pPr>
      <w:r>
        <w:rPr>
          <w:rFonts w:hint="eastAsia"/>
          <w:color w:val="auto"/>
          <w:highlight w:val="none"/>
        </w:rPr>
        <w:t xml:space="preserve">分包号：</w:t>
      </w:r>
      <w:r/>
    </w:p>
    <w:tbl>
      <w:tblPr>
        <w:tblStyle w:val="766"/>
        <w:tblW w:w="973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74"/>
        <w:gridCol w:w="1020"/>
        <w:gridCol w:w="1080"/>
        <w:gridCol w:w="888"/>
        <w:gridCol w:w="1128"/>
        <w:gridCol w:w="1920"/>
        <w:gridCol w:w="1945"/>
        <w:gridCol w:w="875"/>
      </w:tblGrid>
      <w:tr>
        <w:trPr>
          <w:jc w:val="center"/>
          <w:trHeight w:val="880"/>
        </w:trPr>
        <w:tc>
          <w:tcPr>
            <w:tcW w:w="874" w:type="dxa"/>
            <w:vAlign w:val="center"/>
            <w:textDirection w:val="lrTb"/>
            <w:noWrap w:val="false"/>
          </w:tcPr>
          <w:p>
            <w:pPr>
              <w:pStyle w:val="989"/>
              <w:jc w:val="center"/>
              <w:spacing w:line="440" w:lineRule="exact"/>
              <w:rPr>
                <w:color w:val="auto"/>
                <w:szCs w:val="21"/>
                <w:highlight w:val="none"/>
              </w:rPr>
            </w:pPr>
            <w:r>
              <w:rPr>
                <w:rFonts w:hint="eastAsia"/>
                <w:color w:val="auto"/>
                <w:szCs w:val="21"/>
                <w:highlight w:val="none"/>
              </w:rPr>
              <w:t xml:space="preserve">序号</w:t>
            </w:r>
            <w:r/>
          </w:p>
        </w:tc>
        <w:tc>
          <w:tcPr>
            <w:tcW w:w="1020" w:type="dxa"/>
            <w:vAlign w:val="center"/>
            <w:textDirection w:val="lrTb"/>
            <w:noWrap w:val="false"/>
          </w:tcPr>
          <w:p>
            <w:pPr>
              <w:pStyle w:val="989"/>
              <w:jc w:val="center"/>
              <w:spacing w:line="440" w:lineRule="exact"/>
              <w:rPr>
                <w:color w:val="auto"/>
                <w:szCs w:val="21"/>
                <w:highlight w:val="none"/>
              </w:rPr>
            </w:pPr>
            <w:r>
              <w:rPr>
                <w:rFonts w:hint="eastAsia"/>
                <w:color w:val="auto"/>
                <w:szCs w:val="21"/>
                <w:highlight w:val="none"/>
              </w:rPr>
              <w:t xml:space="preserve">姓名</w:t>
            </w:r>
            <w:r/>
          </w:p>
        </w:tc>
        <w:tc>
          <w:tcPr>
            <w:tcW w:w="1080" w:type="dxa"/>
            <w:vAlign w:val="center"/>
            <w:textDirection w:val="lrTb"/>
            <w:noWrap w:val="false"/>
          </w:tcPr>
          <w:p>
            <w:pPr>
              <w:pStyle w:val="989"/>
              <w:jc w:val="center"/>
              <w:spacing w:line="440" w:lineRule="exact"/>
              <w:rPr>
                <w:color w:val="auto"/>
                <w:szCs w:val="21"/>
                <w:highlight w:val="none"/>
              </w:rPr>
            </w:pPr>
            <w:r>
              <w:rPr>
                <w:rFonts w:hint="eastAsia"/>
                <w:color w:val="auto"/>
                <w:szCs w:val="21"/>
                <w:highlight w:val="none"/>
              </w:rPr>
              <w:t xml:space="preserve">年龄</w:t>
            </w:r>
            <w:r/>
          </w:p>
        </w:tc>
        <w:tc>
          <w:tcPr>
            <w:tcW w:w="888" w:type="dxa"/>
            <w:vAlign w:val="center"/>
            <w:textDirection w:val="lrTb"/>
            <w:noWrap w:val="false"/>
          </w:tcPr>
          <w:p>
            <w:pPr>
              <w:pStyle w:val="989"/>
              <w:jc w:val="center"/>
              <w:spacing w:line="440" w:lineRule="exact"/>
              <w:rPr>
                <w:color w:val="auto"/>
                <w:szCs w:val="21"/>
                <w:highlight w:val="none"/>
              </w:rPr>
            </w:pPr>
            <w:r>
              <w:rPr>
                <w:rFonts w:hint="eastAsia"/>
                <w:color w:val="auto"/>
                <w:szCs w:val="21"/>
                <w:highlight w:val="none"/>
              </w:rPr>
              <w:t xml:space="preserve">学历</w:t>
            </w:r>
            <w:r/>
          </w:p>
        </w:tc>
        <w:tc>
          <w:tcPr>
            <w:tcW w:w="1128" w:type="dxa"/>
            <w:vAlign w:val="center"/>
            <w:textDirection w:val="lrTb"/>
            <w:noWrap w:val="false"/>
          </w:tcPr>
          <w:p>
            <w:pPr>
              <w:pStyle w:val="989"/>
              <w:jc w:val="center"/>
              <w:spacing w:line="440" w:lineRule="exact"/>
              <w:rPr>
                <w:color w:val="auto"/>
                <w:szCs w:val="21"/>
                <w:highlight w:val="none"/>
              </w:rPr>
            </w:pPr>
            <w:r>
              <w:rPr>
                <w:rFonts w:hint="eastAsia"/>
                <w:color w:val="auto"/>
                <w:szCs w:val="21"/>
                <w:highlight w:val="none"/>
              </w:rPr>
              <w:t xml:space="preserve">职称</w:t>
            </w:r>
            <w:r/>
          </w:p>
        </w:tc>
        <w:tc>
          <w:tcPr>
            <w:tcW w:w="1920" w:type="dxa"/>
            <w:vAlign w:val="center"/>
            <w:textDirection w:val="lrTb"/>
            <w:noWrap w:val="false"/>
          </w:tcPr>
          <w:p>
            <w:pPr>
              <w:pStyle w:val="989"/>
              <w:jc w:val="center"/>
              <w:spacing w:line="440" w:lineRule="exact"/>
              <w:rPr>
                <w:color w:val="auto"/>
                <w:szCs w:val="21"/>
                <w:highlight w:val="none"/>
              </w:rPr>
            </w:pPr>
            <w:r>
              <w:rPr>
                <w:rFonts w:hint="eastAsia"/>
                <w:color w:val="auto"/>
                <w:szCs w:val="21"/>
                <w:highlight w:val="none"/>
              </w:rPr>
              <w:t xml:space="preserve">是否具备食品岗位证</w:t>
            </w:r>
            <w:r/>
          </w:p>
        </w:tc>
        <w:tc>
          <w:tcPr>
            <w:tcW w:w="1945" w:type="dxa"/>
            <w:vAlign w:val="center"/>
            <w:textDirection w:val="lrTb"/>
            <w:noWrap w:val="false"/>
          </w:tcPr>
          <w:p>
            <w:pPr>
              <w:pStyle w:val="989"/>
              <w:jc w:val="center"/>
              <w:spacing w:line="440" w:lineRule="exact"/>
              <w:rPr>
                <w:color w:val="auto"/>
                <w:szCs w:val="21"/>
                <w:highlight w:val="none"/>
              </w:rPr>
            </w:pPr>
            <w:r>
              <w:rPr>
                <w:rFonts w:hint="eastAsia"/>
                <w:color w:val="auto"/>
                <w:szCs w:val="21"/>
                <w:highlight w:val="none"/>
              </w:rPr>
              <w:t xml:space="preserve">拟在本项目</w:t>
            </w:r>
            <w:r/>
          </w:p>
          <w:p>
            <w:pPr>
              <w:pStyle w:val="989"/>
              <w:jc w:val="center"/>
              <w:spacing w:line="440" w:lineRule="exact"/>
              <w:rPr>
                <w:color w:val="auto"/>
                <w:szCs w:val="21"/>
                <w:highlight w:val="none"/>
              </w:rPr>
            </w:pPr>
            <w:r>
              <w:rPr>
                <w:rFonts w:hint="eastAsia"/>
                <w:color w:val="auto"/>
                <w:szCs w:val="21"/>
                <w:highlight w:val="none"/>
              </w:rPr>
              <w:t xml:space="preserve">中担任的职务</w:t>
            </w:r>
            <w:r/>
          </w:p>
        </w:tc>
        <w:tc>
          <w:tcPr>
            <w:tcW w:w="875" w:type="dxa"/>
            <w:vAlign w:val="center"/>
            <w:textDirection w:val="lrTb"/>
            <w:noWrap w:val="false"/>
          </w:tcPr>
          <w:p>
            <w:pPr>
              <w:pStyle w:val="989"/>
              <w:jc w:val="center"/>
              <w:spacing w:line="440" w:lineRule="exact"/>
              <w:rPr>
                <w:color w:val="auto"/>
                <w:szCs w:val="21"/>
                <w:highlight w:val="none"/>
              </w:rPr>
            </w:pPr>
            <w:r>
              <w:rPr>
                <w:rFonts w:hint="eastAsia"/>
                <w:color w:val="auto"/>
                <w:szCs w:val="21"/>
                <w:highlight w:val="none"/>
              </w:rPr>
              <w:t xml:space="preserve">备注</w:t>
            </w:r>
            <w:r/>
          </w:p>
        </w:tc>
      </w:tr>
      <w:tr>
        <w:trPr>
          <w:jc w:val="center"/>
          <w:trHeight w:val="675"/>
        </w:trPr>
        <w:tc>
          <w:tcPr>
            <w:tcW w:w="874" w:type="dxa"/>
            <w:vAlign w:val="center"/>
            <w:textDirection w:val="lrTb"/>
            <w:noWrap w:val="false"/>
          </w:tcPr>
          <w:p>
            <w:pPr>
              <w:pStyle w:val="989"/>
              <w:jc w:val="center"/>
              <w:spacing w:line="440" w:lineRule="exact"/>
              <w:rPr>
                <w:color w:val="auto"/>
                <w:szCs w:val="21"/>
                <w:highlight w:val="none"/>
              </w:rPr>
            </w:pPr>
            <w:r>
              <w:rPr>
                <w:rFonts w:hint="eastAsia"/>
                <w:color w:val="auto"/>
                <w:szCs w:val="21"/>
                <w:highlight w:val="none"/>
              </w:rPr>
              <w:t xml:space="preserve">1</w:t>
            </w:r>
            <w:r/>
          </w:p>
        </w:tc>
        <w:tc>
          <w:tcPr>
            <w:tcW w:w="1020" w:type="dxa"/>
            <w:vAlign w:val="center"/>
            <w:textDirection w:val="lrTb"/>
            <w:noWrap w:val="false"/>
          </w:tcPr>
          <w:p>
            <w:pPr>
              <w:pStyle w:val="989"/>
              <w:jc w:val="center"/>
              <w:spacing w:line="440" w:lineRule="exact"/>
              <w:rPr>
                <w:color w:val="auto"/>
                <w:szCs w:val="21"/>
                <w:highlight w:val="none"/>
              </w:rPr>
            </w:pPr>
            <w:r>
              <w:rPr>
                <w:color w:val="auto"/>
                <w:szCs w:val="21"/>
                <w:highlight w:val="none"/>
              </w:rPr>
            </w:r>
            <w:r/>
          </w:p>
          <w:p>
            <w:pPr>
              <w:pStyle w:val="989"/>
              <w:jc w:val="center"/>
              <w:spacing w:line="440" w:lineRule="exact"/>
              <w:rPr>
                <w:color w:val="auto"/>
                <w:szCs w:val="21"/>
                <w:highlight w:val="none"/>
              </w:rPr>
            </w:pPr>
            <w:r>
              <w:rPr>
                <w:color w:val="auto"/>
                <w:szCs w:val="21"/>
                <w:highlight w:val="none"/>
              </w:rPr>
            </w:r>
            <w:r/>
          </w:p>
        </w:tc>
        <w:tc>
          <w:tcPr>
            <w:tcW w:w="1080" w:type="dxa"/>
            <w:vAlign w:val="center"/>
            <w:textDirection w:val="lrTb"/>
            <w:noWrap w:val="false"/>
          </w:tcPr>
          <w:p>
            <w:pPr>
              <w:pStyle w:val="989"/>
              <w:jc w:val="center"/>
              <w:spacing w:line="440" w:lineRule="exact"/>
              <w:rPr>
                <w:color w:val="auto"/>
                <w:szCs w:val="21"/>
                <w:highlight w:val="none"/>
              </w:rPr>
            </w:pPr>
            <w:r>
              <w:rPr>
                <w:color w:val="auto"/>
                <w:szCs w:val="21"/>
                <w:highlight w:val="none"/>
              </w:rPr>
            </w:r>
            <w:r/>
          </w:p>
          <w:p>
            <w:pPr>
              <w:pStyle w:val="989"/>
              <w:jc w:val="center"/>
              <w:spacing w:line="440" w:lineRule="exact"/>
              <w:rPr>
                <w:color w:val="auto"/>
                <w:szCs w:val="21"/>
                <w:highlight w:val="none"/>
              </w:rPr>
            </w:pPr>
            <w:r>
              <w:rPr>
                <w:color w:val="auto"/>
                <w:szCs w:val="21"/>
                <w:highlight w:val="none"/>
              </w:rPr>
            </w:r>
            <w:r/>
          </w:p>
        </w:tc>
        <w:tc>
          <w:tcPr>
            <w:tcW w:w="888" w:type="dxa"/>
            <w:vAlign w:val="center"/>
            <w:textDirection w:val="lrTb"/>
            <w:noWrap w:val="false"/>
          </w:tcPr>
          <w:p>
            <w:pPr>
              <w:pStyle w:val="989"/>
              <w:jc w:val="center"/>
              <w:spacing w:line="440" w:lineRule="exact"/>
              <w:rPr>
                <w:color w:val="auto"/>
                <w:szCs w:val="21"/>
                <w:highlight w:val="none"/>
              </w:rPr>
            </w:pPr>
            <w:r>
              <w:rPr>
                <w:color w:val="auto"/>
                <w:szCs w:val="21"/>
                <w:highlight w:val="none"/>
              </w:rPr>
            </w:r>
            <w:r/>
          </w:p>
          <w:p>
            <w:pPr>
              <w:pStyle w:val="989"/>
              <w:jc w:val="center"/>
              <w:spacing w:line="440" w:lineRule="exact"/>
              <w:rPr>
                <w:color w:val="auto"/>
                <w:szCs w:val="21"/>
                <w:highlight w:val="none"/>
              </w:rPr>
            </w:pPr>
            <w:r>
              <w:rPr>
                <w:color w:val="auto"/>
                <w:szCs w:val="21"/>
                <w:highlight w:val="none"/>
              </w:rPr>
            </w:r>
            <w:r/>
          </w:p>
        </w:tc>
        <w:tc>
          <w:tcPr>
            <w:tcW w:w="1128" w:type="dxa"/>
            <w:vAlign w:val="center"/>
            <w:textDirection w:val="lrTb"/>
            <w:noWrap w:val="false"/>
          </w:tcPr>
          <w:p>
            <w:pPr>
              <w:pStyle w:val="989"/>
              <w:jc w:val="center"/>
              <w:spacing w:line="440" w:lineRule="exact"/>
              <w:rPr>
                <w:color w:val="auto"/>
                <w:szCs w:val="21"/>
                <w:highlight w:val="none"/>
              </w:rPr>
            </w:pPr>
            <w:r>
              <w:rPr>
                <w:color w:val="auto"/>
                <w:szCs w:val="21"/>
                <w:highlight w:val="none"/>
              </w:rPr>
            </w:r>
            <w:r/>
          </w:p>
          <w:p>
            <w:pPr>
              <w:pStyle w:val="989"/>
              <w:jc w:val="center"/>
              <w:spacing w:line="440" w:lineRule="exact"/>
              <w:rPr>
                <w:color w:val="auto"/>
                <w:szCs w:val="21"/>
                <w:highlight w:val="none"/>
              </w:rPr>
            </w:pPr>
            <w:r>
              <w:rPr>
                <w:color w:val="auto"/>
                <w:szCs w:val="21"/>
                <w:highlight w:val="none"/>
              </w:rPr>
            </w:r>
            <w:r/>
          </w:p>
        </w:tc>
        <w:tc>
          <w:tcPr>
            <w:tcW w:w="1920" w:type="dxa"/>
            <w:vAlign w:val="center"/>
            <w:textDirection w:val="lrTb"/>
            <w:noWrap w:val="false"/>
          </w:tcPr>
          <w:p>
            <w:pPr>
              <w:pStyle w:val="989"/>
              <w:jc w:val="center"/>
              <w:spacing w:line="440" w:lineRule="exact"/>
              <w:rPr>
                <w:color w:val="auto"/>
                <w:szCs w:val="21"/>
                <w:highlight w:val="none"/>
              </w:rPr>
            </w:pPr>
            <w:r>
              <w:rPr>
                <w:color w:val="auto"/>
                <w:szCs w:val="21"/>
                <w:highlight w:val="none"/>
              </w:rPr>
            </w:r>
            <w:r/>
          </w:p>
          <w:p>
            <w:pPr>
              <w:pStyle w:val="989"/>
              <w:jc w:val="center"/>
              <w:spacing w:line="440" w:lineRule="exact"/>
              <w:rPr>
                <w:color w:val="auto"/>
                <w:szCs w:val="21"/>
                <w:highlight w:val="none"/>
              </w:rPr>
            </w:pPr>
            <w:r>
              <w:rPr>
                <w:color w:val="auto"/>
                <w:szCs w:val="21"/>
                <w:highlight w:val="none"/>
              </w:rPr>
            </w:r>
            <w:r/>
          </w:p>
        </w:tc>
        <w:tc>
          <w:tcPr>
            <w:tcW w:w="1945" w:type="dxa"/>
            <w:vAlign w:val="center"/>
            <w:textDirection w:val="lrTb"/>
            <w:noWrap w:val="false"/>
          </w:tcPr>
          <w:p>
            <w:pPr>
              <w:pStyle w:val="989"/>
              <w:jc w:val="center"/>
              <w:spacing w:line="440" w:lineRule="exact"/>
              <w:rPr>
                <w:color w:val="auto"/>
                <w:szCs w:val="21"/>
                <w:highlight w:val="none"/>
              </w:rPr>
            </w:pPr>
            <w:r>
              <w:rPr>
                <w:color w:val="auto"/>
                <w:szCs w:val="21"/>
                <w:highlight w:val="none"/>
              </w:rPr>
            </w:r>
            <w:r/>
          </w:p>
          <w:p>
            <w:pPr>
              <w:pStyle w:val="989"/>
              <w:jc w:val="center"/>
              <w:spacing w:line="440" w:lineRule="exact"/>
              <w:rPr>
                <w:color w:val="auto"/>
                <w:szCs w:val="21"/>
                <w:highlight w:val="none"/>
              </w:rPr>
            </w:pPr>
            <w:r>
              <w:rPr>
                <w:color w:val="auto"/>
                <w:szCs w:val="21"/>
                <w:highlight w:val="none"/>
              </w:rPr>
            </w:r>
            <w:r/>
          </w:p>
        </w:tc>
        <w:tc>
          <w:tcPr>
            <w:tcW w:w="875" w:type="dxa"/>
            <w:vAlign w:val="center"/>
            <w:textDirection w:val="lrTb"/>
            <w:noWrap w:val="false"/>
          </w:tcPr>
          <w:p>
            <w:pPr>
              <w:pStyle w:val="989"/>
              <w:jc w:val="center"/>
              <w:spacing w:line="440" w:lineRule="exact"/>
              <w:rPr>
                <w:color w:val="auto"/>
                <w:szCs w:val="21"/>
                <w:highlight w:val="none"/>
              </w:rPr>
            </w:pPr>
            <w:r>
              <w:rPr>
                <w:color w:val="auto"/>
                <w:szCs w:val="21"/>
                <w:highlight w:val="none"/>
              </w:rPr>
            </w:r>
            <w:r/>
          </w:p>
          <w:p>
            <w:pPr>
              <w:pStyle w:val="989"/>
              <w:jc w:val="center"/>
              <w:spacing w:line="440" w:lineRule="exact"/>
              <w:rPr>
                <w:color w:val="auto"/>
                <w:szCs w:val="21"/>
                <w:highlight w:val="none"/>
              </w:rPr>
            </w:pPr>
            <w:r>
              <w:rPr>
                <w:color w:val="auto"/>
                <w:szCs w:val="21"/>
                <w:highlight w:val="none"/>
              </w:rPr>
            </w:r>
            <w:r/>
          </w:p>
        </w:tc>
      </w:tr>
      <w:tr>
        <w:trPr>
          <w:jc w:val="center"/>
          <w:trHeight w:val="702"/>
        </w:trPr>
        <w:tc>
          <w:tcPr>
            <w:tcW w:w="874" w:type="dxa"/>
            <w:vAlign w:val="center"/>
            <w:textDirection w:val="lrTb"/>
            <w:noWrap w:val="false"/>
          </w:tcPr>
          <w:p>
            <w:pPr>
              <w:pStyle w:val="989"/>
              <w:jc w:val="center"/>
              <w:spacing w:line="440" w:lineRule="exact"/>
              <w:rPr>
                <w:color w:val="auto"/>
                <w:szCs w:val="21"/>
                <w:highlight w:val="none"/>
              </w:rPr>
            </w:pPr>
            <w:r>
              <w:rPr>
                <w:rFonts w:hint="eastAsia"/>
                <w:color w:val="auto"/>
                <w:szCs w:val="21"/>
                <w:highlight w:val="none"/>
              </w:rPr>
              <w:t xml:space="preserve">2</w:t>
            </w:r>
            <w:r/>
          </w:p>
        </w:tc>
        <w:tc>
          <w:tcPr>
            <w:tcW w:w="1020" w:type="dxa"/>
            <w:vAlign w:val="center"/>
            <w:textDirection w:val="lrTb"/>
            <w:noWrap w:val="false"/>
          </w:tcPr>
          <w:p>
            <w:pPr>
              <w:pStyle w:val="989"/>
              <w:jc w:val="center"/>
              <w:spacing w:line="440" w:lineRule="exact"/>
              <w:rPr>
                <w:color w:val="auto"/>
                <w:szCs w:val="21"/>
                <w:highlight w:val="none"/>
              </w:rPr>
            </w:pPr>
            <w:r>
              <w:rPr>
                <w:color w:val="auto"/>
                <w:szCs w:val="21"/>
                <w:highlight w:val="none"/>
              </w:rPr>
            </w:r>
            <w:r/>
          </w:p>
          <w:p>
            <w:pPr>
              <w:pStyle w:val="989"/>
              <w:jc w:val="center"/>
              <w:spacing w:line="440" w:lineRule="exact"/>
              <w:rPr>
                <w:color w:val="auto"/>
                <w:szCs w:val="21"/>
                <w:highlight w:val="none"/>
              </w:rPr>
            </w:pPr>
            <w:r>
              <w:rPr>
                <w:color w:val="auto"/>
                <w:szCs w:val="21"/>
                <w:highlight w:val="none"/>
              </w:rPr>
            </w:r>
            <w:r/>
          </w:p>
        </w:tc>
        <w:tc>
          <w:tcPr>
            <w:tcW w:w="1080" w:type="dxa"/>
            <w:vAlign w:val="center"/>
            <w:textDirection w:val="lrTb"/>
            <w:noWrap w:val="false"/>
          </w:tcPr>
          <w:p>
            <w:pPr>
              <w:pStyle w:val="989"/>
              <w:jc w:val="center"/>
              <w:spacing w:line="440" w:lineRule="exact"/>
              <w:rPr>
                <w:color w:val="auto"/>
                <w:szCs w:val="21"/>
                <w:highlight w:val="none"/>
              </w:rPr>
            </w:pPr>
            <w:r>
              <w:rPr>
                <w:color w:val="auto"/>
                <w:szCs w:val="21"/>
                <w:highlight w:val="none"/>
              </w:rPr>
            </w:r>
            <w:r/>
          </w:p>
          <w:p>
            <w:pPr>
              <w:pStyle w:val="989"/>
              <w:jc w:val="center"/>
              <w:spacing w:line="440" w:lineRule="exact"/>
              <w:rPr>
                <w:color w:val="auto"/>
                <w:szCs w:val="21"/>
                <w:highlight w:val="none"/>
              </w:rPr>
            </w:pPr>
            <w:r>
              <w:rPr>
                <w:color w:val="auto"/>
                <w:szCs w:val="21"/>
                <w:highlight w:val="none"/>
              </w:rPr>
            </w:r>
            <w:r/>
          </w:p>
        </w:tc>
        <w:tc>
          <w:tcPr>
            <w:tcW w:w="888" w:type="dxa"/>
            <w:vAlign w:val="center"/>
            <w:textDirection w:val="lrTb"/>
            <w:noWrap w:val="false"/>
          </w:tcPr>
          <w:p>
            <w:pPr>
              <w:pStyle w:val="989"/>
              <w:jc w:val="center"/>
              <w:spacing w:line="440" w:lineRule="exact"/>
              <w:rPr>
                <w:color w:val="auto"/>
                <w:szCs w:val="21"/>
                <w:highlight w:val="none"/>
              </w:rPr>
            </w:pPr>
            <w:r>
              <w:rPr>
                <w:color w:val="auto"/>
                <w:szCs w:val="21"/>
                <w:highlight w:val="none"/>
              </w:rPr>
            </w:r>
            <w:r/>
          </w:p>
          <w:p>
            <w:pPr>
              <w:pStyle w:val="989"/>
              <w:jc w:val="center"/>
              <w:spacing w:line="440" w:lineRule="exact"/>
              <w:rPr>
                <w:color w:val="auto"/>
                <w:szCs w:val="21"/>
                <w:highlight w:val="none"/>
              </w:rPr>
            </w:pPr>
            <w:r>
              <w:rPr>
                <w:color w:val="auto"/>
                <w:szCs w:val="21"/>
                <w:highlight w:val="none"/>
              </w:rPr>
            </w:r>
            <w:r/>
          </w:p>
        </w:tc>
        <w:tc>
          <w:tcPr>
            <w:tcW w:w="1128" w:type="dxa"/>
            <w:vAlign w:val="center"/>
            <w:textDirection w:val="lrTb"/>
            <w:noWrap w:val="false"/>
          </w:tcPr>
          <w:p>
            <w:pPr>
              <w:pStyle w:val="989"/>
              <w:jc w:val="center"/>
              <w:spacing w:line="440" w:lineRule="exact"/>
              <w:rPr>
                <w:color w:val="auto"/>
                <w:szCs w:val="21"/>
                <w:highlight w:val="none"/>
              </w:rPr>
            </w:pPr>
            <w:r>
              <w:rPr>
                <w:color w:val="auto"/>
                <w:szCs w:val="21"/>
                <w:highlight w:val="none"/>
              </w:rPr>
            </w:r>
            <w:r/>
          </w:p>
          <w:p>
            <w:pPr>
              <w:pStyle w:val="989"/>
              <w:jc w:val="center"/>
              <w:spacing w:line="440" w:lineRule="exact"/>
              <w:rPr>
                <w:color w:val="auto"/>
                <w:szCs w:val="21"/>
                <w:highlight w:val="none"/>
              </w:rPr>
            </w:pPr>
            <w:r>
              <w:rPr>
                <w:color w:val="auto"/>
                <w:szCs w:val="21"/>
                <w:highlight w:val="none"/>
              </w:rPr>
            </w:r>
            <w:r/>
          </w:p>
        </w:tc>
        <w:tc>
          <w:tcPr>
            <w:tcW w:w="1920" w:type="dxa"/>
            <w:vAlign w:val="center"/>
            <w:textDirection w:val="lrTb"/>
            <w:noWrap w:val="false"/>
          </w:tcPr>
          <w:p>
            <w:pPr>
              <w:pStyle w:val="989"/>
              <w:jc w:val="center"/>
              <w:spacing w:line="440" w:lineRule="exact"/>
              <w:rPr>
                <w:color w:val="auto"/>
                <w:szCs w:val="21"/>
                <w:highlight w:val="none"/>
              </w:rPr>
            </w:pPr>
            <w:r>
              <w:rPr>
                <w:color w:val="auto"/>
                <w:szCs w:val="21"/>
                <w:highlight w:val="none"/>
              </w:rPr>
            </w:r>
            <w:r/>
          </w:p>
          <w:p>
            <w:pPr>
              <w:pStyle w:val="989"/>
              <w:jc w:val="center"/>
              <w:spacing w:line="440" w:lineRule="exact"/>
              <w:rPr>
                <w:color w:val="auto"/>
                <w:szCs w:val="21"/>
                <w:highlight w:val="none"/>
              </w:rPr>
            </w:pPr>
            <w:r>
              <w:rPr>
                <w:color w:val="auto"/>
                <w:szCs w:val="21"/>
                <w:highlight w:val="none"/>
              </w:rPr>
            </w:r>
            <w:r/>
          </w:p>
        </w:tc>
        <w:tc>
          <w:tcPr>
            <w:tcW w:w="1945" w:type="dxa"/>
            <w:vAlign w:val="center"/>
            <w:textDirection w:val="lrTb"/>
            <w:noWrap w:val="false"/>
          </w:tcPr>
          <w:p>
            <w:pPr>
              <w:pStyle w:val="989"/>
              <w:jc w:val="center"/>
              <w:spacing w:line="440" w:lineRule="exact"/>
              <w:rPr>
                <w:color w:val="auto"/>
                <w:szCs w:val="21"/>
                <w:highlight w:val="none"/>
              </w:rPr>
            </w:pPr>
            <w:r>
              <w:rPr>
                <w:color w:val="auto"/>
                <w:szCs w:val="21"/>
                <w:highlight w:val="none"/>
              </w:rPr>
            </w:r>
            <w:r/>
          </w:p>
          <w:p>
            <w:pPr>
              <w:pStyle w:val="989"/>
              <w:jc w:val="center"/>
              <w:spacing w:line="440" w:lineRule="exact"/>
              <w:rPr>
                <w:color w:val="auto"/>
                <w:szCs w:val="21"/>
                <w:highlight w:val="none"/>
              </w:rPr>
            </w:pPr>
            <w:r>
              <w:rPr>
                <w:color w:val="auto"/>
                <w:szCs w:val="21"/>
                <w:highlight w:val="none"/>
              </w:rPr>
            </w:r>
            <w:r/>
          </w:p>
        </w:tc>
        <w:tc>
          <w:tcPr>
            <w:tcW w:w="875" w:type="dxa"/>
            <w:vAlign w:val="center"/>
            <w:textDirection w:val="lrTb"/>
            <w:noWrap w:val="false"/>
          </w:tcPr>
          <w:p>
            <w:pPr>
              <w:pStyle w:val="989"/>
              <w:jc w:val="center"/>
              <w:spacing w:line="440" w:lineRule="exact"/>
              <w:rPr>
                <w:color w:val="auto"/>
                <w:szCs w:val="21"/>
                <w:highlight w:val="none"/>
              </w:rPr>
            </w:pPr>
            <w:r>
              <w:rPr>
                <w:color w:val="auto"/>
                <w:szCs w:val="21"/>
                <w:highlight w:val="none"/>
              </w:rPr>
            </w:r>
            <w:r/>
          </w:p>
          <w:p>
            <w:pPr>
              <w:pStyle w:val="989"/>
              <w:jc w:val="center"/>
              <w:spacing w:line="440" w:lineRule="exact"/>
              <w:rPr>
                <w:color w:val="auto"/>
                <w:szCs w:val="21"/>
                <w:highlight w:val="none"/>
              </w:rPr>
            </w:pPr>
            <w:r>
              <w:rPr>
                <w:color w:val="auto"/>
                <w:szCs w:val="21"/>
                <w:highlight w:val="none"/>
              </w:rPr>
            </w:r>
            <w:r/>
          </w:p>
        </w:tc>
      </w:tr>
      <w:tr>
        <w:trPr>
          <w:jc w:val="center"/>
          <w:trHeight w:val="702"/>
        </w:trPr>
        <w:tc>
          <w:tcPr>
            <w:tcW w:w="874" w:type="dxa"/>
            <w:vAlign w:val="center"/>
            <w:textDirection w:val="lrTb"/>
            <w:noWrap w:val="false"/>
          </w:tcPr>
          <w:p>
            <w:pPr>
              <w:pStyle w:val="989"/>
              <w:jc w:val="center"/>
              <w:spacing w:line="440" w:lineRule="exact"/>
              <w:rPr>
                <w:color w:val="auto"/>
                <w:szCs w:val="21"/>
                <w:highlight w:val="none"/>
              </w:rPr>
            </w:pPr>
            <w:r>
              <w:rPr>
                <w:rFonts w:hint="eastAsia"/>
                <w:color w:val="auto"/>
                <w:szCs w:val="21"/>
                <w:highlight w:val="none"/>
              </w:rPr>
              <w:t xml:space="preserve">3</w:t>
            </w:r>
            <w:r/>
          </w:p>
        </w:tc>
        <w:tc>
          <w:tcPr>
            <w:tcW w:w="1020" w:type="dxa"/>
            <w:vAlign w:val="center"/>
            <w:textDirection w:val="lrTb"/>
            <w:noWrap w:val="false"/>
          </w:tcPr>
          <w:p>
            <w:pPr>
              <w:pStyle w:val="989"/>
              <w:jc w:val="center"/>
              <w:spacing w:line="440" w:lineRule="exact"/>
              <w:rPr>
                <w:color w:val="auto"/>
                <w:szCs w:val="21"/>
                <w:highlight w:val="none"/>
              </w:rPr>
            </w:pPr>
            <w:r>
              <w:rPr>
                <w:color w:val="auto"/>
                <w:szCs w:val="21"/>
                <w:highlight w:val="none"/>
              </w:rPr>
            </w:r>
            <w:r/>
          </w:p>
          <w:p>
            <w:pPr>
              <w:pStyle w:val="989"/>
              <w:jc w:val="center"/>
              <w:spacing w:line="440" w:lineRule="exact"/>
              <w:rPr>
                <w:color w:val="auto"/>
                <w:szCs w:val="21"/>
                <w:highlight w:val="none"/>
              </w:rPr>
            </w:pPr>
            <w:r>
              <w:rPr>
                <w:color w:val="auto"/>
                <w:szCs w:val="21"/>
                <w:highlight w:val="none"/>
              </w:rPr>
            </w:r>
            <w:r/>
          </w:p>
        </w:tc>
        <w:tc>
          <w:tcPr>
            <w:tcW w:w="1080" w:type="dxa"/>
            <w:vAlign w:val="center"/>
            <w:textDirection w:val="lrTb"/>
            <w:noWrap w:val="false"/>
          </w:tcPr>
          <w:p>
            <w:pPr>
              <w:pStyle w:val="989"/>
              <w:jc w:val="center"/>
              <w:spacing w:line="440" w:lineRule="exact"/>
              <w:rPr>
                <w:color w:val="auto"/>
                <w:szCs w:val="21"/>
                <w:highlight w:val="none"/>
              </w:rPr>
            </w:pPr>
            <w:r>
              <w:rPr>
                <w:color w:val="auto"/>
                <w:szCs w:val="21"/>
                <w:highlight w:val="none"/>
              </w:rPr>
            </w:r>
            <w:r/>
          </w:p>
          <w:p>
            <w:pPr>
              <w:pStyle w:val="989"/>
              <w:jc w:val="center"/>
              <w:spacing w:line="440" w:lineRule="exact"/>
              <w:rPr>
                <w:color w:val="auto"/>
                <w:szCs w:val="21"/>
                <w:highlight w:val="none"/>
              </w:rPr>
            </w:pPr>
            <w:r>
              <w:rPr>
                <w:color w:val="auto"/>
                <w:szCs w:val="21"/>
                <w:highlight w:val="none"/>
              </w:rPr>
            </w:r>
            <w:r/>
          </w:p>
        </w:tc>
        <w:tc>
          <w:tcPr>
            <w:tcW w:w="888" w:type="dxa"/>
            <w:vAlign w:val="center"/>
            <w:textDirection w:val="lrTb"/>
            <w:noWrap w:val="false"/>
          </w:tcPr>
          <w:p>
            <w:pPr>
              <w:pStyle w:val="989"/>
              <w:jc w:val="center"/>
              <w:spacing w:line="440" w:lineRule="exact"/>
              <w:rPr>
                <w:color w:val="auto"/>
                <w:szCs w:val="21"/>
                <w:highlight w:val="none"/>
              </w:rPr>
            </w:pPr>
            <w:r>
              <w:rPr>
                <w:color w:val="auto"/>
                <w:szCs w:val="21"/>
                <w:highlight w:val="none"/>
              </w:rPr>
            </w:r>
            <w:r/>
          </w:p>
          <w:p>
            <w:pPr>
              <w:pStyle w:val="989"/>
              <w:jc w:val="center"/>
              <w:spacing w:line="440" w:lineRule="exact"/>
              <w:rPr>
                <w:color w:val="auto"/>
                <w:szCs w:val="21"/>
                <w:highlight w:val="none"/>
              </w:rPr>
            </w:pPr>
            <w:r>
              <w:rPr>
                <w:color w:val="auto"/>
                <w:szCs w:val="21"/>
                <w:highlight w:val="none"/>
              </w:rPr>
            </w:r>
            <w:r/>
          </w:p>
        </w:tc>
        <w:tc>
          <w:tcPr>
            <w:tcW w:w="1128" w:type="dxa"/>
            <w:vAlign w:val="center"/>
            <w:textDirection w:val="lrTb"/>
            <w:noWrap w:val="false"/>
          </w:tcPr>
          <w:p>
            <w:pPr>
              <w:pStyle w:val="989"/>
              <w:jc w:val="center"/>
              <w:spacing w:line="440" w:lineRule="exact"/>
              <w:rPr>
                <w:color w:val="auto"/>
                <w:szCs w:val="21"/>
                <w:highlight w:val="none"/>
              </w:rPr>
            </w:pPr>
            <w:r>
              <w:rPr>
                <w:color w:val="auto"/>
                <w:szCs w:val="21"/>
                <w:highlight w:val="none"/>
              </w:rPr>
            </w:r>
            <w:r/>
          </w:p>
          <w:p>
            <w:pPr>
              <w:pStyle w:val="989"/>
              <w:jc w:val="center"/>
              <w:spacing w:line="440" w:lineRule="exact"/>
              <w:rPr>
                <w:color w:val="auto"/>
                <w:szCs w:val="21"/>
                <w:highlight w:val="none"/>
              </w:rPr>
            </w:pPr>
            <w:r>
              <w:rPr>
                <w:color w:val="auto"/>
                <w:szCs w:val="21"/>
                <w:highlight w:val="none"/>
              </w:rPr>
            </w:r>
            <w:r/>
          </w:p>
        </w:tc>
        <w:tc>
          <w:tcPr>
            <w:tcW w:w="1920" w:type="dxa"/>
            <w:vAlign w:val="center"/>
            <w:textDirection w:val="lrTb"/>
            <w:noWrap w:val="false"/>
          </w:tcPr>
          <w:p>
            <w:pPr>
              <w:pStyle w:val="989"/>
              <w:jc w:val="center"/>
              <w:spacing w:line="440" w:lineRule="exact"/>
              <w:rPr>
                <w:color w:val="auto"/>
                <w:szCs w:val="21"/>
                <w:highlight w:val="none"/>
              </w:rPr>
            </w:pPr>
            <w:r>
              <w:rPr>
                <w:color w:val="auto"/>
                <w:szCs w:val="21"/>
                <w:highlight w:val="none"/>
              </w:rPr>
            </w:r>
            <w:r/>
          </w:p>
          <w:p>
            <w:pPr>
              <w:pStyle w:val="989"/>
              <w:jc w:val="center"/>
              <w:spacing w:line="440" w:lineRule="exact"/>
              <w:rPr>
                <w:color w:val="auto"/>
                <w:szCs w:val="21"/>
                <w:highlight w:val="none"/>
              </w:rPr>
            </w:pPr>
            <w:r>
              <w:rPr>
                <w:color w:val="auto"/>
                <w:szCs w:val="21"/>
                <w:highlight w:val="none"/>
              </w:rPr>
            </w:r>
            <w:r/>
          </w:p>
        </w:tc>
        <w:tc>
          <w:tcPr>
            <w:tcW w:w="1945" w:type="dxa"/>
            <w:vAlign w:val="center"/>
            <w:textDirection w:val="lrTb"/>
            <w:noWrap w:val="false"/>
          </w:tcPr>
          <w:p>
            <w:pPr>
              <w:pStyle w:val="989"/>
              <w:jc w:val="center"/>
              <w:spacing w:line="440" w:lineRule="exact"/>
              <w:rPr>
                <w:color w:val="auto"/>
                <w:szCs w:val="21"/>
                <w:highlight w:val="none"/>
              </w:rPr>
            </w:pPr>
            <w:r>
              <w:rPr>
                <w:color w:val="auto"/>
                <w:szCs w:val="21"/>
                <w:highlight w:val="none"/>
              </w:rPr>
            </w:r>
            <w:r/>
          </w:p>
          <w:p>
            <w:pPr>
              <w:pStyle w:val="989"/>
              <w:jc w:val="center"/>
              <w:spacing w:line="440" w:lineRule="exact"/>
              <w:rPr>
                <w:color w:val="auto"/>
                <w:szCs w:val="21"/>
                <w:highlight w:val="none"/>
              </w:rPr>
            </w:pPr>
            <w:r>
              <w:rPr>
                <w:color w:val="auto"/>
                <w:szCs w:val="21"/>
                <w:highlight w:val="none"/>
              </w:rPr>
            </w:r>
            <w:r/>
          </w:p>
        </w:tc>
        <w:tc>
          <w:tcPr>
            <w:tcW w:w="875" w:type="dxa"/>
            <w:vAlign w:val="center"/>
            <w:textDirection w:val="lrTb"/>
            <w:noWrap w:val="false"/>
          </w:tcPr>
          <w:p>
            <w:pPr>
              <w:pStyle w:val="989"/>
              <w:jc w:val="center"/>
              <w:spacing w:line="440" w:lineRule="exact"/>
              <w:rPr>
                <w:color w:val="auto"/>
                <w:szCs w:val="21"/>
                <w:highlight w:val="none"/>
              </w:rPr>
            </w:pPr>
            <w:r>
              <w:rPr>
                <w:color w:val="auto"/>
                <w:szCs w:val="21"/>
                <w:highlight w:val="none"/>
              </w:rPr>
            </w:r>
            <w:r/>
          </w:p>
          <w:p>
            <w:pPr>
              <w:pStyle w:val="989"/>
              <w:jc w:val="center"/>
              <w:spacing w:line="440" w:lineRule="exact"/>
              <w:rPr>
                <w:color w:val="auto"/>
                <w:szCs w:val="21"/>
                <w:highlight w:val="none"/>
              </w:rPr>
            </w:pPr>
            <w:r>
              <w:rPr>
                <w:color w:val="auto"/>
                <w:szCs w:val="21"/>
                <w:highlight w:val="none"/>
              </w:rPr>
            </w:r>
            <w:r/>
          </w:p>
        </w:tc>
      </w:tr>
      <w:tr>
        <w:trPr>
          <w:jc w:val="center"/>
          <w:trHeight w:val="703"/>
        </w:trPr>
        <w:tc>
          <w:tcPr>
            <w:tcW w:w="874" w:type="dxa"/>
            <w:vAlign w:val="center"/>
            <w:textDirection w:val="lrTb"/>
            <w:noWrap w:val="false"/>
          </w:tcPr>
          <w:p>
            <w:pPr>
              <w:pStyle w:val="989"/>
              <w:jc w:val="center"/>
              <w:spacing w:line="440" w:lineRule="exact"/>
              <w:rPr>
                <w:color w:val="auto"/>
                <w:szCs w:val="21"/>
                <w:highlight w:val="none"/>
              </w:rPr>
            </w:pPr>
            <w:r>
              <w:rPr>
                <w:rFonts w:hint="eastAsia"/>
                <w:color w:val="auto"/>
                <w:szCs w:val="21"/>
                <w:highlight w:val="none"/>
              </w:rPr>
              <w:t xml:space="preserve">4</w:t>
            </w:r>
            <w:r/>
          </w:p>
        </w:tc>
        <w:tc>
          <w:tcPr>
            <w:tcW w:w="1020" w:type="dxa"/>
            <w:vAlign w:val="center"/>
            <w:textDirection w:val="lrTb"/>
            <w:noWrap w:val="false"/>
          </w:tcPr>
          <w:p>
            <w:pPr>
              <w:pStyle w:val="989"/>
              <w:jc w:val="center"/>
              <w:spacing w:line="440" w:lineRule="exact"/>
              <w:rPr>
                <w:color w:val="auto"/>
                <w:szCs w:val="21"/>
                <w:highlight w:val="none"/>
              </w:rPr>
            </w:pPr>
            <w:r>
              <w:rPr>
                <w:color w:val="auto"/>
                <w:szCs w:val="21"/>
                <w:highlight w:val="none"/>
              </w:rPr>
            </w:r>
            <w:r/>
          </w:p>
          <w:p>
            <w:pPr>
              <w:pStyle w:val="989"/>
              <w:jc w:val="center"/>
              <w:spacing w:line="440" w:lineRule="exact"/>
              <w:rPr>
                <w:color w:val="auto"/>
                <w:szCs w:val="21"/>
                <w:highlight w:val="none"/>
              </w:rPr>
            </w:pPr>
            <w:r>
              <w:rPr>
                <w:color w:val="auto"/>
                <w:szCs w:val="21"/>
                <w:highlight w:val="none"/>
              </w:rPr>
            </w:r>
            <w:r/>
          </w:p>
        </w:tc>
        <w:tc>
          <w:tcPr>
            <w:tcW w:w="1080" w:type="dxa"/>
            <w:vAlign w:val="center"/>
            <w:textDirection w:val="lrTb"/>
            <w:noWrap w:val="false"/>
          </w:tcPr>
          <w:p>
            <w:pPr>
              <w:pStyle w:val="989"/>
              <w:jc w:val="center"/>
              <w:spacing w:line="440" w:lineRule="exact"/>
              <w:rPr>
                <w:color w:val="auto"/>
                <w:szCs w:val="21"/>
                <w:highlight w:val="none"/>
              </w:rPr>
            </w:pPr>
            <w:r>
              <w:rPr>
                <w:color w:val="auto"/>
                <w:szCs w:val="21"/>
                <w:highlight w:val="none"/>
              </w:rPr>
            </w:r>
            <w:r/>
          </w:p>
          <w:p>
            <w:pPr>
              <w:pStyle w:val="989"/>
              <w:jc w:val="center"/>
              <w:spacing w:line="440" w:lineRule="exact"/>
              <w:rPr>
                <w:color w:val="auto"/>
                <w:szCs w:val="21"/>
                <w:highlight w:val="none"/>
              </w:rPr>
            </w:pPr>
            <w:r>
              <w:rPr>
                <w:color w:val="auto"/>
                <w:szCs w:val="21"/>
                <w:highlight w:val="none"/>
              </w:rPr>
            </w:r>
            <w:r/>
          </w:p>
        </w:tc>
        <w:tc>
          <w:tcPr>
            <w:tcW w:w="888" w:type="dxa"/>
            <w:vAlign w:val="center"/>
            <w:textDirection w:val="lrTb"/>
            <w:noWrap w:val="false"/>
          </w:tcPr>
          <w:p>
            <w:pPr>
              <w:pStyle w:val="989"/>
              <w:jc w:val="center"/>
              <w:spacing w:line="440" w:lineRule="exact"/>
              <w:rPr>
                <w:color w:val="auto"/>
                <w:szCs w:val="21"/>
                <w:highlight w:val="none"/>
              </w:rPr>
            </w:pPr>
            <w:r>
              <w:rPr>
                <w:color w:val="auto"/>
                <w:szCs w:val="21"/>
                <w:highlight w:val="none"/>
              </w:rPr>
            </w:r>
            <w:r/>
          </w:p>
          <w:p>
            <w:pPr>
              <w:pStyle w:val="989"/>
              <w:jc w:val="center"/>
              <w:spacing w:line="440" w:lineRule="exact"/>
              <w:rPr>
                <w:color w:val="auto"/>
                <w:szCs w:val="21"/>
                <w:highlight w:val="none"/>
              </w:rPr>
            </w:pPr>
            <w:r>
              <w:rPr>
                <w:color w:val="auto"/>
                <w:szCs w:val="21"/>
                <w:highlight w:val="none"/>
              </w:rPr>
            </w:r>
            <w:r/>
          </w:p>
        </w:tc>
        <w:tc>
          <w:tcPr>
            <w:tcW w:w="1128" w:type="dxa"/>
            <w:vAlign w:val="center"/>
            <w:textDirection w:val="lrTb"/>
            <w:noWrap w:val="false"/>
          </w:tcPr>
          <w:p>
            <w:pPr>
              <w:pStyle w:val="989"/>
              <w:jc w:val="center"/>
              <w:spacing w:line="440" w:lineRule="exact"/>
              <w:rPr>
                <w:color w:val="auto"/>
                <w:szCs w:val="21"/>
                <w:highlight w:val="none"/>
              </w:rPr>
            </w:pPr>
            <w:r>
              <w:rPr>
                <w:color w:val="auto"/>
                <w:szCs w:val="21"/>
                <w:highlight w:val="none"/>
              </w:rPr>
            </w:r>
            <w:r/>
          </w:p>
          <w:p>
            <w:pPr>
              <w:pStyle w:val="989"/>
              <w:jc w:val="center"/>
              <w:spacing w:line="440" w:lineRule="exact"/>
              <w:rPr>
                <w:color w:val="auto"/>
                <w:szCs w:val="21"/>
                <w:highlight w:val="none"/>
              </w:rPr>
            </w:pPr>
            <w:r>
              <w:rPr>
                <w:color w:val="auto"/>
                <w:szCs w:val="21"/>
                <w:highlight w:val="none"/>
              </w:rPr>
            </w:r>
            <w:r/>
          </w:p>
        </w:tc>
        <w:tc>
          <w:tcPr>
            <w:tcW w:w="1920" w:type="dxa"/>
            <w:vAlign w:val="center"/>
            <w:textDirection w:val="lrTb"/>
            <w:noWrap w:val="false"/>
          </w:tcPr>
          <w:p>
            <w:pPr>
              <w:pStyle w:val="989"/>
              <w:jc w:val="center"/>
              <w:spacing w:line="440" w:lineRule="exact"/>
              <w:rPr>
                <w:color w:val="auto"/>
                <w:szCs w:val="21"/>
                <w:highlight w:val="none"/>
              </w:rPr>
            </w:pPr>
            <w:r>
              <w:rPr>
                <w:color w:val="auto"/>
                <w:szCs w:val="21"/>
                <w:highlight w:val="none"/>
              </w:rPr>
            </w:r>
            <w:r/>
          </w:p>
          <w:p>
            <w:pPr>
              <w:pStyle w:val="989"/>
              <w:jc w:val="center"/>
              <w:spacing w:line="440" w:lineRule="exact"/>
              <w:rPr>
                <w:color w:val="auto"/>
                <w:szCs w:val="21"/>
                <w:highlight w:val="none"/>
              </w:rPr>
            </w:pPr>
            <w:r>
              <w:rPr>
                <w:color w:val="auto"/>
                <w:szCs w:val="21"/>
                <w:highlight w:val="none"/>
              </w:rPr>
            </w:r>
            <w:r/>
          </w:p>
        </w:tc>
        <w:tc>
          <w:tcPr>
            <w:tcW w:w="1945" w:type="dxa"/>
            <w:vAlign w:val="center"/>
            <w:textDirection w:val="lrTb"/>
            <w:noWrap w:val="false"/>
          </w:tcPr>
          <w:p>
            <w:pPr>
              <w:pStyle w:val="989"/>
              <w:jc w:val="center"/>
              <w:spacing w:line="440" w:lineRule="exact"/>
              <w:rPr>
                <w:color w:val="auto"/>
                <w:szCs w:val="21"/>
                <w:highlight w:val="none"/>
              </w:rPr>
            </w:pPr>
            <w:r>
              <w:rPr>
                <w:color w:val="auto"/>
                <w:szCs w:val="21"/>
                <w:highlight w:val="none"/>
              </w:rPr>
            </w:r>
            <w:r/>
          </w:p>
          <w:p>
            <w:pPr>
              <w:pStyle w:val="989"/>
              <w:jc w:val="center"/>
              <w:spacing w:line="440" w:lineRule="exact"/>
              <w:rPr>
                <w:color w:val="auto"/>
                <w:szCs w:val="21"/>
                <w:highlight w:val="none"/>
              </w:rPr>
            </w:pPr>
            <w:r>
              <w:rPr>
                <w:color w:val="auto"/>
                <w:szCs w:val="21"/>
                <w:highlight w:val="none"/>
              </w:rPr>
            </w:r>
            <w:r/>
          </w:p>
        </w:tc>
        <w:tc>
          <w:tcPr>
            <w:tcW w:w="875" w:type="dxa"/>
            <w:vAlign w:val="center"/>
            <w:textDirection w:val="lrTb"/>
            <w:noWrap w:val="false"/>
          </w:tcPr>
          <w:p>
            <w:pPr>
              <w:pStyle w:val="989"/>
              <w:jc w:val="center"/>
              <w:spacing w:line="440" w:lineRule="exact"/>
              <w:rPr>
                <w:color w:val="auto"/>
                <w:szCs w:val="21"/>
                <w:highlight w:val="none"/>
              </w:rPr>
            </w:pPr>
            <w:r>
              <w:rPr>
                <w:color w:val="auto"/>
                <w:szCs w:val="21"/>
                <w:highlight w:val="none"/>
              </w:rPr>
            </w:r>
            <w:r/>
          </w:p>
          <w:p>
            <w:pPr>
              <w:pStyle w:val="989"/>
              <w:jc w:val="center"/>
              <w:spacing w:line="440" w:lineRule="exact"/>
              <w:rPr>
                <w:color w:val="auto"/>
                <w:szCs w:val="21"/>
                <w:highlight w:val="none"/>
              </w:rPr>
            </w:pPr>
            <w:r>
              <w:rPr>
                <w:color w:val="auto"/>
                <w:szCs w:val="21"/>
                <w:highlight w:val="none"/>
              </w:rPr>
            </w:r>
            <w:r/>
          </w:p>
        </w:tc>
      </w:tr>
      <w:tr>
        <w:trPr>
          <w:jc w:val="center"/>
          <w:trHeight w:val="702"/>
        </w:trPr>
        <w:tc>
          <w:tcPr>
            <w:tcW w:w="874" w:type="dxa"/>
            <w:vAlign w:val="center"/>
            <w:textDirection w:val="lrTb"/>
            <w:noWrap w:val="false"/>
          </w:tcPr>
          <w:p>
            <w:pPr>
              <w:pStyle w:val="989"/>
              <w:jc w:val="center"/>
              <w:spacing w:line="440" w:lineRule="exact"/>
              <w:rPr>
                <w:color w:val="auto"/>
                <w:szCs w:val="21"/>
                <w:highlight w:val="none"/>
              </w:rPr>
            </w:pPr>
            <w:r>
              <w:rPr>
                <w:rFonts w:hint="eastAsia"/>
                <w:color w:val="auto"/>
                <w:szCs w:val="21"/>
                <w:highlight w:val="none"/>
              </w:rPr>
              <w:t xml:space="preserve">5</w:t>
            </w:r>
            <w:r/>
          </w:p>
        </w:tc>
        <w:tc>
          <w:tcPr>
            <w:tcW w:w="1020" w:type="dxa"/>
            <w:vAlign w:val="center"/>
            <w:textDirection w:val="lrTb"/>
            <w:noWrap w:val="false"/>
          </w:tcPr>
          <w:p>
            <w:pPr>
              <w:pStyle w:val="989"/>
              <w:jc w:val="center"/>
              <w:spacing w:line="440" w:lineRule="exact"/>
              <w:rPr>
                <w:color w:val="auto"/>
                <w:szCs w:val="21"/>
                <w:highlight w:val="none"/>
              </w:rPr>
            </w:pPr>
            <w:r>
              <w:rPr>
                <w:color w:val="auto"/>
                <w:szCs w:val="21"/>
                <w:highlight w:val="none"/>
              </w:rPr>
            </w:r>
            <w:r/>
          </w:p>
          <w:p>
            <w:pPr>
              <w:pStyle w:val="989"/>
              <w:jc w:val="center"/>
              <w:spacing w:line="440" w:lineRule="exact"/>
              <w:rPr>
                <w:color w:val="auto"/>
                <w:szCs w:val="21"/>
                <w:highlight w:val="none"/>
              </w:rPr>
            </w:pPr>
            <w:r>
              <w:rPr>
                <w:color w:val="auto"/>
                <w:szCs w:val="21"/>
                <w:highlight w:val="none"/>
              </w:rPr>
            </w:r>
            <w:r/>
          </w:p>
        </w:tc>
        <w:tc>
          <w:tcPr>
            <w:tcW w:w="1080" w:type="dxa"/>
            <w:vAlign w:val="center"/>
            <w:textDirection w:val="lrTb"/>
            <w:noWrap w:val="false"/>
          </w:tcPr>
          <w:p>
            <w:pPr>
              <w:pStyle w:val="989"/>
              <w:jc w:val="center"/>
              <w:spacing w:line="440" w:lineRule="exact"/>
              <w:rPr>
                <w:color w:val="auto"/>
                <w:szCs w:val="21"/>
                <w:highlight w:val="none"/>
              </w:rPr>
            </w:pPr>
            <w:r>
              <w:rPr>
                <w:color w:val="auto"/>
                <w:szCs w:val="21"/>
                <w:highlight w:val="none"/>
              </w:rPr>
            </w:r>
            <w:r/>
          </w:p>
          <w:p>
            <w:pPr>
              <w:pStyle w:val="989"/>
              <w:jc w:val="center"/>
              <w:spacing w:line="440" w:lineRule="exact"/>
              <w:rPr>
                <w:color w:val="auto"/>
                <w:szCs w:val="21"/>
                <w:highlight w:val="none"/>
              </w:rPr>
            </w:pPr>
            <w:r>
              <w:rPr>
                <w:color w:val="auto"/>
                <w:szCs w:val="21"/>
                <w:highlight w:val="none"/>
              </w:rPr>
            </w:r>
            <w:r/>
          </w:p>
        </w:tc>
        <w:tc>
          <w:tcPr>
            <w:tcW w:w="888" w:type="dxa"/>
            <w:vAlign w:val="center"/>
            <w:textDirection w:val="lrTb"/>
            <w:noWrap w:val="false"/>
          </w:tcPr>
          <w:p>
            <w:pPr>
              <w:pStyle w:val="989"/>
              <w:jc w:val="center"/>
              <w:spacing w:line="440" w:lineRule="exact"/>
              <w:rPr>
                <w:color w:val="auto"/>
                <w:szCs w:val="21"/>
                <w:highlight w:val="none"/>
              </w:rPr>
            </w:pPr>
            <w:r>
              <w:rPr>
                <w:color w:val="auto"/>
                <w:szCs w:val="21"/>
                <w:highlight w:val="none"/>
              </w:rPr>
            </w:r>
            <w:r/>
          </w:p>
          <w:p>
            <w:pPr>
              <w:pStyle w:val="989"/>
              <w:jc w:val="center"/>
              <w:spacing w:line="440" w:lineRule="exact"/>
              <w:rPr>
                <w:color w:val="auto"/>
                <w:szCs w:val="21"/>
                <w:highlight w:val="none"/>
              </w:rPr>
            </w:pPr>
            <w:r>
              <w:rPr>
                <w:color w:val="auto"/>
                <w:szCs w:val="21"/>
                <w:highlight w:val="none"/>
              </w:rPr>
            </w:r>
            <w:r/>
          </w:p>
        </w:tc>
        <w:tc>
          <w:tcPr>
            <w:tcW w:w="1128" w:type="dxa"/>
            <w:vAlign w:val="center"/>
            <w:textDirection w:val="lrTb"/>
            <w:noWrap w:val="false"/>
          </w:tcPr>
          <w:p>
            <w:pPr>
              <w:pStyle w:val="989"/>
              <w:jc w:val="center"/>
              <w:spacing w:line="440" w:lineRule="exact"/>
              <w:rPr>
                <w:color w:val="auto"/>
                <w:szCs w:val="21"/>
                <w:highlight w:val="none"/>
              </w:rPr>
            </w:pPr>
            <w:r>
              <w:rPr>
                <w:color w:val="auto"/>
                <w:szCs w:val="21"/>
                <w:highlight w:val="none"/>
              </w:rPr>
            </w:r>
            <w:r/>
          </w:p>
          <w:p>
            <w:pPr>
              <w:pStyle w:val="989"/>
              <w:jc w:val="center"/>
              <w:spacing w:line="440" w:lineRule="exact"/>
              <w:rPr>
                <w:color w:val="auto"/>
                <w:szCs w:val="21"/>
                <w:highlight w:val="none"/>
              </w:rPr>
            </w:pPr>
            <w:r>
              <w:rPr>
                <w:color w:val="auto"/>
                <w:szCs w:val="21"/>
                <w:highlight w:val="none"/>
              </w:rPr>
            </w:r>
            <w:r/>
          </w:p>
        </w:tc>
        <w:tc>
          <w:tcPr>
            <w:tcW w:w="1920" w:type="dxa"/>
            <w:vAlign w:val="center"/>
            <w:textDirection w:val="lrTb"/>
            <w:noWrap w:val="false"/>
          </w:tcPr>
          <w:p>
            <w:pPr>
              <w:pStyle w:val="989"/>
              <w:jc w:val="center"/>
              <w:spacing w:line="440" w:lineRule="exact"/>
              <w:rPr>
                <w:color w:val="auto"/>
                <w:szCs w:val="21"/>
                <w:highlight w:val="none"/>
              </w:rPr>
            </w:pPr>
            <w:r>
              <w:rPr>
                <w:color w:val="auto"/>
                <w:szCs w:val="21"/>
                <w:highlight w:val="none"/>
              </w:rPr>
            </w:r>
            <w:r/>
          </w:p>
          <w:p>
            <w:pPr>
              <w:pStyle w:val="989"/>
              <w:jc w:val="center"/>
              <w:spacing w:line="440" w:lineRule="exact"/>
              <w:rPr>
                <w:color w:val="auto"/>
                <w:szCs w:val="21"/>
                <w:highlight w:val="none"/>
              </w:rPr>
            </w:pPr>
            <w:r>
              <w:rPr>
                <w:color w:val="auto"/>
                <w:szCs w:val="21"/>
                <w:highlight w:val="none"/>
              </w:rPr>
            </w:r>
            <w:r/>
          </w:p>
        </w:tc>
        <w:tc>
          <w:tcPr>
            <w:tcW w:w="1945" w:type="dxa"/>
            <w:vAlign w:val="center"/>
            <w:textDirection w:val="lrTb"/>
            <w:noWrap w:val="false"/>
          </w:tcPr>
          <w:p>
            <w:pPr>
              <w:pStyle w:val="989"/>
              <w:jc w:val="center"/>
              <w:spacing w:line="440" w:lineRule="exact"/>
              <w:rPr>
                <w:color w:val="auto"/>
                <w:szCs w:val="21"/>
                <w:highlight w:val="none"/>
              </w:rPr>
            </w:pPr>
            <w:r>
              <w:rPr>
                <w:color w:val="auto"/>
                <w:szCs w:val="21"/>
                <w:highlight w:val="none"/>
              </w:rPr>
            </w:r>
            <w:r/>
          </w:p>
          <w:p>
            <w:pPr>
              <w:pStyle w:val="989"/>
              <w:jc w:val="center"/>
              <w:spacing w:line="440" w:lineRule="exact"/>
              <w:rPr>
                <w:color w:val="auto"/>
                <w:szCs w:val="21"/>
                <w:highlight w:val="none"/>
              </w:rPr>
            </w:pPr>
            <w:r>
              <w:rPr>
                <w:color w:val="auto"/>
                <w:szCs w:val="21"/>
                <w:highlight w:val="none"/>
              </w:rPr>
            </w:r>
            <w:r/>
          </w:p>
        </w:tc>
        <w:tc>
          <w:tcPr>
            <w:tcW w:w="875" w:type="dxa"/>
            <w:vAlign w:val="center"/>
            <w:textDirection w:val="lrTb"/>
            <w:noWrap w:val="false"/>
          </w:tcPr>
          <w:p>
            <w:pPr>
              <w:pStyle w:val="989"/>
              <w:jc w:val="center"/>
              <w:spacing w:line="440" w:lineRule="exact"/>
              <w:rPr>
                <w:color w:val="auto"/>
                <w:szCs w:val="21"/>
                <w:highlight w:val="none"/>
              </w:rPr>
            </w:pPr>
            <w:r>
              <w:rPr>
                <w:color w:val="auto"/>
                <w:szCs w:val="21"/>
                <w:highlight w:val="none"/>
              </w:rPr>
            </w:r>
            <w:r/>
          </w:p>
          <w:p>
            <w:pPr>
              <w:pStyle w:val="989"/>
              <w:jc w:val="center"/>
              <w:spacing w:line="440" w:lineRule="exact"/>
              <w:rPr>
                <w:color w:val="auto"/>
                <w:szCs w:val="21"/>
                <w:highlight w:val="none"/>
              </w:rPr>
            </w:pPr>
            <w:r>
              <w:rPr>
                <w:color w:val="auto"/>
                <w:szCs w:val="21"/>
                <w:highlight w:val="none"/>
              </w:rPr>
            </w:r>
            <w:r/>
          </w:p>
        </w:tc>
      </w:tr>
      <w:tr>
        <w:trPr>
          <w:jc w:val="center"/>
          <w:trHeight w:val="702"/>
        </w:trPr>
        <w:tc>
          <w:tcPr>
            <w:tcW w:w="874" w:type="dxa"/>
            <w:vAlign w:val="center"/>
            <w:textDirection w:val="lrTb"/>
            <w:noWrap w:val="false"/>
          </w:tcPr>
          <w:p>
            <w:pPr>
              <w:pStyle w:val="989"/>
              <w:jc w:val="center"/>
              <w:spacing w:line="440" w:lineRule="exact"/>
              <w:rPr>
                <w:color w:val="auto"/>
                <w:szCs w:val="21"/>
                <w:highlight w:val="none"/>
              </w:rPr>
            </w:pPr>
            <w:r>
              <w:rPr>
                <w:rFonts w:hint="eastAsia"/>
                <w:color w:val="auto"/>
                <w:szCs w:val="21"/>
                <w:highlight w:val="none"/>
              </w:rPr>
              <w:t xml:space="preserve">6</w:t>
            </w:r>
            <w:r/>
          </w:p>
        </w:tc>
        <w:tc>
          <w:tcPr>
            <w:tcW w:w="1020" w:type="dxa"/>
            <w:vAlign w:val="center"/>
            <w:textDirection w:val="lrTb"/>
            <w:noWrap w:val="false"/>
          </w:tcPr>
          <w:p>
            <w:pPr>
              <w:pStyle w:val="989"/>
              <w:jc w:val="center"/>
              <w:spacing w:line="440" w:lineRule="exact"/>
              <w:rPr>
                <w:color w:val="auto"/>
                <w:szCs w:val="21"/>
                <w:highlight w:val="none"/>
              </w:rPr>
            </w:pPr>
            <w:r>
              <w:rPr>
                <w:color w:val="auto"/>
                <w:szCs w:val="21"/>
                <w:highlight w:val="none"/>
              </w:rPr>
            </w:r>
            <w:r/>
          </w:p>
          <w:p>
            <w:pPr>
              <w:pStyle w:val="989"/>
              <w:jc w:val="center"/>
              <w:spacing w:line="440" w:lineRule="exact"/>
              <w:rPr>
                <w:color w:val="auto"/>
                <w:szCs w:val="21"/>
                <w:highlight w:val="none"/>
              </w:rPr>
            </w:pPr>
            <w:r>
              <w:rPr>
                <w:color w:val="auto"/>
                <w:szCs w:val="21"/>
                <w:highlight w:val="none"/>
              </w:rPr>
            </w:r>
            <w:r/>
          </w:p>
        </w:tc>
        <w:tc>
          <w:tcPr>
            <w:tcW w:w="1080" w:type="dxa"/>
            <w:vAlign w:val="center"/>
            <w:textDirection w:val="lrTb"/>
            <w:noWrap w:val="false"/>
          </w:tcPr>
          <w:p>
            <w:pPr>
              <w:pStyle w:val="989"/>
              <w:jc w:val="center"/>
              <w:spacing w:line="440" w:lineRule="exact"/>
              <w:rPr>
                <w:color w:val="auto"/>
                <w:szCs w:val="21"/>
                <w:highlight w:val="none"/>
              </w:rPr>
            </w:pPr>
            <w:r>
              <w:rPr>
                <w:color w:val="auto"/>
                <w:szCs w:val="21"/>
                <w:highlight w:val="none"/>
              </w:rPr>
            </w:r>
            <w:r/>
          </w:p>
          <w:p>
            <w:pPr>
              <w:pStyle w:val="989"/>
              <w:jc w:val="center"/>
              <w:spacing w:line="440" w:lineRule="exact"/>
              <w:rPr>
                <w:color w:val="auto"/>
                <w:szCs w:val="21"/>
                <w:highlight w:val="none"/>
              </w:rPr>
            </w:pPr>
            <w:r>
              <w:rPr>
                <w:color w:val="auto"/>
                <w:szCs w:val="21"/>
                <w:highlight w:val="none"/>
              </w:rPr>
            </w:r>
            <w:r/>
          </w:p>
        </w:tc>
        <w:tc>
          <w:tcPr>
            <w:tcW w:w="888" w:type="dxa"/>
            <w:vAlign w:val="center"/>
            <w:textDirection w:val="lrTb"/>
            <w:noWrap w:val="false"/>
          </w:tcPr>
          <w:p>
            <w:pPr>
              <w:pStyle w:val="989"/>
              <w:jc w:val="center"/>
              <w:spacing w:line="440" w:lineRule="exact"/>
              <w:rPr>
                <w:color w:val="auto"/>
                <w:szCs w:val="21"/>
                <w:highlight w:val="none"/>
              </w:rPr>
            </w:pPr>
            <w:r>
              <w:rPr>
                <w:color w:val="auto"/>
                <w:szCs w:val="21"/>
                <w:highlight w:val="none"/>
              </w:rPr>
            </w:r>
            <w:r/>
          </w:p>
          <w:p>
            <w:pPr>
              <w:pStyle w:val="989"/>
              <w:jc w:val="center"/>
              <w:spacing w:line="440" w:lineRule="exact"/>
              <w:rPr>
                <w:color w:val="auto"/>
                <w:szCs w:val="21"/>
                <w:highlight w:val="none"/>
              </w:rPr>
            </w:pPr>
            <w:r>
              <w:rPr>
                <w:color w:val="auto"/>
                <w:szCs w:val="21"/>
                <w:highlight w:val="none"/>
              </w:rPr>
            </w:r>
            <w:r/>
          </w:p>
        </w:tc>
        <w:tc>
          <w:tcPr>
            <w:tcW w:w="1128" w:type="dxa"/>
            <w:vAlign w:val="center"/>
            <w:textDirection w:val="lrTb"/>
            <w:noWrap w:val="false"/>
          </w:tcPr>
          <w:p>
            <w:pPr>
              <w:pStyle w:val="989"/>
              <w:jc w:val="center"/>
              <w:spacing w:line="440" w:lineRule="exact"/>
              <w:rPr>
                <w:color w:val="auto"/>
                <w:szCs w:val="21"/>
                <w:highlight w:val="none"/>
              </w:rPr>
            </w:pPr>
            <w:r>
              <w:rPr>
                <w:color w:val="auto"/>
                <w:szCs w:val="21"/>
                <w:highlight w:val="none"/>
              </w:rPr>
            </w:r>
            <w:r/>
          </w:p>
          <w:p>
            <w:pPr>
              <w:pStyle w:val="989"/>
              <w:jc w:val="center"/>
              <w:spacing w:line="440" w:lineRule="exact"/>
              <w:rPr>
                <w:color w:val="auto"/>
                <w:szCs w:val="21"/>
                <w:highlight w:val="none"/>
              </w:rPr>
            </w:pPr>
            <w:r>
              <w:rPr>
                <w:color w:val="auto"/>
                <w:szCs w:val="21"/>
                <w:highlight w:val="none"/>
              </w:rPr>
            </w:r>
            <w:r/>
          </w:p>
        </w:tc>
        <w:tc>
          <w:tcPr>
            <w:tcW w:w="1920" w:type="dxa"/>
            <w:vAlign w:val="center"/>
            <w:textDirection w:val="lrTb"/>
            <w:noWrap w:val="false"/>
          </w:tcPr>
          <w:p>
            <w:pPr>
              <w:pStyle w:val="989"/>
              <w:jc w:val="center"/>
              <w:spacing w:line="440" w:lineRule="exact"/>
              <w:rPr>
                <w:color w:val="auto"/>
                <w:szCs w:val="21"/>
                <w:highlight w:val="none"/>
              </w:rPr>
            </w:pPr>
            <w:r>
              <w:rPr>
                <w:color w:val="auto"/>
                <w:szCs w:val="21"/>
                <w:highlight w:val="none"/>
              </w:rPr>
            </w:r>
            <w:r/>
          </w:p>
          <w:p>
            <w:pPr>
              <w:pStyle w:val="989"/>
              <w:jc w:val="center"/>
              <w:spacing w:line="440" w:lineRule="exact"/>
              <w:rPr>
                <w:color w:val="auto"/>
                <w:szCs w:val="21"/>
                <w:highlight w:val="none"/>
              </w:rPr>
            </w:pPr>
            <w:r>
              <w:rPr>
                <w:color w:val="auto"/>
                <w:szCs w:val="21"/>
                <w:highlight w:val="none"/>
              </w:rPr>
            </w:r>
            <w:r/>
          </w:p>
        </w:tc>
        <w:tc>
          <w:tcPr>
            <w:tcW w:w="1945" w:type="dxa"/>
            <w:vAlign w:val="center"/>
            <w:textDirection w:val="lrTb"/>
            <w:noWrap w:val="false"/>
          </w:tcPr>
          <w:p>
            <w:pPr>
              <w:pStyle w:val="989"/>
              <w:jc w:val="center"/>
              <w:spacing w:line="440" w:lineRule="exact"/>
              <w:rPr>
                <w:color w:val="auto"/>
                <w:szCs w:val="21"/>
                <w:highlight w:val="none"/>
              </w:rPr>
            </w:pPr>
            <w:r>
              <w:rPr>
                <w:color w:val="auto"/>
                <w:szCs w:val="21"/>
                <w:highlight w:val="none"/>
              </w:rPr>
            </w:r>
            <w:r/>
          </w:p>
          <w:p>
            <w:pPr>
              <w:pStyle w:val="989"/>
              <w:jc w:val="center"/>
              <w:spacing w:line="440" w:lineRule="exact"/>
              <w:rPr>
                <w:color w:val="auto"/>
                <w:szCs w:val="21"/>
                <w:highlight w:val="none"/>
              </w:rPr>
            </w:pPr>
            <w:r>
              <w:rPr>
                <w:color w:val="auto"/>
                <w:szCs w:val="21"/>
                <w:highlight w:val="none"/>
              </w:rPr>
            </w:r>
            <w:r/>
          </w:p>
        </w:tc>
        <w:tc>
          <w:tcPr>
            <w:tcW w:w="875" w:type="dxa"/>
            <w:vAlign w:val="center"/>
            <w:textDirection w:val="lrTb"/>
            <w:noWrap w:val="false"/>
          </w:tcPr>
          <w:p>
            <w:pPr>
              <w:pStyle w:val="989"/>
              <w:jc w:val="center"/>
              <w:spacing w:line="440" w:lineRule="exact"/>
              <w:rPr>
                <w:color w:val="auto"/>
                <w:szCs w:val="21"/>
                <w:highlight w:val="none"/>
              </w:rPr>
            </w:pPr>
            <w:r>
              <w:rPr>
                <w:color w:val="auto"/>
                <w:szCs w:val="21"/>
                <w:highlight w:val="none"/>
              </w:rPr>
            </w:r>
            <w:r/>
          </w:p>
          <w:p>
            <w:pPr>
              <w:pStyle w:val="989"/>
              <w:jc w:val="center"/>
              <w:spacing w:line="440" w:lineRule="exact"/>
              <w:rPr>
                <w:color w:val="auto"/>
                <w:szCs w:val="21"/>
                <w:highlight w:val="none"/>
              </w:rPr>
            </w:pPr>
            <w:r>
              <w:rPr>
                <w:color w:val="auto"/>
                <w:szCs w:val="21"/>
                <w:highlight w:val="none"/>
              </w:rPr>
            </w:r>
            <w:r/>
          </w:p>
        </w:tc>
      </w:tr>
      <w:tr>
        <w:trPr>
          <w:jc w:val="center"/>
          <w:trHeight w:val="702"/>
        </w:trPr>
        <w:tc>
          <w:tcPr>
            <w:tcW w:w="874" w:type="dxa"/>
            <w:vAlign w:val="center"/>
            <w:textDirection w:val="lrTb"/>
            <w:noWrap w:val="false"/>
          </w:tcPr>
          <w:p>
            <w:pPr>
              <w:pStyle w:val="989"/>
              <w:jc w:val="center"/>
              <w:spacing w:line="440" w:lineRule="exact"/>
              <w:rPr>
                <w:color w:val="auto"/>
                <w:szCs w:val="21"/>
                <w:highlight w:val="none"/>
              </w:rPr>
            </w:pPr>
            <w:r>
              <w:rPr>
                <w:rFonts w:hint="eastAsia"/>
                <w:color w:val="auto"/>
                <w:szCs w:val="21"/>
                <w:highlight w:val="none"/>
              </w:rPr>
              <w:t xml:space="preserve">7</w:t>
            </w:r>
            <w:r/>
          </w:p>
        </w:tc>
        <w:tc>
          <w:tcPr>
            <w:tcW w:w="1020" w:type="dxa"/>
            <w:vAlign w:val="center"/>
            <w:textDirection w:val="lrTb"/>
            <w:noWrap w:val="false"/>
          </w:tcPr>
          <w:p>
            <w:pPr>
              <w:pStyle w:val="989"/>
              <w:jc w:val="center"/>
              <w:spacing w:line="440" w:lineRule="exact"/>
              <w:rPr>
                <w:color w:val="auto"/>
                <w:szCs w:val="21"/>
                <w:highlight w:val="none"/>
              </w:rPr>
            </w:pPr>
            <w:r>
              <w:rPr>
                <w:color w:val="auto"/>
                <w:szCs w:val="21"/>
                <w:highlight w:val="none"/>
              </w:rPr>
            </w:r>
            <w:r/>
          </w:p>
          <w:p>
            <w:pPr>
              <w:pStyle w:val="989"/>
              <w:jc w:val="center"/>
              <w:spacing w:line="440" w:lineRule="exact"/>
              <w:rPr>
                <w:color w:val="auto"/>
                <w:szCs w:val="21"/>
                <w:highlight w:val="none"/>
              </w:rPr>
            </w:pPr>
            <w:r>
              <w:rPr>
                <w:color w:val="auto"/>
                <w:szCs w:val="21"/>
                <w:highlight w:val="none"/>
              </w:rPr>
            </w:r>
            <w:r/>
          </w:p>
        </w:tc>
        <w:tc>
          <w:tcPr>
            <w:tcW w:w="1080" w:type="dxa"/>
            <w:vAlign w:val="center"/>
            <w:textDirection w:val="lrTb"/>
            <w:noWrap w:val="false"/>
          </w:tcPr>
          <w:p>
            <w:pPr>
              <w:pStyle w:val="989"/>
              <w:jc w:val="center"/>
              <w:spacing w:line="440" w:lineRule="exact"/>
              <w:rPr>
                <w:color w:val="auto"/>
                <w:szCs w:val="21"/>
                <w:highlight w:val="none"/>
              </w:rPr>
            </w:pPr>
            <w:r>
              <w:rPr>
                <w:color w:val="auto"/>
                <w:szCs w:val="21"/>
                <w:highlight w:val="none"/>
              </w:rPr>
            </w:r>
            <w:r/>
          </w:p>
          <w:p>
            <w:pPr>
              <w:pStyle w:val="989"/>
              <w:jc w:val="center"/>
              <w:spacing w:line="440" w:lineRule="exact"/>
              <w:rPr>
                <w:color w:val="auto"/>
                <w:szCs w:val="21"/>
                <w:highlight w:val="none"/>
              </w:rPr>
            </w:pPr>
            <w:r>
              <w:rPr>
                <w:color w:val="auto"/>
                <w:szCs w:val="21"/>
                <w:highlight w:val="none"/>
              </w:rPr>
            </w:r>
            <w:r/>
          </w:p>
        </w:tc>
        <w:tc>
          <w:tcPr>
            <w:tcW w:w="888" w:type="dxa"/>
            <w:vAlign w:val="center"/>
            <w:textDirection w:val="lrTb"/>
            <w:noWrap w:val="false"/>
          </w:tcPr>
          <w:p>
            <w:pPr>
              <w:pStyle w:val="989"/>
              <w:jc w:val="center"/>
              <w:spacing w:line="440" w:lineRule="exact"/>
              <w:rPr>
                <w:color w:val="auto"/>
                <w:szCs w:val="21"/>
                <w:highlight w:val="none"/>
              </w:rPr>
            </w:pPr>
            <w:r>
              <w:rPr>
                <w:color w:val="auto"/>
                <w:szCs w:val="21"/>
                <w:highlight w:val="none"/>
              </w:rPr>
            </w:r>
            <w:r/>
          </w:p>
          <w:p>
            <w:pPr>
              <w:pStyle w:val="989"/>
              <w:jc w:val="center"/>
              <w:spacing w:line="440" w:lineRule="exact"/>
              <w:rPr>
                <w:color w:val="auto"/>
                <w:szCs w:val="21"/>
                <w:highlight w:val="none"/>
              </w:rPr>
            </w:pPr>
            <w:r>
              <w:rPr>
                <w:color w:val="auto"/>
                <w:szCs w:val="21"/>
                <w:highlight w:val="none"/>
              </w:rPr>
            </w:r>
            <w:r/>
          </w:p>
        </w:tc>
        <w:tc>
          <w:tcPr>
            <w:tcW w:w="1128" w:type="dxa"/>
            <w:vAlign w:val="center"/>
            <w:textDirection w:val="lrTb"/>
            <w:noWrap w:val="false"/>
          </w:tcPr>
          <w:p>
            <w:pPr>
              <w:pStyle w:val="989"/>
              <w:jc w:val="center"/>
              <w:spacing w:line="440" w:lineRule="exact"/>
              <w:rPr>
                <w:color w:val="auto"/>
                <w:szCs w:val="21"/>
                <w:highlight w:val="none"/>
              </w:rPr>
            </w:pPr>
            <w:r>
              <w:rPr>
                <w:color w:val="auto"/>
                <w:szCs w:val="21"/>
                <w:highlight w:val="none"/>
              </w:rPr>
            </w:r>
            <w:r/>
          </w:p>
          <w:p>
            <w:pPr>
              <w:pStyle w:val="989"/>
              <w:jc w:val="center"/>
              <w:spacing w:line="440" w:lineRule="exact"/>
              <w:rPr>
                <w:color w:val="auto"/>
                <w:szCs w:val="21"/>
                <w:highlight w:val="none"/>
              </w:rPr>
            </w:pPr>
            <w:r>
              <w:rPr>
                <w:color w:val="auto"/>
                <w:szCs w:val="21"/>
                <w:highlight w:val="none"/>
              </w:rPr>
            </w:r>
            <w:r/>
          </w:p>
        </w:tc>
        <w:tc>
          <w:tcPr>
            <w:tcW w:w="1920" w:type="dxa"/>
            <w:vAlign w:val="center"/>
            <w:textDirection w:val="lrTb"/>
            <w:noWrap w:val="false"/>
          </w:tcPr>
          <w:p>
            <w:pPr>
              <w:pStyle w:val="989"/>
              <w:spacing w:line="440" w:lineRule="exact"/>
              <w:rPr>
                <w:color w:val="auto"/>
                <w:szCs w:val="21"/>
                <w:highlight w:val="none"/>
              </w:rPr>
            </w:pPr>
            <w:r>
              <w:rPr>
                <w:color w:val="auto"/>
                <w:szCs w:val="21"/>
                <w:highlight w:val="none"/>
              </w:rPr>
            </w:r>
            <w:r/>
          </w:p>
        </w:tc>
        <w:tc>
          <w:tcPr>
            <w:tcW w:w="1945" w:type="dxa"/>
            <w:vAlign w:val="center"/>
            <w:textDirection w:val="lrTb"/>
            <w:noWrap w:val="false"/>
          </w:tcPr>
          <w:p>
            <w:pPr>
              <w:pStyle w:val="989"/>
              <w:jc w:val="center"/>
              <w:spacing w:line="440" w:lineRule="exact"/>
              <w:rPr>
                <w:color w:val="auto"/>
                <w:szCs w:val="21"/>
                <w:highlight w:val="none"/>
              </w:rPr>
            </w:pPr>
            <w:r>
              <w:rPr>
                <w:color w:val="auto"/>
                <w:szCs w:val="21"/>
                <w:highlight w:val="none"/>
              </w:rPr>
            </w:r>
            <w:r/>
          </w:p>
          <w:p>
            <w:pPr>
              <w:pStyle w:val="989"/>
              <w:jc w:val="center"/>
              <w:spacing w:line="440" w:lineRule="exact"/>
              <w:rPr>
                <w:color w:val="auto"/>
                <w:szCs w:val="21"/>
                <w:highlight w:val="none"/>
              </w:rPr>
            </w:pPr>
            <w:r>
              <w:rPr>
                <w:color w:val="auto"/>
                <w:szCs w:val="21"/>
                <w:highlight w:val="none"/>
              </w:rPr>
            </w:r>
            <w:r/>
          </w:p>
        </w:tc>
        <w:tc>
          <w:tcPr>
            <w:tcW w:w="875" w:type="dxa"/>
            <w:vAlign w:val="center"/>
            <w:textDirection w:val="lrTb"/>
            <w:noWrap w:val="false"/>
          </w:tcPr>
          <w:p>
            <w:pPr>
              <w:pStyle w:val="989"/>
              <w:jc w:val="center"/>
              <w:spacing w:line="440" w:lineRule="exact"/>
              <w:rPr>
                <w:color w:val="auto"/>
                <w:szCs w:val="21"/>
                <w:highlight w:val="none"/>
              </w:rPr>
            </w:pPr>
            <w:r>
              <w:rPr>
                <w:color w:val="auto"/>
                <w:szCs w:val="21"/>
                <w:highlight w:val="none"/>
              </w:rPr>
            </w:r>
            <w:r/>
          </w:p>
          <w:p>
            <w:pPr>
              <w:pStyle w:val="989"/>
              <w:jc w:val="center"/>
              <w:spacing w:line="440" w:lineRule="exact"/>
              <w:rPr>
                <w:color w:val="auto"/>
                <w:szCs w:val="21"/>
                <w:highlight w:val="none"/>
              </w:rPr>
            </w:pPr>
            <w:r>
              <w:rPr>
                <w:color w:val="auto"/>
                <w:szCs w:val="21"/>
                <w:highlight w:val="none"/>
              </w:rPr>
            </w:r>
            <w:r/>
          </w:p>
        </w:tc>
      </w:tr>
      <w:tr>
        <w:trPr>
          <w:jc w:val="center"/>
          <w:trHeight w:val="702"/>
        </w:trPr>
        <w:tc>
          <w:tcPr>
            <w:tcW w:w="874" w:type="dxa"/>
            <w:vAlign w:val="center"/>
            <w:textDirection w:val="lrTb"/>
            <w:noWrap w:val="false"/>
          </w:tcPr>
          <w:p>
            <w:pPr>
              <w:pStyle w:val="989"/>
              <w:jc w:val="center"/>
              <w:spacing w:line="440" w:lineRule="exact"/>
              <w:rPr>
                <w:color w:val="auto"/>
                <w:szCs w:val="21"/>
                <w:highlight w:val="none"/>
              </w:rPr>
            </w:pPr>
            <w:r>
              <w:rPr>
                <w:rFonts w:hint="eastAsia"/>
                <w:color w:val="auto"/>
                <w:szCs w:val="21"/>
                <w:highlight w:val="none"/>
              </w:rPr>
              <w:t xml:space="preserve">8</w:t>
            </w:r>
            <w:r/>
          </w:p>
        </w:tc>
        <w:tc>
          <w:tcPr>
            <w:tcW w:w="1020" w:type="dxa"/>
            <w:vAlign w:val="center"/>
            <w:textDirection w:val="lrTb"/>
            <w:noWrap w:val="false"/>
          </w:tcPr>
          <w:p>
            <w:pPr>
              <w:pStyle w:val="989"/>
              <w:jc w:val="center"/>
              <w:spacing w:line="440" w:lineRule="exact"/>
              <w:rPr>
                <w:color w:val="auto"/>
                <w:szCs w:val="21"/>
                <w:highlight w:val="none"/>
              </w:rPr>
            </w:pPr>
            <w:r>
              <w:rPr>
                <w:color w:val="auto"/>
                <w:szCs w:val="21"/>
                <w:highlight w:val="none"/>
              </w:rPr>
            </w:r>
            <w:r/>
          </w:p>
          <w:p>
            <w:pPr>
              <w:pStyle w:val="989"/>
              <w:jc w:val="center"/>
              <w:spacing w:line="440" w:lineRule="exact"/>
              <w:rPr>
                <w:color w:val="auto"/>
                <w:szCs w:val="21"/>
                <w:highlight w:val="none"/>
              </w:rPr>
            </w:pPr>
            <w:r>
              <w:rPr>
                <w:color w:val="auto"/>
                <w:szCs w:val="21"/>
                <w:highlight w:val="none"/>
              </w:rPr>
            </w:r>
            <w:r/>
          </w:p>
        </w:tc>
        <w:tc>
          <w:tcPr>
            <w:tcW w:w="1080" w:type="dxa"/>
            <w:vAlign w:val="center"/>
            <w:textDirection w:val="lrTb"/>
            <w:noWrap w:val="false"/>
          </w:tcPr>
          <w:p>
            <w:pPr>
              <w:pStyle w:val="989"/>
              <w:jc w:val="center"/>
              <w:spacing w:line="440" w:lineRule="exact"/>
              <w:rPr>
                <w:color w:val="auto"/>
                <w:szCs w:val="21"/>
                <w:highlight w:val="none"/>
              </w:rPr>
            </w:pPr>
            <w:r>
              <w:rPr>
                <w:color w:val="auto"/>
                <w:szCs w:val="21"/>
                <w:highlight w:val="none"/>
              </w:rPr>
            </w:r>
            <w:r/>
          </w:p>
          <w:p>
            <w:pPr>
              <w:pStyle w:val="989"/>
              <w:jc w:val="center"/>
              <w:spacing w:line="440" w:lineRule="exact"/>
              <w:rPr>
                <w:color w:val="auto"/>
                <w:szCs w:val="21"/>
                <w:highlight w:val="none"/>
              </w:rPr>
            </w:pPr>
            <w:r>
              <w:rPr>
                <w:color w:val="auto"/>
                <w:szCs w:val="21"/>
                <w:highlight w:val="none"/>
              </w:rPr>
            </w:r>
            <w:r/>
          </w:p>
        </w:tc>
        <w:tc>
          <w:tcPr>
            <w:tcW w:w="888" w:type="dxa"/>
            <w:vAlign w:val="center"/>
            <w:textDirection w:val="lrTb"/>
            <w:noWrap w:val="false"/>
          </w:tcPr>
          <w:p>
            <w:pPr>
              <w:pStyle w:val="989"/>
              <w:jc w:val="center"/>
              <w:spacing w:line="440" w:lineRule="exact"/>
              <w:rPr>
                <w:color w:val="auto"/>
                <w:szCs w:val="21"/>
                <w:highlight w:val="none"/>
              </w:rPr>
            </w:pPr>
            <w:r>
              <w:rPr>
                <w:color w:val="auto"/>
                <w:szCs w:val="21"/>
                <w:highlight w:val="none"/>
              </w:rPr>
            </w:r>
            <w:r/>
          </w:p>
          <w:p>
            <w:pPr>
              <w:pStyle w:val="989"/>
              <w:jc w:val="center"/>
              <w:spacing w:line="440" w:lineRule="exact"/>
              <w:rPr>
                <w:color w:val="auto"/>
                <w:szCs w:val="21"/>
                <w:highlight w:val="none"/>
              </w:rPr>
            </w:pPr>
            <w:r>
              <w:rPr>
                <w:color w:val="auto"/>
                <w:szCs w:val="21"/>
                <w:highlight w:val="none"/>
              </w:rPr>
            </w:r>
            <w:r/>
          </w:p>
        </w:tc>
        <w:tc>
          <w:tcPr>
            <w:tcW w:w="1128" w:type="dxa"/>
            <w:vAlign w:val="center"/>
            <w:textDirection w:val="lrTb"/>
            <w:noWrap w:val="false"/>
          </w:tcPr>
          <w:p>
            <w:pPr>
              <w:pStyle w:val="989"/>
              <w:jc w:val="center"/>
              <w:spacing w:line="440" w:lineRule="exact"/>
              <w:rPr>
                <w:color w:val="auto"/>
                <w:szCs w:val="21"/>
                <w:highlight w:val="none"/>
              </w:rPr>
            </w:pPr>
            <w:r>
              <w:rPr>
                <w:color w:val="auto"/>
                <w:szCs w:val="21"/>
                <w:highlight w:val="none"/>
              </w:rPr>
            </w:r>
            <w:r/>
          </w:p>
          <w:p>
            <w:pPr>
              <w:pStyle w:val="989"/>
              <w:jc w:val="center"/>
              <w:spacing w:line="440" w:lineRule="exact"/>
              <w:rPr>
                <w:color w:val="auto"/>
                <w:szCs w:val="21"/>
                <w:highlight w:val="none"/>
              </w:rPr>
            </w:pPr>
            <w:r>
              <w:rPr>
                <w:color w:val="auto"/>
                <w:szCs w:val="21"/>
                <w:highlight w:val="none"/>
              </w:rPr>
            </w:r>
            <w:r/>
          </w:p>
        </w:tc>
        <w:tc>
          <w:tcPr>
            <w:tcW w:w="1920" w:type="dxa"/>
            <w:vAlign w:val="center"/>
            <w:textDirection w:val="lrTb"/>
            <w:noWrap w:val="false"/>
          </w:tcPr>
          <w:p>
            <w:pPr>
              <w:pStyle w:val="989"/>
              <w:jc w:val="center"/>
              <w:spacing w:line="440" w:lineRule="exact"/>
              <w:rPr>
                <w:color w:val="auto"/>
                <w:szCs w:val="21"/>
                <w:highlight w:val="none"/>
              </w:rPr>
            </w:pPr>
            <w:r>
              <w:rPr>
                <w:color w:val="auto"/>
                <w:szCs w:val="21"/>
                <w:highlight w:val="none"/>
              </w:rPr>
            </w:r>
            <w:r/>
          </w:p>
          <w:p>
            <w:pPr>
              <w:pStyle w:val="989"/>
              <w:jc w:val="center"/>
              <w:spacing w:line="440" w:lineRule="exact"/>
              <w:rPr>
                <w:color w:val="auto"/>
                <w:szCs w:val="21"/>
                <w:highlight w:val="none"/>
              </w:rPr>
            </w:pPr>
            <w:r>
              <w:rPr>
                <w:color w:val="auto"/>
                <w:szCs w:val="21"/>
                <w:highlight w:val="none"/>
              </w:rPr>
            </w:r>
            <w:r/>
          </w:p>
        </w:tc>
        <w:tc>
          <w:tcPr>
            <w:tcW w:w="1945" w:type="dxa"/>
            <w:vAlign w:val="center"/>
            <w:textDirection w:val="lrTb"/>
            <w:noWrap w:val="false"/>
          </w:tcPr>
          <w:p>
            <w:pPr>
              <w:pStyle w:val="989"/>
              <w:jc w:val="center"/>
              <w:spacing w:line="440" w:lineRule="exact"/>
              <w:rPr>
                <w:color w:val="auto"/>
                <w:szCs w:val="21"/>
                <w:highlight w:val="none"/>
              </w:rPr>
            </w:pPr>
            <w:r>
              <w:rPr>
                <w:color w:val="auto"/>
                <w:szCs w:val="21"/>
                <w:highlight w:val="none"/>
              </w:rPr>
            </w:r>
            <w:r/>
          </w:p>
          <w:p>
            <w:pPr>
              <w:pStyle w:val="989"/>
              <w:jc w:val="center"/>
              <w:spacing w:line="440" w:lineRule="exact"/>
              <w:rPr>
                <w:color w:val="auto"/>
                <w:szCs w:val="21"/>
                <w:highlight w:val="none"/>
              </w:rPr>
            </w:pPr>
            <w:r>
              <w:rPr>
                <w:color w:val="auto"/>
                <w:szCs w:val="21"/>
                <w:highlight w:val="none"/>
              </w:rPr>
            </w:r>
            <w:r/>
          </w:p>
        </w:tc>
        <w:tc>
          <w:tcPr>
            <w:tcW w:w="875" w:type="dxa"/>
            <w:vAlign w:val="center"/>
            <w:textDirection w:val="lrTb"/>
            <w:noWrap w:val="false"/>
          </w:tcPr>
          <w:p>
            <w:pPr>
              <w:pStyle w:val="989"/>
              <w:jc w:val="center"/>
              <w:spacing w:line="440" w:lineRule="exact"/>
              <w:rPr>
                <w:color w:val="auto"/>
                <w:szCs w:val="21"/>
                <w:highlight w:val="none"/>
              </w:rPr>
            </w:pPr>
            <w:r>
              <w:rPr>
                <w:color w:val="auto"/>
                <w:szCs w:val="21"/>
                <w:highlight w:val="none"/>
              </w:rPr>
            </w:r>
            <w:r/>
          </w:p>
          <w:p>
            <w:pPr>
              <w:pStyle w:val="989"/>
              <w:jc w:val="center"/>
              <w:spacing w:line="440" w:lineRule="exact"/>
              <w:rPr>
                <w:color w:val="auto"/>
                <w:szCs w:val="21"/>
                <w:highlight w:val="none"/>
              </w:rPr>
            </w:pPr>
            <w:r>
              <w:rPr>
                <w:color w:val="auto"/>
                <w:szCs w:val="21"/>
                <w:highlight w:val="none"/>
              </w:rPr>
            </w:r>
            <w:r/>
          </w:p>
        </w:tc>
      </w:tr>
      <w:tr>
        <w:trPr>
          <w:jc w:val="center"/>
          <w:trHeight w:val="705"/>
        </w:trPr>
        <w:tc>
          <w:tcPr>
            <w:tcW w:w="874" w:type="dxa"/>
            <w:vAlign w:val="center"/>
            <w:textDirection w:val="lrTb"/>
            <w:noWrap w:val="false"/>
          </w:tcPr>
          <w:p>
            <w:pPr>
              <w:pStyle w:val="989"/>
              <w:jc w:val="center"/>
              <w:spacing w:line="440" w:lineRule="exact"/>
              <w:rPr>
                <w:color w:val="auto"/>
                <w:szCs w:val="21"/>
                <w:highlight w:val="none"/>
              </w:rPr>
            </w:pPr>
            <w:r>
              <w:rPr>
                <w:rFonts w:hint="eastAsia"/>
                <w:color w:val="auto"/>
                <w:szCs w:val="21"/>
                <w:highlight w:val="none"/>
              </w:rPr>
              <w:t xml:space="preserve">9</w:t>
            </w:r>
            <w:r/>
          </w:p>
        </w:tc>
        <w:tc>
          <w:tcPr>
            <w:tcW w:w="1020" w:type="dxa"/>
            <w:vAlign w:val="center"/>
            <w:textDirection w:val="lrTb"/>
            <w:noWrap w:val="false"/>
          </w:tcPr>
          <w:p>
            <w:pPr>
              <w:pStyle w:val="989"/>
              <w:jc w:val="center"/>
              <w:spacing w:line="440" w:lineRule="exact"/>
              <w:rPr>
                <w:color w:val="auto"/>
                <w:szCs w:val="21"/>
                <w:highlight w:val="none"/>
              </w:rPr>
            </w:pPr>
            <w:r>
              <w:rPr>
                <w:color w:val="auto"/>
                <w:szCs w:val="21"/>
                <w:highlight w:val="none"/>
              </w:rPr>
            </w:r>
            <w:r/>
          </w:p>
          <w:p>
            <w:pPr>
              <w:pStyle w:val="989"/>
              <w:jc w:val="center"/>
              <w:spacing w:line="440" w:lineRule="exact"/>
              <w:rPr>
                <w:color w:val="auto"/>
                <w:szCs w:val="21"/>
                <w:highlight w:val="none"/>
              </w:rPr>
            </w:pPr>
            <w:r>
              <w:rPr>
                <w:color w:val="auto"/>
                <w:szCs w:val="21"/>
                <w:highlight w:val="none"/>
              </w:rPr>
            </w:r>
            <w:r/>
          </w:p>
        </w:tc>
        <w:tc>
          <w:tcPr>
            <w:tcW w:w="1080" w:type="dxa"/>
            <w:vAlign w:val="center"/>
            <w:textDirection w:val="lrTb"/>
            <w:noWrap w:val="false"/>
          </w:tcPr>
          <w:p>
            <w:pPr>
              <w:pStyle w:val="989"/>
              <w:jc w:val="center"/>
              <w:spacing w:line="440" w:lineRule="exact"/>
              <w:rPr>
                <w:color w:val="auto"/>
                <w:szCs w:val="21"/>
                <w:highlight w:val="none"/>
              </w:rPr>
            </w:pPr>
            <w:r>
              <w:rPr>
                <w:color w:val="auto"/>
                <w:szCs w:val="21"/>
                <w:highlight w:val="none"/>
              </w:rPr>
            </w:r>
            <w:r/>
          </w:p>
          <w:p>
            <w:pPr>
              <w:pStyle w:val="989"/>
              <w:jc w:val="center"/>
              <w:spacing w:line="440" w:lineRule="exact"/>
              <w:rPr>
                <w:color w:val="auto"/>
                <w:szCs w:val="21"/>
                <w:highlight w:val="none"/>
              </w:rPr>
            </w:pPr>
            <w:r>
              <w:rPr>
                <w:color w:val="auto"/>
                <w:szCs w:val="21"/>
                <w:highlight w:val="none"/>
              </w:rPr>
            </w:r>
            <w:r/>
          </w:p>
        </w:tc>
        <w:tc>
          <w:tcPr>
            <w:tcW w:w="888" w:type="dxa"/>
            <w:vAlign w:val="center"/>
            <w:textDirection w:val="lrTb"/>
            <w:noWrap w:val="false"/>
          </w:tcPr>
          <w:p>
            <w:pPr>
              <w:pStyle w:val="989"/>
              <w:jc w:val="center"/>
              <w:spacing w:line="440" w:lineRule="exact"/>
              <w:rPr>
                <w:color w:val="auto"/>
                <w:szCs w:val="21"/>
                <w:highlight w:val="none"/>
              </w:rPr>
            </w:pPr>
            <w:r>
              <w:rPr>
                <w:color w:val="auto"/>
                <w:szCs w:val="21"/>
                <w:highlight w:val="none"/>
              </w:rPr>
            </w:r>
            <w:r/>
          </w:p>
          <w:p>
            <w:pPr>
              <w:pStyle w:val="989"/>
              <w:jc w:val="center"/>
              <w:spacing w:line="440" w:lineRule="exact"/>
              <w:rPr>
                <w:color w:val="auto"/>
                <w:szCs w:val="21"/>
                <w:highlight w:val="none"/>
              </w:rPr>
            </w:pPr>
            <w:r>
              <w:rPr>
                <w:color w:val="auto"/>
                <w:szCs w:val="21"/>
                <w:highlight w:val="none"/>
              </w:rPr>
            </w:r>
            <w:r/>
          </w:p>
        </w:tc>
        <w:tc>
          <w:tcPr>
            <w:tcW w:w="1128" w:type="dxa"/>
            <w:vAlign w:val="center"/>
            <w:textDirection w:val="lrTb"/>
            <w:noWrap w:val="false"/>
          </w:tcPr>
          <w:p>
            <w:pPr>
              <w:pStyle w:val="989"/>
              <w:jc w:val="center"/>
              <w:spacing w:line="440" w:lineRule="exact"/>
              <w:rPr>
                <w:color w:val="auto"/>
                <w:szCs w:val="21"/>
                <w:highlight w:val="none"/>
              </w:rPr>
            </w:pPr>
            <w:r>
              <w:rPr>
                <w:color w:val="auto"/>
                <w:szCs w:val="21"/>
                <w:highlight w:val="none"/>
              </w:rPr>
            </w:r>
            <w:r/>
          </w:p>
          <w:p>
            <w:pPr>
              <w:pStyle w:val="989"/>
              <w:jc w:val="center"/>
              <w:spacing w:line="440" w:lineRule="exact"/>
              <w:rPr>
                <w:color w:val="auto"/>
                <w:szCs w:val="21"/>
                <w:highlight w:val="none"/>
              </w:rPr>
            </w:pPr>
            <w:r>
              <w:rPr>
                <w:color w:val="auto"/>
                <w:szCs w:val="21"/>
                <w:highlight w:val="none"/>
              </w:rPr>
            </w:r>
            <w:r/>
          </w:p>
        </w:tc>
        <w:tc>
          <w:tcPr>
            <w:tcW w:w="1920" w:type="dxa"/>
            <w:vAlign w:val="center"/>
            <w:textDirection w:val="lrTb"/>
            <w:noWrap w:val="false"/>
          </w:tcPr>
          <w:p>
            <w:pPr>
              <w:pStyle w:val="989"/>
              <w:jc w:val="center"/>
              <w:spacing w:line="440" w:lineRule="exact"/>
              <w:rPr>
                <w:color w:val="auto"/>
                <w:szCs w:val="21"/>
                <w:highlight w:val="none"/>
              </w:rPr>
            </w:pPr>
            <w:r>
              <w:rPr>
                <w:color w:val="auto"/>
                <w:szCs w:val="21"/>
                <w:highlight w:val="none"/>
              </w:rPr>
            </w:r>
            <w:r/>
          </w:p>
          <w:p>
            <w:pPr>
              <w:pStyle w:val="989"/>
              <w:jc w:val="center"/>
              <w:spacing w:line="440" w:lineRule="exact"/>
              <w:rPr>
                <w:color w:val="auto"/>
                <w:szCs w:val="21"/>
                <w:highlight w:val="none"/>
              </w:rPr>
            </w:pPr>
            <w:r>
              <w:rPr>
                <w:color w:val="auto"/>
                <w:szCs w:val="21"/>
                <w:highlight w:val="none"/>
              </w:rPr>
            </w:r>
            <w:r/>
          </w:p>
        </w:tc>
        <w:tc>
          <w:tcPr>
            <w:tcW w:w="1945" w:type="dxa"/>
            <w:vAlign w:val="center"/>
            <w:textDirection w:val="lrTb"/>
            <w:noWrap w:val="false"/>
          </w:tcPr>
          <w:p>
            <w:pPr>
              <w:pStyle w:val="989"/>
              <w:jc w:val="center"/>
              <w:spacing w:line="440" w:lineRule="exact"/>
              <w:rPr>
                <w:color w:val="auto"/>
                <w:szCs w:val="21"/>
                <w:highlight w:val="none"/>
              </w:rPr>
            </w:pPr>
            <w:r>
              <w:rPr>
                <w:color w:val="auto"/>
                <w:szCs w:val="21"/>
                <w:highlight w:val="none"/>
              </w:rPr>
            </w:r>
            <w:r/>
          </w:p>
          <w:p>
            <w:pPr>
              <w:pStyle w:val="989"/>
              <w:jc w:val="center"/>
              <w:spacing w:line="440" w:lineRule="exact"/>
              <w:rPr>
                <w:color w:val="auto"/>
                <w:szCs w:val="21"/>
                <w:highlight w:val="none"/>
              </w:rPr>
            </w:pPr>
            <w:r>
              <w:rPr>
                <w:color w:val="auto"/>
                <w:szCs w:val="21"/>
                <w:highlight w:val="none"/>
              </w:rPr>
            </w:r>
            <w:r/>
          </w:p>
        </w:tc>
        <w:tc>
          <w:tcPr>
            <w:tcW w:w="875" w:type="dxa"/>
            <w:vAlign w:val="center"/>
            <w:textDirection w:val="lrTb"/>
            <w:noWrap w:val="false"/>
          </w:tcPr>
          <w:p>
            <w:pPr>
              <w:pStyle w:val="989"/>
              <w:jc w:val="center"/>
              <w:spacing w:line="440" w:lineRule="exact"/>
              <w:rPr>
                <w:color w:val="auto"/>
                <w:szCs w:val="21"/>
                <w:highlight w:val="none"/>
              </w:rPr>
            </w:pPr>
            <w:r>
              <w:rPr>
                <w:color w:val="auto"/>
                <w:szCs w:val="21"/>
                <w:highlight w:val="none"/>
              </w:rPr>
            </w:r>
            <w:r/>
          </w:p>
          <w:p>
            <w:pPr>
              <w:pStyle w:val="989"/>
              <w:jc w:val="center"/>
              <w:spacing w:line="440" w:lineRule="exact"/>
              <w:rPr>
                <w:color w:val="auto"/>
                <w:szCs w:val="21"/>
                <w:highlight w:val="none"/>
              </w:rPr>
            </w:pPr>
            <w:r>
              <w:rPr>
                <w:color w:val="auto"/>
                <w:szCs w:val="21"/>
                <w:highlight w:val="none"/>
              </w:rPr>
            </w:r>
            <w:r/>
          </w:p>
        </w:tc>
      </w:tr>
    </w:tbl>
    <w:p>
      <w:pPr>
        <w:pStyle w:val="1025"/>
        <w:ind w:firstLine="416"/>
        <w:jc w:val="left"/>
        <w:spacing w:line="440" w:lineRule="exact"/>
        <w:rPr>
          <w:rFonts w:ascii="宋体" w:hAnsi="宋体" w:eastAsia="宋体" w:cs="宋体"/>
          <w:color w:val="auto"/>
          <w:spacing w:val="-1"/>
          <w:sz w:val="21"/>
          <w:szCs w:val="21"/>
          <w:highlight w:val="none"/>
        </w:rPr>
      </w:pPr>
      <w:r>
        <w:rPr>
          <w:rFonts w:ascii="宋体" w:hAnsi="宋体" w:eastAsia="宋体" w:cs="宋体"/>
          <w:color w:val="auto"/>
          <w:spacing w:val="-1"/>
          <w:sz w:val="21"/>
          <w:szCs w:val="21"/>
          <w:highlight w:val="none"/>
        </w:rPr>
      </w:r>
      <w:r/>
    </w:p>
    <w:p>
      <w:pPr>
        <w:pStyle w:val="1025"/>
        <w:ind w:firstLine="416"/>
        <w:jc w:val="left"/>
        <w:spacing w:line="440" w:lineRule="exact"/>
        <w:rPr>
          <w:rFonts w:ascii="宋体" w:hAnsi="宋体" w:eastAsia="宋体" w:cs="宋体"/>
          <w:color w:val="auto"/>
          <w:spacing w:val="-3"/>
          <w:sz w:val="21"/>
          <w:szCs w:val="21"/>
          <w:highlight w:val="none"/>
        </w:rPr>
      </w:pPr>
      <w:r>
        <w:rPr>
          <w:rFonts w:hint="eastAsia" w:ascii="宋体" w:hAnsi="宋体" w:eastAsia="宋体" w:cs="宋体"/>
          <w:color w:val="auto"/>
          <w:spacing w:val="-1"/>
          <w:sz w:val="21"/>
          <w:szCs w:val="21"/>
          <w:highlight w:val="none"/>
        </w:rPr>
        <w:t xml:space="preserve">注：</w:t>
      </w:r>
      <w:r>
        <w:rPr>
          <w:rFonts w:hint="eastAsia" w:ascii="宋体" w:hAnsi="宋体" w:eastAsia="宋体" w:cs="宋体"/>
          <w:color w:val="auto"/>
          <w:spacing w:val="-3"/>
          <w:sz w:val="21"/>
          <w:szCs w:val="21"/>
          <w:highlight w:val="none"/>
        </w:rPr>
        <w:t xml:space="preserve">此表为表样，行数可自行添加，但表式不变。</w:t>
      </w:r>
      <w:r/>
    </w:p>
    <w:p>
      <w:pPr>
        <w:pStyle w:val="1025"/>
        <w:ind w:firstLine="811"/>
        <w:jc w:val="left"/>
        <w:spacing w:line="440" w:lineRule="exact"/>
        <w:rPr>
          <w:rFonts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t xml:space="preserve">项目人员资质、本单位员工证明文件等附后。</w:t>
      </w:r>
      <w:r/>
    </w:p>
    <w:p>
      <w:pPr>
        <w:jc w:val="center"/>
        <w:spacing w:before="312" w:line="360" w:lineRule="auto"/>
        <w:rPr>
          <w:rFonts w:ascii="宋体" w:hAnsi="宋体"/>
          <w:b/>
          <w:color w:val="auto"/>
          <w:highlight w:val="none"/>
        </w:rPr>
      </w:pPr>
      <w:r>
        <w:rPr>
          <w:rFonts w:ascii="宋体" w:hAnsi="宋体"/>
          <w:b/>
          <w:color w:val="auto"/>
          <w:highlight w:val="none"/>
        </w:rPr>
      </w:r>
      <w:r/>
    </w:p>
    <w:p>
      <w:pPr>
        <w:pStyle w:val="767"/>
        <w:rPr>
          <w:rFonts w:ascii="宋体" w:hAnsi="宋体"/>
          <w:b/>
          <w:color w:val="auto"/>
          <w:highlight w:val="none"/>
        </w:rPr>
      </w:pPr>
      <w:r>
        <w:rPr>
          <w:rFonts w:ascii="宋体" w:hAnsi="宋体"/>
          <w:b/>
          <w:color w:val="auto"/>
          <w:highlight w:val="none"/>
        </w:rPr>
      </w:r>
      <w:r/>
    </w:p>
    <w:p>
      <w:pPr>
        <w:rPr>
          <w:rFonts w:ascii="宋体" w:hAnsi="宋体"/>
          <w:b/>
          <w:color w:val="auto"/>
          <w:highlight w:val="none"/>
        </w:rPr>
      </w:pPr>
      <w:r>
        <w:rPr>
          <w:rFonts w:ascii="宋体" w:hAnsi="宋体"/>
          <w:b/>
          <w:color w:val="auto"/>
          <w:highlight w:val="none"/>
        </w:rPr>
      </w:r>
      <w:r/>
    </w:p>
    <w:p>
      <w:pPr>
        <w:pStyle w:val="767"/>
        <w:rPr>
          <w:color w:val="auto"/>
          <w:highlight w:val="none"/>
        </w:rPr>
      </w:pPr>
      <w:r>
        <w:rPr>
          <w:color w:val="auto"/>
          <w:highlight w:val="none"/>
        </w:rPr>
      </w:r>
      <w:r/>
    </w:p>
    <w:p>
      <w:pPr>
        <w:pStyle w:val="767"/>
        <w:rPr>
          <w:color w:val="auto"/>
          <w:highlight w:val="none"/>
        </w:rPr>
      </w:pPr>
      <w:r>
        <w:rPr>
          <w:color w:val="auto"/>
          <w:highlight w:val="none"/>
        </w:rPr>
      </w:r>
      <w:r/>
    </w:p>
    <w:p>
      <w:pPr>
        <w:jc w:val="center"/>
        <w:spacing w:before="312" w:line="360" w:lineRule="auto"/>
        <w:rPr>
          <w:rFonts w:ascii="宋体" w:hAnsi="宋体"/>
          <w:b/>
          <w:color w:val="auto"/>
          <w:highlight w:val="none"/>
        </w:rPr>
      </w:pPr>
      <w:r>
        <w:rPr>
          <w:rFonts w:hint="eastAsia" w:ascii="宋体" w:hAnsi="宋体"/>
          <w:b/>
          <w:color w:val="auto"/>
          <w:highlight w:val="none"/>
        </w:rPr>
        <w:t xml:space="preserve">主要标的信息（中标后将公示）</w:t>
      </w:r>
      <w:r/>
    </w:p>
    <w:p>
      <w:pPr>
        <w:spacing w:after="312" w:line="360" w:lineRule="auto"/>
        <w:rPr>
          <w:rFonts w:ascii="宋体" w:hAnsi="宋体"/>
          <w:b/>
          <w:color w:val="auto"/>
          <w:highlight w:val="none"/>
        </w:rPr>
      </w:pPr>
      <w:r>
        <w:rPr>
          <w:rFonts w:hint="eastAsia" w:ascii="宋体" w:hAnsi="宋体"/>
          <w:color w:val="auto"/>
          <w:highlight w:val="none"/>
        </w:rPr>
        <w:t xml:space="preserve">投标人全称：</w:t>
      </w:r>
      <w:r/>
    </w:p>
    <w:tbl>
      <w:tblPr>
        <w:tblStyle w:val="766"/>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货物类</w:t>
            </w:r>
            <w:r/>
          </w:p>
        </w:tc>
        <w:tc>
          <w:tcPr>
            <w:tcW w:w="3780" w:type="dxa"/>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服务类</w:t>
            </w:r>
            <w:r/>
          </w:p>
        </w:tc>
      </w:tr>
      <w:tr>
        <w:trPr>
          <w:trHeight w:val="3810"/>
        </w:trPr>
        <w:tc>
          <w:tcPr>
            <w:tcW w:w="3901" w:type="dxa"/>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名称：</w:t>
            </w:r>
            <w:r/>
          </w:p>
          <w:p>
            <w:pPr>
              <w:spacing w:line="360" w:lineRule="auto"/>
              <w:rPr>
                <w:rFonts w:ascii="宋体" w:hAnsi="宋体" w:cs="宋体"/>
                <w:color w:val="auto"/>
                <w:highlight w:val="none"/>
              </w:rPr>
            </w:pPr>
            <w:r>
              <w:rPr>
                <w:rFonts w:hint="eastAsia" w:ascii="宋体" w:hAnsi="宋体" w:cs="宋体"/>
                <w:color w:val="auto"/>
                <w:highlight w:val="none"/>
              </w:rPr>
              <w:t xml:space="preserve">品牌（如有）：</w:t>
            </w:r>
            <w:r/>
          </w:p>
          <w:p>
            <w:pPr>
              <w:spacing w:line="360" w:lineRule="auto"/>
              <w:rPr>
                <w:rFonts w:ascii="宋体" w:hAnsi="宋体" w:cs="宋体"/>
                <w:color w:val="auto"/>
                <w:highlight w:val="none"/>
              </w:rPr>
            </w:pPr>
            <w:r>
              <w:rPr>
                <w:rFonts w:hint="eastAsia" w:ascii="宋体" w:hAnsi="宋体" w:cs="宋体"/>
                <w:color w:val="auto"/>
                <w:highlight w:val="none"/>
              </w:rPr>
              <w:t xml:space="preserve">规格型号：</w:t>
            </w:r>
            <w:r/>
          </w:p>
          <w:p>
            <w:pPr>
              <w:spacing w:line="360" w:lineRule="auto"/>
              <w:rPr>
                <w:rFonts w:ascii="宋体" w:hAnsi="宋体" w:cs="宋体"/>
                <w:color w:val="auto"/>
                <w:highlight w:val="none"/>
              </w:rPr>
            </w:pPr>
            <w:r>
              <w:rPr>
                <w:rFonts w:hint="eastAsia" w:ascii="宋体" w:hAnsi="宋体" w:cs="宋体"/>
                <w:color w:val="auto"/>
                <w:highlight w:val="none"/>
              </w:rPr>
              <w:t xml:space="preserve">数量：</w:t>
            </w:r>
            <w:r/>
          </w:p>
          <w:p>
            <w:pPr>
              <w:spacing w:line="360" w:lineRule="auto"/>
              <w:rPr>
                <w:rFonts w:ascii="宋体" w:hAnsi="宋体" w:cs="宋体"/>
                <w:color w:val="auto"/>
                <w:highlight w:val="none"/>
              </w:rPr>
            </w:pPr>
            <w:r>
              <w:rPr>
                <w:rFonts w:hint="eastAsia" w:ascii="宋体" w:hAnsi="宋体" w:cs="宋体"/>
                <w:color w:val="auto"/>
                <w:highlight w:val="none"/>
              </w:rPr>
              <w:t xml:space="preserve">单价：</w:t>
            </w:r>
            <w:r/>
          </w:p>
        </w:tc>
        <w:tc>
          <w:tcPr>
            <w:tcW w:w="3780" w:type="dxa"/>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名称：</w:t>
            </w:r>
            <w:r/>
          </w:p>
          <w:p>
            <w:pPr>
              <w:spacing w:line="360" w:lineRule="auto"/>
              <w:rPr>
                <w:rFonts w:ascii="宋体" w:hAnsi="宋体" w:cs="宋体"/>
                <w:color w:val="auto"/>
                <w:highlight w:val="none"/>
              </w:rPr>
            </w:pPr>
            <w:r>
              <w:rPr>
                <w:rFonts w:hint="eastAsia" w:ascii="宋体" w:hAnsi="宋体" w:cs="宋体"/>
                <w:color w:val="auto"/>
                <w:highlight w:val="none"/>
              </w:rPr>
              <w:t xml:space="preserve">服务范围：</w:t>
            </w:r>
            <w:r/>
          </w:p>
          <w:p>
            <w:pPr>
              <w:spacing w:line="360" w:lineRule="auto"/>
              <w:rPr>
                <w:rFonts w:ascii="宋体" w:hAnsi="宋体" w:cs="宋体"/>
                <w:color w:val="auto"/>
                <w:highlight w:val="none"/>
                <w:u w:val="single"/>
              </w:rPr>
            </w:pPr>
            <w:r>
              <w:rPr>
                <w:rFonts w:hint="eastAsia" w:ascii="宋体" w:hAnsi="宋体" w:cs="宋体"/>
                <w:color w:val="auto"/>
                <w:highlight w:val="none"/>
              </w:rPr>
              <w:t xml:space="preserve">服务要求：</w:t>
            </w:r>
            <w:r/>
          </w:p>
          <w:p>
            <w:pPr>
              <w:spacing w:line="360" w:lineRule="auto"/>
              <w:rPr>
                <w:rFonts w:ascii="宋体" w:hAnsi="宋体" w:cs="宋体"/>
                <w:color w:val="auto"/>
                <w:highlight w:val="none"/>
                <w:u w:val="single"/>
              </w:rPr>
            </w:pPr>
            <w:r>
              <w:rPr>
                <w:rFonts w:hint="eastAsia" w:ascii="宋体" w:hAnsi="宋体" w:cs="宋体"/>
                <w:color w:val="auto"/>
                <w:highlight w:val="none"/>
              </w:rPr>
              <w:t xml:space="preserve">服务时间：</w:t>
            </w:r>
            <w:r/>
          </w:p>
          <w:p>
            <w:pPr>
              <w:spacing w:line="360" w:lineRule="auto"/>
              <w:rPr>
                <w:rFonts w:ascii="宋体" w:hAnsi="宋体" w:cs="宋体"/>
                <w:color w:val="auto"/>
                <w:highlight w:val="none"/>
              </w:rPr>
            </w:pPr>
            <w:r>
              <w:rPr>
                <w:rFonts w:hint="eastAsia" w:ascii="宋体" w:hAnsi="宋体" w:cs="宋体"/>
                <w:color w:val="auto"/>
                <w:highlight w:val="none"/>
              </w:rPr>
              <w:t xml:space="preserve">服务标准：</w:t>
            </w:r>
            <w:r/>
          </w:p>
        </w:tc>
      </w:tr>
    </w:tbl>
    <w:p>
      <w:pPr>
        <w:jc w:val="left"/>
        <w:widowControl/>
        <w:rPr>
          <w:rFonts w:ascii="宋体" w:hAnsi="宋体" w:cs="宋体"/>
          <w:color w:val="auto"/>
          <w:sz w:val="24"/>
          <w:szCs w:val="24"/>
          <w:highlight w:val="none"/>
        </w:rPr>
      </w:pPr>
      <w:r>
        <w:rPr>
          <w:rFonts w:ascii="宋体" w:hAnsi="宋体" w:cs="宋体"/>
          <w:color w:val="auto"/>
          <w:sz w:val="24"/>
          <w:szCs w:val="24"/>
          <w:highlight w:val="none"/>
        </w:rPr>
        <w:br w:type="page" w:clear="all"/>
      </w:r>
      <w:r/>
    </w:p>
    <w:p>
      <w:pPr>
        <w:ind w:firstLine="211"/>
        <w:jc w:val="center"/>
        <w:spacing w:line="360" w:lineRule="auto"/>
        <w:rPr>
          <w:rFonts w:ascii="宋体" w:hAnsi="宋体"/>
          <w:b/>
          <w:color w:val="auto"/>
          <w:highlight w:val="none"/>
        </w:rPr>
      </w:pPr>
      <w:r>
        <w:rPr>
          <w:rFonts w:hint="eastAsia" w:ascii="宋体" w:hAnsi="宋体"/>
          <w:b/>
          <w:color w:val="auto"/>
          <w:highlight w:val="none"/>
        </w:rPr>
        <w:t xml:space="preserve">联合体协议（如有）</w:t>
      </w:r>
      <w:r/>
    </w:p>
    <w:p>
      <w:pPr>
        <w:ind w:firstLine="211"/>
        <w:jc w:val="center"/>
        <w:spacing w:line="360" w:lineRule="auto"/>
        <w:rPr>
          <w:rFonts w:ascii="宋体" w:hAnsi="宋体"/>
          <w:b/>
          <w:color w:val="auto"/>
          <w:highlight w:val="none"/>
        </w:rPr>
      </w:pPr>
      <w:r>
        <w:rPr>
          <w:rFonts w:ascii="宋体" w:hAnsi="宋体"/>
          <w:b/>
          <w:color w:val="auto"/>
          <w:highlight w:val="none"/>
        </w:rPr>
      </w:r>
      <w:r/>
    </w:p>
    <w:p>
      <w:pPr>
        <w:spacing w:line="360" w:lineRule="auto"/>
        <w:rPr>
          <w:rFonts w:ascii="宋体" w:hAnsi="宋体"/>
          <w:color w:val="auto"/>
          <w:highlight w:val="none"/>
        </w:rPr>
      </w:pPr>
      <w:r>
        <w:rPr>
          <w:rFonts w:hint="eastAsia" w:ascii="宋体" w:hAnsi="宋体"/>
          <w:color w:val="auto"/>
          <w:highlight w:val="none"/>
        </w:rPr>
        <w:t xml:space="preserve">（联合体中各供应商全称）在此达成以下协议：</w:t>
      </w:r>
      <w:r/>
    </w:p>
    <w:p>
      <w:pPr>
        <w:ind w:firstLine="645"/>
        <w:spacing w:line="360" w:lineRule="auto"/>
        <w:rPr>
          <w:rFonts w:ascii="宋体" w:hAnsi="宋体"/>
          <w:color w:val="auto"/>
          <w:highlight w:val="none"/>
        </w:rPr>
      </w:pPr>
      <w:r>
        <w:rPr>
          <w:rFonts w:hint="eastAsia" w:ascii="宋体" w:hAnsi="宋体"/>
          <w:color w:val="auto"/>
          <w:highlight w:val="none"/>
        </w:rPr>
        <w:t xml:space="preserve">1、我们自愿组成联合体，参加（代理机构）的采购编号为（项目编号）（项目全称）的政府采购活动。</w:t>
      </w:r>
      <w:r/>
    </w:p>
    <w:p>
      <w:pPr>
        <w:ind w:firstLine="645"/>
        <w:spacing w:line="360" w:lineRule="auto"/>
        <w:rPr>
          <w:rFonts w:ascii="宋体" w:hAnsi="宋体"/>
          <w:color w:val="auto"/>
          <w:highlight w:val="none"/>
        </w:rPr>
      </w:pPr>
      <w:r>
        <w:rPr>
          <w:rFonts w:hint="eastAsia" w:ascii="宋体" w:hAnsi="宋体"/>
          <w:color w:val="auto"/>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360" w:lineRule="auto"/>
        <w:rPr>
          <w:rFonts w:ascii="宋体" w:hAnsi="宋体"/>
          <w:color w:val="auto"/>
          <w:highlight w:val="none"/>
        </w:rPr>
      </w:pPr>
      <w:r>
        <w:rPr>
          <w:rFonts w:hint="eastAsia" w:ascii="宋体" w:hAnsi="宋体"/>
          <w:color w:val="auto"/>
          <w:sz w:val="24"/>
          <w:highlight w:val="none"/>
        </w:rPr>
        <w:t xml:space="preserve">                                       </w:t>
      </w:r>
      <w:r>
        <w:rPr>
          <w:rFonts w:hint="eastAsia" w:ascii="宋体" w:hAnsi="宋体"/>
          <w:color w:val="auto"/>
          <w:highlight w:val="none"/>
        </w:rPr>
        <w:t xml:space="preserve"> </w:t>
      </w:r>
      <w:r/>
    </w:p>
    <w:p>
      <w:pPr>
        <w:ind w:firstLine="4620"/>
        <w:spacing w:line="360" w:lineRule="auto"/>
        <w:rPr>
          <w:rFonts w:ascii="宋体" w:hAnsi="宋体"/>
          <w:color w:val="auto"/>
          <w:highlight w:val="none"/>
        </w:rPr>
      </w:pPr>
      <w:r>
        <w:rPr>
          <w:rFonts w:hint="eastAsia" w:ascii="宋体" w:hAnsi="宋体"/>
          <w:color w:val="auto"/>
          <w:highlight w:val="none"/>
        </w:rPr>
        <w:t xml:space="preserve">所有供应商全称：</w:t>
      </w:r>
      <w:r/>
    </w:p>
    <w:p>
      <w:pPr>
        <w:ind w:firstLine="645"/>
        <w:spacing w:line="360" w:lineRule="auto"/>
        <w:rPr>
          <w:rFonts w:ascii="宋体" w:hAnsi="宋体"/>
          <w:color w:val="auto"/>
          <w:highlight w:val="none"/>
        </w:rPr>
      </w:pPr>
      <w:r>
        <w:rPr>
          <w:rFonts w:hint="eastAsia" w:ascii="宋体" w:hAnsi="宋体"/>
          <w:color w:val="auto"/>
          <w:highlight w:val="none"/>
        </w:rPr>
        <w:t xml:space="preserve">                                      法定代表人：  </w:t>
      </w:r>
      <w:r/>
    </w:p>
    <w:p>
      <w:pPr>
        <w:ind w:firstLine="4620"/>
        <w:spacing w:line="360" w:lineRule="auto"/>
        <w:rPr>
          <w:rFonts w:ascii="宋体" w:hAnsi="宋体"/>
          <w:color w:val="auto"/>
          <w:highlight w:val="none"/>
        </w:rPr>
      </w:pPr>
      <w:r>
        <w:rPr>
          <w:rFonts w:hint="eastAsia" w:ascii="宋体" w:hAnsi="宋体"/>
          <w:color w:val="auto"/>
          <w:highlight w:val="none"/>
        </w:rPr>
        <w:t xml:space="preserve">日期：</w:t>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仿宋_GBK">
    <w:panose1 w:val="020B0503020202020204"/>
  </w:font>
  <w:font w:name="Symbol">
    <w:panose1 w:val="05050102010706020507"/>
  </w:font>
  <w:font w:name="Wingdings">
    <w:panose1 w:val="05000000000000000000"/>
  </w:font>
  <w:font w:name="Courier New">
    <w:panose1 w:val="02070309020205020404"/>
  </w:font>
  <w:font w:name="Times New Roman">
    <w:panose1 w:val="02020603050405020304"/>
  </w:font>
  <w:font w:name="仿宋_GB2312">
    <w:panose1 w:val="02010609060101010101"/>
  </w:font>
  <w:font w:name="黑体">
    <w:panose1 w:val="02010609060101010101"/>
  </w:font>
  <w:font w:name="幼圆">
    <w:panose1 w:val="02010509060101010101"/>
  </w:font>
  <w:font w:name="楷体_GB2312">
    <w:panose1 w:val="02010609060101010101"/>
  </w:font>
  <w:font w:name="Arial">
    <w:panose1 w:val="020B0604020202020204"/>
  </w:font>
  <w:font w:name="宋体">
    <w:panose1 w:val="02010600030101010101"/>
  </w:font>
  <w:font w:name="微软雅黑">
    <w:panose1 w:val="020B05030202040202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spacing w:line="14" w:lineRule="auto"/>
      <w:rPr>
        <w:sz w:val="20"/>
      </w:rPr>
    </w:pPr>
    <w:r>
      <w:rPr>
        <w:sz w:val="20"/>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spacing w:line="14" w:lineRule="auto"/>
      <w:rPr>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14935" cy="13144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w="15875">
                        <a:noFill/>
                      </a:ln>
                    </wps:spPr>
                    <wps:txbx>
                      <w:txbxContent>
                        <w:p>
                          <w:pPr>
                            <w:pStyle w:val="1000"/>
                            <w:tabs>
                              <w:tab w:val="clear" w:pos="4153" w:leader="none"/>
                              <w:tab w:val="clear" w:pos="8306" w:leader="none"/>
                            </w:tabs>
                          </w:pPr>
                          <w:r>
                            <w:fldChar w:fldCharType="begin"/>
                          </w:r>
                          <w:r>
                            <w:instrText xml:space="preserve"> PAGE  \* MERGEFORMAT </w:instrText>
                          </w:r>
                          <w:r>
                            <w:fldChar w:fldCharType="separate"/>
                          </w:r>
                          <w:r>
                            <w:t xml:space="preserve">6</w:t>
                          </w:r>
                          <w:r>
                            <w:fldChar w:fldCharType="end"/>
                          </w:r>
                          <w:r/>
                        </w:p>
                        <w:p>
                          <w:r/>
                          <w:r/>
                        </w:p>
                        <w:p>
                          <w:r/>
                          <w:r/>
                        </w:p>
                      </w:txbxContent>
                    </wps:txbx>
                    <wps:bodyPr wrap="none" lIns="0" tIns="0" rIns="0" bIns="0" upright="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strokeweight="1.25pt">
              <v:textbox inset="0,0,0,0">
                <w:txbxContent>
                  <w:p>
                    <w:pPr>
                      <w:pStyle w:val="1000"/>
                      <w:tabs>
                        <w:tab w:val="clear" w:pos="4153" w:leader="none"/>
                        <w:tab w:val="clear" w:pos="8306" w:leader="none"/>
                      </w:tabs>
                    </w:pPr>
                    <w:r>
                      <w:fldChar w:fldCharType="begin"/>
                    </w:r>
                    <w:r>
                      <w:instrText xml:space="preserve"> PAGE  \* MERGEFORMAT </w:instrText>
                    </w:r>
                    <w:r>
                      <w:fldChar w:fldCharType="separate"/>
                    </w:r>
                    <w:r>
                      <w:t xml:space="preserve">6</w:t>
                    </w:r>
                    <w:r>
                      <w:fldChar w:fldCharType="end"/>
                    </w:r>
                    <w:r/>
                  </w:p>
                  <w:p>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0"/>
      <w:jc w:val="center"/>
    </w:pPr>
    <w:r>
      <w:fldChar w:fldCharType="begin"/>
    </w:r>
    <w:r>
      <w:instrText xml:space="preserve">PAGE   \* MERGEFORMAT</w:instrText>
    </w:r>
    <w:r>
      <w:fldChar w:fldCharType="separate"/>
    </w:r>
    <w:r>
      <w:rPr>
        <w:lang w:val="zh-CN"/>
      </w:rPr>
      <w:t xml:space="preserve">69</w:t>
    </w:r>
    <w:r>
      <w:rPr>
        <w:lang w:val="zh-CN"/>
      </w:rPr>
      <w:fldChar w:fldCharType="end"/>
    </w:r>
    <w:r/>
  </w:p>
  <w:p>
    <w:pPr>
      <w:pStyle w:val="100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pPr>
    <w:r>
      <w:rPr>
        <w:rFonts w:hint="eastAsia"/>
        <w:lang w:eastAsia="zh-CN"/>
      </w:rPr>
      <w:t xml:space="preserve">JSZC-321000-HCZX-G2026-0010</w:t>
    </w:r>
    <w:r>
      <w:rPr>
        <w:rFonts w:hint="eastAsia"/>
      </w:rPr>
      <w:t xml:space="preserve">号                                   江苏汇诚投资咨询管理有限公司</w:t>
    </w:r>
    <w:r/>
  </w:p>
  <w:p>
    <w:pPr>
      <w:pStyle w:val="777"/>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pPr>
    <w:r>
      <w:rPr>
        <w:rFonts w:hint="eastAsia"/>
        <w:lang w:eastAsia="zh-CN"/>
      </w:rPr>
      <w:t xml:space="preserve">JSZC-321000-HCZX-G2026-0010</w:t>
    </w:r>
    <w:r>
      <w:rPr>
        <w:rFonts w:hint="eastAsia"/>
      </w:rPr>
      <w:t xml:space="preserve">号                                  江苏汇诚投资咨询管理有限公司</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pPr>
    <w:r>
      <w:rPr>
        <w:rFonts w:hint="eastAsia"/>
        <w:color w:val="000000"/>
        <w:lang w:eastAsia="zh-CN"/>
      </w:rPr>
      <w:t xml:space="preserve">JSZC-321000-HCZX-G2026-0010</w:t>
    </w:r>
    <w:r>
      <w:rPr>
        <w:rFonts w:hint="eastAsia"/>
        <w:color w:val="000000"/>
      </w:rPr>
      <w:t xml:space="preserve">号</w:t>
    </w:r>
    <w:r>
      <w:rPr>
        <w:color w:val="000000"/>
      </w:rPr>
      <w:tab/>
    </w:r>
    <w:r>
      <w:rPr>
        <w:rFonts w:hint="eastAsia"/>
        <w:color w:val="ff0000"/>
      </w:rPr>
      <w:t xml:space="preserve"> </w:t>
    </w:r>
    <w:r>
      <w:rPr>
        <w:rFonts w:hint="eastAsia"/>
      </w:rPr>
      <w:t xml:space="preserve">                                  江苏汇诚投资咨询管理有限公司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bullet"/>
      <w:pStyle w:val="1021"/>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Calibr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52">
    <w:name w:val="Quote Char"/>
    <w:link w:val="844"/>
    <w:uiPriority w:val="29"/>
    <w:rPr>
      <w:i/>
    </w:rPr>
  </w:style>
  <w:style w:type="character" w:styleId="753">
    <w:name w:val="Intense Quote Char"/>
    <w:link w:val="846"/>
    <w:uiPriority w:val="30"/>
    <w:rPr>
      <w:i/>
    </w:rPr>
  </w:style>
  <w:style w:type="paragraph" w:styleId="754">
    <w:name w:val="TOC Heading"/>
    <w:uiPriority w:val="39"/>
    <w:unhideWhenUsed/>
  </w:style>
  <w:style w:type="paragraph" w:styleId="755" w:default="1">
    <w:name w:val="Normal"/>
    <w:next w:val="767"/>
    <w:uiPriority w:val="0"/>
    <w:qFormat/>
    <w:pPr>
      <w:jc w:val="both"/>
      <w:widowControl w:val="off"/>
    </w:pPr>
    <w:rPr>
      <w:rFonts w:ascii="Calibri" w:hAnsi="Calibri" w:eastAsia="宋体" w:cs="Calibri"/>
      <w:sz w:val="21"/>
      <w:szCs w:val="22"/>
      <w:lang w:val="en-US" w:eastAsia="zh-CN" w:bidi="ar-SA"/>
    </w:rPr>
  </w:style>
  <w:style w:type="paragraph" w:styleId="756">
    <w:name w:val="Heading 1"/>
    <w:basedOn w:val="755"/>
    <w:next w:val="755"/>
    <w:uiPriority w:val="9"/>
    <w:qFormat/>
    <w:pPr>
      <w:keepLines/>
      <w:keepNext/>
      <w:spacing w:before="480" w:after="200"/>
      <w:outlineLvl w:val="0"/>
    </w:pPr>
    <w:rPr>
      <w:rFonts w:ascii="Arial" w:hAnsi="Arial" w:eastAsia="Arial" w:cs="Arial"/>
      <w:sz w:val="40"/>
      <w:szCs w:val="40"/>
    </w:rPr>
  </w:style>
  <w:style w:type="paragraph" w:styleId="757">
    <w:name w:val="Heading 2"/>
    <w:basedOn w:val="755"/>
    <w:next w:val="755"/>
    <w:uiPriority w:val="9"/>
    <w:unhideWhenUsed/>
    <w:qFormat/>
    <w:pPr>
      <w:keepLines/>
      <w:keepNext/>
      <w:spacing w:before="360" w:after="200"/>
      <w:outlineLvl w:val="1"/>
    </w:pPr>
    <w:rPr>
      <w:rFonts w:ascii="Arial" w:hAnsi="Arial" w:eastAsia="Arial" w:cs="Arial"/>
      <w:sz w:val="34"/>
    </w:rPr>
  </w:style>
  <w:style w:type="paragraph" w:styleId="758">
    <w:name w:val="Heading 3"/>
    <w:basedOn w:val="755"/>
    <w:next w:val="755"/>
    <w:uiPriority w:val="9"/>
    <w:unhideWhenUsed/>
    <w:qFormat/>
    <w:pPr>
      <w:keepLines/>
      <w:keepNext/>
      <w:spacing w:before="320" w:after="200"/>
      <w:outlineLvl w:val="2"/>
    </w:pPr>
    <w:rPr>
      <w:rFonts w:ascii="Arial" w:hAnsi="Arial" w:eastAsia="Arial" w:cs="Arial"/>
      <w:sz w:val="30"/>
      <w:szCs w:val="30"/>
    </w:rPr>
  </w:style>
  <w:style w:type="paragraph" w:styleId="759">
    <w:name w:val="Heading 4"/>
    <w:basedOn w:val="755"/>
    <w:next w:val="755"/>
    <w:uiPriority w:val="9"/>
    <w:unhideWhenUsed/>
    <w:qFormat/>
    <w:pPr>
      <w:keepLines/>
      <w:keepNext/>
      <w:spacing w:before="320" w:after="200"/>
      <w:outlineLvl w:val="3"/>
    </w:pPr>
    <w:rPr>
      <w:rFonts w:ascii="Arial" w:hAnsi="Arial" w:eastAsia="Arial" w:cs="Arial"/>
      <w:b/>
      <w:bCs/>
      <w:sz w:val="26"/>
      <w:szCs w:val="26"/>
    </w:rPr>
  </w:style>
  <w:style w:type="paragraph" w:styleId="760">
    <w:name w:val="Heading 5"/>
    <w:basedOn w:val="755"/>
    <w:next w:val="755"/>
    <w:uiPriority w:val="9"/>
    <w:unhideWhenUsed/>
    <w:qFormat/>
    <w:pPr>
      <w:keepLines/>
      <w:keepNext/>
      <w:spacing w:before="320" w:after="200"/>
      <w:outlineLvl w:val="4"/>
    </w:pPr>
    <w:rPr>
      <w:rFonts w:ascii="Arial" w:hAnsi="Arial" w:eastAsia="Arial" w:cs="Arial"/>
      <w:b/>
      <w:bCs/>
      <w:sz w:val="24"/>
      <w:szCs w:val="24"/>
    </w:rPr>
  </w:style>
  <w:style w:type="paragraph" w:styleId="761">
    <w:name w:val="Heading 6"/>
    <w:basedOn w:val="755"/>
    <w:next w:val="755"/>
    <w:uiPriority w:val="9"/>
    <w:unhideWhenUsed/>
    <w:qFormat/>
    <w:pPr>
      <w:keepLines/>
      <w:keepNext/>
      <w:spacing w:before="320" w:after="200"/>
      <w:outlineLvl w:val="5"/>
    </w:pPr>
    <w:rPr>
      <w:rFonts w:ascii="Arial" w:hAnsi="Arial" w:eastAsia="Arial" w:cs="Arial"/>
      <w:b/>
      <w:bCs/>
      <w:sz w:val="22"/>
    </w:rPr>
  </w:style>
  <w:style w:type="paragraph" w:styleId="762">
    <w:name w:val="Heading 7"/>
    <w:basedOn w:val="755"/>
    <w:next w:val="755"/>
    <w:uiPriority w:val="9"/>
    <w:unhideWhenUsed/>
    <w:qFormat/>
    <w:pPr>
      <w:keepLines/>
      <w:keepNext/>
      <w:spacing w:before="320" w:after="200"/>
      <w:outlineLvl w:val="6"/>
    </w:pPr>
    <w:rPr>
      <w:rFonts w:ascii="Arial" w:hAnsi="Arial" w:eastAsia="Arial" w:cs="Arial"/>
      <w:b/>
      <w:bCs/>
      <w:i/>
      <w:iCs/>
      <w:sz w:val="22"/>
    </w:rPr>
  </w:style>
  <w:style w:type="paragraph" w:styleId="763">
    <w:name w:val="Heading 8"/>
    <w:basedOn w:val="755"/>
    <w:next w:val="755"/>
    <w:uiPriority w:val="9"/>
    <w:unhideWhenUsed/>
    <w:qFormat/>
    <w:pPr>
      <w:keepLines/>
      <w:keepNext/>
      <w:spacing w:before="320" w:after="200"/>
      <w:outlineLvl w:val="7"/>
    </w:pPr>
    <w:rPr>
      <w:rFonts w:ascii="Arial" w:hAnsi="Arial" w:eastAsia="Arial" w:cs="Arial"/>
      <w:i/>
      <w:iCs/>
      <w:sz w:val="22"/>
    </w:rPr>
  </w:style>
  <w:style w:type="paragraph" w:styleId="764">
    <w:name w:val="Heading 9"/>
    <w:basedOn w:val="755"/>
    <w:next w:val="755"/>
    <w:uiPriority w:val="9"/>
    <w:unhideWhenUsed/>
    <w:qFormat/>
    <w:pPr>
      <w:keepLines/>
      <w:keepNext/>
      <w:spacing w:before="320" w:after="200"/>
      <w:outlineLvl w:val="8"/>
    </w:pPr>
    <w:rPr>
      <w:rFonts w:ascii="Arial" w:hAnsi="Arial" w:eastAsia="Arial" w:cs="Arial"/>
      <w:i/>
      <w:iCs/>
      <w:szCs w:val="21"/>
    </w:rPr>
  </w:style>
  <w:style w:type="character" w:styleId="765" w:default="1">
    <w:name w:val="Default Paragraph Font"/>
    <w:uiPriority w:val="1"/>
    <w:semiHidden/>
    <w:unhideWhenUsed/>
    <w:qFormat/>
  </w:style>
  <w:style w:type="table" w:styleId="766" w:default="1">
    <w:name w:val="Normal Table"/>
    <w:uiPriority w:val="99"/>
    <w:semiHidden/>
    <w:unhideWhenUsed/>
    <w:qFormat/>
    <w:tblPr>
      <w:tblCellMar>
        <w:left w:w="108" w:type="dxa"/>
        <w:top w:w="0" w:type="dxa"/>
        <w:right w:w="108" w:type="dxa"/>
        <w:bottom w:w="0" w:type="dxa"/>
      </w:tblCellMar>
    </w:tblPr>
  </w:style>
  <w:style w:type="paragraph" w:styleId="767" w:customStyle="1">
    <w:name w:val="正文文本缩进11"/>
    <w:basedOn w:val="755"/>
    <w:next w:val="755"/>
    <w:uiPriority w:val="99"/>
    <w:unhideWhenUsed/>
    <w:qFormat/>
    <w:pPr>
      <w:ind w:firstLine="540"/>
      <w:spacing w:line="400" w:lineRule="exact"/>
    </w:pPr>
    <w:rPr>
      <w:sz w:val="24"/>
    </w:rPr>
  </w:style>
  <w:style w:type="paragraph" w:styleId="768">
    <w:name w:val="toc 7"/>
    <w:basedOn w:val="755"/>
    <w:next w:val="755"/>
    <w:uiPriority w:val="39"/>
    <w:unhideWhenUsed/>
    <w:qFormat/>
    <w:pPr>
      <w:ind w:left="1701"/>
      <w:spacing w:after="57"/>
    </w:pPr>
  </w:style>
  <w:style w:type="paragraph" w:styleId="769">
    <w:name w:val="Caption"/>
    <w:basedOn w:val="755"/>
    <w:next w:val="75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70">
    <w:name w:val="index 4"/>
    <w:basedOn w:val="755"/>
    <w:next w:val="755"/>
    <w:uiPriority w:val="99"/>
    <w:unhideWhenUsed/>
    <w:qFormat/>
    <w:pPr>
      <w:ind w:left="600"/>
    </w:pPr>
    <w:rPr>
      <w:rFonts w:ascii="宋体"/>
      <w:b/>
      <w:position w:val="-10"/>
      <w:sz w:val="24"/>
      <w:szCs w:val="20"/>
    </w:rPr>
  </w:style>
  <w:style w:type="paragraph" w:styleId="771">
    <w:name w:val="toc 5"/>
    <w:basedOn w:val="755"/>
    <w:next w:val="755"/>
    <w:uiPriority w:val="39"/>
    <w:unhideWhenUsed/>
    <w:qFormat/>
    <w:pPr>
      <w:ind w:left="1134"/>
      <w:spacing w:after="57"/>
    </w:pPr>
  </w:style>
  <w:style w:type="paragraph" w:styleId="772">
    <w:name w:val="toc 3"/>
    <w:basedOn w:val="755"/>
    <w:next w:val="755"/>
    <w:uiPriority w:val="39"/>
    <w:unhideWhenUsed/>
    <w:qFormat/>
    <w:pPr>
      <w:ind w:left="567"/>
      <w:spacing w:after="57"/>
    </w:pPr>
  </w:style>
  <w:style w:type="paragraph" w:styleId="773">
    <w:name w:val="toc 8"/>
    <w:basedOn w:val="755"/>
    <w:next w:val="755"/>
    <w:uiPriority w:val="39"/>
    <w:unhideWhenUsed/>
    <w:qFormat/>
    <w:pPr>
      <w:ind w:left="1984"/>
      <w:spacing w:after="57"/>
    </w:pPr>
  </w:style>
  <w:style w:type="paragraph" w:styleId="774">
    <w:name w:val="endnote text"/>
    <w:basedOn w:val="755"/>
    <w:uiPriority w:val="99"/>
    <w:semiHidden/>
    <w:unhideWhenUsed/>
    <w:qFormat/>
    <w:rPr>
      <w:sz w:val="20"/>
    </w:rPr>
  </w:style>
  <w:style w:type="paragraph" w:styleId="775">
    <w:name w:val="Balloon Text"/>
    <w:basedOn w:val="755"/>
    <w:link w:val="1026"/>
    <w:uiPriority w:val="99"/>
    <w:semiHidden/>
    <w:unhideWhenUsed/>
    <w:qFormat/>
    <w:rPr>
      <w:sz w:val="18"/>
      <w:szCs w:val="18"/>
    </w:rPr>
  </w:style>
  <w:style w:type="paragraph" w:styleId="776">
    <w:name w:val="Footer"/>
    <w:basedOn w:val="755"/>
    <w:uiPriority w:val="99"/>
    <w:unhideWhenUsed/>
    <w:qFormat/>
    <w:pPr>
      <w:tabs>
        <w:tab w:val="center" w:pos="7143" w:leader="none"/>
        <w:tab w:val="right" w:pos="14287" w:leader="none"/>
      </w:tabs>
    </w:pPr>
  </w:style>
  <w:style w:type="paragraph" w:styleId="777">
    <w:name w:val="Header"/>
    <w:basedOn w:val="755"/>
    <w:uiPriority w:val="99"/>
    <w:unhideWhenUsed/>
    <w:qFormat/>
    <w:pPr>
      <w:tabs>
        <w:tab w:val="center" w:pos="7143" w:leader="none"/>
        <w:tab w:val="right" w:pos="14287" w:leader="none"/>
      </w:tabs>
    </w:pPr>
  </w:style>
  <w:style w:type="paragraph" w:styleId="778">
    <w:name w:val="toc 1"/>
    <w:basedOn w:val="755"/>
    <w:next w:val="755"/>
    <w:uiPriority w:val="39"/>
    <w:unhideWhenUsed/>
    <w:qFormat/>
    <w:pPr>
      <w:spacing w:after="57"/>
    </w:pPr>
  </w:style>
  <w:style w:type="paragraph" w:styleId="779">
    <w:name w:val="toc 4"/>
    <w:basedOn w:val="755"/>
    <w:next w:val="755"/>
    <w:uiPriority w:val="39"/>
    <w:unhideWhenUsed/>
    <w:qFormat/>
    <w:pPr>
      <w:ind w:left="850"/>
      <w:spacing w:after="57"/>
    </w:pPr>
  </w:style>
  <w:style w:type="paragraph" w:styleId="780">
    <w:name w:val="Subtitle"/>
    <w:basedOn w:val="755"/>
    <w:next w:val="755"/>
    <w:uiPriority w:val="11"/>
    <w:qFormat/>
    <w:pPr>
      <w:spacing w:before="200" w:after="200"/>
    </w:pPr>
    <w:rPr>
      <w:sz w:val="24"/>
      <w:szCs w:val="24"/>
    </w:rPr>
  </w:style>
  <w:style w:type="paragraph" w:styleId="781">
    <w:name w:val="footnote text"/>
    <w:basedOn w:val="755"/>
    <w:uiPriority w:val="99"/>
    <w:semiHidden/>
    <w:unhideWhenUsed/>
    <w:qFormat/>
    <w:pPr>
      <w:spacing w:after="40"/>
    </w:pPr>
    <w:rPr>
      <w:sz w:val="18"/>
    </w:rPr>
  </w:style>
  <w:style w:type="paragraph" w:styleId="782">
    <w:name w:val="toc 6"/>
    <w:basedOn w:val="755"/>
    <w:next w:val="755"/>
    <w:uiPriority w:val="39"/>
    <w:unhideWhenUsed/>
    <w:qFormat/>
    <w:pPr>
      <w:ind w:left="1417"/>
      <w:spacing w:after="57"/>
    </w:pPr>
  </w:style>
  <w:style w:type="paragraph" w:styleId="783">
    <w:name w:val="table of figures"/>
    <w:basedOn w:val="755"/>
    <w:next w:val="755"/>
    <w:uiPriority w:val="99"/>
    <w:unhideWhenUsed/>
    <w:qFormat/>
  </w:style>
  <w:style w:type="paragraph" w:styleId="784">
    <w:name w:val="toc 2"/>
    <w:basedOn w:val="755"/>
    <w:next w:val="755"/>
    <w:uiPriority w:val="39"/>
    <w:unhideWhenUsed/>
    <w:qFormat/>
    <w:pPr>
      <w:ind w:left="283"/>
      <w:spacing w:after="57"/>
    </w:pPr>
  </w:style>
  <w:style w:type="paragraph" w:styleId="785">
    <w:name w:val="toc 9"/>
    <w:basedOn w:val="755"/>
    <w:next w:val="755"/>
    <w:uiPriority w:val="39"/>
    <w:unhideWhenUsed/>
    <w:qFormat/>
    <w:pPr>
      <w:ind w:left="2268"/>
      <w:spacing w:after="57"/>
    </w:pPr>
  </w:style>
  <w:style w:type="paragraph" w:styleId="786">
    <w:name w:val="Title"/>
    <w:basedOn w:val="755"/>
    <w:next w:val="755"/>
    <w:uiPriority w:val="10"/>
    <w:qFormat/>
    <w:pPr>
      <w:contextualSpacing/>
      <w:spacing w:before="300" w:after="200"/>
    </w:pPr>
    <w:rPr>
      <w:sz w:val="48"/>
      <w:szCs w:val="48"/>
    </w:rPr>
  </w:style>
  <w:style w:type="table" w:styleId="78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8">
    <w:name w:val="endnote reference"/>
    <w:uiPriority w:val="99"/>
    <w:semiHidden/>
    <w:unhideWhenUsed/>
    <w:qFormat/>
    <w:rPr>
      <w:vertAlign w:val="superscript"/>
    </w:rPr>
  </w:style>
  <w:style w:type="character" w:styleId="789">
    <w:name w:val="Hyperlink"/>
    <w:uiPriority w:val="99"/>
    <w:unhideWhenUsed/>
    <w:qFormat/>
    <w:rPr>
      <w:color w:val="0000ff" w:themeColor="hyperlink"/>
      <w:u w:val="single"/>
      <w14:textFill>
        <w14:solidFill>
          <w14:schemeClr w14:val="hlink"/>
        </w14:solidFill>
      </w14:textFill>
    </w:rPr>
  </w:style>
  <w:style w:type="character" w:styleId="790">
    <w:name w:val="footnote reference"/>
    <w:uiPriority w:val="99"/>
    <w:unhideWhenUsed/>
    <w:qFormat/>
    <w:rPr>
      <w:vertAlign w:val="superscript"/>
    </w:rPr>
  </w:style>
  <w:style w:type="paragraph" w:styleId="791" w:customStyle="1">
    <w:name w:val="标题 112"/>
    <w:basedOn w:val="755"/>
    <w:next w:val="755"/>
    <w:link w:val="802"/>
    <w:uiPriority w:val="9"/>
    <w:qFormat/>
    <w:pPr>
      <w:keepLines/>
      <w:keepNext/>
      <w:spacing w:before="480" w:after="200"/>
      <w:outlineLvl w:val="0"/>
    </w:pPr>
    <w:rPr>
      <w:rFonts w:ascii="Arial" w:hAnsi="Arial" w:eastAsia="Arial" w:cs="Arial"/>
      <w:sz w:val="40"/>
      <w:szCs w:val="40"/>
    </w:rPr>
  </w:style>
  <w:style w:type="paragraph" w:styleId="792" w:customStyle="1">
    <w:name w:val="标题 211"/>
    <w:basedOn w:val="755"/>
    <w:next w:val="755"/>
    <w:link w:val="803"/>
    <w:uiPriority w:val="9"/>
    <w:unhideWhenUsed/>
    <w:qFormat/>
    <w:pPr>
      <w:keepLines/>
      <w:keepNext/>
      <w:spacing w:before="360" w:after="200"/>
      <w:outlineLvl w:val="1"/>
    </w:pPr>
    <w:rPr>
      <w:rFonts w:ascii="Arial" w:hAnsi="Arial" w:eastAsia="Arial" w:cs="Arial"/>
      <w:sz w:val="34"/>
    </w:rPr>
  </w:style>
  <w:style w:type="paragraph" w:styleId="793" w:customStyle="1">
    <w:name w:val="标题 311"/>
    <w:basedOn w:val="755"/>
    <w:next w:val="755"/>
    <w:link w:val="804"/>
    <w:uiPriority w:val="9"/>
    <w:unhideWhenUsed/>
    <w:qFormat/>
    <w:pPr>
      <w:keepLines/>
      <w:keepNext/>
      <w:spacing w:before="320" w:after="200"/>
      <w:outlineLvl w:val="2"/>
    </w:pPr>
    <w:rPr>
      <w:rFonts w:ascii="Arial" w:hAnsi="Arial" w:eastAsia="Arial" w:cs="Arial"/>
      <w:sz w:val="30"/>
      <w:szCs w:val="30"/>
    </w:rPr>
  </w:style>
  <w:style w:type="paragraph" w:styleId="794" w:customStyle="1">
    <w:name w:val="标题 41"/>
    <w:basedOn w:val="755"/>
    <w:next w:val="755"/>
    <w:link w:val="805"/>
    <w:uiPriority w:val="9"/>
    <w:unhideWhenUsed/>
    <w:qFormat/>
    <w:pPr>
      <w:keepLines/>
      <w:keepNext/>
      <w:spacing w:before="320" w:after="200"/>
      <w:outlineLvl w:val="3"/>
    </w:pPr>
    <w:rPr>
      <w:rFonts w:ascii="Arial" w:hAnsi="Arial" w:eastAsia="Arial" w:cs="Arial"/>
      <w:b/>
      <w:bCs/>
      <w:sz w:val="26"/>
      <w:szCs w:val="26"/>
    </w:rPr>
  </w:style>
  <w:style w:type="paragraph" w:styleId="795" w:customStyle="1">
    <w:name w:val="标题 51"/>
    <w:basedOn w:val="755"/>
    <w:next w:val="755"/>
    <w:link w:val="806"/>
    <w:uiPriority w:val="9"/>
    <w:unhideWhenUsed/>
    <w:qFormat/>
    <w:pPr>
      <w:keepLines/>
      <w:keepNext/>
      <w:spacing w:before="320" w:after="200"/>
      <w:outlineLvl w:val="4"/>
    </w:pPr>
    <w:rPr>
      <w:rFonts w:ascii="Arial" w:hAnsi="Arial" w:eastAsia="Arial" w:cs="Arial"/>
      <w:b/>
      <w:bCs/>
      <w:sz w:val="24"/>
      <w:szCs w:val="24"/>
    </w:rPr>
  </w:style>
  <w:style w:type="paragraph" w:styleId="796" w:customStyle="1">
    <w:name w:val="标题 61"/>
    <w:basedOn w:val="755"/>
    <w:next w:val="755"/>
    <w:link w:val="807"/>
    <w:uiPriority w:val="9"/>
    <w:unhideWhenUsed/>
    <w:qFormat/>
    <w:pPr>
      <w:keepLines/>
      <w:keepNext/>
      <w:spacing w:before="320" w:after="200"/>
      <w:outlineLvl w:val="5"/>
    </w:pPr>
    <w:rPr>
      <w:rFonts w:ascii="Arial" w:hAnsi="Arial" w:eastAsia="Arial" w:cs="Arial"/>
      <w:b/>
      <w:bCs/>
      <w:sz w:val="22"/>
    </w:rPr>
  </w:style>
  <w:style w:type="paragraph" w:styleId="797" w:customStyle="1">
    <w:name w:val="标题 71"/>
    <w:basedOn w:val="755"/>
    <w:next w:val="755"/>
    <w:link w:val="808"/>
    <w:uiPriority w:val="9"/>
    <w:unhideWhenUsed/>
    <w:qFormat/>
    <w:pPr>
      <w:keepLines/>
      <w:keepNext/>
      <w:spacing w:before="320" w:after="200"/>
      <w:outlineLvl w:val="6"/>
    </w:pPr>
    <w:rPr>
      <w:rFonts w:ascii="Arial" w:hAnsi="Arial" w:eastAsia="Arial" w:cs="Arial"/>
      <w:b/>
      <w:bCs/>
      <w:i/>
      <w:iCs/>
      <w:sz w:val="22"/>
    </w:rPr>
  </w:style>
  <w:style w:type="paragraph" w:styleId="798" w:customStyle="1">
    <w:name w:val="标题 81"/>
    <w:basedOn w:val="755"/>
    <w:next w:val="755"/>
    <w:link w:val="809"/>
    <w:uiPriority w:val="9"/>
    <w:unhideWhenUsed/>
    <w:qFormat/>
    <w:pPr>
      <w:keepLines/>
      <w:keepNext/>
      <w:spacing w:before="320" w:after="200"/>
      <w:outlineLvl w:val="7"/>
    </w:pPr>
    <w:rPr>
      <w:rFonts w:ascii="Arial" w:hAnsi="Arial" w:eastAsia="Arial" w:cs="Arial"/>
      <w:i/>
      <w:iCs/>
      <w:sz w:val="22"/>
    </w:rPr>
  </w:style>
  <w:style w:type="paragraph" w:styleId="799" w:customStyle="1">
    <w:name w:val="标题 91"/>
    <w:basedOn w:val="755"/>
    <w:next w:val="755"/>
    <w:link w:val="810"/>
    <w:uiPriority w:val="9"/>
    <w:unhideWhenUsed/>
    <w:qFormat/>
    <w:pPr>
      <w:keepLines/>
      <w:keepNext/>
      <w:spacing w:before="320" w:after="200"/>
      <w:outlineLvl w:val="8"/>
    </w:pPr>
    <w:rPr>
      <w:rFonts w:ascii="Arial" w:hAnsi="Arial" w:eastAsia="Arial" w:cs="Arial"/>
      <w:i/>
      <w:iCs/>
      <w:szCs w:val="21"/>
    </w:rPr>
  </w:style>
  <w:style w:type="character" w:styleId="800" w:customStyle="1">
    <w:name w:val="默认段落字体11"/>
    <w:uiPriority w:val="1"/>
    <w:unhideWhenUsed/>
    <w:qFormat/>
  </w:style>
  <w:style w:type="table" w:styleId="801" w:customStyle="1">
    <w:name w:val="普通表格11"/>
    <w:uiPriority w:val="99"/>
    <w:unhideWhenUsed/>
    <w:qFormat/>
    <w:tblPr>
      <w:tblCellMar>
        <w:left w:w="0" w:type="dxa"/>
        <w:top w:w="0" w:type="dxa"/>
        <w:right w:w="0" w:type="dxa"/>
        <w:bottom w:w="0" w:type="dxa"/>
      </w:tblCellMar>
    </w:tblPr>
  </w:style>
  <w:style w:type="character" w:styleId="802" w:customStyle="1">
    <w:name w:val="Heading 1 Char"/>
    <w:link w:val="791"/>
    <w:uiPriority w:val="9"/>
    <w:qFormat/>
    <w:rPr>
      <w:rFonts w:ascii="Arial" w:hAnsi="Arial" w:eastAsia="Arial" w:cs="Arial"/>
      <w:sz w:val="40"/>
      <w:szCs w:val="40"/>
    </w:rPr>
  </w:style>
  <w:style w:type="character" w:styleId="803" w:customStyle="1">
    <w:name w:val="Heading 2 Char"/>
    <w:link w:val="792"/>
    <w:uiPriority w:val="9"/>
    <w:qFormat/>
    <w:rPr>
      <w:rFonts w:ascii="Arial" w:hAnsi="Arial" w:eastAsia="Arial" w:cs="Arial"/>
      <w:sz w:val="34"/>
    </w:rPr>
  </w:style>
  <w:style w:type="character" w:styleId="804" w:customStyle="1">
    <w:name w:val="Heading 3 Char"/>
    <w:link w:val="793"/>
    <w:uiPriority w:val="9"/>
    <w:qFormat/>
    <w:rPr>
      <w:rFonts w:ascii="Arial" w:hAnsi="Arial" w:eastAsia="Arial" w:cs="Arial"/>
      <w:sz w:val="30"/>
      <w:szCs w:val="30"/>
    </w:rPr>
  </w:style>
  <w:style w:type="character" w:styleId="805" w:customStyle="1">
    <w:name w:val="Heading 4 Char"/>
    <w:link w:val="794"/>
    <w:uiPriority w:val="9"/>
    <w:qFormat/>
    <w:rPr>
      <w:rFonts w:ascii="Arial" w:hAnsi="Arial" w:eastAsia="Arial" w:cs="Arial"/>
      <w:b/>
      <w:bCs/>
      <w:sz w:val="26"/>
      <w:szCs w:val="26"/>
    </w:rPr>
  </w:style>
  <w:style w:type="character" w:styleId="806" w:customStyle="1">
    <w:name w:val="Heading 5 Char"/>
    <w:link w:val="795"/>
    <w:uiPriority w:val="9"/>
    <w:qFormat/>
    <w:rPr>
      <w:rFonts w:ascii="Arial" w:hAnsi="Arial" w:eastAsia="Arial" w:cs="Arial"/>
      <w:b/>
      <w:bCs/>
      <w:sz w:val="24"/>
      <w:szCs w:val="24"/>
    </w:rPr>
  </w:style>
  <w:style w:type="character" w:styleId="807" w:customStyle="1">
    <w:name w:val="Heading 6 Char"/>
    <w:link w:val="796"/>
    <w:uiPriority w:val="9"/>
    <w:qFormat/>
    <w:rPr>
      <w:rFonts w:ascii="Arial" w:hAnsi="Arial" w:eastAsia="Arial" w:cs="Arial"/>
      <w:b/>
      <w:bCs/>
      <w:sz w:val="22"/>
      <w:szCs w:val="22"/>
    </w:rPr>
  </w:style>
  <w:style w:type="character" w:styleId="808" w:customStyle="1">
    <w:name w:val="Heading 7 Char"/>
    <w:link w:val="797"/>
    <w:uiPriority w:val="9"/>
    <w:qFormat/>
    <w:rPr>
      <w:rFonts w:ascii="Arial" w:hAnsi="Arial" w:eastAsia="Arial" w:cs="Arial"/>
      <w:b/>
      <w:bCs/>
      <w:i/>
      <w:iCs/>
      <w:sz w:val="22"/>
      <w:szCs w:val="22"/>
    </w:rPr>
  </w:style>
  <w:style w:type="character" w:styleId="809" w:customStyle="1">
    <w:name w:val="Heading 8 Char"/>
    <w:link w:val="798"/>
    <w:uiPriority w:val="9"/>
    <w:qFormat/>
    <w:rPr>
      <w:rFonts w:ascii="Arial" w:hAnsi="Arial" w:eastAsia="Arial" w:cs="Arial"/>
      <w:i/>
      <w:iCs/>
      <w:sz w:val="22"/>
      <w:szCs w:val="22"/>
    </w:rPr>
  </w:style>
  <w:style w:type="character" w:styleId="810" w:customStyle="1">
    <w:name w:val="Heading 9 Char"/>
    <w:link w:val="799"/>
    <w:uiPriority w:val="9"/>
    <w:qFormat/>
    <w:rPr>
      <w:rFonts w:ascii="Arial" w:hAnsi="Arial" w:eastAsia="Arial" w:cs="Arial"/>
      <w:i/>
      <w:iCs/>
      <w:sz w:val="21"/>
      <w:szCs w:val="21"/>
    </w:rPr>
  </w:style>
  <w:style w:type="paragraph" w:styleId="811" w:customStyle="1">
    <w:name w:val="目录 71"/>
    <w:basedOn w:val="755"/>
    <w:next w:val="755"/>
    <w:uiPriority w:val="39"/>
    <w:unhideWhenUsed/>
    <w:qFormat/>
    <w:pPr>
      <w:ind w:left="1701"/>
      <w:spacing w:after="57"/>
    </w:pPr>
  </w:style>
  <w:style w:type="paragraph" w:styleId="812" w:customStyle="1">
    <w:name w:val="题注1"/>
    <w:basedOn w:val="755"/>
    <w:next w:val="755"/>
    <w:uiPriority w:val="35"/>
    <w:unhideWhenUsed/>
    <w:qFormat/>
    <w:pPr>
      <w:spacing w:line="276" w:lineRule="auto"/>
    </w:pPr>
    <w:rPr>
      <w:b/>
      <w:bCs/>
      <w:color w:val="4f81bd"/>
      <w:sz w:val="18"/>
      <w:szCs w:val="18"/>
    </w:rPr>
  </w:style>
  <w:style w:type="paragraph" w:styleId="813" w:customStyle="1">
    <w:name w:val="正文文本缩进12"/>
    <w:basedOn w:val="755"/>
    <w:next w:val="755"/>
    <w:uiPriority w:val="0"/>
    <w:qFormat/>
    <w:pPr>
      <w:ind w:firstLine="314"/>
      <w:jc w:val="left"/>
      <w:spacing w:line="720" w:lineRule="exact"/>
    </w:pPr>
    <w:rPr>
      <w:rFonts w:ascii="楷体_GB2312" w:hAnsi="宋体" w:eastAsia="楷体_GB2312"/>
      <w:sz w:val="28"/>
      <w:szCs w:val="28"/>
    </w:rPr>
  </w:style>
  <w:style w:type="paragraph" w:styleId="814" w:customStyle="1">
    <w:name w:val="索引 41"/>
    <w:basedOn w:val="755"/>
    <w:next w:val="755"/>
    <w:uiPriority w:val="99"/>
    <w:unhideWhenUsed/>
    <w:qFormat/>
    <w:pPr>
      <w:ind w:left="600"/>
    </w:pPr>
    <w:rPr>
      <w:rFonts w:ascii="宋体"/>
      <w:b/>
      <w:position w:val="-10"/>
      <w:sz w:val="24"/>
      <w:szCs w:val="20"/>
    </w:rPr>
  </w:style>
  <w:style w:type="paragraph" w:styleId="815" w:customStyle="1">
    <w:name w:val="目录 51"/>
    <w:basedOn w:val="755"/>
    <w:next w:val="755"/>
    <w:uiPriority w:val="39"/>
    <w:unhideWhenUsed/>
    <w:qFormat/>
    <w:pPr>
      <w:ind w:left="1134"/>
      <w:spacing w:after="57"/>
    </w:pPr>
  </w:style>
  <w:style w:type="paragraph" w:styleId="816" w:customStyle="1">
    <w:name w:val="目录 31"/>
    <w:basedOn w:val="755"/>
    <w:next w:val="755"/>
    <w:uiPriority w:val="39"/>
    <w:unhideWhenUsed/>
    <w:qFormat/>
    <w:pPr>
      <w:ind w:left="567"/>
      <w:spacing w:after="57"/>
    </w:pPr>
  </w:style>
  <w:style w:type="paragraph" w:styleId="817" w:customStyle="1">
    <w:name w:val="目录 81"/>
    <w:basedOn w:val="755"/>
    <w:next w:val="755"/>
    <w:uiPriority w:val="39"/>
    <w:unhideWhenUsed/>
    <w:qFormat/>
    <w:pPr>
      <w:ind w:left="1984"/>
      <w:spacing w:after="57"/>
    </w:pPr>
  </w:style>
  <w:style w:type="paragraph" w:styleId="818" w:customStyle="1">
    <w:name w:val="尾注文本1"/>
    <w:basedOn w:val="755"/>
    <w:link w:val="819"/>
    <w:uiPriority w:val="99"/>
    <w:unhideWhenUsed/>
    <w:qFormat/>
    <w:rPr>
      <w:sz w:val="20"/>
    </w:rPr>
  </w:style>
  <w:style w:type="character" w:styleId="819" w:customStyle="1">
    <w:name w:val="Endnote Text Char"/>
    <w:link w:val="818"/>
    <w:uiPriority w:val="99"/>
    <w:qFormat/>
    <w:rPr>
      <w:sz w:val="20"/>
    </w:rPr>
  </w:style>
  <w:style w:type="paragraph" w:styleId="820" w:customStyle="1">
    <w:name w:val="页脚11"/>
    <w:basedOn w:val="755"/>
    <w:link w:val="840"/>
    <w:uiPriority w:val="99"/>
    <w:unhideWhenUsed/>
    <w:qFormat/>
    <w:pPr>
      <w:tabs>
        <w:tab w:val="center" w:pos="7143" w:leader="none"/>
        <w:tab w:val="right" w:pos="14287" w:leader="none"/>
      </w:tabs>
    </w:pPr>
  </w:style>
  <w:style w:type="character" w:styleId="821" w:customStyle="1">
    <w:name w:val="Caption Char"/>
    <w:uiPriority w:val="99"/>
    <w:qFormat/>
  </w:style>
  <w:style w:type="paragraph" w:styleId="822" w:customStyle="1">
    <w:name w:val="页眉11"/>
    <w:basedOn w:val="755"/>
    <w:link w:val="823"/>
    <w:uiPriority w:val="99"/>
    <w:unhideWhenUsed/>
    <w:qFormat/>
    <w:pPr>
      <w:tabs>
        <w:tab w:val="center" w:pos="7143" w:leader="none"/>
        <w:tab w:val="right" w:pos="14287" w:leader="none"/>
      </w:tabs>
    </w:pPr>
  </w:style>
  <w:style w:type="character" w:styleId="823" w:customStyle="1">
    <w:name w:val="Header Char"/>
    <w:link w:val="822"/>
    <w:uiPriority w:val="99"/>
    <w:qFormat/>
  </w:style>
  <w:style w:type="paragraph" w:styleId="824" w:customStyle="1">
    <w:name w:val="目录 111"/>
    <w:basedOn w:val="755"/>
    <w:next w:val="755"/>
    <w:uiPriority w:val="39"/>
    <w:unhideWhenUsed/>
    <w:qFormat/>
    <w:pPr>
      <w:spacing w:after="57"/>
    </w:pPr>
  </w:style>
  <w:style w:type="paragraph" w:styleId="825" w:customStyle="1">
    <w:name w:val="目录 41"/>
    <w:basedOn w:val="755"/>
    <w:next w:val="755"/>
    <w:uiPriority w:val="39"/>
    <w:unhideWhenUsed/>
    <w:qFormat/>
    <w:pPr>
      <w:ind w:left="850"/>
      <w:spacing w:after="57"/>
    </w:pPr>
  </w:style>
  <w:style w:type="paragraph" w:styleId="826" w:customStyle="1">
    <w:name w:val="副标题1"/>
    <w:basedOn w:val="755"/>
    <w:next w:val="755"/>
    <w:link w:val="827"/>
    <w:uiPriority w:val="11"/>
    <w:qFormat/>
    <w:pPr>
      <w:spacing w:before="200" w:after="200"/>
    </w:pPr>
    <w:rPr>
      <w:sz w:val="24"/>
      <w:szCs w:val="24"/>
    </w:rPr>
  </w:style>
  <w:style w:type="character" w:styleId="827" w:customStyle="1">
    <w:name w:val="Subtitle Char"/>
    <w:link w:val="826"/>
    <w:uiPriority w:val="11"/>
    <w:qFormat/>
    <w:rPr>
      <w:sz w:val="24"/>
      <w:szCs w:val="24"/>
    </w:rPr>
  </w:style>
  <w:style w:type="paragraph" w:styleId="828" w:customStyle="1">
    <w:name w:val="脚注文本1"/>
    <w:basedOn w:val="755"/>
    <w:link w:val="829"/>
    <w:uiPriority w:val="99"/>
    <w:unhideWhenUsed/>
    <w:qFormat/>
    <w:pPr>
      <w:spacing w:after="40"/>
    </w:pPr>
    <w:rPr>
      <w:sz w:val="18"/>
    </w:rPr>
  </w:style>
  <w:style w:type="character" w:styleId="829" w:customStyle="1">
    <w:name w:val="Footnote Text Char"/>
    <w:link w:val="828"/>
    <w:uiPriority w:val="99"/>
    <w:qFormat/>
    <w:rPr>
      <w:sz w:val="18"/>
    </w:rPr>
  </w:style>
  <w:style w:type="paragraph" w:styleId="830" w:customStyle="1">
    <w:name w:val="目录 61"/>
    <w:basedOn w:val="755"/>
    <w:next w:val="755"/>
    <w:uiPriority w:val="39"/>
    <w:unhideWhenUsed/>
    <w:qFormat/>
    <w:pPr>
      <w:ind w:left="1417"/>
      <w:spacing w:after="57"/>
    </w:pPr>
  </w:style>
  <w:style w:type="paragraph" w:styleId="831" w:customStyle="1">
    <w:name w:val="图表目录1"/>
    <w:basedOn w:val="755"/>
    <w:next w:val="755"/>
    <w:uiPriority w:val="99"/>
    <w:unhideWhenUsed/>
    <w:qFormat/>
  </w:style>
  <w:style w:type="paragraph" w:styleId="832" w:customStyle="1">
    <w:name w:val="目录 21"/>
    <w:basedOn w:val="755"/>
    <w:next w:val="755"/>
    <w:uiPriority w:val="39"/>
    <w:unhideWhenUsed/>
    <w:qFormat/>
    <w:pPr>
      <w:ind w:left="283"/>
      <w:spacing w:after="57"/>
    </w:pPr>
  </w:style>
  <w:style w:type="paragraph" w:styleId="833" w:customStyle="1">
    <w:name w:val="目录 911"/>
    <w:basedOn w:val="755"/>
    <w:next w:val="755"/>
    <w:uiPriority w:val="39"/>
    <w:unhideWhenUsed/>
    <w:qFormat/>
    <w:pPr>
      <w:ind w:left="2268"/>
      <w:spacing w:after="57"/>
    </w:pPr>
  </w:style>
  <w:style w:type="paragraph" w:styleId="834" w:customStyle="1">
    <w:name w:val="标题1"/>
    <w:basedOn w:val="755"/>
    <w:next w:val="755"/>
    <w:link w:val="835"/>
    <w:uiPriority w:val="10"/>
    <w:qFormat/>
    <w:pPr>
      <w:contextualSpacing/>
      <w:spacing w:before="300" w:after="200"/>
    </w:pPr>
    <w:rPr>
      <w:sz w:val="48"/>
      <w:szCs w:val="48"/>
    </w:rPr>
  </w:style>
  <w:style w:type="character" w:styleId="835" w:customStyle="1">
    <w:name w:val="Title Char"/>
    <w:link w:val="834"/>
    <w:uiPriority w:val="10"/>
    <w:qFormat/>
    <w:rPr>
      <w:sz w:val="48"/>
      <w:szCs w:val="48"/>
    </w:rPr>
  </w:style>
  <w:style w:type="table" w:styleId="836" w:customStyle="1">
    <w:name w:val="网格型11"/>
    <w:uiPriority w:val="59"/>
    <w:qFormat/>
    <w:tblPr>
      <w:tblCellMar>
        <w:left w:w="0" w:type="dxa"/>
        <w:top w:w="0" w:type="dxa"/>
        <w:right w:w="0" w:type="dxa"/>
        <w:bottom w:w="0" w:type="dxa"/>
      </w:tblCellMar>
    </w:tblPr>
  </w:style>
  <w:style w:type="character" w:styleId="837" w:customStyle="1">
    <w:name w:val="尾注引用1"/>
    <w:uiPriority w:val="99"/>
    <w:unhideWhenUsed/>
    <w:qFormat/>
    <w:rPr>
      <w:vertAlign w:val="superscript"/>
    </w:rPr>
  </w:style>
  <w:style w:type="character" w:styleId="838" w:customStyle="1">
    <w:name w:val="超链接11"/>
    <w:uiPriority w:val="99"/>
    <w:unhideWhenUsed/>
    <w:qFormat/>
    <w:rPr>
      <w:color w:val="0000ff"/>
      <w:u w:val="single"/>
    </w:rPr>
  </w:style>
  <w:style w:type="character" w:styleId="839" w:customStyle="1">
    <w:name w:val="脚注引用1"/>
    <w:uiPriority w:val="99"/>
    <w:unhideWhenUsed/>
    <w:qFormat/>
    <w:rPr>
      <w:vertAlign w:val="superscript"/>
    </w:rPr>
  </w:style>
  <w:style w:type="character" w:styleId="840" w:customStyle="1">
    <w:name w:val="Footer Char"/>
    <w:link w:val="820"/>
    <w:uiPriority w:val="99"/>
    <w:qFormat/>
  </w:style>
  <w:style w:type="character" w:styleId="841" w:customStyle="1">
    <w:name w:val="批注引用1"/>
    <w:uiPriority w:val="0"/>
    <w:qFormat/>
    <w:rPr>
      <w:sz w:val="21"/>
      <w:szCs w:val="21"/>
    </w:rPr>
  </w:style>
  <w:style w:type="paragraph" w:styleId="842">
    <w:name w:val="List Paragraph"/>
    <w:basedOn w:val="755"/>
    <w:uiPriority w:val="34"/>
    <w:qFormat/>
    <w:pPr>
      <w:contextualSpacing/>
      <w:ind w:left="720"/>
    </w:pPr>
  </w:style>
  <w:style w:type="paragraph" w:styleId="843">
    <w:name w:val="No Spacing"/>
    <w:uiPriority w:val="1"/>
    <w:qFormat/>
    <w:rPr>
      <w:rFonts w:ascii="Calibri" w:hAnsi="Calibri" w:eastAsia="宋体" w:cs="Calibri"/>
      <w:lang w:val="en-US" w:eastAsia="zh-CN" w:bidi="ar-SA"/>
    </w:rPr>
  </w:style>
  <w:style w:type="paragraph" w:styleId="844">
    <w:name w:val="Quote"/>
    <w:basedOn w:val="755"/>
    <w:next w:val="755"/>
    <w:link w:val="845"/>
    <w:uiPriority w:val="29"/>
    <w:qFormat/>
    <w:pPr>
      <w:ind w:left="720" w:right="720"/>
    </w:pPr>
    <w:rPr>
      <w:i/>
    </w:rPr>
  </w:style>
  <w:style w:type="character" w:styleId="845" w:customStyle="1">
    <w:name w:val="引用 Char"/>
    <w:link w:val="844"/>
    <w:uiPriority w:val="29"/>
    <w:qFormat/>
    <w:rPr>
      <w:i/>
    </w:rPr>
  </w:style>
  <w:style w:type="paragraph" w:styleId="846">
    <w:name w:val="Intense Quote"/>
    <w:basedOn w:val="755"/>
    <w:next w:val="755"/>
    <w:link w:val="84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7" w:customStyle="1">
    <w:name w:val="明显引用 Char"/>
    <w:link w:val="846"/>
    <w:uiPriority w:val="30"/>
    <w:qFormat/>
    <w:rPr>
      <w:i/>
    </w:rPr>
  </w:style>
  <w:style w:type="table" w:styleId="848" w:customStyle="1">
    <w:name w:val="Table Grid Light"/>
    <w:uiPriority w:val="59"/>
    <w:qFormat/>
    <w:tblPr>
      <w:tblCellMar>
        <w:left w:w="0" w:type="dxa"/>
        <w:top w:w="0" w:type="dxa"/>
        <w:right w:w="0" w:type="dxa"/>
        <w:bottom w:w="0" w:type="dxa"/>
      </w:tblCellMar>
    </w:tblPr>
  </w:style>
  <w:style w:type="table" w:styleId="849" w:customStyle="1">
    <w:name w:val="Plain Table 1"/>
    <w:uiPriority w:val="59"/>
    <w:qFormat/>
    <w:tblPr>
      <w:tblCellMar>
        <w:left w:w="0" w:type="dxa"/>
        <w:top w:w="0" w:type="dxa"/>
        <w:right w:w="0" w:type="dxa"/>
        <w:bottom w:w="0" w:type="dxa"/>
      </w:tblCellMar>
    </w:tblPr>
  </w:style>
  <w:style w:type="table" w:styleId="850" w:customStyle="1">
    <w:name w:val="Plain Table 2"/>
    <w:uiPriority w:val="59"/>
    <w:qFormat/>
    <w:tblPr>
      <w:tblCellMar>
        <w:left w:w="0" w:type="dxa"/>
        <w:top w:w="0" w:type="dxa"/>
        <w:right w:w="0" w:type="dxa"/>
        <w:bottom w:w="0" w:type="dxa"/>
      </w:tblCellMar>
    </w:tblPr>
  </w:style>
  <w:style w:type="table" w:styleId="851" w:customStyle="1">
    <w:name w:val="Plain Table 3"/>
    <w:uiPriority w:val="99"/>
    <w:qFormat/>
    <w:tblPr>
      <w:tblCellMar>
        <w:left w:w="0" w:type="dxa"/>
        <w:top w:w="0" w:type="dxa"/>
        <w:right w:w="0" w:type="dxa"/>
        <w:bottom w:w="0" w:type="dxa"/>
      </w:tblCellMar>
    </w:tblPr>
  </w:style>
  <w:style w:type="table" w:styleId="852" w:customStyle="1">
    <w:name w:val="Plain Table 4"/>
    <w:uiPriority w:val="99"/>
    <w:qFormat/>
    <w:tblPr>
      <w:tblCellMar>
        <w:left w:w="0" w:type="dxa"/>
        <w:top w:w="0" w:type="dxa"/>
        <w:right w:w="0" w:type="dxa"/>
        <w:bottom w:w="0" w:type="dxa"/>
      </w:tblCellMar>
    </w:tblPr>
  </w:style>
  <w:style w:type="table" w:styleId="853" w:customStyle="1">
    <w:name w:val="Plain Table 5"/>
    <w:uiPriority w:val="99"/>
    <w:qFormat/>
    <w:tblPr>
      <w:tblCellMar>
        <w:left w:w="0" w:type="dxa"/>
        <w:top w:w="0" w:type="dxa"/>
        <w:right w:w="0" w:type="dxa"/>
        <w:bottom w:w="0" w:type="dxa"/>
      </w:tblCellMar>
    </w:tblPr>
  </w:style>
  <w:style w:type="table" w:styleId="854" w:customStyle="1">
    <w:name w:val="Grid Table 1 Light"/>
    <w:uiPriority w:val="99"/>
    <w:qFormat/>
    <w:tblPr>
      <w:tblCellMar>
        <w:left w:w="0" w:type="dxa"/>
        <w:top w:w="0" w:type="dxa"/>
        <w:right w:w="0" w:type="dxa"/>
        <w:bottom w:w="0" w:type="dxa"/>
      </w:tblCellMar>
    </w:tblPr>
  </w:style>
  <w:style w:type="table" w:styleId="855" w:customStyle="1">
    <w:name w:val="Grid Table 1 Light - Accent 1"/>
    <w:uiPriority w:val="99"/>
    <w:qFormat/>
    <w:tblPr>
      <w:tblCellMar>
        <w:left w:w="0" w:type="dxa"/>
        <w:top w:w="0" w:type="dxa"/>
        <w:right w:w="0" w:type="dxa"/>
        <w:bottom w:w="0" w:type="dxa"/>
      </w:tblCellMar>
    </w:tblPr>
  </w:style>
  <w:style w:type="table" w:styleId="856" w:customStyle="1">
    <w:name w:val="Grid Table 1 Light - Accent 2"/>
    <w:uiPriority w:val="99"/>
    <w:qFormat/>
    <w:tblPr>
      <w:tblCellMar>
        <w:left w:w="0" w:type="dxa"/>
        <w:top w:w="0" w:type="dxa"/>
        <w:right w:w="0" w:type="dxa"/>
        <w:bottom w:w="0" w:type="dxa"/>
      </w:tblCellMar>
    </w:tblPr>
  </w:style>
  <w:style w:type="table" w:styleId="857" w:customStyle="1">
    <w:name w:val="Grid Table 1 Light - Accent 3"/>
    <w:uiPriority w:val="99"/>
    <w:qFormat/>
    <w:tblPr>
      <w:tblCellMar>
        <w:left w:w="0" w:type="dxa"/>
        <w:top w:w="0" w:type="dxa"/>
        <w:right w:w="0" w:type="dxa"/>
        <w:bottom w:w="0" w:type="dxa"/>
      </w:tblCellMar>
    </w:tblPr>
  </w:style>
  <w:style w:type="table" w:styleId="858" w:customStyle="1">
    <w:name w:val="Grid Table 1 Light - Accent 4"/>
    <w:uiPriority w:val="99"/>
    <w:qFormat/>
    <w:tblPr>
      <w:tblCellMar>
        <w:left w:w="0" w:type="dxa"/>
        <w:top w:w="0" w:type="dxa"/>
        <w:right w:w="0" w:type="dxa"/>
        <w:bottom w:w="0" w:type="dxa"/>
      </w:tblCellMar>
    </w:tblPr>
  </w:style>
  <w:style w:type="table" w:styleId="859" w:customStyle="1">
    <w:name w:val="Grid Table 1 Light - Accent 5"/>
    <w:uiPriority w:val="99"/>
    <w:qFormat/>
    <w:tblPr>
      <w:tblCellMar>
        <w:left w:w="0" w:type="dxa"/>
        <w:top w:w="0" w:type="dxa"/>
        <w:right w:w="0" w:type="dxa"/>
        <w:bottom w:w="0" w:type="dxa"/>
      </w:tblCellMar>
    </w:tblPr>
  </w:style>
  <w:style w:type="table" w:styleId="860" w:customStyle="1">
    <w:name w:val="Grid Table 1 Light - Accent 6"/>
    <w:uiPriority w:val="99"/>
    <w:qFormat/>
    <w:tblPr>
      <w:tblCellMar>
        <w:left w:w="0" w:type="dxa"/>
        <w:top w:w="0" w:type="dxa"/>
        <w:right w:w="0" w:type="dxa"/>
        <w:bottom w:w="0" w:type="dxa"/>
      </w:tblCellMar>
    </w:tblPr>
  </w:style>
  <w:style w:type="table" w:styleId="861" w:customStyle="1">
    <w:name w:val="Grid Table 2"/>
    <w:uiPriority w:val="99"/>
    <w:qFormat/>
    <w:tblPr>
      <w:tblCellMar>
        <w:left w:w="0" w:type="dxa"/>
        <w:top w:w="0" w:type="dxa"/>
        <w:right w:w="0" w:type="dxa"/>
        <w:bottom w:w="0" w:type="dxa"/>
      </w:tblCellMar>
    </w:tblPr>
  </w:style>
  <w:style w:type="table" w:styleId="862" w:customStyle="1">
    <w:name w:val="Grid Table 2 - Accent 1"/>
    <w:uiPriority w:val="99"/>
    <w:qFormat/>
    <w:tblPr>
      <w:tblCellMar>
        <w:left w:w="0" w:type="dxa"/>
        <w:top w:w="0" w:type="dxa"/>
        <w:right w:w="0" w:type="dxa"/>
        <w:bottom w:w="0" w:type="dxa"/>
      </w:tblCellMar>
    </w:tblPr>
  </w:style>
  <w:style w:type="table" w:styleId="863" w:customStyle="1">
    <w:name w:val="Grid Table 2 - Accent 2"/>
    <w:uiPriority w:val="99"/>
    <w:qFormat/>
    <w:tblPr>
      <w:tblCellMar>
        <w:left w:w="0" w:type="dxa"/>
        <w:top w:w="0" w:type="dxa"/>
        <w:right w:w="0" w:type="dxa"/>
        <w:bottom w:w="0" w:type="dxa"/>
      </w:tblCellMar>
    </w:tblPr>
  </w:style>
  <w:style w:type="table" w:styleId="864" w:customStyle="1">
    <w:name w:val="Grid Table 2 - Accent 3"/>
    <w:uiPriority w:val="99"/>
    <w:qFormat/>
    <w:tblPr>
      <w:tblCellMar>
        <w:left w:w="0" w:type="dxa"/>
        <w:top w:w="0" w:type="dxa"/>
        <w:right w:w="0" w:type="dxa"/>
        <w:bottom w:w="0" w:type="dxa"/>
      </w:tblCellMar>
    </w:tblPr>
  </w:style>
  <w:style w:type="table" w:styleId="865" w:customStyle="1">
    <w:name w:val="Grid Table 2 - Accent 4"/>
    <w:uiPriority w:val="99"/>
    <w:qFormat/>
    <w:tblPr>
      <w:tblCellMar>
        <w:left w:w="0" w:type="dxa"/>
        <w:top w:w="0" w:type="dxa"/>
        <w:right w:w="0" w:type="dxa"/>
        <w:bottom w:w="0" w:type="dxa"/>
      </w:tblCellMar>
    </w:tblPr>
  </w:style>
  <w:style w:type="table" w:styleId="866" w:customStyle="1">
    <w:name w:val="Grid Table 2 - Accent 5"/>
    <w:uiPriority w:val="99"/>
    <w:qFormat/>
    <w:tblPr>
      <w:tblCellMar>
        <w:left w:w="0" w:type="dxa"/>
        <w:top w:w="0" w:type="dxa"/>
        <w:right w:w="0" w:type="dxa"/>
        <w:bottom w:w="0" w:type="dxa"/>
      </w:tblCellMar>
    </w:tblPr>
  </w:style>
  <w:style w:type="table" w:styleId="867" w:customStyle="1">
    <w:name w:val="Grid Table 2 - Accent 6"/>
    <w:uiPriority w:val="99"/>
    <w:qFormat/>
    <w:tblPr>
      <w:tblCellMar>
        <w:left w:w="0" w:type="dxa"/>
        <w:top w:w="0" w:type="dxa"/>
        <w:right w:w="0" w:type="dxa"/>
        <w:bottom w:w="0" w:type="dxa"/>
      </w:tblCellMar>
    </w:tblPr>
  </w:style>
  <w:style w:type="table" w:styleId="868" w:customStyle="1">
    <w:name w:val="Grid Table 3"/>
    <w:uiPriority w:val="99"/>
    <w:qFormat/>
    <w:tblPr>
      <w:tblCellMar>
        <w:left w:w="0" w:type="dxa"/>
        <w:top w:w="0" w:type="dxa"/>
        <w:right w:w="0" w:type="dxa"/>
        <w:bottom w:w="0" w:type="dxa"/>
      </w:tblCellMar>
    </w:tblPr>
  </w:style>
  <w:style w:type="table" w:styleId="869" w:customStyle="1">
    <w:name w:val="Grid Table 3 - Accent 1"/>
    <w:uiPriority w:val="99"/>
    <w:qFormat/>
    <w:tblPr>
      <w:tblCellMar>
        <w:left w:w="0" w:type="dxa"/>
        <w:top w:w="0" w:type="dxa"/>
        <w:right w:w="0" w:type="dxa"/>
        <w:bottom w:w="0" w:type="dxa"/>
      </w:tblCellMar>
    </w:tblPr>
  </w:style>
  <w:style w:type="table" w:styleId="870" w:customStyle="1">
    <w:name w:val="Grid Table 3 - Accent 2"/>
    <w:uiPriority w:val="99"/>
    <w:qFormat/>
    <w:tblPr>
      <w:tblCellMar>
        <w:left w:w="0" w:type="dxa"/>
        <w:top w:w="0" w:type="dxa"/>
        <w:right w:w="0" w:type="dxa"/>
        <w:bottom w:w="0" w:type="dxa"/>
      </w:tblCellMar>
    </w:tblPr>
  </w:style>
  <w:style w:type="table" w:styleId="871" w:customStyle="1">
    <w:name w:val="Grid Table 3 - Accent 3"/>
    <w:uiPriority w:val="99"/>
    <w:qFormat/>
    <w:tblPr>
      <w:tblCellMar>
        <w:left w:w="0" w:type="dxa"/>
        <w:top w:w="0" w:type="dxa"/>
        <w:right w:w="0" w:type="dxa"/>
        <w:bottom w:w="0" w:type="dxa"/>
      </w:tblCellMar>
    </w:tblPr>
  </w:style>
  <w:style w:type="table" w:styleId="872" w:customStyle="1">
    <w:name w:val="Grid Table 3 - Accent 4"/>
    <w:uiPriority w:val="99"/>
    <w:qFormat/>
    <w:tblPr>
      <w:tblCellMar>
        <w:left w:w="0" w:type="dxa"/>
        <w:top w:w="0" w:type="dxa"/>
        <w:right w:w="0" w:type="dxa"/>
        <w:bottom w:w="0" w:type="dxa"/>
      </w:tblCellMar>
    </w:tblPr>
  </w:style>
  <w:style w:type="table" w:styleId="873" w:customStyle="1">
    <w:name w:val="Grid Table 3 - Accent 5"/>
    <w:uiPriority w:val="99"/>
    <w:qFormat/>
    <w:tblPr>
      <w:tblCellMar>
        <w:left w:w="0" w:type="dxa"/>
        <w:top w:w="0" w:type="dxa"/>
        <w:right w:w="0" w:type="dxa"/>
        <w:bottom w:w="0" w:type="dxa"/>
      </w:tblCellMar>
    </w:tblPr>
  </w:style>
  <w:style w:type="table" w:styleId="874" w:customStyle="1">
    <w:name w:val="Grid Table 3 - Accent 6"/>
    <w:uiPriority w:val="99"/>
    <w:qFormat/>
    <w:tblPr>
      <w:tblCellMar>
        <w:left w:w="0" w:type="dxa"/>
        <w:top w:w="0" w:type="dxa"/>
        <w:right w:w="0" w:type="dxa"/>
        <w:bottom w:w="0" w:type="dxa"/>
      </w:tblCellMar>
    </w:tblPr>
  </w:style>
  <w:style w:type="table" w:styleId="875" w:customStyle="1">
    <w:name w:val="Grid Table 4"/>
    <w:uiPriority w:val="59"/>
    <w:qFormat/>
    <w:tblPr>
      <w:tblCellMar>
        <w:left w:w="0" w:type="dxa"/>
        <w:top w:w="0" w:type="dxa"/>
        <w:right w:w="0" w:type="dxa"/>
        <w:bottom w:w="0" w:type="dxa"/>
      </w:tblCellMar>
    </w:tblPr>
  </w:style>
  <w:style w:type="table" w:styleId="876" w:customStyle="1">
    <w:name w:val="Grid Table 4 - Accent 1"/>
    <w:uiPriority w:val="59"/>
    <w:qFormat/>
    <w:tblPr>
      <w:tblCellMar>
        <w:left w:w="0" w:type="dxa"/>
        <w:top w:w="0" w:type="dxa"/>
        <w:right w:w="0" w:type="dxa"/>
        <w:bottom w:w="0" w:type="dxa"/>
      </w:tblCellMar>
    </w:tblPr>
  </w:style>
  <w:style w:type="table" w:styleId="877" w:customStyle="1">
    <w:name w:val="Grid Table 4 - Accent 2"/>
    <w:uiPriority w:val="59"/>
    <w:qFormat/>
    <w:tblPr>
      <w:tblCellMar>
        <w:left w:w="0" w:type="dxa"/>
        <w:top w:w="0" w:type="dxa"/>
        <w:right w:w="0" w:type="dxa"/>
        <w:bottom w:w="0" w:type="dxa"/>
      </w:tblCellMar>
    </w:tblPr>
  </w:style>
  <w:style w:type="table" w:styleId="878" w:customStyle="1">
    <w:name w:val="Grid Table 4 - Accent 3"/>
    <w:uiPriority w:val="59"/>
    <w:qFormat/>
    <w:tblPr>
      <w:tblCellMar>
        <w:left w:w="0" w:type="dxa"/>
        <w:top w:w="0" w:type="dxa"/>
        <w:right w:w="0" w:type="dxa"/>
        <w:bottom w:w="0" w:type="dxa"/>
      </w:tblCellMar>
    </w:tblPr>
  </w:style>
  <w:style w:type="table" w:styleId="879" w:customStyle="1">
    <w:name w:val="Grid Table 4 - Accent 4"/>
    <w:uiPriority w:val="59"/>
    <w:qFormat/>
    <w:tblPr>
      <w:tblCellMar>
        <w:left w:w="0" w:type="dxa"/>
        <w:top w:w="0" w:type="dxa"/>
        <w:right w:w="0" w:type="dxa"/>
        <w:bottom w:w="0" w:type="dxa"/>
      </w:tblCellMar>
    </w:tblPr>
  </w:style>
  <w:style w:type="table" w:styleId="880" w:customStyle="1">
    <w:name w:val="Grid Table 4 - Accent 5"/>
    <w:uiPriority w:val="59"/>
    <w:qFormat/>
    <w:tblPr>
      <w:tblCellMar>
        <w:left w:w="0" w:type="dxa"/>
        <w:top w:w="0" w:type="dxa"/>
        <w:right w:w="0" w:type="dxa"/>
        <w:bottom w:w="0" w:type="dxa"/>
      </w:tblCellMar>
    </w:tblPr>
  </w:style>
  <w:style w:type="table" w:styleId="881" w:customStyle="1">
    <w:name w:val="Grid Table 4 - Accent 6"/>
    <w:uiPriority w:val="59"/>
    <w:qFormat/>
    <w:tblPr>
      <w:tblCellMar>
        <w:left w:w="0" w:type="dxa"/>
        <w:top w:w="0" w:type="dxa"/>
        <w:right w:w="0" w:type="dxa"/>
        <w:bottom w:w="0" w:type="dxa"/>
      </w:tblCellMar>
    </w:tblPr>
  </w:style>
  <w:style w:type="table" w:styleId="882" w:customStyle="1">
    <w:name w:val="Grid Table 5 Dark"/>
    <w:uiPriority w:val="99"/>
    <w:qFormat/>
    <w:tblPr>
      <w:tblCellMar>
        <w:left w:w="0" w:type="dxa"/>
        <w:top w:w="0" w:type="dxa"/>
        <w:right w:w="0" w:type="dxa"/>
        <w:bottom w:w="0" w:type="dxa"/>
      </w:tblCellMar>
    </w:tblPr>
  </w:style>
  <w:style w:type="table" w:styleId="883" w:customStyle="1">
    <w:name w:val="Grid Table 5 Dark- Accent 1"/>
    <w:uiPriority w:val="99"/>
    <w:qFormat/>
    <w:tblPr>
      <w:tblCellMar>
        <w:left w:w="0" w:type="dxa"/>
        <w:top w:w="0" w:type="dxa"/>
        <w:right w:w="0" w:type="dxa"/>
        <w:bottom w:w="0" w:type="dxa"/>
      </w:tblCellMar>
    </w:tblPr>
  </w:style>
  <w:style w:type="table" w:styleId="884" w:customStyle="1">
    <w:name w:val="Grid Table 5 Dark - Accent 2"/>
    <w:uiPriority w:val="99"/>
    <w:qFormat/>
    <w:tblPr>
      <w:tblCellMar>
        <w:left w:w="0" w:type="dxa"/>
        <w:top w:w="0" w:type="dxa"/>
        <w:right w:w="0" w:type="dxa"/>
        <w:bottom w:w="0" w:type="dxa"/>
      </w:tblCellMar>
    </w:tblPr>
  </w:style>
  <w:style w:type="table" w:styleId="885" w:customStyle="1">
    <w:name w:val="Grid Table 5 Dark - Accent 3"/>
    <w:uiPriority w:val="99"/>
    <w:qFormat/>
    <w:tblPr>
      <w:tblCellMar>
        <w:left w:w="0" w:type="dxa"/>
        <w:top w:w="0" w:type="dxa"/>
        <w:right w:w="0" w:type="dxa"/>
        <w:bottom w:w="0" w:type="dxa"/>
      </w:tblCellMar>
    </w:tblPr>
  </w:style>
  <w:style w:type="table" w:styleId="886" w:customStyle="1">
    <w:name w:val="Grid Table 5 Dark- Accent 4"/>
    <w:uiPriority w:val="99"/>
    <w:qFormat/>
    <w:tblPr>
      <w:tblCellMar>
        <w:left w:w="0" w:type="dxa"/>
        <w:top w:w="0" w:type="dxa"/>
        <w:right w:w="0" w:type="dxa"/>
        <w:bottom w:w="0" w:type="dxa"/>
      </w:tblCellMar>
    </w:tblPr>
  </w:style>
  <w:style w:type="table" w:styleId="887" w:customStyle="1">
    <w:name w:val="Grid Table 5 Dark - Accent 5"/>
    <w:uiPriority w:val="99"/>
    <w:qFormat/>
    <w:tblPr>
      <w:tblCellMar>
        <w:left w:w="0" w:type="dxa"/>
        <w:top w:w="0" w:type="dxa"/>
        <w:right w:w="0" w:type="dxa"/>
        <w:bottom w:w="0" w:type="dxa"/>
      </w:tblCellMar>
    </w:tblPr>
  </w:style>
  <w:style w:type="table" w:styleId="888" w:customStyle="1">
    <w:name w:val="Grid Table 5 Dark - Accent 6"/>
    <w:uiPriority w:val="99"/>
    <w:qFormat/>
    <w:tblPr>
      <w:tblCellMar>
        <w:left w:w="0" w:type="dxa"/>
        <w:top w:w="0" w:type="dxa"/>
        <w:right w:w="0" w:type="dxa"/>
        <w:bottom w:w="0" w:type="dxa"/>
      </w:tblCellMar>
    </w:tblPr>
  </w:style>
  <w:style w:type="table" w:styleId="889" w:customStyle="1">
    <w:name w:val="Grid Table 6 Colorful"/>
    <w:uiPriority w:val="99"/>
    <w:qFormat/>
    <w:tblPr>
      <w:tblCellMar>
        <w:left w:w="0" w:type="dxa"/>
        <w:top w:w="0" w:type="dxa"/>
        <w:right w:w="0" w:type="dxa"/>
        <w:bottom w:w="0" w:type="dxa"/>
      </w:tblCellMar>
    </w:tblPr>
  </w:style>
  <w:style w:type="table" w:styleId="890" w:customStyle="1">
    <w:name w:val="Grid Table 6 Colorful - Accent 1"/>
    <w:uiPriority w:val="99"/>
    <w:qFormat/>
    <w:tblPr>
      <w:tblCellMar>
        <w:left w:w="0" w:type="dxa"/>
        <w:top w:w="0" w:type="dxa"/>
        <w:right w:w="0" w:type="dxa"/>
        <w:bottom w:w="0" w:type="dxa"/>
      </w:tblCellMar>
    </w:tblPr>
  </w:style>
  <w:style w:type="table" w:styleId="891" w:customStyle="1">
    <w:name w:val="Grid Table 6 Colorful - Accent 2"/>
    <w:uiPriority w:val="99"/>
    <w:qFormat/>
    <w:tblPr>
      <w:tblCellMar>
        <w:left w:w="0" w:type="dxa"/>
        <w:top w:w="0" w:type="dxa"/>
        <w:right w:w="0" w:type="dxa"/>
        <w:bottom w:w="0" w:type="dxa"/>
      </w:tblCellMar>
    </w:tblPr>
  </w:style>
  <w:style w:type="table" w:styleId="892" w:customStyle="1">
    <w:name w:val="Grid Table 6 Colorful - Accent 3"/>
    <w:uiPriority w:val="99"/>
    <w:qFormat/>
    <w:tblPr>
      <w:tblCellMar>
        <w:left w:w="0" w:type="dxa"/>
        <w:top w:w="0" w:type="dxa"/>
        <w:right w:w="0" w:type="dxa"/>
        <w:bottom w:w="0" w:type="dxa"/>
      </w:tblCellMar>
    </w:tblPr>
  </w:style>
  <w:style w:type="table" w:styleId="893" w:customStyle="1">
    <w:name w:val="Grid Table 6 Colorful - Accent 4"/>
    <w:uiPriority w:val="99"/>
    <w:qFormat/>
    <w:tblPr>
      <w:tblCellMar>
        <w:left w:w="0" w:type="dxa"/>
        <w:top w:w="0" w:type="dxa"/>
        <w:right w:w="0" w:type="dxa"/>
        <w:bottom w:w="0" w:type="dxa"/>
      </w:tblCellMar>
    </w:tblPr>
  </w:style>
  <w:style w:type="table" w:styleId="894" w:customStyle="1">
    <w:name w:val="Grid Table 6 Colorful - Accent 5"/>
    <w:uiPriority w:val="99"/>
    <w:qFormat/>
    <w:tblPr>
      <w:tblCellMar>
        <w:left w:w="0" w:type="dxa"/>
        <w:top w:w="0" w:type="dxa"/>
        <w:right w:w="0" w:type="dxa"/>
        <w:bottom w:w="0" w:type="dxa"/>
      </w:tblCellMar>
    </w:tblPr>
  </w:style>
  <w:style w:type="table" w:styleId="895" w:customStyle="1">
    <w:name w:val="Grid Table 6 Colorful - Accent 6"/>
    <w:uiPriority w:val="99"/>
    <w:qFormat/>
    <w:tblPr>
      <w:tblCellMar>
        <w:left w:w="0" w:type="dxa"/>
        <w:top w:w="0" w:type="dxa"/>
        <w:right w:w="0" w:type="dxa"/>
        <w:bottom w:w="0" w:type="dxa"/>
      </w:tblCellMar>
    </w:tblPr>
  </w:style>
  <w:style w:type="table" w:styleId="896" w:customStyle="1">
    <w:name w:val="Grid Table 7 Colorful"/>
    <w:uiPriority w:val="99"/>
    <w:qFormat/>
    <w:tblPr>
      <w:tblCellMar>
        <w:left w:w="0" w:type="dxa"/>
        <w:top w:w="0" w:type="dxa"/>
        <w:right w:w="0" w:type="dxa"/>
        <w:bottom w:w="0" w:type="dxa"/>
      </w:tblCellMar>
    </w:tblPr>
  </w:style>
  <w:style w:type="table" w:styleId="897" w:customStyle="1">
    <w:name w:val="Grid Table 7 Colorful - Accent 1"/>
    <w:uiPriority w:val="99"/>
    <w:qFormat/>
    <w:tblPr>
      <w:tblCellMar>
        <w:left w:w="0" w:type="dxa"/>
        <w:top w:w="0" w:type="dxa"/>
        <w:right w:w="0" w:type="dxa"/>
        <w:bottom w:w="0" w:type="dxa"/>
      </w:tblCellMar>
    </w:tblPr>
  </w:style>
  <w:style w:type="table" w:styleId="898" w:customStyle="1">
    <w:name w:val="Grid Table 7 Colorful - Accent 2"/>
    <w:uiPriority w:val="99"/>
    <w:qFormat/>
    <w:tblPr>
      <w:tblCellMar>
        <w:left w:w="0" w:type="dxa"/>
        <w:top w:w="0" w:type="dxa"/>
        <w:right w:w="0" w:type="dxa"/>
        <w:bottom w:w="0" w:type="dxa"/>
      </w:tblCellMar>
    </w:tblPr>
  </w:style>
  <w:style w:type="table" w:styleId="899" w:customStyle="1">
    <w:name w:val="Grid Table 7 Colorful - Accent 3"/>
    <w:uiPriority w:val="99"/>
    <w:qFormat/>
    <w:tblPr>
      <w:tblCellMar>
        <w:left w:w="0" w:type="dxa"/>
        <w:top w:w="0" w:type="dxa"/>
        <w:right w:w="0" w:type="dxa"/>
        <w:bottom w:w="0" w:type="dxa"/>
      </w:tblCellMar>
    </w:tblPr>
  </w:style>
  <w:style w:type="table" w:styleId="900" w:customStyle="1">
    <w:name w:val="Grid Table 7 Colorful - Accent 4"/>
    <w:uiPriority w:val="99"/>
    <w:qFormat/>
    <w:tblPr>
      <w:tblCellMar>
        <w:left w:w="0" w:type="dxa"/>
        <w:top w:w="0" w:type="dxa"/>
        <w:right w:w="0" w:type="dxa"/>
        <w:bottom w:w="0" w:type="dxa"/>
      </w:tblCellMar>
    </w:tblPr>
  </w:style>
  <w:style w:type="table" w:styleId="901" w:customStyle="1">
    <w:name w:val="Grid Table 7 Colorful - Accent 5"/>
    <w:uiPriority w:val="99"/>
    <w:qFormat/>
    <w:tblPr>
      <w:tblCellMar>
        <w:left w:w="0" w:type="dxa"/>
        <w:top w:w="0" w:type="dxa"/>
        <w:right w:w="0" w:type="dxa"/>
        <w:bottom w:w="0" w:type="dxa"/>
      </w:tblCellMar>
    </w:tblPr>
  </w:style>
  <w:style w:type="table" w:styleId="902" w:customStyle="1">
    <w:name w:val="Grid Table 7 Colorful - Accent 6"/>
    <w:uiPriority w:val="99"/>
    <w:qFormat/>
    <w:tblPr>
      <w:tblCellMar>
        <w:left w:w="0" w:type="dxa"/>
        <w:top w:w="0" w:type="dxa"/>
        <w:right w:w="0" w:type="dxa"/>
        <w:bottom w:w="0" w:type="dxa"/>
      </w:tblCellMar>
    </w:tblPr>
  </w:style>
  <w:style w:type="table" w:styleId="903" w:customStyle="1">
    <w:name w:val="List Table 1 Light"/>
    <w:uiPriority w:val="99"/>
    <w:qFormat/>
    <w:tblPr>
      <w:tblCellMar>
        <w:left w:w="0" w:type="dxa"/>
        <w:top w:w="0" w:type="dxa"/>
        <w:right w:w="0" w:type="dxa"/>
        <w:bottom w:w="0" w:type="dxa"/>
      </w:tblCellMar>
    </w:tblPr>
  </w:style>
  <w:style w:type="table" w:styleId="904" w:customStyle="1">
    <w:name w:val="List Table 1 Light - Accent 1"/>
    <w:uiPriority w:val="99"/>
    <w:qFormat/>
    <w:tblPr>
      <w:tblCellMar>
        <w:left w:w="0" w:type="dxa"/>
        <w:top w:w="0" w:type="dxa"/>
        <w:right w:w="0" w:type="dxa"/>
        <w:bottom w:w="0" w:type="dxa"/>
      </w:tblCellMar>
    </w:tblPr>
  </w:style>
  <w:style w:type="table" w:styleId="905" w:customStyle="1">
    <w:name w:val="List Table 1 Light - Accent 2"/>
    <w:uiPriority w:val="99"/>
    <w:qFormat/>
    <w:tblPr>
      <w:tblCellMar>
        <w:left w:w="0" w:type="dxa"/>
        <w:top w:w="0" w:type="dxa"/>
        <w:right w:w="0" w:type="dxa"/>
        <w:bottom w:w="0" w:type="dxa"/>
      </w:tblCellMar>
    </w:tblPr>
  </w:style>
  <w:style w:type="table" w:styleId="906" w:customStyle="1">
    <w:name w:val="List Table 1 Light - Accent 3"/>
    <w:uiPriority w:val="99"/>
    <w:qFormat/>
    <w:tblPr>
      <w:tblCellMar>
        <w:left w:w="0" w:type="dxa"/>
        <w:top w:w="0" w:type="dxa"/>
        <w:right w:w="0" w:type="dxa"/>
        <w:bottom w:w="0" w:type="dxa"/>
      </w:tblCellMar>
    </w:tblPr>
  </w:style>
  <w:style w:type="table" w:styleId="907" w:customStyle="1">
    <w:name w:val="List Table 1 Light - Accent 4"/>
    <w:uiPriority w:val="99"/>
    <w:qFormat/>
    <w:tblPr>
      <w:tblCellMar>
        <w:left w:w="0" w:type="dxa"/>
        <w:top w:w="0" w:type="dxa"/>
        <w:right w:w="0" w:type="dxa"/>
        <w:bottom w:w="0" w:type="dxa"/>
      </w:tblCellMar>
    </w:tblPr>
  </w:style>
  <w:style w:type="table" w:styleId="908" w:customStyle="1">
    <w:name w:val="List Table 1 Light - Accent 5"/>
    <w:uiPriority w:val="99"/>
    <w:qFormat/>
    <w:tblPr>
      <w:tblCellMar>
        <w:left w:w="0" w:type="dxa"/>
        <w:top w:w="0" w:type="dxa"/>
        <w:right w:w="0" w:type="dxa"/>
        <w:bottom w:w="0" w:type="dxa"/>
      </w:tblCellMar>
    </w:tblPr>
  </w:style>
  <w:style w:type="table" w:styleId="909" w:customStyle="1">
    <w:name w:val="List Table 1 Light - Accent 6"/>
    <w:uiPriority w:val="99"/>
    <w:qFormat/>
    <w:tblPr>
      <w:tblCellMar>
        <w:left w:w="0" w:type="dxa"/>
        <w:top w:w="0" w:type="dxa"/>
        <w:right w:w="0" w:type="dxa"/>
        <w:bottom w:w="0" w:type="dxa"/>
      </w:tblCellMar>
    </w:tblPr>
  </w:style>
  <w:style w:type="table" w:styleId="910" w:customStyle="1">
    <w:name w:val="List Table 2"/>
    <w:uiPriority w:val="99"/>
    <w:qFormat/>
    <w:tblPr>
      <w:tblCellMar>
        <w:left w:w="0" w:type="dxa"/>
        <w:top w:w="0" w:type="dxa"/>
        <w:right w:w="0" w:type="dxa"/>
        <w:bottom w:w="0" w:type="dxa"/>
      </w:tblCellMar>
    </w:tblPr>
  </w:style>
  <w:style w:type="table" w:styleId="911" w:customStyle="1">
    <w:name w:val="List Table 2 - Accent 1"/>
    <w:uiPriority w:val="99"/>
    <w:qFormat/>
    <w:tblPr>
      <w:tblCellMar>
        <w:left w:w="0" w:type="dxa"/>
        <w:top w:w="0" w:type="dxa"/>
        <w:right w:w="0" w:type="dxa"/>
        <w:bottom w:w="0" w:type="dxa"/>
      </w:tblCellMar>
    </w:tblPr>
  </w:style>
  <w:style w:type="table" w:styleId="912" w:customStyle="1">
    <w:name w:val="List Table 2 - Accent 2"/>
    <w:uiPriority w:val="99"/>
    <w:qFormat/>
    <w:tblPr>
      <w:tblCellMar>
        <w:left w:w="0" w:type="dxa"/>
        <w:top w:w="0" w:type="dxa"/>
        <w:right w:w="0" w:type="dxa"/>
        <w:bottom w:w="0" w:type="dxa"/>
      </w:tblCellMar>
    </w:tblPr>
  </w:style>
  <w:style w:type="table" w:styleId="913" w:customStyle="1">
    <w:name w:val="List Table 2 - Accent 3"/>
    <w:uiPriority w:val="99"/>
    <w:qFormat/>
    <w:tblPr>
      <w:tblCellMar>
        <w:left w:w="0" w:type="dxa"/>
        <w:top w:w="0" w:type="dxa"/>
        <w:right w:w="0" w:type="dxa"/>
        <w:bottom w:w="0" w:type="dxa"/>
      </w:tblCellMar>
    </w:tblPr>
  </w:style>
  <w:style w:type="table" w:styleId="914" w:customStyle="1">
    <w:name w:val="List Table 2 - Accent 4"/>
    <w:uiPriority w:val="99"/>
    <w:qFormat/>
    <w:tblPr>
      <w:tblCellMar>
        <w:left w:w="0" w:type="dxa"/>
        <w:top w:w="0" w:type="dxa"/>
        <w:right w:w="0" w:type="dxa"/>
        <w:bottom w:w="0" w:type="dxa"/>
      </w:tblCellMar>
    </w:tblPr>
  </w:style>
  <w:style w:type="table" w:styleId="915" w:customStyle="1">
    <w:name w:val="List Table 2 - Accent 5"/>
    <w:uiPriority w:val="99"/>
    <w:qFormat/>
    <w:tblPr>
      <w:tblCellMar>
        <w:left w:w="0" w:type="dxa"/>
        <w:top w:w="0" w:type="dxa"/>
        <w:right w:w="0" w:type="dxa"/>
        <w:bottom w:w="0" w:type="dxa"/>
      </w:tblCellMar>
    </w:tblPr>
  </w:style>
  <w:style w:type="table" w:styleId="916" w:customStyle="1">
    <w:name w:val="List Table 2 - Accent 6"/>
    <w:uiPriority w:val="99"/>
    <w:qFormat/>
    <w:tblPr>
      <w:tblCellMar>
        <w:left w:w="0" w:type="dxa"/>
        <w:top w:w="0" w:type="dxa"/>
        <w:right w:w="0" w:type="dxa"/>
        <w:bottom w:w="0" w:type="dxa"/>
      </w:tblCellMar>
    </w:tblPr>
  </w:style>
  <w:style w:type="table" w:styleId="917" w:customStyle="1">
    <w:name w:val="List Table 3"/>
    <w:uiPriority w:val="99"/>
    <w:qFormat/>
    <w:tblPr>
      <w:tblCellMar>
        <w:left w:w="0" w:type="dxa"/>
        <w:top w:w="0" w:type="dxa"/>
        <w:right w:w="0" w:type="dxa"/>
        <w:bottom w:w="0" w:type="dxa"/>
      </w:tblCellMar>
    </w:tblPr>
  </w:style>
  <w:style w:type="table" w:styleId="918" w:customStyle="1">
    <w:name w:val="List Table 3 - Accent 1"/>
    <w:uiPriority w:val="99"/>
    <w:qFormat/>
    <w:tblPr>
      <w:tblCellMar>
        <w:left w:w="0" w:type="dxa"/>
        <w:top w:w="0" w:type="dxa"/>
        <w:right w:w="0" w:type="dxa"/>
        <w:bottom w:w="0" w:type="dxa"/>
      </w:tblCellMar>
    </w:tblPr>
  </w:style>
  <w:style w:type="table" w:styleId="919" w:customStyle="1">
    <w:name w:val="List Table 3 - Accent 2"/>
    <w:uiPriority w:val="99"/>
    <w:qFormat/>
    <w:tblPr>
      <w:tblCellMar>
        <w:left w:w="0" w:type="dxa"/>
        <w:top w:w="0" w:type="dxa"/>
        <w:right w:w="0" w:type="dxa"/>
        <w:bottom w:w="0" w:type="dxa"/>
      </w:tblCellMar>
    </w:tblPr>
  </w:style>
  <w:style w:type="table" w:styleId="920" w:customStyle="1">
    <w:name w:val="List Table 3 - Accent 3"/>
    <w:uiPriority w:val="99"/>
    <w:qFormat/>
    <w:tblPr>
      <w:tblCellMar>
        <w:left w:w="0" w:type="dxa"/>
        <w:top w:w="0" w:type="dxa"/>
        <w:right w:w="0" w:type="dxa"/>
        <w:bottom w:w="0" w:type="dxa"/>
      </w:tblCellMar>
    </w:tblPr>
  </w:style>
  <w:style w:type="table" w:styleId="921" w:customStyle="1">
    <w:name w:val="List Table 3 - Accent 4"/>
    <w:uiPriority w:val="99"/>
    <w:qFormat/>
    <w:tblPr>
      <w:tblCellMar>
        <w:left w:w="0" w:type="dxa"/>
        <w:top w:w="0" w:type="dxa"/>
        <w:right w:w="0" w:type="dxa"/>
        <w:bottom w:w="0" w:type="dxa"/>
      </w:tblCellMar>
    </w:tblPr>
  </w:style>
  <w:style w:type="table" w:styleId="922" w:customStyle="1">
    <w:name w:val="List Table 3 - Accent 5"/>
    <w:uiPriority w:val="99"/>
    <w:qFormat/>
    <w:tblPr>
      <w:tblCellMar>
        <w:left w:w="0" w:type="dxa"/>
        <w:top w:w="0" w:type="dxa"/>
        <w:right w:w="0" w:type="dxa"/>
        <w:bottom w:w="0" w:type="dxa"/>
      </w:tblCellMar>
    </w:tblPr>
  </w:style>
  <w:style w:type="table" w:styleId="923" w:customStyle="1">
    <w:name w:val="List Table 3 - Accent 6"/>
    <w:uiPriority w:val="99"/>
    <w:qFormat/>
    <w:tblPr>
      <w:tblCellMar>
        <w:left w:w="0" w:type="dxa"/>
        <w:top w:w="0" w:type="dxa"/>
        <w:right w:w="0" w:type="dxa"/>
        <w:bottom w:w="0" w:type="dxa"/>
      </w:tblCellMar>
    </w:tblPr>
  </w:style>
  <w:style w:type="table" w:styleId="924" w:customStyle="1">
    <w:name w:val="List Table 4"/>
    <w:uiPriority w:val="99"/>
    <w:qFormat/>
    <w:tblPr>
      <w:tblCellMar>
        <w:left w:w="0" w:type="dxa"/>
        <w:top w:w="0" w:type="dxa"/>
        <w:right w:w="0" w:type="dxa"/>
        <w:bottom w:w="0" w:type="dxa"/>
      </w:tblCellMar>
    </w:tblPr>
  </w:style>
  <w:style w:type="table" w:styleId="925" w:customStyle="1">
    <w:name w:val="List Table 4 - Accent 1"/>
    <w:uiPriority w:val="99"/>
    <w:qFormat/>
    <w:tblPr>
      <w:tblCellMar>
        <w:left w:w="0" w:type="dxa"/>
        <w:top w:w="0" w:type="dxa"/>
        <w:right w:w="0" w:type="dxa"/>
        <w:bottom w:w="0" w:type="dxa"/>
      </w:tblCellMar>
    </w:tblPr>
  </w:style>
  <w:style w:type="table" w:styleId="926" w:customStyle="1">
    <w:name w:val="List Table 4 - Accent 2"/>
    <w:uiPriority w:val="99"/>
    <w:qFormat/>
    <w:tblPr>
      <w:tblCellMar>
        <w:left w:w="0" w:type="dxa"/>
        <w:top w:w="0" w:type="dxa"/>
        <w:right w:w="0" w:type="dxa"/>
        <w:bottom w:w="0" w:type="dxa"/>
      </w:tblCellMar>
    </w:tblPr>
  </w:style>
  <w:style w:type="table" w:styleId="927" w:customStyle="1">
    <w:name w:val="List Table 4 - Accent 3"/>
    <w:uiPriority w:val="99"/>
    <w:qFormat/>
    <w:tblPr>
      <w:tblCellMar>
        <w:left w:w="0" w:type="dxa"/>
        <w:top w:w="0" w:type="dxa"/>
        <w:right w:w="0" w:type="dxa"/>
        <w:bottom w:w="0" w:type="dxa"/>
      </w:tblCellMar>
    </w:tblPr>
  </w:style>
  <w:style w:type="table" w:styleId="928" w:customStyle="1">
    <w:name w:val="List Table 4 - Accent 4"/>
    <w:uiPriority w:val="99"/>
    <w:qFormat/>
    <w:tblPr>
      <w:tblCellMar>
        <w:left w:w="0" w:type="dxa"/>
        <w:top w:w="0" w:type="dxa"/>
        <w:right w:w="0" w:type="dxa"/>
        <w:bottom w:w="0" w:type="dxa"/>
      </w:tblCellMar>
    </w:tblPr>
  </w:style>
  <w:style w:type="table" w:styleId="929" w:customStyle="1">
    <w:name w:val="List Table 4 - Accent 5"/>
    <w:uiPriority w:val="99"/>
    <w:qFormat/>
    <w:tblPr>
      <w:tblCellMar>
        <w:left w:w="0" w:type="dxa"/>
        <w:top w:w="0" w:type="dxa"/>
        <w:right w:w="0" w:type="dxa"/>
        <w:bottom w:w="0" w:type="dxa"/>
      </w:tblCellMar>
    </w:tblPr>
  </w:style>
  <w:style w:type="table" w:styleId="930" w:customStyle="1">
    <w:name w:val="List Table 4 - Accent 6"/>
    <w:uiPriority w:val="99"/>
    <w:qFormat/>
    <w:tblPr>
      <w:tblCellMar>
        <w:left w:w="0" w:type="dxa"/>
        <w:top w:w="0" w:type="dxa"/>
        <w:right w:w="0" w:type="dxa"/>
        <w:bottom w:w="0" w:type="dxa"/>
      </w:tblCellMar>
    </w:tblPr>
  </w:style>
  <w:style w:type="table" w:styleId="931" w:customStyle="1">
    <w:name w:val="List Table 5 Dark"/>
    <w:uiPriority w:val="99"/>
    <w:qFormat/>
    <w:tblPr>
      <w:tblCellMar>
        <w:left w:w="0" w:type="dxa"/>
        <w:top w:w="0" w:type="dxa"/>
        <w:right w:w="0" w:type="dxa"/>
        <w:bottom w:w="0" w:type="dxa"/>
      </w:tblCellMar>
    </w:tblPr>
  </w:style>
  <w:style w:type="table" w:styleId="932" w:customStyle="1">
    <w:name w:val="List Table 5 Dark - Accent 1"/>
    <w:uiPriority w:val="99"/>
    <w:qFormat/>
    <w:tblPr>
      <w:tblCellMar>
        <w:left w:w="0" w:type="dxa"/>
        <w:top w:w="0" w:type="dxa"/>
        <w:right w:w="0" w:type="dxa"/>
        <w:bottom w:w="0" w:type="dxa"/>
      </w:tblCellMar>
    </w:tblPr>
  </w:style>
  <w:style w:type="table" w:styleId="933" w:customStyle="1">
    <w:name w:val="List Table 5 Dark - Accent 2"/>
    <w:uiPriority w:val="99"/>
    <w:qFormat/>
    <w:tblPr>
      <w:tblCellMar>
        <w:left w:w="0" w:type="dxa"/>
        <w:top w:w="0" w:type="dxa"/>
        <w:right w:w="0" w:type="dxa"/>
        <w:bottom w:w="0" w:type="dxa"/>
      </w:tblCellMar>
    </w:tblPr>
  </w:style>
  <w:style w:type="table" w:styleId="934" w:customStyle="1">
    <w:name w:val="List Table 5 Dark - Accent 3"/>
    <w:uiPriority w:val="99"/>
    <w:qFormat/>
    <w:tblPr>
      <w:tblCellMar>
        <w:left w:w="0" w:type="dxa"/>
        <w:top w:w="0" w:type="dxa"/>
        <w:right w:w="0" w:type="dxa"/>
        <w:bottom w:w="0" w:type="dxa"/>
      </w:tblCellMar>
    </w:tblPr>
  </w:style>
  <w:style w:type="table" w:styleId="935" w:customStyle="1">
    <w:name w:val="List Table 5 Dark - Accent 4"/>
    <w:uiPriority w:val="99"/>
    <w:qFormat/>
    <w:tblPr>
      <w:tblCellMar>
        <w:left w:w="0" w:type="dxa"/>
        <w:top w:w="0" w:type="dxa"/>
        <w:right w:w="0" w:type="dxa"/>
        <w:bottom w:w="0" w:type="dxa"/>
      </w:tblCellMar>
    </w:tblPr>
  </w:style>
  <w:style w:type="table" w:styleId="936" w:customStyle="1">
    <w:name w:val="List Table 5 Dark - Accent 5"/>
    <w:uiPriority w:val="99"/>
    <w:qFormat/>
    <w:tblPr>
      <w:tblCellMar>
        <w:left w:w="0" w:type="dxa"/>
        <w:top w:w="0" w:type="dxa"/>
        <w:right w:w="0" w:type="dxa"/>
        <w:bottom w:w="0" w:type="dxa"/>
      </w:tblCellMar>
    </w:tblPr>
  </w:style>
  <w:style w:type="table" w:styleId="937" w:customStyle="1">
    <w:name w:val="List Table 5 Dark - Accent 6"/>
    <w:uiPriority w:val="99"/>
    <w:qFormat/>
    <w:tblPr>
      <w:tblCellMar>
        <w:left w:w="0" w:type="dxa"/>
        <w:top w:w="0" w:type="dxa"/>
        <w:right w:w="0" w:type="dxa"/>
        <w:bottom w:w="0" w:type="dxa"/>
      </w:tblCellMar>
    </w:tblPr>
  </w:style>
  <w:style w:type="table" w:styleId="938" w:customStyle="1">
    <w:name w:val="List Table 6 Colorful"/>
    <w:uiPriority w:val="99"/>
    <w:qFormat/>
    <w:tblPr>
      <w:tblCellMar>
        <w:left w:w="0" w:type="dxa"/>
        <w:top w:w="0" w:type="dxa"/>
        <w:right w:w="0" w:type="dxa"/>
        <w:bottom w:w="0" w:type="dxa"/>
      </w:tblCellMar>
    </w:tblPr>
  </w:style>
  <w:style w:type="table" w:styleId="939" w:customStyle="1">
    <w:name w:val="List Table 6 Colorful - Accent 1"/>
    <w:uiPriority w:val="99"/>
    <w:qFormat/>
    <w:tblPr>
      <w:tblCellMar>
        <w:left w:w="0" w:type="dxa"/>
        <w:top w:w="0" w:type="dxa"/>
        <w:right w:w="0" w:type="dxa"/>
        <w:bottom w:w="0" w:type="dxa"/>
      </w:tblCellMar>
    </w:tblPr>
  </w:style>
  <w:style w:type="table" w:styleId="940" w:customStyle="1">
    <w:name w:val="List Table 6 Colorful - Accent 2"/>
    <w:uiPriority w:val="99"/>
    <w:qFormat/>
    <w:tblPr>
      <w:tblCellMar>
        <w:left w:w="0" w:type="dxa"/>
        <w:top w:w="0" w:type="dxa"/>
        <w:right w:w="0" w:type="dxa"/>
        <w:bottom w:w="0" w:type="dxa"/>
      </w:tblCellMar>
    </w:tblPr>
  </w:style>
  <w:style w:type="table" w:styleId="941" w:customStyle="1">
    <w:name w:val="List Table 6 Colorful - Accent 3"/>
    <w:uiPriority w:val="99"/>
    <w:qFormat/>
    <w:tblPr>
      <w:tblCellMar>
        <w:left w:w="0" w:type="dxa"/>
        <w:top w:w="0" w:type="dxa"/>
        <w:right w:w="0" w:type="dxa"/>
        <w:bottom w:w="0" w:type="dxa"/>
      </w:tblCellMar>
    </w:tblPr>
  </w:style>
  <w:style w:type="table" w:styleId="942" w:customStyle="1">
    <w:name w:val="List Table 6 Colorful - Accent 4"/>
    <w:uiPriority w:val="99"/>
    <w:qFormat/>
    <w:tblPr>
      <w:tblCellMar>
        <w:left w:w="0" w:type="dxa"/>
        <w:top w:w="0" w:type="dxa"/>
        <w:right w:w="0" w:type="dxa"/>
        <w:bottom w:w="0" w:type="dxa"/>
      </w:tblCellMar>
    </w:tblPr>
  </w:style>
  <w:style w:type="table" w:styleId="943" w:customStyle="1">
    <w:name w:val="List Table 6 Colorful - Accent 5"/>
    <w:uiPriority w:val="99"/>
    <w:qFormat/>
    <w:tblPr>
      <w:tblCellMar>
        <w:left w:w="0" w:type="dxa"/>
        <w:top w:w="0" w:type="dxa"/>
        <w:right w:w="0" w:type="dxa"/>
        <w:bottom w:w="0" w:type="dxa"/>
      </w:tblCellMar>
    </w:tblPr>
  </w:style>
  <w:style w:type="table" w:styleId="944" w:customStyle="1">
    <w:name w:val="List Table 6 Colorful - Accent 6"/>
    <w:uiPriority w:val="99"/>
    <w:qFormat/>
    <w:tblPr>
      <w:tblCellMar>
        <w:left w:w="0" w:type="dxa"/>
        <w:top w:w="0" w:type="dxa"/>
        <w:right w:w="0" w:type="dxa"/>
        <w:bottom w:w="0" w:type="dxa"/>
      </w:tblCellMar>
    </w:tblPr>
  </w:style>
  <w:style w:type="table" w:styleId="945" w:customStyle="1">
    <w:name w:val="List Table 7 Colorful"/>
    <w:uiPriority w:val="99"/>
    <w:qFormat/>
    <w:tblPr>
      <w:tblCellMar>
        <w:left w:w="0" w:type="dxa"/>
        <w:top w:w="0" w:type="dxa"/>
        <w:right w:w="0" w:type="dxa"/>
        <w:bottom w:w="0" w:type="dxa"/>
      </w:tblCellMar>
    </w:tblPr>
  </w:style>
  <w:style w:type="table" w:styleId="946" w:customStyle="1">
    <w:name w:val="List Table 7 Colorful - Accent 1"/>
    <w:uiPriority w:val="99"/>
    <w:qFormat/>
    <w:tblPr>
      <w:tblCellMar>
        <w:left w:w="0" w:type="dxa"/>
        <w:top w:w="0" w:type="dxa"/>
        <w:right w:w="0" w:type="dxa"/>
        <w:bottom w:w="0" w:type="dxa"/>
      </w:tblCellMar>
    </w:tblPr>
  </w:style>
  <w:style w:type="table" w:styleId="947" w:customStyle="1">
    <w:name w:val="List Table 7 Colorful - Accent 2"/>
    <w:uiPriority w:val="99"/>
    <w:qFormat/>
    <w:tblPr>
      <w:tblCellMar>
        <w:left w:w="0" w:type="dxa"/>
        <w:top w:w="0" w:type="dxa"/>
        <w:right w:w="0" w:type="dxa"/>
        <w:bottom w:w="0" w:type="dxa"/>
      </w:tblCellMar>
    </w:tblPr>
  </w:style>
  <w:style w:type="table" w:styleId="948" w:customStyle="1">
    <w:name w:val="List Table 7 Colorful - Accent 3"/>
    <w:uiPriority w:val="99"/>
    <w:qFormat/>
    <w:tblPr>
      <w:tblCellMar>
        <w:left w:w="0" w:type="dxa"/>
        <w:top w:w="0" w:type="dxa"/>
        <w:right w:w="0" w:type="dxa"/>
        <w:bottom w:w="0" w:type="dxa"/>
      </w:tblCellMar>
    </w:tblPr>
  </w:style>
  <w:style w:type="table" w:styleId="949" w:customStyle="1">
    <w:name w:val="List Table 7 Colorful - Accent 4"/>
    <w:uiPriority w:val="99"/>
    <w:qFormat/>
    <w:tblPr>
      <w:tblCellMar>
        <w:left w:w="0" w:type="dxa"/>
        <w:top w:w="0" w:type="dxa"/>
        <w:right w:w="0" w:type="dxa"/>
        <w:bottom w:w="0" w:type="dxa"/>
      </w:tblCellMar>
    </w:tblPr>
  </w:style>
  <w:style w:type="table" w:styleId="950" w:customStyle="1">
    <w:name w:val="List Table 7 Colorful - Accent 5"/>
    <w:uiPriority w:val="99"/>
    <w:qFormat/>
    <w:tblPr>
      <w:tblCellMar>
        <w:left w:w="0" w:type="dxa"/>
        <w:top w:w="0" w:type="dxa"/>
        <w:right w:w="0" w:type="dxa"/>
        <w:bottom w:w="0" w:type="dxa"/>
      </w:tblCellMar>
    </w:tblPr>
  </w:style>
  <w:style w:type="table" w:styleId="951" w:customStyle="1">
    <w:name w:val="List Table 7 Colorful - Accent 6"/>
    <w:uiPriority w:val="99"/>
    <w:qFormat/>
    <w:tblPr>
      <w:tblCellMar>
        <w:left w:w="0" w:type="dxa"/>
        <w:top w:w="0" w:type="dxa"/>
        <w:right w:w="0" w:type="dxa"/>
        <w:bottom w:w="0" w:type="dxa"/>
      </w:tblCellMar>
    </w:tblPr>
  </w:style>
  <w:style w:type="table" w:styleId="952" w:customStyle="1">
    <w:name w:val="Lined - Accent"/>
    <w:uiPriority w:val="99"/>
    <w:qFormat/>
    <w:rPr>
      <w:color w:val="404040"/>
    </w:rPr>
    <w:tblPr>
      <w:tblCellMar>
        <w:left w:w="0" w:type="dxa"/>
        <w:top w:w="0" w:type="dxa"/>
        <w:right w:w="0" w:type="dxa"/>
        <w:bottom w:w="0" w:type="dxa"/>
      </w:tblCellMar>
    </w:tblPr>
  </w:style>
  <w:style w:type="table" w:styleId="953" w:customStyle="1">
    <w:name w:val="Lined - Accent 1"/>
    <w:uiPriority w:val="99"/>
    <w:qFormat/>
    <w:rPr>
      <w:color w:val="404040"/>
    </w:rPr>
    <w:tblPr>
      <w:tblCellMar>
        <w:left w:w="0" w:type="dxa"/>
        <w:top w:w="0" w:type="dxa"/>
        <w:right w:w="0" w:type="dxa"/>
        <w:bottom w:w="0" w:type="dxa"/>
      </w:tblCellMar>
    </w:tblPr>
  </w:style>
  <w:style w:type="table" w:styleId="954" w:customStyle="1">
    <w:name w:val="Lined - Accent 2"/>
    <w:uiPriority w:val="99"/>
    <w:qFormat/>
    <w:rPr>
      <w:color w:val="404040"/>
    </w:rPr>
    <w:tblPr>
      <w:tblCellMar>
        <w:left w:w="0" w:type="dxa"/>
        <w:top w:w="0" w:type="dxa"/>
        <w:right w:w="0" w:type="dxa"/>
        <w:bottom w:w="0" w:type="dxa"/>
      </w:tblCellMar>
    </w:tblPr>
  </w:style>
  <w:style w:type="table" w:styleId="955" w:customStyle="1">
    <w:name w:val="Lined - Accent 3"/>
    <w:uiPriority w:val="99"/>
    <w:qFormat/>
    <w:rPr>
      <w:color w:val="404040"/>
    </w:rPr>
    <w:tblPr>
      <w:tblCellMar>
        <w:left w:w="0" w:type="dxa"/>
        <w:top w:w="0" w:type="dxa"/>
        <w:right w:w="0" w:type="dxa"/>
        <w:bottom w:w="0" w:type="dxa"/>
      </w:tblCellMar>
    </w:tblPr>
  </w:style>
  <w:style w:type="table" w:styleId="956" w:customStyle="1">
    <w:name w:val="Lined - Accent 4"/>
    <w:uiPriority w:val="99"/>
    <w:qFormat/>
    <w:rPr>
      <w:color w:val="404040"/>
    </w:rPr>
    <w:tblPr>
      <w:tblCellMar>
        <w:left w:w="0" w:type="dxa"/>
        <w:top w:w="0" w:type="dxa"/>
        <w:right w:w="0" w:type="dxa"/>
        <w:bottom w:w="0" w:type="dxa"/>
      </w:tblCellMar>
    </w:tblPr>
  </w:style>
  <w:style w:type="table" w:styleId="957" w:customStyle="1">
    <w:name w:val="Lined - Accent 5"/>
    <w:uiPriority w:val="99"/>
    <w:qFormat/>
    <w:rPr>
      <w:color w:val="404040"/>
    </w:rPr>
    <w:tblPr>
      <w:tblCellMar>
        <w:left w:w="0" w:type="dxa"/>
        <w:top w:w="0" w:type="dxa"/>
        <w:right w:w="0" w:type="dxa"/>
        <w:bottom w:w="0" w:type="dxa"/>
      </w:tblCellMar>
    </w:tblPr>
  </w:style>
  <w:style w:type="table" w:styleId="958" w:customStyle="1">
    <w:name w:val="Lined - Accent 6"/>
    <w:uiPriority w:val="99"/>
    <w:qFormat/>
    <w:rPr>
      <w:color w:val="404040"/>
    </w:rPr>
    <w:tblPr>
      <w:tblCellMar>
        <w:left w:w="0" w:type="dxa"/>
        <w:top w:w="0" w:type="dxa"/>
        <w:right w:w="0" w:type="dxa"/>
        <w:bottom w:w="0" w:type="dxa"/>
      </w:tblCellMar>
    </w:tblPr>
  </w:style>
  <w:style w:type="table" w:styleId="959" w:customStyle="1">
    <w:name w:val="Bordered &amp; Lined - Accent"/>
    <w:uiPriority w:val="99"/>
    <w:qFormat/>
    <w:rPr>
      <w:color w:val="404040"/>
    </w:rPr>
    <w:tblPr>
      <w:tblCellMar>
        <w:left w:w="0" w:type="dxa"/>
        <w:top w:w="0" w:type="dxa"/>
        <w:right w:w="0" w:type="dxa"/>
        <w:bottom w:w="0" w:type="dxa"/>
      </w:tblCellMar>
    </w:tblPr>
  </w:style>
  <w:style w:type="table" w:styleId="960" w:customStyle="1">
    <w:name w:val="Bordered &amp; Lined - Accent 1"/>
    <w:uiPriority w:val="99"/>
    <w:qFormat/>
    <w:rPr>
      <w:color w:val="404040"/>
    </w:rPr>
    <w:tblPr>
      <w:tblCellMar>
        <w:left w:w="0" w:type="dxa"/>
        <w:top w:w="0" w:type="dxa"/>
        <w:right w:w="0" w:type="dxa"/>
        <w:bottom w:w="0" w:type="dxa"/>
      </w:tblCellMar>
    </w:tblPr>
  </w:style>
  <w:style w:type="table" w:styleId="961" w:customStyle="1">
    <w:name w:val="Bordered &amp; Lined - Accent 2"/>
    <w:uiPriority w:val="99"/>
    <w:qFormat/>
    <w:rPr>
      <w:color w:val="404040"/>
    </w:rPr>
    <w:tblPr>
      <w:tblCellMar>
        <w:left w:w="0" w:type="dxa"/>
        <w:top w:w="0" w:type="dxa"/>
        <w:right w:w="0" w:type="dxa"/>
        <w:bottom w:w="0" w:type="dxa"/>
      </w:tblCellMar>
    </w:tblPr>
  </w:style>
  <w:style w:type="table" w:styleId="962" w:customStyle="1">
    <w:name w:val="Bordered &amp; Lined - Accent 3"/>
    <w:uiPriority w:val="99"/>
    <w:qFormat/>
    <w:rPr>
      <w:color w:val="404040"/>
    </w:rPr>
    <w:tblPr>
      <w:tblCellMar>
        <w:left w:w="0" w:type="dxa"/>
        <w:top w:w="0" w:type="dxa"/>
        <w:right w:w="0" w:type="dxa"/>
        <w:bottom w:w="0" w:type="dxa"/>
      </w:tblCellMar>
    </w:tblPr>
  </w:style>
  <w:style w:type="table" w:styleId="963" w:customStyle="1">
    <w:name w:val="Bordered &amp; Lined - Accent 4"/>
    <w:uiPriority w:val="99"/>
    <w:qFormat/>
    <w:rPr>
      <w:color w:val="404040"/>
    </w:rPr>
    <w:tblPr>
      <w:tblCellMar>
        <w:left w:w="0" w:type="dxa"/>
        <w:top w:w="0" w:type="dxa"/>
        <w:right w:w="0" w:type="dxa"/>
        <w:bottom w:w="0" w:type="dxa"/>
      </w:tblCellMar>
    </w:tblPr>
  </w:style>
  <w:style w:type="table" w:styleId="964" w:customStyle="1">
    <w:name w:val="Bordered &amp; Lined - Accent 5"/>
    <w:uiPriority w:val="99"/>
    <w:qFormat/>
    <w:rPr>
      <w:color w:val="404040"/>
    </w:rPr>
    <w:tblPr>
      <w:tblCellMar>
        <w:left w:w="0" w:type="dxa"/>
        <w:top w:w="0" w:type="dxa"/>
        <w:right w:w="0" w:type="dxa"/>
        <w:bottom w:w="0" w:type="dxa"/>
      </w:tblCellMar>
    </w:tblPr>
  </w:style>
  <w:style w:type="table" w:styleId="965" w:customStyle="1">
    <w:name w:val="Bordered &amp; Lined - Accent 6"/>
    <w:uiPriority w:val="99"/>
    <w:qFormat/>
    <w:rPr>
      <w:color w:val="404040"/>
    </w:rPr>
    <w:tblPr>
      <w:tblCellMar>
        <w:left w:w="0" w:type="dxa"/>
        <w:top w:w="0" w:type="dxa"/>
        <w:right w:w="0" w:type="dxa"/>
        <w:bottom w:w="0" w:type="dxa"/>
      </w:tblCellMar>
    </w:tblPr>
  </w:style>
  <w:style w:type="table" w:styleId="966" w:customStyle="1">
    <w:name w:val="Bordered"/>
    <w:uiPriority w:val="99"/>
    <w:qFormat/>
    <w:tblPr>
      <w:tblCellMar>
        <w:left w:w="0" w:type="dxa"/>
        <w:top w:w="0" w:type="dxa"/>
        <w:right w:w="0" w:type="dxa"/>
        <w:bottom w:w="0" w:type="dxa"/>
      </w:tblCellMar>
    </w:tblPr>
  </w:style>
  <w:style w:type="table" w:styleId="967" w:customStyle="1">
    <w:name w:val="Bordered - Accent 1"/>
    <w:uiPriority w:val="99"/>
    <w:qFormat/>
    <w:tblPr>
      <w:tblCellMar>
        <w:left w:w="0" w:type="dxa"/>
        <w:top w:w="0" w:type="dxa"/>
        <w:right w:w="0" w:type="dxa"/>
        <w:bottom w:w="0" w:type="dxa"/>
      </w:tblCellMar>
    </w:tblPr>
  </w:style>
  <w:style w:type="table" w:styleId="968" w:customStyle="1">
    <w:name w:val="Bordered - Accent 2"/>
    <w:uiPriority w:val="99"/>
    <w:qFormat/>
    <w:tblPr>
      <w:tblCellMar>
        <w:left w:w="0" w:type="dxa"/>
        <w:top w:w="0" w:type="dxa"/>
        <w:right w:w="0" w:type="dxa"/>
        <w:bottom w:w="0" w:type="dxa"/>
      </w:tblCellMar>
    </w:tblPr>
  </w:style>
  <w:style w:type="table" w:styleId="969" w:customStyle="1">
    <w:name w:val="Bordered - Accent 3"/>
    <w:uiPriority w:val="99"/>
    <w:qFormat/>
    <w:tblPr>
      <w:tblCellMar>
        <w:left w:w="0" w:type="dxa"/>
        <w:top w:w="0" w:type="dxa"/>
        <w:right w:w="0" w:type="dxa"/>
        <w:bottom w:w="0" w:type="dxa"/>
      </w:tblCellMar>
    </w:tblPr>
  </w:style>
  <w:style w:type="table" w:styleId="970" w:customStyle="1">
    <w:name w:val="Bordered - Accent 4"/>
    <w:uiPriority w:val="99"/>
    <w:qFormat/>
    <w:tblPr>
      <w:tblCellMar>
        <w:left w:w="0" w:type="dxa"/>
        <w:top w:w="0" w:type="dxa"/>
        <w:right w:w="0" w:type="dxa"/>
        <w:bottom w:w="0" w:type="dxa"/>
      </w:tblCellMar>
    </w:tblPr>
  </w:style>
  <w:style w:type="table" w:styleId="971" w:customStyle="1">
    <w:name w:val="Bordered - Accent 5"/>
    <w:uiPriority w:val="99"/>
    <w:qFormat/>
    <w:tblPr>
      <w:tblCellMar>
        <w:left w:w="0" w:type="dxa"/>
        <w:top w:w="0" w:type="dxa"/>
        <w:right w:w="0" w:type="dxa"/>
        <w:bottom w:w="0" w:type="dxa"/>
      </w:tblCellMar>
    </w:tblPr>
  </w:style>
  <w:style w:type="table" w:styleId="972" w:customStyle="1">
    <w:name w:val="Bordered - Accent 6"/>
    <w:uiPriority w:val="99"/>
    <w:qFormat/>
    <w:tblPr>
      <w:tblCellMar>
        <w:left w:w="0" w:type="dxa"/>
        <w:top w:w="0" w:type="dxa"/>
        <w:right w:w="0" w:type="dxa"/>
        <w:bottom w:w="0" w:type="dxa"/>
      </w:tblCellMar>
    </w:tblPr>
  </w:style>
  <w:style w:type="paragraph" w:styleId="973" w:customStyle="1">
    <w:name w:val="TOC 标题1"/>
    <w:uiPriority w:val="39"/>
    <w:unhideWhenUsed/>
    <w:qFormat/>
    <w:rPr>
      <w:rFonts w:ascii="Calibri" w:hAnsi="Calibri" w:eastAsia="宋体" w:cs="Calibri"/>
      <w:lang w:val="en-US" w:eastAsia="zh-CN" w:bidi="ar-SA"/>
    </w:rPr>
  </w:style>
  <w:style w:type="paragraph" w:styleId="974" w:customStyle="1">
    <w:name w:val="标题 111"/>
    <w:basedOn w:val="755"/>
    <w:next w:val="755"/>
    <w:uiPriority w:val="9"/>
    <w:qFormat/>
    <w:pPr>
      <w:keepLines/>
      <w:keepNext/>
      <w:spacing w:before="340" w:after="330" w:line="578" w:lineRule="auto"/>
      <w:outlineLvl w:val="0"/>
    </w:pPr>
    <w:rPr>
      <w:b/>
      <w:bCs/>
      <w:sz w:val="44"/>
      <w:szCs w:val="44"/>
    </w:rPr>
  </w:style>
  <w:style w:type="paragraph" w:styleId="975" w:customStyle="1">
    <w:name w:val="标题 21"/>
    <w:basedOn w:val="755"/>
    <w:next w:val="976"/>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76" w:customStyle="1">
    <w:name w:val="正文缩进1"/>
    <w:basedOn w:val="755"/>
    <w:uiPriority w:val="0"/>
    <w:unhideWhenUsed/>
    <w:qFormat/>
    <w:pPr>
      <w:ind w:firstLine="420"/>
    </w:pPr>
  </w:style>
  <w:style w:type="paragraph" w:styleId="977" w:customStyle="1">
    <w:name w:val="标题 31"/>
    <w:basedOn w:val="755"/>
    <w:next w:val="755"/>
    <w:uiPriority w:val="0"/>
    <w:qFormat/>
    <w:pPr>
      <w:keepLines/>
      <w:keepNext/>
      <w:spacing w:before="260" w:after="260" w:line="416" w:lineRule="auto"/>
      <w:outlineLvl w:val="2"/>
    </w:pPr>
    <w:rPr>
      <w:b/>
      <w:bCs/>
      <w:sz w:val="32"/>
      <w:szCs w:val="32"/>
    </w:rPr>
  </w:style>
  <w:style w:type="character" w:styleId="978" w:customStyle="1">
    <w:name w:val="默认段落字体1"/>
    <w:uiPriority w:val="1"/>
    <w:unhideWhenUsed/>
    <w:qFormat/>
  </w:style>
  <w:style w:type="table" w:styleId="979" w:customStyle="1">
    <w:name w:val="普通表格1"/>
    <w:uiPriority w:val="99"/>
    <w:unhideWhenUsed/>
    <w:qFormat/>
    <w:rPr>
      <w:rFonts w:cs="Times New Roman"/>
    </w:rPr>
    <w:tblPr>
      <w:tblCellMar>
        <w:left w:w="0" w:type="dxa"/>
        <w:top w:w="0" w:type="dxa"/>
        <w:right w:w="0" w:type="dxa"/>
        <w:bottom w:w="0" w:type="dxa"/>
      </w:tblCellMar>
    </w:tblPr>
  </w:style>
  <w:style w:type="character" w:styleId="980" w:customStyle="1">
    <w:name w:val="要点1"/>
    <w:uiPriority w:val="0"/>
    <w:qFormat/>
    <w:rPr>
      <w:b/>
    </w:rPr>
  </w:style>
  <w:style w:type="character" w:styleId="981" w:customStyle="1">
    <w:name w:val="超链接1"/>
    <w:uiPriority w:val="0"/>
    <w:qFormat/>
    <w:rPr>
      <w:color w:val="0000ff"/>
      <w:u w:val="single"/>
    </w:rPr>
  </w:style>
  <w:style w:type="character" w:styleId="982" w:customStyle="1">
    <w:name w:val="正文文本 字符"/>
    <w:link w:val="983"/>
    <w:uiPriority w:val="0"/>
    <w:qFormat/>
    <w:rPr>
      <w:rFonts w:ascii="Times New Roman" w:hAnsi="Times New Roman" w:cs="Times New Roman"/>
      <w:sz w:val="21"/>
      <w:szCs w:val="22"/>
    </w:rPr>
  </w:style>
  <w:style w:type="paragraph" w:styleId="983" w:customStyle="1">
    <w:name w:val="正文文本11"/>
    <w:basedOn w:val="755"/>
    <w:next w:val="984"/>
    <w:link w:val="982"/>
    <w:uiPriority w:val="0"/>
    <w:qFormat/>
    <w:rPr>
      <w:rFonts w:ascii="楷体_GB2312" w:hAnsi="Arial" w:eastAsia="楷体_GB2312"/>
      <w:sz w:val="28"/>
      <w:szCs w:val="28"/>
    </w:rPr>
  </w:style>
  <w:style w:type="paragraph" w:styleId="984" w:customStyle="1">
    <w:name w:val="正文文本 211"/>
    <w:basedOn w:val="755"/>
    <w:uiPriority w:val="0"/>
    <w:qFormat/>
    <w:pPr>
      <w:spacing w:after="120" w:line="480" w:lineRule="auto"/>
    </w:pPr>
  </w:style>
  <w:style w:type="character" w:styleId="985" w:customStyle="1">
    <w:name w:val="批注框文本 字符"/>
    <w:link w:val="986"/>
    <w:uiPriority w:val="0"/>
    <w:qFormat/>
    <w:rPr>
      <w:sz w:val="18"/>
      <w:szCs w:val="18"/>
    </w:rPr>
  </w:style>
  <w:style w:type="paragraph" w:styleId="986" w:customStyle="1">
    <w:name w:val="批注框文本1"/>
    <w:basedOn w:val="755"/>
    <w:link w:val="985"/>
    <w:uiPriority w:val="0"/>
    <w:qFormat/>
    <w:rPr>
      <w:sz w:val="18"/>
      <w:szCs w:val="18"/>
    </w:rPr>
  </w:style>
  <w:style w:type="paragraph" w:styleId="987" w:customStyle="1">
    <w:name w:val="目录 91"/>
    <w:basedOn w:val="755"/>
    <w:next w:val="755"/>
    <w:uiPriority w:val="99"/>
    <w:qFormat/>
    <w:pPr>
      <w:ind w:left="3360"/>
    </w:pPr>
  </w:style>
  <w:style w:type="paragraph" w:styleId="988" w:customStyle="1">
    <w:name w:val="页眉1"/>
    <w:basedOn w:val="755"/>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989" w:customStyle="1">
    <w:name w:val="Table Paragraph"/>
    <w:basedOn w:val="755"/>
    <w:uiPriority w:val="1"/>
    <w:qFormat/>
    <w:rPr>
      <w:rFonts w:ascii="宋体" w:hAnsi="宋体" w:cs="宋体"/>
      <w:lang w:val="zh-CN" w:bidi="zh-CN"/>
    </w:rPr>
  </w:style>
  <w:style w:type="paragraph" w:styleId="990" w:customStyle="1">
    <w:name w:val="正文 New New New New New New New New New New New New New New"/>
    <w:next w:val="987"/>
    <w:uiPriority w:val="99"/>
    <w:qFormat/>
    <w:pPr>
      <w:ind w:firstLine="2048"/>
      <w:jc w:val="both"/>
      <w:widowControl w:val="off"/>
    </w:pPr>
    <w:rPr>
      <w:rFonts w:ascii="Calibri" w:hAnsi="Calibri" w:eastAsia="宋体" w:cs="Calibri"/>
      <w:lang w:val="en-US" w:eastAsia="zh-CN" w:bidi="ar-SA"/>
    </w:rPr>
  </w:style>
  <w:style w:type="paragraph" w:styleId="991" w:customStyle="1">
    <w:name w:val="正文文本 21"/>
    <w:basedOn w:val="755"/>
    <w:next w:val="992"/>
    <w:uiPriority w:val="99"/>
    <w:qFormat/>
    <w:pPr>
      <w:ind w:left="720" w:firstLine="5680"/>
      <w:widowControl/>
    </w:pPr>
  </w:style>
  <w:style w:type="paragraph" w:styleId="992" w:customStyle="1">
    <w:name w:val="默认段落字体 Para Char Char Char Char Char Char Char"/>
    <w:basedOn w:val="755"/>
    <w:next w:val="993"/>
    <w:uiPriority w:val="99"/>
    <w:qFormat/>
    <w:pPr>
      <w:ind w:firstLine="200"/>
    </w:pPr>
    <w:rPr>
      <w:rFonts w:cs="Arial"/>
    </w:rPr>
  </w:style>
  <w:style w:type="paragraph" w:styleId="993" w:customStyle="1">
    <w:name w:val="样式 首行缩进:  2 字符"/>
    <w:basedOn w:val="755"/>
    <w:next w:val="994"/>
    <w:uiPriority w:val="99"/>
    <w:qFormat/>
    <w:pPr>
      <w:ind w:left="480" w:firstLine="5856"/>
      <w:spacing w:line="360" w:lineRule="auto"/>
    </w:pPr>
  </w:style>
  <w:style w:type="paragraph" w:styleId="994" w:customStyle="1">
    <w:name w:val="样式 段后: 0.25 行"/>
    <w:basedOn w:val="755"/>
    <w:next w:val="990"/>
    <w:uiPriority w:val="99"/>
    <w:qFormat/>
    <w:pPr>
      <w:ind w:left="420" w:firstLine="5796"/>
      <w:spacing w:line="300" w:lineRule="auto"/>
      <w:widowControl/>
    </w:pPr>
  </w:style>
  <w:style w:type="paragraph" w:styleId="995" w:customStyle="1">
    <w:name w:val="Char"/>
    <w:basedOn w:val="755"/>
    <w:uiPriority w:val="0"/>
    <w:qFormat/>
    <w:pPr>
      <w:ind w:firstLine="200"/>
      <w:tabs>
        <w:tab w:val="left" w:pos="360" w:leader="none"/>
      </w:tabs>
    </w:pPr>
    <w:rPr>
      <w:rFonts w:ascii="Times New Roman" w:hAnsi="Times New Roman"/>
      <w:sz w:val="28"/>
      <w:szCs w:val="30"/>
    </w:rPr>
  </w:style>
  <w:style w:type="paragraph" w:styleId="996" w:customStyle="1">
    <w:name w:val="正文（缩进）"/>
    <w:basedOn w:val="755"/>
    <w:next w:val="997"/>
    <w:uiPriority w:val="0"/>
    <w:qFormat/>
    <w:pPr>
      <w:ind w:firstLine="480"/>
      <w:spacing w:before="156" w:after="156"/>
    </w:pPr>
  </w:style>
  <w:style w:type="paragraph" w:styleId="997" w:customStyle="1">
    <w:name w:val="Char Char Char Char Char Char Char Char Char"/>
    <w:basedOn w:val="755"/>
    <w:next w:val="991"/>
    <w:uiPriority w:val="99"/>
    <w:qFormat/>
    <w:pPr>
      <w:ind w:left="360" w:firstLine="5784"/>
    </w:pPr>
  </w:style>
  <w:style w:type="paragraph" w:styleId="998" w:customStyle="1">
    <w:name w:val="正文空2格  1."/>
    <w:basedOn w:val="755"/>
    <w:uiPriority w:val="0"/>
    <w:qFormat/>
    <w:pPr>
      <w:ind w:firstLine="480"/>
    </w:pPr>
    <w:rPr>
      <w:rFonts w:cs="宋体"/>
      <w:sz w:val="28"/>
      <w:szCs w:val="20"/>
    </w:rPr>
  </w:style>
  <w:style w:type="paragraph" w:styleId="999" w:customStyle="1">
    <w:name w:val="目录 11"/>
    <w:basedOn w:val="755"/>
    <w:next w:val="755"/>
    <w:uiPriority w:val="39"/>
    <w:unhideWhenUsed/>
    <w:qFormat/>
  </w:style>
  <w:style w:type="paragraph" w:styleId="1000" w:customStyle="1">
    <w:name w:val="页脚1"/>
    <w:basedOn w:val="755"/>
    <w:uiPriority w:val="99"/>
    <w:unhideWhenUsed/>
    <w:qFormat/>
    <w:pPr>
      <w:jc w:val="left"/>
      <w:tabs>
        <w:tab w:val="center" w:pos="4153" w:leader="none"/>
        <w:tab w:val="right" w:pos="8306" w:leader="none"/>
      </w:tabs>
    </w:pPr>
    <w:rPr>
      <w:sz w:val="18"/>
      <w:szCs w:val="18"/>
    </w:rPr>
  </w:style>
  <w:style w:type="paragraph" w:styleId="1001" w:customStyle="1">
    <w:name w:val="纯文本11"/>
    <w:basedOn w:val="755"/>
    <w:uiPriority w:val="99"/>
    <w:qFormat/>
    <w:rPr>
      <w:rFonts w:ascii="宋体" w:hAnsi="Courier New"/>
      <w:sz w:val="20"/>
      <w:szCs w:val="21"/>
    </w:rPr>
  </w:style>
  <w:style w:type="paragraph" w:styleId="1002" w:customStyle="1">
    <w:name w:val="普通(网站)1"/>
    <w:basedOn w:val="755"/>
    <w:uiPriority w:val="0"/>
    <w:qFormat/>
    <w:rPr>
      <w:rFonts w:ascii="Times New Roman" w:hAnsi="Times New Roman"/>
      <w:sz w:val="24"/>
    </w:rPr>
  </w:style>
  <w:style w:type="paragraph" w:styleId="1003" w:customStyle="1">
    <w:name w:val="正文文本缩进1"/>
    <w:basedOn w:val="755"/>
    <w:next w:val="755"/>
    <w:uiPriority w:val="99"/>
    <w:unhideWhenUsed/>
    <w:qFormat/>
    <w:pPr>
      <w:ind w:firstLine="540"/>
      <w:spacing w:line="400" w:lineRule="exact"/>
    </w:pPr>
    <w:rPr>
      <w:sz w:val="24"/>
    </w:rPr>
  </w:style>
  <w:style w:type="paragraph" w:styleId="1004" w:customStyle="1">
    <w:name w:val="批注文字1"/>
    <w:basedOn w:val="755"/>
    <w:uiPriority w:val="0"/>
    <w:qFormat/>
    <w:pPr>
      <w:jc w:val="left"/>
    </w:pPr>
  </w:style>
  <w:style w:type="paragraph" w:styleId="1005" w:customStyle="1">
    <w:name w:val="寄信人地址1"/>
    <w:basedOn w:val="755"/>
    <w:uiPriority w:val="99"/>
    <w:unhideWhenUsed/>
    <w:qFormat/>
    <w:rPr>
      <w:rFonts w:ascii="Arial" w:hAnsi="Arial"/>
    </w:rPr>
  </w:style>
  <w:style w:type="paragraph" w:styleId="1006" w:customStyle="1">
    <w:name w:val="信息标题1"/>
    <w:basedOn w:val="755"/>
    <w:uiPriority w:val="0"/>
    <w:qFormat/>
    <w:pPr>
      <w:ind w:left="50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paragraph" w:styleId="1007" w:customStyle="1">
    <w:name w:val="正文首行缩进 21"/>
    <w:basedOn w:val="1003"/>
    <w:next w:val="755"/>
    <w:uiPriority w:val="0"/>
    <w:qFormat/>
    <w:pPr>
      <w:ind w:firstLine="420"/>
      <w:spacing w:before="100" w:beforeAutospacing="1"/>
    </w:pPr>
    <w:rPr>
      <w:rFonts w:ascii="Times New Roman" w:hAnsi="Times New Roman"/>
      <w:sz w:val="20"/>
      <w:szCs w:val="21"/>
    </w:rPr>
  </w:style>
  <w:style w:type="paragraph" w:styleId="1008" w:customStyle="1">
    <w:name w:val="一级条标题"/>
    <w:basedOn w:val="1009"/>
    <w:next w:val="1010"/>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09" w:customStyle="1">
    <w:name w:val="章标题"/>
    <w:next w:val="755"/>
    <w:uiPriority w:val="0"/>
    <w:qFormat/>
    <w:pPr>
      <w:ind w:left="810" w:hanging="810"/>
      <w:jc w:val="both"/>
      <w:spacing w:before="50" w:after="50"/>
      <w:tabs>
        <w:tab w:val="left" w:pos="810" w:leader="none"/>
        <w:tab w:val="left" w:pos="1265" w:leader="none"/>
      </w:tabs>
      <w:outlineLvl w:val="1"/>
    </w:pPr>
    <w:rPr>
      <w:rFonts w:ascii="黑体" w:hAnsi="Calibri" w:eastAsia="黑体" w:cs="Calibri"/>
      <w:sz w:val="21"/>
      <w:szCs w:val="22"/>
      <w:lang w:val="en-US" w:eastAsia="zh-CN" w:bidi="ar-SA"/>
    </w:rPr>
  </w:style>
  <w:style w:type="paragraph" w:styleId="1010" w:customStyle="1">
    <w:name w:val="段"/>
    <w:basedOn w:val="1011"/>
    <w:next w:val="755"/>
    <w:uiPriority w:val="0"/>
    <w:qFormat/>
    <w:pPr>
      <w:ind w:firstLine="200"/>
      <w:widowControl/>
    </w:pPr>
    <w:rPr>
      <w:sz w:val="20"/>
    </w:rPr>
  </w:style>
  <w:style w:type="paragraph" w:styleId="1011" w:customStyle="1">
    <w:name w:val="正文1"/>
    <w:basedOn w:val="755"/>
    <w:next w:val="1012"/>
    <w:uiPriority w:val="0"/>
    <w:qFormat/>
    <w:pPr>
      <w:jc w:val="left"/>
      <w:spacing w:line="360" w:lineRule="atLeast"/>
    </w:pPr>
    <w:rPr>
      <w:rFonts w:ascii="宋体" w:cs="Times New Roman"/>
      <w:sz w:val="24"/>
      <w:szCs w:val="20"/>
    </w:rPr>
  </w:style>
  <w:style w:type="paragraph" w:styleId="1012" w:customStyle="1">
    <w:name w:val="正文文本1"/>
    <w:basedOn w:val="1011"/>
    <w:next w:val="1008"/>
    <w:uiPriority w:val="0"/>
    <w:qFormat/>
    <w:pPr>
      <w:spacing w:after="120"/>
    </w:pPr>
    <w:rPr>
      <w:lang w:eastAsia="en-US"/>
    </w:rPr>
  </w:style>
  <w:style w:type="paragraph" w:styleId="1013" w:customStyle="1">
    <w:name w:val="Default"/>
    <w:uiPriority w:val="0"/>
    <w:qFormat/>
    <w:pPr>
      <w:widowControl w:val="off"/>
    </w:pPr>
    <w:rPr>
      <w:rFonts w:ascii="黑体" w:hAnsi="Calibri" w:eastAsia="黑体" w:cs="Calibri"/>
      <w:lang w:val="en-US" w:eastAsia="zh-CN" w:bidi="ar-SA"/>
    </w:rPr>
  </w:style>
  <w:style w:type="paragraph" w:styleId="1014" w:customStyle="1">
    <w:name w:val="列表段落"/>
    <w:basedOn w:val="755"/>
    <w:uiPriority w:val="99"/>
    <w:qFormat/>
    <w:pPr>
      <w:ind w:firstLine="420"/>
    </w:pPr>
    <w:rPr>
      <w:rFonts w:ascii="Times New Roman" w:hAnsi="Times New Roman" w:cs="Times New Roman"/>
      <w:szCs w:val="21"/>
    </w:rPr>
  </w:style>
  <w:style w:type="paragraph" w:styleId="1015" w:customStyle="1">
    <w:name w:val="普通正文"/>
    <w:basedOn w:val="755"/>
    <w:uiPriority w:val="0"/>
    <w:qFormat/>
    <w:pPr>
      <w:ind w:firstLine="480"/>
      <w:jc w:val="left"/>
      <w:spacing w:before="120" w:after="120" w:line="360" w:lineRule="auto"/>
    </w:pPr>
    <w:rPr>
      <w:rFonts w:ascii="Arial" w:hAnsi="Arial"/>
      <w:sz w:val="24"/>
      <w:szCs w:val="24"/>
    </w:rPr>
  </w:style>
  <w:style w:type="paragraph" w:styleId="1016" w:customStyle="1">
    <w:name w:val="标题 11"/>
    <w:basedOn w:val="755"/>
    <w:next w:val="755"/>
    <w:uiPriority w:val="9"/>
    <w:qFormat/>
    <w:pPr>
      <w:keepLines/>
      <w:keepNext/>
      <w:spacing w:before="340" w:after="330" w:line="578" w:lineRule="auto"/>
      <w:outlineLvl w:val="0"/>
    </w:pPr>
    <w:rPr>
      <w:b/>
      <w:bCs/>
      <w:sz w:val="44"/>
      <w:szCs w:val="44"/>
    </w:rPr>
  </w:style>
  <w:style w:type="paragraph" w:styleId="1017" w:customStyle="1">
    <w:name w:val="纯文本1"/>
    <w:basedOn w:val="755"/>
    <w:uiPriority w:val="99"/>
    <w:qFormat/>
    <w:rPr>
      <w:rFonts w:ascii="宋体" w:hAnsi="Courier New"/>
      <w:sz w:val="20"/>
      <w:szCs w:val="21"/>
    </w:rPr>
  </w:style>
  <w:style w:type="table" w:styleId="1018" w:customStyle="1">
    <w:name w:val="网格型1"/>
    <w:basedOn w:val="979"/>
    <w:uiPriority w:val="59"/>
    <w:qFormat/>
    <w:tblPr>
      <w:tblCellMar>
        <w:left w:w="0" w:type="dxa"/>
        <w:top w:w="0" w:type="dxa"/>
        <w:right w:w="0" w:type="dxa"/>
        <w:bottom w:w="0" w:type="dxa"/>
      </w:tblCellMar>
    </w:tblPr>
  </w:style>
  <w:style w:type="paragraph" w:styleId="1019" w:customStyle="1">
    <w:name w:val="Body Text First Indent 21"/>
    <w:basedOn w:val="1020"/>
    <w:uiPriority w:val="0"/>
    <w:qFormat/>
    <w:pPr>
      <w:ind w:firstLine="420"/>
    </w:pPr>
  </w:style>
  <w:style w:type="paragraph" w:styleId="1020" w:customStyle="1">
    <w:name w:val="Body Text Indent1"/>
    <w:basedOn w:val="755"/>
    <w:uiPriority w:val="0"/>
    <w:qFormat/>
    <w:pPr>
      <w:ind w:left="420"/>
    </w:pPr>
  </w:style>
  <w:style w:type="paragraph" w:styleId="1021" w:customStyle="1">
    <w:name w:val="ListBullet21"/>
    <w:basedOn w:val="755"/>
    <w:uiPriority w:val="0"/>
    <w:qFormat/>
    <w:pPr>
      <w:numPr>
        <w:ilvl w:val="0"/>
        <w:numId w:val="1"/>
      </w:numPr>
      <w:tabs>
        <w:tab w:val="decimal" w:pos="780" w:leader="none"/>
      </w:tabs>
    </w:pPr>
  </w:style>
  <w:style w:type="character" w:styleId="1022" w:customStyle="1">
    <w:name w:val="font131"/>
    <w:basedOn w:val="800"/>
    <w:uiPriority w:val="0"/>
    <w:qFormat/>
    <w:rPr>
      <w:rFonts w:hint="eastAsia" w:ascii="宋体" w:hAnsi="宋体" w:eastAsia="宋体" w:cs="宋体"/>
      <w:color w:val="000000"/>
      <w:sz w:val="18"/>
      <w:szCs w:val="18"/>
      <w:u w:val="none"/>
    </w:rPr>
  </w:style>
  <w:style w:type="character" w:styleId="1023" w:customStyle="1">
    <w:name w:val="font141"/>
    <w:basedOn w:val="800"/>
    <w:uiPriority w:val="0"/>
    <w:qFormat/>
    <w:rPr>
      <w:rFonts w:hint="eastAsia" w:ascii="宋体" w:hAnsi="宋体" w:eastAsia="宋体" w:cs="宋体"/>
      <w:color w:val="000000"/>
      <w:sz w:val="18"/>
      <w:szCs w:val="18"/>
      <w:u w:val="none"/>
    </w:rPr>
  </w:style>
  <w:style w:type="paragraph" w:styleId="1024" w:customStyle="1">
    <w:name w:val="正文缩进11"/>
    <w:basedOn w:val="755"/>
    <w:uiPriority w:val="0"/>
    <w:unhideWhenUsed/>
    <w:qFormat/>
    <w:pPr>
      <w:ind w:firstLine="420"/>
    </w:pPr>
  </w:style>
  <w:style w:type="paragraph" w:styleId="1025" w:customStyle="1">
    <w:name w:val="正文文本111"/>
    <w:basedOn w:val="755"/>
    <w:uiPriority w:val="0"/>
    <w:qFormat/>
    <w:rPr>
      <w:rFonts w:ascii="楷体_GB2312" w:hAnsi="Arial" w:eastAsia="楷体_GB2312"/>
      <w:sz w:val="28"/>
      <w:szCs w:val="28"/>
    </w:rPr>
  </w:style>
  <w:style w:type="character" w:styleId="1026" w:customStyle="1">
    <w:name w:val="批注框文本 Char"/>
    <w:basedOn w:val="765"/>
    <w:link w:val="775"/>
    <w:uiPriority w:val="99"/>
    <w:semiHidden/>
    <w:qFormat/>
    <w:rPr>
      <w:sz w:val="18"/>
      <w:szCs w:val="18"/>
    </w:rPr>
  </w:style>
  <w:style w:type="numbering" w:styleId="102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image" Target="media/image1.jpg"/><Relationship Id="rId17" Type="http://schemas.openxmlformats.org/officeDocument/2006/relationships/image" Target="media/image2.png"/><Relationship Id="rId18" Type="http://schemas.openxmlformats.org/officeDocument/2006/relationships/image" Target="media/image3.png"/><Relationship Id="rId19" Type="http://schemas.openxmlformats.org/officeDocument/2006/relationships/image" Target="media/image4.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19</dc:creator>
  <cp:lastModifiedBy>唐磊</cp:lastModifiedBy>
  <cp:revision>5</cp:revision>
  <dcterms:created xsi:type="dcterms:W3CDTF">2026-01-13T01:38:00Z</dcterms:created>
  <dcterms:modified xsi:type="dcterms:W3CDTF">2026-01-30T08:23:25Z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eyJoZGlkIjoiZjgyMDE5YTM0MmM5NTViY2U1ZjNlMTQ3ZjY4ZTY4NjUifQ==</vt:lpwstr>
  </property>
  <property fmtid="{D5CDD505-2E9C-101B-9397-08002B2CF9AE}" pid="3" name="KSOProductBuildVer">
    <vt:lpwstr>2052-12.1.0.24034</vt:lpwstr>
  </property>
  <property fmtid="{D5CDD505-2E9C-101B-9397-08002B2CF9AE}" pid="4" name="ICV">
    <vt:lpwstr>A47B5AEDD6344C4993CAF7DD0FCA3BAF_13</vt:lpwstr>
  </property>
</Properties>
</file>