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hd w:val="clear" w:color="auto"/>
        <w:rPr>
          <w:rFonts w:hint="eastAsia" w:ascii="宋体" w:hAnsi="宋体" w:cs="宋体"/>
          <w:color w:val="auto"/>
          <w:sz w:val="36"/>
          <w:highlight w:val="none"/>
        </w:rPr>
      </w:pPr>
      <w:r>
        <w:rPr>
          <w:rFonts w:hint="eastAsia" w:ascii="宋体" w:hAnsi="宋体" w:cs="宋体"/>
          <w:color w:val="auto"/>
          <w:sz w:val="36"/>
          <w:highlight w:val="none"/>
        </w:rPr>
      </w:r>
      <w:r/>
    </w:p>
    <w:p>
      <w:pPr>
        <w:jc w:val="right"/>
        <w:shd w:val="clear" w:color="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JSZC-321000-SWGC-G2026-0021号</w:t>
      </w:r>
      <w:r/>
    </w:p>
    <w:p>
      <w:pPr>
        <w:jc w:val="center"/>
        <w:shd w:val="clear" w:color="auto"/>
        <w:rPr>
          <w:rFonts w:hint="eastAsia" w:ascii="宋体" w:hAnsi="宋体" w:cs="宋体"/>
          <w:color w:val="auto"/>
          <w:sz w:val="36"/>
          <w:highlight w:val="none"/>
        </w:rPr>
      </w:pPr>
      <w:r>
        <w:rPr>
          <w:rFonts w:hint="eastAsia" w:ascii="宋体" w:hAnsi="宋体" w:cs="宋体"/>
          <w:color w:val="auto"/>
          <w:sz w:val="36"/>
          <w:highlight w:val="none"/>
        </w:rPr>
      </w:r>
      <w:r/>
    </w:p>
    <w:p>
      <w:pPr>
        <w:jc w:val="center"/>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hd w:val="clear" w:color="auto"/>
        <w:rPr>
          <w:rFonts w:hint="eastAsia" w:ascii="宋体" w:hAnsi="宋体" w:cs="宋体"/>
          <w:b/>
          <w:bCs/>
          <w:color w:val="auto"/>
          <w:spacing w:val="-17"/>
          <w:sz w:val="36"/>
          <w:highlight w:val="none"/>
          <w:lang w:eastAsia="zh-CN"/>
        </w:rPr>
      </w:pPr>
      <w:r>
        <w:rPr>
          <w:rFonts w:hint="eastAsia" w:ascii="宋体" w:hAnsi="宋体" w:cs="宋体"/>
          <w:b/>
          <w:bCs/>
          <w:color w:val="auto"/>
          <w:spacing w:val="-17"/>
          <w:sz w:val="36"/>
          <w:highlight w:val="none"/>
          <w:lang w:eastAsia="zh-CN"/>
        </w:rPr>
        <w:t xml:space="preserve">苏北人民医院</w:t>
      </w:r>
      <w:r/>
    </w:p>
    <w:p>
      <w:pPr>
        <w:jc w:val="center"/>
        <w:shd w:val="clear" w:color="auto"/>
        <w:rPr>
          <w:rFonts w:hint="eastAsia" w:ascii="宋体" w:hAnsi="宋体" w:eastAsia="宋体" w:cs="宋体"/>
          <w:b/>
          <w:bCs/>
          <w:color w:val="auto"/>
          <w:spacing w:val="-17"/>
          <w:sz w:val="36"/>
          <w:highlight w:val="none"/>
          <w:lang w:eastAsia="zh-CN"/>
        </w:rPr>
      </w:pPr>
      <w:r>
        <w:rPr>
          <w:rFonts w:hint="eastAsia" w:ascii="宋体" w:hAnsi="宋体" w:cs="宋体"/>
          <w:b/>
          <w:bCs/>
          <w:color w:val="auto"/>
          <w:spacing w:val="-17"/>
          <w:sz w:val="36"/>
          <w:highlight w:val="none"/>
          <w:lang w:eastAsia="zh-CN"/>
        </w:rPr>
        <w:t xml:space="preserve">骨质疏松专病数据库科研平台建设项目</w:t>
      </w:r>
      <w:r/>
    </w:p>
    <w:p>
      <w:pPr>
        <w:jc w:val="center"/>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1041"/>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hd w:val="clear" w:color="auto"/>
        <w:rPr>
          <w:rFonts w:hint="eastAsia" w:ascii="宋体" w:hAnsi="宋体" w:cs="宋体"/>
          <w:color w:val="auto"/>
          <w:sz w:val="36"/>
          <w:highlight w:val="none"/>
        </w:rPr>
      </w:pPr>
      <w:r>
        <w:rPr>
          <w:rFonts w:hint="eastAsia" w:ascii="宋体" w:hAnsi="宋体" w:cs="宋体"/>
          <w:color w:val="auto"/>
          <w:sz w:val="36"/>
          <w:highlight w:val="none"/>
        </w:rPr>
      </w:r>
      <w:r/>
    </w:p>
    <w:p>
      <w:pPr>
        <w:jc w:val="center"/>
        <w:shd w:val="clear" w:color="auto"/>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
                <v:path textboxrect="0,0,0,0"/>
                <v:imagedata r:id="rId14" o:title=""/>
              </v:shape>
            </w:pict>
          </mc:Fallback>
        </mc:AlternateContent>
      </w:r>
      <w:r/>
    </w:p>
    <w:p>
      <w:pPr>
        <w:jc w:val="center"/>
        <w:shd w:val="clear" w:color="auto"/>
        <w:rPr>
          <w:rFonts w:hint="eastAsia" w:ascii="宋体" w:hAnsi="宋体" w:cs="宋体"/>
          <w:color w:val="auto"/>
          <w:sz w:val="36"/>
          <w:highlight w:val="none"/>
        </w:rPr>
      </w:pPr>
      <w:r>
        <w:rPr>
          <w:rFonts w:hint="eastAsia" w:ascii="宋体" w:hAnsi="宋体" w:cs="宋体"/>
          <w:color w:val="auto"/>
          <w:sz w:val="36"/>
          <w:highlight w:val="none"/>
        </w:rPr>
      </w:r>
      <w:r/>
    </w:p>
    <w:p>
      <w:pPr>
        <w:jc w:val="center"/>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2</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28</w:t>
      </w:r>
      <w:r>
        <w:rPr>
          <w:rFonts w:hint="eastAsia" w:ascii="宋体" w:hAnsi="宋体" w:cs="宋体"/>
          <w:b/>
          <w:bCs/>
          <w:color w:val="auto"/>
          <w:sz w:val="36"/>
          <w:highlight w:val="none"/>
        </w:rPr>
        <w:t xml:space="preserve">日</w:t>
      </w:r>
      <w:r/>
    </w:p>
    <w:p>
      <w:pPr>
        <w:jc w:val="center"/>
        <w:shd w:val="clear" w:color="auto"/>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1052"/>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shd w:val="clear" w:color="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870"/>
        <w:shd w:val="clear" w:color="auto"/>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采购公告</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2</w:t>
      </w:r>
      <w:r>
        <w:rPr>
          <w:color w:val="auto"/>
          <w:highlight w:val="none"/>
        </w:rPr>
        <w:fldChar w:fldCharType="end"/>
      </w:r>
      <w:r/>
    </w:p>
    <w:p>
      <w:pPr>
        <w:pStyle w:val="870"/>
        <w:shd w:val="clear" w:color="auto"/>
        <w:tabs>
          <w:tab w:val="right" w:pos="8306" w:leader="dot"/>
        </w:tabs>
        <w:rPr>
          <w:rFonts w:hint="eastAsia" w:eastAsia="宋体"/>
          <w:color w:val="auto"/>
          <w:highlight w:val="none"/>
          <w:lang w:eastAsia="zh-CN"/>
        </w:rPr>
      </w:pPr>
      <w:r>
        <w:rPr>
          <w:rFonts w:hint="eastAsia"/>
          <w:color w:val="auto"/>
          <w:highlight w:val="none"/>
        </w:rPr>
        <w:t xml:space="preserve">第二章 投标人须知</w:t>
      </w:r>
      <w:r>
        <w:rPr>
          <w:color w:val="auto"/>
          <w:highlight w:val="none"/>
        </w:rPr>
        <w:tab/>
      </w:r>
      <w:r>
        <w:rPr>
          <w:rFonts w:hint="eastAsia"/>
          <w:color w:val="auto"/>
          <w:highlight w:val="none"/>
          <w:lang w:val="en-US" w:eastAsia="zh-CN"/>
        </w:rPr>
        <w:t xml:space="preserve">6</w:t>
      </w:r>
      <w:r/>
    </w:p>
    <w:p>
      <w:pPr>
        <w:pStyle w:val="870"/>
        <w:shd w:val="clear" w:color="auto"/>
        <w:tabs>
          <w:tab w:val="right" w:pos="8306" w:leader="dot"/>
        </w:tabs>
        <w:rPr>
          <w:rFonts w:hint="default" w:eastAsia="宋体"/>
          <w:color w:val="auto"/>
          <w:highlight w:val="none"/>
          <w:lang w:val="en-US" w:eastAsia="zh-CN"/>
        </w:rPr>
      </w:pPr>
      <w:r>
        <w:rPr>
          <w:rFonts w:hint="eastAsia"/>
          <w:color w:val="auto"/>
          <w:highlight w:val="none"/>
        </w:rPr>
        <w:t xml:space="preserve">第三章 合同条款及格式</w:t>
      </w:r>
      <w:r>
        <w:rPr>
          <w:color w:val="auto"/>
          <w:highlight w:val="none"/>
        </w:rPr>
        <w:tab/>
      </w:r>
      <w:r>
        <w:rPr>
          <w:rFonts w:hint="eastAsia"/>
          <w:color w:val="auto"/>
          <w:highlight w:val="none"/>
          <w:lang w:val="en-US" w:eastAsia="zh-CN"/>
        </w:rPr>
        <w:t xml:space="preserve">18</w:t>
      </w:r>
      <w:r/>
    </w:p>
    <w:p>
      <w:pPr>
        <w:pStyle w:val="870"/>
        <w:shd w:val="clear" w:color="auto"/>
        <w:tabs>
          <w:tab w:val="right" w:pos="8306" w:leader="dot"/>
        </w:tabs>
        <w:rPr>
          <w:rFonts w:hint="default" w:eastAsia="宋体"/>
          <w:color w:val="auto"/>
          <w:highlight w:val="none"/>
          <w:lang w:val="en-US" w:eastAsia="zh-CN"/>
        </w:rPr>
      </w:pPr>
      <w:r>
        <w:rPr>
          <w:rFonts w:hint="eastAsia"/>
          <w:color w:val="auto"/>
          <w:highlight w:val="none"/>
        </w:rPr>
        <w:t xml:space="preserve">第四章 项目需求</w:t>
      </w:r>
      <w:r>
        <w:rPr>
          <w:color w:val="auto"/>
          <w:highlight w:val="none"/>
        </w:rPr>
        <w:tab/>
      </w:r>
      <w:r>
        <w:rPr>
          <w:rFonts w:hint="eastAsia"/>
          <w:color w:val="auto"/>
          <w:highlight w:val="none"/>
          <w:lang w:val="en-US" w:eastAsia="zh-CN"/>
        </w:rPr>
        <w:t xml:space="preserve">25</w:t>
      </w:r>
      <w:r/>
    </w:p>
    <w:p>
      <w:pPr>
        <w:pStyle w:val="870"/>
        <w:shd w:val="clear" w:color="auto"/>
        <w:tabs>
          <w:tab w:val="right" w:pos="8306" w:leader="dot"/>
        </w:tabs>
        <w:rPr>
          <w:rFonts w:hint="default" w:eastAsia="宋体"/>
          <w:color w:val="auto"/>
          <w:highlight w:val="none"/>
          <w:lang w:val="en-US" w:eastAsia="zh-CN"/>
        </w:rPr>
      </w:pPr>
      <w:r>
        <w:rPr>
          <w:rFonts w:hint="eastAsia"/>
          <w:color w:val="auto"/>
          <w:highlight w:val="none"/>
        </w:rPr>
        <w:t xml:space="preserve">第五章 评标方法及评标标准</w:t>
      </w:r>
      <w:r>
        <w:rPr>
          <w:color w:val="auto"/>
          <w:highlight w:val="none"/>
        </w:rPr>
        <w:tab/>
      </w:r>
      <w:r>
        <w:rPr>
          <w:rFonts w:hint="eastAsia"/>
          <w:color w:val="auto"/>
          <w:highlight w:val="none"/>
          <w:lang w:val="en-US" w:eastAsia="zh-CN"/>
        </w:rPr>
        <w:t xml:space="preserve">36</w:t>
      </w:r>
      <w:r/>
    </w:p>
    <w:p>
      <w:pPr>
        <w:pStyle w:val="870"/>
        <w:shd w:val="clear" w:color="auto"/>
        <w:tabs>
          <w:tab w:val="right" w:pos="8306" w:leader="dot"/>
        </w:tabs>
        <w:rPr>
          <w:rFonts w:hint="default" w:eastAsia="宋体"/>
          <w:color w:val="auto"/>
          <w:highlight w:val="none"/>
          <w:lang w:val="en-US" w:eastAsia="zh-CN"/>
        </w:rPr>
      </w:pPr>
      <w:r>
        <w:rPr>
          <w:rFonts w:hint="eastAsia"/>
          <w:color w:val="auto"/>
          <w:highlight w:val="none"/>
        </w:rPr>
        <w:t xml:space="preserve">第六章 投标文件格式</w:t>
      </w:r>
      <w:r>
        <w:rPr>
          <w:color w:val="auto"/>
          <w:highlight w:val="none"/>
        </w:rPr>
        <w:tab/>
      </w:r>
      <w:r>
        <w:rPr>
          <w:rFonts w:hint="eastAsia"/>
          <w:color w:val="auto"/>
          <w:highlight w:val="none"/>
          <w:lang w:val="en-US" w:eastAsia="zh-CN"/>
        </w:rPr>
        <w:t xml:space="preserve">42</w:t>
      </w:r>
      <w:r/>
    </w:p>
    <w:p>
      <w:pPr>
        <w:pStyle w:val="876"/>
        <w:shd w:val="clear" w:color="auto"/>
        <w:tabs>
          <w:tab w:val="right" w:pos="8306" w:leader="dot"/>
        </w:tabs>
        <w:rPr>
          <w:color w:val="auto"/>
          <w:highlight w:val="none"/>
        </w:rPr>
      </w:pPr>
      <w:r>
        <w:rPr>
          <w:color w:val="auto"/>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shd w:val="clear" w:color="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847"/>
        <w:shd w:val="clear" w:color="auto"/>
        <w:rPr>
          <w:color w:val="auto"/>
          <w:highlight w:val="none"/>
        </w:rPr>
      </w:pPr>
      <w:r/>
      <w:bookmarkStart w:id="0" w:name="_Toc30208"/>
      <w:r/>
      <w:bookmarkStart w:id="1" w:name="_Toc55204177"/>
      <w:r>
        <w:rPr>
          <w:rFonts w:hint="eastAsia"/>
          <w:color w:val="auto"/>
          <w:highlight w:val="none"/>
        </w:rPr>
        <w:t xml:space="preserve">第一章 </w:t>
      </w:r>
      <w:bookmarkEnd w:id="0"/>
      <w:r/>
      <w:bookmarkStart w:id="2" w:name="_Toc27417"/>
      <w:r>
        <w:rPr>
          <w:rFonts w:hint="eastAsia"/>
          <w:color w:val="auto"/>
          <w:highlight w:val="none"/>
        </w:rPr>
        <w:t xml:space="preserve">采购公告</w:t>
      </w:r>
      <w:bookmarkEnd w:id="1"/>
      <w:r/>
      <w:bookmarkEnd w:id="2"/>
      <w:r/>
      <w:r/>
    </w:p>
    <w:p>
      <w:pPr>
        <w:ind w:firstLine="420"/>
        <w:jc w:val="left"/>
        <w:keepLines w:val="0"/>
        <w:keepNext w:val="0"/>
        <w:pageBreakBefore w:val="0"/>
        <w:spacing w:line="360" w:lineRule="auto"/>
        <w:shd w:val="clear" w:color="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苏北人民医院</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苏北人民医院骨质疏松专病数据库科研平台建设项目</w:t>
      </w:r>
      <w:r>
        <w:rPr>
          <w:rFonts w:hint="eastAsia" w:ascii="宋体" w:hAnsi="宋体" w:cs="宋体"/>
          <w:color w:val="auto"/>
          <w:highlight w:val="none"/>
        </w:rPr>
        <w:t xml:space="preserve">(</w:t>
      </w:r>
      <w:r>
        <w:rPr>
          <w:rFonts w:hint="eastAsia" w:ascii="宋体" w:hAnsi="宋体" w:cs="宋体"/>
          <w:color w:val="auto"/>
          <w:szCs w:val="21"/>
          <w:highlight w:val="none"/>
          <w:lang w:eastAsia="zh-CN"/>
        </w:rPr>
        <w:t xml:space="preserve">JSZC-321000-SWGC-G2026-0021号</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360" w:lineRule="auto"/>
        <w:shd w:val="clear" w:color="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keepLines w:val="0"/>
        <w:keepNext w:val="0"/>
        <w:pageBreakBefore w:val="0"/>
        <w:spacing w:line="360" w:lineRule="auto"/>
        <w:shd w:val="clear" w:color="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苏北人民医院骨质疏松专病数据库科研平台建设项目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“扬州市政府采购网”、“江苏政府采购网”和“中国政府采购网”自行免费下载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eastAsia="zh-CN"/>
        </w:rPr>
        <w:t xml:space="preserve">2026年</w:t>
      </w:r>
      <w:r>
        <w:rPr>
          <w:rFonts w:hint="eastAsia" w:ascii="宋体" w:hAnsi="宋体" w:cs="宋体"/>
          <w:bCs/>
          <w:color w:val="auto"/>
          <w:highlight w:val="none"/>
          <w:u w:val="single"/>
          <w:lang w:val="en-US" w:eastAsia="zh-CN"/>
        </w:rPr>
        <w:t xml:space="preserve">3</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23</w:t>
      </w:r>
      <w:r>
        <w:rPr>
          <w:rFonts w:hint="eastAsia" w:ascii="宋体" w:hAnsi="宋体" w:cs="宋体"/>
          <w:bCs/>
          <w:color w:val="auto"/>
          <w:highlight w:val="none"/>
          <w:u w:val="single"/>
          <w:lang w:eastAsia="zh-CN"/>
        </w:rPr>
        <w:t xml:space="preserve">日</w:t>
      </w:r>
      <w:r>
        <w:rPr>
          <w:rFonts w:hint="eastAsia" w:ascii="宋体" w:hAnsi="宋体" w:cs="宋体"/>
          <w:bCs/>
          <w:color w:val="auto"/>
          <w:highlight w:val="none"/>
          <w:u w:val="single"/>
          <w:lang w:val="en-US" w:eastAsia="zh-CN"/>
        </w:rPr>
        <w:t xml:space="preserve">下午2</w:t>
      </w:r>
      <w:r>
        <w:rPr>
          <w:rFonts w:hint="eastAsia" w:ascii="宋体" w:hAnsi="宋体" w:cs="宋体"/>
          <w:bCs/>
          <w:color w:val="auto"/>
          <w:highlight w:val="none"/>
          <w:u w:val="single"/>
        </w:rPr>
        <w:t xml:space="preserve">：30 </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bookmarkStart w:id="3" w:name="_Toc38985263"/>
      <w:r/>
      <w:bookmarkStart w:id="4" w:name="_Toc28359079"/>
      <w:r/>
      <w:bookmarkStart w:id="5" w:name="_Toc35393790"/>
      <w:r/>
      <w:bookmarkStart w:id="6" w:name="_Toc35393621"/>
      <w:r/>
      <w:bookmarkStart w:id="7" w:name="_Toc28359002"/>
      <w:r/>
      <w:bookmarkStart w:id="8" w:name="_Hlk24379207"/>
      <w:r>
        <w:rPr>
          <w:rFonts w:hint="eastAsia" w:ascii="宋体" w:hAnsi="宋体" w:cs="宋体"/>
          <w:b/>
          <w:bCs/>
          <w:color w:val="auto"/>
          <w:highlight w:val="none"/>
        </w:rPr>
        <w:t xml:space="preserve">一、项目基本情况</w:t>
      </w:r>
      <w:bookmarkEnd w:id="3"/>
      <w:r/>
      <w:bookmarkEnd w:id="4"/>
      <w:r/>
      <w:bookmarkEnd w:id="5"/>
      <w:r/>
      <w:bookmarkEnd w:id="6"/>
      <w:r/>
      <w:bookmarkEnd w:id="7"/>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JSZC-321000-SWGC-G2026-0021号</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苏北人民医院骨质疏松专病数据库科研平台建设项目</w:t>
      </w:r>
      <w:bookmarkEnd w:id="8"/>
      <w:r/>
      <w:r/>
    </w:p>
    <w:p>
      <w:pPr>
        <w:ind w:firstLine="420"/>
        <w:keepLines w:val="0"/>
        <w:keepNext w:val="0"/>
        <w:pageBreakBefore w:val="0"/>
        <w:spacing w:line="360" w:lineRule="auto"/>
        <w:shd w:val="clear" w:color="auto"/>
        <w:rPr>
          <w:rFonts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8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7137"/>
      </w:tblGrid>
      <w:tr>
        <w:trPr/>
        <w:tc>
          <w:tcPr>
            <w:tcW w:w="811" w:type="pct"/>
            <w:vAlign w:val="top"/>
            <w:textDirection w:val="lrTb"/>
            <w:noWrap w:val="false"/>
          </w:tcPr>
          <w:p>
            <w:pPr>
              <w:ind w:left="0" w:right="0" w:firstLine="420"/>
              <w:jc w:val="center"/>
              <w:keepLines w:val="0"/>
              <w:keepNext w:val="0"/>
              <w:pageBreakBefore w:val="0"/>
              <w:spacing w:before="0" w:beforeAutospacing="0" w:after="0" w:afterAutospacing="0" w:line="360" w:lineRule="auto"/>
              <w:shd w:val="clear" w:color="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w:t>
            </w:r>
            <w:r/>
          </w:p>
          <w:p>
            <w:pPr>
              <w:ind w:left="0" w:right="0" w:firstLine="420"/>
              <w:jc w:val="center"/>
              <w:keepLines w:val="0"/>
              <w:keepNext w:val="0"/>
              <w:pageBreakBefore w:val="0"/>
              <w:spacing w:before="0" w:beforeAutospacing="0" w:after="0" w:afterAutospacing="0" w:line="360" w:lineRule="auto"/>
              <w:shd w:val="clear" w:color="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包号</w:t>
            </w:r>
            <w:r/>
          </w:p>
        </w:tc>
        <w:tc>
          <w:tcPr>
            <w:tcW w:w="4188" w:type="pct"/>
            <w:vAlign w:val="top"/>
            <w:textDirection w:val="lrTb"/>
            <w:noWrap w:val="false"/>
          </w:tcPr>
          <w:p>
            <w:pPr>
              <w:ind w:left="0" w:right="0" w:firstLine="420"/>
              <w:jc w:val="center"/>
              <w:keepLines w:val="0"/>
              <w:keepNext w:val="0"/>
              <w:pageBreakBefore w:val="0"/>
              <w:spacing w:before="0" w:beforeAutospacing="0" w:after="0" w:afterAutospacing="0" w:line="360" w:lineRule="auto"/>
              <w:shd w:val="clear" w:color="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预算</w:t>
            </w:r>
            <w:r>
              <w:rPr>
                <w:rFonts w:hint="default"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11" w:type="pct"/>
            <w:vAlign w:val="top"/>
            <w:textDirection w:val="lrTb"/>
            <w:noWrap w:val="false"/>
          </w:tcPr>
          <w:p>
            <w:pPr>
              <w:ind w:left="0" w:right="0" w:firstLine="420"/>
              <w:jc w:val="center"/>
              <w:keepLines w:val="0"/>
              <w:keepNext w:val="0"/>
              <w:pageBreakBefore w:val="0"/>
              <w:spacing w:before="0" w:beforeAutospacing="0" w:after="0" w:afterAutospacing="0" w:line="360" w:lineRule="auto"/>
              <w:shd w:val="clear" w:color="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4188" w:type="pct"/>
            <w:vAlign w:val="top"/>
            <w:textDirection w:val="lrTb"/>
            <w:noWrap w:val="false"/>
          </w:tcPr>
          <w:p>
            <w:pPr>
              <w:ind w:left="0" w:right="0" w:firstLine="420"/>
              <w:jc w:val="center"/>
              <w:keepLines w:val="0"/>
              <w:keepNext w:val="0"/>
              <w:pageBreakBefore w:val="0"/>
              <w:spacing w:before="0" w:beforeAutospacing="0" w:after="0" w:afterAutospacing="0" w:line="360" w:lineRule="auto"/>
              <w:shd w:val="clear" w:color="auto"/>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120</w:t>
            </w:r>
            <w:r/>
          </w:p>
        </w:tc>
      </w:tr>
    </w:tbl>
    <w:p>
      <w:pPr>
        <w:ind w:firstLine="420"/>
        <w:keepLines w:val="0"/>
        <w:keepNext w:val="0"/>
        <w:pageBreakBefore w:val="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8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3367"/>
        <w:gridCol w:w="3772"/>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shd w:val="clear" w:color="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w:t>
            </w:r>
            <w:r/>
          </w:p>
          <w:p>
            <w:pPr>
              <w:ind w:left="0" w:right="0" w:firstLine="420"/>
              <w:jc w:val="center"/>
              <w:keepLines w:val="0"/>
              <w:keepNext w:val="0"/>
              <w:pageBreakBefore w:val="0"/>
              <w:spacing w:before="0" w:beforeAutospacing="0" w:after="0" w:afterAutospacing="0" w:line="360" w:lineRule="auto"/>
              <w:shd w:val="clear" w:color="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包号</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shd w:val="clear" w:color="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p>
          <w:p>
            <w:pPr>
              <w:ind w:left="0" w:right="0" w:firstLine="420"/>
              <w:jc w:val="center"/>
              <w:keepLines w:val="0"/>
              <w:keepNext w:val="0"/>
              <w:pageBreakBefore w:val="0"/>
              <w:spacing w:before="0" w:beforeAutospacing="0" w:after="0" w:afterAutospacing="0" w:line="360" w:lineRule="auto"/>
              <w:shd w:val="clear" w:color="auto"/>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shd w:val="clear" w:color="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最高</w:t>
            </w:r>
            <w:r>
              <w:rPr>
                <w:rFonts w:hint="default" w:ascii="宋体" w:hAnsi="宋体"/>
                <w:color w:val="auto"/>
                <w:sz w:val="21"/>
                <w:szCs w:val="21"/>
                <w:highlight w:val="none"/>
              </w:rPr>
              <w:t xml:space="preserve">限价</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shd w:val="clear" w:color="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shd w:val="clear" w:color="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shd w:val="clear" w:color="auto"/>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120</w:t>
            </w:r>
            <w:r/>
          </w:p>
        </w:tc>
      </w:tr>
    </w:tbl>
    <w:p>
      <w:pPr>
        <w:ind w:firstLine="420"/>
        <w:keepLines w:val="0"/>
        <w:keepNext w:val="0"/>
        <w:pageBreakBefore w:val="0"/>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6.合同履行期限：见招标文件第四章。  </w:t>
      </w:r>
      <w:r/>
    </w:p>
    <w:p>
      <w:pPr>
        <w:ind w:firstLine="42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w:t>
      </w:r>
      <w:r>
        <w:rPr>
          <w:rFonts w:hint="eastAsia" w:ascii="Times New Roman" w:hAnsi="Times New Roman" w:cs="宋体"/>
          <w:color w:val="auto"/>
          <w:highlight w:val="none"/>
        </w:rPr>
        <w:t xml:space="preserve">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进口产品投标。</w:t>
      </w:r>
      <w:r/>
    </w:p>
    <w:p>
      <w:pPr>
        <w:ind w:firstLine="422"/>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bookmarkStart w:id="9" w:name="_Toc38985264"/>
      <w:r/>
      <w:bookmarkStart w:id="10" w:name="_Toc28359003"/>
      <w:r/>
      <w:bookmarkStart w:id="11" w:name="_Toc28359080"/>
      <w:r/>
      <w:bookmarkStart w:id="12" w:name="_Toc35393622"/>
      <w:r/>
      <w:bookmarkStart w:id="13" w:name="_Toc35393791"/>
      <w:r>
        <w:rPr>
          <w:rFonts w:hint="eastAsia" w:ascii="宋体" w:hAnsi="宋体" w:cs="宋体"/>
          <w:b/>
          <w:bCs/>
          <w:color w:val="auto"/>
          <w:highlight w:val="none"/>
        </w:rPr>
        <w:t xml:space="preserve">二、申请人的资格要求：</w:t>
      </w:r>
      <w:bookmarkEnd w:id="9"/>
      <w:r/>
      <w:bookmarkEnd w:id="10"/>
      <w:r/>
      <w:bookmarkEnd w:id="11"/>
      <w:r/>
      <w:bookmarkEnd w:id="12"/>
      <w:r/>
      <w:bookmarkEnd w:id="13"/>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lang w:eastAsia="zh-CN"/>
        </w:rPr>
      </w:pPr>
      <w:r/>
      <w:bookmarkStart w:id="14" w:name="_Toc28359004"/>
      <w:r/>
      <w:bookmarkStart w:id="15" w:name="_Toc38985265"/>
      <w:r/>
      <w:bookmarkStart w:id="16" w:name="_Toc35393623"/>
      <w:r/>
      <w:bookmarkStart w:id="17" w:name="_Toc35393792"/>
      <w:r/>
      <w:bookmarkStart w:id="18" w:name="_Toc28359081"/>
      <w:r>
        <w:rPr>
          <w:rFonts w:hint="eastAsia" w:ascii="宋体" w:hAnsi="宋体" w:cs="宋体"/>
          <w:color w:val="auto"/>
          <w:szCs w:val="21"/>
          <w:highlight w:val="none"/>
          <w:lang w:eastAsia="zh-CN"/>
        </w:rPr>
        <w:t xml:space="preserve">（一）通用资格要求</w:t>
      </w:r>
      <w:r/>
    </w:p>
    <w:p>
      <w:pPr>
        <w:ind w:firstLine="420"/>
        <w:keepLines w:val="0"/>
        <w:keepNext w:val="0"/>
        <w:pageBreakBefore w:val="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shd w:val="clear" w:color="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keepLines w:val="0"/>
        <w:keepNext w:val="0"/>
        <w:pageBreakBefore w:val="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2024年度或2025年度</w:t>
      </w:r>
      <w:r>
        <w:rPr>
          <w:rFonts w:hint="eastAsia" w:ascii="宋体" w:hAnsi="宋体" w:cs="宋体"/>
          <w:i/>
          <w:iCs/>
          <w:color w:val="auto"/>
          <w:szCs w:val="21"/>
          <w:highlight w:val="none"/>
          <w:u w:val="single"/>
        </w:rPr>
        <w:t xml:space="preserve">的财务报告情况</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（成立不满一年无需提供）</w:t>
      </w:r>
      <w:r/>
    </w:p>
    <w:p>
      <w:pPr>
        <w:ind w:firstLine="420"/>
        <w:keepLines w:val="0"/>
        <w:keepNext w:val="0"/>
        <w:pageBreakBefore w:val="0"/>
        <w:spacing w:line="360" w:lineRule="auto"/>
        <w:shd w:val="clear" w:color="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shd w:val="clear" w:color="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keepLines w:val="0"/>
        <w:keepNext w:val="0"/>
        <w:pageBreakBefore w:val="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cs="宋体"/>
          <w:i/>
          <w:iCs/>
          <w:color w:val="auto"/>
          <w:szCs w:val="21"/>
          <w:highlight w:val="none"/>
          <w:u w:val="single"/>
        </w:rPr>
        <w:t xml:space="preserve">；</w:t>
      </w:r>
      <w:r/>
    </w:p>
    <w:p>
      <w:pPr>
        <w:ind w:firstLine="420"/>
        <w:keepLines w:val="0"/>
        <w:keepNext w:val="0"/>
        <w:pageBreakBefore w:val="0"/>
        <w:spacing w:line="360" w:lineRule="auto"/>
        <w:shd w:val="clear" w:color="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keepLines w:val="0"/>
        <w:keepNext w:val="0"/>
        <w:pageBreakBefore w:val="0"/>
        <w:spacing w:line="360" w:lineRule="auto"/>
        <w:shd w:val="clear" w:color="auto"/>
        <w:rPr>
          <w:rFonts w:hint="eastAsia" w:ascii="宋体" w:hAnsi="宋体" w:cs="宋体"/>
          <w:i/>
          <w:iCs/>
          <w:color w:val="auto"/>
          <w:szCs w:val="21"/>
          <w:highlight w:val="none"/>
          <w:u w:val="single"/>
          <w:lang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lang w:eastAsia="zh-CN"/>
        </w:rPr>
        <w:t xml:space="preserve">无</w:t>
      </w:r>
      <w:r/>
    </w:p>
    <w:p>
      <w:pPr>
        <w:ind w:firstLine="420"/>
        <w:keepLines w:val="0"/>
        <w:keepNext w:val="0"/>
        <w:pageBreakBefore w:val="0"/>
        <w:spacing w:line="360" w:lineRule="auto"/>
        <w:shd w:val="clear" w:color="auto"/>
        <w:rPr>
          <w:rFonts w:ascii="宋体" w:hAnsi="宋体"/>
          <w:color w:val="auto"/>
          <w:sz w:val="24"/>
          <w:szCs w:val="24"/>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.联合体投标</w:t>
      </w:r>
      <w:r/>
    </w:p>
    <w:tbl>
      <w:tblPr>
        <w:tblStyle w:val="85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3343"/>
        <w:gridCol w:w="3885"/>
      </w:tblGrid>
      <w:tr>
        <w:trPr/>
        <w:tc>
          <w:tcPr>
            <w:tcW w:w="758" w:type="pct"/>
            <w:vAlign w:val="top"/>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采购</w:t>
            </w:r>
            <w:r/>
          </w:p>
          <w:p>
            <w:pPr>
              <w:ind w:left="0" w:right="0" w:firstLine="480"/>
              <w:jc w:val="center"/>
              <w:keepLines w:val="0"/>
              <w:keepNext w:val="0"/>
              <w:pageBreakBefore w:val="0"/>
              <w:spacing w:before="0" w:beforeAutospacing="0" w:after="0" w:afterAutospacing="0" w:line="360" w:lineRule="auto"/>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包号</w:t>
            </w:r>
            <w:r/>
          </w:p>
        </w:tc>
        <w:tc>
          <w:tcPr>
            <w:tcW w:w="1961" w:type="pct"/>
            <w:vAlign w:val="top"/>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是否接受联合体</w:t>
            </w:r>
            <w:r>
              <w:rPr>
                <w:rFonts w:hint="default" w:ascii="宋体" w:hAnsi="宋体"/>
                <w:color w:val="auto"/>
                <w:sz w:val="24"/>
                <w:szCs w:val="24"/>
                <w:highlight w:val="none"/>
              </w:rPr>
              <w:t xml:space="preserve">投标</w:t>
            </w:r>
            <w:r/>
          </w:p>
          <w:p>
            <w:pPr>
              <w:ind w:left="0" w:right="0" w:firstLine="480"/>
              <w:jc w:val="center"/>
              <w:keepLines w:val="0"/>
              <w:keepNext w:val="0"/>
              <w:pageBreakBefore w:val="0"/>
              <w:spacing w:before="0" w:beforeAutospacing="0" w:after="0" w:afterAutospacing="0" w:line="360" w:lineRule="auto"/>
              <w:shd w:val="clear" w:color="auto"/>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w:t>
            </w:r>
            <w:r>
              <w:rPr>
                <w:rFonts w:hint="eastAsia" w:ascii="宋体" w:hAnsi="宋体"/>
                <w:color w:val="auto"/>
                <w:sz w:val="24"/>
                <w:szCs w:val="24"/>
                <w:highlight w:val="none"/>
              </w:rPr>
              <w:t xml:space="preserve">是/否</w:t>
            </w:r>
            <w:r>
              <w:rPr>
                <w:rFonts w:hint="default" w:ascii="宋体" w:hAnsi="宋体"/>
                <w:color w:val="auto"/>
                <w:sz w:val="24"/>
                <w:szCs w:val="24"/>
                <w:highlight w:val="none"/>
              </w:rPr>
              <w:t xml:space="preserve">）</w:t>
            </w:r>
            <w:r/>
          </w:p>
        </w:tc>
        <w:tc>
          <w:tcPr>
            <w:tcW w:w="2279" w:type="pct"/>
            <w:vAlign w:val="top"/>
            <w:textDirection w:val="lrTb"/>
            <w:noWrap w:val="false"/>
          </w:tcPr>
          <w:p>
            <w:pPr>
              <w:ind w:left="0" w:right="0"/>
              <w:jc w:val="center"/>
              <w:keepLines w:val="0"/>
              <w:keepNext w:val="0"/>
              <w:pageBreakBefore w:val="0"/>
              <w:spacing w:before="0" w:beforeAutospacing="0" w:after="0" w:afterAutospacing="0" w:line="360" w:lineRule="auto"/>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该采购包中</w:t>
            </w:r>
            <w:r>
              <w:rPr>
                <w:rFonts w:hint="default" w:ascii="宋体" w:hAnsi="宋体"/>
                <w:color w:val="auto"/>
                <w:sz w:val="24"/>
                <w:szCs w:val="24"/>
                <w:highlight w:val="none"/>
              </w:rPr>
              <w:t xml:space="preserve">联合体成员数量</w:t>
            </w:r>
            <w:r>
              <w:rPr>
                <w:rFonts w:hint="eastAsia" w:ascii="宋体" w:hAnsi="宋体"/>
                <w:color w:val="auto"/>
                <w:sz w:val="24"/>
                <w:szCs w:val="24"/>
                <w:highlight w:val="none"/>
              </w:rPr>
              <w:t xml:space="preserve">上限</w:t>
            </w:r>
            <w:r/>
          </w:p>
        </w:tc>
      </w:tr>
      <w:tr>
        <w:trPr/>
        <w:tc>
          <w:tcPr>
            <w:tcW w:w="758" w:type="pct"/>
            <w:vAlign w:val="top"/>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1961" w:type="pct"/>
            <w:vAlign w:val="top"/>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eastAsia" w:ascii="宋体" w:hAnsi="宋体" w:eastAsia="宋体"/>
                <w:color w:val="auto"/>
                <w:sz w:val="24"/>
                <w:szCs w:val="24"/>
                <w:highlight w:val="none"/>
                <w:lang w:eastAsia="zh-CN"/>
              </w:rPr>
              <w:suppressLineNumbers w:val="0"/>
            </w:pPr>
            <w:r>
              <w:rPr>
                <w:rFonts w:hint="eastAsia" w:ascii="宋体" w:hAnsi="宋体"/>
                <w:color w:val="auto"/>
                <w:sz w:val="24"/>
                <w:szCs w:val="24"/>
                <w:highlight w:val="none"/>
                <w:lang w:eastAsia="zh-CN"/>
              </w:rPr>
              <w:t xml:space="preserve">否</w:t>
            </w:r>
            <w:r/>
          </w:p>
        </w:tc>
        <w:tc>
          <w:tcPr>
            <w:tcW w:w="2279" w:type="pct"/>
            <w:vAlign w:val="top"/>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eastAsia" w:ascii="宋体" w:hAnsi="宋体" w:eastAsia="宋体"/>
                <w:color w:val="auto"/>
                <w:sz w:val="24"/>
                <w:szCs w:val="24"/>
                <w:highlight w:val="none"/>
                <w:lang w:eastAsia="zh-CN"/>
              </w:rPr>
              <w:suppressLineNumbers w:val="0"/>
            </w:pPr>
            <w:r>
              <w:rPr>
                <w:rFonts w:hint="eastAsia" w:ascii="宋体" w:hAnsi="宋体"/>
                <w:color w:val="auto"/>
                <w:sz w:val="24"/>
                <w:szCs w:val="24"/>
                <w:highlight w:val="none"/>
                <w:lang w:val="en-US" w:eastAsia="zh-CN"/>
              </w:rPr>
              <w:t xml:space="preserve">/</w:t>
            </w:r>
            <w:r/>
          </w:p>
        </w:tc>
      </w:tr>
    </w:tbl>
    <w:p>
      <w:pPr>
        <w:numPr>
          <w:ilvl w:val="0"/>
          <w:numId w:val="2"/>
        </w:numPr>
        <w:ind w:firstLine="420"/>
        <w:keepLines w:val="0"/>
        <w:keepNext w:val="0"/>
        <w:pageBreakBefore w:val="0"/>
        <w:spacing w:line="360" w:lineRule="auto"/>
        <w:shd w:val="clear" w:color="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本项目的特定资格要求：</w:t>
      </w:r>
      <w:r/>
    </w:p>
    <w:tbl>
      <w:tblPr>
        <w:tblStyle w:val="8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7217"/>
      </w:tblGrid>
      <w:tr>
        <w:trPr/>
        <w:tc>
          <w:tcPr>
            <w:tcW w:w="764" w:type="pct"/>
            <w:vAlign w:val="top"/>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采购</w:t>
            </w:r>
            <w:r/>
          </w:p>
          <w:p>
            <w:pPr>
              <w:ind w:left="0" w:right="0" w:firstLine="480"/>
              <w:jc w:val="center"/>
              <w:keepLines w:val="0"/>
              <w:keepNext w:val="0"/>
              <w:pageBreakBefore w:val="0"/>
              <w:spacing w:before="0" w:beforeAutospacing="0" w:after="0" w:afterAutospacing="0" w:line="360" w:lineRule="auto"/>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包号</w:t>
            </w:r>
            <w:r/>
          </w:p>
        </w:tc>
        <w:tc>
          <w:tcPr>
            <w:tcW w:w="4235" w:type="pct"/>
            <w:vAlign w:val="top"/>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特定</w:t>
            </w:r>
            <w:r>
              <w:rPr>
                <w:rFonts w:hint="default" w:ascii="宋体" w:hAnsi="宋体"/>
                <w:color w:val="auto"/>
                <w:sz w:val="24"/>
                <w:szCs w:val="24"/>
                <w:highlight w:val="none"/>
              </w:rPr>
              <w:t xml:space="preserve">资格要求</w:t>
            </w:r>
            <w:r/>
          </w:p>
        </w:tc>
      </w:tr>
      <w:tr>
        <w:trPr/>
        <w:tc>
          <w:tcPr>
            <w:tcW w:w="764" w:type="pct"/>
            <w:vAlign w:val="top"/>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4235" w:type="pct"/>
            <w:vAlign w:val="top"/>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eastAsia" w:ascii="宋体" w:hAnsi="宋体" w:eastAsia="宋体"/>
                <w:color w:val="auto"/>
                <w:sz w:val="24"/>
                <w:szCs w:val="24"/>
                <w:highlight w:val="none"/>
                <w:lang w:eastAsia="zh-CN"/>
              </w:rPr>
              <w:suppressLineNumbers w:val="0"/>
            </w:pPr>
            <w:r>
              <w:rPr>
                <w:rFonts w:hint="eastAsia" w:ascii="宋体" w:hAnsi="宋体"/>
                <w:color w:val="auto"/>
                <w:sz w:val="24"/>
                <w:szCs w:val="24"/>
                <w:highlight w:val="none"/>
                <w:lang w:val="en-US" w:eastAsia="zh-CN"/>
              </w:rPr>
              <w:t xml:space="preserve">/</w:t>
            </w:r>
            <w:r/>
          </w:p>
        </w:tc>
      </w:tr>
    </w:tbl>
    <w:p>
      <w:pPr>
        <w:numPr>
          <w:ilvl w:val="0"/>
          <w:numId w:val="0"/>
        </w:numPr>
        <w:ind w:firstLine="420"/>
        <w:keepLines w:val="0"/>
        <w:keepNext w:val="0"/>
        <w:pageBreakBefore w:val="0"/>
        <w:spacing w:line="360" w:lineRule="auto"/>
        <w:shd w:val="clear" w:color="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1"/>
          <w:szCs w:val="24"/>
          <w:highlight w:val="none"/>
          <w:lang w:val="en-US" w:eastAsia="zh-CN" w:bidi="ar-SA"/>
        </w:rPr>
        <w:t xml:space="preserve">（三）</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（2）凡为采购项目提供整体设计、规范编制或者项目管理、监理、检测等服务的供应商，不得再参加本项目的采购活动</w:t>
      </w:r>
      <w:r>
        <w:rPr>
          <w:rFonts w:hint="eastAsia" w:ascii="宋体" w:hAnsi="宋体" w:cs="宋体"/>
          <w:color w:val="auto"/>
          <w:szCs w:val="24"/>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cs="宋体"/>
          <w:b/>
          <w:bCs/>
          <w:color w:val="auto"/>
          <w:highlight w:val="none"/>
        </w:rPr>
      </w:pPr>
      <w:r>
        <w:rPr>
          <w:rFonts w:hint="eastAsia" w:ascii="宋体" w:hAnsi="宋体" w:eastAsia="宋体" w:cs="宋体"/>
          <w:color w:val="auto"/>
          <w:szCs w:val="24"/>
          <w:highlight w:val="none"/>
          <w:lang w:val="en-US" w:eastAsia="zh-CN"/>
        </w:rPr>
        <w:t xml:space="preserve">（3）法人的分支机构不得参加投标（除银行、保险、石油石化、电力、电信等行业特殊情况外）。</w:t>
      </w:r>
      <w:r/>
    </w:p>
    <w:p>
      <w:pPr>
        <w:ind w:firstLine="422"/>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4"/>
      <w:r/>
      <w:bookmarkEnd w:id="15"/>
      <w:r/>
      <w:bookmarkEnd w:id="16"/>
      <w:r/>
      <w:bookmarkEnd w:id="17"/>
      <w:r/>
      <w:bookmarkEnd w:id="18"/>
      <w:r/>
      <w:r/>
    </w:p>
    <w:p>
      <w:pPr>
        <w:ind w:firstLine="420"/>
        <w:keepLines w:val="0"/>
        <w:keepNext w:val="0"/>
        <w:pageBreakBefore w:val="0"/>
        <w:spacing w:line="360" w:lineRule="auto"/>
        <w:shd w:val="clear" w:color="auto"/>
        <w:rPr>
          <w:rFonts w:hint="eastAsia" w:ascii="宋体" w:hAnsi="宋体" w:cs="宋体"/>
          <w:color w:val="auto"/>
          <w:highlight w:val="none"/>
        </w:rPr>
      </w:pPr>
      <w:r/>
      <w:bookmarkStart w:id="19" w:name="_Toc28359005"/>
      <w:r/>
      <w:bookmarkStart w:id="20" w:name="_Toc28359082"/>
      <w:r/>
      <w:bookmarkStart w:id="21" w:name="_Toc35393793"/>
      <w:r/>
      <w:bookmarkStart w:id="22" w:name="_Toc38985266"/>
      <w:r/>
      <w:bookmarkStart w:id="23"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keepLines w:val="0"/>
        <w:keepNext w:val="0"/>
        <w:pageBreakBefore w:val="0"/>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keepLines w:val="0"/>
        <w:keepNext w:val="0"/>
        <w:pageBreakBefore w:val="0"/>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jc w:val="left"/>
        <w:keepLines w:val="0"/>
        <w:keepNext w:val="0"/>
        <w:pageBreakBefore w:val="0"/>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ind w:firstLine="422"/>
        <w:keepLines w:val="0"/>
        <w:keepNext w:val="0"/>
        <w:pageBreakBefore w:val="0"/>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9"/>
      <w:r/>
      <w:bookmarkEnd w:id="20"/>
      <w:r>
        <w:rPr>
          <w:rFonts w:hint="eastAsia" w:ascii="宋体" w:hAnsi="宋体" w:cs="宋体"/>
          <w:b/>
          <w:bCs/>
          <w:color w:val="auto"/>
          <w:highlight w:val="none"/>
        </w:rPr>
        <w:t xml:space="preserve">截止时间、开标时间和地点</w:t>
      </w:r>
      <w:bookmarkEnd w:id="21"/>
      <w:r/>
      <w:bookmarkEnd w:id="22"/>
      <w:r/>
      <w:bookmarkEnd w:id="23"/>
      <w:r/>
      <w:r/>
    </w:p>
    <w:p>
      <w:pPr>
        <w:ind w:firstLine="420"/>
        <w:keepLines w:val="0"/>
        <w:keepNext w:val="0"/>
        <w:pageBreakBefore w:val="0"/>
        <w:spacing w:line="360" w:lineRule="auto"/>
        <w:shd w:val="clear" w:color="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eastAsia="zh-CN"/>
        </w:rPr>
        <w:t xml:space="preserve">2026年</w:t>
      </w:r>
      <w:r>
        <w:rPr>
          <w:rFonts w:hint="eastAsia" w:ascii="宋体" w:hAnsi="宋体" w:cs="宋体"/>
          <w:bCs/>
          <w:color w:val="auto"/>
          <w:highlight w:val="none"/>
          <w:u w:val="single"/>
          <w:lang w:val="en-US" w:eastAsia="zh-CN"/>
        </w:rPr>
        <w:t xml:space="preserve">3</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23</w:t>
      </w:r>
      <w:r>
        <w:rPr>
          <w:rFonts w:hint="eastAsia" w:ascii="宋体" w:hAnsi="宋体" w:cs="宋体"/>
          <w:bCs/>
          <w:color w:val="auto"/>
          <w:highlight w:val="none"/>
          <w:u w:val="single"/>
          <w:lang w:eastAsia="zh-CN"/>
        </w:rPr>
        <w:t xml:space="preserve">日</w:t>
      </w:r>
      <w:r>
        <w:rPr>
          <w:rFonts w:hint="eastAsia" w:ascii="宋体" w:hAnsi="宋体" w:cs="宋体"/>
          <w:bCs/>
          <w:color w:val="auto"/>
          <w:highlight w:val="none"/>
          <w:u w:val="single"/>
          <w:lang w:val="en-US" w:eastAsia="zh-CN"/>
        </w:rPr>
        <w:t xml:space="preserve">下午2</w:t>
      </w:r>
      <w:r>
        <w:rPr>
          <w:rFonts w:hint="eastAsia" w:ascii="宋体" w:hAnsi="宋体" w:cs="宋体"/>
          <w:bCs/>
          <w:color w:val="auto"/>
          <w:highlight w:val="none"/>
          <w:u w:val="single"/>
        </w:rPr>
        <w:t xml:space="preserve">：30 </w:t>
      </w:r>
      <w:r>
        <w:rPr>
          <w:rFonts w:hint="eastAsia" w:ascii="宋体" w:hAnsi="宋体" w:cs="宋体"/>
          <w:color w:val="auto"/>
          <w:highlight w:val="none"/>
        </w:rPr>
        <w:t xml:space="preserve">（北京时间）</w:t>
      </w:r>
      <w:r/>
    </w:p>
    <w:p>
      <w:pPr>
        <w:ind w:firstLine="420"/>
        <w:keepLines w:val="0"/>
        <w:keepNext w:val="0"/>
        <w:pageBreakBefore w:val="0"/>
        <w:spacing w:line="360" w:lineRule="auto"/>
        <w:shd w:val="clear" w:color="auto"/>
        <w:rPr>
          <w:rFonts w:hint="eastAsia" w:ascii="宋体" w:hAnsi="宋体" w:cs="宋体"/>
          <w:b/>
          <w:color w:val="auto"/>
          <w:szCs w:val="21"/>
          <w:highlight w:val="none"/>
        </w:rPr>
      </w:pPr>
      <w:r>
        <w:rPr>
          <w:rFonts w:hint="eastAsia" w:ascii="宋体" w:hAnsi="宋体" w:cs="宋体"/>
          <w:color w:val="auto"/>
          <w:highlight w:val="none"/>
        </w:rPr>
        <w:t xml:space="preserve">2.开标地点：</w:t>
      </w:r>
      <w:r>
        <w:rPr>
          <w:rFonts w:hint="eastAsia" w:ascii="宋体" w:hAnsi="宋体" w:cs="宋体"/>
          <w:color w:val="auto"/>
          <w:szCs w:val="21"/>
          <w:highlight w:val="none"/>
        </w:rPr>
        <w:t xml:space="preserve">“苏采云”系统（网址：http：//jszfcg.jsczt.cn/）</w:t>
      </w:r>
      <w:r/>
    </w:p>
    <w:p>
      <w:pPr>
        <w:ind w:firstLine="422"/>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bookmarkStart w:id="24" w:name="_Toc35393794"/>
      <w:r/>
      <w:bookmarkStart w:id="25" w:name="_Toc28359007"/>
      <w:r/>
      <w:bookmarkStart w:id="26" w:name="_Toc35393625"/>
      <w:r/>
      <w:bookmarkStart w:id="27" w:name="_Toc28359084"/>
      <w:r/>
      <w:bookmarkStart w:id="28" w:name="_Toc38985267"/>
      <w:r>
        <w:rPr>
          <w:rFonts w:hint="eastAsia" w:ascii="宋体" w:hAnsi="宋体" w:cs="宋体"/>
          <w:b/>
          <w:bCs/>
          <w:color w:val="auto"/>
          <w:highlight w:val="none"/>
        </w:rPr>
        <w:t xml:space="preserve">五、公告期限</w:t>
      </w:r>
      <w:bookmarkEnd w:id="24"/>
      <w:r/>
      <w:bookmarkEnd w:id="25"/>
      <w:r/>
      <w:bookmarkEnd w:id="26"/>
      <w:r/>
      <w:bookmarkEnd w:id="27"/>
      <w:r/>
      <w:bookmarkEnd w:id="28"/>
      <w:r/>
      <w:r/>
    </w:p>
    <w:p>
      <w:pPr>
        <w:ind w:firstLine="420"/>
        <w:keepLines w:val="0"/>
        <w:keepNext w:val="0"/>
        <w:pageBreakBefore w:val="0"/>
        <w:spacing w:line="360" w:lineRule="auto"/>
        <w:shd w:val="clear" w:color="auto"/>
        <w:rPr>
          <w:rFonts w:hint="eastAsia" w:ascii="宋体" w:hAnsi="宋体" w:cs="宋体"/>
          <w:color w:val="auto"/>
          <w:highlight w:val="none"/>
        </w:rPr>
      </w:pPr>
      <w:r/>
      <w:bookmarkStart w:id="29" w:name="_Toc38985268"/>
      <w:r/>
      <w:bookmarkStart w:id="30" w:name="_Toc35393626"/>
      <w:r/>
      <w:bookmarkStart w:id="31" w:name="_Toc35393795"/>
      <w:r>
        <w:rPr>
          <w:rFonts w:hint="eastAsia" w:ascii="宋体" w:hAnsi="宋体" w:cs="宋体"/>
          <w:color w:val="auto"/>
          <w:highlight w:val="none"/>
        </w:rPr>
        <w:t xml:space="preserve">招标公告及招标文件公告期限为自本公告发布之日起5个工作日。</w:t>
      </w:r>
      <w:r/>
    </w:p>
    <w:p>
      <w:pPr>
        <w:ind w:firstLine="422"/>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9"/>
      <w:r/>
      <w:bookmarkEnd w:id="30"/>
      <w:r/>
      <w:bookmarkEnd w:id="31"/>
      <w:r/>
      <w:r/>
    </w:p>
    <w:p>
      <w:pPr>
        <w:ind w:firstLine="422"/>
        <w:keepLines w:val="0"/>
        <w:keepNext w:val="0"/>
        <w:pageBreakBefore w:val="0"/>
        <w:spacing w:line="360" w:lineRule="auto"/>
        <w:shd w:val="clear" w:color="auto"/>
        <w:rPr>
          <w:rFonts w:hint="eastAsia" w:ascii="宋体" w:hAnsi="宋体" w:cs="宋体"/>
          <w:b/>
          <w:bCs/>
          <w:color w:val="auto"/>
          <w:highlight w:val="none"/>
        </w:rPr>
      </w:pPr>
      <w:r/>
      <w:bookmarkStart w:id="32" w:name="_Toc35393796"/>
      <w:r/>
      <w:bookmarkStart w:id="33" w:name="_Toc35393627"/>
      <w:r/>
      <w:bookmarkStart w:id="34" w:name="_Toc28359085"/>
      <w:r/>
      <w:bookmarkStart w:id="35" w:name="_Toc38985269"/>
      <w:r/>
      <w:bookmarkStart w:id="36" w:name="_Toc28359008"/>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keepLines w:val="0"/>
        <w:keepNext w:val="0"/>
        <w:pageBreakBefore w:val="0"/>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360" w:lineRule="auto"/>
        <w:shd w:val="clear" w:color="auto"/>
        <w:rPr>
          <w:rFonts w:hint="eastAsia"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 </w:t>
      </w:r>
      <w:r>
        <w:rPr>
          <w:rFonts w:hint="eastAsia" w:ascii="宋体" w:hAnsi="宋体" w:cs="宋体"/>
          <w:color w:val="auto"/>
          <w:highlight w:val="none"/>
        </w:rPr>
        <w:t xml:space="preserve">投标保证金。</w:t>
      </w:r>
      <w:r/>
    </w:p>
    <w:p>
      <w:pPr>
        <w:ind w:firstLine="420"/>
        <w:keepLines w:val="0"/>
        <w:keepNext w:val="0"/>
        <w:pageBreakBefore w:val="0"/>
        <w:spacing w:line="360" w:lineRule="auto"/>
        <w:shd w:val="clear" w:color="auto"/>
        <w:rPr>
          <w:rFonts w:hint="eastAsia"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shd w:val="clear" w:color="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keepLines w:val="0"/>
        <w:keepNext w:val="0"/>
        <w:pageBreakBefore w:val="0"/>
        <w:spacing w:line="360" w:lineRule="auto"/>
        <w:shd w:val="clear" w:color="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shd w:val="clear" w:color="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shd w:val="clear" w:color="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shd w:val="clear" w:color="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9.供应商对于所投货物的包装应按照“财办库〔2020〕123号《关于印发《商品包装政府采购需求标准（试行）》、《快递包装政府采购需求标准（试行）》的通知》”执行。</w:t>
      </w:r>
      <w:r/>
    </w:p>
    <w:p>
      <w:pPr>
        <w:ind w:firstLine="420"/>
        <w:keepLines w:val="0"/>
        <w:keepNext w:val="0"/>
        <w:pageBreakBefore w:val="0"/>
        <w:spacing w:line="360" w:lineRule="auto"/>
        <w:shd w:val="clear" w:color="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360" w:lineRule="auto"/>
        <w:shd w:val="clear" w:color="auto"/>
        <w:widowControl/>
        <w:rPr>
          <w:rFonts w:hint="eastAsia" w:ascii="宋体" w:hAnsi="宋体" w:cs="宋体"/>
          <w:color w:val="auto"/>
          <w:szCs w:val="21"/>
          <w:highlight w:val="none"/>
        </w:rPr>
      </w:pPr>
      <w:r/>
      <w:bookmarkStart w:id="37" w:name="_Toc28359087"/>
      <w:r/>
      <w:bookmarkStart w:id="38" w:name="_Toc28359010"/>
      <w:r>
        <w:rPr>
          <w:rFonts w:hint="eastAsia" w:ascii="宋体" w:hAnsi="宋体" w:cs="宋体"/>
          <w:color w:val="auto"/>
          <w:highlight w:val="none"/>
        </w:rPr>
        <w:t xml:space="preserve">1.采购人信息</w:t>
      </w:r>
      <w:r/>
    </w:p>
    <w:p>
      <w:pPr>
        <w:ind w:firstLine="420"/>
        <w:jc w:val="left"/>
        <w:keepLines w:val="0"/>
        <w:keepNext w:val="0"/>
        <w:pageBreakBefore w:val="0"/>
        <w:spacing w:line="360" w:lineRule="auto"/>
        <w:shd w:val="clear" w:color="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szCs w:val="21"/>
          <w:highlight w:val="none"/>
          <w:lang w:eastAsia="zh-CN"/>
        </w:rPr>
        <w:t xml:space="preserve">苏北人民医院</w:t>
      </w:r>
      <w:r/>
    </w:p>
    <w:p>
      <w:pPr>
        <w:ind w:firstLine="420"/>
        <w:jc w:val="left"/>
        <w:keepLines w:val="0"/>
        <w:keepNext w:val="0"/>
        <w:pageBreakBefore w:val="0"/>
        <w:spacing w:line="360" w:lineRule="auto"/>
        <w:shd w:val="clear" w:color="auto"/>
        <w:rPr>
          <w:rFonts w:hint="eastAsia" w:ascii="宋体" w:hAnsi="宋体" w:cs="宋体"/>
          <w:color w:val="auto"/>
          <w:highlight w:val="none"/>
        </w:rPr>
      </w:pPr>
      <w:r/>
      <w:bookmarkStart w:id="39" w:name="_Toc28359009"/>
      <w:r/>
      <w:bookmarkStart w:id="40" w:name="_Toc28359086"/>
      <w:r>
        <w:rPr>
          <w:rFonts w:hint="eastAsia" w:ascii="宋体" w:hAnsi="宋体" w:cs="宋体"/>
          <w:color w:val="auto"/>
          <w:highlight w:val="none"/>
        </w:rPr>
        <w:t xml:space="preserve">地 址：扬州市广陵区南通西路98号 </w:t>
      </w:r>
      <w:r/>
    </w:p>
    <w:p>
      <w:pPr>
        <w:ind w:firstLine="420"/>
        <w:jc w:val="left"/>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联系人：丁老师</w:t>
      </w:r>
      <w:r/>
    </w:p>
    <w:p>
      <w:pPr>
        <w:ind w:firstLine="420"/>
        <w:jc w:val="left"/>
        <w:keepLines w:val="0"/>
        <w:keepNext w:val="0"/>
        <w:pageBreakBefore w:val="0"/>
        <w:spacing w:line="360" w:lineRule="auto"/>
        <w:shd w:val="clear" w:color="auto"/>
        <w:rPr>
          <w:rFonts w:hint="eastAsia" w:ascii="宋体" w:hAnsi="宋体" w:cs="宋体"/>
          <w:color w:val="auto"/>
          <w:szCs w:val="21"/>
          <w:highlight w:val="none"/>
        </w:rPr>
      </w:pPr>
      <w:r>
        <w:rPr>
          <w:rFonts w:hint="eastAsia" w:ascii="宋体" w:hAnsi="宋体" w:cs="宋体"/>
          <w:color w:val="auto"/>
          <w:highlight w:val="none"/>
        </w:rPr>
        <w:t xml:space="preserve">联系方式：0514-87373868 </w:t>
      </w:r>
      <w:r>
        <w:rPr>
          <w:rFonts w:hint="eastAsia" w:ascii="宋体" w:hAnsi="宋体" w:cs="宋体"/>
          <w:color w:val="auto"/>
          <w:szCs w:val="21"/>
          <w:highlight w:val="none"/>
        </w:rPr>
        <w:t xml:space="preserve"> </w:t>
      </w:r>
      <w:r/>
    </w:p>
    <w:p>
      <w:pPr>
        <w:ind w:firstLine="420"/>
        <w:jc w:val="left"/>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9"/>
      <w:r/>
      <w:bookmarkEnd w:id="40"/>
      <w:r/>
      <w:r/>
    </w:p>
    <w:p>
      <w:pPr>
        <w:ind w:firstLine="42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扬州市邗江区翠岗路48号</w:t>
      </w:r>
      <w:r/>
    </w:p>
    <w:p>
      <w:pPr>
        <w:ind w:firstLine="420"/>
        <w:keepLines w:val="0"/>
        <w:keepNext w:val="0"/>
        <w:pageBreakBefore w:val="0"/>
        <w:spacing w:line="360" w:lineRule="auto"/>
        <w:shd w:val="clear" w:color="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szCs w:val="21"/>
          <w:highlight w:val="none"/>
          <w:lang w:eastAsia="zh-CN"/>
        </w:rPr>
        <w:t xml:space="preserve">陈秋萍</w:t>
      </w:r>
      <w:r/>
    </w:p>
    <w:p>
      <w:pPr>
        <w:ind w:firstLine="420"/>
        <w:keepLines w:val="0"/>
        <w:keepNext w:val="0"/>
        <w:pageBreakBefore w:val="0"/>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bookmarkEnd w:id="37"/>
      <w:r/>
      <w:bookmarkEnd w:id="38"/>
      <w:r/>
      <w:r/>
    </w:p>
    <w:p>
      <w:pPr>
        <w:pStyle w:val="1036"/>
        <w:jc w:val="center"/>
        <w:shd w:val="clear" w:color="auto"/>
        <w:rPr>
          <w:rFonts w:hint="eastAsia" w:ascii="宋体" w:hAnsi="宋体" w:cs="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1" w:name="_Toc55204178"/>
      <w:r/>
      <w:r/>
    </w:p>
    <w:p>
      <w:pPr>
        <w:pStyle w:val="847"/>
        <w:shd w:val="clear" w:color="auto"/>
        <w:rPr>
          <w:color w:val="auto"/>
          <w:highlight w:val="none"/>
        </w:rPr>
      </w:pPr>
      <w:r/>
      <w:bookmarkStart w:id="42" w:name="_Toc10032"/>
      <w:r>
        <w:rPr>
          <w:rFonts w:hint="eastAsia"/>
          <w:color w:val="auto"/>
          <w:highlight w:val="none"/>
        </w:rPr>
        <w:t xml:space="preserve">第二章 投标人须知</w:t>
      </w:r>
      <w:bookmarkEnd w:id="41"/>
      <w:r/>
      <w:bookmarkEnd w:id="42"/>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JSZC-321000-SWGC-G2026-0021</w:t>
      </w:r>
      <w:r>
        <w:rPr>
          <w:rFonts w:hint="eastAsia" w:ascii="宋体" w:hAnsi="宋体" w:eastAsia="宋体" w:cs="宋体"/>
          <w:bCs/>
          <w:color w:val="auto"/>
          <w:szCs w:val="21"/>
          <w:highlight w:val="none"/>
          <w:lang w:eastAsia="zh-CN"/>
        </w:rPr>
        <w:t xml:space="preserve">号</w:t>
      </w:r>
      <w:r>
        <w:rPr>
          <w:rFonts w:hint="eastAsia" w:ascii="宋体" w:hAnsi="宋体" w:eastAsia="宋体" w:cs="宋体"/>
          <w:bCs/>
          <w:color w:val="auto"/>
          <w:szCs w:val="21"/>
          <w:highlight w:val="none"/>
        </w:rPr>
        <w:t xml:space="preserve">项目。</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 在本项目政府采购活动过程中，如果所执行的标准有更新的，按照最新标准执行。</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shd w:val="clear" w:color="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4.2本次采购由中标人在领取中标通知书前参照《招标代理服务收费管理暂行办法》(计价格【2002】1980号文)货物类标准的四折一次性支付给招标代理机构代理服务费。</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（1）代理服务费以人民币支付；</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（2）代理服务费一次性以电汇或转账等非现金形式支付。</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（3）代理服务费不在报价中单列，由中标人支付给代理机构。</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开户名称：江苏苏维工程管理有限公司</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开户账号：1108020819100000612</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4.3专家评审费按照《扬州市财政局关于进一步规范扬州市政府采购专家评审费标准的通知》（扬财购〔2020〕40号）执行。</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8.3招标文件的修改将在“扬州市政府采购网”、“江苏政府采购网”和“中国政府采购网”公布，补充文件将作为招标文件的组成部分，并对投标人具有约束力。</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项目单价按投标配置及分项报价表中要求填报。</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bookmarkStart w:id="43" w:name="_Toc16938541"/>
      <w:r/>
      <w:bookmarkStart w:id="44" w:name="_Toc513029225"/>
      <w:r/>
      <w:bookmarkStart w:id="45" w:name="_Toc20823297"/>
      <w:r/>
      <w:bookmarkStart w:id="46" w:name="_Toc462564084"/>
      <w:r>
        <w:rPr>
          <w:rFonts w:hint="eastAsia" w:ascii="宋体" w:hAnsi="宋体" w:eastAsia="宋体" w:cs="宋体"/>
          <w:b/>
          <w:color w:val="auto"/>
          <w:szCs w:val="21"/>
          <w:highlight w:val="none"/>
        </w:rPr>
        <w:t xml:space="preserve">17、投标文件</w:t>
      </w:r>
      <w:bookmarkEnd w:id="43"/>
      <w:r/>
      <w:bookmarkEnd w:id="44"/>
      <w:r/>
      <w:bookmarkEnd w:id="45"/>
      <w:r/>
      <w:bookmarkEnd w:id="46"/>
      <w:r>
        <w:rPr>
          <w:rFonts w:hint="eastAsia" w:ascii="宋体" w:hAnsi="宋体" w:eastAsia="宋体" w:cs="宋体"/>
          <w:b/>
          <w:color w:val="auto"/>
          <w:szCs w:val="21"/>
          <w:highlight w:val="none"/>
        </w:rPr>
        <w:t xml:space="preserve">的递交</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7" w:name="_Toc16938542"/>
      <w:r/>
      <w:bookmarkStart w:id="48" w:name="_Toc513029226"/>
      <w:r/>
      <w:bookmarkStart w:id="49" w:name="_Toc20823298"/>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17.2政府采购管理交易系统（苏采云）相关要求是本招标文件的组成部分。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keepLines w:val="0"/>
        <w:keepNext w:val="0"/>
        <w:pageBreakBefore w:val="0"/>
        <w:spacing w:line="360" w:lineRule="auto"/>
        <w:shd w:val="clear" w:color="auto"/>
        <w:widowControl w:val="off"/>
        <w:rPr>
          <w:rFonts w:hint="eastAsia" w:ascii="宋体" w:hAnsi="宋体" w:eastAsia="宋体" w:cs="宋体"/>
          <w:bCs/>
          <w:color w:val="auto"/>
          <w:highlight w:val="none"/>
        </w:rPr>
      </w:pPr>
      <w:r>
        <w:rPr>
          <w:rFonts w:hint="eastAsia" w:ascii="宋体" w:hAnsi="宋体" w:eastAsia="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7"/>
      <w:r/>
      <w:bookmarkEnd w:id="48"/>
      <w:r/>
      <w:bookmarkEnd w:id="49"/>
      <w:r/>
      <w:r/>
    </w:p>
    <w:p>
      <w:pPr>
        <w:ind w:firstLine="420"/>
        <w:keepLines w:val="0"/>
        <w:keepNext w:val="0"/>
        <w:pageBreakBefore w:val="0"/>
        <w:spacing w:line="360" w:lineRule="auto"/>
        <w:shd w:val="clear" w:color="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bookmarkStart w:id="50" w:name="_Toc16938543"/>
      <w:r/>
      <w:bookmarkStart w:id="51" w:name="_Toc513029227"/>
      <w:r/>
      <w:bookmarkStart w:id="52" w:name="_Toc20823299"/>
      <w:r>
        <w:rPr>
          <w:rFonts w:hint="eastAsia" w:ascii="宋体" w:hAnsi="宋体" w:eastAsia="宋体" w:cs="宋体"/>
          <w:b/>
          <w:color w:val="auto"/>
          <w:szCs w:val="21"/>
          <w:highlight w:val="none"/>
        </w:rPr>
        <w:t xml:space="preserve">19、投标文件</w:t>
      </w:r>
      <w:bookmarkEnd w:id="50"/>
      <w:r/>
      <w:bookmarkEnd w:id="51"/>
      <w:r/>
      <w:bookmarkEnd w:id="52"/>
      <w:r>
        <w:rPr>
          <w:rFonts w:hint="eastAsia" w:ascii="宋体" w:hAnsi="宋体" w:eastAsia="宋体" w:cs="宋体"/>
          <w:b/>
          <w:color w:val="auto"/>
          <w:szCs w:val="21"/>
          <w:highlight w:val="none"/>
        </w:rPr>
        <w:t xml:space="preserve">的拒收</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bookmarkStart w:id="53" w:name="_Toc16938544"/>
      <w:r/>
      <w:bookmarkStart w:id="54" w:name="_Toc513029228"/>
      <w:r/>
      <w:bookmarkStart w:id="55" w:name="_Toc20823300"/>
      <w:r>
        <w:rPr>
          <w:rFonts w:hint="eastAsia" w:ascii="宋体" w:hAnsi="宋体" w:eastAsia="宋体" w:cs="宋体"/>
          <w:b/>
          <w:color w:val="auto"/>
          <w:szCs w:val="21"/>
          <w:highlight w:val="none"/>
        </w:rPr>
        <w:t xml:space="preserve">20、投标文件的撤回和修改</w:t>
      </w:r>
      <w:bookmarkEnd w:id="53"/>
      <w:r/>
      <w:bookmarkEnd w:id="54"/>
      <w:r/>
      <w:bookmarkEnd w:id="55"/>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21.2开标仪式由代理机构组织。“政府采购管理交易系统（苏采云）”将自动对项目进行开标，并宣读各投标人的《开标一览表》。</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接到评委会澄清要求的投标人如未按规定做出澄清，其风险由投标人自行承担。</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 异常低价投标审查</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25.9.1 评标过程中出现下列情形之一的，评标委员会应当启动异常低价投标审查程序：</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3.投标（响应）报价低于采购项目最高限价45%的，即投标（响应）报价&lt;采购项目最高限价×45%； </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评标委员会按照本招标文件规定对投标人进行异常低价投标审查后，认为投标人不能证明其报价合理性的。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 xml:space="preserve">26.1.13 </w:t>
      </w:r>
      <w:r>
        <w:rPr>
          <w:rFonts w:hint="eastAsia" w:ascii="宋体" w:hAnsi="宋体" w:eastAsia="宋体" w:cs="宋体"/>
          <w:b w:val="0"/>
          <w:bCs/>
          <w:color w:val="auto"/>
          <w:szCs w:val="21"/>
          <w:highlight w:val="none"/>
          <w:lang w:val="en-US" w:eastAsia="zh-CN"/>
        </w:rPr>
        <w:t xml:space="preserve">投标人所投标产品不符合招标文件中所列国家强制性标准的。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26.1.14其他法律、法规及本招标文件规定的属无效投标的情形。</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26.2.2出现影响采购公正的违法、违规行为的。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27.3代理机构将在“扬州市政府采购网”、“江苏省政府采购网”和“中国政府采购网”发布中标公告，公告期限为1个工作日。</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2"/>
        <w:keepLines w:val="0"/>
        <w:keepNext w:val="0"/>
        <w:pageBreakBefore w:val="0"/>
        <w:spacing w:line="360" w:lineRule="auto"/>
        <w:shd w:val="clear" w:color="auto"/>
        <w:widowControl w:val="off"/>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采购人及</w:t>
      </w:r>
      <w:r>
        <w:rPr>
          <w:rFonts w:hint="eastAsia" w:ascii="宋体" w:hAnsi="宋体" w:eastAsia="宋体" w:cs="宋体"/>
          <w:bCs/>
          <w:color w:val="auto"/>
          <w:szCs w:val="21"/>
          <w:highlight w:val="none"/>
          <w:lang w:eastAsia="zh-CN"/>
        </w:rPr>
        <w:t xml:space="preserve">代理机构</w:t>
      </w:r>
      <w:r>
        <w:rPr>
          <w:rFonts w:hint="eastAsia" w:ascii="宋体" w:hAnsi="宋体" w:eastAsia="宋体" w:cs="宋体"/>
          <w:bCs/>
          <w:color w:val="auto"/>
          <w:szCs w:val="21"/>
          <w:highlight w:val="none"/>
        </w:rPr>
        <w:t xml:space="preserve">只接收以纸质原件形式送达的质疑,建议供应商尽量通过邮寄方式提交质疑（采购人和</w:t>
      </w:r>
      <w:r>
        <w:rPr>
          <w:rFonts w:hint="eastAsia" w:ascii="宋体" w:hAnsi="宋体" w:eastAsia="宋体" w:cs="宋体"/>
          <w:bCs/>
          <w:color w:val="auto"/>
          <w:szCs w:val="21"/>
          <w:highlight w:val="none"/>
          <w:lang w:eastAsia="zh-CN"/>
        </w:rPr>
        <w:t xml:space="preserve">代理机构</w:t>
      </w:r>
      <w:r>
        <w:rPr>
          <w:rFonts w:hint="eastAsia" w:ascii="宋体" w:hAnsi="宋体" w:eastAsia="宋体" w:cs="宋体"/>
          <w:bCs/>
          <w:color w:val="auto"/>
          <w:szCs w:val="21"/>
          <w:highlight w:val="none"/>
        </w:rPr>
        <w:t xml:space="preserve">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31、货物（包含与货物相关的服务）的追加</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32、政府采购履约资金扶持政策</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shd w:val="clear" w:color="auto"/>
        <w:widowControl w:val="off"/>
        <w:rPr>
          <w:rFonts w:hint="eastAsia" w:ascii="宋体" w:hAnsi="宋体" w:eastAsia="宋体" w:cs="宋体"/>
          <w:b/>
          <w:bCs/>
          <w:color w:val="auto"/>
          <w:highlight w:val="none"/>
        </w:rPr>
      </w:pPr>
      <w:r>
        <w:rPr>
          <w:rFonts w:hint="eastAsia" w:ascii="宋体" w:hAnsi="宋体" w:eastAsia="宋体" w:cs="宋体"/>
          <w:b/>
          <w:color w:val="auto"/>
          <w:szCs w:val="21"/>
          <w:highlight w:val="none"/>
          <w:lang w:val="en-US" w:eastAsia="zh-CN"/>
        </w:rPr>
        <w:t xml:space="preserve">33</w:t>
      </w:r>
      <w:r>
        <w:rPr>
          <w:rFonts w:hint="eastAsia" w:ascii="宋体" w:hAnsi="宋体" w:eastAsia="宋体" w:cs="宋体"/>
          <w:b/>
          <w:color w:val="auto"/>
          <w:szCs w:val="21"/>
          <w:highlight w:val="none"/>
        </w:rPr>
        <w:t xml:space="preserve">、</w:t>
      </w:r>
      <w:r>
        <w:rPr>
          <w:rFonts w:hint="eastAsia" w:ascii="宋体" w:hAnsi="宋体" w:eastAsia="宋体" w:cs="宋体"/>
          <w:b/>
          <w:bCs/>
          <w:color w:val="auto"/>
          <w:highlight w:val="none"/>
        </w:rPr>
        <w:t xml:space="preserve">其他</w:t>
      </w:r>
      <w:r/>
    </w:p>
    <w:p>
      <w:pPr>
        <w:ind w:firstLine="420"/>
        <w:keepLines w:val="0"/>
        <w:keepNext w:val="0"/>
        <w:pageBreakBefore w:val="0"/>
        <w:spacing w:line="360" w:lineRule="auto"/>
        <w:shd w:val="clear" w:color="auto"/>
        <w:widowControl w:val="off"/>
        <w:rPr>
          <w:rFonts w:hint="eastAsia" w:ascii="宋体" w:hAnsi="宋体" w:eastAsia="宋体" w:cs="宋体"/>
          <w:bCs/>
          <w:color w:val="auto"/>
          <w:szCs w:val="21"/>
          <w:highlight w:val="none"/>
        </w:rPr>
      </w:pPr>
      <w:r>
        <w:rPr>
          <w:rFonts w:hint="eastAsia" w:ascii="宋体" w:hAnsi="宋体" w:eastAsia="宋体" w:cs="宋体"/>
          <w:color w:val="auto"/>
          <w:highlight w:val="none"/>
          <w:lang w:val="en-US" w:eastAsia="zh-CN"/>
        </w:rPr>
        <w:t xml:space="preserve">33</w:t>
      </w:r>
      <w:r>
        <w:rPr>
          <w:rFonts w:hint="eastAsia" w:ascii="宋体" w:hAnsi="宋体" w:eastAsia="宋体" w:cs="宋体"/>
          <w:color w:val="auto"/>
          <w:highlight w:val="none"/>
        </w:rPr>
        <w:t xml:space="preserve">.1 依据《政府采购促进中小企业发展管理办法》享受扶持政策获得政府采购合同的，小微企业不得将合同分包给大中型企业，中型企业不得将合同分包给大型企业。</w:t>
      </w:r>
      <w:r/>
    </w:p>
    <w:p>
      <w:pPr>
        <w:ind w:firstLine="420"/>
        <w:spacing w:line="44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47"/>
        <w:shd w:val="clear" w:color="auto"/>
        <w:rPr>
          <w:color w:val="auto"/>
          <w:highlight w:val="none"/>
        </w:rPr>
      </w:pPr>
      <w:r/>
      <w:bookmarkStart w:id="56" w:name="_Toc55204179"/>
      <w:r/>
      <w:bookmarkStart w:id="57" w:name="_Toc18427"/>
      <w:r/>
      <w:bookmarkStart w:id="58" w:name="_Hlk69392822"/>
      <w:r>
        <w:rPr>
          <w:rFonts w:hint="eastAsia"/>
          <w:color w:val="auto"/>
          <w:highlight w:val="none"/>
        </w:rPr>
        <w:t xml:space="preserve">第三章 合同条款及格式</w:t>
      </w:r>
      <w:bookmarkEnd w:id="56"/>
      <w:r/>
      <w:bookmarkEnd w:id="57"/>
      <w:r/>
      <w:r/>
    </w:p>
    <w:p>
      <w:pPr>
        <w:pStyle w:val="1048"/>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以下为中标后签定本项目合同的通用条款，中标人不得提出实质性的修改，关于专用条款将由采购人与中标人结合本项目具体情况协商后签订。</w:t>
      </w:r>
      <w:r/>
    </w:p>
    <w:p>
      <w:pPr>
        <w:jc w:val="center"/>
        <w:spacing w:before="156" w:after="156"/>
        <w:shd w:val="clear" w:color="auto"/>
        <w:rPr>
          <w:rFonts w:hint="eastAsia" w:ascii="宋体" w:hAnsi="宋体"/>
          <w:b/>
          <w:color w:val="auto"/>
          <w:szCs w:val="21"/>
          <w:highlight w:val="none"/>
        </w:rPr>
        <w:outlineLvl w:val="0"/>
      </w:pPr>
      <w:r>
        <w:rPr>
          <w:rFonts w:hint="eastAsia" w:ascii="宋体" w:hAnsi="宋体"/>
          <w:b/>
          <w:color w:val="auto"/>
          <w:szCs w:val="21"/>
          <w:highlight w:val="none"/>
        </w:rPr>
        <w:t xml:space="preserve">采购合同</w:t>
      </w:r>
      <w:r/>
    </w:p>
    <w:p>
      <w:pPr>
        <w:pStyle w:val="1048"/>
        <w:ind w:firstLine="420"/>
        <w:keepLines w:val="0"/>
        <w:keepNext w:val="0"/>
        <w:pageBreakBefore w:val="0"/>
        <w:spacing w:line="360" w:lineRule="auto"/>
        <w:shd w:val="clear" w:color="auto"/>
        <w:widowControl w:val="off"/>
        <w:rPr>
          <w:rFonts w:hint="eastAsia" w:hAnsi="宋体" w:eastAsia="宋体" w:cs="宋体"/>
          <w:color w:val="auto"/>
          <w:sz w:val="21"/>
          <w:highlight w:val="none"/>
          <w:lang w:eastAsia="zh-CN"/>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苏北人民医院骨质疏松专病数据库科研平台建设项目</w:t>
      </w:r>
      <w:r/>
    </w:p>
    <w:p>
      <w:pPr>
        <w:pStyle w:val="1048"/>
        <w:ind w:firstLine="420"/>
        <w:keepLines w:val="0"/>
        <w:keepNext w:val="0"/>
        <w:pageBreakBefore w:val="0"/>
        <w:spacing w:line="360" w:lineRule="auto"/>
        <w:shd w:val="clear" w:color="auto"/>
        <w:widowControl w:val="off"/>
        <w:rPr>
          <w:rFonts w:hint="eastAsia" w:hAnsi="宋体" w:eastAsia="宋体" w:cs="宋体"/>
          <w:color w:val="auto"/>
          <w:sz w:val="21"/>
          <w:highlight w:val="none"/>
          <w:lang w:eastAsia="zh-CN"/>
        </w:rPr>
      </w:pPr>
      <w:r>
        <w:rPr>
          <w:rFonts w:hint="eastAsia" w:hAnsi="宋体" w:cs="宋体"/>
          <w:color w:val="auto"/>
          <w:sz w:val="21"/>
          <w:highlight w:val="none"/>
        </w:rPr>
        <w:t xml:space="preserve">项目编号：</w:t>
      </w:r>
      <w:r>
        <w:rPr>
          <w:rFonts w:hint="eastAsia" w:hAnsi="宋体" w:cs="宋体"/>
          <w:color w:val="auto"/>
          <w:sz w:val="21"/>
          <w:highlight w:val="none"/>
          <w:lang w:eastAsia="zh-CN"/>
        </w:rPr>
        <w:t xml:space="preserve">JSZC-321000-SWGC-G2026-0021号</w:t>
      </w:r>
      <w:r/>
    </w:p>
    <w:p>
      <w:pPr>
        <w:pStyle w:val="1048"/>
        <w:ind w:firstLine="420"/>
        <w:keepLines w:val="0"/>
        <w:keepNext w:val="0"/>
        <w:pageBreakBefore w:val="0"/>
        <w:spacing w:line="360" w:lineRule="auto"/>
        <w:shd w:val="clear" w:color="auto"/>
        <w:widowControl w:val="off"/>
        <w:rPr>
          <w:rFonts w:hint="eastAsia" w:hAnsi="宋体" w:eastAsia="宋体" w:cs="宋体"/>
          <w:color w:val="auto"/>
          <w:sz w:val="21"/>
          <w:highlight w:val="none"/>
          <w:lang w:eastAsia="zh-CN"/>
        </w:rPr>
      </w:pPr>
      <w:r>
        <w:rPr>
          <w:rFonts w:hint="eastAsia" w:hAnsi="宋体" w:cs="宋体"/>
          <w:color w:val="auto"/>
          <w:sz w:val="21"/>
          <w:highlight w:val="none"/>
        </w:rPr>
        <w:t xml:space="preserve">甲方：（买方）</w:t>
      </w:r>
      <w:r>
        <w:rPr>
          <w:rFonts w:hint="eastAsia" w:hAnsi="宋体" w:cs="宋体"/>
          <w:color w:val="auto"/>
          <w:sz w:val="21"/>
          <w:highlight w:val="none"/>
          <w:lang w:eastAsia="zh-CN"/>
        </w:rPr>
        <w:t xml:space="preserve">苏北人民医院</w:t>
      </w:r>
      <w:r/>
    </w:p>
    <w:p>
      <w:pPr>
        <w:pStyle w:val="1048"/>
        <w:ind w:firstLine="420"/>
        <w:keepLines w:val="0"/>
        <w:keepNext w:val="0"/>
        <w:pageBreakBefore w:val="0"/>
        <w:spacing w:line="360" w:lineRule="auto"/>
        <w:shd w:val="clear" w:color="auto"/>
        <w:widowControl w:val="off"/>
        <w:rPr>
          <w:rFonts w:hint="eastAsia" w:hAnsi="宋体" w:cs="宋体"/>
          <w:color w:val="auto"/>
          <w:sz w:val="21"/>
          <w:highlight w:val="none"/>
        </w:rPr>
      </w:pPr>
      <w:r>
        <w:rPr>
          <w:rFonts w:hint="eastAsia" w:hAnsi="宋体" w:cs="宋体"/>
          <w:color w:val="auto"/>
          <w:sz w:val="21"/>
          <w:highlight w:val="none"/>
        </w:rPr>
        <w:t xml:space="preserve">乙方：（卖方）_________</w:t>
      </w:r>
      <w:r/>
    </w:p>
    <w:p>
      <w:pPr>
        <w:pStyle w:val="865"/>
        <w:ind w:firstLine="420"/>
        <w:keepLines w:val="0"/>
        <w:keepNext w:val="0"/>
        <w:pageBreakBefore w:val="0"/>
        <w:spacing w:line="360" w:lineRule="auto"/>
        <w:shd w:val="clear" w:color="auto"/>
        <w:widowControl w:val="off"/>
        <w:rPr>
          <w:rFonts w:hint="eastAsia" w:hAnsi="宋体" w:cs="宋体"/>
          <w:color w:val="auto"/>
          <w:sz w:val="21"/>
          <w:highlight w:val="none"/>
        </w:rPr>
      </w:pPr>
      <w:r>
        <w:rPr>
          <w:rFonts w:hint="eastAsia" w:hAnsi="宋体" w:cs="宋体"/>
          <w:color w:val="auto"/>
          <w:sz w:val="21"/>
          <w:highlight w:val="none"/>
        </w:rPr>
        <w:t xml:space="preserve">根据《中华人民共和国民法典》等法律法规的规定，甲乙双方按照江苏苏维工程管理有限公司关于本项目</w:t>
      </w:r>
      <w:r>
        <w:rPr>
          <w:rFonts w:hint="eastAsia" w:hAnsi="宋体" w:cs="宋体"/>
          <w:color w:val="auto"/>
          <w:sz w:val="21"/>
          <w:highlight w:val="none"/>
          <w:u w:val="single"/>
        </w:rPr>
        <w:t xml:space="preserve">                        </w:t>
      </w:r>
      <w:r>
        <w:rPr>
          <w:rFonts w:hint="eastAsia" w:hAnsi="宋体" w:cs="宋体"/>
          <w:color w:val="auto"/>
          <w:sz w:val="21"/>
          <w:highlight w:val="none"/>
        </w:rPr>
        <w:t xml:space="preserve">采购结果签订本合同。</w:t>
      </w:r>
      <w:r/>
    </w:p>
    <w:p>
      <w:pPr>
        <w:pStyle w:val="1048"/>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、货物及伴随服务</w:t>
      </w:r>
      <w:r/>
    </w:p>
    <w:p>
      <w:pPr>
        <w:pStyle w:val="1048"/>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1048"/>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1048"/>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865"/>
        <w:ind w:firstLine="422"/>
        <w:keepLines w:val="0"/>
        <w:keepNext w:val="0"/>
        <w:pageBreakBefore w:val="0"/>
        <w:spacing w:line="360" w:lineRule="auto"/>
        <w:shd w:val="clear" w:color="auto"/>
        <w:widowControl w:val="off"/>
        <w:rPr>
          <w:rFonts w:hint="eastAsia" w:hAnsi="宋体" w:cs="宋体"/>
          <w:b/>
          <w:bCs/>
          <w:color w:val="auto"/>
          <w:sz w:val="21"/>
          <w:highlight w:val="none"/>
        </w:rPr>
      </w:pPr>
      <w:r>
        <w:rPr>
          <w:rFonts w:hint="eastAsia" w:hAnsi="宋体" w:cs="宋体"/>
          <w:b/>
          <w:bCs/>
          <w:color w:val="auto"/>
          <w:sz w:val="21"/>
          <w:highlight w:val="none"/>
        </w:rPr>
        <w:t xml:space="preserve">2、合同总金额</w:t>
      </w:r>
      <w:r/>
    </w:p>
    <w:p>
      <w:pPr>
        <w:pStyle w:val="865"/>
        <w:ind w:firstLine="420"/>
        <w:keepLines w:val="0"/>
        <w:keepNext w:val="0"/>
        <w:pageBreakBefore w:val="0"/>
        <w:spacing w:line="360" w:lineRule="auto"/>
        <w:shd w:val="clear" w:color="auto"/>
        <w:widowControl w:val="off"/>
        <w:rPr>
          <w:rFonts w:hint="eastAsia" w:hAnsi="宋体" w:cs="宋体"/>
          <w:color w:val="auto"/>
          <w:sz w:val="21"/>
          <w:highlight w:val="none"/>
        </w:rPr>
      </w:pPr>
      <w:r>
        <w:rPr>
          <w:rFonts w:hint="eastAsia" w:hAnsi="宋体" w:cs="宋体"/>
          <w:color w:val="auto"/>
          <w:sz w:val="21"/>
          <w:highlight w:val="none"/>
        </w:rPr>
        <w:t xml:space="preserve">2.1 本合同金额为（大写）：</w:t>
      </w:r>
      <w:r>
        <w:rPr>
          <w:rFonts w:hint="eastAsia" w:hAnsi="宋体" w:cs="宋体"/>
          <w:color w:val="auto"/>
          <w:sz w:val="21"/>
          <w:highlight w:val="none"/>
          <w:u w:val="single"/>
        </w:rPr>
        <w:t xml:space="preserve">               </w:t>
      </w:r>
      <w:r>
        <w:rPr>
          <w:rFonts w:hint="eastAsia" w:hAnsi="宋体" w:cs="宋体"/>
          <w:color w:val="auto"/>
          <w:sz w:val="21"/>
          <w:highlight w:val="none"/>
        </w:rPr>
        <w:t xml:space="preserve">元人民币（¥</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860"/>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该合同总价款中包括但不限于服务费、加班费、税金、管理费、风险费及政策性文件规定等与本项目相关的全部费用。</w:t>
      </w:r>
      <w:r/>
    </w:p>
    <w:p>
      <w:pPr>
        <w:pStyle w:val="865"/>
        <w:ind w:firstLine="422"/>
        <w:keepLines w:val="0"/>
        <w:keepNext w:val="0"/>
        <w:pageBreakBefore w:val="0"/>
        <w:spacing w:line="360" w:lineRule="auto"/>
        <w:shd w:val="clear" w:color="auto"/>
        <w:widowControl w:val="off"/>
        <w:rPr>
          <w:rFonts w:hint="eastAsia"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865"/>
        <w:ind w:firstLine="420"/>
        <w:keepLines w:val="0"/>
        <w:keepNext w:val="0"/>
        <w:pageBreakBefore w:val="0"/>
        <w:spacing w:line="360" w:lineRule="auto"/>
        <w:shd w:val="clear" w:color="auto"/>
        <w:widowControl w:val="off"/>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3.1乙方应按招标文件规定的时间向甲方提供服务的有关技术资料。</w:t>
      </w:r>
      <w:r/>
    </w:p>
    <w:p>
      <w:pPr>
        <w:pStyle w:val="865"/>
        <w:ind w:firstLine="420"/>
        <w:keepLines w:val="0"/>
        <w:keepNext w:val="0"/>
        <w:pageBreakBefore w:val="0"/>
        <w:spacing w:line="360" w:lineRule="auto"/>
        <w:shd w:val="clear" w:color="auto"/>
        <w:widowControl w:val="off"/>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65"/>
        <w:ind w:firstLine="420"/>
        <w:keepLines w:val="0"/>
        <w:keepNext w:val="0"/>
        <w:pageBreakBefore w:val="0"/>
        <w:spacing w:line="360" w:lineRule="auto"/>
        <w:shd w:val="clear" w:color="auto"/>
        <w:widowControl w:val="off"/>
        <w:rPr>
          <w:rFonts w:hint="eastAsia" w:hAnsi="宋体" w:cs="宋体"/>
          <w:color w:val="auto"/>
          <w:sz w:val="21"/>
          <w:highlight w:val="none"/>
        </w:rPr>
      </w:pPr>
      <w:r>
        <w:rPr>
          <w:rFonts w:hint="eastAsia" w:hAnsi="宋体" w:cs="宋体"/>
          <w:color w:val="auto"/>
          <w:sz w:val="21"/>
          <w:highlight w:val="none"/>
        </w:rPr>
        <w:t xml:space="preserve">3.3 关于本项目采购的采购文件、乙方</w:t>
      </w:r>
      <w:r>
        <w:rPr>
          <w:rFonts w:hint="eastAsia" w:hAnsi="宋体" w:cs="宋体"/>
          <w:color w:val="auto"/>
          <w:sz w:val="21"/>
          <w:highlight w:val="none"/>
          <w:lang w:val="en-US" w:eastAsia="zh-CN"/>
        </w:rPr>
        <w:t xml:space="preserve">投标</w:t>
      </w:r>
      <w:r>
        <w:rPr>
          <w:rFonts w:hint="eastAsia" w:hAnsi="宋体" w:cs="宋体"/>
          <w:color w:val="auto"/>
          <w:sz w:val="21"/>
          <w:highlight w:val="none"/>
        </w:rPr>
        <w:t xml:space="preserve">文件或与本次采购活动方式相适应的文件及有关附件是本合同不可分割的组成部分，这些文件包括但不限于：</w:t>
      </w:r>
      <w:r/>
    </w:p>
    <w:p>
      <w:pPr>
        <w:pStyle w:val="865"/>
        <w:ind w:firstLine="420"/>
        <w:keepLines w:val="0"/>
        <w:keepNext w:val="0"/>
        <w:pageBreakBefore w:val="0"/>
        <w:spacing w:line="360" w:lineRule="auto"/>
        <w:shd w:val="clear" w:color="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（1）招标文件；                   （2）投标配置与分项报价表；</w:t>
      </w:r>
      <w:r/>
    </w:p>
    <w:p>
      <w:pPr>
        <w:pStyle w:val="865"/>
        <w:ind w:firstLine="420"/>
        <w:keepLines w:val="0"/>
        <w:keepNext w:val="0"/>
        <w:pageBreakBefore w:val="0"/>
        <w:spacing w:line="360" w:lineRule="auto"/>
        <w:shd w:val="clear" w:color="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（3）</w:t>
      </w:r>
      <w:r>
        <w:rPr>
          <w:rFonts w:hint="eastAsia" w:hAnsi="宋体"/>
          <w:color w:val="auto"/>
          <w:sz w:val="21"/>
          <w:szCs w:val="21"/>
          <w:highlight w:val="none"/>
        </w:rPr>
        <w:t xml:space="preserve">技术参数响应及偏离表</w:t>
      </w:r>
      <w:r>
        <w:rPr>
          <w:rFonts w:hint="eastAsia" w:hAnsi="宋体" w:cs="宋体"/>
          <w:color w:val="auto"/>
          <w:sz w:val="21"/>
          <w:szCs w:val="21"/>
          <w:highlight w:val="none"/>
        </w:rPr>
        <w:t xml:space="preserve">         （4）</w:t>
      </w:r>
      <w:r>
        <w:rPr>
          <w:rFonts w:hint="eastAsia" w:hAnsi="宋体"/>
          <w:color w:val="auto"/>
          <w:sz w:val="21"/>
          <w:szCs w:val="21"/>
          <w:highlight w:val="none"/>
        </w:rPr>
        <w:t xml:space="preserve">商务条款响应及偏离表</w:t>
      </w:r>
      <w:r>
        <w:rPr>
          <w:rFonts w:hint="eastAsia" w:hAnsi="宋体" w:cs="宋体"/>
          <w:color w:val="auto"/>
          <w:sz w:val="21"/>
          <w:szCs w:val="21"/>
          <w:highlight w:val="none"/>
        </w:rPr>
        <w:t xml:space="preserve">；</w:t>
      </w:r>
      <w:r/>
    </w:p>
    <w:p>
      <w:pPr>
        <w:pStyle w:val="865"/>
        <w:ind w:firstLine="420"/>
        <w:keepLines w:val="0"/>
        <w:keepNext w:val="0"/>
        <w:pageBreakBefore w:val="0"/>
        <w:spacing w:line="360" w:lineRule="auto"/>
        <w:shd w:val="clear" w:color="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（5）服务承诺（如有）；           （6）中标通知书；</w:t>
      </w:r>
      <w:r/>
    </w:p>
    <w:p>
      <w:pPr>
        <w:pStyle w:val="865"/>
        <w:ind w:firstLine="420"/>
        <w:keepLines w:val="0"/>
        <w:keepNext w:val="0"/>
        <w:pageBreakBefore w:val="0"/>
        <w:spacing w:line="360" w:lineRule="auto"/>
        <w:shd w:val="clear" w:color="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（7）甲乙双方补充协议；           （8）乙方投标时提供的投标文件。</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4、双方的权利和义务</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4.1甲方的权利和义务</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4.1.1甲方成立由院领导或相关科室负责人参与的领导和实施小组，并指定专人负责在本合同执行过程中的组织和协调工作。</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4.1.2 甲方按需组织由实施小组或领导小组成员参加的项目例会，协调解决问题，跟踪工作进度。</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4.1.3甲方为乙方现场安装调试和正式部署提供必要的软件、硬件、网络、基础数据等条件，以满足软件安装调试的需要。</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4.1.4为使本软件完成后能更好地进行今后的维护工作，甲方安排一名以上维护人员全程跟踪学习、参与安装调试。</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4.1.5甲方有权知晓各种技术和方案的细节，并提出改进意见。</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4.1.</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甲方负责及时签收乙方交付的标的物，按期进行工程进度的确认、项目系统的验收，并按照合同规定的付款方式及时付款。</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 乙方的权利和义务</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4.2.1 乙方指定</w:t>
      </w:r>
      <w:r>
        <w:rPr>
          <w:rFonts w:hint="eastAsia" w:hAnsi="宋体" w:cs="宋体"/>
          <w:color w:val="auto"/>
          <w:sz w:val="21"/>
          <w:highlight w:val="none"/>
          <w:u w:val="single"/>
        </w:rPr>
        <w:t xml:space="preserve">     </w:t>
      </w:r>
      <w:r>
        <w:rPr>
          <w:rFonts w:hint="eastAsia" w:hAnsi="宋体" w:cs="宋体"/>
          <w:color w:val="auto"/>
          <w:sz w:val="21"/>
          <w:highlight w:val="none"/>
        </w:rPr>
        <w:t xml:space="preserve">为本合同负责人，代表乙方在合同履行过程行使权利和履行义务。</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4.2.2 在甲方提供的条件符合后，甲方正式书面提出安装调试和测试后，乙方负责在</w:t>
      </w:r>
      <w:r>
        <w:rPr>
          <w:rFonts w:hint="eastAsia" w:hAnsi="宋体" w:cs="宋体"/>
          <w:color w:val="auto"/>
          <w:sz w:val="21"/>
          <w:highlight w:val="none"/>
          <w:u w:val="single"/>
        </w:rPr>
        <w:t xml:space="preserve">  </w:t>
      </w:r>
      <w:r>
        <w:rPr>
          <w:rFonts w:hint="eastAsia" w:hAnsi="宋体" w:cs="宋体"/>
          <w:color w:val="auto"/>
          <w:sz w:val="21"/>
          <w:highlight w:val="none"/>
        </w:rPr>
        <w:t xml:space="preserve">天内完成安装调试、测试、人员培训等系统上线工作，待甲方验收合格后交付甲方正式使用。</w:t>
      </w:r>
      <w:r/>
    </w:p>
    <w:p>
      <w:pPr>
        <w:pStyle w:val="865"/>
        <w:ind w:firstLine="420"/>
        <w:spacing w:line="360" w:lineRule="auto"/>
        <w:shd w:val="clear" w:color="auto"/>
        <w:rPr>
          <w:rFonts w:hint="eastAsia" w:hAnsi="宋体" w:cs="宋体"/>
          <w:color w:val="auto"/>
          <w:sz w:val="21"/>
          <w:highlight w:val="none"/>
          <w:lang w:eastAsia="zh"/>
        </w:rPr>
      </w:pPr>
      <w:r>
        <w:rPr>
          <w:rFonts w:hint="eastAsia" w:hAnsi="宋体" w:cs="宋体"/>
          <w:color w:val="auto"/>
          <w:sz w:val="21"/>
          <w:highlight w:val="none"/>
        </w:rPr>
        <w:t xml:space="preserve">4.2.3第三方工具产品需向甲方提供足够数量的正版软件许可，包括服务器端的许可或客户端的许可，并提供培训。</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4.2.4乙方按承诺函要求派遣适合本合同内容及进度要求的技术人员队伍，并指派专人负责该工作，确保按双方约定的要求保质、保量地完成软件的开发安装调试工作。</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4.2.5乙方应及时、主动地向甲方通告工作进展及所需要解决的问题。</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4.2.6指导甲方相关人员进行基础数据的准备、整理工作。</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4.2.7在整个安装调试过程中对甲方相关人员进行软件功能、作用、和使用操作进行培训。</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4.2.8乙方在产品安装调试过程中应向甲方提供相关文档及技术资料。</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4.2.9如因乙方原因无法为甲方提供持续的售后服务和产品升级，乙方需无偿向甲方提供本产品的源代码，以保证甲方系统的正常稳定运行。</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4.2.10乙方对所供系统终身维保，终身使用，保证院方的投资效益。乙方应保障系统不发生重大故障，</w:t>
      </w:r>
      <w:r>
        <w:rPr>
          <w:rFonts w:hint="eastAsia" w:hAnsi="宋体" w:cs="宋体"/>
          <w:color w:val="auto"/>
          <w:sz w:val="21"/>
          <w:highlight w:val="none"/>
          <w:lang w:eastAsia="zh"/>
        </w:rPr>
        <w:t xml:space="preserve">并承诺不会在事先未征得甲方许可时以“后门”、“验证码”、“产品码”等形式干扰产品的正常使用，</w:t>
      </w:r>
      <w:r>
        <w:rPr>
          <w:rFonts w:hint="eastAsia" w:hAnsi="宋体" w:cs="宋体"/>
          <w:color w:val="auto"/>
          <w:sz w:val="21"/>
          <w:highlight w:val="none"/>
        </w:rPr>
        <w:t xml:space="preserve">否则甲方有权追溯乙方相关责任。</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4.2.11乙方需严格履行承诺函中的各项条款，保证系统全面、顺利实施。</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4.2.12 乙方不得部分或全部转让本合同内应履行义务。</w:t>
      </w:r>
      <w:r/>
    </w:p>
    <w:p>
      <w:pPr>
        <w:pStyle w:val="865"/>
        <w:ind w:firstLine="422"/>
        <w:spacing w:line="360" w:lineRule="auto"/>
        <w:shd w:val="clear" w:color="auto"/>
        <w:rPr>
          <w:rFonts w:hint="eastAsia" w:hAnsi="宋体" w:cs="宋体"/>
          <w:b/>
          <w:bCs/>
          <w:color w:val="auto"/>
          <w:sz w:val="21"/>
          <w:highlight w:val="none"/>
          <w:u w:val="single"/>
        </w:rPr>
      </w:pPr>
      <w:r>
        <w:rPr>
          <w:rFonts w:hint="eastAsia" w:hAnsi="宋体" w:cs="宋体"/>
          <w:b/>
          <w:bCs/>
          <w:color w:val="auto"/>
          <w:sz w:val="21"/>
          <w:highlight w:val="none"/>
        </w:rPr>
        <w:t xml:space="preserve">5、</w:t>
      </w:r>
      <w:r>
        <w:rPr>
          <w:rFonts w:hint="eastAsia" w:hAnsi="宋体" w:cs="宋体"/>
          <w:b/>
          <w:bCs/>
          <w:color w:val="auto"/>
          <w:sz w:val="21"/>
          <w:highlight w:val="none"/>
          <w:lang w:val="en-US" w:eastAsia="zh-CN"/>
        </w:rPr>
        <w:t xml:space="preserve">项目</w:t>
      </w:r>
      <w:r>
        <w:rPr>
          <w:rFonts w:hint="eastAsia" w:hAnsi="宋体" w:cs="宋体"/>
          <w:b/>
          <w:bCs/>
          <w:color w:val="auto"/>
          <w:sz w:val="21"/>
          <w:highlight w:val="none"/>
        </w:rPr>
        <w:t xml:space="preserve">实施</w:t>
      </w:r>
      <w:r/>
    </w:p>
    <w:p>
      <w:pPr>
        <w:pStyle w:val="865"/>
        <w:ind w:firstLine="422"/>
        <w:spacing w:line="360" w:lineRule="auto"/>
        <w:shd w:val="clear" w:color="auto"/>
        <w:rPr>
          <w:rFonts w:hint="default" w:hAnsi="宋体" w:cs="宋体"/>
          <w:b/>
          <w:bCs/>
          <w:color w:val="auto"/>
          <w:sz w:val="21"/>
          <w:highlight w:val="none"/>
          <w:u w:val="single"/>
          <w:lang w:val="en-US" w:eastAsia="zh-CN"/>
        </w:rPr>
      </w:pPr>
      <w:r>
        <w:rPr>
          <w:rFonts w:hint="eastAsia" w:hAnsi="宋体" w:cs="宋体"/>
          <w:b/>
          <w:bCs/>
          <w:color w:val="auto"/>
          <w:sz w:val="21"/>
          <w:highlight w:val="none"/>
          <w:u w:val="single"/>
          <w:lang w:val="en-US" w:eastAsia="zh-CN"/>
        </w:rPr>
        <w:t xml:space="preserve">5.1 乙方应委派至少1名具有类似项目经验的负责人在现场进行项目管理与推进，保障项目顺利实施。项目验收前乙方至少安排1名研发人员驻场实施。</w:t>
      </w:r>
      <w:r/>
    </w:p>
    <w:p>
      <w:pPr>
        <w:pStyle w:val="865"/>
        <w:ind w:firstLine="422"/>
        <w:spacing w:line="360" w:lineRule="auto"/>
        <w:shd w:val="clear" w:color="auto"/>
        <w:rPr>
          <w:rFonts w:hint="default" w:hAnsi="宋体" w:cs="宋体"/>
          <w:b/>
          <w:bCs/>
          <w:color w:val="auto"/>
          <w:sz w:val="21"/>
          <w:highlight w:val="none"/>
          <w:u w:val="single"/>
          <w:lang w:val="en-US" w:eastAsia="zh-CN"/>
        </w:rPr>
      </w:pPr>
      <w:r>
        <w:rPr>
          <w:rFonts w:hint="eastAsia" w:hAnsi="宋体" w:cs="宋体"/>
          <w:b/>
          <w:bCs/>
          <w:color w:val="auto"/>
          <w:sz w:val="21"/>
          <w:highlight w:val="none"/>
          <w:u w:val="none"/>
          <w:lang w:val="en-US" w:eastAsia="zh-CN"/>
        </w:rPr>
        <w:t xml:space="preserve">5.2 具体实施计划：</w:t>
      </w:r>
      <w:r>
        <w:rPr>
          <w:rFonts w:hint="eastAsia" w:hAnsi="宋体" w:cs="宋体"/>
          <w:b/>
          <w:bCs/>
          <w:color w:val="auto"/>
          <w:sz w:val="21"/>
          <w:highlight w:val="none"/>
          <w:u w:val="single"/>
        </w:rPr>
        <w:t xml:space="preserve">                 </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6、售后服务条款及质保服务</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6.1本合同自验收之日起</w:t>
      </w:r>
      <w:r>
        <w:rPr>
          <w:rFonts w:hint="eastAsia" w:hAnsi="宋体" w:cs="宋体"/>
          <w:color w:val="auto"/>
          <w:sz w:val="21"/>
          <w:highlight w:val="none"/>
          <w:u w:val="single"/>
        </w:rPr>
        <w:t xml:space="preserve">  </w:t>
      </w:r>
      <w:r>
        <w:rPr>
          <w:rFonts w:hint="eastAsia" w:hAnsi="宋体" w:cs="宋体"/>
          <w:color w:val="auto"/>
          <w:sz w:val="21"/>
          <w:highlight w:val="none"/>
          <w:u w:val="single"/>
          <w:lang w:val="en-US" w:eastAsia="zh-CN"/>
        </w:rPr>
        <w:t xml:space="preserve">  </w:t>
      </w:r>
      <w:r>
        <w:rPr>
          <w:rFonts w:hint="eastAsia" w:hAnsi="宋体" w:cs="宋体"/>
          <w:color w:val="auto"/>
          <w:sz w:val="21"/>
          <w:highlight w:val="none"/>
          <w:u w:val="single"/>
        </w:rPr>
        <w:t xml:space="preserve"> </w:t>
      </w:r>
      <w:r>
        <w:rPr>
          <w:rFonts w:hint="eastAsia" w:hAnsi="宋体" w:cs="宋体"/>
          <w:color w:val="auto"/>
          <w:sz w:val="21"/>
          <w:highlight w:val="none"/>
        </w:rPr>
        <w:t xml:space="preserve">年内对软</w:t>
      </w:r>
      <w:r>
        <w:rPr>
          <w:rFonts w:hint="eastAsia" w:hAnsi="宋体" w:cs="宋体"/>
          <w:color w:val="auto"/>
          <w:sz w:val="21"/>
          <w:highlight w:val="none"/>
          <w:lang w:val="en-US" w:eastAsia="zh-CN"/>
        </w:rPr>
        <w:t xml:space="preserve">硬</w:t>
      </w:r>
      <w:r>
        <w:rPr>
          <w:rFonts w:hint="eastAsia" w:hAnsi="宋体" w:cs="宋体"/>
          <w:color w:val="auto"/>
          <w:sz w:val="21"/>
          <w:highlight w:val="none"/>
        </w:rPr>
        <w:t xml:space="preserve">件提供免费维护服务。</w:t>
      </w:r>
      <w:r/>
    </w:p>
    <w:p>
      <w:pPr>
        <w:pStyle w:val="865"/>
        <w:ind w:firstLine="420"/>
        <w:spacing w:line="360" w:lineRule="auto"/>
        <w:shd w:val="clear" w:color="auto"/>
        <w:rPr>
          <w:rFonts w:hint="default" w:hAnsi="宋体" w:eastAsia="宋体" w:cs="宋体"/>
          <w:color w:val="auto"/>
          <w:sz w:val="21"/>
          <w:highlight w:val="none"/>
          <w:lang w:val="en-US" w:eastAsia="zh-CN"/>
        </w:rPr>
      </w:pPr>
      <w:r>
        <w:rPr>
          <w:rFonts w:hint="eastAsia" w:hAnsi="宋体" w:cs="宋体"/>
          <w:color w:val="auto"/>
          <w:sz w:val="21"/>
          <w:highlight w:val="none"/>
          <w:lang w:val="en-US" w:eastAsia="zh-CN"/>
        </w:rPr>
        <w:t xml:space="preserve">6.2免费维护期满后，维保费用不应超过中标金额的8%,双方另外签署收费维护期合同。</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7.2质保期内条款</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7.2.1乙方提供7*24小时技术支持，并不限支持次数。</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7.2.2乙方免费对医院技术人员进行系统管理、操作培训。</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7.2.3乙方提供专门技术服务人员进行项目后期跟踪，提供定期的现场服务</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（每年不少于</w:t>
      </w:r>
      <w:r>
        <w:rPr>
          <w:rFonts w:hint="eastAsia" w:hAnsi="宋体" w:cs="宋体"/>
          <w:color w:val="auto"/>
          <w:sz w:val="21"/>
          <w:highlight w:val="none"/>
          <w:u w:val="single"/>
        </w:rPr>
        <w:t xml:space="preserve">  </w:t>
      </w:r>
      <w:r>
        <w:rPr>
          <w:rFonts w:hint="eastAsia" w:hAnsi="宋体" w:cs="宋体"/>
          <w:color w:val="auto"/>
          <w:sz w:val="21"/>
          <w:highlight w:val="none"/>
        </w:rPr>
        <w:t xml:space="preserve">次），及时检查并处理问题。</w:t>
      </w:r>
      <w:r/>
    </w:p>
    <w:p>
      <w:pPr>
        <w:pStyle w:val="865"/>
        <w:ind w:firstLine="420"/>
        <w:spacing w:line="360" w:lineRule="auto"/>
        <w:shd w:val="clear" w:color="auto"/>
        <w:rPr>
          <w:rFonts w:hint="eastAsia" w:hAnsi="宋体" w:cs="宋体"/>
          <w:b/>
          <w:bCs/>
          <w:color w:val="auto"/>
          <w:sz w:val="21"/>
          <w:highlight w:val="none"/>
        </w:rPr>
      </w:pPr>
      <w:r>
        <w:rPr>
          <w:rFonts w:hint="eastAsia" w:hAnsi="宋体" w:cs="宋体"/>
          <w:color w:val="auto"/>
          <w:sz w:val="21"/>
          <w:highlight w:val="none"/>
        </w:rPr>
        <w:t xml:space="preserve">7.2.4免费维护期内，乙方指派</w:t>
      </w:r>
      <w:r>
        <w:rPr>
          <w:rFonts w:hint="eastAsia" w:hAnsi="宋体" w:cs="宋体"/>
          <w:color w:val="auto"/>
          <w:sz w:val="21"/>
          <w:highlight w:val="none"/>
          <w:u w:val="single"/>
        </w:rPr>
        <w:t xml:space="preserve">  </w:t>
      </w:r>
      <w:r>
        <w:rPr>
          <w:rFonts w:hint="eastAsia" w:hAnsi="宋体" w:cs="宋体"/>
          <w:color w:val="auto"/>
          <w:sz w:val="21"/>
          <w:highlight w:val="none"/>
        </w:rPr>
        <w:t xml:space="preserve">名技术工程师驻院提供技术支持服务，派遣的工程师均为具备相关技术资格认证的工程师，保证提供专业的、正确的和高效的技术服务和技术培训。（具体工程师名单，项目签收整体验收报告时同时报备，并按医院的作息制度上下班）</w:t>
      </w:r>
      <w:r/>
    </w:p>
    <w:p>
      <w:pPr>
        <w:pStyle w:val="860"/>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8.1 知识产权</w:t>
      </w:r>
      <w:r/>
    </w:p>
    <w:p>
      <w:pPr>
        <w:pStyle w:val="860"/>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8.1.1根据本合同产生的全部研究开发成果(包括软件产品及其升级产品和以此为基础研发出的其他技术成果)的知识产权，包括可能产生的专利等，归甲方所有，乙方应无偿配合申报。</w:t>
      </w:r>
      <w:r/>
    </w:p>
    <w:p>
      <w:pPr>
        <w:pStyle w:val="860"/>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8.1.2双方确定，甲方有权利用乙方按照本合同约定提供的研究开发成果，进行后续改进。由此产生的具有实质性或创造性技术进步特征的新的技术成果及其权利归属，由甲方享有。</w:t>
      </w:r>
      <w:r/>
    </w:p>
    <w:p>
      <w:pPr>
        <w:pStyle w:val="860"/>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8.2 保密约定</w:t>
      </w:r>
      <w:r/>
    </w:p>
    <w:p>
      <w:pPr>
        <w:pStyle w:val="860"/>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8.2.1甲方保证应用系统的所有涉及的商业机密和文档资料，不透露给第三方。</w:t>
      </w:r>
      <w:r/>
    </w:p>
    <w:p>
      <w:pPr>
        <w:pStyle w:val="860"/>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8.2.2乙方确保甲方数据的安全与保密性，不得将甲方数据带离医院，不得泄露和用于其它用途。不得以任何方式向第三方泄露在本合同实施过程中获取的甲方经济、技术以及其他甲方不同意公开的信息。</w:t>
      </w:r>
      <w:r/>
    </w:p>
    <w:p>
      <w:pPr>
        <w:pStyle w:val="860"/>
        <w:ind w:firstLine="420"/>
        <w:spacing w:line="360" w:lineRule="auto"/>
        <w:shd w:val="clear" w:color="auto"/>
        <w:rPr>
          <w:rFonts w:hint="eastAsia" w:ascii="宋体" w:hAnsi="宋体" w:cs="宋体"/>
          <w:color w:val="auto"/>
          <w:sz w:val="21"/>
          <w:szCs w:val="21"/>
          <w:highlight w:val="none"/>
        </w:rPr>
      </w:pPr>
      <w:r>
        <w:rPr>
          <w:rFonts w:hint="eastAsia" w:hAnsi="宋体" w:cs="宋体"/>
          <w:color w:val="auto"/>
          <w:sz w:val="21"/>
          <w:highlight w:val="none"/>
        </w:rPr>
        <w:t xml:space="preserve">8.2.3乙方确保提供系统具有合法知识产权，在项目实施过程中向甲方提供合法的相关实施文档及技术资料。乙方保证甲方在使用该系统时不受第三方提出侵犯其著作权、专利权、商标权和工业设计权的起诉。一旦出现专利侵权，乙方应负全部责任并承担一切后果。 </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9、产权保证</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乙方保证所交付的服务和服务所涉及的物品所有权无任何抵押、查封等权利瑕疵。</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因本合同服务瑕疵产生的法律风险由乙方承担，因此导致甲方损失的，乙方除应赔偿甲方全部损失外，并按本合同价款的5%支付违约金。</w:t>
      </w:r>
      <w:r/>
    </w:p>
    <w:p>
      <w:pPr>
        <w:pStyle w:val="865"/>
        <w:ind w:left="-2"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10、履约保证金</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无</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11、转包或分包</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11.1 本合同禁止转包，本合同范围的服务，应由乙方直接提供的，不得转让他人提供。</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如乙方违反本条规定转包或者分包，乙方应按合同总价款5%支付甲方违约金，并赔偿甲方损失，且甲方有权解除合同，乙方无权要求支付价款。</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11.2 经甲方同意，乙方可以依法采取分包方式履行合同，但是分包方式履行的，乙方应就采购项目向甲方负全责。</w:t>
      </w:r>
      <w:r/>
    </w:p>
    <w:p>
      <w:pPr>
        <w:pStyle w:val="865"/>
        <w:ind w:firstLine="422"/>
        <w:spacing w:line="360" w:lineRule="auto"/>
        <w:shd w:val="clear" w:color="auto"/>
        <w:rPr>
          <w:rFonts w:hint="eastAsia" w:hAnsi="宋体" w:cs="宋体"/>
          <w:color w:val="auto"/>
          <w:sz w:val="21"/>
          <w:highlight w:val="none"/>
        </w:rPr>
      </w:pPr>
      <w:r>
        <w:rPr>
          <w:rFonts w:hint="eastAsia" w:hAnsi="宋体" w:cs="宋体"/>
          <w:b/>
          <w:bCs/>
          <w:color w:val="auto"/>
          <w:sz w:val="21"/>
          <w:highlight w:val="none"/>
        </w:rPr>
        <w:t xml:space="preserve">12、</w:t>
      </w:r>
      <w:r>
        <w:rPr>
          <w:rFonts w:hint="eastAsia" w:hAnsi="宋体" w:cs="宋体"/>
          <w:b/>
          <w:bCs/>
          <w:color w:val="auto"/>
          <w:sz w:val="21"/>
          <w:highlight w:val="none"/>
          <w:lang w:val="en-US" w:eastAsia="zh-CN"/>
        </w:rPr>
        <w:t xml:space="preserve">合同履行期限</w:t>
      </w:r>
      <w:r>
        <w:rPr>
          <w:rFonts w:hint="eastAsia" w:hAnsi="宋体" w:cs="宋体"/>
          <w:b/>
          <w:bCs/>
          <w:color w:val="auto"/>
          <w:sz w:val="21"/>
          <w:highlight w:val="none"/>
        </w:rPr>
        <w:t xml:space="preserve">：</w:t>
      </w:r>
      <w:r>
        <w:rPr>
          <w:rFonts w:hint="eastAsia" w:hAnsi="宋体" w:cs="宋体"/>
          <w:color w:val="auto"/>
          <w:sz w:val="21"/>
          <w:highlight w:val="none"/>
          <w:u w:val="single"/>
        </w:rPr>
        <w:t xml:space="preserve">合同签订之日起60天内（除不可抗力、非乙方原因）完成实施安装、调试、试运行、验收等工作并交付甲方使用。</w:t>
      </w:r>
      <w:r>
        <w:rPr>
          <w:rFonts w:hint="eastAsia" w:hAnsi="宋体" w:cs="宋体"/>
          <w:color w:val="auto"/>
          <w:sz w:val="21"/>
          <w:highlight w:val="none"/>
          <w:u w:val="single"/>
          <w:lang w:val="en-US" w:eastAsia="zh-CN"/>
        </w:rPr>
        <w:t xml:space="preserve">乙方</w:t>
      </w:r>
      <w:r>
        <w:rPr>
          <w:rFonts w:hint="eastAsia" w:hAnsi="宋体" w:cs="宋体"/>
          <w:color w:val="auto"/>
          <w:sz w:val="21"/>
          <w:highlight w:val="none"/>
          <w:u w:val="single"/>
        </w:rPr>
        <w:t xml:space="preserve">须在合同服务期内，完成本项目实施的全部内容。</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、交付期、交付方式及交付地点</w:t>
      </w:r>
      <w:r/>
    </w:p>
    <w:p>
      <w:pPr>
        <w:pStyle w:val="865"/>
        <w:ind w:firstLine="422"/>
        <w:spacing w:line="360" w:lineRule="auto"/>
        <w:shd w:val="clear" w:color="auto"/>
        <w:rPr>
          <w:rFonts w:hint="eastAsia" w:hAnsi="宋体" w:eastAsia="宋体" w:cs="宋体"/>
          <w:b/>
          <w:bCs/>
          <w:color w:val="auto"/>
          <w:sz w:val="21"/>
          <w:highlight w:val="none"/>
          <w:u w:val="single"/>
          <w:lang w:eastAsia="zh-CN"/>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.1 交付期：</w:t>
      </w:r>
      <w:r>
        <w:rPr>
          <w:rFonts w:hint="eastAsia" w:hAnsi="宋体" w:cs="宋体"/>
          <w:color w:val="auto"/>
          <w:sz w:val="21"/>
          <w:highlight w:val="none"/>
          <w:u w:val="single"/>
        </w:rPr>
        <w:t xml:space="preserve">合同签订之日起60天内（除不可抗力、非乙方原因）完成实施安装、调试、试运行、验收等工作并交付甲方使用。</w:t>
      </w:r>
      <w:r>
        <w:rPr>
          <w:rFonts w:hint="eastAsia" w:hAnsi="宋体" w:cs="宋体"/>
          <w:color w:val="auto"/>
          <w:sz w:val="21"/>
          <w:highlight w:val="none"/>
          <w:u w:val="single"/>
          <w:lang w:val="en-US" w:eastAsia="zh-CN"/>
        </w:rPr>
        <w:t xml:space="preserve">乙方</w:t>
      </w:r>
      <w:r>
        <w:rPr>
          <w:rFonts w:hint="eastAsia" w:hAnsi="宋体" w:cs="宋体"/>
          <w:color w:val="auto"/>
          <w:sz w:val="21"/>
          <w:highlight w:val="none"/>
          <w:u w:val="single"/>
        </w:rPr>
        <w:t xml:space="preserve">须在合同服务期内，完成本项目实施的全部内容。</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.2 交付方式：</w:t>
      </w:r>
      <w:r>
        <w:rPr>
          <w:rFonts w:hint="eastAsia" w:hAnsi="宋体" w:cs="宋体"/>
          <w:b w:val="0"/>
          <w:bCs w:val="0"/>
          <w:color w:val="auto"/>
          <w:sz w:val="21"/>
          <w:highlight w:val="none"/>
          <w:u w:val="single"/>
        </w:rPr>
        <w:t xml:space="preserve">甲方指定方式</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.3 交付地点：</w:t>
      </w:r>
      <w:r>
        <w:rPr>
          <w:rFonts w:hint="eastAsia" w:hAnsi="宋体" w:cs="宋体"/>
          <w:b w:val="0"/>
          <w:bCs w:val="0"/>
          <w:color w:val="auto"/>
          <w:sz w:val="21"/>
          <w:highlight w:val="none"/>
          <w:u w:val="single"/>
        </w:rPr>
        <w:t xml:space="preserve">甲方指定地点</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14、付款方式</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14.1 本合同项下所有款项均以人民币支付。 </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14.2 本合同项下的采购资金由甲方支付，付款前乙方向甲方开具发票。</w:t>
      </w:r>
      <w:r/>
    </w:p>
    <w:p>
      <w:pPr>
        <w:pStyle w:val="1048"/>
        <w:ind w:firstLine="420"/>
        <w:spacing w:line="360" w:lineRule="auto"/>
        <w:shd w:val="clear" w:color="auto"/>
        <w:rPr>
          <w:rFonts w:hint="eastAsia" w:hAnsi="宋体" w:cs="宋体"/>
          <w:color w:val="auto"/>
          <w:sz w:val="21"/>
          <w:highlight w:val="none"/>
          <w:u w:val="single"/>
        </w:rPr>
      </w:pPr>
      <w:r>
        <w:rPr>
          <w:rFonts w:hint="eastAsia" w:hAnsi="宋体" w:cs="宋体"/>
          <w:color w:val="auto"/>
          <w:sz w:val="21"/>
          <w:highlight w:val="none"/>
        </w:rPr>
        <w:t xml:space="preserve">14.3 支付方式：</w:t>
      </w:r>
      <w:r>
        <w:rPr>
          <w:rFonts w:hint="eastAsia" w:hAnsi="宋体" w:cs="宋体"/>
          <w:color w:val="auto"/>
          <w:sz w:val="21"/>
          <w:highlight w:val="none"/>
          <w:u w:val="single"/>
        </w:rPr>
        <w:t xml:space="preserve">合同签订后，乙方向甲方开具</w:t>
      </w:r>
      <w:r>
        <w:rPr>
          <w:rFonts w:hint="eastAsia" w:hAnsi="宋体" w:cs="宋体"/>
          <w:color w:val="auto"/>
          <w:sz w:val="21"/>
          <w:highlight w:val="none"/>
          <w:u w:val="single"/>
          <w:lang w:val="en-US" w:eastAsia="zh-CN"/>
        </w:rPr>
        <w:t xml:space="preserve">有效</w:t>
      </w:r>
      <w:r>
        <w:rPr>
          <w:rFonts w:hint="eastAsia" w:hAnsi="宋体" w:cs="宋体"/>
          <w:color w:val="auto"/>
          <w:sz w:val="21"/>
          <w:highlight w:val="none"/>
          <w:u w:val="single"/>
        </w:rPr>
        <w:t xml:space="preserve">发票，甲方自收到发票之日起10个工作日内支付合同金额30%的预付款；</w:t>
      </w:r>
      <w:r/>
    </w:p>
    <w:p>
      <w:pPr>
        <w:pStyle w:val="1048"/>
        <w:ind w:firstLine="420"/>
        <w:spacing w:line="360" w:lineRule="auto"/>
        <w:shd w:val="clear" w:color="auto"/>
        <w:rPr>
          <w:rFonts w:hint="eastAsia" w:hAnsi="宋体" w:eastAsia="宋体" w:cs="宋体"/>
          <w:color w:val="auto"/>
          <w:sz w:val="21"/>
          <w:highlight w:val="none"/>
          <w:lang w:eastAsia="zh-CN"/>
        </w:rPr>
      </w:pPr>
      <w:r>
        <w:rPr>
          <w:rFonts w:hint="eastAsia" w:hAnsi="宋体" w:cs="宋体"/>
          <w:color w:val="auto"/>
          <w:sz w:val="21"/>
          <w:highlight w:val="none"/>
          <w:u w:val="single"/>
        </w:rPr>
        <w:t xml:space="preserve">系统上线，试运行</w:t>
      </w:r>
      <w:r>
        <w:rPr>
          <w:rFonts w:hint="eastAsia" w:hAnsi="宋体" w:cs="宋体"/>
          <w:color w:val="auto"/>
          <w:sz w:val="21"/>
          <w:highlight w:val="none"/>
          <w:u w:val="single"/>
          <w:lang w:val="en-US" w:eastAsia="zh-CN"/>
        </w:rPr>
        <w:t xml:space="preserve">一</w:t>
      </w:r>
      <w:r>
        <w:rPr>
          <w:rFonts w:hint="eastAsia" w:hAnsi="宋体" w:cs="宋体"/>
          <w:color w:val="auto"/>
          <w:sz w:val="21"/>
          <w:highlight w:val="none"/>
          <w:u w:val="single"/>
        </w:rPr>
        <w:t xml:space="preserve">个月后</w:t>
      </w:r>
      <w:r>
        <w:rPr>
          <w:rFonts w:hint="eastAsia" w:hAnsi="宋体" w:cs="宋体"/>
          <w:color w:val="auto"/>
          <w:sz w:val="21"/>
          <w:highlight w:val="none"/>
          <w:u w:val="single"/>
          <w:lang w:eastAsia="zh-CN"/>
        </w:rPr>
        <w:t xml:space="preserve">，</w:t>
      </w:r>
      <w:r>
        <w:rPr>
          <w:rFonts w:hint="eastAsia" w:hAnsi="宋体" w:cs="宋体"/>
          <w:color w:val="auto"/>
          <w:sz w:val="21"/>
          <w:highlight w:val="none"/>
          <w:u w:val="single"/>
          <w:lang w:val="en-US" w:eastAsia="zh-CN"/>
        </w:rPr>
        <w:t xml:space="preserve">经甲方验收合格，</w:t>
      </w:r>
      <w:r>
        <w:rPr>
          <w:rFonts w:hint="eastAsia" w:hAnsi="宋体" w:cs="宋体"/>
          <w:color w:val="auto"/>
          <w:sz w:val="21"/>
          <w:highlight w:val="none"/>
          <w:u w:val="single"/>
        </w:rPr>
        <w:t xml:space="preserve">乙方向甲方开具</w:t>
      </w:r>
      <w:r>
        <w:rPr>
          <w:rFonts w:hint="eastAsia" w:hAnsi="宋体" w:cs="宋体"/>
          <w:color w:val="auto"/>
          <w:sz w:val="21"/>
          <w:highlight w:val="none"/>
          <w:u w:val="single"/>
          <w:lang w:val="en-US" w:eastAsia="zh-CN"/>
        </w:rPr>
        <w:t xml:space="preserve">有效</w:t>
      </w:r>
      <w:r>
        <w:rPr>
          <w:rFonts w:hint="eastAsia" w:hAnsi="宋体" w:cs="宋体"/>
          <w:color w:val="auto"/>
          <w:sz w:val="21"/>
          <w:highlight w:val="none"/>
          <w:u w:val="single"/>
        </w:rPr>
        <w:t xml:space="preserve">发票，甲方自收到发票之日起</w:t>
      </w:r>
      <w:r>
        <w:rPr>
          <w:rFonts w:hint="eastAsia" w:hAnsi="宋体" w:cs="宋体"/>
          <w:color w:val="auto"/>
          <w:sz w:val="21"/>
          <w:highlight w:val="none"/>
          <w:u w:val="single"/>
          <w:lang w:val="en-US" w:eastAsia="zh-CN"/>
        </w:rPr>
        <w:t xml:space="preserve">1</w:t>
      </w:r>
      <w:r>
        <w:rPr>
          <w:rFonts w:hint="eastAsia" w:hAnsi="宋体" w:cs="宋体"/>
          <w:color w:val="auto"/>
          <w:sz w:val="21"/>
          <w:highlight w:val="none"/>
          <w:u w:val="single"/>
        </w:rPr>
        <w:t xml:space="preserve">0个工作日内支付合同金额的</w:t>
      </w:r>
      <w:r>
        <w:rPr>
          <w:rFonts w:hint="eastAsia" w:hAnsi="宋体" w:cs="宋体"/>
          <w:color w:val="auto"/>
          <w:sz w:val="21"/>
          <w:highlight w:val="none"/>
          <w:u w:val="single"/>
          <w:lang w:val="en-US" w:eastAsia="zh-CN"/>
        </w:rPr>
        <w:t xml:space="preserve">7</w:t>
      </w:r>
      <w:r>
        <w:rPr>
          <w:rFonts w:hint="eastAsia" w:hAnsi="宋体" w:cs="宋体"/>
          <w:color w:val="auto"/>
          <w:sz w:val="21"/>
          <w:highlight w:val="none"/>
          <w:u w:val="single"/>
        </w:rPr>
        <w:t xml:space="preserve">0%</w:t>
      </w:r>
      <w:r>
        <w:rPr>
          <w:rFonts w:hint="eastAsia" w:hAnsi="宋体" w:cs="宋体"/>
          <w:color w:val="auto"/>
          <w:sz w:val="21"/>
          <w:highlight w:val="none"/>
          <w:u w:val="single"/>
          <w:lang w:eastAsia="zh-CN"/>
        </w:rPr>
        <w:t xml:space="preserve">。</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15、税费</w:t>
      </w:r>
      <w:r/>
    </w:p>
    <w:p>
      <w:pPr>
        <w:ind w:firstLine="420"/>
        <w:spacing w:line="360" w:lineRule="auto"/>
        <w:shd w:val="clear" w:color="auto"/>
        <w:rPr>
          <w:rFonts w:hint="eastAsia" w:ascii="宋体" w:hAnsi="宋体" w:cs="宋体"/>
          <w:b/>
          <w:bCs/>
          <w:color w:val="auto"/>
          <w:szCs w:val="21"/>
          <w:highlight w:val="none"/>
        </w:rPr>
      </w:pPr>
      <w:r>
        <w:rPr>
          <w:rFonts w:hint="eastAsia" w:ascii="宋体" w:hAnsi="宋体" w:cs="宋体"/>
          <w:color w:val="auto"/>
          <w:szCs w:val="21"/>
          <w:highlight w:val="none"/>
        </w:rPr>
        <w:t xml:space="preserve">15.1</w:t>
      </w:r>
      <w:r>
        <w:rPr>
          <w:rFonts w:hint="eastAsia" w:ascii="宋体" w:hAnsi="宋体" w:eastAsia="宋体" w:cs="宋体"/>
          <w:color w:val="auto"/>
          <w:sz w:val="21"/>
          <w:szCs w:val="21"/>
          <w:highlight w:val="none"/>
        </w:rPr>
        <w:t xml:space="preserve">本合同执行中相关的一切税费均由乙方负担。</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16、违约责任</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16.1 在合同履行过程中，甲方或乙方损害对方权益，应承担违约责任。</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16.2乙方未按照合同约定满足医院的需求，应当减收或免收报酬。</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16.3乙方逾期交货的，每逾期一日应按合同总金额的万分之二支付甲方违约金；逾期超过</w:t>
      </w:r>
      <w:r>
        <w:rPr>
          <w:rFonts w:hint="eastAsia" w:hAnsi="宋体" w:cs="宋体"/>
          <w:color w:val="auto"/>
          <w:sz w:val="21"/>
          <w:highlight w:val="none"/>
          <w:u w:val="single"/>
          <w:lang w:val="en-US" w:eastAsia="zh-CN"/>
        </w:rPr>
        <w:t xml:space="preserve">30</w:t>
      </w:r>
      <w:r>
        <w:rPr>
          <w:rFonts w:hint="eastAsia" w:hAnsi="宋体" w:cs="宋体"/>
          <w:color w:val="auto"/>
          <w:sz w:val="21"/>
          <w:highlight w:val="none"/>
        </w:rPr>
        <w:t xml:space="preserve">日的，视为乙方根本违约，甲方有权解除合同，乙方除应承担前述违约责任外，甲方有权要求乙方按合同总金额的20%支付违约金。</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16.4因违约给甲方造成损失的，乙方承担违约责任，并支付合同总金额20%的违约金。</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16.5甲乙双方违反合同约定的保密义务给对方造成损失的，应当承担相应的责任。</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16.6乙方违规操作导致甲方数据丢失，乙方须无条件为甲方进行数据恢复，同时承担相应赔偿责任，甲方数据无法恢复的，乙方应向甲方支付合同金额</w:t>
      </w:r>
      <w:r>
        <w:rPr>
          <w:rFonts w:hint="eastAsia" w:hAnsi="宋体" w:cs="宋体"/>
          <w:color w:val="auto"/>
          <w:sz w:val="21"/>
          <w:highlight w:val="none"/>
          <w:u w:val="single"/>
        </w:rPr>
        <w:t xml:space="preserve">_ 20</w:t>
      </w:r>
      <w:r>
        <w:rPr>
          <w:rFonts w:hint="eastAsia" w:hAnsi="宋体" w:cs="宋体"/>
          <w:color w:val="auto"/>
          <w:sz w:val="21"/>
          <w:highlight w:val="none"/>
        </w:rPr>
        <w:t xml:space="preserve">_%的违约金，并赔偿给甲方造成的全部损失。</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16.7乙方未按合同约定履行合同义务导致甲方采取维权措施的，乙方除应承担相应的违约责任外，还需赔偿甲方采取维权措施所产生的费用，包括但不限于诉讼费、律师代理费、保全费、保全担保费、调查费、公证费、鉴定费等一切有关费用。</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17、不可抗力事件处理</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17.1 在合同有效期内，甲乙双方因不可抗力事件导致不能履行合同，则合同履行期可延长，其延长期与不可抗力影响期相同。不可抗力，是指不能预见、不能避免且不能克服的客观情况，例如出现10级以上大风、地震、地表塌方、海啸、泥石流、火灾、战争、社会罢工等双方都不可预见、无法避免且不可抗拒的自然或社会事件等，但一方违约或疏忽导致合同不能履行的不属于不可抗力因素。</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w:t>
      </w:r>
      <w:r>
        <w:rPr>
          <w:rFonts w:hint="eastAsia" w:hAnsi="宋体" w:cs="宋体"/>
          <w:color w:val="auto"/>
          <w:sz w:val="21"/>
          <w:highlight w:val="none"/>
          <w:lang w:val="en-US" w:eastAsia="zh-CN"/>
        </w:rPr>
        <w:t xml:space="preserve">7</w:t>
      </w:r>
      <w:r>
        <w:rPr>
          <w:rFonts w:hint="eastAsia" w:hAnsi="宋体" w:cs="宋体"/>
          <w:color w:val="auto"/>
          <w:sz w:val="21"/>
          <w:highlight w:val="none"/>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60"/>
        <w:ind w:firstLine="422"/>
        <w:jc w:val="both"/>
        <w:spacing w:line="360" w:lineRule="auto"/>
        <w:shd w:val="clear" w:color="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rPr>
        <w:t xml:space="preserve">、合同的变更和解除</w:t>
      </w:r>
      <w:r/>
    </w:p>
    <w:p>
      <w:pPr>
        <w:pStyle w:val="860"/>
        <w:ind w:firstLine="420"/>
        <w:jc w:val="both"/>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本合同生效后，除本合同约定或法律另有规定的情况外，未经双方协商一致，任何一方均无权单方变更、中止履行或解除本合同。否则视为违约，除本合同仍应继续履行外，违约方还应向守约方支付总费用10％的违约金。</w:t>
      </w:r>
      <w:r/>
    </w:p>
    <w:p>
      <w:pPr>
        <w:pStyle w:val="860"/>
        <w:ind w:firstLine="420"/>
        <w:jc w:val="both"/>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.2本合同约定的解除条件成就后，依约字有解除权的一方在六个月内未行使解除权的，视为其已放弃解除权，其解除权消灭。</w:t>
      </w:r>
      <w:r/>
    </w:p>
    <w:p>
      <w:pPr>
        <w:pStyle w:val="860"/>
        <w:ind w:firstLine="420"/>
        <w:jc w:val="both"/>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一方行使本合同约定的合同解除权而解除合同的，本合同于相对方收到解除合同通知之日解除，解除合同相对方对解除权人解除合同持有异议的，应在收到解除合同的通知次日起90日内向合同约定法院提起诉讼要求确认解除无效，如逾期未向法院提出解除合同效力确认之诉的，则视为该方已放弃异议权，即视为对解除权人解除合同不持异议。</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lang w:val="en-US" w:eastAsia="zh-CN"/>
        </w:rPr>
        <w:t xml:space="preserve">19</w:t>
      </w:r>
      <w:r>
        <w:rPr>
          <w:rFonts w:hint="eastAsia" w:hAnsi="宋体" w:cs="宋体"/>
          <w:b/>
          <w:bCs/>
          <w:color w:val="auto"/>
          <w:sz w:val="21"/>
          <w:highlight w:val="none"/>
        </w:rPr>
        <w:t xml:space="preserve">、争议解决</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lang w:val="en-US" w:eastAsia="zh-CN"/>
        </w:rPr>
        <w:t xml:space="preserve">19</w:t>
      </w:r>
      <w:r>
        <w:rPr>
          <w:rFonts w:hint="eastAsia" w:hAnsi="宋体" w:cs="宋体"/>
          <w:color w:val="auto"/>
          <w:sz w:val="21"/>
          <w:highlight w:val="none"/>
        </w:rPr>
        <w:t xml:space="preserve">.1 因服务的品质质量问题发生争议的，可在国家认可的质量检测机构对服务内容质量进行鉴定。服务符合标准的，鉴定费由甲方承担；服务项目不符合质量标准的，鉴定费由乙方承担。</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lang w:val="en-US" w:eastAsia="zh-CN"/>
        </w:rPr>
        <w:t xml:space="preserve">19</w:t>
      </w:r>
      <w:r>
        <w:rPr>
          <w:rFonts w:hint="eastAsia" w:hAnsi="宋体" w:cs="宋体"/>
          <w:color w:val="auto"/>
          <w:sz w:val="21"/>
          <w:highlight w:val="none"/>
        </w:rPr>
        <w:t xml:space="preserve">.2 因履行本合同引起的或与本合同有关的争议，甲、乙双方应首先通过友好协商解决；如果协商不能解决争议，甲乙双方同意最终采取下列两种方式的第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（2）向甲方所在地仲裁委员会按其仲裁规则申请仲裁。</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lang w:val="en-US" w:eastAsia="zh-CN"/>
        </w:rPr>
        <w:t xml:space="preserve">19</w:t>
      </w:r>
      <w:r>
        <w:rPr>
          <w:rFonts w:hint="eastAsia" w:hAnsi="宋体" w:cs="宋体"/>
          <w:color w:val="auto"/>
          <w:sz w:val="21"/>
          <w:highlight w:val="none"/>
        </w:rPr>
        <w:t xml:space="preserve">.3 若甲乙双方任何一方都没有选择解除合同的，为避免扩大损失，在诉讼或仲裁期间，双方应继续履行。</w:t>
      </w:r>
      <w:r/>
    </w:p>
    <w:p>
      <w:pPr>
        <w:pStyle w:val="865"/>
        <w:ind w:firstLine="422"/>
        <w:spacing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2</w:t>
      </w:r>
      <w:r>
        <w:rPr>
          <w:rFonts w:hint="eastAsia" w:hAnsi="宋体" w:cs="宋体"/>
          <w:b/>
          <w:bCs/>
          <w:color w:val="auto"/>
          <w:sz w:val="21"/>
          <w:highlight w:val="none"/>
          <w:lang w:val="en-US" w:eastAsia="zh-CN"/>
        </w:rPr>
        <w:t xml:space="preserve">0</w:t>
      </w:r>
      <w:r>
        <w:rPr>
          <w:rFonts w:hint="eastAsia" w:hAnsi="宋体" w:cs="宋体"/>
          <w:b/>
          <w:bCs/>
          <w:color w:val="auto"/>
          <w:sz w:val="21"/>
          <w:highlight w:val="none"/>
        </w:rPr>
        <w:t xml:space="preserve">、合同其它</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.1 乙方应诚实信用，严格按照采购文件要求和承诺履行合同，不向甲方进行商业贿赂或者提供不正当利益。</w:t>
      </w:r>
      <w:r/>
    </w:p>
    <w:p>
      <w:pPr>
        <w:pStyle w:val="865"/>
        <w:ind w:firstLine="420"/>
        <w:spacing w:line="360" w:lineRule="auto"/>
        <w:shd w:val="clear" w:color="auto"/>
        <w:rPr>
          <w:rFonts w:hint="eastAsia" w:hAnsi="宋体" w:cs="宋体"/>
          <w:color w:val="auto"/>
          <w:sz w:val="21"/>
          <w:highlight w:val="none"/>
          <w:u w:val="singl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.2 合同经双方法定代表人或授权代表签字并加盖单位公章后生效。</w:t>
      </w:r>
      <w:r/>
    </w:p>
    <w:p>
      <w:pPr>
        <w:pStyle w:val="865"/>
        <w:ind w:firstLine="420"/>
        <w:spacing w:line="360" w:lineRule="auto"/>
        <w:shd w:val="clear" w:color="auto"/>
        <w:rPr>
          <w:rFonts w:hint="eastAsia" w:hAnsi="宋体" w:cs="宋体"/>
          <w:color w:val="auto"/>
          <w:sz w:val="21"/>
          <w:highlight w:val="none"/>
          <w:u w:val="singl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.3本合同未尽事宜，遵照《中华人民共和国民法典》有关条文执行。</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.4 本合同正本一式肆份，具有同等法律效力，甲方执贰份，乙方执贰份。</w:t>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r>
      <w:r/>
    </w:p>
    <w:tbl>
      <w:tblPr>
        <w:tblStyle w:val="857"/>
        <w:tblpPr w:horzAnchor="page" w:tblpX="1840" w:vertAnchor="text" w:tblpY="464"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77"/>
        <w:gridCol w:w="4143"/>
      </w:tblGrid>
      <w:tr>
        <w:trPr>
          <w:trHeight w:val="467"/>
        </w:trPr>
        <w:tc>
          <w:tcPr>
            <w:tcBorders>
              <w:top w:val="none" w:color="000000" w:sz="4" w:space="0"/>
              <w:left w:val="none" w:color="000000" w:sz="4" w:space="0"/>
              <w:bottom w:val="none" w:color="000000" w:sz="4" w:space="0"/>
              <w:right w:val="none" w:color="000000" w:sz="4" w:space="0"/>
            </w:tcBorders>
            <w:tcW w:w="2568"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highlight w:val="none"/>
              </w:rPr>
              <w:suppressLineNumbers w:val="0"/>
            </w:pPr>
            <w:r/>
            <w:bookmarkStart w:id="59" w:name="_Hlk167868565"/>
            <w:r>
              <w:rPr>
                <w:rFonts w:hint="eastAsia" w:ascii="宋体" w:hAnsi="宋体" w:cs="宋体"/>
                <w:color w:val="auto"/>
                <w:sz w:val="24"/>
                <w:highlight w:val="none"/>
                <w:lang w:bidi="ar"/>
              </w:rPr>
              <w:t xml:space="preserve">甲方</w:t>
            </w:r>
            <w:r/>
          </w:p>
        </w:tc>
        <w:tc>
          <w:tcPr>
            <w:tcBorders>
              <w:top w:val="none" w:color="000000" w:sz="4" w:space="0"/>
              <w:left w:val="none" w:color="000000" w:sz="4" w:space="0"/>
              <w:bottom w:val="none" w:color="000000" w:sz="4" w:space="0"/>
              <w:right w:val="none" w:color="000000" w:sz="4" w:space="0"/>
            </w:tcBorders>
            <w:tcW w:w="2431" w:type="pct"/>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color w:val="auto"/>
                <w:sz w:val="24"/>
                <w:highlight w:val="none"/>
              </w:rPr>
              <w:suppressLineNumbers w:val="0"/>
            </w:pPr>
            <w:r>
              <w:rPr>
                <w:rFonts w:hint="eastAsia" w:ascii="宋体" w:hAnsi="宋体" w:cs="宋体"/>
                <w:color w:val="auto"/>
                <w:sz w:val="24"/>
                <w:highlight w:val="none"/>
                <w:lang w:bidi="ar"/>
              </w:rPr>
              <w:t xml:space="preserve">乙方</w:t>
            </w:r>
            <w:bookmarkEnd w:id="59"/>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rPr>
              <w:suppressLineNumbers w:val="0"/>
            </w:pPr>
            <w:r>
              <w:rPr>
                <w:rFonts w:hint="default"/>
                <w:color w:val="auto"/>
                <w:highlight w:val="none"/>
              </w:rPr>
              <w:t xml:space="preserve">单位（章）：</w:t>
            </w:r>
            <w:r>
              <w:rPr>
                <w:rFonts w:hint="eastAsia"/>
                <w:color w:val="auto"/>
                <w:highlight w:val="none"/>
                <w:lang w:eastAsia="zh-CN"/>
              </w:rPr>
              <w:t xml:space="preserve">苏北人民医院</w:t>
            </w:r>
            <w:r>
              <w:rPr>
                <w:rFonts w:hint="default"/>
                <w:color w:val="auto"/>
                <w:highlight w:val="none"/>
              </w:rPr>
              <w:t xml:space="preserve">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rPr>
              <w:suppressLineNumbers w:val="0"/>
            </w:pPr>
            <w:r>
              <w:rPr>
                <w:rFonts w:hint="default"/>
                <w:color w:val="auto"/>
                <w:highlight w:val="none"/>
              </w:rPr>
              <w:t xml:space="preserve">单位（章）：</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rPr>
              <w:suppressLineNumbers w:val="0"/>
            </w:pPr>
            <w:r>
              <w:rPr>
                <w:rFonts w:hint="default"/>
                <w:color w:val="auto"/>
                <w:highlight w:val="none"/>
              </w:rPr>
              <w:t xml:space="preserve">地址：扬州市南通西路98号</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shd w:val="clear" w:color="auto"/>
              <w:rPr>
                <w:rFonts w:hint="eastAsia" w:ascii="宋体" w:hAnsi="宋体" w:cs="宋体"/>
                <w:color w:val="auto"/>
                <w:sz w:val="24"/>
                <w:highlight w:val="none"/>
              </w:rPr>
              <w:suppressLineNumbers w:val="0"/>
            </w:pPr>
            <w:r>
              <w:rPr>
                <w:rFonts w:hint="default"/>
                <w:color w:val="auto"/>
                <w:highlight w:val="none"/>
              </w:rPr>
              <w:t xml:space="preserve">地址：</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shd w:val="clear" w:color="auto"/>
              <w:rPr>
                <w:rFonts w:hint="eastAsia" w:ascii="宋体" w:hAnsi="宋体" w:cs="宋体"/>
                <w:color w:val="auto"/>
                <w:sz w:val="24"/>
                <w:highlight w:val="none"/>
              </w:rPr>
              <w:suppressLineNumbers w:val="0"/>
            </w:pPr>
            <w:r>
              <w:rPr>
                <w:rFonts w:hint="default"/>
                <w:color w:val="auto"/>
                <w:highlight w:val="none"/>
              </w:rPr>
              <w:t xml:space="preserve">联系电话：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rPr>
              <w:suppressLineNumbers w:val="0"/>
            </w:pPr>
            <w:r>
              <w:rPr>
                <w:rFonts w:hint="default"/>
                <w:color w:val="auto"/>
                <w:highlight w:val="none"/>
              </w:rPr>
              <w:t xml:space="preserve">联系电话：</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rPr>
              <w:suppressLineNumbers w:val="0"/>
            </w:pPr>
            <w:r>
              <w:rPr>
                <w:rFonts w:hint="default"/>
                <w:color w:val="auto"/>
                <w:highlight w:val="none"/>
              </w:rPr>
              <w:t xml:space="preserve">业务主管部门负责人：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u w:val="single"/>
              </w:rPr>
              <w:suppressLineNumbers w:val="0"/>
            </w:pPr>
            <w:r>
              <w:rPr>
                <w:rFonts w:hint="default"/>
                <w:color w:val="auto"/>
                <w:highlight w:val="none"/>
              </w:rPr>
              <w:t xml:space="preserve">法定代表人：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rPr>
              <w:suppressLineNumbers w:val="0"/>
            </w:pPr>
            <w:r>
              <w:rPr>
                <w:rFonts w:hint="default"/>
                <w:color w:val="auto"/>
                <w:highlight w:val="none"/>
              </w:rPr>
              <w:t xml:space="preserve">业务部门分管院领导：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u w:val="single"/>
              </w:rPr>
              <w:suppressLineNumbers w:val="0"/>
            </w:pPr>
            <w:r>
              <w:rPr>
                <w:rFonts w:hint="default"/>
                <w:color w:val="auto"/>
                <w:highlight w:val="none"/>
              </w:rPr>
              <w:t xml:space="preserve">授权代表人：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rPr>
              <w:suppressLineNumbers w:val="0"/>
            </w:pPr>
            <w:r>
              <w:rPr>
                <w:rFonts w:hint="default"/>
                <w:color w:val="auto"/>
                <w:highlight w:val="none"/>
              </w:rPr>
              <w:t xml:space="preserve">招标采购中心负责人：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u w:val="single"/>
              </w:rPr>
              <w:suppressLineNumbers w:val="0"/>
            </w:pPr>
            <w:r>
              <w:rPr>
                <w:rFonts w:hint="default"/>
                <w:color w:val="auto"/>
                <w:highlight w:val="none"/>
              </w:rPr>
              <w:t xml:space="preserve">经办人：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rPr>
              <w:suppressLineNumbers w:val="0"/>
            </w:pPr>
            <w:r>
              <w:rPr>
                <w:rFonts w:hint="default"/>
                <w:color w:val="auto"/>
                <w:highlight w:val="none"/>
              </w:rPr>
              <w:t xml:space="preserve">招采分管院领导：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keepLines w:val="0"/>
              <w:keepNext w:val="0"/>
              <w:spacing w:before="0" w:beforeAutospacing="0" w:after="0" w:afterAutospacing="0"/>
              <w:shd w:val="clear" w:color="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shd w:val="clear" w:color="auto"/>
              <w:rPr>
                <w:rFonts w:hint="default" w:ascii="宋体" w:hAnsi="宋体" w:cs="宋体"/>
                <w:color w:val="auto"/>
                <w:sz w:val="24"/>
                <w:highlight w:val="none"/>
                <w:u w:val="single"/>
              </w:rPr>
              <w:suppressLineNumbers w:val="0"/>
            </w:pPr>
            <w:r>
              <w:rPr>
                <w:rFonts w:hint="default"/>
                <w:color w:val="auto"/>
                <w:highlight w:val="none"/>
              </w:rPr>
              <w:t xml:space="preserve">法人代表：</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keepLines w:val="0"/>
              <w:keepNext w:val="0"/>
              <w:spacing w:before="0" w:beforeAutospacing="0" w:after="0" w:afterAutospacing="0"/>
              <w:shd w:val="clear" w:color="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shd w:val="clear" w:color="auto"/>
              <w:rPr>
                <w:rFonts w:hint="eastAsia" w:ascii="宋体" w:hAnsi="宋体" w:cs="宋体"/>
                <w:color w:val="auto"/>
                <w:sz w:val="24"/>
                <w:highlight w:val="none"/>
              </w:rPr>
              <w:suppressLineNumbers w:val="0"/>
            </w:pPr>
            <w:r>
              <w:rPr>
                <w:rFonts w:hint="default"/>
                <w:color w:val="auto"/>
                <w:highlight w:val="none"/>
              </w:rPr>
              <w:t xml:space="preserve">签订日期：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shd w:val="clear" w:color="auto"/>
              <w:rPr>
                <w:rFonts w:hint="eastAsia" w:ascii="宋体" w:hAnsi="宋体" w:cs="宋体"/>
                <w:color w:val="auto"/>
                <w:sz w:val="24"/>
                <w:highlight w:val="none"/>
              </w:rPr>
              <w:suppressLineNumbers w:val="0"/>
            </w:pPr>
            <w:r>
              <w:rPr>
                <w:rFonts w:hint="default"/>
                <w:color w:val="auto"/>
                <w:highlight w:val="none"/>
              </w:rPr>
              <w:t xml:space="preserve">签订日期：    </w:t>
            </w:r>
            <w:r/>
          </w:p>
        </w:tc>
      </w:tr>
    </w:tbl>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r>
      <w:r/>
    </w:p>
    <w:p>
      <w:pPr>
        <w:pStyle w:val="865"/>
        <w:ind w:firstLine="420"/>
        <w:spacing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  </w:t>
      </w:r>
      <w:r/>
    </w:p>
    <w:p>
      <w:pPr>
        <w:pStyle w:val="1048"/>
        <w:ind w:firstLine="400"/>
        <w:spacing w:line="360" w:lineRule="auto"/>
        <w:shd w:val="clear" w:color="auto"/>
        <w:rPr>
          <w:rFonts w:hint="eastAsia" w:hAnsi="宋体" w:cs="宋体"/>
          <w:b/>
          <w:bCs/>
          <w:color w:val="auto"/>
          <w:sz w:val="21"/>
          <w:highlight w:val="none"/>
        </w:rPr>
      </w:pPr>
      <w:r>
        <w:rPr>
          <w:rFonts w:hint="eastAsia" w:ascii="宋体" w:hAnsi="宋体"/>
          <w:color w:val="auto"/>
          <w:highlight w:val="none"/>
        </w:rPr>
        <w:br w:type="page" w:clear="all"/>
      </w:r>
      <w:bookmarkEnd w:id="58"/>
      <w:r/>
      <w:r/>
    </w:p>
    <w:p>
      <w:pPr>
        <w:jc w:val="left"/>
        <w:spacing w:before="156" w:after="156"/>
        <w:shd w:val="clear" w:color="auto"/>
        <w:rPr>
          <w:rFonts w:hint="default" w:ascii="宋体" w:hAnsi="宋体"/>
          <w:b/>
          <w:color w:val="auto"/>
          <w:szCs w:val="21"/>
          <w:highlight w:val="none"/>
          <w:lang w:val="en-US" w:eastAsia="zh-CN"/>
        </w:rPr>
        <w:outlineLvl w:val="0"/>
      </w:pPr>
      <w:r>
        <w:rPr>
          <w:rFonts w:hint="eastAsia" w:ascii="宋体" w:hAnsi="宋体"/>
          <w:b/>
          <w:color w:val="auto"/>
          <w:szCs w:val="21"/>
          <w:highlight w:val="none"/>
          <w:lang w:val="en-US" w:eastAsia="zh-CN"/>
        </w:rPr>
        <w:t xml:space="preserve">附件：保密承诺书</w:t>
      </w:r>
      <w:r/>
    </w:p>
    <w:p>
      <w:pPr>
        <w:jc w:val="left"/>
        <w:keepLines w:val="0"/>
        <w:keepNext w:val="0"/>
        <w:shd w:val="clear" w:color="auto"/>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致：</w:t>
      </w:r>
      <w:r>
        <w:rPr>
          <w:rFonts w:hint="eastAsia" w:ascii="宋体" w:hAnsi="宋体" w:cs="宋体"/>
          <w:color w:val="auto"/>
          <w:sz w:val="21"/>
          <w:szCs w:val="21"/>
          <w:highlight w:val="none"/>
          <w:u w:val="single"/>
          <w:lang w:val="en-US" w:eastAsia="zh-CN" w:bidi="ar"/>
        </w:rPr>
        <w:t xml:space="preserve">苏北人民医院</w:t>
      </w:r>
      <w:r>
        <w:rPr>
          <w:rFonts w:hint="eastAsia" w:ascii="宋体" w:hAnsi="宋体" w:eastAsia="宋体" w:cs="宋体"/>
          <w:color w:val="auto"/>
          <w:sz w:val="21"/>
          <w:szCs w:val="21"/>
          <w:highlight w:val="none"/>
          <w:u w:val="single"/>
          <w:lang w:val="en-US" w:eastAsia="zh-CN" w:bidi="ar"/>
        </w:rPr>
        <w:t xml:space="preserve"> </w:t>
      </w:r>
      <w:r>
        <w:rPr>
          <w:rFonts w:ascii="宋体" w:hAnsi="宋体" w:eastAsia="宋体" w:cs="宋体"/>
          <w:color w:val="auto"/>
          <w:sz w:val="21"/>
          <w:szCs w:val="21"/>
          <w:highlight w:val="none"/>
          <w:lang w:val="en-US" w:eastAsia="zh-CN" w:bidi="ar"/>
        </w:rPr>
        <w:t xml:space="preserve">（以下简称“甲方”）</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本承诺方（以下简称“乙方”）：__________</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鉴于乙方拟与甲方就__________项目（下称“本项目”）开展合作，后续可能参与本项目相关工作并接触、知悉甲方各类保密信息。为确保甲方信息技术资料和数据的安全，保障甲方合法权益，乙方本着平等、自愿、诚实信用的原则，特向甲方作出如下不可撤销的保密承诺，以资恪守：</w:t>
      </w:r>
      <w:r/>
    </w:p>
    <w:p>
      <w:pPr>
        <w:pStyle w:val="848"/>
        <w:ind w:firstLine="420"/>
        <w:jc w:val="left"/>
        <w:keepLines w:val="0"/>
        <w:keepNext w:val="0"/>
        <w:pageBreakBefore w:val="0"/>
        <w:spacing w:before="0" w:after="0" w:line="360" w:lineRule="auto"/>
        <w:shd w:val="clear" w:color="auto"/>
        <w:widowControl/>
        <w:rPr>
          <w:color w:val="auto"/>
          <w:sz w:val="21"/>
          <w:szCs w:val="21"/>
          <w:highlight w:val="none"/>
        </w:rPr>
        <w:suppressLineNumbers w:val="0"/>
      </w:pPr>
      <w:r>
        <w:rPr>
          <w:color w:val="auto"/>
          <w:sz w:val="21"/>
          <w:szCs w:val="21"/>
          <w:highlight w:val="none"/>
        </w:rPr>
        <w:t xml:space="preserve">一、承诺保密的信息范围</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乙方承诺保密的信息包括但不限于以下内容：</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（一）本项目涉及的项目设计方案、图片素材、开发工具、流程图表、工程设计图、计算机程序代码、核心数据、专利技术、招标文件及相关配套资料；</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（二）甲方在本项目前期对接及后续实施过程中，为乙方及乙方工作人员提供的必要数据、程序文件、用户名、口令及各类专项资料；</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甲方应用软件在方案调研、需求分析、开发测试等阶段涉及的全部业务及技术文档，包括但不限于税收政策解读资料、方案设计细节、程序文件架构、数据结构说明，以及相关业务系统的软硬件配置信息、技术文档、测试报告及测试过程中产生的全部数据；</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（四）甲方的日常运营数据、经营策略及患者信息（含个人隐私、诊疗记录等敏感信息）；</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（五）甲方合理认定并书面或口头告知乙方属于保密范畴的其他任何信息。</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上述保密信息若以书面、电子等有形形式披露，甲方会标注“保密”或类似标识；若以口头、演示等无形方式披露，甲方将在披露后三十个工作日内以书面形式确认其保密属性。对于甲方未标注保密标识、未明确告知保密属性，或乙方无法判定是否属于保密信息的甲方资料，乙方承诺先向甲方书面确认，在获得甲方明确答复前，一律按保密信息对待，绝不擅自披露、使用。</w:t>
      </w:r>
      <w:r/>
    </w:p>
    <w:p>
      <w:pPr>
        <w:pStyle w:val="848"/>
        <w:ind w:firstLine="420"/>
        <w:jc w:val="left"/>
        <w:keepLines w:val="0"/>
        <w:keepNext w:val="0"/>
        <w:pageBreakBefore w:val="0"/>
        <w:spacing w:before="0" w:after="0" w:line="360" w:lineRule="auto"/>
        <w:shd w:val="clear" w:color="auto"/>
        <w:widowControl/>
        <w:rPr>
          <w:color w:val="auto"/>
          <w:sz w:val="21"/>
          <w:szCs w:val="21"/>
          <w:highlight w:val="none"/>
        </w:rPr>
        <w:suppressLineNumbers w:val="0"/>
      </w:pPr>
      <w:r>
        <w:rPr>
          <w:color w:val="auto"/>
          <w:sz w:val="21"/>
          <w:szCs w:val="21"/>
          <w:highlight w:val="none"/>
        </w:rPr>
        <w:t xml:space="preserve">二、承诺履行的保密义务</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乙方自愿严格履行以下保密义务，直至相关保密信息完全丧失保密属性：</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（一）严格恪守保密原则，对甲方的保密信息予以妥善保管，不得利用接触保密信息的便利谋取任何不正当利益，不得实施任何损害甲方合法权益的行为；</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（二）未经甲方事前书面许可，绝不以任何名义、任何方式向第三方（包括但不限于乙方内部非相关工作人员、其他单位或个人）泄露、传播甲方保密信息；</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（三）未经甲方事前书面许可，绝不将甲方的技术资料、技术成果及保密信息用于本项目以外的其他任何项目，不得擅自转让、许可他人使用；</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（四）未经甲方事前书面许可，绝不对甲方保密信息进行任何形式的修改、补充、删减、复制、备份或篡改；</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五）未经甲方事前书面许可，绝不通过电子邮件、微信、QQ等电子传输方式，或U盘、移动硬盘等存储设备，将保密信息携带出甲方指定场所，确因工作需要临时携带的，须经甲方审批并严格遵守甲方的保密管理规定；</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六）若甲乙双方合作终止（包括但不限于项目取消、合作解约等任何情形），乙方应在合作终止后五个工作日内，将其持有的全部保密信息（含原件、复印件、电子备份件等所有形式）一次性归还甲方或按甲方要求予以销毁，并出具书面确认函，说明所有保密信息已全部处理完毕，但此行为不免除乙方后续的保密义务。</w:t>
      </w:r>
      <w:r/>
    </w:p>
    <w:p>
      <w:pPr>
        <w:pStyle w:val="848"/>
        <w:ind w:firstLine="420"/>
        <w:jc w:val="left"/>
        <w:keepLines w:val="0"/>
        <w:keepNext w:val="0"/>
        <w:pageBreakBefore w:val="0"/>
        <w:spacing w:before="0" w:after="0" w:line="360" w:lineRule="auto"/>
        <w:shd w:val="clear" w:color="auto"/>
        <w:widowControl/>
        <w:rPr>
          <w:color w:val="auto"/>
          <w:sz w:val="21"/>
          <w:szCs w:val="21"/>
          <w:highlight w:val="none"/>
        </w:rPr>
        <w:suppressLineNumbers w:val="0"/>
      </w:pPr>
      <w:r>
        <w:rPr>
          <w:color w:val="auto"/>
          <w:sz w:val="21"/>
          <w:szCs w:val="21"/>
          <w:highlight w:val="none"/>
        </w:rPr>
        <w:t xml:space="preserve">三、保密信息的所有权</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乙方确认，其接触、知悉的全部保密信息均为甲方独家所有，乙方仅享有基于本项目合作目的的有限接触权，不享有任何形式的所有权、使用权（除甲方书面许可外）及其他知识产权。</w:t>
      </w:r>
      <w:r/>
    </w:p>
    <w:p>
      <w:pPr>
        <w:pStyle w:val="848"/>
        <w:ind w:firstLine="420"/>
        <w:jc w:val="left"/>
        <w:keepLines w:val="0"/>
        <w:keepNext w:val="0"/>
        <w:pageBreakBefore w:val="0"/>
        <w:spacing w:before="0" w:after="0" w:line="360" w:lineRule="auto"/>
        <w:shd w:val="clear" w:color="auto"/>
        <w:widowControl/>
        <w:rPr>
          <w:color w:val="auto"/>
          <w:sz w:val="21"/>
          <w:szCs w:val="21"/>
          <w:highlight w:val="none"/>
        </w:rPr>
        <w:suppressLineNumbers w:val="0"/>
      </w:pPr>
      <w:r>
        <w:rPr>
          <w:color w:val="auto"/>
          <w:sz w:val="21"/>
          <w:szCs w:val="21"/>
          <w:highlight w:val="none"/>
        </w:rPr>
        <w:t xml:space="preserve">四、保密期限</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（一）本承诺书项下的保密义务期限为永久有效；</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（二）即使本承诺书因任何原因失效、终止，若其中涉及的部分保密信息仍未丧失保密性，乙方对该部分信息的保密义务继续有效，仍需严格恪守，直至该信息完全公开且无保密必要。</w:t>
      </w:r>
      <w:r/>
    </w:p>
    <w:p>
      <w:pPr>
        <w:pStyle w:val="848"/>
        <w:ind w:firstLine="420"/>
        <w:jc w:val="left"/>
        <w:keepLines w:val="0"/>
        <w:keepNext w:val="0"/>
        <w:pageBreakBefore w:val="0"/>
        <w:spacing w:before="0" w:after="0" w:line="360" w:lineRule="auto"/>
        <w:shd w:val="clear" w:color="auto"/>
        <w:widowControl/>
        <w:rPr>
          <w:color w:val="auto"/>
          <w:sz w:val="21"/>
          <w:szCs w:val="21"/>
          <w:highlight w:val="none"/>
        </w:rPr>
        <w:suppressLineNumbers w:val="0"/>
      </w:pPr>
      <w:r>
        <w:rPr>
          <w:color w:val="auto"/>
          <w:sz w:val="21"/>
          <w:szCs w:val="21"/>
          <w:highlight w:val="none"/>
        </w:rPr>
        <w:t xml:space="preserve">五、违约责任</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乙方明确知晓，任何违反本承诺书约定的行为均会给甲方造成不可挽回的损失，自愿承担如下违约责任：</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（一）若乙方违反本承诺书项下任何保密义务，应向甲方一次性支付违约金，违约金金额按双方后续拟签订合作合同总额的20%计算（若未签订合同，则按甲方预估损失的20%计算，最低不低于人民币__________元）；</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若乙方的违约行为给甲方造成的实际损失（包括但不限于直接经济损失、第三方索赔、可得利益损失、维权支出的诉讼费、律师费、鉴定费、调查费、保全费等全部费用）超过上述违约金，乙方应就超出部分向甲方足额赔偿，确保甲方损失得到全面弥补；</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（三）若乙方的违约行为构成违法犯罪，甲方有权依法追究乙方的刑事责任，同时不免除乙方的民事赔偿责任。</w:t>
      </w:r>
      <w:r/>
    </w:p>
    <w:p>
      <w:pPr>
        <w:pStyle w:val="848"/>
        <w:ind w:firstLine="420"/>
        <w:jc w:val="left"/>
        <w:keepLines w:val="0"/>
        <w:keepNext w:val="0"/>
        <w:pageBreakBefore w:val="0"/>
        <w:spacing w:before="0" w:after="0" w:line="360" w:lineRule="auto"/>
        <w:shd w:val="clear" w:color="auto"/>
        <w:widowControl/>
        <w:rPr>
          <w:color w:val="auto"/>
          <w:sz w:val="21"/>
          <w:szCs w:val="21"/>
          <w:highlight w:val="none"/>
        </w:rPr>
        <w:suppressLineNumbers w:val="0"/>
      </w:pPr>
      <w:r>
        <w:rPr>
          <w:color w:val="auto"/>
          <w:sz w:val="21"/>
          <w:szCs w:val="21"/>
          <w:highlight w:val="none"/>
        </w:rPr>
        <w:t xml:space="preserve">六、其他事项</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（一）本承诺书是乙方单方自愿作出的真实意思表示，独立于双方后续可能签订的任何合作合同，即使合作合同未成立、无效或终止，本承诺书仍具有法律效力；</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（二）因本承诺书引起的任何争议，双方应首先友好协商解决；协商不成的，任何一方均有权向甲方所在地人民法院提起诉讼；</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（三）本承诺书一式</w:t>
      </w:r>
      <w:r>
        <w:rPr>
          <w:rFonts w:hint="eastAsia" w:ascii="宋体" w:hAnsi="宋体" w:eastAsia="宋体" w:cs="宋体"/>
          <w:color w:val="auto"/>
          <w:sz w:val="21"/>
          <w:szCs w:val="21"/>
          <w:highlight w:val="none"/>
          <w:lang w:val="en-US" w:eastAsia="zh-CN" w:bidi="ar"/>
        </w:rPr>
        <w:t xml:space="preserve">叁</w:t>
      </w:r>
      <w:r>
        <w:rPr>
          <w:rFonts w:ascii="宋体" w:hAnsi="宋体" w:eastAsia="宋体" w:cs="宋体"/>
          <w:color w:val="auto"/>
          <w:sz w:val="21"/>
          <w:szCs w:val="21"/>
          <w:highlight w:val="none"/>
          <w:lang w:val="en-US" w:eastAsia="zh-CN" w:bidi="ar"/>
        </w:rPr>
        <w:t xml:space="preserve">份，甲方执</w:t>
      </w:r>
      <w:r>
        <w:rPr>
          <w:rFonts w:hint="eastAsia" w:ascii="宋体" w:hAnsi="宋体" w:eastAsia="宋体" w:cs="宋体"/>
          <w:color w:val="auto"/>
          <w:sz w:val="21"/>
          <w:szCs w:val="21"/>
          <w:highlight w:val="none"/>
          <w:lang w:val="en-US" w:eastAsia="zh-CN" w:bidi="ar"/>
        </w:rPr>
        <w:t xml:space="preserve">贰</w:t>
      </w:r>
      <w:r>
        <w:rPr>
          <w:rFonts w:ascii="宋体" w:hAnsi="宋体" w:eastAsia="宋体" w:cs="宋体"/>
          <w:color w:val="auto"/>
          <w:sz w:val="21"/>
          <w:szCs w:val="21"/>
          <w:highlight w:val="none"/>
          <w:lang w:val="en-US" w:eastAsia="zh-CN" w:bidi="ar"/>
        </w:rPr>
        <w:t xml:space="preserve">份，乙方执</w:t>
      </w:r>
      <w:r>
        <w:rPr>
          <w:rFonts w:hint="eastAsia" w:ascii="宋体" w:hAnsi="宋体" w:eastAsia="宋体" w:cs="宋体"/>
          <w:color w:val="auto"/>
          <w:sz w:val="21"/>
          <w:szCs w:val="21"/>
          <w:highlight w:val="none"/>
          <w:lang w:val="en-US" w:eastAsia="zh-CN" w:bidi="ar"/>
        </w:rPr>
        <w:t xml:space="preserve">壹</w:t>
      </w:r>
      <w:r>
        <w:rPr>
          <w:rFonts w:ascii="宋体" w:hAnsi="宋体" w:eastAsia="宋体" w:cs="宋体"/>
          <w:color w:val="auto"/>
          <w:sz w:val="21"/>
          <w:szCs w:val="21"/>
          <w:highlight w:val="none"/>
          <w:lang w:val="en-US" w:eastAsia="zh-CN" w:bidi="ar"/>
        </w:rPr>
        <w:t xml:space="preserve">份，各份具有同等法律效力；</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（四）本承诺书自乙方</w:t>
      </w:r>
      <w:r>
        <w:rPr>
          <w:rFonts w:hint="eastAsia" w:ascii="宋体" w:hAnsi="宋体" w:eastAsia="宋体" w:cs="宋体"/>
          <w:color w:val="auto"/>
          <w:sz w:val="21"/>
          <w:szCs w:val="21"/>
          <w:highlight w:val="none"/>
          <w:lang w:val="en-US" w:eastAsia="zh-CN" w:bidi="ar"/>
        </w:rPr>
        <w:t xml:space="preserve">法定代表人或授权代表签字并加盖单位公章后生效</w:t>
      </w:r>
      <w:r>
        <w:rPr>
          <w:rFonts w:ascii="宋体" w:hAnsi="宋体" w:eastAsia="宋体" w:cs="宋体"/>
          <w:color w:val="auto"/>
          <w:sz w:val="21"/>
          <w:szCs w:val="21"/>
          <w:highlight w:val="none"/>
          <w:lang w:val="en-US" w:eastAsia="zh-CN" w:bidi="ar"/>
        </w:rPr>
        <w:t xml:space="preserve">。</w:t>
      </w:r>
      <w:r/>
    </w:p>
    <w:p>
      <w:pPr>
        <w:ind w:firstLine="420"/>
        <w:jc w:val="left"/>
        <w:keepLines w:val="0"/>
        <w:keepNext w:val="0"/>
        <w:pageBreakBefore w:val="0"/>
        <w:spacing w:line="360" w:lineRule="auto"/>
        <w:shd w:val="clear" w:color="auto"/>
        <w:widowControl/>
        <w:rPr>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承诺方（盖章）：__________</w:t>
      </w:r>
      <w:r/>
    </w:p>
    <w:p>
      <w:pPr>
        <w:ind w:firstLine="420"/>
        <w:jc w:val="left"/>
        <w:keepLines w:val="0"/>
        <w:keepNext w:val="0"/>
        <w:pageBreakBefore w:val="0"/>
        <w:spacing w:line="360" w:lineRule="auto"/>
        <w:shd w:val="clear" w:color="auto"/>
        <w:widowControl/>
        <w:rPr>
          <w:rFonts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法定代表人或授权代表</w:t>
      </w:r>
      <w:r>
        <w:rPr>
          <w:rFonts w:hint="eastAsia" w:ascii="宋体" w:hAnsi="宋体" w:cs="宋体"/>
          <w:color w:val="auto"/>
          <w:sz w:val="21"/>
          <w:szCs w:val="21"/>
          <w:highlight w:val="none"/>
          <w:lang w:val="en-US" w:eastAsia="zh-CN" w:bidi="ar"/>
        </w:rPr>
        <w:t xml:space="preserve">（签字并加</w:t>
      </w:r>
      <w:r>
        <w:rPr>
          <w:rFonts w:ascii="宋体" w:hAnsi="宋体" w:eastAsia="宋体" w:cs="宋体"/>
          <w:color w:val="auto"/>
          <w:sz w:val="21"/>
          <w:szCs w:val="21"/>
          <w:highlight w:val="none"/>
          <w:lang w:val="en-US" w:eastAsia="zh-CN" w:bidi="ar"/>
        </w:rPr>
        <w:t xml:space="preserve">盖章</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w:t>
      </w:r>
      <w:r/>
    </w:p>
    <w:p>
      <w:pPr>
        <w:ind w:firstLine="420"/>
        <w:jc w:val="left"/>
        <w:keepLines w:val="0"/>
        <w:keepNext w:val="0"/>
        <w:pageBreakBefore w:val="0"/>
        <w:spacing w:line="360" w:lineRule="auto"/>
        <w:shd w:val="clear" w:color="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日期：______年____月____日</w:t>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color w:val="auto"/>
          <w:highlight w:val="none"/>
        </w:rPr>
      </w:pPr>
      <w:r/>
      <w:bookmarkStart w:id="60" w:name="_Toc12506"/>
      <w:r>
        <w:rPr>
          <w:rFonts w:hint="eastAsia"/>
          <w:color w:val="auto"/>
          <w:highlight w:val="none"/>
        </w:rPr>
        <w:br w:type="page" w:clear="all"/>
      </w:r>
      <w:r/>
    </w:p>
    <w:p>
      <w:pPr>
        <w:pStyle w:val="847"/>
        <w:numPr>
          <w:ilvl w:val="0"/>
          <w:numId w:val="3"/>
        </w:numPr>
        <w:shd w:val="clear" w:color="auto"/>
        <w:rPr>
          <w:color w:val="auto"/>
          <w:highlight w:val="none"/>
        </w:rPr>
      </w:pPr>
      <w:r>
        <w:rPr>
          <w:rFonts w:hint="eastAsia"/>
          <w:color w:val="auto"/>
          <w:highlight w:val="none"/>
        </w:rPr>
        <w:t xml:space="preserve">项目需求</w:t>
      </w:r>
      <w:bookmarkEnd w:id="60"/>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bookmarkStart w:id="61"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pStyle w:val="862"/>
        <w:ind w:left="0" w:firstLine="422"/>
        <w:keepLines w:val="0"/>
        <w:keepNext w:val="0"/>
        <w:pageBreakBefore w:val="0"/>
        <w:spacing w:after="0"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862"/>
        <w:ind w:left="0" w:firstLine="422"/>
        <w:keepLines w:val="0"/>
        <w:keepNext w:val="0"/>
        <w:pageBreakBefore w:val="0"/>
        <w:spacing w:after="0"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项目属性:货物类项目。</w:t>
      </w:r>
      <w:r/>
    </w:p>
    <w:p>
      <w:pPr>
        <w:pStyle w:val="862"/>
        <w:ind w:left="0" w:firstLine="422"/>
        <w:keepLines w:val="0"/>
        <w:keepNext w:val="0"/>
        <w:pageBreakBefore w:val="0"/>
        <w:spacing w:after="0" w:line="360" w:lineRule="auto"/>
        <w:shd w:val="clear" w:color="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核心产品</w:t>
      </w:r>
      <w:r>
        <w:rPr>
          <w:rFonts w:hint="eastAsia" w:ascii="宋体" w:hAnsi="宋体" w:eastAsia="宋体" w:cs="宋体"/>
          <w:b/>
          <w:bCs/>
          <w:color w:val="auto"/>
          <w:sz w:val="21"/>
          <w:szCs w:val="21"/>
          <w:highlight w:val="none"/>
          <w:lang w:eastAsia="zh-CN"/>
        </w:rPr>
        <w:t xml:space="preserve">：</w:t>
      </w:r>
      <w:r/>
    </w:p>
    <w:tbl>
      <w:tblPr>
        <w:tblStyle w:val="85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423"/>
      </w:tblGrid>
      <w:tr>
        <w:trPr/>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2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核心产品</w:t>
            </w:r>
            <w:r/>
          </w:p>
        </w:tc>
      </w:tr>
      <w:tr>
        <w:trPr/>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2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骨质疏松专病数据库科研平台</w:t>
            </w:r>
            <w:r/>
          </w:p>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（含配套硬件）</w:t>
            </w:r>
            <w:r/>
          </w:p>
        </w:tc>
      </w:tr>
    </w:tbl>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进口产品投标</w:t>
      </w:r>
      <w:r>
        <w:rPr>
          <w:rFonts w:hint="eastAsia" w:ascii="宋体" w:hAnsi="宋体" w:eastAsia="宋体" w:cs="宋体"/>
          <w:b/>
          <w:bCs/>
          <w:color w:val="auto"/>
          <w:sz w:val="21"/>
          <w:szCs w:val="21"/>
          <w:highlight w:val="none"/>
          <w:lang w:eastAsia="zh-CN"/>
        </w:rPr>
        <w:t xml:space="preserve">：</w:t>
      </w:r>
      <w:r/>
    </w:p>
    <w:tbl>
      <w:tblPr>
        <w:tblStyle w:val="85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3411"/>
      </w:tblGrid>
      <w:tr>
        <w:trPr/>
        <w:tc>
          <w:tcPr>
            <w:tcW w:w="124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11"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w:t>
            </w:r>
            <w:r/>
          </w:p>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w:t>
            </w:r>
            <w:r/>
          </w:p>
        </w:tc>
      </w:tr>
      <w:tr>
        <w:trPr/>
        <w:tc>
          <w:tcPr>
            <w:tcW w:w="124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11"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否</w:t>
            </w:r>
            <w:r/>
          </w:p>
        </w:tc>
      </w:tr>
    </w:tbl>
    <w:p>
      <w:pPr>
        <w:numPr>
          <w:ilvl w:val="0"/>
          <w:numId w:val="4"/>
        </w:numPr>
        <w:ind w:left="0"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政府采购中实施本国产品标准及相关政策</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1.本项目对采购本国产品给予政策支持，具体内容见招标文件“第五章 评标方法与评标标准”。</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1"/>
      <w:r/>
      <w:r/>
    </w:p>
    <w:p>
      <w:pPr>
        <w:numPr>
          <w:ilvl w:val="0"/>
          <w:numId w:val="4"/>
        </w:numPr>
        <w:ind w:left="0"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bookmarkStart w:id="62" w:name="_Toc55204181"/>
      <w:r>
        <w:rPr>
          <w:rFonts w:hint="eastAsia" w:ascii="宋体" w:hAnsi="宋体" w:eastAsia="宋体" w:cs="宋体"/>
          <w:b/>
          <w:bCs/>
          <w:color w:val="auto"/>
          <w:sz w:val="21"/>
          <w:szCs w:val="21"/>
          <w:highlight w:val="none"/>
          <w:lang w:val="en-US" w:eastAsia="zh-CN" w:bidi="ar-SA"/>
        </w:rPr>
        <w:t xml:space="preserve">项目概况</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院拟建设骨质疏松专病数据库科研平台，旨在整合收集的骨质疏松症相关的临床数据、基础研究数据、影像数据等多模态数据，解决当前数据模态单一、孤岛现象显著、专病模型缺失等问题，系统需具备多模态数据采集与整合、</w:t>
      </w:r>
      <w:bookmarkStart w:id="63" w:name="OLE_LINK24"/>
      <w:r>
        <w:rPr>
          <w:rFonts w:hint="eastAsia" w:ascii="宋体" w:hAnsi="宋体" w:eastAsia="宋体" w:cs="宋体"/>
          <w:color w:val="auto"/>
          <w:sz w:val="21"/>
          <w:szCs w:val="21"/>
          <w:highlight w:val="none"/>
        </w:rPr>
        <w:t xml:space="preserve">专病模型字段管理</w:t>
      </w:r>
      <w:bookmarkEnd w:id="63"/>
      <w:r>
        <w:rPr>
          <w:rFonts w:hint="eastAsia" w:ascii="宋体" w:hAnsi="宋体" w:eastAsia="宋体" w:cs="宋体"/>
          <w:color w:val="auto"/>
          <w:sz w:val="21"/>
          <w:szCs w:val="21"/>
          <w:highlight w:val="none"/>
        </w:rPr>
        <w:t xml:space="preserve">、数据脱敏、ROI勾画、科研统计分析等功能，满足科研开发功能需求，加速科研成果产出，助力临床精准诊断、个性化治疗、发病机制研究及医疗管理优化。</w:t>
      </w:r>
      <w:r/>
    </w:p>
    <w:p>
      <w:pPr>
        <w:numPr>
          <w:ilvl w:val="0"/>
          <w:numId w:val="4"/>
        </w:numPr>
        <w:ind w:left="0"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w:t>
      </w:r>
      <w:r>
        <w:rPr>
          <w:rFonts w:hint="eastAsia" w:ascii="宋体" w:hAnsi="宋体" w:eastAsia="宋体" w:cs="宋体"/>
          <w:b/>
          <w:bCs/>
          <w:color w:val="auto"/>
          <w:sz w:val="21"/>
          <w:szCs w:val="21"/>
          <w:highlight w:val="none"/>
          <w:lang w:val="en-US" w:eastAsia="zh-CN"/>
        </w:rPr>
        <w:t xml:space="preserve">标的</w:t>
      </w:r>
      <w:r>
        <w:rPr>
          <w:rFonts w:hint="eastAsia" w:ascii="宋体" w:hAnsi="宋体" w:eastAsia="宋体" w:cs="宋体"/>
          <w:b/>
          <w:bCs/>
          <w:color w:val="auto"/>
          <w:sz w:val="21"/>
          <w:szCs w:val="21"/>
          <w:highlight w:val="none"/>
        </w:rPr>
        <w:t xml:space="preserve">清单</w:t>
      </w:r>
      <w:r/>
    </w:p>
    <w:p>
      <w:pPr>
        <w:pStyle w:val="1082"/>
        <w:ind w:left="0" w:firstLine="422"/>
        <w:jc w:val="left"/>
        <w:keepLines w:val="0"/>
        <w:keepNext w:val="0"/>
        <w:pageBreakBefore w:val="0"/>
        <w:spacing w:line="360" w:lineRule="auto"/>
        <w:shd w:val="clear" w:color="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最高限价：</w:t>
      </w:r>
      <w:r>
        <w:rPr>
          <w:rFonts w:hint="eastAsia" w:ascii="宋体" w:hAnsi="宋体" w:eastAsia="宋体" w:cs="宋体"/>
          <w:b/>
          <w:bCs/>
          <w:i/>
          <w:iCs/>
          <w:color w:val="auto"/>
          <w:sz w:val="21"/>
          <w:szCs w:val="21"/>
          <w:highlight w:val="none"/>
          <w:u w:val="single"/>
          <w:lang w:val="en-US" w:eastAsia="zh-CN"/>
        </w:rPr>
        <w:t xml:space="preserve">120</w:t>
      </w:r>
      <w:r>
        <w:rPr>
          <w:rFonts w:hint="eastAsia" w:ascii="宋体" w:hAnsi="宋体" w:eastAsia="宋体" w:cs="宋体"/>
          <w:b/>
          <w:bCs/>
          <w:i/>
          <w:iCs/>
          <w:color w:val="auto"/>
          <w:sz w:val="21"/>
          <w:szCs w:val="21"/>
          <w:highlight w:val="none"/>
          <w:u w:val="single"/>
          <w:lang w:eastAsia="zh-CN"/>
        </w:rPr>
        <w:t xml:space="preserve">万元</w:t>
      </w:r>
      <w:r>
        <w:rPr>
          <w:rFonts w:hint="eastAsia" w:ascii="宋体" w:hAnsi="宋体" w:eastAsia="宋体" w:cs="宋体"/>
          <w:b/>
          <w:bCs/>
          <w:i/>
          <w:iCs/>
          <w:color w:val="auto"/>
          <w:sz w:val="21"/>
          <w:szCs w:val="21"/>
          <w:highlight w:val="none"/>
          <w:u w:val="single"/>
        </w:rPr>
        <w:t xml:space="preserve">，投标人报价不得</w:t>
      </w:r>
      <w:r>
        <w:rPr>
          <w:rFonts w:hint="eastAsia" w:ascii="宋体" w:hAnsi="宋体" w:eastAsia="宋体" w:cs="宋体"/>
          <w:b/>
          <w:bCs/>
          <w:i/>
          <w:iCs/>
          <w:color w:val="auto"/>
          <w:sz w:val="21"/>
          <w:szCs w:val="21"/>
          <w:highlight w:val="none"/>
          <w:u w:val="single"/>
          <w:lang w:val="en-US" w:eastAsia="zh-CN"/>
        </w:rPr>
        <w:t xml:space="preserve">高于</w:t>
      </w:r>
      <w:r>
        <w:rPr>
          <w:rFonts w:hint="eastAsia" w:ascii="宋体" w:hAnsi="宋体" w:eastAsia="宋体" w:cs="宋体"/>
          <w:b/>
          <w:bCs/>
          <w:i/>
          <w:iCs/>
          <w:color w:val="auto"/>
          <w:sz w:val="21"/>
          <w:szCs w:val="21"/>
          <w:highlight w:val="none"/>
          <w:u w:val="single"/>
        </w:rPr>
        <w:t xml:space="preserve">最高限价，否则做无效投标处理。（提供开标一览表，扫描上传系统）</w:t>
      </w:r>
      <w:r/>
    </w:p>
    <w:tbl>
      <w:tblPr>
        <w:tblStyle w:val="85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951"/>
        <w:gridCol w:w="3105"/>
        <w:gridCol w:w="3193"/>
      </w:tblGrid>
      <w:tr>
        <w:trPr>
          <w:cantSplit/>
          <w:jc w:val="center"/>
          <w:trHeight w:val="607"/>
        </w:trPr>
        <w:tc>
          <w:tcPr>
            <w:tcW w:w="745" w:type="pct"/>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w:t>
            </w:r>
            <w:r/>
          </w:p>
        </w:tc>
        <w:tc>
          <w:tcPr>
            <w:tcW w:w="558" w:type="pct"/>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822" w:type="pct"/>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采购标的</w:t>
            </w:r>
            <w:r/>
          </w:p>
        </w:tc>
        <w:tc>
          <w:tcPr>
            <w:tcW w:w="1873" w:type="pct"/>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318"/>
        </w:trPr>
        <w:tc>
          <w:tcPr>
            <w:tcW w:w="745" w:type="pct"/>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1</w:t>
            </w:r>
            <w:r/>
          </w:p>
        </w:tc>
        <w:tc>
          <w:tcPr>
            <w:tcW w:w="558" w:type="pct"/>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822" w:type="pct"/>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2020"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骨质疏松专病数据库科研平台（含配套硬件）</w:t>
            </w:r>
            <w:r/>
          </w:p>
        </w:tc>
        <w:tc>
          <w:tcPr>
            <w:tcW w:w="1873" w:type="pct"/>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软件和信息技术服务业</w:t>
            </w:r>
            <w:r/>
          </w:p>
        </w:tc>
      </w:tr>
    </w:tbl>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bidi="ar-SA"/>
        </w:rPr>
        <w:t xml:space="preserve">四</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技术要求</w:t>
      </w:r>
      <w:r/>
    </w:p>
    <w:p>
      <w:pPr>
        <w:numPr>
          <w:ilvl w:val="0"/>
          <w:numId w:val="0"/>
        </w:num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1、骨质疏松基础数据采集及对接要求</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rPr>
        <w:t xml:space="preserve">须完成与医院现有数据底座对接，基于医院统一数据底座获取骨质疏松症患者相应数据</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并完成与医院已建成的骨质疏松专病筛查数据库及HIS 等核心业务系统的对接，与医院影像</w:t>
      </w:r>
      <w:r>
        <w:rPr>
          <w:rFonts w:hint="eastAsia" w:ascii="宋体" w:hAnsi="宋体" w:cs="宋体"/>
          <w:bCs/>
          <w:color w:val="auto"/>
          <w:sz w:val="21"/>
          <w:szCs w:val="21"/>
          <w:highlight w:val="none"/>
          <w:lang w:val="en-US" w:eastAsia="zh-CN"/>
        </w:rPr>
        <w:t xml:space="preserve">系统</w:t>
      </w:r>
      <w:r>
        <w:rPr>
          <w:rFonts w:hint="eastAsia" w:ascii="宋体" w:hAnsi="宋体" w:eastAsia="宋体" w:cs="宋体"/>
          <w:bCs/>
          <w:color w:val="auto"/>
          <w:sz w:val="21"/>
          <w:szCs w:val="21"/>
          <w:highlight w:val="none"/>
        </w:rPr>
        <w:t xml:space="preserve">对接</w:t>
      </w:r>
      <w:r>
        <w:rPr>
          <w:rFonts w:hint="eastAsia" w:ascii="宋体" w:hAnsi="宋体" w:cs="宋体"/>
          <w:bCs/>
          <w:color w:val="auto"/>
          <w:sz w:val="21"/>
          <w:szCs w:val="21"/>
          <w:highlight w:val="none"/>
          <w:lang w:val="en-US" w:eastAsia="zh-CN"/>
        </w:rPr>
        <w:t xml:space="preserve">获取相应数据</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支持与省</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市全民健康信息平台及影像平台对接获取区域数据，</w:t>
      </w:r>
      <w:r>
        <w:rPr>
          <w:rFonts w:hint="eastAsia" w:ascii="宋体" w:hAnsi="宋体" w:cs="宋体"/>
          <w:bCs/>
          <w:color w:val="auto"/>
          <w:sz w:val="21"/>
          <w:szCs w:val="21"/>
          <w:highlight w:val="none"/>
          <w:lang w:val="en-US" w:eastAsia="zh-CN"/>
        </w:rPr>
        <w:t xml:space="preserve">支持</w:t>
      </w:r>
      <w:r>
        <w:rPr>
          <w:rFonts w:hint="eastAsia" w:ascii="宋体" w:hAnsi="宋体" w:eastAsia="宋体" w:cs="宋体"/>
          <w:bCs/>
          <w:color w:val="auto"/>
          <w:sz w:val="21"/>
          <w:szCs w:val="21"/>
          <w:highlight w:val="none"/>
        </w:rPr>
        <w:t xml:space="preserve">与江苏省骨质疏松医防融合数智中心的对接</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投标人应将上述</w:t>
      </w:r>
      <w:r>
        <w:rPr>
          <w:rFonts w:hint="eastAsia" w:ascii="宋体" w:hAnsi="宋体" w:eastAsia="宋体" w:cs="宋体"/>
          <w:bCs/>
          <w:color w:val="auto"/>
          <w:sz w:val="21"/>
          <w:szCs w:val="21"/>
          <w:highlight w:val="none"/>
        </w:rPr>
        <w:t xml:space="preserve">所有对接工作、接口开发相关费用及各业务系统配合</w:t>
      </w:r>
      <w:r>
        <w:rPr>
          <w:rFonts w:hint="eastAsia" w:ascii="宋体" w:hAnsi="宋体" w:cs="宋体"/>
          <w:bCs/>
          <w:color w:val="auto"/>
          <w:sz w:val="21"/>
          <w:szCs w:val="21"/>
          <w:highlight w:val="none"/>
          <w:lang w:val="en-US" w:eastAsia="zh-CN"/>
        </w:rPr>
        <w:t xml:space="preserve">对接</w:t>
      </w:r>
      <w:r>
        <w:rPr>
          <w:rFonts w:hint="eastAsia" w:ascii="宋体" w:hAnsi="宋体" w:eastAsia="宋体" w:cs="宋体"/>
          <w:bCs/>
          <w:color w:val="auto"/>
          <w:sz w:val="21"/>
          <w:szCs w:val="21"/>
          <w:highlight w:val="none"/>
        </w:rPr>
        <w:t xml:space="preserve">改造费用</w:t>
      </w:r>
      <w:r>
        <w:rPr>
          <w:rFonts w:hint="eastAsia" w:ascii="宋体" w:hAnsi="宋体" w:eastAsia="宋体" w:cs="宋体"/>
          <w:bCs/>
          <w:color w:val="auto"/>
          <w:sz w:val="21"/>
          <w:szCs w:val="21"/>
          <w:highlight w:val="none"/>
          <w:lang w:val="en-US" w:eastAsia="zh-CN"/>
        </w:rPr>
        <w:t xml:space="preserve">等考虑</w:t>
      </w:r>
      <w:r>
        <w:rPr>
          <w:rFonts w:hint="eastAsia" w:ascii="宋体" w:hAnsi="宋体" w:eastAsia="宋体" w:cs="宋体"/>
          <w:bCs/>
          <w:color w:val="auto"/>
          <w:sz w:val="21"/>
          <w:szCs w:val="21"/>
          <w:highlight w:val="none"/>
        </w:rPr>
        <w:t xml:space="preserve">在</w:t>
      </w:r>
      <w:r>
        <w:rPr>
          <w:rFonts w:hint="eastAsia" w:ascii="宋体" w:hAnsi="宋体" w:eastAsia="宋体" w:cs="宋体"/>
          <w:bCs/>
          <w:color w:val="auto"/>
          <w:sz w:val="21"/>
          <w:szCs w:val="21"/>
          <w:highlight w:val="none"/>
          <w:lang w:val="en-US" w:eastAsia="zh-CN"/>
        </w:rPr>
        <w:t xml:space="preserve">投标报价中</w:t>
      </w:r>
      <w:r>
        <w:rPr>
          <w:rFonts w:hint="eastAsia" w:ascii="宋体" w:hAnsi="宋体" w:eastAsia="宋体" w:cs="宋体"/>
          <w:bCs/>
          <w:color w:val="auto"/>
          <w:sz w:val="21"/>
          <w:szCs w:val="21"/>
          <w:highlight w:val="none"/>
        </w:rPr>
        <w:t xml:space="preserve">，采购人不再另行支付。</w:t>
      </w:r>
      <w:r/>
    </w:p>
    <w:p>
      <w:pPr>
        <w:numPr>
          <w:ilvl w:val="0"/>
          <w:numId w:val="0"/>
        </w:num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2、骨质疏松子库建设（以椎体骨折方向为例）</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针对医院的优势学科的专科专病，实现骨质疏松性椎体骨折疾病数据加工服务。</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（1）专病数据模型建立</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bookmarkStart w:id="64" w:name="OLE_LINK5"/>
      <w:r/>
      <w:bookmarkStart w:id="65" w:name="OLE_LINK6"/>
      <w:r>
        <w:rPr>
          <w:rFonts w:hint="eastAsia" w:ascii="宋体" w:hAnsi="宋体" w:eastAsia="宋体" w:cs="宋体"/>
          <w:bCs/>
          <w:color w:val="auto"/>
          <w:sz w:val="21"/>
          <w:szCs w:val="21"/>
          <w:highlight w:val="none"/>
        </w:rPr>
        <w:t xml:space="preserve">对于已确定的专病数据模型参考疾病诊疗规范、治疗指南、专家共识以及国内外主流研究方向、同时结合国内临床医疗数据（病案、电子病历、检查检验、医嘱等）制定疾病标准指标集和指标值域；</w:t>
      </w:r>
      <w:bookmarkEnd w:id="64"/>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同时根据个性化需求沟通，建立具有专家特色的疾病数据模型；</w:t>
      </w:r>
      <w:bookmarkEnd w:id="65"/>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（2）专病库数据加工生产</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bookmarkStart w:id="66" w:name="OLE_LINK7"/>
      <w:r>
        <w:rPr>
          <w:rFonts w:hint="eastAsia" w:ascii="宋体" w:hAnsi="宋体" w:eastAsia="宋体" w:cs="宋体"/>
          <w:bCs/>
          <w:color w:val="auto"/>
          <w:sz w:val="21"/>
          <w:szCs w:val="21"/>
          <w:highlight w:val="none"/>
        </w:rPr>
        <w:t xml:space="preserve">针对已确定的专病模型字段，在科研基础数据治理成果基础之上，进行专病数据的加工生产，疾病信息数据通过数据采集及预处理标准、质量控制标准、数据后结构化和标准化，以及复杂逻辑计算实现专病数据标准化治理，辅助疾病临床研究。</w:t>
      </w:r>
      <w:bookmarkEnd w:id="66"/>
      <w:r/>
      <w:r/>
    </w:p>
    <w:p>
      <w:pPr>
        <w:numPr>
          <w:ilvl w:val="0"/>
          <w:numId w:val="5"/>
        </w:num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各功能要求及参数</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（1）基础要求</w:t>
      </w:r>
      <w:r/>
    </w:p>
    <w:p>
      <w:pPr>
        <w:numPr>
          <w:ilvl w:val="0"/>
          <w:numId w:val="0"/>
        </w:num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Cs w:val="21"/>
          <w:highlight w:val="none"/>
        </w:rPr>
        <w:br w:type="page" w:clear="all"/>
      </w:r>
      <w:r/>
    </w:p>
    <w:tbl>
      <w:tblPr>
        <w:tblStyle w:val="8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0"/>
        <w:gridCol w:w="857"/>
        <w:gridCol w:w="6772"/>
      </w:tblGrid>
      <w:tr>
        <w:trPr>
          <w:trHeight w:val="536"/>
        </w:trPr>
        <w:tc>
          <w:tcPr>
            <w:gridSpan w:val="2"/>
            <w:shd w:val="clear" w:color="auto" w:fill="auto"/>
            <w:tcW w:w="1025"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default" w:ascii="宋体" w:hAnsi="宋体" w:eastAsia="宋体" w:cs="宋体"/>
                <w:b/>
                <w:bCs/>
                <w:color w:val="auto"/>
                <w:sz w:val="21"/>
                <w:szCs w:val="21"/>
                <w:highlight w:val="none"/>
                <w:lang w:val="en-US" w:eastAsia="zh-CN" w:bidi="ar"/>
              </w:rPr>
              <w:suppressLineNumbers w:val="0"/>
            </w:pPr>
            <w:r/>
            <w:bookmarkStart w:id="67" w:name="OLE_LINK20"/>
            <w:r>
              <w:rPr>
                <w:rFonts w:hint="eastAsia" w:ascii="宋体" w:hAnsi="宋体" w:eastAsia="宋体" w:cs="宋体"/>
                <w:b/>
                <w:bCs/>
                <w:color w:val="auto"/>
                <w:sz w:val="21"/>
                <w:szCs w:val="21"/>
                <w:highlight w:val="none"/>
                <w:lang w:val="en-US" w:eastAsia="zh-CN" w:bidi="ar"/>
              </w:rPr>
              <w:t xml:space="preserve">系统大类</w:t>
            </w:r>
            <w:r/>
          </w:p>
        </w:tc>
        <w:tc>
          <w:tcPr>
            <w:shd w:val="clear" w:color="auto" w:fill="auto"/>
            <w:tcW w:w="3974"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widowControl/>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技术要求</w:t>
            </w:r>
            <w:r/>
          </w:p>
        </w:tc>
      </w:tr>
      <w:tr>
        <w:trPr>
          <w:trHeight w:val="1033"/>
        </w:trPr>
        <w:tc>
          <w:tcPr>
            <w:shd w:val="clear" w:color="auto" w:fill="auto"/>
            <w:tcW w:w="522"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基础</w:t>
            </w:r>
            <w:r/>
          </w:p>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要求</w:t>
            </w:r>
            <w:r/>
          </w:p>
        </w:tc>
        <w:tc>
          <w:tcPr>
            <w:shd w:val="clear" w:color="auto" w:fill="auto"/>
            <w:tcW w:w="502"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基础</w:t>
            </w:r>
            <w:r/>
          </w:p>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要求</w:t>
            </w:r>
            <w:r/>
          </w:p>
        </w:tc>
        <w:tc>
          <w:tcPr>
            <w:shd w:val="clear" w:color="auto" w:fill="auto"/>
            <w:tcW w:w="3974" w:type="pct"/>
            <w:vAlign w:val="center"/>
            <w:textDirection w:val="lrTb"/>
            <w:noWrap w:val="false"/>
          </w:tcPr>
          <w:p>
            <w:pPr>
              <w:numPr>
                <w:ilvl w:val="0"/>
                <w:numId w:val="6"/>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服务器支持Linux、Windows、国产主流操作系统，且支持服务器集群，容错工作模式。客户端支持Windows7、Windows 10（64位）及以上版本，或同等级别的国产操作系统。</w:t>
            </w:r>
            <w:r/>
          </w:p>
        </w:tc>
      </w:tr>
      <w:tr>
        <w:trPr>
          <w:trHeight w:val="576"/>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6"/>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系统软件使用较新版本数据库，兼容主流数据库包括但不限于Oracle、MySQL、SQL Server及同等级别的国产数据库等。对于数据库复杂查询的响应时间能够达到秒级。</w:t>
            </w:r>
            <w:r/>
          </w:p>
        </w:tc>
      </w:tr>
      <w:tr>
        <w:trPr>
          <w:trHeight w:val="576"/>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6"/>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系统采用B/S或C/S架构，支持目前常用的浏览器，如IE（IE8及以上版本）、谷歌及苹果Safari浏览器或主流的客户端操作系统等，支持院内常用版本，并具有良好的兼容性。</w:t>
            </w:r>
            <w:r/>
          </w:p>
        </w:tc>
      </w:tr>
      <w:tr>
        <w:trPr>
          <w:trHeight w:val="576"/>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6"/>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系统提供7×24小时运行，在出现异常情况下提供后备解决方案；保障系统维护及时性，可支持数据容灾。</w:t>
            </w:r>
            <w:r/>
          </w:p>
        </w:tc>
      </w:tr>
      <w:tr>
        <w:trPr>
          <w:trHeight w:val="576"/>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6"/>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lang w:eastAsia="zh-CN"/>
              </w:rPr>
              <w:suppressLineNumbers w:val="0"/>
            </w:pPr>
            <w:r>
              <w:rPr>
                <w:rFonts w:hint="eastAsia" w:ascii="宋体" w:hAnsi="宋体" w:eastAsia="宋体" w:cs="宋体"/>
                <w:i/>
                <w:iCs/>
                <w:color w:val="auto"/>
                <w:sz w:val="21"/>
                <w:szCs w:val="21"/>
                <w:highlight w:val="none"/>
                <w:u w:val="single"/>
                <w:lang w:bidi="ar"/>
              </w:rPr>
              <w:t xml:space="preserve">支持标准医疗协议HL7标准V2、V3版本,XML，JSON，视图多种数据类型；支持MQ、Webservice、HTTPS多种网络协议、视图等方式</w:t>
            </w:r>
            <w:r>
              <w:rPr>
                <w:rFonts w:hint="eastAsia" w:ascii="宋体" w:hAnsi="宋体" w:eastAsia="宋体" w:cs="宋体"/>
                <w:i/>
                <w:iCs/>
                <w:color w:val="auto"/>
                <w:sz w:val="21"/>
                <w:szCs w:val="21"/>
                <w:highlight w:val="none"/>
                <w:u w:val="single"/>
                <w:lang w:eastAsia="zh-CN" w:bidi="ar"/>
              </w:rPr>
              <w:t xml:space="preserve">。</w:t>
            </w:r>
            <w:r/>
          </w:p>
        </w:tc>
      </w:tr>
      <w:tr>
        <w:trPr>
          <w:trHeight w:val="576"/>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6"/>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平台化设计，具有内置流程配置功能，业务流程可灵活配置。系统设计符合HL7、CDA、DICOM3.0等数据标准。</w:t>
            </w:r>
            <w:r/>
          </w:p>
        </w:tc>
      </w:tr>
      <w:tr>
        <w:trPr>
          <w:trHeight w:val="288"/>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6"/>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可提供定制化流程，满足医院的实际工作需要。</w:t>
            </w:r>
            <w:r/>
          </w:p>
        </w:tc>
      </w:tr>
      <w:tr>
        <w:trPr>
          <w:trHeight w:val="288"/>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6"/>
              </w:numPr>
              <w:ind w:left="0" w:right="0" w:firstLine="0"/>
              <w:keepLines w:val="0"/>
              <w:keepNext w:val="0"/>
              <w:pageBreakBefore w:val="0"/>
              <w:spacing w:before="81" w:beforeAutospacing="0" w:after="81" w:afterAutospacing="0" w:line="240" w:lineRule="auto"/>
              <w:shd w:val="clear" w:color="auto"/>
              <w:tabs>
                <w:tab w:val="left" w:pos="420" w:leader="none"/>
              </w:tabs>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rPr>
              <w:t xml:space="preserve">构建以患者为中心的数据模型，模型需参考HL7、CDA、卫健委电子病历基本架构与数据标准等一系列国内外通用标准。</w:t>
            </w:r>
            <w:r/>
          </w:p>
        </w:tc>
      </w:tr>
      <w:tr>
        <w:trPr>
          <w:trHeight w:val="288"/>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0"/>
              </w:numPr>
              <w:ind w:left="0" w:right="0"/>
              <w:keepLines w:val="0"/>
              <w:keepNext w:val="0"/>
              <w:pageBreakBefore w:val="0"/>
              <w:spacing w:before="81" w:beforeAutospacing="0" w:after="81" w:afterAutospacing="0" w:line="240" w:lineRule="auto"/>
              <w:shd w:val="clear" w:color="auto"/>
              <w:tabs>
                <w:tab w:val="left" w:pos="420" w:leader="none"/>
              </w:tabs>
              <w:rPr>
                <w:rFonts w:hint="eastAsia" w:ascii="宋体" w:hAnsi="宋体" w:eastAsia="宋体" w:cs="宋体"/>
                <w:b/>
                <w:bCs/>
                <w:i/>
                <w:iCs/>
                <w:color w:val="auto"/>
                <w:sz w:val="21"/>
                <w:szCs w:val="21"/>
                <w:highlight w:val="none"/>
                <w:u w:val="single"/>
              </w:rPr>
              <w:suppressLineNumbers w:val="0"/>
            </w:pPr>
            <w:r>
              <w:rPr>
                <w:rFonts w:hint="eastAsia"/>
                <w:i/>
                <w:iCs/>
                <w:color w:val="auto"/>
                <w:highlight w:val="none"/>
                <w:u w:val="single"/>
                <w:lang w:eastAsia="zh-CN"/>
              </w:rPr>
              <w:t xml:space="preserve">【</w:t>
            </w:r>
            <w:r>
              <w:rPr>
                <w:rFonts w:hint="eastAsia"/>
                <w:b/>
                <w:bCs/>
                <w:i/>
                <w:iCs/>
                <w:color w:val="auto"/>
                <w:highlight w:val="none"/>
                <w:u w:val="single"/>
                <w:lang w:eastAsia="zh-CN"/>
              </w:rPr>
              <w:t xml:space="preserve">基础要求</w:t>
            </w:r>
            <w:r>
              <w:rPr>
                <w:rFonts w:hint="eastAsia" w:ascii="宋体" w:hAnsi="宋体" w:eastAsia="宋体" w:cs="宋体"/>
                <w:b/>
                <w:bCs/>
                <w:i/>
                <w:iCs/>
                <w:color w:val="auto"/>
                <w:highlight w:val="none"/>
                <w:u w:val="single"/>
                <w:lang w:val="en-US" w:eastAsia="zh-CN"/>
              </w:rPr>
              <w:t xml:space="preserve">1-</w:t>
            </w:r>
            <w:r>
              <w:rPr>
                <w:rFonts w:hint="eastAsia" w:ascii="宋体" w:hAnsi="宋体" w:cs="宋体"/>
                <w:b/>
                <w:bCs/>
                <w:i/>
                <w:iCs/>
                <w:color w:val="auto"/>
                <w:highlight w:val="none"/>
                <w:u w:val="single"/>
                <w:lang w:val="en-US" w:eastAsia="zh-CN"/>
              </w:rPr>
              <w:t xml:space="preserve">8项</w:t>
            </w:r>
            <w:r>
              <w:rPr>
                <w:rFonts w:hint="eastAsia" w:ascii="宋体" w:hAnsi="宋体" w:eastAsia="宋体" w:cs="宋体"/>
                <w:b/>
                <w:bCs/>
                <w:i/>
                <w:iCs/>
                <w:color w:val="auto"/>
                <w:highlight w:val="none"/>
                <w:u w:val="single"/>
                <w:lang w:val="en-US" w:eastAsia="zh-CN"/>
              </w:rPr>
              <w:t xml:space="preserve">不参与“技术参数响应”评分，投标人提供承诺书，上传系统，未提供或漏项作无效投标处理</w:t>
            </w:r>
            <w:r>
              <w:rPr>
                <w:rFonts w:hint="eastAsia"/>
                <w:b/>
                <w:bCs/>
                <w:i/>
                <w:iCs/>
                <w:color w:val="auto"/>
                <w:highlight w:val="none"/>
                <w:u w:val="single"/>
                <w:lang w:eastAsia="zh-CN"/>
              </w:rPr>
              <w:t xml:space="preserve">】</w:t>
            </w:r>
            <w:r/>
          </w:p>
        </w:tc>
      </w:tr>
      <w:tr>
        <w:trPr>
          <w:trHeight w:val="864"/>
        </w:trPr>
        <w:tc>
          <w:tcPr>
            <w:shd w:val="clear" w:color="auto" w:fill="auto"/>
            <w:tcW w:w="522"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数据</w:t>
            </w:r>
            <w:r/>
          </w:p>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安全</w:t>
            </w:r>
            <w:r/>
          </w:p>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要求</w:t>
            </w:r>
            <w:r/>
          </w:p>
        </w:tc>
        <w:tc>
          <w:tcPr>
            <w:shd w:val="clear" w:color="auto" w:fill="auto"/>
            <w:tcW w:w="502"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数据</w:t>
            </w:r>
            <w:r/>
          </w:p>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安全</w:t>
            </w:r>
            <w:r/>
          </w:p>
          <w:p>
            <w:pPr>
              <w:ind w:left="0" w:right="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要求</w:t>
            </w:r>
            <w:r/>
          </w:p>
        </w:tc>
        <w:tc>
          <w:tcPr>
            <w:shd w:val="clear" w:color="auto" w:fill="auto"/>
            <w:tcW w:w="3974" w:type="pct"/>
            <w:vAlign w:val="center"/>
            <w:textDirection w:val="lrTb"/>
            <w:noWrap w:val="false"/>
          </w:tcPr>
          <w:p>
            <w:pPr>
              <w:numPr>
                <w:ilvl w:val="0"/>
                <w:numId w:val="7"/>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系统具有安全控制和物理保护措施，数据库服务器与公共网络物理隔离。软件系统安全可靠，能够有效防止来自网络以及内部的攻击，在网络拓扑层和应用层保证各个关键业务独立，架构中各个角色只通过接口通信，保证数据安全性与模块独立性。</w:t>
            </w:r>
            <w:r/>
          </w:p>
        </w:tc>
      </w:tr>
      <w:tr>
        <w:trPr>
          <w:trHeight w:val="576"/>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7"/>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支持医生操作权限分级管理，能够根据不同角色对医生进行权限配置和管理，保证系统数据安全。</w:t>
            </w:r>
            <w:r/>
          </w:p>
        </w:tc>
      </w:tr>
      <w:tr>
        <w:trPr>
          <w:trHeight w:val="576"/>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7"/>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支持数据加密管理，包括数据存储加密、数据传输加密等，保证医生信息和系统业务数据的安全。</w:t>
            </w:r>
            <w:r/>
          </w:p>
        </w:tc>
      </w:tr>
      <w:tr>
        <w:trPr>
          <w:trHeight w:val="576"/>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7"/>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符合国家相关法律法规，包括但不限于《网络安全法》、《数据安全法》、《个人信息保护法》、国家网络安全等级保护建设要求，有效地防止系统数据的遗失和破坏。</w:t>
            </w:r>
            <w:r/>
          </w:p>
        </w:tc>
      </w:tr>
      <w:tr>
        <w:trPr>
          <w:trHeight w:val="576"/>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7"/>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具备数据备份与恢复功能，提供数据库在线备份和故障恢复工具，保障数据库系统完全故障后能迅速恢复到故障前的备份状态。</w:t>
            </w:r>
            <w:r/>
          </w:p>
        </w:tc>
      </w:tr>
      <w:tr>
        <w:trPr>
          <w:trHeight w:val="90"/>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7"/>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具有完备的日志记录和管理功能，能及时准确地记录医生登录与退出、业务操作、数据同步等各类日志，支持根据时间、操作类型、关键字等进行日志内容检索，为系统故障排查和系统数据安全提供保障。</w:t>
            </w:r>
            <w:r/>
          </w:p>
        </w:tc>
      </w:tr>
      <w:tr>
        <w:trPr>
          <w:trHeight w:val="793"/>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7"/>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bidi="ar"/>
              </w:rPr>
              <w:t xml:space="preserve">系统上线前需提供江苏卫健委2022年发布的《江苏省卫生健康信息化项目建设网络安全管理规定（试行）》中的《网络安全检测评估情况表》</w:t>
            </w:r>
            <w:r>
              <w:rPr>
                <w:rFonts w:hint="eastAsia" w:ascii="宋体" w:hAnsi="宋体" w:eastAsia="宋体" w:cs="宋体"/>
                <w:i/>
                <w:iCs/>
                <w:color w:val="auto"/>
                <w:sz w:val="21"/>
                <w:szCs w:val="21"/>
                <w:highlight w:val="none"/>
                <w:u w:val="single"/>
                <w:lang w:eastAsia="zh-CN" w:bidi="ar"/>
              </w:rPr>
              <w:t xml:space="preserve">。</w:t>
            </w:r>
            <w:r/>
          </w:p>
        </w:tc>
      </w:tr>
      <w:tr>
        <w:trPr>
          <w:trHeight w:val="576"/>
        </w:trPr>
        <w:tc>
          <w:tcPr>
            <w:shd w:val="clear" w:color="auto" w:fill="auto"/>
            <w:tcW w:w="52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2" w:type="pct"/>
            <w:vAlign w:val="center"/>
            <w:vMerge w:val="continue"/>
            <w:textDirection w:val="lrTb"/>
            <w:noWrap w:val="false"/>
          </w:tcPr>
          <w:p>
            <w:pPr>
              <w:ind w:left="0" w:right="0" w:firstLine="42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974" w:type="pct"/>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iCs/>
                <w:color w:val="auto"/>
                <w:sz w:val="21"/>
                <w:szCs w:val="21"/>
                <w:highlight w:val="none"/>
                <w:u w:val="single"/>
                <w:lang w:bidi="ar"/>
              </w:rPr>
              <w:suppressLineNumbers w:val="0"/>
            </w:pPr>
            <w:r>
              <w:rPr>
                <w:rFonts w:hint="eastAsia"/>
                <w:i/>
                <w:iCs/>
                <w:color w:val="auto"/>
                <w:highlight w:val="none"/>
                <w:u w:val="single"/>
                <w:lang w:eastAsia="zh-CN"/>
              </w:rPr>
              <w:t xml:space="preserve">【</w:t>
            </w:r>
            <w:r>
              <w:rPr>
                <w:rFonts w:hint="eastAsia"/>
                <w:b/>
                <w:bCs/>
                <w:i/>
                <w:iCs/>
                <w:color w:val="auto"/>
                <w:highlight w:val="none"/>
                <w:u w:val="single"/>
                <w:lang w:eastAsia="zh-CN"/>
              </w:rPr>
              <w:t xml:space="preserve">数据安全要求</w:t>
            </w:r>
            <w:r>
              <w:rPr>
                <w:rFonts w:hint="eastAsia" w:ascii="宋体" w:hAnsi="宋体" w:eastAsia="宋体" w:cs="宋体"/>
                <w:b/>
                <w:bCs/>
                <w:i/>
                <w:iCs/>
                <w:color w:val="auto"/>
                <w:highlight w:val="none"/>
                <w:u w:val="single"/>
                <w:lang w:val="en-US" w:eastAsia="zh-CN"/>
              </w:rPr>
              <w:t xml:space="preserve">1-</w:t>
            </w:r>
            <w:r>
              <w:rPr>
                <w:rFonts w:hint="eastAsia" w:ascii="宋体" w:hAnsi="宋体" w:cs="宋体"/>
                <w:b/>
                <w:bCs/>
                <w:i/>
                <w:iCs/>
                <w:color w:val="auto"/>
                <w:highlight w:val="none"/>
                <w:u w:val="single"/>
                <w:lang w:val="en-US" w:eastAsia="zh-CN"/>
              </w:rPr>
              <w:t xml:space="preserve">7项</w:t>
            </w:r>
            <w:r>
              <w:rPr>
                <w:rFonts w:hint="eastAsia" w:ascii="宋体" w:hAnsi="宋体" w:eastAsia="宋体" w:cs="宋体"/>
                <w:b/>
                <w:bCs/>
                <w:i/>
                <w:iCs/>
                <w:color w:val="auto"/>
                <w:highlight w:val="none"/>
                <w:u w:val="single"/>
                <w:lang w:val="en-US" w:eastAsia="zh-CN"/>
              </w:rPr>
              <w:t xml:space="preserve">不参与“技术参数响应”评分，投标人提供承诺书，上传系统，未提供或漏项作无效投标处理</w:t>
            </w:r>
            <w:r>
              <w:rPr>
                <w:rFonts w:hint="eastAsia"/>
                <w:b/>
                <w:bCs/>
                <w:i/>
                <w:iCs/>
                <w:color w:val="auto"/>
                <w:highlight w:val="none"/>
                <w:u w:val="single"/>
                <w:lang w:eastAsia="zh-CN"/>
              </w:rPr>
              <w:t xml:space="preserve">】</w:t>
            </w:r>
            <w:r/>
          </w:p>
        </w:tc>
      </w:tr>
      <w:tr>
        <w:trPr>
          <w:trHeight w:val="858"/>
        </w:trPr>
        <w:tc>
          <w:tcPr>
            <w:shd w:val="clear" w:color="auto" w:fill="auto"/>
            <w:tcW w:w="5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其他</w:t>
            </w:r>
            <w:r/>
          </w:p>
          <w:p>
            <w:pPr>
              <w:ind w:left="0" w:right="0"/>
              <w:jc w:val="center"/>
              <w:keepLines w:val="0"/>
              <w:keepNext w:val="0"/>
              <w:pageBreakBefore w:val="0"/>
              <w:spacing w:before="0" w:beforeAutospacing="0" w:after="0" w:afterAutospacing="0" w:line="240" w:lineRule="auto"/>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要求</w:t>
            </w:r>
            <w:r/>
          </w:p>
        </w:tc>
        <w:tc>
          <w:tcPr>
            <w:shd w:val="clear" w:color="auto" w:fill="auto"/>
            <w:tcW w:w="50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其他</w:t>
            </w:r>
            <w:r/>
          </w:p>
          <w:p>
            <w:pPr>
              <w:ind w:left="0" w:right="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要求</w:t>
            </w:r>
            <w:r/>
          </w:p>
        </w:tc>
        <w:tc>
          <w:tcPr>
            <w:shd w:val="clear" w:color="auto" w:fill="auto"/>
            <w:tcW w:w="3974" w:type="pct"/>
            <w:vAlign w:val="center"/>
            <w:textDirection w:val="lrTb"/>
            <w:noWrap w:val="false"/>
          </w:tcPr>
          <w:p>
            <w:pPr>
              <w:numPr>
                <w:ilvl w:val="0"/>
                <w:numId w:val="8"/>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iCs/>
                <w:color w:val="auto"/>
                <w:sz w:val="21"/>
                <w:szCs w:val="21"/>
                <w:highlight w:val="none"/>
                <w:u w:val="single"/>
                <w:lang w:bidi="ar"/>
              </w:rPr>
              <w:t xml:space="preserve">系统支持独立服务器接入医院内网，隔绝外网，通过防火墙限制服务器暴露端口和可访问网段，防止数据泄露、</w:t>
            </w:r>
            <w:r>
              <w:rPr>
                <w:rFonts w:hint="eastAsia" w:ascii="宋体" w:hAnsi="宋体" w:eastAsia="宋体" w:cs="宋体"/>
                <w:i/>
                <w:iCs/>
                <w:color w:val="auto"/>
                <w:sz w:val="21"/>
                <w:szCs w:val="21"/>
                <w:highlight w:val="none"/>
                <w:u w:val="single"/>
                <w:shd w:val="clear" w:color="auto" w:fill="ffffff"/>
              </w:rPr>
              <w:t xml:space="preserve">采用国密算法，符合三级等保数据要求</w:t>
            </w:r>
            <w:r>
              <w:rPr>
                <w:rFonts w:hint="eastAsia" w:ascii="宋体" w:hAnsi="宋体" w:eastAsia="宋体" w:cs="宋体"/>
                <w:i/>
                <w:iCs/>
                <w:color w:val="auto"/>
                <w:sz w:val="21"/>
                <w:szCs w:val="21"/>
                <w:highlight w:val="none"/>
                <w:u w:val="single"/>
                <w:shd w:val="clear" w:color="auto" w:fill="ffffff"/>
                <w:lang w:eastAsia="zh-CN"/>
              </w:rPr>
              <w:t xml:space="preserve">。</w:t>
            </w:r>
            <w:r>
              <w:rPr>
                <w:rFonts w:hint="eastAsia" w:ascii="宋体" w:hAnsi="宋体" w:cs="宋体"/>
                <w:color w:val="auto"/>
                <w:sz w:val="21"/>
                <w:szCs w:val="21"/>
                <w:highlight w:val="none"/>
                <w:shd w:val="clear" w:color="auto" w:fill="ffffff"/>
                <w:lang w:eastAsia="zh-CN"/>
              </w:rPr>
              <w:t xml:space="preserve">【</w:t>
            </w:r>
            <w:r>
              <w:rPr>
                <w:rFonts w:hint="eastAsia" w:ascii="宋体" w:hAnsi="宋体" w:cs="宋体"/>
                <w:b/>
                <w:bCs/>
                <w:i/>
                <w:iCs/>
                <w:color w:val="auto"/>
                <w:sz w:val="21"/>
                <w:szCs w:val="21"/>
                <w:highlight w:val="none"/>
                <w:u w:val="single"/>
                <w:shd w:val="clear" w:color="auto" w:fill="ffffff"/>
                <w:lang w:val="en-US" w:eastAsia="zh-CN"/>
              </w:rPr>
              <w:t xml:space="preserve">本项</w:t>
            </w:r>
            <w:r>
              <w:rPr>
                <w:rFonts w:hint="eastAsia" w:ascii="宋体" w:hAnsi="宋体" w:eastAsia="宋体" w:cs="宋体"/>
                <w:b/>
                <w:bCs/>
                <w:i/>
                <w:iCs/>
                <w:color w:val="auto"/>
                <w:highlight w:val="none"/>
                <w:u w:val="single"/>
                <w:lang w:val="en-US" w:eastAsia="zh-CN"/>
              </w:rPr>
              <w:t xml:space="preserve">不参与“技术参数响应”评分，投标人提供承诺书，上传系统，未提供或漏项作无效投标处理</w:t>
            </w:r>
            <w:r>
              <w:rPr>
                <w:rFonts w:hint="eastAsia" w:ascii="宋体" w:hAnsi="宋体" w:cs="宋体"/>
                <w:color w:val="auto"/>
                <w:sz w:val="21"/>
                <w:szCs w:val="21"/>
                <w:highlight w:val="none"/>
                <w:shd w:val="clear" w:color="auto" w:fill="ffffff"/>
                <w:lang w:eastAsia="zh-CN"/>
              </w:rPr>
              <w:t xml:space="preserve">】</w:t>
            </w:r>
            <w:bookmarkEnd w:id="67"/>
            <w:r/>
            <w:r/>
          </w:p>
        </w:tc>
      </w:tr>
    </w:tbl>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（2）骨质疏松专病库</w:t>
      </w:r>
      <w:r>
        <w:rPr>
          <w:rFonts w:hint="eastAsia" w:ascii="宋体" w:hAnsi="宋体" w:eastAsia="宋体" w:cs="宋体"/>
          <w:b/>
          <w:bCs/>
          <w:color w:val="auto"/>
          <w:sz w:val="21"/>
          <w:szCs w:val="21"/>
          <w:highlight w:val="none"/>
          <w:lang w:val="en-US" w:eastAsia="zh-CN"/>
        </w:rPr>
        <w:t xml:space="preserve">技术</w:t>
      </w:r>
      <w:r>
        <w:rPr>
          <w:rFonts w:hint="eastAsia" w:ascii="宋体" w:hAnsi="宋体" w:eastAsia="宋体" w:cs="宋体"/>
          <w:b/>
          <w:bCs/>
          <w:color w:val="auto"/>
          <w:sz w:val="21"/>
          <w:szCs w:val="21"/>
          <w:highlight w:val="none"/>
        </w:rPr>
        <w:t xml:space="preserve">要求</w:t>
      </w:r>
      <w:r/>
    </w:p>
    <w:tbl>
      <w:tblPr>
        <w:tblStyle w:val="857"/>
        <w:tblW w:w="4998" w:type="pct"/>
        <w:tblInd w:w="0" w:type="dxa"/>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3"/>
        <w:gridCol w:w="1133"/>
        <w:gridCol w:w="6493"/>
      </w:tblGrid>
      <w:tr>
        <w:trPr>
          <w:trHeight w:val="560"/>
        </w:trPr>
        <w:tc>
          <w:tcPr>
            <w:gridSpan w:val="2"/>
            <w:shd w:val="clear" w:color="auto" w:fill="auto"/>
            <w:tcBorders>
              <w:top w:val="single" w:color="auto" w:sz="4" w:space="0"/>
              <w:left w:val="single" w:color="auto" w:sz="4" w:space="0"/>
              <w:right w:val="single" w:color="auto" w:sz="4" w:space="0"/>
            </w:tcBorders>
            <w:tcW w:w="1189" w:type="pct"/>
            <w:vAlign w:val="center"/>
            <w:textDirection w:val="lrTb"/>
            <w:noWrap w:val="false"/>
          </w:tcPr>
          <w:p>
            <w:pPr>
              <w:ind w:left="0" w:right="0" w:firstLine="0"/>
              <w:jc w:val="center"/>
              <w:keepLines w:val="0"/>
              <w:keepNext w:val="0"/>
              <w:pageBreakBefore w:val="0"/>
              <w:spacing w:before="0" w:beforeAutospacing="0" w:after="0" w:afterAutospacing="0" w:line="240" w:lineRule="auto"/>
              <w:shd w:val="clear" w:color="auto"/>
              <w:widowControl/>
              <w:rPr>
                <w:rFonts w:hint="eastAsia" w:ascii="宋体" w:hAnsi="宋体" w:eastAsia="宋体" w:cs="宋体"/>
                <w:b/>
                <w:bCs/>
                <w:color w:val="auto"/>
                <w:sz w:val="21"/>
                <w:szCs w:val="21"/>
                <w:highlight w:val="none"/>
              </w:rPr>
              <w:suppressLineNumbers w:val="0"/>
            </w:pPr>
            <w:r/>
            <w:bookmarkStart w:id="68" w:name="_Hlk215290984"/>
            <w:r>
              <w:rPr>
                <w:rFonts w:hint="eastAsia" w:ascii="宋体" w:hAnsi="宋体" w:eastAsia="宋体" w:cs="宋体"/>
                <w:b/>
                <w:bCs/>
                <w:color w:val="auto"/>
                <w:sz w:val="21"/>
                <w:szCs w:val="21"/>
                <w:highlight w:val="none"/>
                <w:lang w:val="en-US" w:eastAsia="zh-CN" w:bidi="ar"/>
              </w:rPr>
              <w:t xml:space="preserve">系统大类</w:t>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技术要求</w:t>
            </w:r>
            <w:r/>
          </w:p>
        </w:tc>
      </w:tr>
      <w:tr>
        <w:trPr>
          <w:trHeight w:val="1033"/>
        </w:trPr>
        <w:tc>
          <w:tcPr>
            <w:shd w:val="clear" w:color="auto" w:fill="auto"/>
            <w:tcBorders>
              <w:top w:val="single" w:color="auto" w:sz="4" w:space="0"/>
              <w:left w:val="single" w:color="auto" w:sz="4" w:space="0"/>
              <w:right w:val="single" w:color="auto" w:sz="4" w:space="0"/>
            </w:tcBorders>
            <w:tcW w:w="524" w:type="pct"/>
            <w:vAlign w:val="center"/>
            <w:vMerge w:val="restart"/>
            <w:textDirection w:val="lrTb"/>
            <w:noWrap w:val="false"/>
          </w:tcPr>
          <w:p>
            <w:pPr>
              <w:ind w:left="0" w:right="0" w:firstLine="0"/>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骨质疏松专病库</w:t>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数据采集范围</w:t>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采集的数据范围包括但不限于以下：</w:t>
            </w:r>
            <w:r/>
          </w:p>
          <w:p>
            <w:pPr>
              <w:numPr>
                <w:ilvl w:val="0"/>
                <w:numId w:val="9"/>
              </w:numPr>
              <w:ind w:left="425" w:right="0" w:hanging="425"/>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基本诊疗数据</w:t>
            </w:r>
            <w:r>
              <w:rPr>
                <w:rFonts w:hint="eastAsia" w:ascii="宋体" w:hAnsi="宋体" w:eastAsia="宋体" w:cs="宋体"/>
                <w:color w:val="auto"/>
                <w:sz w:val="21"/>
                <w:szCs w:val="21"/>
                <w:highlight w:val="none"/>
              </w:rPr>
              <w:t xml:space="preserve">：患者、挂号、入出转、就诊、处方/医嘱、病案</w:t>
            </w:r>
            <w:r>
              <w:rPr>
                <w:rFonts w:hint="eastAsia" w:ascii="宋体" w:hAnsi="宋体" w:cs="宋体"/>
                <w:color w:val="auto"/>
                <w:sz w:val="21"/>
                <w:szCs w:val="21"/>
                <w:highlight w:val="none"/>
                <w:lang w:val="en-US" w:eastAsia="zh-CN"/>
              </w:rPr>
              <w:t xml:space="preserve">首页</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收费等信息</w:t>
            </w:r>
            <w:r/>
          </w:p>
          <w:p>
            <w:pPr>
              <w:numPr>
                <w:ilvl w:val="0"/>
                <w:numId w:val="9"/>
              </w:numPr>
              <w:ind w:left="425" w:right="0" w:hanging="425"/>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检验数据</w:t>
            </w:r>
            <w:r>
              <w:rPr>
                <w:rFonts w:hint="eastAsia" w:ascii="宋体" w:hAnsi="宋体" w:eastAsia="宋体" w:cs="宋体"/>
                <w:color w:val="auto"/>
                <w:sz w:val="21"/>
                <w:szCs w:val="21"/>
                <w:highlight w:val="none"/>
              </w:rPr>
              <w:t xml:space="preserve">：标本、检验结果等信息</w:t>
            </w:r>
            <w:r/>
          </w:p>
          <w:p>
            <w:pPr>
              <w:numPr>
                <w:ilvl w:val="0"/>
                <w:numId w:val="9"/>
              </w:numPr>
              <w:ind w:left="425" w:right="0" w:hanging="425"/>
              <w:keepLines w:val="0"/>
              <w:keepNext w:val="0"/>
              <w:pageBreakBefore w:val="0"/>
              <w:spacing w:before="0" w:beforeAutospacing="0" w:after="0" w:afterAutospacing="0" w:line="240" w:lineRule="auto"/>
              <w:shd w:val="clear" w:color="auto"/>
              <w:tabs>
                <w:tab w:val="left" w:pos="420" w:leader="none"/>
              </w:tabs>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医技检查数据：</w:t>
            </w:r>
            <w:r>
              <w:rPr>
                <w:rFonts w:hint="eastAsia" w:ascii="宋体" w:hAnsi="宋体" w:eastAsia="宋体" w:cs="宋体"/>
                <w:color w:val="auto"/>
                <w:sz w:val="21"/>
                <w:szCs w:val="21"/>
                <w:highlight w:val="none"/>
              </w:rPr>
              <w:t xml:space="preserve">超声</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病理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放射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CT、MRI、</w:t>
            </w:r>
            <w:r>
              <w:rPr>
                <w:rFonts w:hint="eastAsia" w:ascii="宋体" w:hAnsi="宋体" w:eastAsia="宋体" w:cs="宋体"/>
                <w:color w:val="auto"/>
                <w:sz w:val="21"/>
                <w:szCs w:val="21"/>
                <w:highlight w:val="none"/>
              </w:rPr>
              <w:t xml:space="preserve">核医学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心电</w:t>
            </w:r>
            <w:r>
              <w:rPr>
                <w:rFonts w:hint="eastAsia" w:ascii="宋体" w:hAnsi="宋体" w:cs="宋体"/>
                <w:color w:val="auto"/>
                <w:sz w:val="21"/>
                <w:szCs w:val="21"/>
                <w:highlight w:val="none"/>
                <w:lang w:val="en-US" w:eastAsia="zh-CN"/>
              </w:rPr>
              <w:t xml:space="preserve">等报告信息</w:t>
            </w:r>
            <w:r/>
          </w:p>
          <w:p>
            <w:pPr>
              <w:numPr>
                <w:ilvl w:val="0"/>
                <w:numId w:val="9"/>
              </w:numPr>
              <w:ind w:left="425" w:right="0" w:hanging="425"/>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电子病历</w:t>
            </w:r>
            <w:r>
              <w:rPr>
                <w:rFonts w:hint="eastAsia" w:ascii="宋体" w:hAnsi="宋体" w:cs="宋体"/>
                <w:color w:val="auto"/>
                <w:sz w:val="21"/>
                <w:szCs w:val="21"/>
                <w:highlight w:val="none"/>
                <w:lang w:val="en-US" w:eastAsia="zh-CN"/>
              </w:rPr>
              <w:t xml:space="preserve">数据</w:t>
            </w:r>
            <w:r>
              <w:rPr>
                <w:rFonts w:hint="eastAsia" w:ascii="宋体" w:hAnsi="宋体" w:eastAsia="宋体" w:cs="宋体"/>
                <w:color w:val="auto"/>
                <w:sz w:val="21"/>
                <w:szCs w:val="21"/>
                <w:highlight w:val="none"/>
              </w:rPr>
              <w:t xml:space="preserve">：入院记录、出院记录、病程等病历信息</w:t>
            </w:r>
            <w:r/>
          </w:p>
          <w:p>
            <w:pPr>
              <w:numPr>
                <w:ilvl w:val="0"/>
                <w:numId w:val="9"/>
              </w:numPr>
              <w:ind w:left="425" w:right="0" w:hanging="425"/>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护理</w:t>
            </w:r>
            <w:r>
              <w:rPr>
                <w:rFonts w:hint="eastAsia" w:ascii="宋体" w:hAnsi="宋体" w:cs="宋体"/>
                <w:color w:val="auto"/>
                <w:sz w:val="21"/>
                <w:szCs w:val="21"/>
                <w:highlight w:val="none"/>
                <w:lang w:val="en-US" w:eastAsia="zh-CN"/>
              </w:rPr>
              <w:t xml:space="preserve">数据</w:t>
            </w:r>
            <w:r>
              <w:rPr>
                <w:rFonts w:hint="eastAsia" w:ascii="宋体" w:hAnsi="宋体" w:eastAsia="宋体" w:cs="宋体"/>
                <w:color w:val="auto"/>
                <w:sz w:val="21"/>
                <w:szCs w:val="21"/>
                <w:highlight w:val="none"/>
              </w:rPr>
              <w:t xml:space="preserve">：护理记录、观察记录、护理文书、用药记录等信息</w:t>
            </w:r>
            <w:r/>
          </w:p>
          <w:p>
            <w:pPr>
              <w:numPr>
                <w:ilvl w:val="0"/>
                <w:numId w:val="9"/>
              </w:numPr>
              <w:ind w:left="425" w:right="0" w:hanging="425"/>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手术麻醉</w:t>
            </w:r>
            <w:r>
              <w:rPr>
                <w:rFonts w:hint="eastAsia" w:ascii="宋体" w:hAnsi="宋体" w:cs="宋体"/>
                <w:color w:val="auto"/>
                <w:sz w:val="21"/>
                <w:szCs w:val="21"/>
                <w:highlight w:val="none"/>
                <w:lang w:val="en-US" w:eastAsia="zh-CN"/>
              </w:rPr>
              <w:t xml:space="preserve">数据</w:t>
            </w:r>
            <w:r>
              <w:rPr>
                <w:rFonts w:hint="eastAsia" w:ascii="宋体" w:hAnsi="宋体" w:eastAsia="宋体" w:cs="宋体"/>
                <w:color w:val="auto"/>
                <w:sz w:val="21"/>
                <w:szCs w:val="21"/>
                <w:highlight w:val="none"/>
              </w:rPr>
              <w:t xml:space="preserve">：手术记录、事件、用药等信息</w:t>
            </w:r>
            <w:r/>
          </w:p>
          <w:p>
            <w:pPr>
              <w:numPr>
                <w:ilvl w:val="0"/>
                <w:numId w:val="9"/>
              </w:numPr>
              <w:ind w:left="425" w:right="0" w:hanging="425"/>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影像数据</w:t>
            </w:r>
            <w:r/>
          </w:p>
          <w:p>
            <w:pPr>
              <w:numPr>
                <w:ilvl w:val="0"/>
                <w:numId w:val="9"/>
              </w:numPr>
              <w:ind w:left="425" w:right="0" w:hanging="425"/>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基因检测</w:t>
            </w:r>
            <w:r>
              <w:rPr>
                <w:rFonts w:hint="eastAsia" w:ascii="宋体" w:hAnsi="宋体" w:cs="宋体"/>
                <w:color w:val="auto"/>
                <w:sz w:val="21"/>
                <w:szCs w:val="21"/>
                <w:highlight w:val="none"/>
                <w:lang w:val="en-US" w:eastAsia="zh-CN"/>
              </w:rPr>
              <w:t xml:space="preserve">数据</w:t>
            </w:r>
            <w:r/>
          </w:p>
          <w:p>
            <w:pPr>
              <w:numPr>
                <w:ilvl w:val="0"/>
                <w:numId w:val="0"/>
              </w:numPr>
              <w:ind w:left="0" w:right="0"/>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骨质疏松疾病采集特征字段数满足临床需求（提供承诺书，上传系统</w:t>
            </w:r>
            <w:r>
              <w:rPr>
                <w:rFonts w:hint="eastAsia" w:ascii="宋体" w:hAnsi="宋体" w:cs="宋体"/>
                <w:b/>
                <w:bCs/>
                <w:color w:val="auto"/>
                <w:sz w:val="21"/>
                <w:szCs w:val="21"/>
                <w:highlight w:val="none"/>
                <w:lang w:val="en-US" w:eastAsia="zh-CN"/>
              </w:rPr>
              <w:t xml:space="preserve">，承诺书</w:t>
            </w: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自拟</w:t>
            </w:r>
            <w:r>
              <w:rPr>
                <w:rFonts w:hint="eastAsia" w:ascii="宋体" w:hAnsi="宋体" w:eastAsia="宋体" w:cs="宋体"/>
                <w:b/>
                <w:bCs/>
                <w:color w:val="auto"/>
                <w:sz w:val="21"/>
                <w:szCs w:val="21"/>
                <w:highlight w:val="none"/>
                <w:lang w:val="en-US" w:eastAsia="zh-CN"/>
              </w:rPr>
              <w:t xml:space="preserve">）</w:t>
            </w:r>
            <w:r/>
          </w:p>
        </w:tc>
      </w:tr>
      <w:tr>
        <w:trPr>
          <w:trHeight w:val="451"/>
        </w:trPr>
        <w:tc>
          <w:tcPr>
            <w:shd w:val="clear" w:color="auto" w:fill="auto"/>
            <w:tcBorders>
              <w:left w:val="single" w:color="auto" w:sz="4" w:space="0"/>
              <w:right w:val="single" w:color="auto" w:sz="4" w:space="0"/>
            </w:tcBorders>
            <w:tcW w:w="524" w:type="pct"/>
            <w:vAlign w:val="center"/>
            <w:vMerge w:val="continue"/>
            <w:textDirection w:val="lrTb"/>
            <w:noWrap w:val="false"/>
          </w:tcPr>
          <w:p>
            <w:pPr>
              <w:ind w:left="0" w:right="0" w:firstLine="0"/>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数据脱敏</w:t>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ind w:left="0" w:right="0" w:firstLine="0"/>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参照《中华人民共和国个人信息保护法》、信息安全等级保护、HIPAA、个人信息安全规范等法律法规对患者隐私处理的要求进行数据脱敏和加密。提供数据存储和传输的安全措施。采用国密算法，符合三级等保数据要求。</w:t>
            </w:r>
            <w:r/>
          </w:p>
        </w:tc>
      </w:tr>
      <w:tr>
        <w:trPr>
          <w:trHeight w:val="576"/>
        </w:trPr>
        <w:tc>
          <w:tcPr>
            <w:shd w:val="clear" w:color="auto" w:fill="auto"/>
            <w:tcBorders>
              <w:left w:val="single" w:color="auto" w:sz="4" w:space="0"/>
              <w:right w:val="single" w:color="auto" w:sz="4" w:space="0"/>
            </w:tcBorders>
            <w:tcW w:w="524" w:type="pct"/>
            <w:vAlign w:val="center"/>
            <w:vMerge w:val="continue"/>
            <w:textDirection w:val="lrTb"/>
            <w:noWrap w:val="false"/>
          </w:tcPr>
          <w:p>
            <w:pPr>
              <w:ind w:left="0" w:right="0" w:firstLine="44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数据映射</w:t>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ind w:left="0" w:right="0" w:firstLine="0"/>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将各业务信息系统的数据映射到以患者为中心的数据模型里。</w:t>
            </w:r>
            <w:r/>
          </w:p>
        </w:tc>
      </w:tr>
      <w:tr>
        <w:trPr>
          <w:trHeight w:val="576"/>
        </w:trPr>
        <w:tc>
          <w:tcPr>
            <w:shd w:val="clear" w:color="auto" w:fill="auto"/>
            <w:tcBorders>
              <w:left w:val="single" w:color="auto" w:sz="4" w:space="0"/>
              <w:right w:val="single" w:color="auto" w:sz="4" w:space="0"/>
            </w:tcBorders>
            <w:tcW w:w="524" w:type="pct"/>
            <w:vAlign w:val="center"/>
            <w:vMerge w:val="continue"/>
            <w:textDirection w:val="lrTb"/>
            <w:noWrap w:val="false"/>
          </w:tcPr>
          <w:p>
            <w:pPr>
              <w:ind w:left="0" w:right="0" w:firstLine="44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数据关联</w:t>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ind w:left="0" w:right="0" w:firstLine="0"/>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bookmarkStart w:id="69" w:name="OLE_LINK10"/>
            <w:r/>
            <w:bookmarkStart w:id="70" w:name="OLE_LINK12"/>
            <w:r>
              <w:rPr>
                <w:rFonts w:hint="eastAsia" w:ascii="宋体" w:hAnsi="宋体" w:eastAsia="宋体" w:cs="宋体"/>
                <w:color w:val="auto"/>
                <w:sz w:val="21"/>
                <w:szCs w:val="21"/>
                <w:highlight w:val="none"/>
              </w:rPr>
              <w:t xml:space="preserve">提供全院级别（可跨院区、跨系统）的患者主索引，以EMPI为主线将患者的医疗活动进行整合，包括患者主索引算法配置、唯一标识的产生、匹配和交叉引用管理、标识及基本信息的定时同步等</w:t>
            </w:r>
            <w:bookmarkEnd w:id="69"/>
            <w:r>
              <w:rPr>
                <w:rFonts w:hint="eastAsia" w:ascii="宋体" w:hAnsi="宋体" w:eastAsia="宋体" w:cs="宋体"/>
                <w:color w:val="auto"/>
                <w:sz w:val="21"/>
                <w:szCs w:val="21"/>
                <w:highlight w:val="none"/>
              </w:rPr>
              <w:t xml:space="preserve">。</w:t>
            </w:r>
            <w:bookmarkEnd w:id="70"/>
            <w:r>
              <w:rPr>
                <w:rFonts w:hint="eastAsia" w:ascii="宋体" w:hAnsi="宋体" w:eastAsia="宋体" w:cs="宋体"/>
                <w:color w:val="auto"/>
                <w:sz w:val="21"/>
                <w:szCs w:val="21"/>
                <w:highlight w:val="none"/>
                <w:lang w:bidi="ar"/>
              </w:rPr>
              <w:t xml:space="preserve">支持临床数据、影像数据（如超声、X 线、CT、MRI、PETCT等）、检验数据等多模态数据的无缝关联，确保数据在时间轴上的连贯性。提供多模态数据融合接口。</w:t>
            </w:r>
            <w:r/>
          </w:p>
        </w:tc>
      </w:tr>
      <w:tr>
        <w:trPr>
          <w:trHeight w:val="576"/>
        </w:trPr>
        <w:tc>
          <w:tcPr>
            <w:shd w:val="clear" w:color="auto" w:fill="auto"/>
            <w:tcBorders>
              <w:left w:val="single" w:color="auto" w:sz="4" w:space="0"/>
              <w:right w:val="single" w:color="auto" w:sz="4" w:space="0"/>
            </w:tcBorders>
            <w:tcW w:w="524" w:type="pct"/>
            <w:vAlign w:val="center"/>
            <w:vMerge w:val="continue"/>
            <w:textDirection w:val="lrTb"/>
            <w:noWrap w:val="false"/>
          </w:tcPr>
          <w:p>
            <w:pPr>
              <w:ind w:left="0" w:right="0" w:firstLine="44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数据清洗</w:t>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ind w:left="0" w:right="0" w:firstLine="0"/>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对映射到通用数据模型的数据进行数据清洗，包括：数据格式不规范、数据缺失、数据重复、数据编码无对应、超出数据值域等问题。</w:t>
            </w:r>
            <w:r/>
          </w:p>
        </w:tc>
      </w:tr>
      <w:tr>
        <w:trPr>
          <w:trHeight w:val="576"/>
        </w:trPr>
        <w:tc>
          <w:tcPr>
            <w:shd w:val="clear" w:color="auto" w:fill="auto"/>
            <w:tcBorders>
              <w:left w:val="single" w:color="auto" w:sz="4" w:space="0"/>
              <w:right w:val="single" w:color="auto" w:sz="4" w:space="0"/>
            </w:tcBorders>
            <w:tcW w:w="524" w:type="pct"/>
            <w:vAlign w:val="center"/>
            <w:vMerge w:val="continue"/>
            <w:textDirection w:val="lrTb"/>
            <w:noWrap w:val="false"/>
          </w:tcPr>
          <w:p>
            <w:pPr>
              <w:ind w:left="0" w:right="0" w:firstLine="44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数据解析 </w:t>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ind w:left="0" w:right="0" w:firstLine="0"/>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将电子病历进行文档类型映射，可映射为入院记录、手术记录、病程记录、出院小结等类型基于医疗信息学的角度,将以自然语言方式录入的医疗数据根据医学语境转化为可用于存储､查询､统计､分析和挖掘的数据结构。依据目前实际业务需求，如入院记录拆分出主诉、现病史、既往史等章节。</w:t>
            </w:r>
            <w:r/>
          </w:p>
        </w:tc>
      </w:tr>
      <w:tr>
        <w:trPr>
          <w:trHeight w:val="576"/>
        </w:trPr>
        <w:tc>
          <w:tcPr>
            <w:shd w:val="clear" w:color="auto" w:fill="auto"/>
            <w:tcBorders>
              <w:left w:val="single" w:color="auto" w:sz="4" w:space="0"/>
              <w:right w:val="single" w:color="auto" w:sz="4" w:space="0"/>
            </w:tcBorders>
            <w:tcW w:w="524" w:type="pct"/>
            <w:vAlign w:val="center"/>
            <w:vMerge w:val="continue"/>
            <w:textDirection w:val="lrTb"/>
            <w:noWrap w:val="false"/>
          </w:tcPr>
          <w:p>
            <w:pPr>
              <w:ind w:left="0" w:right="0" w:firstLine="44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数据标准化</w:t>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ind w:left="0" w:right="0" w:firstLine="0"/>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参照行业标准库，如ICD10、ICD9-CM3、药品ATC标准、卫生信息数据元值域代码及各类常规的行业标准字典，对采集数据自动进行统一的标准化、归一化处理。标准化内容包括：诊断、手术及操作、检验项目、检查项目、药品等。</w:t>
            </w:r>
            <w:r/>
          </w:p>
        </w:tc>
      </w:tr>
      <w:tr>
        <w:trPr>
          <w:trHeight w:val="288"/>
        </w:trPr>
        <w:tc>
          <w:tcPr>
            <w:shd w:val="clear" w:color="auto" w:fill="auto"/>
            <w:tcBorders>
              <w:left w:val="single" w:color="auto" w:sz="4" w:space="0"/>
              <w:right w:val="single" w:color="auto" w:sz="4" w:space="0"/>
            </w:tcBorders>
            <w:tcW w:w="524" w:type="pct"/>
            <w:vAlign w:val="center"/>
            <w:vMerge w:val="continue"/>
            <w:textDirection w:val="lrTb"/>
            <w:noWrap w:val="false"/>
          </w:tcPr>
          <w:p>
            <w:pPr>
              <w:ind w:left="0" w:right="0" w:firstLine="44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数据结构化</w:t>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ind w:left="0" w:right="0" w:firstLine="0"/>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en-US" w:eastAsia="zh-CN"/>
              </w:rPr>
              <w:t xml:space="preserve">通过大模型</w:t>
            </w:r>
            <w:r>
              <w:rPr>
                <w:rFonts w:hint="eastAsia" w:ascii="宋体" w:hAnsi="宋体" w:eastAsia="宋体" w:cs="宋体"/>
                <w:color w:val="auto"/>
                <w:sz w:val="21"/>
                <w:szCs w:val="21"/>
                <w:highlight w:val="none"/>
              </w:rPr>
              <w:t xml:space="preserve">对医疗文本（入院记录、病程、影像报告、基因报告等）进行自然语言处理，将非结构化的医疗文本转化为包含重要医学信息的结构化数据。支持医学实体识别和关系识别，支持基于医院文本书写规律进行规则总结，通过训练集数据进行规则优化。</w:t>
            </w:r>
            <w:r>
              <w:rPr>
                <w:rFonts w:hint="eastAsia" w:ascii="宋体" w:hAnsi="宋体" w:cs="宋体"/>
                <w:color w:val="auto"/>
                <w:sz w:val="21"/>
                <w:szCs w:val="21"/>
                <w:highlight w:val="none"/>
                <w:lang w:val="en-US" w:eastAsia="zh-CN"/>
              </w:rPr>
              <w:t xml:space="preserve">且支持与业务系统对接获取骨质疏松专病库特有的前结构化字段。</w:t>
            </w:r>
            <w:r>
              <w:rPr>
                <w:rFonts w:hint="eastAsia" w:ascii="宋体" w:hAnsi="宋体" w:eastAsia="宋体" w:cs="宋体"/>
                <w:color w:val="auto"/>
                <w:sz w:val="21"/>
                <w:szCs w:val="21"/>
                <w:highlight w:val="none"/>
                <w:lang w:val="en-US" w:eastAsia="zh-CN"/>
              </w:rPr>
              <w:t xml:space="preserve">支持用户通过自然语言随时查询任意结构化数据，如单个字段、某次访视记录、某项实验结果、某段时间趋势变化等。</w:t>
            </w:r>
            <w:r>
              <w:rPr>
                <w:rFonts w:hint="eastAsia" w:ascii="宋体" w:hAnsi="宋体" w:eastAsia="宋体" w:cs="宋体"/>
                <w:b/>
                <w:bCs/>
                <w:color w:val="auto"/>
                <w:sz w:val="21"/>
                <w:szCs w:val="21"/>
                <w:highlight w:val="none"/>
                <w:lang w:val="en-US" w:eastAsia="zh-CN"/>
              </w:rPr>
              <w:t xml:space="preserve">（提供系统功能截图并进行说明）</w:t>
            </w:r>
            <w:r/>
          </w:p>
        </w:tc>
      </w:tr>
      <w:tr>
        <w:trPr>
          <w:trHeight w:val="288"/>
        </w:trPr>
        <w:tc>
          <w:tcPr>
            <w:shd w:val="clear" w:color="auto" w:fill="auto"/>
            <w:tcBorders>
              <w:left w:val="single" w:color="auto" w:sz="4" w:space="0"/>
              <w:right w:val="single" w:color="auto" w:sz="4" w:space="0"/>
            </w:tcBorders>
            <w:tcW w:w="524" w:type="pct"/>
            <w:vAlign w:val="center"/>
            <w:vMerge w:val="continue"/>
            <w:textDirection w:val="lrTb"/>
            <w:noWrap w:val="false"/>
          </w:tcPr>
          <w:p>
            <w:pPr>
              <w:ind w:left="0" w:right="0" w:firstLine="44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数据标注</w:t>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ind w:left="0" w:right="0" w:firstLine="0"/>
              <w:keepLines w:val="0"/>
              <w:keepNext w:val="0"/>
              <w:pageBreakBefore w:val="0"/>
              <w:spacing w:before="0" w:beforeAutospacing="0" w:after="0" w:afterAutospacing="0" w:line="240" w:lineRule="auto"/>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bidi="ar"/>
              </w:rPr>
              <w:t xml:space="preserve">支持对影像数据进行自动标注，可对AI标注结果进行修改，确保标注质量。</w:t>
            </w:r>
            <w:r>
              <w:rPr>
                <w:rFonts w:hint="eastAsia" w:ascii="宋体" w:hAnsi="宋体" w:eastAsia="宋体" w:cs="宋体"/>
                <w:b/>
                <w:bCs/>
                <w:color w:val="auto"/>
                <w:sz w:val="21"/>
                <w:szCs w:val="21"/>
                <w:highlight w:val="none"/>
                <w:lang w:bidi="ar"/>
              </w:rPr>
              <w:t xml:space="preserve">（提供系统功能截图并进行说明）</w:t>
            </w:r>
            <w:r/>
          </w:p>
        </w:tc>
      </w:tr>
      <w:tr>
        <w:trPr>
          <w:trHeight w:val="288"/>
        </w:trPr>
        <w:tc>
          <w:tcPr>
            <w:shd w:val="clear" w:color="auto" w:fill="auto"/>
            <w:tcBorders>
              <w:left w:val="single" w:color="auto" w:sz="4" w:space="0"/>
              <w:right w:val="single" w:color="auto" w:sz="4" w:space="0"/>
            </w:tcBorders>
            <w:tcW w:w="524" w:type="pct"/>
            <w:vAlign w:val="center"/>
            <w:vMerge w:val="continue"/>
            <w:textDirection w:val="lrTb"/>
            <w:noWrap w:val="false"/>
          </w:tcPr>
          <w:p>
            <w:pPr>
              <w:ind w:left="0" w:right="0" w:firstLine="44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数据质控</w:t>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对所有的字段生产溯源记录，利用原始数据和溯源的比对进行生产质量分析。</w:t>
            </w:r>
            <w:r/>
          </w:p>
        </w:tc>
      </w:tr>
      <w:tr>
        <w:trPr>
          <w:trHeight w:val="864"/>
        </w:trPr>
        <w:tc>
          <w:tcPr>
            <w:shd w:val="clear" w:color="auto" w:fill="auto"/>
            <w:tcBorders>
              <w:left w:val="single" w:color="auto" w:sz="4" w:space="0"/>
              <w:right w:val="single" w:color="auto" w:sz="4" w:space="0"/>
            </w:tcBorders>
            <w:tcW w:w="524" w:type="pct"/>
            <w:vAlign w:val="center"/>
            <w:vMerge w:val="continue"/>
            <w:textDirection w:val="lrTb"/>
            <w:noWrap w:val="false"/>
          </w:tcPr>
          <w:p>
            <w:pPr>
              <w:ind w:left="0" w:right="0" w:firstLine="0"/>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bookmarkStart w:id="71" w:name="OLE_LINK1"/>
            <w:r>
              <w:rPr>
                <w:rFonts w:hint="eastAsia" w:ascii="宋体" w:hAnsi="宋体" w:eastAsia="宋体" w:cs="宋体"/>
                <w:color w:val="auto"/>
                <w:sz w:val="21"/>
                <w:szCs w:val="21"/>
                <w:highlight w:val="none"/>
              </w:rPr>
              <w:t xml:space="preserve">骨质疏松子库</w:t>
            </w:r>
            <w:bookmarkEnd w:id="71"/>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以诊疗规范、指南、共识及主流研究为基准，结合本院病历、医嘱、检验等真实数据，形成权威、可落地的标准指标集与值域。支持结合科室专家个性化需求，扩展字段。</w:t>
            </w:r>
            <w:r/>
          </w:p>
        </w:tc>
      </w:tr>
      <w:tr>
        <w:trPr>
          <w:trHeight w:val="576"/>
        </w:trPr>
        <w:tc>
          <w:tcPr>
            <w:shd w:val="clear" w:color="auto" w:fill="auto"/>
            <w:tcBorders>
              <w:left w:val="single" w:color="auto" w:sz="4" w:space="0"/>
              <w:bottom w:val="single" w:color="auto" w:sz="4" w:space="0"/>
              <w:right w:val="single" w:color="auto" w:sz="4" w:space="0"/>
            </w:tcBorders>
            <w:tcW w:w="524" w:type="pct"/>
            <w:vAlign w:val="center"/>
            <w:vMerge w:val="continue"/>
            <w:textDirection w:val="lrTb"/>
            <w:noWrap w:val="false"/>
          </w:tcPr>
          <w:p>
            <w:pPr>
              <w:ind w:left="0" w:right="0" w:firstLine="44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pct"/>
            <w:vAlign w:val="center"/>
            <w:vMerge w:val="continue"/>
            <w:textDirection w:val="lrTb"/>
            <w:noWrap w:val="false"/>
          </w:tcPr>
          <w:p>
            <w:pPr>
              <w:ind w:left="0" w:right="0" w:firstLine="440"/>
              <w:jc w:val="center"/>
              <w:keepLines w:val="0"/>
              <w:keepNext w:val="0"/>
              <w:pageBreakBefore w:val="0"/>
              <w:spacing w:before="0" w:beforeAutospacing="0" w:after="0" w:afterAutospacing="0" w:line="24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10" w:type="pct"/>
            <w:vAlign w:val="center"/>
            <w:textDirection w:val="lrTb"/>
            <w:noWrap w:val="false"/>
          </w:tcPr>
          <w:p>
            <w:pPr>
              <w:numPr>
                <w:ilvl w:val="0"/>
                <w:numId w:val="10"/>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color w:val="auto"/>
                <w:sz w:val="21"/>
                <w:szCs w:val="21"/>
                <w:highlight w:val="none"/>
              </w:rPr>
              <w:suppressLineNumbers w:val="0"/>
            </w:pPr>
            <w:r/>
            <w:bookmarkStart w:id="72" w:name="OLE_LINK8"/>
            <w:r>
              <w:rPr>
                <w:rFonts w:hint="eastAsia" w:ascii="宋体" w:hAnsi="宋体" w:eastAsia="宋体" w:cs="宋体"/>
                <w:color w:val="auto"/>
                <w:sz w:val="21"/>
                <w:szCs w:val="21"/>
                <w:highlight w:val="none"/>
              </w:rPr>
              <w:t xml:space="preserve">依据已定专病模型字段，在骨质疏松数据治理成果基础上，实现专病数据标准化治理</w:t>
            </w:r>
            <w:bookmarkEnd w:id="72"/>
            <w:r>
              <w:rPr>
                <w:rFonts w:hint="eastAsia" w:ascii="宋体" w:hAnsi="宋体" w:eastAsia="宋体" w:cs="宋体"/>
                <w:color w:val="auto"/>
                <w:sz w:val="21"/>
                <w:szCs w:val="21"/>
                <w:highlight w:val="none"/>
              </w:rPr>
              <w:t xml:space="preserve">。</w:t>
            </w:r>
            <w:bookmarkEnd w:id="68"/>
            <w:r/>
            <w:r/>
          </w:p>
        </w:tc>
      </w:tr>
    </w:tbl>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（3）应用功能</w:t>
      </w:r>
      <w:r>
        <w:rPr>
          <w:rFonts w:hint="eastAsia" w:ascii="宋体" w:hAnsi="宋体" w:eastAsia="宋体" w:cs="宋体"/>
          <w:b/>
          <w:bCs/>
          <w:color w:val="auto"/>
          <w:sz w:val="21"/>
          <w:szCs w:val="21"/>
          <w:highlight w:val="none"/>
          <w:lang w:val="en-US" w:eastAsia="zh-CN"/>
        </w:rPr>
        <w:t xml:space="preserve">技术</w:t>
      </w:r>
      <w:r>
        <w:rPr>
          <w:rFonts w:hint="eastAsia" w:ascii="宋体" w:hAnsi="宋体" w:eastAsia="宋体" w:cs="宋体"/>
          <w:b/>
          <w:bCs/>
          <w:color w:val="auto"/>
          <w:sz w:val="21"/>
          <w:szCs w:val="21"/>
          <w:highlight w:val="none"/>
        </w:rPr>
        <w:t xml:space="preserve">要求</w:t>
      </w:r>
      <w:r/>
    </w:p>
    <w:tbl>
      <w:tblPr>
        <w:tblStyle w:val="8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58"/>
        <w:gridCol w:w="6761"/>
      </w:tblGrid>
      <w:tr>
        <w:trPr>
          <w:trHeight w:val="580"/>
        </w:trPr>
        <w:tc>
          <w:tcPr>
            <w:shd w:val="clear" w:color="000000" w:fill="auto"/>
            <w:tcW w:w="1032" w:type="pct"/>
            <w:vAlign w:val="center"/>
            <w:textDirection w:val="lrTb"/>
            <w:noWrap w:val="false"/>
          </w:tcPr>
          <w:p>
            <w:pPr>
              <w:pStyle w:val="849"/>
              <w:numPr>
                <w:ilvl w:val="2"/>
                <w:numId w:val="0"/>
              </w:numPr>
              <w:ind w:left="0" w:right="0" w:firstLine="0"/>
              <w:jc w:val="center"/>
              <w:pageBreakBefore w:val="0"/>
              <w:spacing w:before="0" w:beforeAutospacing="0" w:after="0" w:afterAutospacing="0"/>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功能</w:t>
            </w:r>
            <w:r>
              <w:rPr>
                <w:rFonts w:hint="eastAsia" w:ascii="宋体" w:hAnsi="宋体" w:eastAsia="宋体" w:cs="宋体"/>
                <w:b/>
                <w:bCs/>
                <w:color w:val="auto"/>
                <w:sz w:val="21"/>
                <w:szCs w:val="21"/>
                <w:highlight w:val="none"/>
              </w:rPr>
              <w:t xml:space="preserve">模块</w:t>
            </w:r>
            <w:r/>
          </w:p>
        </w:tc>
        <w:tc>
          <w:tcPr>
            <w:shd w:val="clear" w:color="000000" w:fill="auto"/>
            <w:tcW w:w="3967" w:type="pct"/>
            <w:vAlign w:val="center"/>
            <w:textDirection w:val="lrTb"/>
            <w:noWrap w:val="false"/>
          </w:tcPr>
          <w:p>
            <w:pPr>
              <w:pStyle w:val="849"/>
              <w:numPr>
                <w:ilvl w:val="2"/>
                <w:numId w:val="0"/>
              </w:numPr>
              <w:ind w:left="0" w:right="0" w:firstLine="0"/>
              <w:jc w:val="center"/>
              <w:pageBreakBefore w:val="0"/>
              <w:spacing w:before="0" w:beforeAutospacing="0" w:after="0" w:afterAutospacing="0"/>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技术要求</w:t>
            </w:r>
            <w:r/>
          </w:p>
        </w:tc>
      </w:tr>
      <w:tr>
        <w:trPr>
          <w:trHeight w:val="675"/>
        </w:trPr>
        <w:tc>
          <w:tcPr>
            <w:shd w:val="clear" w:color="000000" w:fill="auto"/>
            <w:tcW w:w="1032" w:type="pct"/>
            <w:vAlign w:val="center"/>
            <w:textDirection w:val="lrTb"/>
            <w:noWrap w:val="false"/>
          </w:tcPr>
          <w:p>
            <w:pPr>
              <w:pStyle w:val="1101"/>
              <w:numPr>
                <w:ilvl w:val="0"/>
                <w:numId w:val="0"/>
              </w:numPr>
              <w:ind w:left="0" w:right="0" w:firstLine="0"/>
              <w:jc w:val="center"/>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首页</w:t>
            </w:r>
            <w:r/>
          </w:p>
        </w:tc>
        <w:tc>
          <w:tcPr>
            <w:shd w:val="clear" w:color="000000" w:fill="auto"/>
            <w:tcW w:w="3967" w:type="pct"/>
            <w:vAlign w:val="center"/>
            <w:textDirection w:val="lrTb"/>
            <w:noWrap w:val="false"/>
          </w:tcPr>
          <w:p>
            <w:pPr>
              <w:pStyle w:val="1101"/>
              <w:numPr>
                <w:ilvl w:val="0"/>
                <w:numId w:val="11"/>
              </w:numPr>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为各类角色用户差异化提供所需、所关注的内容及快捷入口，帮助用户提高工作效率。</w:t>
            </w:r>
            <w:r/>
          </w:p>
        </w:tc>
      </w:tr>
      <w:tr>
        <w:trPr>
          <w:trHeight w:val="675"/>
        </w:trPr>
        <w:tc>
          <w:tcPr>
            <w:tcW w:w="1032" w:type="pct"/>
            <w:vAlign w:val="center"/>
            <w:vMerge w:val="restart"/>
            <w:textDirection w:val="lrTb"/>
            <w:noWrap w:val="false"/>
          </w:tcPr>
          <w:p>
            <w:pPr>
              <w:pStyle w:val="1101"/>
              <w:numPr>
                <w:ilvl w:val="0"/>
                <w:numId w:val="0"/>
              </w:numPr>
              <w:ind w:left="0" w:right="0" w:firstLine="0"/>
              <w:jc w:val="center"/>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病例检索</w:t>
            </w:r>
            <w:r/>
          </w:p>
        </w:tc>
        <w:tc>
          <w:tcPr>
            <w:tcW w:w="3967" w:type="pct"/>
            <w:vAlign w:val="center"/>
            <w:textDirection w:val="lrTb"/>
            <w:noWrap w:val="false"/>
          </w:tcPr>
          <w:p>
            <w:pPr>
              <w:pStyle w:val="1101"/>
              <w:ind w:left="0" w:right="0" w:firstLine="0"/>
              <w:keepLines w:val="0"/>
              <w:keepNext w:val="0"/>
              <w:pageBreakBefore w:val="0"/>
              <w:spacing w:before="0" w:beforeAutospacing="0" w:after="0" w:afterAutospacing="0"/>
              <w:shd w:val="clear" w:color="auto"/>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eastAsia="zh-CN" w:bidi="ar"/>
              </w:rPr>
              <w:t xml:space="preserve">患者科研全景和诊疗时间轴</w:t>
            </w:r>
            <w:r>
              <w:rPr>
                <w:rFonts w:hint="eastAsia" w:ascii="宋体" w:hAnsi="宋体" w:eastAsia="宋体" w:cs="宋体"/>
                <w:b w:val="0"/>
                <w:bCs w:val="0"/>
                <w:color w:val="auto"/>
                <w:sz w:val="21"/>
                <w:szCs w:val="21"/>
                <w:highlight w:val="none"/>
                <w:lang w:val="en-US" w:eastAsia="zh-CN" w:bidi="ar"/>
              </w:rPr>
              <w:t xml:space="preserve">:</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b w:val="0"/>
                <w:bCs w:val="0"/>
                <w:color w:val="auto"/>
                <w:sz w:val="21"/>
                <w:szCs w:val="21"/>
                <w:highlight w:val="none"/>
                <w:lang w:eastAsia="zh-CN" w:bidi="ar"/>
              </w:rPr>
              <w:suppressLineNumbers w:val="0"/>
            </w:pPr>
            <w:r>
              <w:rPr>
                <w:rFonts w:hint="eastAsia" w:ascii="宋体" w:hAnsi="宋体" w:eastAsia="宋体" w:cs="宋体"/>
                <w:b w:val="0"/>
                <w:bCs w:val="0"/>
                <w:color w:val="auto"/>
                <w:sz w:val="21"/>
                <w:szCs w:val="21"/>
                <w:highlight w:val="none"/>
                <w:lang w:eastAsia="zh-CN" w:bidi="ar"/>
              </w:rPr>
              <w:t xml:space="preserve">1.一键查看患者</w:t>
            </w:r>
            <w:r>
              <w:rPr>
                <w:rFonts w:hint="eastAsia" w:ascii="宋体" w:hAnsi="宋体"/>
                <w:color w:val="auto"/>
                <w:highlight w:val="none"/>
                <w:lang w:eastAsia="zh-CN" w:bidi="ar"/>
              </w:rPr>
              <w:t xml:space="preserve">360度</w:t>
            </w:r>
            <w:r>
              <w:rPr>
                <w:rFonts w:hint="eastAsia" w:ascii="宋体" w:hAnsi="宋体" w:eastAsia="宋体" w:cs="宋体"/>
                <w:b w:val="0"/>
                <w:bCs w:val="0"/>
                <w:color w:val="auto"/>
                <w:sz w:val="21"/>
                <w:szCs w:val="21"/>
                <w:highlight w:val="none"/>
                <w:lang w:eastAsia="zh-CN" w:bidi="ar"/>
              </w:rPr>
              <w:t xml:space="preserve">科研全景数据；</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b w:val="0"/>
                <w:bCs w:val="0"/>
                <w:color w:val="auto"/>
                <w:sz w:val="21"/>
                <w:szCs w:val="21"/>
                <w:highlight w:val="none"/>
                <w:lang w:eastAsia="zh-CN" w:bidi="ar"/>
              </w:rPr>
              <w:suppressLineNumbers w:val="0"/>
            </w:pPr>
            <w:r>
              <w:rPr>
                <w:rFonts w:hint="eastAsia" w:ascii="宋体" w:hAnsi="宋体" w:eastAsia="宋体" w:cs="宋体"/>
                <w:b w:val="0"/>
                <w:bCs w:val="0"/>
                <w:color w:val="auto"/>
                <w:sz w:val="21"/>
                <w:szCs w:val="21"/>
                <w:highlight w:val="none"/>
                <w:lang w:eastAsia="zh-CN" w:bidi="ar"/>
              </w:rPr>
              <w:t xml:space="preserve">2.患者诊疗时间轴，直观了解患者重点诊疗事件和结局，以及重点指标的时序进展情况；</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b w:val="0"/>
                <w:bCs w:val="0"/>
                <w:color w:val="auto"/>
                <w:sz w:val="21"/>
                <w:szCs w:val="21"/>
                <w:highlight w:val="none"/>
                <w:lang w:eastAsia="zh-CN" w:bidi="ar"/>
              </w:rPr>
              <w:suppressLineNumbers w:val="0"/>
            </w:pPr>
            <w:r>
              <w:rPr>
                <w:rFonts w:hint="eastAsia" w:ascii="宋体" w:hAnsi="宋体" w:eastAsia="宋体" w:cs="宋体"/>
                <w:b w:val="0"/>
                <w:bCs w:val="0"/>
                <w:color w:val="auto"/>
                <w:sz w:val="21"/>
                <w:szCs w:val="21"/>
                <w:highlight w:val="none"/>
                <w:lang w:eastAsia="zh-CN" w:bidi="ar"/>
              </w:rPr>
              <w:t xml:space="preserve">3.支持患者科研数据溯源、加工逻辑全透明；</w:t>
            </w:r>
            <w:r/>
          </w:p>
        </w:tc>
      </w:tr>
      <w:tr>
        <w:trPr>
          <w:trHeight w:val="675"/>
        </w:trPr>
        <w:tc>
          <w:tcPr>
            <w:tcW w:w="1032" w:type="pct"/>
            <w:vAlign w:val="center"/>
            <w:vMerge w:val="continue"/>
            <w:textDirection w:val="lrTb"/>
            <w:noWrap w:val="false"/>
          </w:tcPr>
          <w:p>
            <w:pPr>
              <w:pStyle w:val="1101"/>
              <w:numPr>
                <w:ilvl w:val="0"/>
                <w:numId w:val="0"/>
              </w:numPr>
              <w:ind w:left="0" w:right="0" w:firstLine="0"/>
              <w:jc w:val="center"/>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3967" w:type="pct"/>
            <w:vAlign w:val="center"/>
            <w:textDirection w:val="lrTb"/>
            <w:noWrap w:val="false"/>
          </w:tcPr>
          <w:p>
            <w:pPr>
              <w:pStyle w:val="1101"/>
              <w:ind w:left="0" w:right="0" w:firstLine="0"/>
              <w:keepLines w:val="0"/>
              <w:keepNext w:val="0"/>
              <w:pageBreakBefore w:val="0"/>
              <w:spacing w:before="0" w:beforeAutospacing="0" w:after="0" w:afterAutospacing="0"/>
              <w:shd w:val="clear" w:color="auto"/>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eastAsia="zh-CN" w:bidi="ar"/>
              </w:rPr>
              <w:t xml:space="preserve">患者搜索</w:t>
            </w:r>
            <w:r>
              <w:rPr>
                <w:rFonts w:hint="eastAsia" w:ascii="宋体" w:hAnsi="宋体" w:eastAsia="宋体" w:cs="宋体"/>
                <w:b w:val="0"/>
                <w:bCs w:val="0"/>
                <w:color w:val="auto"/>
                <w:sz w:val="21"/>
                <w:szCs w:val="21"/>
                <w:highlight w:val="none"/>
                <w:lang w:val="en-US" w:eastAsia="zh-CN" w:bidi="ar"/>
              </w:rPr>
              <w:t xml:space="preserve">:</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b w:val="0"/>
                <w:bCs w:val="0"/>
                <w:color w:val="auto"/>
                <w:sz w:val="21"/>
                <w:szCs w:val="21"/>
                <w:highlight w:val="none"/>
                <w:lang w:eastAsia="zh-CN" w:bidi="ar"/>
              </w:rPr>
              <w:suppressLineNumbers w:val="0"/>
            </w:pPr>
            <w:r>
              <w:rPr>
                <w:rFonts w:hint="eastAsia" w:ascii="宋体" w:hAnsi="宋体" w:eastAsia="宋体" w:cs="宋体"/>
                <w:b w:val="0"/>
                <w:bCs w:val="0"/>
                <w:color w:val="auto"/>
                <w:sz w:val="21"/>
                <w:szCs w:val="21"/>
                <w:highlight w:val="none"/>
                <w:lang w:eastAsia="zh-CN" w:bidi="ar"/>
              </w:rPr>
              <w:t xml:space="preserve">1.多种可视化搜索方式，支持搜索目标患者，快速定位人群，继续科研分析；</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b w:val="0"/>
                <w:bCs w:val="0"/>
                <w:color w:val="auto"/>
                <w:sz w:val="21"/>
                <w:szCs w:val="21"/>
                <w:highlight w:val="none"/>
                <w:lang w:eastAsia="zh-CN" w:bidi="ar"/>
              </w:rPr>
              <w:suppressLineNumbers w:val="0"/>
            </w:pPr>
            <w:r>
              <w:rPr>
                <w:rFonts w:hint="eastAsia" w:ascii="宋体" w:hAnsi="宋体" w:eastAsia="宋体" w:cs="宋体"/>
                <w:b w:val="0"/>
                <w:bCs w:val="0"/>
                <w:color w:val="auto"/>
                <w:sz w:val="21"/>
                <w:szCs w:val="21"/>
                <w:highlight w:val="none"/>
                <w:lang w:eastAsia="zh-CN" w:bidi="ar"/>
              </w:rPr>
              <w:t xml:space="preserve">2.</w:t>
            </w:r>
            <w:r>
              <w:rPr>
                <w:rFonts w:hint="eastAsia" w:ascii="宋体" w:hAnsi="宋体" w:cs="宋体"/>
                <w:b w:val="0"/>
                <w:bCs w:val="0"/>
                <w:color w:val="auto"/>
                <w:sz w:val="21"/>
                <w:szCs w:val="21"/>
                <w:highlight w:val="none"/>
                <w:lang w:val="en-US" w:eastAsia="zh-CN" w:bidi="ar"/>
              </w:rPr>
              <w:t xml:space="preserve">支持</w:t>
            </w:r>
            <w:r>
              <w:rPr>
                <w:rFonts w:hint="eastAsia" w:ascii="宋体" w:hAnsi="宋体" w:eastAsia="宋体" w:cs="宋体"/>
                <w:b w:val="0"/>
                <w:bCs w:val="0"/>
                <w:color w:val="auto"/>
                <w:sz w:val="21"/>
                <w:szCs w:val="21"/>
                <w:highlight w:val="none"/>
                <w:lang w:eastAsia="zh-CN" w:bidi="ar"/>
              </w:rPr>
              <w:t xml:space="preserve">搜索患者数据导出；</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b w:val="0"/>
                <w:bCs w:val="0"/>
                <w:color w:val="auto"/>
                <w:sz w:val="21"/>
                <w:szCs w:val="21"/>
                <w:highlight w:val="none"/>
                <w:lang w:eastAsia="zh-CN" w:bidi="ar"/>
              </w:rPr>
              <w:suppressLineNumbers w:val="0"/>
            </w:pPr>
            <w:r>
              <w:rPr>
                <w:rFonts w:hint="eastAsia" w:ascii="宋体" w:hAnsi="宋体" w:eastAsia="宋体" w:cs="宋体"/>
                <w:b w:val="0"/>
                <w:bCs w:val="0"/>
                <w:color w:val="auto"/>
                <w:sz w:val="21"/>
                <w:szCs w:val="21"/>
                <w:highlight w:val="none"/>
                <w:lang w:eastAsia="zh-CN" w:bidi="ar"/>
              </w:rPr>
              <w:t xml:space="preserve">3.科研思路辅助查找，漏斗式搜索+实时样本量计算，帮助医生一步步查找验证科研思路；</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b w:val="0"/>
                <w:bCs w:val="0"/>
                <w:color w:val="auto"/>
                <w:sz w:val="21"/>
                <w:szCs w:val="21"/>
                <w:highlight w:val="none"/>
                <w:lang w:eastAsia="zh-CN"/>
              </w:rPr>
              <w:suppressLineNumbers w:val="0"/>
            </w:pP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bidi="ar"/>
              </w:rPr>
              <w:t xml:space="preserve">支持基于多模态数据的复杂查询请求。支持多模态数据的联合检索，例如结合影像报告数据和临床指标进行检索。</w:t>
            </w:r>
            <w:r>
              <w:rPr>
                <w:rFonts w:hint="eastAsia" w:ascii="宋体" w:hAnsi="宋体" w:eastAsia="宋体" w:cs="宋体"/>
                <w:b/>
                <w:bCs/>
                <w:color w:val="auto"/>
                <w:sz w:val="21"/>
                <w:szCs w:val="21"/>
                <w:highlight w:val="none"/>
                <w:lang w:bidi="ar"/>
              </w:rPr>
              <w:t xml:space="preserve">（提供系统功能截图并进行说明）</w:t>
            </w:r>
            <w:r/>
          </w:p>
        </w:tc>
      </w:tr>
      <w:tr>
        <w:trPr>
          <w:trHeight w:val="90"/>
        </w:trPr>
        <w:tc>
          <w:tcPr>
            <w:tcW w:w="1032" w:type="pct"/>
            <w:vAlign w:val="center"/>
            <w:vMerge w:val="restart"/>
            <w:textDirection w:val="lrTb"/>
            <w:noWrap w:val="false"/>
          </w:tcPr>
          <w:p>
            <w:pPr>
              <w:pStyle w:val="1101"/>
              <w:numPr>
                <w:ilvl w:val="0"/>
                <w:numId w:val="0"/>
              </w:numPr>
              <w:ind w:left="0" w:right="0" w:firstLine="0"/>
              <w:jc w:val="center"/>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科研项目</w:t>
            </w:r>
            <w:r/>
          </w:p>
        </w:tc>
        <w:tc>
          <w:tcPr>
            <w:tcW w:w="3967" w:type="pct"/>
            <w:vAlign w:val="center"/>
            <w:textDirection w:val="lrTb"/>
            <w:noWrap w:val="false"/>
          </w:tcPr>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1.线上化支持科研课题流程，帮助用户完成科研项目，提升科研效率；</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2.项目全流程支持：创建项目-&gt;纳排患者-&gt;研究指标选取-&gt;随访管理-&gt;项目数据补录核查-&gt;统计分析-&gt;导出Excel；</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3.科研课题统计分析支持：描述性统计、单因素分析、相关性分析、多因素分析、生存分析等；</w:t>
            </w:r>
            <w:r/>
          </w:p>
          <w:p>
            <w:pPr>
              <w:pStyle w:val="1101"/>
              <w:ind w:left="0" w:right="0" w:firstLine="0"/>
              <w:keepLines w:val="0"/>
              <w:keepNext w:val="0"/>
              <w:pageBreakBefore w:val="0"/>
              <w:spacing w:before="0" w:beforeAutospacing="0" w:after="0" w:afterAutospacing="0"/>
              <w:shd w:val="clear" w:color="auto"/>
              <w:widowControl w:val="off"/>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4.多项目管理、进度统计、</w:t>
            </w:r>
            <w:r>
              <w:rPr>
                <w:rFonts w:hint="eastAsia" w:ascii="宋体" w:hAnsi="宋体" w:eastAsia="宋体" w:cs="宋体"/>
                <w:color w:val="auto"/>
                <w:sz w:val="21"/>
                <w:szCs w:val="21"/>
                <w:highlight w:val="none"/>
                <w:lang w:val="en-US" w:eastAsia="zh-CN" w:bidi="ar"/>
              </w:rPr>
              <w:t xml:space="preserve">项目看板</w:t>
            </w:r>
            <w:r>
              <w:rPr>
                <w:rFonts w:hint="eastAsia" w:ascii="宋体" w:hAnsi="宋体" w:eastAsia="宋体" w:cs="宋体"/>
                <w:color w:val="auto"/>
                <w:sz w:val="21"/>
                <w:szCs w:val="21"/>
                <w:highlight w:val="none"/>
                <w:lang w:eastAsia="zh-CN" w:bidi="ar"/>
              </w:rPr>
              <w:t xml:space="preserve">等，帮助项目创建者直观及时了解项目进行情况；</w:t>
            </w:r>
            <w:r/>
          </w:p>
        </w:tc>
      </w:tr>
      <w:tr>
        <w:trPr>
          <w:trHeight w:val="865"/>
        </w:trPr>
        <w:tc>
          <w:tcPr>
            <w:tcW w:w="1032" w:type="pct"/>
            <w:vAlign w:val="center"/>
            <w:vMerge w:val="continue"/>
            <w:textDirection w:val="lrTb"/>
            <w:noWrap w:val="false"/>
          </w:tcPr>
          <w:p>
            <w:pPr>
              <w:pStyle w:val="1101"/>
              <w:numPr>
                <w:ilvl w:val="0"/>
                <w:numId w:val="0"/>
              </w:numPr>
              <w:ind w:left="0" w:right="0" w:firstLine="0"/>
              <w:jc w:val="center"/>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3967" w:type="pct"/>
            <w:vAlign w:val="center"/>
            <w:textDirection w:val="lrTb"/>
            <w:noWrap w:val="false"/>
          </w:tcPr>
          <w:p>
            <w:pPr>
              <w:pStyle w:val="1101"/>
              <w:ind w:left="0" w:right="0" w:firstLine="0"/>
              <w:keepLines w:val="0"/>
              <w:keepNext w:val="0"/>
              <w:pageBreakBefore w:val="0"/>
              <w:spacing w:before="0" w:beforeAutospacing="0" w:after="0" w:afterAutospacing="0"/>
              <w:shd w:val="clear" w:color="auto"/>
              <w:widowControl w:val="off"/>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数据监查</w:t>
            </w:r>
            <w:r>
              <w:rPr>
                <w:rFonts w:hint="eastAsia" w:ascii="宋体" w:hAnsi="宋体" w:eastAsia="宋体" w:cs="宋体"/>
                <w:color w:val="auto"/>
                <w:sz w:val="21"/>
                <w:szCs w:val="21"/>
                <w:highlight w:val="none"/>
                <w:lang w:val="en-US" w:eastAsia="zh-CN" w:bidi="ar"/>
              </w:rPr>
              <w:t xml:space="preserve">:</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1.为了确保科研项目数据的完整和准确，支持管理员指派监查员对科研项目内的数据进行监查；</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2.对每个项目成员的工作量进行统计，管理员可以时刻掌握项目整体情况；</w:t>
            </w:r>
            <w:r/>
          </w:p>
        </w:tc>
      </w:tr>
      <w:tr>
        <w:trPr>
          <w:trHeight w:val="450"/>
        </w:trPr>
        <w:tc>
          <w:tcPr>
            <w:tcW w:w="1032" w:type="pct"/>
            <w:vAlign w:val="center"/>
            <w:textDirection w:val="lrTb"/>
            <w:noWrap w:val="false"/>
          </w:tcPr>
          <w:p>
            <w:pPr>
              <w:pStyle w:val="1101"/>
              <w:numPr>
                <w:ilvl w:val="0"/>
                <w:numId w:val="0"/>
              </w:numPr>
              <w:ind w:left="0" w:right="0" w:firstLine="0"/>
              <w:jc w:val="center"/>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CRF管理</w:t>
            </w:r>
            <w:r/>
          </w:p>
        </w:tc>
        <w:tc>
          <w:tcPr>
            <w:tcW w:w="3967" w:type="pct"/>
            <w:vAlign w:val="center"/>
            <w:textDirection w:val="lrTb"/>
            <w:noWrap w:val="false"/>
          </w:tcPr>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1.科研课题的CRF创建、编辑、删除等管理功能； </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2.多种CRF题型和灵活选项设置功能；</w:t>
            </w:r>
            <w:r/>
          </w:p>
        </w:tc>
      </w:tr>
      <w:tr>
        <w:trPr>
          <w:trHeight w:val="450"/>
        </w:trPr>
        <w:tc>
          <w:tcPr>
            <w:tcW w:w="1032" w:type="pct"/>
            <w:vAlign w:val="center"/>
            <w:textDirection w:val="lrTb"/>
            <w:noWrap w:val="false"/>
          </w:tcPr>
          <w:p>
            <w:pPr>
              <w:pStyle w:val="1101"/>
              <w:numPr>
                <w:ilvl w:val="0"/>
                <w:numId w:val="0"/>
              </w:numPr>
              <w:ind w:left="0" w:right="0" w:firstLine="0"/>
              <w:jc w:val="center"/>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数据中心-数据补录（全平台数据管理）</w:t>
            </w:r>
            <w:r/>
          </w:p>
        </w:tc>
        <w:tc>
          <w:tcPr>
            <w:tcW w:w="3967" w:type="pct"/>
            <w:vAlign w:val="center"/>
            <w:textDirection w:val="lrTb"/>
            <w:noWrap w:val="false"/>
          </w:tcPr>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编辑专病库内的数据，支持补充录入、修改及删除专病库内的患者数据</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支持用户手动补充录入专病库内缺失的数据</w:t>
            </w:r>
            <w:r>
              <w:rPr>
                <w:rFonts w:hint="eastAsia" w:ascii="宋体" w:hAnsi="宋体" w:eastAsia="宋体" w:cs="宋体"/>
                <w:b/>
                <w:bCs/>
                <w:color w:val="auto"/>
                <w:sz w:val="21"/>
                <w:szCs w:val="21"/>
                <w:highlight w:val="none"/>
                <w:lang w:eastAsia="zh-CN" w:bidi="ar"/>
              </w:rPr>
              <w:t xml:space="preserve">（提供系统功能截图并进行说明）</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2. 修改和删除有误的患者数据</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3. 指定有数据操作权限的录入员</w:t>
            </w:r>
            <w:r/>
          </w:p>
        </w:tc>
      </w:tr>
      <w:tr>
        <w:trPr>
          <w:trHeight w:val="1346"/>
        </w:trPr>
        <w:tc>
          <w:tcPr>
            <w:tcW w:w="1032" w:type="pct"/>
            <w:vAlign w:val="center"/>
            <w:textDirection w:val="lrTb"/>
            <w:noWrap w:val="false"/>
          </w:tcPr>
          <w:p>
            <w:pPr>
              <w:pStyle w:val="1101"/>
              <w:numPr>
                <w:ilvl w:val="0"/>
                <w:numId w:val="0"/>
              </w:numPr>
              <w:ind w:left="0" w:right="0" w:firstLine="0"/>
              <w:jc w:val="center"/>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高级统计分析</w:t>
            </w:r>
            <w:r/>
          </w:p>
        </w:tc>
        <w:tc>
          <w:tcPr>
            <w:tcW w:w="3967" w:type="pct"/>
            <w:vAlign w:val="center"/>
            <w:textDirection w:val="lrTb"/>
            <w:noWrap w:val="false"/>
          </w:tcPr>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1.基于科研项目的线上统计分析，支持用户在创建项目后进行数据统计与科研思路探索。支持多因素逻辑回归、多因素线性回归、生存分析cox回归、生存曲线、描述性统计、单因素分析、相关分析；              </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2.统计分析结果可保存、方便管理科研成果；</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3.用户上传整理好的Exce</w:t>
            </w:r>
            <w:r>
              <w:rPr>
                <w:rFonts w:hint="eastAsia" w:ascii="宋体" w:hAnsi="宋体" w:eastAsia="宋体" w:cs="宋体"/>
                <w:color w:val="auto"/>
                <w:sz w:val="21"/>
                <w:szCs w:val="21"/>
                <w:highlight w:val="none"/>
                <w:lang w:val="en-US" w:eastAsia="zh-CN" w:bidi="ar"/>
              </w:rPr>
              <w:t xml:space="preserve">l</w:t>
            </w:r>
            <w:r>
              <w:rPr>
                <w:rFonts w:hint="eastAsia" w:ascii="宋体" w:hAnsi="宋体" w:eastAsia="宋体" w:cs="宋体"/>
                <w:color w:val="auto"/>
                <w:sz w:val="21"/>
                <w:szCs w:val="21"/>
                <w:highlight w:val="none"/>
                <w:lang w:eastAsia="zh-CN" w:bidi="ar"/>
              </w:rPr>
              <w:t xml:space="preserve">或CSV数据集，快速统计分析</w:t>
            </w:r>
            <w:r/>
          </w:p>
        </w:tc>
      </w:tr>
      <w:tr>
        <w:trPr>
          <w:trHeight w:val="1245"/>
        </w:trPr>
        <w:tc>
          <w:tcPr>
            <w:tcW w:w="1032" w:type="pct"/>
            <w:vAlign w:val="center"/>
            <w:textDirection w:val="lrTb"/>
            <w:noWrap w:val="false"/>
          </w:tcPr>
          <w:p>
            <w:pPr>
              <w:pStyle w:val="1101"/>
              <w:numPr>
                <w:ilvl w:val="0"/>
                <w:numId w:val="0"/>
              </w:numPr>
              <w:ind w:left="0" w:right="0" w:firstLine="0"/>
              <w:jc w:val="center"/>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数据中心</w:t>
            </w:r>
            <w:r/>
          </w:p>
        </w:tc>
        <w:tc>
          <w:tcPr>
            <w:tcW w:w="3967" w:type="pct"/>
            <w:vAlign w:val="center"/>
            <w:textDirection w:val="lrTb"/>
            <w:noWrap w:val="false"/>
          </w:tcPr>
          <w:p>
            <w:pPr>
              <w:pStyle w:val="1101"/>
              <w:numPr>
                <w:ilvl w:val="0"/>
                <w:numId w:val="12"/>
              </w:numPr>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提供数据字典，展示疾病数据集建设规范，包括指标定义、值域、字段来源和加工方法</w:t>
            </w:r>
            <w:r/>
          </w:p>
          <w:p>
            <w:pPr>
              <w:pStyle w:val="1101"/>
              <w:numPr>
                <w:ilvl w:val="0"/>
                <w:numId w:val="12"/>
              </w:numPr>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提供数据接入报告，展示医院信息系统接入情况</w:t>
            </w:r>
            <w:r/>
          </w:p>
          <w:p>
            <w:pPr>
              <w:pStyle w:val="1101"/>
              <w:numPr>
                <w:ilvl w:val="0"/>
                <w:numId w:val="12"/>
              </w:numPr>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提供数据质控，展示数据库内字段的填充率和规范性情况</w:t>
            </w:r>
            <w:r/>
          </w:p>
        </w:tc>
      </w:tr>
      <w:tr>
        <w:trPr>
          <w:trHeight w:val="1245"/>
        </w:trPr>
        <w:tc>
          <w:tcPr>
            <w:tcW w:w="1032" w:type="pct"/>
            <w:vAlign w:val="center"/>
            <w:textDirection w:val="lrTb"/>
            <w:noWrap w:val="false"/>
          </w:tcPr>
          <w:p>
            <w:pPr>
              <w:pStyle w:val="1101"/>
              <w:numPr>
                <w:ilvl w:val="0"/>
                <w:numId w:val="0"/>
              </w:numPr>
              <w:ind w:left="0" w:right="0" w:firstLine="0"/>
              <w:jc w:val="center"/>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系统权限管理</w:t>
            </w:r>
            <w:r/>
          </w:p>
        </w:tc>
        <w:tc>
          <w:tcPr>
            <w:tcW w:w="3967" w:type="pct"/>
            <w:vAlign w:val="center"/>
            <w:textDirection w:val="lrTb"/>
            <w:noWrap w:val="false"/>
          </w:tcPr>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1.角色权限管理，支持自定义添加角色，基于当前专病库的权限点给每个角色授予不同的权限点</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2.成员授权管理，支持自行添加成员，并根据不同场景给不同用户授权专病库角色</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3.数据权限管理，支持给不同的用户分配数据权限，可补录的数据范围和是否有明文数据的浏览及导出权限</w:t>
            </w:r>
            <w:r/>
          </w:p>
          <w:p>
            <w:pPr>
              <w:pStyle w:val="1101"/>
              <w:ind w:left="0" w:right="0" w:firstLine="0"/>
              <w:keepLines w:val="0"/>
              <w:keepNext w:val="0"/>
              <w:pageBreakBefore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4.有效期管理，支持给每个用户授权数据库的使用时长或永久有效</w:t>
            </w:r>
            <w:r/>
          </w:p>
        </w:tc>
      </w:tr>
    </w:tbl>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bookmarkStart w:id="73" w:name="_Toc4316"/>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（4）影像数据处理</w:t>
      </w:r>
      <w:bookmarkEnd w:id="73"/>
      <w:r>
        <w:rPr>
          <w:rFonts w:hint="eastAsia" w:ascii="宋体" w:hAnsi="宋体" w:eastAsia="宋体" w:cs="宋体"/>
          <w:b/>
          <w:bCs/>
          <w:color w:val="auto"/>
          <w:sz w:val="21"/>
          <w:szCs w:val="21"/>
          <w:highlight w:val="none"/>
        </w:rPr>
        <w:t xml:space="preserve">技术要求</w:t>
      </w:r>
      <w:r/>
    </w:p>
    <w:tbl>
      <w:tblPr>
        <w:tblStyle w:val="857"/>
        <w:tblW w:w="505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481"/>
        <w:gridCol w:w="1823"/>
        <w:gridCol w:w="5129"/>
      </w:tblGrid>
      <w:tr>
        <w:trPr>
          <w:trHeight w:val="583"/>
        </w:trPr>
        <w:tc>
          <w:tcPr>
            <w:gridSpan w:val="3"/>
            <w:tcW w:w="5000"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1.</w:t>
            </w:r>
            <w:r>
              <w:rPr>
                <w:rFonts w:hint="eastAsia" w:ascii="宋体" w:hAnsi="宋体" w:eastAsia="宋体" w:cs="宋体"/>
                <w:b/>
                <w:bCs/>
                <w:color w:val="auto"/>
                <w:sz w:val="21"/>
                <w:szCs w:val="21"/>
                <w:highlight w:val="none"/>
                <w:lang w:bidi="ar"/>
              </w:rPr>
              <w:t xml:space="preserve">影像数据管理</w:t>
            </w:r>
            <w:r/>
          </w:p>
        </w:tc>
      </w:tr>
      <w:tr>
        <w:trPr>
          <w:trHeight w:val="517"/>
        </w:trPr>
        <w:tc>
          <w:tcPr>
            <w:tcW w:w="878"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功能模块</w:t>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tcW w:w="3039"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lang w:eastAsia="zh-CN"/>
              </w:rPr>
              <w:t xml:space="preserve">技术要求</w:t>
            </w:r>
            <w:r/>
          </w:p>
        </w:tc>
      </w:tr>
      <w:tr>
        <w:trPr>
          <w:trHeight w:val="440"/>
        </w:trPr>
        <w:tc>
          <w:tcPr>
            <w:tcW w:w="878" w:type="pct"/>
            <w:vAlign w:val="center"/>
            <w:vMerge w:val="restart"/>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数据集管理</w:t>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数据集信息展示</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支持对数据集的基本信息和标记进展进行统计及展示</w:t>
            </w:r>
            <w:r/>
          </w:p>
        </w:tc>
      </w:tr>
      <w:tr>
        <w:trPr>
          <w:trHeight w:val="67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数据集操作</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支持创建、编辑、复制、删除数据集</w:t>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数据集迁移</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支持将特定任务类型的影像数据和标记迁移成为其他类型数据集</w:t>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数据集分享</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支持将数据集分享给其他用户，支持被分享的用户对数据集进行查看、标记等操作</w:t>
            </w:r>
            <w:r/>
          </w:p>
        </w:tc>
      </w:tr>
      <w:tr>
        <w:trPr>
          <w:trHeight w:val="9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数据集查找</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支持按数据集名称对数据集进行搜索</w:t>
            </w:r>
            <w:r/>
          </w:p>
        </w:tc>
      </w:tr>
      <w:tr>
        <w:trPr>
          <w:trHeight w:val="9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数据集筛选</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支持按任务类型、影像类型、影像格式等方式对数据集进行筛选</w:t>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数据集任务类型</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支持整图分类、病灶分类、对象检测、特征点检测、分割等多种任务类型的影像数据集</w:t>
            </w:r>
            <w:r/>
          </w:p>
        </w:tc>
      </w:tr>
      <w:tr>
        <w:trPr>
          <w:trHeight w:val="567"/>
        </w:trPr>
        <w:tc>
          <w:tcPr>
            <w:tcW w:w="878" w:type="pct"/>
            <w:vAlign w:val="center"/>
            <w:textDirection w:val="lrTb"/>
            <w:noWrap/>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影像数据导入</w:t>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影像数据</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支持</w:t>
            </w:r>
            <w:bookmarkStart w:id="74" w:name="OLE_LINK11"/>
            <w:r>
              <w:rPr>
                <w:rFonts w:hint="eastAsia" w:ascii="宋体" w:hAnsi="宋体" w:eastAsia="宋体" w:cs="宋体"/>
                <w:color w:val="auto"/>
                <w:sz w:val="21"/>
                <w:szCs w:val="21"/>
                <w:highlight w:val="none"/>
                <w:lang w:eastAsia="zh-CN" w:bidi="ar"/>
              </w:rPr>
              <w:t xml:space="preserve">超声、X线、CT，MR、PETCT</w:t>
            </w:r>
            <w:bookmarkEnd w:id="74"/>
            <w:r>
              <w:rPr>
                <w:rFonts w:hint="eastAsia" w:ascii="宋体" w:hAnsi="宋体" w:eastAsia="宋体" w:cs="宋体"/>
                <w:color w:val="auto"/>
                <w:sz w:val="21"/>
                <w:szCs w:val="21"/>
                <w:highlight w:val="none"/>
                <w:lang w:eastAsia="zh-CN" w:bidi="ar"/>
              </w:rPr>
              <w:t xml:space="preserve">等多模态数据，按照DICOM、NII、NRRD 等格式的医学影像数据导入</w:t>
            </w:r>
            <w:r>
              <w:rPr>
                <w:rFonts w:hint="eastAsia" w:ascii="宋体" w:hAnsi="宋体" w:eastAsia="宋体" w:cs="宋体"/>
                <w:b/>
                <w:bCs/>
                <w:color w:val="auto"/>
                <w:sz w:val="21"/>
                <w:szCs w:val="21"/>
                <w:highlight w:val="none"/>
                <w:lang w:eastAsia="zh-CN" w:bidi="ar"/>
              </w:rPr>
              <w:t xml:space="preserve">（提供系统功能截图并进行说明。）</w:t>
            </w:r>
            <w:r/>
          </w:p>
        </w:tc>
      </w:tr>
      <w:tr>
        <w:trPr>
          <w:trHeight w:val="240"/>
        </w:trPr>
        <w:tc>
          <w:tcPr>
            <w:tcW w:w="878" w:type="pct"/>
            <w:vAlign w:val="center"/>
            <w:textDirection w:val="lrTb"/>
            <w:noWrap/>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导出数据</w:t>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医学影像导出</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支持对平台上的医学影像以 DICOM等各类的格式进行导出</w:t>
            </w:r>
            <w:r/>
          </w:p>
        </w:tc>
      </w:tr>
      <w:tr>
        <w:trPr>
          <w:trHeight w:val="90"/>
        </w:trPr>
        <w:tc>
          <w:tcPr>
            <w:tcW w:w="878" w:type="pct"/>
            <w:vAlign w:val="center"/>
            <w:textDirection w:val="lrTb"/>
            <w:noWrap/>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数据处理</w:t>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数据清洗和脱敏</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支持在DICOM影像数据导入过程中，自动对数据按序列进行清洗和脱敏</w:t>
            </w:r>
            <w:r/>
          </w:p>
        </w:tc>
      </w:tr>
      <w:tr>
        <w:trPr>
          <w:trHeight w:val="90"/>
        </w:trPr>
        <w:tc>
          <w:tcPr>
            <w:tcW w:w="878" w:type="pct"/>
            <w:vAlign w:val="center"/>
            <w:vMerge w:val="restart"/>
            <w:textDirection w:val="lrTb"/>
            <w:noWrap/>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影像组学特征提取</w:t>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组学特征提取</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支持多种组学特征提取，例如：Absolute Gradient、GLCM、GLRLM等</w:t>
            </w:r>
            <w:r/>
          </w:p>
        </w:tc>
      </w:tr>
      <w:tr>
        <w:trPr>
          <w:trHeight w:val="90"/>
        </w:trPr>
        <w:tc>
          <w:tcPr>
            <w:tcW w:w="878" w:type="pct"/>
            <w:vAlign w:val="center"/>
            <w:vMerge w:val="continue"/>
            <w:textDirection w:val="lrTb"/>
            <w:noWrap/>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图像处理</w:t>
            </w:r>
            <w:r/>
          </w:p>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支持多种图像处理方式，包括</w:t>
            </w:r>
            <w:r>
              <w:rPr>
                <w:rFonts w:hint="eastAsia" w:ascii="宋体" w:hAnsi="宋体" w:cs="宋体"/>
                <w:color w:val="auto"/>
                <w:sz w:val="21"/>
                <w:szCs w:val="21"/>
                <w:highlight w:val="none"/>
                <w:lang w:val="en-US" w:eastAsia="zh-CN" w:bidi="ar"/>
              </w:rPr>
              <w:t xml:space="preserve">但</w:t>
            </w:r>
            <w:r>
              <w:rPr>
                <w:rFonts w:hint="eastAsia" w:ascii="宋体" w:hAnsi="宋体" w:eastAsia="宋体" w:cs="宋体"/>
                <w:color w:val="auto"/>
                <w:sz w:val="21"/>
                <w:szCs w:val="21"/>
                <w:highlight w:val="none"/>
                <w:lang w:eastAsia="zh-CN" w:bidi="ar"/>
              </w:rPr>
              <w:t xml:space="preserve">不限于经小波变换(LLL、LHL、HLL、HHH) 、LBP（3D-k、3D-m1、3D-m2）等多种图像处理方式</w:t>
            </w:r>
            <w:r/>
          </w:p>
        </w:tc>
      </w:tr>
      <w:tr>
        <w:trPr>
          <w:trHeight w:val="90"/>
        </w:trPr>
        <w:tc>
          <w:tcPr>
            <w:tcW w:w="878" w:type="pct"/>
            <w:vAlign w:val="center"/>
            <w:vMerge w:val="continue"/>
            <w:textDirection w:val="lrTb"/>
            <w:noWrap/>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影像组学特征覆盖</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bookmarkStart w:id="75" w:name="OLE_LINK17"/>
            <w:r>
              <w:rPr>
                <w:rFonts w:hint="eastAsia" w:ascii="宋体" w:hAnsi="宋体" w:eastAsia="宋体" w:cs="宋体"/>
                <w:color w:val="auto"/>
                <w:sz w:val="21"/>
                <w:szCs w:val="21"/>
                <w:highlight w:val="none"/>
                <w:lang w:eastAsia="zh-CN" w:bidi="ar"/>
              </w:rPr>
              <w:t xml:space="preserve">支持</w:t>
            </w:r>
            <w:bookmarkStart w:id="76" w:name="OLE_LINK14"/>
            <w:r>
              <w:rPr>
                <w:rFonts w:hint="eastAsia" w:ascii="宋体" w:hAnsi="宋体" w:eastAsia="宋体" w:cs="宋体"/>
                <w:color w:val="auto"/>
                <w:sz w:val="21"/>
                <w:szCs w:val="21"/>
                <w:highlight w:val="none"/>
                <w:lang w:eastAsia="zh-CN" w:bidi="ar"/>
              </w:rPr>
              <w:t xml:space="preserve">影像组学特征覆盖</w:t>
            </w:r>
            <w:bookmarkEnd w:id="76"/>
            <w:r>
              <w:rPr>
                <w:rFonts w:hint="eastAsia" w:ascii="宋体" w:hAnsi="宋体" w:eastAsia="宋体" w:cs="宋体"/>
                <w:color w:val="auto"/>
                <w:sz w:val="21"/>
                <w:szCs w:val="21"/>
                <w:highlight w:val="none"/>
                <w:lang w:eastAsia="zh-CN" w:bidi="ar"/>
              </w:rPr>
              <w:t xml:space="preserve">，包括</w:t>
            </w:r>
            <w:r>
              <w:rPr>
                <w:rFonts w:hint="eastAsia" w:ascii="宋体" w:hAnsi="宋体" w:cs="宋体"/>
                <w:color w:val="auto"/>
                <w:sz w:val="21"/>
                <w:szCs w:val="21"/>
                <w:highlight w:val="none"/>
                <w:lang w:val="en-US" w:eastAsia="zh-CN" w:bidi="ar"/>
              </w:rPr>
              <w:t xml:space="preserve">但</w:t>
            </w:r>
            <w:r>
              <w:rPr>
                <w:rFonts w:hint="eastAsia" w:ascii="宋体" w:hAnsi="宋体" w:eastAsia="宋体" w:cs="宋体"/>
                <w:color w:val="auto"/>
                <w:sz w:val="21"/>
                <w:szCs w:val="21"/>
                <w:highlight w:val="none"/>
                <w:lang w:eastAsia="zh-CN" w:bidi="ar"/>
              </w:rPr>
              <w:t xml:space="preserve">不限于shape based (3D)、GLCM等特征</w:t>
            </w:r>
            <w:bookmarkEnd w:id="75"/>
            <w:r/>
            <w:r/>
          </w:p>
        </w:tc>
      </w:tr>
      <w:tr>
        <w:trPr>
          <w:trHeight w:val="90"/>
        </w:trPr>
        <w:tc>
          <w:tcPr>
            <w:tcW w:w="878" w:type="pct"/>
            <w:vAlign w:val="center"/>
            <w:vMerge w:val="continue"/>
            <w:textDirection w:val="lrTb"/>
            <w:noWrap/>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按序列提取组学特征</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支持多序列影像数据按序列提取组学特征，例如：（ T1、DWI等）</w:t>
            </w:r>
            <w:r/>
          </w:p>
        </w:tc>
      </w:tr>
      <w:tr>
        <w:trPr>
          <w:trHeight w:val="90"/>
        </w:trPr>
        <w:tc>
          <w:tcPr>
            <w:tcW w:w="878" w:type="pct"/>
            <w:vAlign w:val="center"/>
            <w:vMerge w:val="continue"/>
            <w:textDirection w:val="lrTb"/>
            <w:noWrap/>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图像标准化预处理</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支持</w:t>
            </w:r>
            <w:bookmarkStart w:id="77" w:name="OLE_LINK15"/>
            <w:r>
              <w:rPr>
                <w:rFonts w:hint="eastAsia" w:ascii="宋体" w:hAnsi="宋体" w:eastAsia="宋体" w:cs="宋体"/>
                <w:color w:val="auto"/>
                <w:sz w:val="21"/>
                <w:szCs w:val="21"/>
                <w:highlight w:val="none"/>
                <w:lang w:eastAsia="zh-CN" w:bidi="ar"/>
              </w:rPr>
              <w:t xml:space="preserve">图像标准化预处理</w:t>
            </w:r>
            <w:bookmarkEnd w:id="77"/>
            <w:r>
              <w:rPr>
                <w:rFonts w:hint="eastAsia" w:ascii="宋体" w:hAnsi="宋体" w:eastAsia="宋体" w:cs="宋体"/>
                <w:color w:val="auto"/>
                <w:sz w:val="21"/>
                <w:szCs w:val="21"/>
                <w:highlight w:val="none"/>
                <w:lang w:eastAsia="zh-CN" w:bidi="ar"/>
              </w:rPr>
              <w:t xml:space="preserve">，例如：（灰度值标准化、窗宽窗位标准化等）</w:t>
            </w:r>
            <w:r/>
          </w:p>
        </w:tc>
      </w:tr>
      <w:tr>
        <w:trPr>
          <w:trHeight w:val="90"/>
        </w:trPr>
        <w:tc>
          <w:tcPr>
            <w:tcW w:w="878" w:type="pct"/>
            <w:vAlign w:val="center"/>
            <w:vMerge w:val="continue"/>
            <w:textDirection w:val="lrTb"/>
            <w:noWrap/>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图像重采样与归一化</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支持</w:t>
            </w:r>
            <w:bookmarkStart w:id="78" w:name="OLE_LINK16"/>
            <w:r>
              <w:rPr>
                <w:rFonts w:hint="eastAsia" w:ascii="宋体" w:hAnsi="宋体" w:eastAsia="宋体" w:cs="宋体"/>
                <w:color w:val="auto"/>
                <w:sz w:val="21"/>
                <w:szCs w:val="21"/>
                <w:highlight w:val="none"/>
                <w:lang w:eastAsia="zh-CN" w:bidi="ar"/>
              </w:rPr>
              <w:t xml:space="preserve">图像</w:t>
            </w:r>
            <w:bookmarkEnd w:id="78"/>
            <w:r>
              <w:rPr>
                <w:rFonts w:hint="eastAsia" w:ascii="宋体" w:hAnsi="宋体" w:eastAsia="宋体" w:cs="宋体"/>
                <w:color w:val="auto"/>
                <w:sz w:val="21"/>
                <w:szCs w:val="21"/>
                <w:highlight w:val="none"/>
                <w:lang w:eastAsia="zh-CN" w:bidi="ar"/>
              </w:rPr>
              <w:t xml:space="preserve">重采样预处理、支持图像归一化预处理</w:t>
            </w:r>
            <w:r/>
          </w:p>
        </w:tc>
      </w:tr>
      <w:tr>
        <w:trPr>
          <w:trHeight w:val="90"/>
        </w:trPr>
        <w:tc>
          <w:tcPr>
            <w:tcW w:w="878" w:type="pct"/>
            <w:vAlign w:val="center"/>
            <w:vMerge w:val="continue"/>
            <w:textDirection w:val="lrTb"/>
            <w:noWrap/>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ROI合并提取</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支持ROI合并提取组学特征</w:t>
            </w:r>
            <w:r/>
          </w:p>
        </w:tc>
      </w:tr>
      <w:tr>
        <w:trPr>
          <w:trHeight w:val="90"/>
        </w:trPr>
        <w:tc>
          <w:tcPr>
            <w:tcW w:w="878" w:type="pct"/>
            <w:vAlign w:val="center"/>
            <w:vMerge w:val="continue"/>
            <w:textDirection w:val="lrTb"/>
            <w:noWrap/>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bookmarkStart w:id="79" w:name="_Hlk215293755"/>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组学特征数据集自动生成与管理</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支持自动生成并保存组学特征数据集、支持组学特征数据的下载、支持组学特征数据的删除</w:t>
            </w:r>
            <w:bookmarkEnd w:id="79"/>
            <w:r/>
            <w:r/>
          </w:p>
        </w:tc>
      </w:tr>
      <w:tr>
        <w:trPr>
          <w:trHeight w:val="240"/>
        </w:trPr>
        <w:tc>
          <w:tcPr>
            <w:tcW w:w="878"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实验分组</w:t>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实验数据分组</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支持对特定标签按自定义/按自定义的分组比例，对数据进行按比例随机分组、支持手动分组</w:t>
            </w:r>
            <w:r/>
          </w:p>
        </w:tc>
      </w:tr>
      <w:tr>
        <w:trPr>
          <w:trHeight w:val="510"/>
        </w:trPr>
        <w:tc>
          <w:tcPr>
            <w:gridSpan w:val="3"/>
            <w:tcW w:w="5000"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2. 多任务智能标记</w:t>
            </w:r>
            <w:r/>
          </w:p>
        </w:tc>
      </w:tr>
      <w:tr>
        <w:trPr>
          <w:trHeight w:val="473"/>
        </w:trPr>
        <w:tc>
          <w:tcPr>
            <w:tcW w:w="878"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功能模块</w:t>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tcW w:w="3039"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eastAsia="zh-CN"/>
              </w:rPr>
              <w:t xml:space="preserve">技术要求</w:t>
            </w:r>
            <w:r/>
          </w:p>
        </w:tc>
      </w:tr>
      <w:tr>
        <w:trPr>
          <w:trHeight w:val="240"/>
        </w:trPr>
        <w:tc>
          <w:tcPr>
            <w:tcW w:w="878"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标记标签</w:t>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标签组与标签</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系统支持按标签组的方式对标签进行管理，不同的标签组可代表不同的标记维度，系统支持对标签组和标签进行创建、编辑、删除等操作</w:t>
            </w:r>
            <w:r/>
          </w:p>
        </w:tc>
      </w:tr>
      <w:tr>
        <w:trPr>
          <w:trHeight w:val="240"/>
        </w:trPr>
        <w:tc>
          <w:tcPr>
            <w:tcW w:w="878" w:type="pct"/>
            <w:vAlign w:val="center"/>
            <w:vMerge w:val="restart"/>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标记样式</w:t>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隐藏标注</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支持当前层面和全层面标注信息隐藏</w:t>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标记样式</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针对不同的任务类型，提供多种不同的标记样式</w:t>
            </w:r>
            <w:r/>
          </w:p>
        </w:tc>
      </w:tr>
      <w:tr>
        <w:trPr>
          <w:trHeight w:val="240"/>
        </w:trPr>
        <w:tc>
          <w:tcPr>
            <w:tcW w:w="878" w:type="pct"/>
            <w:vAlign w:val="center"/>
            <w:vMerge w:val="restart"/>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bookmarkStart w:id="80" w:name="OLE_LINK21"/>
            <w:r>
              <w:rPr>
                <w:rFonts w:hint="eastAsia" w:ascii="宋体" w:hAnsi="宋体" w:eastAsia="宋体" w:cs="宋体"/>
                <w:color w:val="auto"/>
                <w:sz w:val="21"/>
                <w:szCs w:val="21"/>
                <w:highlight w:val="none"/>
                <w:lang w:bidi="ar"/>
              </w:rPr>
              <w:t xml:space="preserve">标记工具</w:t>
            </w:r>
            <w:bookmarkEnd w:id="80"/>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影像阅片工具</w:t>
            </w:r>
            <w:r/>
          </w:p>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提供影像阅片工具，包括布局切换、隐藏/显示DICOM meta信息、快速调窗工具、自定义窗宽窗位配置、缩放和移动工具、自动测量工具、自动生成MPR、CPR、图像翻转工具等</w:t>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视窗排版</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bookmarkStart w:id="81" w:name="OLE_LINK22"/>
            <w:r>
              <w:rPr>
                <w:rFonts w:hint="eastAsia" w:ascii="宋体" w:hAnsi="宋体" w:eastAsia="宋体" w:cs="宋体"/>
                <w:color w:val="auto"/>
                <w:sz w:val="21"/>
                <w:szCs w:val="21"/>
                <w:highlight w:val="none"/>
                <w:lang w:eastAsia="zh-CN" w:bidi="ar"/>
              </w:rPr>
              <w:t xml:space="preserve">系统提供灵活多样的视窗排版工具，医生可自由拖拽、缩放、分格或合并图像窗口，按需定制单屏、双屏、四屏乃至任意网格布局，实现个性化阅片工作流</w:t>
            </w:r>
            <w:bookmarkEnd w:id="81"/>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序列浏览</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bookmarkStart w:id="82" w:name="OLE_LINK23"/>
            <w:r>
              <w:rPr>
                <w:rFonts w:hint="eastAsia" w:ascii="宋体" w:hAnsi="宋体" w:eastAsia="宋体" w:cs="宋体"/>
                <w:color w:val="auto"/>
                <w:sz w:val="21"/>
                <w:szCs w:val="21"/>
                <w:highlight w:val="none"/>
                <w:lang w:eastAsia="zh-CN" w:bidi="ar"/>
              </w:rPr>
              <w:t xml:space="preserve">提供流畅的序列滚动机制，医生可通过鼠标滚轮、键盘方向键逐帧浏览，也可一键跳转至首尾或指定层面，快速定位关键切片，提升三维影像阅读效率</w:t>
            </w:r>
            <w:bookmarkEnd w:id="82"/>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序列对比</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bookmarkStart w:id="83" w:name="OLE_LINK25"/>
            <w:r>
              <w:rPr>
                <w:rFonts w:hint="eastAsia" w:ascii="宋体" w:hAnsi="宋体" w:eastAsia="宋体" w:cs="宋体"/>
                <w:color w:val="auto"/>
                <w:sz w:val="21"/>
                <w:szCs w:val="21"/>
                <w:highlight w:val="none"/>
                <w:lang w:eastAsia="zh-CN" w:bidi="ar"/>
              </w:rPr>
              <w:t xml:space="preserve">允许多条检查序列并排或层叠显示，只需拖拽标题栏即可在不同序列间即时切换；同时提供缩略图导航栏，拖拽缩略图即可替换主窗口内容，实现秒级序列对比与动态观察</w:t>
            </w:r>
            <w:bookmarkEnd w:id="83"/>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病灶级标注</w:t>
            </w:r>
            <w:r/>
          </w:p>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支持病灶级别的标注</w:t>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bidi="ar"/>
              </w:rPr>
              <w:t xml:space="preserve">手动勾画工具</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支持手动勾画工具，包括框选勾画、涂抹、画圆、画框，支持勾画结果的删改，包括框选删改、涂抹删改、按层面删改</w:t>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三维框标注</w:t>
            </w:r>
            <w:r/>
          </w:p>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支持三维框标注工具</w:t>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bookmarkStart w:id="84" w:name="_Hlk215294635"/>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套索勾画</w:t>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bidi="ar"/>
              </w:rPr>
              <w:t xml:space="preserve">支持套索工具，医生勾勒病灶的大概范围后可自动根据图像信号差异进行精准勾画</w:t>
            </w:r>
            <w:bookmarkEnd w:id="84"/>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多序列</w:t>
            </w:r>
            <w:r>
              <w:rPr>
                <w:rFonts w:hint="eastAsia" w:ascii="宋体" w:hAnsi="宋体" w:eastAsia="宋体" w:cs="宋体"/>
                <w:color w:val="auto"/>
                <w:sz w:val="21"/>
                <w:szCs w:val="21"/>
                <w:highlight w:val="none"/>
                <w:lang w:eastAsia="zh-CN" w:bidi="ar"/>
              </w:rPr>
              <w:t xml:space="preserve">标注</w:t>
            </w:r>
            <w:r/>
          </w:p>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3039" w:type="pct"/>
            <w:vAlign w:val="center"/>
            <w:textDirection w:val="lrTb"/>
            <w:noWrap w:val="false"/>
          </w:tcPr>
          <w:p>
            <w:pPr>
              <w:pStyle w:val="1101"/>
              <w:ind w:left="0" w:right="0"/>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bookmarkStart w:id="85" w:name="OLE_LINK29"/>
            <w:r>
              <w:rPr>
                <w:rFonts w:hint="eastAsia" w:ascii="宋体" w:hAnsi="宋体" w:eastAsia="宋体" w:cs="宋体"/>
                <w:color w:val="auto"/>
                <w:sz w:val="21"/>
                <w:szCs w:val="21"/>
                <w:highlight w:val="none"/>
                <w:lang w:eastAsia="zh-CN" w:bidi="ar"/>
              </w:rPr>
              <w:t xml:space="preserve">支持多序列数据的标注，针对多序列数据，支持标记和修改序列类型标签</w:t>
            </w:r>
            <w:bookmarkEnd w:id="85"/>
            <w:r/>
            <w:r/>
          </w:p>
        </w:tc>
      </w:tr>
      <w:tr>
        <w:trPr>
          <w:trHeight w:val="240"/>
        </w:trPr>
        <w:tc>
          <w:tcPr>
            <w:tcW w:w="878" w:type="pct"/>
            <w:vAlign w:val="center"/>
            <w:vMerge w:val="continue"/>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081" w:type="pct"/>
            <w:vAlign w:val="center"/>
            <w:textDirection w:val="lrTb"/>
            <w:noWrap w:val="false"/>
          </w:tcPr>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ROI 跨序列复制/删除</w:t>
            </w:r>
            <w:r/>
          </w:p>
          <w:p>
            <w:pPr>
              <w:pStyle w:val="1101"/>
              <w:ind w:left="0" w:right="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3039"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bookmarkStart w:id="86" w:name="OLE_LINK30"/>
            <w:r>
              <w:rPr>
                <w:rFonts w:hint="eastAsia" w:ascii="宋体" w:hAnsi="宋体" w:eastAsia="宋体" w:cs="宋体"/>
                <w:color w:val="auto"/>
                <w:sz w:val="21"/>
                <w:szCs w:val="21"/>
                <w:highlight w:val="none"/>
                <w:lang w:bidi="ar"/>
              </w:rPr>
              <w:t xml:space="preserve">支持多序列数据之间进行ROI标记的复制粘贴，支持标注ROI的删除</w:t>
            </w:r>
            <w:bookmarkEnd w:id="86"/>
            <w:r/>
            <w:r/>
          </w:p>
        </w:tc>
      </w:tr>
    </w:tbl>
    <w:p>
      <w:pPr>
        <w:ind w:firstLine="0"/>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p>
      <w:pPr>
        <w:ind w:firstLine="0"/>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（5）科研中心</w:t>
      </w:r>
      <w:r>
        <w:rPr>
          <w:rFonts w:hint="eastAsia" w:ascii="宋体" w:hAnsi="宋体" w:eastAsia="宋体" w:cs="宋体"/>
          <w:b/>
          <w:bCs/>
          <w:color w:val="auto"/>
          <w:sz w:val="21"/>
          <w:szCs w:val="21"/>
          <w:highlight w:val="none"/>
          <w:lang w:val="en-US" w:eastAsia="zh-CN"/>
        </w:rPr>
        <w:t xml:space="preserve">技术</w:t>
      </w:r>
      <w:r>
        <w:rPr>
          <w:rFonts w:hint="eastAsia" w:ascii="宋体" w:hAnsi="宋体" w:eastAsia="宋体" w:cs="宋体"/>
          <w:b/>
          <w:bCs/>
          <w:color w:val="auto"/>
          <w:sz w:val="21"/>
          <w:szCs w:val="21"/>
          <w:highlight w:val="none"/>
        </w:rPr>
        <w:t xml:space="preserve">要求</w:t>
      </w:r>
      <w:r/>
    </w:p>
    <w:tbl>
      <w:tblPr>
        <w:tblStyle w:val="857"/>
        <w:tblW w:w="4938" w:type="pct"/>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7"/>
        <w:gridCol w:w="1618"/>
        <w:gridCol w:w="5141"/>
      </w:tblGrid>
      <w:tr>
        <w:trPr>
          <w:trHeight w:val="546"/>
        </w:trPr>
        <w:tc>
          <w:tcPr>
            <w:shd w:val="clear" w:color="auto" w:fill="auto"/>
            <w:tcW w:w="1658" w:type="dxa"/>
            <w:vAlign w:val="center"/>
            <w:textDirection w:val="lrTb"/>
            <w:noWrap w:val="false"/>
          </w:tcPr>
          <w:p>
            <w:pPr>
              <w:pStyle w:val="1101"/>
              <w:ind w:left="0" w:right="0" w:firstLine="0"/>
              <w:jc w:val="center"/>
              <w:keepLines w:val="0"/>
              <w:keepNext w:val="0"/>
              <w:pageBreakBefore w:val="0"/>
              <w:spacing w:before="0" w:beforeAutospacing="0" w:after="0" w:afterAutospacing="0"/>
              <w:shd w:val="clear" w:color="auto"/>
              <w:rPr>
                <w:rFonts w:hint="eastAsia" w:ascii="宋体" w:hAnsi="宋体" w:eastAsia="宋体" w:cs="宋体"/>
                <w:b/>
                <w:bCs/>
                <w:color w:val="auto"/>
                <w:sz w:val="21"/>
                <w:szCs w:val="21"/>
                <w:highlight w:val="none"/>
                <w:lang w:bidi="ar"/>
              </w:rPr>
              <w:suppressLineNumbers w:val="0"/>
            </w:pPr>
            <w:r>
              <w:rPr>
                <w:rFonts w:hint="eastAsia" w:ascii="宋体" w:hAnsi="宋体" w:eastAsia="宋体" w:cs="宋体"/>
                <w:b/>
                <w:bCs/>
                <w:color w:val="auto"/>
                <w:sz w:val="21"/>
                <w:szCs w:val="21"/>
                <w:highlight w:val="none"/>
                <w:lang w:bidi="ar"/>
              </w:rPr>
              <w:t xml:space="preserve">系统大类</w:t>
            </w:r>
            <w:r/>
          </w:p>
        </w:tc>
        <w:tc>
          <w:tcPr>
            <w:shd w:val="clear" w:color="auto" w:fill="auto"/>
            <w:tcW w:w="1619" w:type="dxa"/>
            <w:vAlign w:val="center"/>
            <w:textDirection w:val="lrTb"/>
            <w:noWrap w:val="false"/>
          </w:tcPr>
          <w:p>
            <w:pPr>
              <w:pStyle w:val="1101"/>
              <w:ind w:left="0" w:right="0" w:firstLine="0"/>
              <w:jc w:val="center"/>
              <w:keepLines w:val="0"/>
              <w:keepNext w:val="0"/>
              <w:pageBreakBefore w:val="0"/>
              <w:spacing w:before="0" w:beforeAutospacing="0" w:after="0" w:afterAutospacing="0"/>
              <w:shd w:val="clear" w:color="auto"/>
              <w:rPr>
                <w:rFonts w:hint="eastAsia" w:ascii="宋体" w:hAnsi="宋体" w:eastAsia="宋体" w:cs="宋体"/>
                <w:b/>
                <w:bCs/>
                <w:color w:val="auto"/>
                <w:sz w:val="21"/>
                <w:szCs w:val="21"/>
                <w:highlight w:val="none"/>
                <w:lang w:bidi="ar"/>
              </w:rPr>
              <w:suppressLineNumbers w:val="0"/>
            </w:pPr>
            <w:r>
              <w:rPr>
                <w:rFonts w:hint="eastAsia" w:ascii="宋体" w:hAnsi="宋体"/>
                <w:b/>
                <w:bCs/>
                <w:color w:val="auto"/>
                <w:szCs w:val="21"/>
                <w:highlight w:val="none"/>
              </w:rPr>
              <w:t xml:space="preserve">子系统</w:t>
            </w:r>
            <w:r/>
          </w:p>
        </w:tc>
        <w:tc>
          <w:tcPr>
            <w:shd w:val="clear" w:color="auto" w:fill="auto"/>
            <w:tcW w:w="5140" w:type="dxa"/>
            <w:vAlign w:val="center"/>
            <w:textDirection w:val="lrTb"/>
            <w:noWrap w:val="false"/>
          </w:tcPr>
          <w:p>
            <w:pPr>
              <w:pStyle w:val="1101"/>
              <w:ind w:left="0" w:right="0" w:firstLine="0"/>
              <w:jc w:val="center"/>
              <w:keepLines w:val="0"/>
              <w:keepNext w:val="0"/>
              <w:pageBreakBefore w:val="0"/>
              <w:spacing w:before="0" w:beforeAutospacing="0" w:after="0" w:afterAutospacing="0"/>
              <w:shd w:val="clear" w:color="auto"/>
              <w:rPr>
                <w:rFonts w:hint="eastAsia" w:ascii="宋体" w:hAnsi="宋体" w:eastAsia="宋体" w:cs="宋体"/>
                <w:b/>
                <w:bCs/>
                <w:color w:val="auto"/>
                <w:sz w:val="21"/>
                <w:szCs w:val="21"/>
                <w:highlight w:val="none"/>
                <w:lang w:bidi="ar"/>
              </w:rPr>
              <w:suppressLineNumbers w:val="0"/>
            </w:pPr>
            <w:r>
              <w:rPr>
                <w:rFonts w:hint="eastAsia" w:ascii="宋体" w:hAnsi="宋体" w:eastAsia="宋体" w:cs="宋体"/>
                <w:b/>
                <w:bCs/>
                <w:color w:val="auto"/>
                <w:sz w:val="21"/>
                <w:szCs w:val="21"/>
                <w:highlight w:val="none"/>
                <w:lang w:eastAsia="zh-CN"/>
              </w:rPr>
              <w:t xml:space="preserve">技术要求</w:t>
            </w:r>
            <w:r/>
          </w:p>
        </w:tc>
      </w:tr>
      <w:tr>
        <w:trPr>
          <w:trHeight w:val="424"/>
        </w:trPr>
        <w:tc>
          <w:tcPr>
            <w:shd w:val="clear" w:color="auto" w:fill="auto"/>
            <w:tcW w:w="984" w:type="pct"/>
            <w:vAlign w:val="center"/>
            <w:vMerge w:val="restart"/>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科研中心</w:t>
            </w:r>
            <w:r/>
          </w:p>
        </w:tc>
        <w:tc>
          <w:tcPr>
            <w:shd w:val="clear" w:color="auto" w:fill="auto"/>
            <w:tcW w:w="961" w:type="pct"/>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分析建模中心</w:t>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支持不同分析任务的管理，包括机器学习和深度学习任务。</w:t>
            </w:r>
            <w:r/>
          </w:p>
        </w:tc>
      </w:tr>
      <w:tr>
        <w:trPr>
          <w:trHeight w:val="864"/>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rPr>
                <w:rFonts w:hint="default" w:ascii="宋体" w:hAnsi="宋体" w:eastAsia="宋体" w:cs="宋体"/>
                <w:color w:val="auto"/>
                <w:sz w:val="21"/>
                <w:szCs w:val="21"/>
                <w:highlight w:val="none"/>
                <w:lang w:bidi="ar"/>
              </w:rPr>
              <w:t xml:space="preserve">支持医生选择数据集创建分析任务</w:t>
            </w:r>
            <w:r>
              <w:rPr>
                <w:rFonts w:hint="eastAsia" w:ascii="宋体" w:hAnsi="宋体" w:eastAsia="宋体" w:cs="宋体"/>
                <w:color w:val="auto"/>
                <w:sz w:val="21"/>
                <w:szCs w:val="21"/>
                <w:highlight w:val="none"/>
                <w:lang w:bidi="ar"/>
              </w:rPr>
              <w:t xml:space="preserve">，分析任务展示建模所使用的数据集，数据划分方式，特征筛选方式，以及最优模型的结果。支持任务删除</w:t>
            </w:r>
            <w:r>
              <w:rPr>
                <w:rFonts w:hint="eastAsia" w:ascii="宋体" w:hAnsi="宋体" w:eastAsia="宋体" w:cs="宋体"/>
                <w:color w:val="auto"/>
                <w:sz w:val="21"/>
                <w:szCs w:val="21"/>
                <w:highlight w:val="none"/>
                <w:lang w:val="en-US" w:eastAsia="zh-CN" w:bidi="ar"/>
              </w:rPr>
              <w:t xml:space="preserve">与</w:t>
            </w:r>
            <w:r>
              <w:rPr>
                <w:rFonts w:hint="eastAsia" w:ascii="宋体" w:hAnsi="宋体" w:eastAsia="宋体" w:cs="宋体"/>
                <w:color w:val="auto"/>
                <w:sz w:val="21"/>
                <w:szCs w:val="21"/>
                <w:highlight w:val="none"/>
                <w:lang w:bidi="ar"/>
              </w:rPr>
              <w:t xml:space="preserve">模糊检索。</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机器学习建模中心</w:t>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支持选择需要分析的因变量和纳入模型的特征</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支持按照图像处理方式和组学特征类别选择纳入模型的组学特征（</w:t>
            </w:r>
            <w:r>
              <w:rPr>
                <w:rFonts w:hint="eastAsia" w:ascii="宋体" w:hAnsi="宋体" w:cs="宋体"/>
                <w:color w:val="auto"/>
                <w:sz w:val="21"/>
                <w:szCs w:val="21"/>
                <w:highlight w:val="none"/>
                <w:lang w:val="en-US" w:eastAsia="zh-CN" w:bidi="ar"/>
              </w:rPr>
              <w:t xml:space="preserve">例如</w:t>
            </w:r>
            <w:r>
              <w:rPr>
                <w:rFonts w:hint="eastAsia" w:ascii="宋体" w:hAnsi="宋体" w:eastAsia="宋体" w:cs="宋体"/>
                <w:color w:val="auto"/>
                <w:sz w:val="21"/>
                <w:szCs w:val="21"/>
                <w:highlight w:val="none"/>
                <w:lang w:bidi="ar"/>
              </w:rPr>
              <w:t xml:space="preserve">原始图像、高斯滤波图像、小波分解图像等）</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lang w:bidi="ar"/>
              </w:rPr>
              <w:t xml:space="preserve">自动识别上传数据的变量类型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包括但不限于</w:t>
            </w:r>
            <w:r>
              <w:rPr>
                <w:rFonts w:hint="default" w:ascii="宋体" w:hAnsi="宋体" w:eastAsia="宋体" w:cs="宋体"/>
                <w:color w:val="auto"/>
                <w:sz w:val="21"/>
                <w:szCs w:val="21"/>
                <w:highlight w:val="none"/>
                <w:lang w:bidi="ar"/>
              </w:rPr>
              <w:t xml:space="preserve">有序分类型</w:t>
            </w:r>
            <w:r>
              <w:rPr>
                <w:rFonts w:hint="eastAsia" w:ascii="宋体" w:hAnsi="宋体" w:eastAsia="宋体" w:cs="宋体"/>
                <w:color w:val="auto"/>
                <w:sz w:val="21"/>
                <w:szCs w:val="21"/>
                <w:highlight w:val="none"/>
                <w:lang w:eastAsia="zh-CN" w:bidi="ar"/>
              </w:rPr>
              <w:t xml:space="preserve">、</w:t>
            </w:r>
            <w:r>
              <w:rPr>
                <w:rFonts w:hint="default" w:ascii="宋体" w:hAnsi="宋体" w:eastAsia="宋体" w:cs="宋体"/>
                <w:color w:val="auto"/>
                <w:sz w:val="21"/>
                <w:szCs w:val="21"/>
                <w:highlight w:val="none"/>
                <w:lang w:bidi="ar"/>
              </w:rPr>
              <w:t xml:space="preserve">无序分类型</w:t>
            </w:r>
            <w:r>
              <w:rPr>
                <w:rFonts w:hint="eastAsia" w:ascii="宋体" w:hAnsi="宋体" w:eastAsia="宋体" w:cs="宋体"/>
                <w:color w:val="auto"/>
                <w:sz w:val="21"/>
                <w:szCs w:val="21"/>
                <w:highlight w:val="none"/>
                <w:lang w:eastAsia="zh-CN" w:bidi="ar"/>
              </w:rPr>
              <w:t xml:space="preserve">、</w:t>
            </w:r>
            <w:r>
              <w:rPr>
                <w:rFonts w:hint="default" w:ascii="宋体" w:hAnsi="宋体" w:eastAsia="宋体" w:cs="宋体"/>
                <w:color w:val="auto"/>
                <w:sz w:val="21"/>
                <w:szCs w:val="21"/>
                <w:highlight w:val="none"/>
                <w:lang w:bidi="ar"/>
              </w:rPr>
              <w:t xml:space="preserve">数值类型</w:t>
            </w:r>
            <w:r>
              <w:rPr>
                <w:rFonts w:hint="eastAsia" w:ascii="宋体" w:hAnsi="宋体" w:eastAsia="宋体" w:cs="宋体"/>
                <w:color w:val="auto"/>
                <w:sz w:val="21"/>
                <w:szCs w:val="21"/>
                <w:highlight w:val="none"/>
                <w:lang w:eastAsia="zh-CN" w:bidi="ar"/>
              </w:rPr>
              <w:t xml:space="preserve">、</w:t>
            </w:r>
            <w:r>
              <w:rPr>
                <w:rFonts w:hint="default" w:ascii="宋体" w:hAnsi="宋体" w:eastAsia="宋体" w:cs="宋体"/>
                <w:color w:val="auto"/>
                <w:sz w:val="21"/>
                <w:szCs w:val="21"/>
                <w:highlight w:val="none"/>
                <w:lang w:bidi="ar"/>
              </w:rPr>
              <w:t xml:space="preserve">日期类型</w:t>
            </w:r>
            <w:r>
              <w:rPr>
                <w:rFonts w:hint="eastAsia" w:ascii="宋体" w:hAnsi="宋体" w:eastAsia="宋体" w:cs="宋体"/>
                <w:color w:val="auto"/>
                <w:sz w:val="21"/>
                <w:szCs w:val="21"/>
                <w:highlight w:val="none"/>
                <w:lang w:eastAsia="zh-CN" w:bidi="ar"/>
              </w:rPr>
              <w:t xml:space="preserve">、</w:t>
            </w:r>
            <w:r>
              <w:rPr>
                <w:rFonts w:hint="default" w:ascii="宋体" w:hAnsi="宋体" w:eastAsia="宋体" w:cs="宋体"/>
                <w:color w:val="auto"/>
                <w:sz w:val="21"/>
                <w:szCs w:val="21"/>
                <w:highlight w:val="none"/>
                <w:lang w:bidi="ar"/>
              </w:rPr>
              <w:t xml:space="preserve">文本类型</w:t>
            </w:r>
            <w:r>
              <w:rPr>
                <w:rFonts w:hint="eastAsia" w:ascii="宋体" w:hAnsi="宋体" w:eastAsia="宋体" w:cs="宋体"/>
                <w:color w:val="auto"/>
                <w:sz w:val="21"/>
                <w:szCs w:val="21"/>
                <w:highlight w:val="none"/>
                <w:lang w:val="en-US" w:eastAsia="zh-CN" w:bidi="ar"/>
              </w:rPr>
              <w:t xml:space="preserve">等</w:t>
            </w:r>
            <w:r>
              <w:rPr>
                <w:rFonts w:hint="default" w:ascii="宋体" w:hAnsi="宋体" w:eastAsia="宋体" w:cs="宋体"/>
                <w:color w:val="auto"/>
                <w:sz w:val="21"/>
                <w:szCs w:val="21"/>
                <w:highlight w:val="none"/>
                <w:lang w:bidi="ar"/>
              </w:rPr>
              <w:t xml:space="preserve">，支持手动修改变量类型。</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提供训练集和测试集划分的方式，包括</w:t>
            </w:r>
            <w:r>
              <w:rPr>
                <w:rFonts w:hint="eastAsia" w:ascii="宋体" w:hAnsi="宋体" w:eastAsia="宋体" w:cs="宋体"/>
                <w:color w:val="auto"/>
                <w:sz w:val="21"/>
                <w:szCs w:val="21"/>
                <w:highlight w:val="none"/>
                <w:lang w:val="en-US" w:eastAsia="zh-CN" w:bidi="ar"/>
              </w:rPr>
              <w:t xml:space="preserve">但不限于</w:t>
            </w:r>
            <w:r>
              <w:rPr>
                <w:rFonts w:hint="eastAsia" w:ascii="宋体" w:hAnsi="宋体" w:eastAsia="宋体" w:cs="宋体"/>
                <w:color w:val="auto"/>
                <w:sz w:val="21"/>
                <w:szCs w:val="21"/>
                <w:highlight w:val="none"/>
                <w:lang w:bidi="ar"/>
              </w:rPr>
              <w:t xml:space="preserve">随机划分、交叉验证等</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提供3折、5折、10折等常用的交叉验证折数选择</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提供随机划分数据集和人工划分数据集两种数据划分的方案</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针对训练集和测试集划分的结果展示因变量的数据分布</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rPr>
                <w:rFonts w:hint="default" w:ascii="宋体" w:hAnsi="宋体" w:eastAsia="宋体" w:cs="宋体"/>
                <w:color w:val="auto"/>
                <w:sz w:val="21"/>
                <w:szCs w:val="21"/>
                <w:highlight w:val="none"/>
                <w:lang w:bidi="ar"/>
              </w:rPr>
              <w:t xml:space="preserve">提供</w:t>
            </w:r>
            <w:r>
              <w:rPr>
                <w:rFonts w:hint="eastAsia" w:ascii="宋体" w:hAnsi="宋体" w:eastAsia="宋体" w:cs="宋体"/>
                <w:color w:val="auto"/>
                <w:sz w:val="21"/>
                <w:szCs w:val="21"/>
                <w:highlight w:val="none"/>
                <w:lang w:val="en-US" w:eastAsia="zh-CN" w:bidi="ar"/>
              </w:rPr>
              <w:t xml:space="preserve">多种特征筛选方案，例如</w:t>
            </w:r>
            <w:r>
              <w:rPr>
                <w:rFonts w:hint="default" w:ascii="宋体" w:hAnsi="宋体" w:eastAsia="宋体" w:cs="宋体"/>
                <w:color w:val="auto"/>
                <w:sz w:val="21"/>
                <w:szCs w:val="21"/>
                <w:highlight w:val="none"/>
                <w:lang w:bidi="ar"/>
              </w:rPr>
              <w:t xml:space="preserve">特征预筛、单变量特征筛选、</w:t>
            </w:r>
            <w:r>
              <w:rPr>
                <w:rFonts w:hint="eastAsia" w:ascii="宋体" w:hAnsi="宋体" w:eastAsia="宋体" w:cs="宋体"/>
                <w:color w:val="auto"/>
                <w:sz w:val="21"/>
                <w:szCs w:val="21"/>
                <w:highlight w:val="none"/>
                <w:lang w:val="en-US" w:eastAsia="zh-CN" w:bidi="ar"/>
              </w:rPr>
              <w:t xml:space="preserve">应用</w:t>
            </w:r>
            <w:r>
              <w:rPr>
                <w:rFonts w:hint="default" w:ascii="宋体" w:hAnsi="宋体" w:eastAsia="宋体" w:cs="宋体"/>
                <w:color w:val="auto"/>
                <w:sz w:val="21"/>
                <w:szCs w:val="21"/>
                <w:highlight w:val="none"/>
                <w:lang w:bidi="ar"/>
              </w:rPr>
              <w:t xml:space="preserve">模型</w:t>
            </w:r>
            <w:r>
              <w:rPr>
                <w:rFonts w:hint="eastAsia" w:ascii="宋体" w:hAnsi="宋体" w:eastAsia="宋体" w:cs="宋体"/>
                <w:color w:val="auto"/>
                <w:sz w:val="21"/>
                <w:szCs w:val="21"/>
                <w:highlight w:val="none"/>
                <w:lang w:val="en-US" w:eastAsia="zh-CN" w:bidi="ar"/>
              </w:rPr>
              <w:t xml:space="preserve">进行</w:t>
            </w:r>
            <w:r>
              <w:rPr>
                <w:rFonts w:hint="default" w:ascii="宋体" w:hAnsi="宋体" w:eastAsia="宋体" w:cs="宋体"/>
                <w:color w:val="auto"/>
                <w:sz w:val="21"/>
                <w:szCs w:val="21"/>
                <w:highlight w:val="none"/>
                <w:lang w:bidi="ar"/>
              </w:rPr>
              <w:t xml:space="preserve">特征筛选，</w:t>
            </w:r>
            <w:r>
              <w:rPr>
                <w:rFonts w:hint="eastAsia" w:ascii="宋体" w:hAnsi="宋体" w:eastAsia="宋体" w:cs="宋体"/>
                <w:color w:val="auto"/>
                <w:sz w:val="21"/>
                <w:szCs w:val="21"/>
                <w:highlight w:val="none"/>
                <w:lang w:val="en-US" w:eastAsia="zh-CN" w:bidi="ar"/>
              </w:rPr>
              <w:t xml:space="preserve">以及不同</w:t>
            </w:r>
            <w:r>
              <w:rPr>
                <w:rFonts w:hint="default" w:ascii="宋体" w:hAnsi="宋体" w:eastAsia="宋体" w:cs="宋体"/>
                <w:color w:val="auto"/>
                <w:sz w:val="21"/>
                <w:szCs w:val="21"/>
                <w:highlight w:val="none"/>
                <w:lang w:bidi="ar"/>
              </w:rPr>
              <w:t xml:space="preserve">方案组合使用。</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支持组学特征和临床特征的分别采用不同的筛选方案</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针对组学和临床特征，平台</w:t>
            </w:r>
            <w:r>
              <w:rPr>
                <w:rFonts w:hint="eastAsia" w:ascii="宋体" w:hAnsi="宋体" w:cs="宋体"/>
                <w:color w:val="auto"/>
                <w:sz w:val="21"/>
                <w:szCs w:val="21"/>
                <w:highlight w:val="none"/>
                <w:lang w:val="en-US" w:eastAsia="zh-CN" w:bidi="ar"/>
              </w:rPr>
              <w:t xml:space="preserve">支持</w:t>
            </w:r>
            <w:r>
              <w:rPr>
                <w:rFonts w:hint="eastAsia" w:ascii="宋体" w:hAnsi="宋体" w:eastAsia="宋体" w:cs="宋体"/>
                <w:color w:val="auto"/>
                <w:sz w:val="21"/>
                <w:szCs w:val="21"/>
                <w:highlight w:val="none"/>
                <w:lang w:bidi="ar"/>
              </w:rPr>
              <w:t xml:space="preserve">对特征中的异常情况进行数据清洗和转换，并可智能提示医生使用不同的特征筛选方案</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平台支持自动校验数据的分布特征，并可根据数据分布特征智能匹配医学统计学方法，包括t检验、卡方检验、秩和检验等</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提供多种特征标准化的方案，例如：（Z-score 标准化、中位数-绝对偏差标准化等）</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支持特征筛选的结果以多种图表方式进行展示，例如：（特征重要性条形图、特征组重要性堆叠条形图等）</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提供常用的机器学习模型配置，医生可多选模型，提供模型智能调参的功能。</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平台支持同时运行多个机器学习模型，并提供多个机器学习模型结果对比，可生成多模型对比的图表</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提供每个模型的结果衡量指标，</w:t>
            </w:r>
            <w:r>
              <w:rPr>
                <w:rFonts w:hint="eastAsia" w:ascii="宋体" w:hAnsi="宋体" w:cs="宋体"/>
                <w:color w:val="auto"/>
                <w:sz w:val="21"/>
                <w:szCs w:val="21"/>
                <w:highlight w:val="none"/>
                <w:lang w:val="en-US" w:eastAsia="zh-CN" w:bidi="ar"/>
              </w:rPr>
              <w:t xml:space="preserve">例如</w:t>
            </w:r>
            <w:r>
              <w:rPr>
                <w:rFonts w:hint="eastAsia" w:ascii="宋体" w:hAnsi="宋体" w:eastAsia="宋体" w:cs="宋体"/>
                <w:color w:val="auto"/>
                <w:sz w:val="21"/>
                <w:szCs w:val="21"/>
                <w:highlight w:val="none"/>
                <w:lang w:bidi="ar"/>
              </w:rPr>
              <w:t xml:space="preserve">混淆矩阵和ROC、PR曲线等</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针对线性回归模型提供诺莫图、决策曲线等论文常用图表</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支持</w:t>
            </w:r>
            <w:r>
              <w:rPr>
                <w:rFonts w:hint="eastAsia" w:ascii="宋体" w:hAnsi="宋体" w:eastAsia="宋体" w:cs="宋体"/>
                <w:color w:val="auto"/>
                <w:sz w:val="21"/>
                <w:szCs w:val="21"/>
                <w:highlight w:val="none"/>
                <w:lang w:bidi="ar"/>
              </w:rPr>
              <w:t xml:space="preserve">提供组学模型、临床模型、组学临床联合模型等多</w:t>
            </w:r>
            <w:r>
              <w:rPr>
                <w:rFonts w:hint="eastAsia" w:ascii="宋体" w:hAnsi="宋体" w:cs="宋体"/>
                <w:color w:val="auto"/>
                <w:sz w:val="21"/>
                <w:szCs w:val="21"/>
                <w:highlight w:val="none"/>
                <w:lang w:val="en-US" w:eastAsia="zh-CN" w:bidi="ar"/>
              </w:rPr>
              <w:t xml:space="preserve">种</w:t>
            </w:r>
            <w:r>
              <w:rPr>
                <w:rFonts w:hint="eastAsia" w:ascii="宋体" w:hAnsi="宋体" w:eastAsia="宋体" w:cs="宋体"/>
                <w:color w:val="auto"/>
                <w:sz w:val="21"/>
                <w:szCs w:val="21"/>
                <w:highlight w:val="none"/>
                <w:lang w:bidi="ar"/>
              </w:rPr>
              <w:t xml:space="preserve">模型的对比</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提供自动生成评价模型功能效果的图表，例如可以输出Radscore的图</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支持建立临床组学联合模型，例如使用混淆矩阵、ROC的结果为依据建立临床组学联合模型。</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提供建模结果的导出</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3"/>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支持选择外部数据集进行模型验证</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深度学习建模中心</w:t>
            </w:r>
            <w:r/>
          </w:p>
        </w:tc>
        <w:tc>
          <w:tcPr>
            <w:shd w:val="clear" w:color="auto" w:fill="auto"/>
            <w:tcW w:w="3053" w:type="pct"/>
            <w:vAlign w:val="center"/>
            <w:textDirection w:val="lrTb"/>
            <w:noWrap w:val="false"/>
          </w:tcPr>
          <w:p>
            <w:pPr>
              <w:numPr>
                <w:ilvl w:val="0"/>
                <w:numId w:val="14"/>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支持选择需要分析的因变量</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4"/>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提供训练集和测试集的随机划分，提供按照患者和病灶维度的数据集划分，提供数据训练的维度，</w:t>
            </w:r>
            <w:r>
              <w:rPr>
                <w:rFonts w:hint="eastAsia" w:ascii="宋体" w:hAnsi="宋体" w:cs="宋体"/>
                <w:color w:val="auto"/>
                <w:sz w:val="21"/>
                <w:szCs w:val="21"/>
                <w:highlight w:val="none"/>
                <w:lang w:val="en-US" w:eastAsia="zh-CN" w:bidi="ar"/>
              </w:rPr>
              <w:t xml:space="preserve">例如</w:t>
            </w:r>
            <w:r>
              <w:rPr>
                <w:rFonts w:hint="eastAsia" w:ascii="宋体" w:hAnsi="宋体" w:eastAsia="宋体" w:cs="宋体"/>
                <w:color w:val="auto"/>
                <w:sz w:val="21"/>
                <w:szCs w:val="21"/>
                <w:highlight w:val="none"/>
                <w:lang w:bidi="ar"/>
              </w:rPr>
              <w:t xml:space="preserve">包括序列维度和切片维度</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4"/>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提供多种数据增强方法，</w:t>
            </w:r>
            <w:r>
              <w:rPr>
                <w:rFonts w:hint="eastAsia" w:ascii="宋体" w:hAnsi="宋体" w:cs="宋体"/>
                <w:color w:val="auto"/>
                <w:sz w:val="21"/>
                <w:szCs w:val="21"/>
                <w:highlight w:val="none"/>
                <w:lang w:val="en-US" w:eastAsia="zh-CN" w:bidi="ar"/>
              </w:rPr>
              <w:t xml:space="preserve">包含但不限于</w:t>
            </w:r>
            <w:r>
              <w:rPr>
                <w:rFonts w:hint="eastAsia" w:ascii="宋体" w:hAnsi="宋体" w:eastAsia="宋体" w:cs="宋体"/>
                <w:color w:val="auto"/>
                <w:sz w:val="21"/>
                <w:szCs w:val="21"/>
                <w:highlight w:val="none"/>
                <w:lang w:bidi="ar"/>
              </w:rPr>
              <w:t xml:space="preserve">随机平移、缩放、随机镜像、旋转、随机弹性变换等</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4"/>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提供多种深度学习整图分类、二分类和多分类模型的选择，包括不限于不同深度的Densenet、Resnet和SEnet</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4"/>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提供多种深度学习分割模型的选择，包括不限于不同网络架构的UNET、ResNet等分割网络</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4"/>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提供训练轮数的设置，提供针对分类任务和分割任务的多种损失函数的配置</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4"/>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提供多种初始化参数的配置，提供多种优化器的配置</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4"/>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提供每个模型的结果衡量指标，混淆矩阵和ROC曲线等，针对分割模型的结果，提供可视化的展示</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4"/>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提供针对不同的深度学习任务进行外部验证的功能</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提供模型训练过程中的监控日志，提供结果的导出</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生存分析建模中心</w:t>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支持选择需要分析的因变量、随访时间和纳入模型的特征</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支持按照图像处理方式和组学特征类别选择纳入模型的组学特征</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lang w:bidi="ar"/>
              </w:rPr>
              <w:suppressLineNumbers w:val="0"/>
            </w:pPr>
            <w:r>
              <w:rPr>
                <w:rFonts w:hint="default" w:ascii="宋体" w:hAnsi="宋体" w:eastAsia="宋体" w:cs="宋体"/>
                <w:color w:val="auto"/>
                <w:sz w:val="21"/>
                <w:szCs w:val="21"/>
                <w:highlight w:val="none"/>
                <w:lang w:bidi="ar"/>
              </w:rPr>
              <w:t xml:space="preserve">自动识别上传数据的变量类型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包括但不限于</w:t>
            </w:r>
            <w:r>
              <w:rPr>
                <w:rFonts w:hint="default" w:ascii="宋体" w:hAnsi="宋体" w:eastAsia="宋体" w:cs="宋体"/>
                <w:color w:val="auto"/>
                <w:sz w:val="21"/>
                <w:szCs w:val="21"/>
                <w:highlight w:val="none"/>
                <w:lang w:bidi="ar"/>
              </w:rPr>
              <w:t xml:space="preserve">有序分类型</w:t>
            </w:r>
            <w:r>
              <w:rPr>
                <w:rFonts w:hint="eastAsia" w:ascii="宋体" w:hAnsi="宋体" w:eastAsia="宋体" w:cs="宋体"/>
                <w:color w:val="auto"/>
                <w:sz w:val="21"/>
                <w:szCs w:val="21"/>
                <w:highlight w:val="none"/>
                <w:lang w:eastAsia="zh-CN" w:bidi="ar"/>
              </w:rPr>
              <w:t xml:space="preserve">、</w:t>
            </w:r>
            <w:r>
              <w:rPr>
                <w:rFonts w:hint="default" w:ascii="宋体" w:hAnsi="宋体" w:eastAsia="宋体" w:cs="宋体"/>
                <w:color w:val="auto"/>
                <w:sz w:val="21"/>
                <w:szCs w:val="21"/>
                <w:highlight w:val="none"/>
                <w:lang w:bidi="ar"/>
              </w:rPr>
              <w:t xml:space="preserve">无序分类型</w:t>
            </w:r>
            <w:r>
              <w:rPr>
                <w:rFonts w:hint="eastAsia" w:ascii="宋体" w:hAnsi="宋体" w:eastAsia="宋体" w:cs="宋体"/>
                <w:color w:val="auto"/>
                <w:sz w:val="21"/>
                <w:szCs w:val="21"/>
                <w:highlight w:val="none"/>
                <w:lang w:eastAsia="zh-CN" w:bidi="ar"/>
              </w:rPr>
              <w:t xml:space="preserve">、</w:t>
            </w:r>
            <w:r>
              <w:rPr>
                <w:rFonts w:hint="default" w:ascii="宋体" w:hAnsi="宋体" w:eastAsia="宋体" w:cs="宋体"/>
                <w:color w:val="auto"/>
                <w:sz w:val="21"/>
                <w:szCs w:val="21"/>
                <w:highlight w:val="none"/>
                <w:lang w:bidi="ar"/>
              </w:rPr>
              <w:t xml:space="preserve">数值类型</w:t>
            </w:r>
            <w:r>
              <w:rPr>
                <w:rFonts w:hint="eastAsia" w:ascii="宋体" w:hAnsi="宋体" w:eastAsia="宋体" w:cs="宋体"/>
                <w:color w:val="auto"/>
                <w:sz w:val="21"/>
                <w:szCs w:val="21"/>
                <w:highlight w:val="none"/>
                <w:lang w:eastAsia="zh-CN" w:bidi="ar"/>
              </w:rPr>
              <w:t xml:space="preserve">、</w:t>
            </w:r>
            <w:r>
              <w:rPr>
                <w:rFonts w:hint="default" w:ascii="宋体" w:hAnsi="宋体" w:eastAsia="宋体" w:cs="宋体"/>
                <w:color w:val="auto"/>
                <w:sz w:val="21"/>
                <w:szCs w:val="21"/>
                <w:highlight w:val="none"/>
                <w:lang w:bidi="ar"/>
              </w:rPr>
              <w:t xml:space="preserve">日期类型</w:t>
            </w:r>
            <w:r>
              <w:rPr>
                <w:rFonts w:hint="eastAsia" w:ascii="宋体" w:hAnsi="宋体" w:eastAsia="宋体" w:cs="宋体"/>
                <w:color w:val="auto"/>
                <w:sz w:val="21"/>
                <w:szCs w:val="21"/>
                <w:highlight w:val="none"/>
                <w:lang w:eastAsia="zh-CN" w:bidi="ar"/>
              </w:rPr>
              <w:t xml:space="preserve">、</w:t>
            </w:r>
            <w:r>
              <w:rPr>
                <w:rFonts w:hint="default" w:ascii="宋体" w:hAnsi="宋体" w:eastAsia="宋体" w:cs="宋体"/>
                <w:color w:val="auto"/>
                <w:sz w:val="21"/>
                <w:szCs w:val="21"/>
                <w:highlight w:val="none"/>
                <w:lang w:bidi="ar"/>
              </w:rPr>
              <w:t xml:space="preserve">文本类型</w:t>
            </w:r>
            <w:r>
              <w:rPr>
                <w:rFonts w:hint="eastAsia" w:ascii="宋体" w:hAnsi="宋体" w:eastAsia="宋体" w:cs="宋体"/>
                <w:color w:val="auto"/>
                <w:sz w:val="21"/>
                <w:szCs w:val="21"/>
                <w:highlight w:val="none"/>
                <w:lang w:val="en-US" w:eastAsia="zh-CN" w:bidi="ar"/>
              </w:rPr>
              <w:t xml:space="preserve">等</w:t>
            </w:r>
            <w:r>
              <w:rPr>
                <w:rFonts w:hint="default" w:ascii="宋体" w:hAnsi="宋体" w:eastAsia="宋体" w:cs="宋体"/>
                <w:color w:val="auto"/>
                <w:sz w:val="21"/>
                <w:szCs w:val="21"/>
                <w:highlight w:val="none"/>
                <w:lang w:bidi="ar"/>
              </w:rPr>
              <w:t xml:space="preserve">，支持手动修改变量类型。</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提供训练集和测试集的随机划分，针对训练集和测试集划分的结果展示生存曲线图</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针对影像组学特征提供特征预筛以及应用模型进行特征筛选的方案</w:t>
            </w:r>
            <w:r/>
          </w:p>
        </w:tc>
      </w:tr>
      <w:tr>
        <w:trPr>
          <w:trHeight w:val="90"/>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针对临床特征提供生存分析单因素筛选的方案，提供特征筛选方案组合使用</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支持组学特征和临床特征的分类筛选，针对组学和临床特征，平台将智能采用不同的特征筛选方案</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提供多种特征标准化的方案，特征筛选的结果</w:t>
            </w:r>
            <w:r>
              <w:rPr>
                <w:rFonts w:hint="eastAsia" w:ascii="宋体" w:hAnsi="宋体" w:cs="宋体"/>
                <w:color w:val="auto"/>
                <w:sz w:val="21"/>
                <w:szCs w:val="21"/>
                <w:highlight w:val="none"/>
                <w:lang w:val="en-US" w:eastAsia="zh-CN" w:bidi="ar"/>
              </w:rPr>
              <w:t xml:space="preserve">支持以</w:t>
            </w:r>
            <w:r>
              <w:rPr>
                <w:rFonts w:hint="eastAsia" w:ascii="宋体" w:hAnsi="宋体" w:eastAsia="宋体" w:cs="宋体"/>
                <w:color w:val="auto"/>
                <w:sz w:val="21"/>
                <w:szCs w:val="21"/>
                <w:highlight w:val="none"/>
                <w:lang w:bidi="ar"/>
              </w:rPr>
              <w:t xml:space="preserve">多种图表方式进行展示</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支持基于生存分析模型计算影像组学</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例如：Radscore值、森林图等</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支持使用阈值效应分析自动筛选模型的最佳截断值</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例如：Radscore值、森林图等</w:t>
            </w:r>
            <w:r/>
          </w:p>
        </w:tc>
      </w:tr>
      <w:tr>
        <w:trPr>
          <w:trHeight w:val="576"/>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支持使用模型的最佳截断值将患者区分为高风险组和低风险组，并分组绘制相关图表</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例</w:t>
            </w:r>
            <w:r>
              <w:rPr>
                <w:rFonts w:hint="eastAsia" w:ascii="宋体" w:hAnsi="宋体" w:eastAsia="宋体" w:cs="宋体"/>
                <w:color w:val="auto"/>
                <w:sz w:val="21"/>
                <w:szCs w:val="21"/>
                <w:highlight w:val="none"/>
                <w:lang w:bidi="ar"/>
              </w:rPr>
              <w:t xml:space="preserve">如Radscore值、森林图等</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支持医生使用不同的检验方法进行临床特征的特征筛选</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例如：Kaplan Meier、Log rank等</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支持医生将数值型特征转换为分类型特征并进行后续的建模分析</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支持生存分析模型效果可视化图</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例如：KM、Log rank等</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支持</w:t>
            </w:r>
            <w:r>
              <w:rPr>
                <w:rFonts w:hint="eastAsia" w:ascii="宋体" w:hAnsi="宋体" w:eastAsia="宋体" w:cs="宋体"/>
                <w:color w:val="auto"/>
                <w:sz w:val="21"/>
                <w:szCs w:val="21"/>
                <w:highlight w:val="none"/>
                <w:lang w:bidi="ar"/>
              </w:rPr>
              <w:t xml:space="preserve">提供常用生存分析模型</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例如：多因素cox回归</w:t>
            </w:r>
            <w:r>
              <w:rPr>
                <w:rFonts w:hint="eastAsia" w:ascii="宋体" w:hAnsi="宋体" w:cs="宋体"/>
                <w:color w:val="auto"/>
                <w:sz w:val="21"/>
                <w:szCs w:val="21"/>
                <w:highlight w:val="none"/>
                <w:lang w:val="en-US" w:eastAsia="zh-CN" w:bidi="ar"/>
              </w:rPr>
              <w:t xml:space="preserve">等</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支持</w:t>
            </w:r>
            <w:r>
              <w:rPr>
                <w:rFonts w:hint="eastAsia" w:ascii="宋体" w:hAnsi="宋体" w:eastAsia="宋体" w:cs="宋体"/>
                <w:color w:val="auto"/>
                <w:sz w:val="21"/>
                <w:szCs w:val="21"/>
                <w:highlight w:val="none"/>
                <w:lang w:bidi="ar"/>
              </w:rPr>
              <w:t xml:space="preserve">提供生存分析图、诺莫图、决策曲线等论文常用图表</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支持</w:t>
            </w:r>
            <w:r>
              <w:rPr>
                <w:rFonts w:hint="eastAsia" w:ascii="宋体" w:hAnsi="宋体" w:eastAsia="宋体" w:cs="宋体"/>
                <w:color w:val="auto"/>
                <w:sz w:val="21"/>
                <w:szCs w:val="21"/>
                <w:highlight w:val="none"/>
                <w:lang w:bidi="ar"/>
              </w:rPr>
              <w:t xml:space="preserve">提供组学模型、临床模型、组学临床联合模型等多种模型的对比</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5"/>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支持</w:t>
            </w:r>
            <w:r>
              <w:rPr>
                <w:rFonts w:hint="eastAsia" w:ascii="宋体" w:hAnsi="宋体" w:eastAsia="宋体" w:cs="宋体"/>
                <w:color w:val="auto"/>
                <w:sz w:val="21"/>
                <w:szCs w:val="21"/>
                <w:highlight w:val="none"/>
                <w:lang w:bidi="ar"/>
              </w:rPr>
              <w:t xml:space="preserve">提供建模结果的下载</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科研辅助工具</w:t>
            </w:r>
            <w:r/>
          </w:p>
        </w:tc>
        <w:tc>
          <w:tcPr>
            <w:shd w:val="clear" w:color="auto" w:fill="auto"/>
            <w:tcW w:w="3053" w:type="pct"/>
            <w:vAlign w:val="center"/>
            <w:textDirection w:val="lrTb"/>
            <w:noWrap w:val="false"/>
          </w:tcPr>
          <w:p>
            <w:pPr>
              <w:numPr>
                <w:ilvl w:val="0"/>
                <w:numId w:val="16"/>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支持医生下载标准Dicom可视化工具下载，如ITK-SNAP等</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6"/>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支持医生进行两个模型优劣对比分析，</w:t>
            </w:r>
            <w:r>
              <w:rPr>
                <w:rFonts w:hint="eastAsia" w:ascii="宋体" w:hAnsi="宋体" w:cs="宋体"/>
                <w:color w:val="auto"/>
                <w:sz w:val="21"/>
                <w:szCs w:val="21"/>
                <w:highlight w:val="none"/>
                <w:lang w:val="en-US" w:eastAsia="zh-CN" w:bidi="ar"/>
              </w:rPr>
              <w:t xml:space="preserve">例</w:t>
            </w:r>
            <w:r>
              <w:rPr>
                <w:rFonts w:hint="eastAsia" w:ascii="宋体" w:hAnsi="宋体" w:eastAsia="宋体" w:cs="宋体"/>
                <w:color w:val="auto"/>
                <w:sz w:val="21"/>
                <w:szCs w:val="21"/>
                <w:highlight w:val="none"/>
                <w:lang w:bidi="ar"/>
              </w:rPr>
              <w:t xml:space="preserve">如提供针对两个ROC曲线进行对比的Delong Test</w:t>
            </w:r>
            <w:r/>
          </w:p>
        </w:tc>
      </w:tr>
      <w:tr>
        <w:trPr>
          <w:trHeight w:val="288"/>
        </w:trPr>
        <w:tc>
          <w:tcPr>
            <w:shd w:val="clear" w:color="auto" w:fill="auto"/>
            <w:tcW w:w="984"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61" w:type="pct"/>
            <w:vAlign w:val="center"/>
            <w:vMerge w:val="continue"/>
            <w:textDirection w:val="lrTb"/>
            <w:noWrap w:val="false"/>
          </w:tcPr>
          <w:p>
            <w:pPr>
              <w:ind w:left="0" w:right="0" w:firstLine="440"/>
              <w:jc w:val="center"/>
              <w:keepLines w:val="0"/>
              <w:keepNext w:val="0"/>
              <w:pageBreakBefore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053" w:type="pct"/>
            <w:vAlign w:val="center"/>
            <w:textDirection w:val="lrTb"/>
            <w:noWrap w:val="false"/>
          </w:tcPr>
          <w:p>
            <w:pPr>
              <w:numPr>
                <w:ilvl w:val="0"/>
                <w:numId w:val="16"/>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提供外部数据导入平台进行分析</w:t>
            </w:r>
            <w:r/>
          </w:p>
        </w:tc>
      </w:tr>
    </w:tbl>
    <w:p>
      <w:pPr>
        <w:numPr>
          <w:ilvl w:val="0"/>
          <w:numId w:val="0"/>
        </w:num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5"/>
        </w:num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影像算力</w:t>
      </w:r>
      <w:r>
        <w:rPr>
          <w:rFonts w:hint="eastAsia" w:ascii="宋体" w:hAnsi="宋体" w:cs="宋体"/>
          <w:b/>
          <w:bCs/>
          <w:i w:val="0"/>
          <w:iCs w:val="0"/>
          <w:color w:val="auto"/>
          <w:highlight w:val="none"/>
          <w:u w:val="none"/>
        </w:rPr>
        <w:t xml:space="preserve">资源配置</w:t>
      </w:r>
      <w:r/>
    </w:p>
    <w:tbl>
      <w:tblPr>
        <w:tblStyle w:val="857"/>
        <w:tblW w:w="4946" w:type="pct"/>
        <w:tblInd w:w="91" w:type="dxa"/>
        <w:tblLayout w:type="autofit"/>
        <w:tblCellMar>
          <w:left w:w="108" w:type="dxa"/>
          <w:top w:w="0" w:type="dxa"/>
          <w:right w:w="108" w:type="dxa"/>
          <w:bottom w:w="0" w:type="dxa"/>
        </w:tblCellMar>
        <w:tblLook w:val="04A0" w:firstRow="1" w:lastRow="0" w:firstColumn="1" w:lastColumn="0" w:noHBand="0" w:noVBand="1"/>
      </w:tblPr>
      <w:tblGrid>
        <w:gridCol w:w="1671"/>
        <w:gridCol w:w="6759"/>
      </w:tblGrid>
      <w:tr>
        <w:trPr>
          <w:trHeight w:val="601"/>
        </w:trPr>
        <w:tc>
          <w:tcPr>
            <w:tcBorders>
              <w:top w:val="single" w:color="auto" w:sz="6" w:space="0"/>
              <w:left w:val="single" w:color="auto" w:sz="6" w:space="0"/>
              <w:bottom w:val="single" w:color="auto" w:sz="6" w:space="0"/>
              <w:right w:val="single" w:color="auto" w:sz="6" w:space="0"/>
            </w:tcBorders>
            <w:tcW w:w="99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宋体" w:hAnsi="宋体" w:eastAsia="宋体" w:cs="宋体"/>
                <w:b/>
                <w:bCs/>
                <w:color w:val="auto"/>
                <w:szCs w:val="21"/>
                <w:highlight w:val="none"/>
                <w:lang w:val="en-US" w:eastAsia="zh-CN" w:bidi="ar"/>
              </w:rPr>
              <w:suppressLineNumbers w:val="0"/>
            </w:pPr>
            <w:r>
              <w:rPr>
                <w:rFonts w:hint="eastAsia" w:ascii="宋体" w:hAnsi="宋体"/>
                <w:b/>
                <w:bCs/>
                <w:color w:val="auto"/>
                <w:szCs w:val="21"/>
                <w:highlight w:val="none"/>
              </w:rPr>
              <w:t xml:space="preserve">名称</w:t>
            </w:r>
            <w:r/>
          </w:p>
        </w:tc>
        <w:tc>
          <w:tcPr>
            <w:tcBorders>
              <w:top w:val="single" w:color="auto" w:sz="6" w:space="0"/>
              <w:left w:val="single" w:color="auto" w:sz="6" w:space="0"/>
              <w:bottom w:val="single" w:color="auto" w:sz="6" w:space="0"/>
              <w:right w:val="single" w:color="auto" w:sz="6" w:space="0"/>
            </w:tcBorders>
            <w:tcW w:w="400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宋体" w:hAnsi="宋体" w:eastAsia="宋体" w:cs="宋体"/>
                <w:b/>
                <w:bCs/>
                <w:color w:val="auto"/>
                <w:szCs w:val="21"/>
                <w:highlight w:val="none"/>
                <w:lang w:val="en-US" w:eastAsia="zh-CN" w:bidi="ar"/>
              </w:rPr>
              <w:suppressLineNumbers w:val="0"/>
            </w:pPr>
            <w:r>
              <w:rPr>
                <w:rFonts w:hint="eastAsia" w:ascii="宋体" w:hAnsi="宋体" w:cs="宋体"/>
                <w:b/>
                <w:bCs/>
                <w:color w:val="auto"/>
                <w:szCs w:val="21"/>
                <w:highlight w:val="none"/>
                <w:lang w:val="en-US" w:eastAsia="zh-CN" w:bidi="ar"/>
              </w:rPr>
              <w:t xml:space="preserve">技术要求</w:t>
            </w:r>
            <w:r/>
          </w:p>
        </w:tc>
      </w:tr>
      <w:tr>
        <w:trPr>
          <w:trHeight w:val="601"/>
        </w:trPr>
        <w:tc>
          <w:tcPr>
            <w:tcBorders>
              <w:top w:val="single" w:color="auto" w:sz="6" w:space="0"/>
              <w:left w:val="single" w:color="auto" w:sz="6" w:space="0"/>
              <w:bottom w:val="single" w:color="auto" w:sz="6" w:space="0"/>
              <w:right w:val="single" w:color="auto" w:sz="6" w:space="0"/>
            </w:tcBorders>
            <w:tcW w:w="99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主板</w:t>
            </w:r>
            <w:r/>
          </w:p>
        </w:tc>
        <w:tc>
          <w:tcPr>
            <w:tcBorders>
              <w:top w:val="single" w:color="auto" w:sz="6" w:space="0"/>
              <w:left w:val="single" w:color="auto" w:sz="6" w:space="0"/>
              <w:bottom w:val="single" w:color="auto" w:sz="6" w:space="0"/>
              <w:right w:val="single" w:color="auto" w:sz="6" w:space="0"/>
            </w:tcBorders>
            <w:tcW w:w="4008" w:type="pct"/>
            <w:vAlign w:val="center"/>
            <w:textDirection w:val="lrTb"/>
            <w:noWrap w:val="false"/>
          </w:tcPr>
          <w:p>
            <w:pPr>
              <w:numPr>
                <w:ilvl w:val="0"/>
                <w:numId w:val="17"/>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处理器接口：</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2 个 LGA3647 插槽，支持双路 CPU 协同工作</w:t>
            </w:r>
            <w:r/>
          </w:p>
          <w:p>
            <w:pPr>
              <w:numPr>
                <w:ilvl w:val="0"/>
                <w:numId w:val="17"/>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内存插槽：</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16 个 DIMM 插槽，支持 DDR4 ECC REG 内存​</w:t>
            </w:r>
            <w:r/>
          </w:p>
          <w:p>
            <w:pPr>
              <w:numPr>
                <w:ilvl w:val="0"/>
                <w:numId w:val="17"/>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网络接口：</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2 个 10GbE 以太网端口，满足高速网络传输需求</w:t>
            </w:r>
            <w:r/>
          </w:p>
          <w:p>
            <w:pPr>
              <w:numPr>
                <w:ilvl w:val="0"/>
                <w:numId w:val="17"/>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扩展插槽：</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6 个 PCIe3.0 x16 插槽 + 1 个 PCIe3.0 x8 插槽，提供丰富扩展能力​</w:t>
            </w:r>
            <w:r/>
          </w:p>
          <w:p>
            <w:pPr>
              <w:numPr>
                <w:ilvl w:val="0"/>
                <w:numId w:val="17"/>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兼容性要求：需与本次招标采购的 CPU、内存、显卡等硬件完全兼容，支持硬件协同稳定运行</w:t>
            </w:r>
            <w:r/>
          </w:p>
        </w:tc>
      </w:tr>
      <w:tr>
        <w:trPr>
          <w:trHeight w:val="600"/>
        </w:trPr>
        <w:tc>
          <w:tcPr>
            <w:tcBorders>
              <w:top w:val="single" w:color="auto" w:sz="6" w:space="0"/>
              <w:left w:val="single" w:color="auto" w:sz="6" w:space="0"/>
              <w:bottom w:val="single" w:color="auto" w:sz="6" w:space="0"/>
              <w:right w:val="single" w:color="auto" w:sz="6" w:space="0"/>
            </w:tcBorders>
            <w:tcW w:w="99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CPU</w:t>
            </w:r>
            <w:r/>
          </w:p>
        </w:tc>
        <w:tc>
          <w:tcPr>
            <w:tcBorders>
              <w:top w:val="single" w:color="auto" w:sz="6" w:space="0"/>
              <w:left w:val="single" w:color="auto" w:sz="6" w:space="0"/>
              <w:bottom w:val="single" w:color="auto" w:sz="6" w:space="0"/>
              <w:right w:val="single" w:color="auto" w:sz="6" w:space="0"/>
            </w:tcBorders>
            <w:tcW w:w="4008" w:type="pct"/>
            <w:vAlign w:val="center"/>
            <w:textDirection w:val="lrTb"/>
            <w:noWrap w:val="false"/>
          </w:tcPr>
          <w:p>
            <w:pPr>
              <w:numPr>
                <w:ilvl w:val="0"/>
                <w:numId w:val="18"/>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核心参数：</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主频 2.4GHz，10 核心，支持多线程技术​</w:t>
            </w:r>
            <w:r/>
          </w:p>
          <w:p>
            <w:pPr>
              <w:numPr>
                <w:ilvl w:val="0"/>
                <w:numId w:val="18"/>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数量要求：2颗，支持双路协同运算，满足高性能计算需求​</w:t>
            </w:r>
            <w:r/>
          </w:p>
          <w:p>
            <w:pPr>
              <w:numPr>
                <w:ilvl w:val="0"/>
                <w:numId w:val="18"/>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兼容性：需与招标主板完全兼容，支持主板所有扩展功能</w:t>
            </w:r>
            <w:r/>
          </w:p>
        </w:tc>
      </w:tr>
      <w:tr>
        <w:trPr>
          <w:trHeight w:val="780"/>
        </w:trPr>
        <w:tc>
          <w:tcPr>
            <w:tcBorders>
              <w:top w:val="single" w:color="auto" w:sz="6" w:space="0"/>
              <w:left w:val="single" w:color="auto" w:sz="6" w:space="0"/>
              <w:bottom w:val="single" w:color="auto" w:sz="6" w:space="0"/>
              <w:right w:val="single" w:color="auto" w:sz="6" w:space="0"/>
            </w:tcBorders>
            <w:tcW w:w="99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内存</w:t>
            </w:r>
            <w:r/>
          </w:p>
        </w:tc>
        <w:tc>
          <w:tcPr>
            <w:tcBorders>
              <w:top w:val="single" w:color="auto" w:sz="6" w:space="0"/>
              <w:left w:val="single" w:color="auto" w:sz="6" w:space="0"/>
              <w:bottom w:val="single" w:color="auto" w:sz="6" w:space="0"/>
              <w:right w:val="single" w:color="auto" w:sz="6" w:space="0"/>
            </w:tcBorders>
            <w:tcW w:w="4008" w:type="pct"/>
            <w:vAlign w:val="center"/>
            <w:textDirection w:val="lrTb"/>
            <w:noWrap w:val="false"/>
          </w:tcPr>
          <w:p>
            <w:pPr>
              <w:numPr>
                <w:ilvl w:val="0"/>
                <w:numId w:val="19"/>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容量规格：总内存容量</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128GB​</w:t>
            </w:r>
            <w:r/>
          </w:p>
          <w:p>
            <w:pPr>
              <w:numPr>
                <w:ilvl w:val="0"/>
                <w:numId w:val="19"/>
              </w:numPr>
              <w:ind w:right="0"/>
              <w:jc w:val="left"/>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技术指标：支持ECC 错误校验、REG寄存器技术，工作频率 3200MHz，2Rx4 内存颗粒布局​</w:t>
            </w:r>
            <w:r/>
          </w:p>
          <w:p>
            <w:pPr>
              <w:numPr>
                <w:ilvl w:val="0"/>
                <w:numId w:val="19"/>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兼容性：需与招标主板、CPU 完全兼容，支持内存超频（若主板支持）及稳定运行</w:t>
            </w:r>
            <w:r/>
          </w:p>
        </w:tc>
      </w:tr>
      <w:tr>
        <w:trPr>
          <w:trHeight w:val="735"/>
        </w:trPr>
        <w:tc>
          <w:tcPr>
            <w:tcBorders>
              <w:top w:val="single" w:color="auto" w:sz="6" w:space="0"/>
              <w:left w:val="single" w:color="auto" w:sz="6" w:space="0"/>
              <w:bottom w:val="single" w:color="auto" w:sz="6" w:space="0"/>
              <w:right w:val="single" w:color="auto" w:sz="6" w:space="0"/>
            </w:tcBorders>
            <w:tcW w:w="99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显卡</w:t>
            </w:r>
            <w:r/>
          </w:p>
        </w:tc>
        <w:tc>
          <w:tcPr>
            <w:tcBorders>
              <w:top w:val="single" w:color="auto" w:sz="6" w:space="0"/>
              <w:left w:val="single" w:color="auto" w:sz="6" w:space="0"/>
              <w:bottom w:val="single" w:color="auto" w:sz="6" w:space="0"/>
              <w:right w:val="single" w:color="auto" w:sz="6" w:space="0"/>
            </w:tcBorders>
            <w:tcW w:w="4008" w:type="pct"/>
            <w:vAlign w:val="center"/>
            <w:textDirection w:val="lrTb"/>
            <w:noWrap w:val="false"/>
          </w:tcPr>
          <w:p>
            <w:pPr>
              <w:numPr>
                <w:ilvl w:val="0"/>
                <w:numId w:val="20"/>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核心参数：</w:t>
            </w:r>
            <w:r>
              <w:rPr>
                <w:rFonts w:hint="eastAsia" w:ascii="宋体" w:hAnsi="宋体" w:cs="宋体"/>
                <w:color w:val="auto"/>
                <w:highlight w:val="none"/>
                <w:lang w:val="en-US" w:eastAsia="zh-CN"/>
              </w:rPr>
              <w:t xml:space="preserve">单卡</w:t>
            </w:r>
            <w:r>
              <w:rPr>
                <w:rFonts w:hint="eastAsia" w:ascii="宋体" w:hAnsi="宋体" w:eastAsia="宋体" w:cs="宋体"/>
                <w:color w:val="auto"/>
                <w:highlight w:val="none"/>
              </w:rPr>
              <w:t xml:space="preserve">显存容量</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12GB，支持 PCIe 4.0 接口标准</w:t>
            </w:r>
            <w:r/>
          </w:p>
          <w:p>
            <w:pPr>
              <w:numPr>
                <w:ilvl w:val="0"/>
                <w:numId w:val="20"/>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数量要求：4 块，支持多卡协同运算，满足图形渲染、AI 计算等高性能需求</w:t>
            </w:r>
            <w:r/>
          </w:p>
          <w:p>
            <w:pPr>
              <w:numPr>
                <w:ilvl w:val="0"/>
                <w:numId w:val="20"/>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兼容性：需与主板 PCIe 插槽完全兼容，支持显卡驱动正常安装及功能调用</w:t>
            </w:r>
            <w:r/>
          </w:p>
        </w:tc>
      </w:tr>
      <w:tr>
        <w:trPr>
          <w:trHeight w:val="450"/>
        </w:trPr>
        <w:tc>
          <w:tcPr>
            <w:tcBorders>
              <w:top w:val="single" w:color="auto" w:sz="6" w:space="0"/>
              <w:left w:val="single" w:color="auto" w:sz="6" w:space="0"/>
              <w:bottom w:val="single" w:color="auto" w:sz="6" w:space="0"/>
              <w:right w:val="single" w:color="auto" w:sz="6" w:space="0"/>
            </w:tcBorders>
            <w:tcW w:w="99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硬盘</w:t>
            </w:r>
            <w:r/>
          </w:p>
        </w:tc>
        <w:tc>
          <w:tcPr>
            <w:tcBorders>
              <w:top w:val="single" w:color="auto" w:sz="6" w:space="0"/>
              <w:left w:val="single" w:color="auto" w:sz="6" w:space="0"/>
              <w:bottom w:val="single" w:color="auto" w:sz="6" w:space="0"/>
              <w:right w:val="single" w:color="auto" w:sz="6" w:space="0"/>
            </w:tcBorders>
            <w:tcW w:w="4008" w:type="pct"/>
            <w:vAlign w:val="center"/>
            <w:textDirection w:val="lrTb"/>
            <w:noWrap w:val="false"/>
          </w:tcPr>
          <w:p>
            <w:pPr>
              <w:numPr>
                <w:ilvl w:val="0"/>
                <w:numId w:val="21"/>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规格参数：3.5 英寸硬盘</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接口类型 SATA</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容量</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16TB</w:t>
            </w:r>
            <w:r/>
          </w:p>
          <w:p>
            <w:pPr>
              <w:numPr>
                <w:ilvl w:val="0"/>
                <w:numId w:val="21"/>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性能要求：符合企业级硬盘标准，支持 7×24 小时稳定运行</w:t>
            </w:r>
            <w:r/>
          </w:p>
          <w:p>
            <w:pPr>
              <w:numPr>
                <w:ilvl w:val="0"/>
                <w:numId w:val="21"/>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数量要求：2 块</w:t>
            </w:r>
            <w:r/>
          </w:p>
        </w:tc>
      </w:tr>
      <w:tr>
        <w:trPr>
          <w:trHeight w:val="690"/>
        </w:trPr>
        <w:tc>
          <w:tcPr>
            <w:tcBorders>
              <w:top w:val="single" w:color="auto" w:sz="6" w:space="0"/>
              <w:left w:val="single" w:color="auto" w:sz="6" w:space="0"/>
              <w:bottom w:val="single" w:color="auto" w:sz="6" w:space="0"/>
              <w:right w:val="single" w:color="auto" w:sz="6" w:space="0"/>
            </w:tcBorders>
            <w:tcW w:w="991" w:type="pct"/>
            <w:vAlign w:val="center"/>
            <w:textDirection w:val="lrTb"/>
            <w:noWrap w:val="false"/>
          </w:tcPr>
          <w:p>
            <w:pPr>
              <w:pStyle w:val="1101"/>
              <w:ind w:left="0" w:right="0" w:firstLine="0"/>
              <w:jc w:val="center"/>
              <w:keepLines w:val="0"/>
              <w:keepNext w:val="0"/>
              <w:pageBreakBefore w:val="0"/>
              <w:spacing w:before="0" w:beforeAutospacing="0" w:after="0" w:afterAutospacing="0"/>
              <w:shd w:val="clear" w:color="auto"/>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rPr>
              <w:t xml:space="preserve">SSD</w:t>
            </w:r>
            <w:r>
              <w:rPr>
                <w:rFonts w:hint="eastAsia" w:ascii="宋体" w:hAnsi="宋体" w:eastAsia="宋体" w:cs="宋体"/>
                <w:b w:val="0"/>
                <w:bCs w:val="0"/>
                <w:color w:val="auto"/>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4008" w:type="pct"/>
            <w:vAlign w:val="center"/>
            <w:textDirection w:val="lrTb"/>
            <w:noWrap w:val="false"/>
          </w:tcPr>
          <w:p>
            <w:pPr>
              <w:numPr>
                <w:ilvl w:val="0"/>
                <w:numId w:val="22"/>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规格参数：接口类型 NVMe PCIe 4.0×4，M.2 接口形态，容量</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2TB</w:t>
            </w:r>
            <w:r/>
          </w:p>
          <w:p>
            <w:pPr>
              <w:numPr>
                <w:ilvl w:val="0"/>
                <w:numId w:val="22"/>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数量要求：1 块</w:t>
            </w:r>
            <w:r/>
          </w:p>
        </w:tc>
      </w:tr>
      <w:tr>
        <w:trPr>
          <w:trHeight w:val="930"/>
        </w:trPr>
        <w:tc>
          <w:tcPr>
            <w:tcBorders>
              <w:top w:val="single" w:color="auto" w:sz="6" w:space="0"/>
              <w:left w:val="single" w:color="auto" w:sz="6" w:space="0"/>
              <w:bottom w:val="single" w:color="auto" w:sz="6" w:space="0"/>
              <w:right w:val="single" w:color="auto" w:sz="6" w:space="0"/>
            </w:tcBorders>
            <w:tcW w:w="991" w:type="pct"/>
            <w:vAlign w:val="center"/>
            <w:textDirection w:val="lrTb"/>
            <w:noWrap w:val="false"/>
          </w:tcPr>
          <w:p>
            <w:pPr>
              <w:pStyle w:val="1101"/>
              <w:ind w:left="0" w:right="0" w:firstLine="0"/>
              <w:jc w:val="center"/>
              <w:keepLines w:val="0"/>
              <w:keepNext w:val="0"/>
              <w:pageBreakBefore w:val="0"/>
              <w:spacing w:before="0" w:beforeAutospacing="0" w:after="0" w:afterAutospacing="0"/>
              <w:shd w:val="clear" w:color="auto"/>
              <w:rPr>
                <w:rFonts w:hint="eastAsia"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rPr>
              <w:t xml:space="preserve">SSD</w:t>
            </w:r>
            <w:r>
              <w:rPr>
                <w:rFonts w:hint="eastAsia" w:ascii="宋体" w:hAnsi="宋体" w:eastAsia="宋体" w:cs="宋体"/>
                <w:b w:val="0"/>
                <w:bCs w:val="0"/>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4008" w:type="pct"/>
            <w:vAlign w:val="center"/>
            <w:textDirection w:val="lrTb"/>
            <w:noWrap w:val="false"/>
          </w:tcPr>
          <w:p>
            <w:pPr>
              <w:numPr>
                <w:ilvl w:val="0"/>
                <w:numId w:val="23"/>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规格参数：接口类型 SATA，2.5 英寸形态，容量</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480GB</w:t>
            </w:r>
            <w:r/>
          </w:p>
          <w:p>
            <w:pPr>
              <w:numPr>
                <w:ilvl w:val="0"/>
                <w:numId w:val="23"/>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性能要求：符合企业级 SSD 标准，支持稳定读写及长期使用</w:t>
            </w:r>
            <w:r/>
          </w:p>
          <w:p>
            <w:pPr>
              <w:numPr>
                <w:ilvl w:val="0"/>
                <w:numId w:val="23"/>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数量要求：1 块</w:t>
            </w:r>
            <w:r/>
          </w:p>
        </w:tc>
      </w:tr>
      <w:tr>
        <w:trPr>
          <w:trHeight w:val="585"/>
        </w:trPr>
        <w:tc>
          <w:tcPr>
            <w:tcBorders>
              <w:top w:val="single" w:color="auto" w:sz="6" w:space="0"/>
              <w:left w:val="single" w:color="auto" w:sz="6" w:space="0"/>
              <w:bottom w:val="single" w:color="auto" w:sz="6" w:space="0"/>
              <w:right w:val="single" w:color="auto" w:sz="6" w:space="0"/>
            </w:tcBorders>
            <w:tcW w:w="99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电源</w:t>
            </w:r>
            <w:r/>
          </w:p>
        </w:tc>
        <w:tc>
          <w:tcPr>
            <w:tcBorders>
              <w:top w:val="single" w:color="auto" w:sz="6" w:space="0"/>
              <w:left w:val="single" w:color="auto" w:sz="6" w:space="0"/>
              <w:bottom w:val="single" w:color="auto" w:sz="6" w:space="0"/>
              <w:right w:val="single" w:color="auto" w:sz="6" w:space="0"/>
            </w:tcBorders>
            <w:tcW w:w="4008" w:type="pct"/>
            <w:vAlign w:val="center"/>
            <w:textDirection w:val="lrTb"/>
            <w:noWrap w:val="false"/>
          </w:tcPr>
          <w:p>
            <w:pPr>
              <w:numPr>
                <w:ilvl w:val="0"/>
                <w:numId w:val="24"/>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功率规格：额定功率 </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1650W，满足供电需求</w:t>
            </w:r>
            <w:r/>
          </w:p>
          <w:p>
            <w:pPr>
              <w:numPr>
                <w:ilvl w:val="0"/>
                <w:numId w:val="24"/>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兼容性：需与整机硬件完全兼容，提供稳定、持续的供电输出，支持硬件峰值功耗需求</w:t>
            </w:r>
            <w:r/>
          </w:p>
          <w:p>
            <w:pPr>
              <w:numPr>
                <w:ilvl w:val="0"/>
                <w:numId w:val="24"/>
              </w:numPr>
              <w:ind w:right="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可靠性：具备过压、过流、短路等多重保护功能，确保设备运行安全</w:t>
            </w:r>
            <w:r/>
          </w:p>
        </w:tc>
      </w:tr>
    </w:tbl>
    <w:p>
      <w:pPr>
        <w:numPr>
          <w:ilvl w:val="0"/>
          <w:numId w:val="0"/>
        </w:num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5"/>
        </w:num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计算</w:t>
      </w:r>
      <w:r>
        <w:rPr>
          <w:rFonts w:hint="eastAsia" w:ascii="宋体" w:hAnsi="宋体" w:eastAsia="宋体" w:cs="宋体"/>
          <w:b/>
          <w:bCs/>
          <w:color w:val="auto"/>
          <w:sz w:val="21"/>
          <w:szCs w:val="21"/>
          <w:highlight w:val="none"/>
          <w:lang w:val="en-US" w:eastAsia="zh-CN"/>
        </w:rPr>
        <w:t xml:space="preserve">资源配置</w:t>
      </w:r>
      <w:r/>
    </w:p>
    <w:tbl>
      <w:tblPr>
        <w:tblStyle w:val="857"/>
        <w:tblW w:w="4937" w:type="pct"/>
        <w:tblInd w:w="104" w:type="dxa"/>
        <w:tblLayout w:type="autofit"/>
        <w:tblCellMar>
          <w:left w:w="108" w:type="dxa"/>
          <w:top w:w="0" w:type="dxa"/>
          <w:right w:w="108" w:type="dxa"/>
          <w:bottom w:w="0" w:type="dxa"/>
        </w:tblCellMar>
        <w:tblLook w:val="04A0" w:firstRow="1" w:lastRow="0" w:firstColumn="1" w:lastColumn="0" w:noHBand="0" w:noVBand="1"/>
      </w:tblPr>
      <w:tblGrid>
        <w:gridCol w:w="1671"/>
        <w:gridCol w:w="6744"/>
      </w:tblGrid>
      <w:tr>
        <w:trPr>
          <w:trHeight w:val="510"/>
        </w:trPr>
        <w:tc>
          <w:tcPr>
            <w:tcBorders>
              <w:top w:val="single" w:color="000000" w:sz="6" w:space="0"/>
              <w:left w:val="single" w:color="000000" w:sz="6" w:space="0"/>
              <w:bottom w:val="single" w:color="000000" w:sz="6" w:space="0"/>
              <w:right w:val="single" w:color="000000" w:sz="6" w:space="0"/>
            </w:tcBorders>
            <w:tcW w:w="1671"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b/>
                <w:bCs/>
                <w:color w:val="auto"/>
                <w:szCs w:val="21"/>
                <w:highlight w:val="none"/>
              </w:rPr>
              <w:t xml:space="preserve">设备名称</w:t>
            </w:r>
            <w:r/>
          </w:p>
        </w:tc>
        <w:tc>
          <w:tcPr>
            <w:tcBorders>
              <w:top w:val="single" w:color="000000" w:sz="6" w:space="0"/>
              <w:left w:val="single" w:color="000000" w:sz="6" w:space="0"/>
              <w:bottom w:val="single" w:color="000000" w:sz="6" w:space="0"/>
              <w:right w:val="single" w:color="000000" w:sz="6" w:space="0"/>
            </w:tcBorders>
            <w:tcW w:w="674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b/>
                <w:bCs/>
                <w:color w:val="auto"/>
                <w:szCs w:val="21"/>
                <w:highlight w:val="none"/>
                <w:lang w:val="en-US" w:eastAsia="zh-CN" w:bidi="ar"/>
              </w:rPr>
              <w:t xml:space="preserve">技术要求</w:t>
            </w:r>
            <w:r/>
          </w:p>
        </w:tc>
      </w:tr>
      <w:tr>
        <w:trPr>
          <w:trHeight w:val="510"/>
        </w:trPr>
        <w:tc>
          <w:tcPr>
            <w:tcBorders>
              <w:top w:val="single" w:color="000000" w:sz="6" w:space="0"/>
              <w:left w:val="single" w:color="000000" w:sz="6" w:space="0"/>
              <w:bottom w:val="single" w:color="000000" w:sz="6" w:space="0"/>
              <w:right w:val="single" w:color="000000" w:sz="6" w:space="0"/>
            </w:tcBorders>
            <w:tcW w:w="1671" w:type="dxa"/>
            <w:vAlign w:val="center"/>
            <w:textDirection w:val="lrTb"/>
            <w:noWrap w:val="false"/>
          </w:tcPr>
          <w:p>
            <w:pPr>
              <w:ind w:left="0" w:right="0" w:firstLine="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CPU</w:t>
            </w:r>
            <w:r/>
          </w:p>
        </w:tc>
        <w:tc>
          <w:tcPr>
            <w:tcBorders>
              <w:top w:val="single" w:color="000000" w:sz="6" w:space="0"/>
              <w:left w:val="single" w:color="000000" w:sz="6" w:space="0"/>
              <w:bottom w:val="single" w:color="000000" w:sz="6" w:space="0"/>
              <w:right w:val="single" w:color="000000" w:sz="6" w:space="0"/>
            </w:tcBorders>
            <w:tcW w:w="6745" w:type="dxa"/>
            <w:vAlign w:val="center"/>
            <w:textDirection w:val="lrTb"/>
            <w:noWrap w:val="false"/>
          </w:tcPr>
          <w:p>
            <w:pPr>
              <w:numPr>
                <w:ilvl w:val="0"/>
                <w:numId w:val="25"/>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核心参数：</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12核心，主频</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2.6GHz，支持多线程技术，缓存容量符合原厂规格（</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64MB L3 缓存）</w:t>
            </w:r>
            <w:r/>
          </w:p>
          <w:p>
            <w:pPr>
              <w:numPr>
                <w:ilvl w:val="0"/>
                <w:numId w:val="25"/>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cs="宋体"/>
                <w:color w:val="auto"/>
                <w:highlight w:val="none"/>
                <w:lang w:val="en-US" w:eastAsia="zh-CN"/>
              </w:rPr>
              <w:t xml:space="preserve">操作系统</w:t>
            </w:r>
            <w:r>
              <w:rPr>
                <w:rFonts w:hint="eastAsia" w:ascii="宋体" w:hAnsi="宋体" w:eastAsia="宋体" w:cs="宋体"/>
                <w:color w:val="auto"/>
                <w:highlight w:val="none"/>
              </w:rPr>
              <w:t xml:space="preserve">适配：支持</w:t>
            </w:r>
            <w:r>
              <w:rPr>
                <w:rFonts w:hint="eastAsia" w:ascii="宋体" w:hAnsi="宋体" w:cs="宋体"/>
                <w:color w:val="auto"/>
                <w:highlight w:val="none"/>
                <w:lang w:val="en-US" w:eastAsia="zh-CN"/>
              </w:rPr>
              <w:t xml:space="preserve">windows操作系统以及</w:t>
            </w:r>
            <w:r>
              <w:rPr>
                <w:rFonts w:hint="eastAsia" w:ascii="宋体" w:hAnsi="宋体" w:eastAsia="宋体" w:cs="宋体"/>
                <w:color w:val="auto"/>
                <w:highlight w:val="none"/>
              </w:rPr>
              <w:t xml:space="preserve">信创操作系统</w:t>
            </w:r>
            <w:r>
              <w:rPr>
                <w:rFonts w:hint="eastAsia" w:ascii="宋体" w:hAnsi="宋体" w:cs="宋体"/>
                <w:color w:val="auto"/>
                <w:highlight w:val="none"/>
                <w:lang w:eastAsia="zh-CN"/>
              </w:rPr>
              <w:t xml:space="preserve">。</w:t>
            </w:r>
            <w:r/>
          </w:p>
          <w:p>
            <w:pPr>
              <w:numPr>
                <w:ilvl w:val="0"/>
                <w:numId w:val="25"/>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扩展支持：支持 4个 DIMM 内存插槽，可满足多通道内存扩展需求，</w:t>
            </w:r>
            <w:r/>
          </w:p>
          <w:p>
            <w:pPr>
              <w:numPr>
                <w:ilvl w:val="0"/>
                <w:numId w:val="25"/>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数量要求：</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2 颗，支持多 CPU 协同运算，满足信创场景下高性能计算、大数据处理需求</w:t>
            </w:r>
            <w:r/>
          </w:p>
        </w:tc>
      </w:tr>
      <w:tr>
        <w:trPr>
          <w:trHeight w:val="500"/>
        </w:trPr>
        <w:tc>
          <w:tcPr>
            <w:tcBorders>
              <w:top w:val="single" w:color="000000" w:sz="6" w:space="0"/>
              <w:left w:val="single" w:color="000000" w:sz="6" w:space="0"/>
              <w:bottom w:val="single" w:color="000000" w:sz="6" w:space="0"/>
              <w:right w:val="single" w:color="000000" w:sz="6" w:space="0"/>
            </w:tcBorders>
            <w:tcW w:w="1671" w:type="dxa"/>
            <w:vAlign w:val="center"/>
            <w:textDirection w:val="lrTb"/>
            <w:noWrap w:val="false"/>
          </w:tcPr>
          <w:p>
            <w:pPr>
              <w:ind w:left="0" w:right="0" w:firstLine="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内存</w:t>
            </w:r>
            <w:r/>
          </w:p>
        </w:tc>
        <w:tc>
          <w:tcPr>
            <w:tcBorders>
              <w:top w:val="single" w:color="000000" w:sz="6" w:space="0"/>
              <w:left w:val="single" w:color="000000" w:sz="6" w:space="0"/>
              <w:bottom w:val="single" w:color="000000" w:sz="6" w:space="0"/>
              <w:right w:val="single" w:color="000000" w:sz="6" w:space="0"/>
            </w:tcBorders>
            <w:tcW w:w="6745" w:type="dxa"/>
            <w:vAlign w:val="center"/>
            <w:textDirection w:val="lrTb"/>
            <w:noWrap w:val="false"/>
          </w:tcPr>
          <w:p>
            <w:pPr>
              <w:numPr>
                <w:ilvl w:val="0"/>
                <w:numId w:val="26"/>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技术指标：工作频率 </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3200MT/s，电压 1.2V，支持 ECC 错误校验技术，采用 RDIMM 寄存器内存设计，确保数据传输稳定性</w:t>
            </w:r>
            <w:r/>
          </w:p>
          <w:p>
            <w:pPr>
              <w:numPr>
                <w:ilvl w:val="0"/>
                <w:numId w:val="26"/>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要求：总内存不少于容量 128GB，支持内存热插拔（若主板支持）</w:t>
            </w:r>
            <w:r/>
          </w:p>
        </w:tc>
      </w:tr>
      <w:tr>
        <w:trPr>
          <w:trHeight w:val="510"/>
        </w:trPr>
        <w:tc>
          <w:tcPr>
            <w:tcBorders>
              <w:top w:val="single" w:color="000000" w:sz="6" w:space="0"/>
              <w:left w:val="single" w:color="000000" w:sz="6" w:space="0"/>
              <w:bottom w:val="single" w:color="000000" w:sz="6" w:space="0"/>
              <w:right w:val="single" w:color="000000" w:sz="6" w:space="0"/>
            </w:tcBorders>
            <w:tcW w:w="1671" w:type="dxa"/>
            <w:vAlign w:val="center"/>
            <w:textDirection w:val="lrTb"/>
            <w:noWrap w:val="false"/>
          </w:tcPr>
          <w:p>
            <w:pPr>
              <w:pStyle w:val="1101"/>
              <w:ind w:left="0" w:right="0" w:firstLine="0"/>
              <w:jc w:val="center"/>
              <w:keepLines w:val="0"/>
              <w:keepNext w:val="0"/>
              <w:pageBreakBefore w:val="0"/>
              <w:spacing w:before="0" w:beforeAutospacing="0" w:after="0" w:afterAutospacing="0"/>
              <w:shd w:val="clear" w:color="auto"/>
              <w:rPr>
                <w:rFonts w:hint="default"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rPr>
              <w:t xml:space="preserve">磁盘</w:t>
            </w:r>
            <w:r>
              <w:rPr>
                <w:rFonts w:hint="eastAsia" w:ascii="宋体" w:hAnsi="宋体" w:eastAsia="宋体" w:cs="宋体"/>
                <w:b w:val="0"/>
                <w:bCs w:val="0"/>
                <w:color w:val="auto"/>
                <w:szCs w:val="21"/>
                <w:highlight w:val="none"/>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W w:w="6745" w:type="dxa"/>
            <w:vAlign w:val="center"/>
            <w:textDirection w:val="lrTb"/>
            <w:noWrap w:val="false"/>
          </w:tcPr>
          <w:p>
            <w:pPr>
              <w:numPr>
                <w:ilvl w:val="0"/>
                <w:numId w:val="27"/>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型号规格：固态硬盘 - </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500GB（支持 NVMe PCIe 4.0 或 SATA 3.0 接口，优先选用国产存储芯片）</w:t>
            </w:r>
            <w:r/>
          </w:p>
          <w:p>
            <w:pPr>
              <w:numPr>
                <w:ilvl w:val="0"/>
                <w:numId w:val="27"/>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性能要求：连续读取速度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3500MB/s（NVMe 接口）或 550MB/s（SATA 接口），随机读取 IOPS </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40 万，支持 TRIM 指令</w:t>
            </w:r>
            <w:r/>
          </w:p>
          <w:p>
            <w:pPr>
              <w:numPr>
                <w:ilvl w:val="0"/>
                <w:numId w:val="27"/>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信创适配：与国产 RAID 卡、信创操作系统兼容，</w:t>
            </w:r>
            <w:r/>
          </w:p>
          <w:p>
            <w:pPr>
              <w:numPr>
                <w:ilvl w:val="0"/>
                <w:numId w:val="27"/>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数量要求：1 块</w:t>
            </w:r>
            <w:r/>
          </w:p>
        </w:tc>
      </w:tr>
      <w:tr>
        <w:trPr>
          <w:trHeight w:val="510"/>
        </w:trPr>
        <w:tc>
          <w:tcPr>
            <w:tcBorders>
              <w:top w:val="single" w:color="000000" w:sz="6" w:space="0"/>
              <w:left w:val="single" w:color="000000" w:sz="6" w:space="0"/>
              <w:bottom w:val="single" w:color="000000" w:sz="6" w:space="0"/>
              <w:right w:val="single" w:color="000000" w:sz="6" w:space="0"/>
            </w:tcBorders>
            <w:tcW w:w="1671" w:type="dxa"/>
            <w:vAlign w:val="center"/>
            <w:textDirection w:val="lrTb"/>
            <w:noWrap w:val="false"/>
          </w:tcPr>
          <w:p>
            <w:pPr>
              <w:pStyle w:val="1101"/>
              <w:ind w:left="0" w:right="0" w:firstLine="0"/>
              <w:jc w:val="center"/>
              <w:keepLines w:val="0"/>
              <w:keepNext w:val="0"/>
              <w:pageBreakBefore w:val="0"/>
              <w:spacing w:before="0" w:beforeAutospacing="0" w:after="0" w:afterAutospacing="0"/>
              <w:shd w:val="clear" w:color="auto"/>
              <w:rPr>
                <w:rFonts w:hint="default" w:ascii="宋体" w:hAnsi="宋体" w:eastAsia="宋体" w:cs="宋体"/>
                <w:b w:val="0"/>
                <w:bCs w:val="0"/>
                <w:color w:val="auto"/>
                <w:szCs w:val="21"/>
                <w:highlight w:val="none"/>
                <w:lang w:val="en-US" w:eastAsia="zh-CN"/>
              </w:rPr>
              <w:suppressLineNumbers w:val="0"/>
            </w:pPr>
            <w:r>
              <w:rPr>
                <w:rFonts w:hint="eastAsia" w:ascii="宋体" w:hAnsi="宋体" w:eastAsia="宋体" w:cs="宋体"/>
                <w:b w:val="0"/>
                <w:bCs w:val="0"/>
                <w:color w:val="auto"/>
                <w:szCs w:val="21"/>
                <w:highlight w:val="none"/>
              </w:rPr>
              <w:t xml:space="preserve">磁盘</w:t>
            </w:r>
            <w:r>
              <w:rPr>
                <w:rFonts w:hint="eastAsia" w:ascii="宋体" w:hAnsi="宋体" w:eastAsia="宋体" w:cs="宋体"/>
                <w:b w:val="0"/>
                <w:bCs w:val="0"/>
                <w:color w:val="auto"/>
                <w:szCs w:val="21"/>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6745" w:type="dxa"/>
            <w:vAlign w:val="center"/>
            <w:textDirection w:val="lrTb"/>
            <w:noWrap w:val="false"/>
          </w:tcPr>
          <w:p>
            <w:pPr>
              <w:numPr>
                <w:ilvl w:val="0"/>
                <w:numId w:val="28"/>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型号规格：SATA 硬盘 -</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16TB（企业级，3.5 英寸）</w:t>
            </w:r>
            <w:r/>
          </w:p>
          <w:p>
            <w:pPr>
              <w:numPr>
                <w:ilvl w:val="0"/>
                <w:numId w:val="28"/>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技术指标：接口类型 SATA 3.0，转速 7200 转/分钟，缓存</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256MB，支持 NCQ 技术</w:t>
            </w:r>
            <w:r/>
          </w:p>
          <w:p>
            <w:pPr>
              <w:numPr>
                <w:ilvl w:val="0"/>
                <w:numId w:val="28"/>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信创适配：与国产 RAID 卡、信创服务器兼容，支持 7×24 小时连续运行，年故障率（AFR）不高于 0.3%，符合企业级数据存储安全标准</w:t>
            </w:r>
            <w:r/>
          </w:p>
          <w:p>
            <w:pPr>
              <w:numPr>
                <w:ilvl w:val="0"/>
                <w:numId w:val="28"/>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数量要求：10 块</w:t>
            </w:r>
            <w:r/>
          </w:p>
        </w:tc>
      </w:tr>
      <w:tr>
        <w:trPr>
          <w:trHeight w:val="350"/>
        </w:trPr>
        <w:tc>
          <w:tcPr>
            <w:tcBorders>
              <w:top w:val="single" w:color="000000" w:sz="6" w:space="0"/>
              <w:left w:val="single" w:color="000000" w:sz="6" w:space="0"/>
              <w:bottom w:val="single" w:color="000000" w:sz="6" w:space="0"/>
              <w:right w:val="single" w:color="000000" w:sz="6" w:space="0"/>
            </w:tcBorders>
            <w:tcW w:w="1671" w:type="dxa"/>
            <w:vAlign w:val="center"/>
            <w:textDirection w:val="lrTb"/>
            <w:noWrap w:val="false"/>
          </w:tcPr>
          <w:p>
            <w:pPr>
              <w:ind w:left="0" w:right="0" w:firstLine="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RAID</w:t>
            </w:r>
            <w:r/>
          </w:p>
        </w:tc>
        <w:tc>
          <w:tcPr>
            <w:tcBorders>
              <w:top w:val="single" w:color="000000" w:sz="6" w:space="0"/>
              <w:left w:val="single" w:color="000000" w:sz="6" w:space="0"/>
              <w:bottom w:val="single" w:color="000000" w:sz="6" w:space="0"/>
              <w:right w:val="single" w:color="000000" w:sz="6" w:space="0"/>
            </w:tcBorders>
            <w:tcW w:w="6745" w:type="dxa"/>
            <w:vAlign w:val="center"/>
            <w:textDirection w:val="lrTb"/>
            <w:noWrap w:val="false"/>
          </w:tcPr>
          <w:p>
            <w:pPr>
              <w:numPr>
                <w:ilvl w:val="0"/>
                <w:numId w:val="29"/>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型号规格：支持 4G cache 的硬件 RAID 卡</w:t>
            </w:r>
            <w:r/>
          </w:p>
          <w:p>
            <w:pPr>
              <w:numPr>
                <w:ilvl w:val="0"/>
                <w:numId w:val="29"/>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功能支持：支持 RAID 0、1、5、6、10、50、60 等阵列模式，支持在线扩容、阵列迁移功能</w:t>
            </w:r>
            <w:r/>
          </w:p>
          <w:p>
            <w:pPr>
              <w:numPr>
                <w:ilvl w:val="0"/>
                <w:numId w:val="29"/>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缓存与保护：配备 4GB 高速缓存，支持缓存掉电保护（如超级电容或电池备份），防止阵列配置与数据丢失</w:t>
            </w:r>
            <w:r/>
          </w:p>
          <w:p>
            <w:pPr>
              <w:numPr>
                <w:ilvl w:val="0"/>
                <w:numId w:val="29"/>
              </w:numPr>
              <w:ind w:left="0" w:right="0" w:firstLine="0"/>
              <w:keepLines w:val="0"/>
              <w:keepNext w:val="0"/>
              <w:spacing w:before="0" w:beforeAutospacing="0" w:after="0" w:afterAutospacing="0"/>
              <w:shd w:val="clear" w:color="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信创适配：与国产 CPU、磁盘、信创操作系统完全兼容，提供与麒麟操作系统、人大金仓数据库的存储适配认证</w:t>
            </w:r>
            <w:r/>
          </w:p>
        </w:tc>
      </w:tr>
    </w:tbl>
    <w:p>
      <w:pPr>
        <w:numPr>
          <w:ilvl w:val="0"/>
          <w:numId w:val="0"/>
        </w:numPr>
        <w:ind w:firstLine="420"/>
        <w:keepLines w:val="0"/>
        <w:keepNext w:val="0"/>
        <w:pageBreakBefore w:val="0"/>
        <w:spacing w:line="360" w:lineRule="auto"/>
        <w:shd w:val="clear" w:color="auto"/>
        <w:widowControl w:val="off"/>
        <w:rPr>
          <w:rFonts w:hint="default" w:ascii="宋体" w:hAnsi="宋体" w:cs="宋体"/>
          <w:b/>
          <w:bCs/>
          <w:color w:val="auto"/>
          <w:sz w:val="24"/>
          <w:szCs w:val="24"/>
          <w:highlight w:val="none"/>
          <w:lang w:val="en-US" w:eastAsia="zh-CN"/>
        </w:rPr>
      </w:pPr>
      <w:r>
        <w:rPr>
          <w:rFonts w:hint="eastAsia" w:ascii="宋体" w:hAnsi="宋体" w:cs="宋体"/>
          <w:bCs/>
          <w:color w:val="auto"/>
          <w:sz w:val="21"/>
          <w:szCs w:val="21"/>
          <w:highlight w:val="none"/>
          <w:lang w:val="en-US" w:eastAsia="zh-CN"/>
        </w:rPr>
        <w:t xml:space="preserve">注：投标人参与</w:t>
      </w:r>
      <w:r>
        <w:rPr>
          <w:rFonts w:hint="eastAsia" w:ascii="宋体" w:hAnsi="宋体" w:eastAsia="宋体" w:cs="宋体"/>
          <w:bCs/>
          <w:color w:val="auto"/>
          <w:sz w:val="21"/>
          <w:szCs w:val="21"/>
          <w:highlight w:val="none"/>
          <w:lang w:val="en-US" w:eastAsia="zh-CN"/>
        </w:rPr>
        <w:t xml:space="preserve">投标即视为认可</w:t>
      </w:r>
      <w:r>
        <w:rPr>
          <w:rFonts w:hint="eastAsia" w:ascii="宋体" w:hAnsi="宋体" w:cs="宋体"/>
          <w:bCs/>
          <w:color w:val="auto"/>
          <w:sz w:val="21"/>
          <w:szCs w:val="21"/>
          <w:highlight w:val="none"/>
          <w:lang w:val="en-US" w:eastAsia="zh-CN"/>
        </w:rPr>
        <w:t xml:space="preserve">以上资源</w:t>
      </w:r>
      <w:r>
        <w:rPr>
          <w:rFonts w:hint="eastAsia" w:ascii="宋体" w:hAnsi="宋体" w:eastAsia="宋体" w:cs="宋体"/>
          <w:bCs/>
          <w:color w:val="auto"/>
          <w:sz w:val="21"/>
          <w:szCs w:val="21"/>
          <w:highlight w:val="none"/>
          <w:lang w:val="en-US" w:eastAsia="zh-CN"/>
        </w:rPr>
        <w:t xml:space="preserve">配置满足项目需求</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后续若因</w:t>
      </w:r>
      <w:r>
        <w:rPr>
          <w:rFonts w:hint="eastAsia" w:ascii="宋体" w:hAnsi="宋体" w:cs="宋体"/>
          <w:bCs/>
          <w:color w:val="auto"/>
          <w:sz w:val="21"/>
          <w:szCs w:val="21"/>
          <w:highlight w:val="none"/>
          <w:lang w:val="en-US" w:eastAsia="zh-CN"/>
        </w:rPr>
        <w:t xml:space="preserve">此</w:t>
      </w:r>
      <w:r>
        <w:rPr>
          <w:rFonts w:hint="eastAsia" w:ascii="宋体" w:hAnsi="宋体" w:eastAsia="宋体" w:cs="宋体"/>
          <w:bCs/>
          <w:color w:val="auto"/>
          <w:sz w:val="21"/>
          <w:szCs w:val="21"/>
          <w:highlight w:val="none"/>
          <w:lang w:val="en-US" w:eastAsia="zh-CN"/>
        </w:rPr>
        <w:t xml:space="preserve">引发系统运行问题，</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lang w:val="en-US" w:eastAsia="zh-CN"/>
        </w:rPr>
        <w:t xml:space="preserve">需自行提供技术解决方案，不得要求医院</w:t>
      </w:r>
      <w:r>
        <w:rPr>
          <w:rFonts w:hint="eastAsia" w:ascii="宋体" w:hAnsi="宋体" w:cs="宋体"/>
          <w:bCs/>
          <w:color w:val="auto"/>
          <w:sz w:val="21"/>
          <w:szCs w:val="21"/>
          <w:highlight w:val="none"/>
          <w:lang w:val="en-US" w:eastAsia="zh-CN"/>
        </w:rPr>
        <w:t xml:space="preserve">额外提供资源配置</w:t>
      </w:r>
      <w:r>
        <w:rPr>
          <w:rFonts w:hint="eastAsia" w:ascii="宋体" w:hAnsi="宋体" w:eastAsia="宋体" w:cs="宋体"/>
          <w:bCs/>
          <w:color w:val="auto"/>
          <w:sz w:val="21"/>
          <w:szCs w:val="21"/>
          <w:highlight w:val="none"/>
          <w:lang w:val="en-US" w:eastAsia="zh-CN"/>
        </w:rPr>
        <w:t xml:space="preserve">或承担相关费用</w:t>
      </w:r>
      <w:r>
        <w:rPr>
          <w:rFonts w:hint="eastAsia" w:ascii="宋体" w:hAnsi="宋体" w:cs="宋体"/>
          <w:bCs/>
          <w:color w:val="auto"/>
          <w:sz w:val="21"/>
          <w:szCs w:val="21"/>
          <w:highlight w:val="none"/>
          <w:lang w:val="en-US" w:eastAsia="zh-CN"/>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、项目实施要求</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结合医院实际情况，制定详细的系统实施方案，包括但不限于客户化修改、测试、试运行。承诺保证在合同规定时间内上线及上线系统的基本平稳。</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 xml:space="preserve">1、项目团队要求：</w:t>
      </w:r>
      <w:r>
        <w:rPr>
          <w:rFonts w:hint="eastAsia" w:ascii="宋体" w:hAnsi="宋体" w:eastAsia="宋体" w:cs="宋体"/>
          <w:color w:val="auto"/>
          <w:sz w:val="21"/>
          <w:szCs w:val="21"/>
          <w:highlight w:val="none"/>
        </w:rPr>
        <w:t xml:space="preserve">投标人应当投入充足的技术力量，项目实施团队成员人数</w:t>
      </w:r>
      <w:r>
        <w:rPr>
          <w:rFonts w:hint="eastAsia" w:ascii="宋体" w:hAnsi="宋体" w:cs="宋体"/>
          <w:color w:val="auto"/>
          <w:sz w:val="21"/>
          <w:szCs w:val="21"/>
          <w:highlight w:val="none"/>
          <w:lang w:val="en-US" w:eastAsia="zh-CN"/>
        </w:rPr>
        <w:t xml:space="preserve">满足项目实施需求，项目实施期间</w:t>
      </w:r>
      <w:r>
        <w:rPr>
          <w:rFonts w:hint="eastAsia" w:ascii="宋体" w:hAnsi="宋体" w:eastAsia="宋体" w:cs="宋体"/>
          <w:color w:val="auto"/>
          <w:sz w:val="21"/>
          <w:szCs w:val="21"/>
          <w:highlight w:val="none"/>
        </w:rPr>
        <w:t xml:space="preserve">应委派一名具有类似项目经验的负责人在现场进行项目管理与推进，保障项目顺利实施</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实施地点：苏北人民医院</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实施管理</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投标人需制定详细的实施方案，内容包括不限于项目组织保障、项目实施计划、项目实施关键要素分析、团队人员的配备等。</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安装方案</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投标人需制定详细的系统安装方案，内容包括不限于系统对接、设备连接方案、采集服务的搭建等。</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验收方案</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投标人需制定详细的系统调试和验收方案，内容包括不限于调试内容、方法、验收标准等。</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6.安全要求</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投标人在中标后需在项目建设过程中参照三同步原则，同步规划、同步建设、同步使用。</w:t>
      </w:r>
      <w:r/>
    </w:p>
    <w:p>
      <w:pPr>
        <w:numPr>
          <w:ilvl w:val="0"/>
          <w:numId w:val="0"/>
        </w:num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bidi="ar-SA"/>
        </w:rPr>
        <w:t xml:space="preserve">六</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商务要求</w:t>
      </w:r>
      <w:r/>
    </w:p>
    <w:p>
      <w:pPr>
        <w:numPr>
          <w:ilvl w:val="0"/>
          <w:numId w:val="30"/>
        </w:numPr>
        <w:ind w:left="-2" w:firstLine="422"/>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rPr>
        <w:t xml:space="preserve">合同履行期限</w:t>
      </w:r>
      <w:r>
        <w:rPr>
          <w:rFonts w:hint="eastAsia" w:ascii="宋体" w:hAnsi="宋体" w:cs="宋体"/>
          <w:b/>
          <w:bCs w:val="0"/>
          <w:color w:val="auto"/>
          <w:sz w:val="21"/>
          <w:szCs w:val="21"/>
          <w:highlight w:val="none"/>
          <w:lang w:eastAsia="zh-CN"/>
        </w:rPr>
        <w:t xml:space="preserve">（交付期）</w:t>
      </w:r>
      <w:r/>
    </w:p>
    <w:p>
      <w:pPr>
        <w:numPr>
          <w:ilvl w:val="0"/>
          <w:numId w:val="0"/>
        </w:numPr>
        <w:ind w:left="0" w:firstLine="420"/>
        <w:keepLines w:val="0"/>
        <w:keepNext w:val="0"/>
        <w:pageBreakBefore w:val="0"/>
        <w:spacing w:line="360" w:lineRule="auto"/>
        <w:shd w:val="clear" w:color="auto"/>
        <w:widowControl w:val="off"/>
        <w:rPr>
          <w:rFonts w:hint="eastAsia" w:ascii="宋体" w:hAnsi="宋体" w:eastAsia="宋体" w:cs="宋体"/>
          <w:bCs/>
          <w:i/>
          <w:iCs/>
          <w:color w:val="auto"/>
          <w:sz w:val="21"/>
          <w:szCs w:val="21"/>
          <w:highlight w:val="none"/>
          <w:u w:val="single"/>
          <w:lang w:eastAsia="zh-CN"/>
        </w:rPr>
      </w:pPr>
      <w:r>
        <w:rPr>
          <w:rFonts w:hint="eastAsia" w:ascii="宋体" w:hAnsi="宋体" w:eastAsia="宋体" w:cs="宋体"/>
          <w:bCs/>
          <w:i/>
          <w:iCs/>
          <w:color w:val="auto"/>
          <w:sz w:val="21"/>
          <w:szCs w:val="21"/>
          <w:highlight w:val="none"/>
          <w:u w:val="single"/>
        </w:rPr>
        <w:t xml:space="preserve">合同签订之日起</w:t>
      </w:r>
      <w:r>
        <w:rPr>
          <w:rFonts w:hint="eastAsia" w:ascii="宋体" w:hAnsi="宋体" w:cs="宋体"/>
          <w:bCs/>
          <w:i/>
          <w:iCs/>
          <w:color w:val="auto"/>
          <w:sz w:val="21"/>
          <w:szCs w:val="21"/>
          <w:highlight w:val="none"/>
          <w:u w:val="single"/>
          <w:lang w:eastAsia="zh-CN"/>
        </w:rPr>
        <w:t xml:space="preserve">6</w:t>
      </w:r>
      <w:r>
        <w:rPr>
          <w:rFonts w:hint="eastAsia" w:ascii="宋体" w:hAnsi="宋体" w:cs="宋体"/>
          <w:bCs/>
          <w:i/>
          <w:iCs/>
          <w:color w:val="auto"/>
          <w:sz w:val="21"/>
          <w:szCs w:val="21"/>
          <w:highlight w:val="none"/>
          <w:u w:val="single"/>
          <w:lang w:val="en-US" w:eastAsia="zh-CN"/>
        </w:rPr>
        <w:t xml:space="preserve">0天</w:t>
      </w:r>
      <w:r>
        <w:rPr>
          <w:rFonts w:hint="eastAsia" w:ascii="宋体" w:hAnsi="宋体" w:eastAsia="宋体" w:cs="宋体"/>
          <w:bCs/>
          <w:i/>
          <w:iCs/>
          <w:color w:val="auto"/>
          <w:sz w:val="21"/>
          <w:szCs w:val="21"/>
          <w:highlight w:val="none"/>
          <w:u w:val="single"/>
        </w:rPr>
        <w:t xml:space="preserve">内（除不可抗力、非乙方原因）完成实施安装、调试、试运行、验收等工作并交付甲方使用。</w:t>
      </w:r>
      <w:r>
        <w:rPr>
          <w:rFonts w:hint="eastAsia" w:ascii="宋体" w:hAnsi="宋体" w:cs="宋体"/>
          <w:bCs/>
          <w:i/>
          <w:iCs/>
          <w:color w:val="auto"/>
          <w:sz w:val="21"/>
          <w:szCs w:val="21"/>
          <w:highlight w:val="none"/>
          <w:u w:val="single"/>
          <w:lang w:eastAsia="zh-CN"/>
        </w:rPr>
        <w:t xml:space="preserve">投标人</w:t>
      </w:r>
      <w:r>
        <w:rPr>
          <w:rFonts w:hint="eastAsia" w:ascii="宋体" w:hAnsi="宋体" w:eastAsia="宋体" w:cs="宋体"/>
          <w:bCs/>
          <w:i/>
          <w:iCs/>
          <w:color w:val="auto"/>
          <w:sz w:val="21"/>
          <w:szCs w:val="21"/>
          <w:highlight w:val="none"/>
          <w:u w:val="single"/>
        </w:rPr>
        <w:t xml:space="preserve">须</w:t>
      </w:r>
      <w:r>
        <w:rPr>
          <w:rFonts w:hint="eastAsia" w:ascii="宋体" w:hAnsi="宋体" w:cs="宋体"/>
          <w:bCs/>
          <w:i/>
          <w:iCs/>
          <w:color w:val="auto"/>
          <w:sz w:val="21"/>
          <w:szCs w:val="21"/>
          <w:highlight w:val="none"/>
          <w:u w:val="single"/>
          <w:lang w:val="en-US" w:eastAsia="zh-CN"/>
        </w:rPr>
        <w:t xml:space="preserve">在</w:t>
      </w:r>
      <w:r>
        <w:rPr>
          <w:rFonts w:hint="eastAsia" w:ascii="宋体" w:hAnsi="宋体" w:eastAsia="宋体" w:cs="宋体"/>
          <w:bCs/>
          <w:i/>
          <w:iCs/>
          <w:color w:val="auto"/>
          <w:sz w:val="21"/>
          <w:szCs w:val="21"/>
          <w:highlight w:val="none"/>
          <w:u w:val="single"/>
        </w:rPr>
        <w:t xml:space="preserve">合同服务期内，完成本项目实施的全部内容</w:t>
      </w:r>
      <w:r>
        <w:rPr>
          <w:rFonts w:hint="eastAsia" w:ascii="宋体" w:hAnsi="宋体" w:cs="宋体"/>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（提供承诺书，上传系统</w:t>
      </w:r>
      <w:r>
        <w:rPr>
          <w:rFonts w:hint="eastAsia" w:ascii="宋体" w:hAnsi="宋体" w:cs="宋体"/>
          <w:b/>
          <w:bCs/>
          <w:i/>
          <w:iCs/>
          <w:color w:val="auto"/>
          <w:sz w:val="21"/>
          <w:szCs w:val="21"/>
          <w:highlight w:val="none"/>
          <w:u w:val="single"/>
          <w:lang w:val="en-US" w:eastAsia="zh-CN"/>
        </w:rPr>
        <w:t xml:space="preserve">，承诺书</w:t>
      </w:r>
      <w:r>
        <w:rPr>
          <w:rFonts w:hint="eastAsia" w:ascii="宋体" w:hAnsi="宋体" w:eastAsia="宋体" w:cs="宋体"/>
          <w:b/>
          <w:bCs/>
          <w:i/>
          <w:iCs/>
          <w:color w:val="auto"/>
          <w:sz w:val="21"/>
          <w:szCs w:val="21"/>
          <w:highlight w:val="none"/>
          <w:u w:val="single"/>
          <w:lang w:val="en-US" w:eastAsia="zh-CN"/>
        </w:rPr>
        <w:t xml:space="preserve">格式</w:t>
      </w:r>
      <w:r>
        <w:rPr>
          <w:rFonts w:hint="eastAsia" w:ascii="宋体" w:hAnsi="宋体" w:cs="宋体"/>
          <w:b/>
          <w:bCs/>
          <w:i/>
          <w:iCs/>
          <w:color w:val="auto"/>
          <w:sz w:val="21"/>
          <w:szCs w:val="21"/>
          <w:highlight w:val="none"/>
          <w:u w:val="single"/>
          <w:lang w:val="en-US" w:eastAsia="zh-CN"/>
        </w:rPr>
        <w:t xml:space="preserve">自拟</w:t>
      </w:r>
      <w:r>
        <w:rPr>
          <w:rFonts w:hint="eastAsia" w:ascii="宋体" w:hAnsi="宋体" w:eastAsia="宋体" w:cs="宋体"/>
          <w:b/>
          <w:bCs/>
          <w:i/>
          <w:iCs/>
          <w:color w:val="auto"/>
          <w:sz w:val="21"/>
          <w:szCs w:val="21"/>
          <w:highlight w:val="none"/>
          <w:u w:val="single"/>
          <w:lang w:val="en-US" w:eastAsia="zh-CN"/>
        </w:rPr>
        <w:t xml:space="preserve">）</w:t>
      </w:r>
      <w:r/>
    </w:p>
    <w:p>
      <w:pPr>
        <w:numPr>
          <w:ilvl w:val="0"/>
          <w:numId w:val="30"/>
        </w:numPr>
        <w:ind w:left="-2"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val="0"/>
          <w:color w:val="auto"/>
          <w:sz w:val="21"/>
          <w:szCs w:val="21"/>
          <w:highlight w:val="none"/>
        </w:rPr>
        <w:t xml:space="preserve">质保期</w:t>
      </w:r>
      <w:r/>
    </w:p>
    <w:p>
      <w:pPr>
        <w:numPr>
          <w:ilvl w:val="0"/>
          <w:numId w:val="0"/>
        </w:numPr>
        <w:ind w:left="0" w:firstLine="420"/>
        <w:keepLines w:val="0"/>
        <w:keepNext w:val="0"/>
        <w:pageBreakBefore w:val="0"/>
        <w:spacing w:line="360" w:lineRule="auto"/>
        <w:shd w:val="clear" w:color="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val="0"/>
          <w:bCs w:val="0"/>
          <w:i/>
          <w:iCs/>
          <w:color w:val="auto"/>
          <w:sz w:val="21"/>
          <w:szCs w:val="21"/>
          <w:highlight w:val="none"/>
          <w:u w:val="single"/>
          <w:lang w:val="en-US" w:eastAsia="zh-CN"/>
        </w:rPr>
        <w:t xml:space="preserve">(1)</w:t>
      </w:r>
      <w:r>
        <w:rPr>
          <w:rFonts w:hint="eastAsia" w:ascii="宋体" w:hAnsi="宋体" w:eastAsia="宋体" w:cs="宋体"/>
          <w:b w:val="0"/>
          <w:bCs w:val="0"/>
          <w:i/>
          <w:iCs/>
          <w:color w:val="auto"/>
          <w:sz w:val="21"/>
          <w:szCs w:val="21"/>
          <w:highlight w:val="none"/>
          <w:u w:val="single"/>
        </w:rPr>
        <w:t xml:space="preserve">软</w:t>
      </w:r>
      <w:r>
        <w:rPr>
          <w:rFonts w:hint="eastAsia" w:ascii="宋体" w:hAnsi="宋体" w:eastAsia="宋体" w:cs="宋体"/>
          <w:b w:val="0"/>
          <w:bCs/>
          <w:i/>
          <w:iCs/>
          <w:color w:val="auto"/>
          <w:sz w:val="21"/>
          <w:szCs w:val="21"/>
          <w:highlight w:val="none"/>
          <w:u w:val="single"/>
        </w:rPr>
        <w:t xml:space="preserve">、硬件需提供自验收合格之日起不少于1年的免费质保</w:t>
      </w:r>
      <w:r>
        <w:rPr>
          <w:rFonts w:hint="eastAsia" w:ascii="宋体" w:hAnsi="宋体" w:eastAsia="宋体" w:cs="宋体"/>
          <w:b w:val="0"/>
          <w:bCs/>
          <w:i/>
          <w:iCs/>
          <w:color w:val="auto"/>
          <w:sz w:val="21"/>
          <w:szCs w:val="21"/>
          <w:highlight w:val="none"/>
          <w:u w:val="single"/>
          <w:lang w:val="en-US" w:eastAsia="zh-CN"/>
        </w:rPr>
        <w:t xml:space="preserve">与技术支持</w:t>
      </w:r>
      <w:r>
        <w:rPr>
          <w:rFonts w:hint="eastAsia" w:ascii="宋体" w:hAnsi="宋体" w:eastAsia="宋体" w:cs="宋体"/>
          <w:b w:val="0"/>
          <w:bCs/>
          <w:i/>
          <w:iCs/>
          <w:color w:val="auto"/>
          <w:sz w:val="21"/>
          <w:szCs w:val="21"/>
          <w:highlight w:val="none"/>
          <w:u w:val="single"/>
        </w:rPr>
        <w:t xml:space="preserve">。软、硬件</w:t>
      </w:r>
      <w:r>
        <w:rPr>
          <w:rFonts w:hint="eastAsia" w:ascii="宋体" w:hAnsi="宋体" w:eastAsia="宋体" w:cs="宋体"/>
          <w:b w:val="0"/>
          <w:bCs/>
          <w:i/>
          <w:iCs/>
          <w:color w:val="auto"/>
          <w:sz w:val="21"/>
          <w:szCs w:val="21"/>
          <w:highlight w:val="none"/>
          <w:u w:val="single"/>
          <w:lang w:val="en-US" w:eastAsia="zh-CN"/>
        </w:rPr>
        <w:t xml:space="preserve">采购人永久使用</w:t>
      </w:r>
      <w:r>
        <w:rPr>
          <w:rFonts w:hint="eastAsia" w:ascii="宋体" w:hAnsi="宋体" w:eastAsia="宋体" w:cs="宋体"/>
          <w:b w:val="0"/>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（提供承诺书，上传系统</w:t>
      </w:r>
      <w:r>
        <w:rPr>
          <w:rFonts w:hint="eastAsia" w:ascii="宋体" w:hAnsi="宋体" w:cs="宋体"/>
          <w:b/>
          <w:bCs/>
          <w:i/>
          <w:iCs/>
          <w:color w:val="auto"/>
          <w:sz w:val="21"/>
          <w:szCs w:val="21"/>
          <w:highlight w:val="none"/>
          <w:u w:val="single"/>
          <w:lang w:val="en-US" w:eastAsia="zh-CN"/>
        </w:rPr>
        <w:t xml:space="preserve">，承诺书</w:t>
      </w:r>
      <w:r>
        <w:rPr>
          <w:rFonts w:hint="eastAsia" w:ascii="宋体" w:hAnsi="宋体" w:eastAsia="宋体" w:cs="宋体"/>
          <w:b/>
          <w:bCs/>
          <w:i/>
          <w:iCs/>
          <w:color w:val="auto"/>
          <w:sz w:val="21"/>
          <w:szCs w:val="21"/>
          <w:highlight w:val="none"/>
          <w:u w:val="single"/>
          <w:lang w:val="en-US" w:eastAsia="zh-CN"/>
        </w:rPr>
        <w:t xml:space="preserve">格式</w:t>
      </w:r>
      <w:r>
        <w:rPr>
          <w:rFonts w:hint="eastAsia" w:ascii="宋体" w:hAnsi="宋体" w:cs="宋体"/>
          <w:b/>
          <w:bCs/>
          <w:i/>
          <w:iCs/>
          <w:color w:val="auto"/>
          <w:sz w:val="21"/>
          <w:szCs w:val="21"/>
          <w:highlight w:val="none"/>
          <w:u w:val="single"/>
          <w:lang w:val="en-US" w:eastAsia="zh-CN"/>
        </w:rPr>
        <w:t xml:space="preserve">自拟</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免费维护期内，负责软件的免费升级、维护和技术支持，需对院方提出的问题建立维护记录，并交付院方留存。工作说明书对免费维护期有特殊约定的，按工作说明书执行。</w:t>
      </w:r>
      <w:r/>
    </w:p>
    <w:p>
      <w:pPr>
        <w:numPr>
          <w:ilvl w:val="0"/>
          <w:numId w:val="0"/>
        </w:numPr>
        <w:ind w:left="0" w:firstLine="420"/>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(2)免费维护期内，按照合同维保要求进行系统巡检。免费维护期满后，双方另外签署收费维护期合同。</w:t>
      </w:r>
      <w:r/>
    </w:p>
    <w:p>
      <w:pPr>
        <w:numPr>
          <w:ilvl w:val="0"/>
          <w:numId w:val="30"/>
        </w:numPr>
        <w:ind w:left="-2"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项目验收要求</w:t>
      </w:r>
      <w:r/>
    </w:p>
    <w:p>
      <w:pPr>
        <w:numPr>
          <w:ilvl w:val="0"/>
          <w:numId w:val="0"/>
        </w:numPr>
        <w:ind w:left="0" w:firstLine="422"/>
        <w:keepLines w:val="0"/>
        <w:keepNext w:val="0"/>
        <w:pageBreakBefore w:val="0"/>
        <w:spacing w:line="360" w:lineRule="auto"/>
        <w:shd w:val="clear" w:color="auto"/>
        <w:widowControl w:val="off"/>
        <w:rPr>
          <w:rFonts w:hint="eastAsia" w:ascii="宋体" w:hAnsi="宋体" w:eastAsia="宋体" w:cs="宋体"/>
          <w:b/>
          <w:bCs/>
          <w:i/>
          <w:iCs/>
          <w:color w:val="auto"/>
          <w:sz w:val="21"/>
          <w:szCs w:val="21"/>
          <w:highlight w:val="none"/>
          <w:u w:val="single"/>
          <w:lang w:eastAsia="zh-CN"/>
        </w:rPr>
      </w:pPr>
      <w:r>
        <w:rPr>
          <w:rFonts w:hint="default" w:ascii="宋体" w:hAnsi="宋体" w:eastAsia="宋体" w:cs="宋体"/>
          <w:b/>
          <w:bCs/>
          <w:i/>
          <w:iCs/>
          <w:color w:val="auto"/>
          <w:sz w:val="21"/>
          <w:szCs w:val="21"/>
          <w:highlight w:val="none"/>
          <w:lang w:val="en-US" w:eastAsia="zh-CN" w:bidi="ar-SA"/>
        </w:rPr>
        <w:t xml:space="preserve">(1)</w:t>
      </w:r>
      <w:r>
        <w:rPr>
          <w:rFonts w:hint="eastAsia" w:ascii="宋体" w:hAnsi="宋体" w:cs="宋体"/>
          <w:b/>
          <w:bCs/>
          <w:i/>
          <w:iCs/>
          <w:color w:val="auto"/>
          <w:sz w:val="21"/>
          <w:szCs w:val="21"/>
          <w:highlight w:val="none"/>
          <w:u w:val="single"/>
          <w:lang w:val="en-US" w:eastAsia="zh-CN"/>
        </w:rPr>
        <w:t xml:space="preserve">投标人</w:t>
      </w:r>
      <w:r>
        <w:rPr>
          <w:rFonts w:hint="eastAsia" w:ascii="宋体" w:hAnsi="宋体" w:eastAsia="宋体" w:cs="宋体"/>
          <w:b/>
          <w:bCs/>
          <w:i/>
          <w:iCs/>
          <w:color w:val="auto"/>
          <w:sz w:val="21"/>
          <w:szCs w:val="21"/>
          <w:highlight w:val="none"/>
          <w:u w:val="single"/>
        </w:rPr>
        <w:t xml:space="preserve">需在投标文件中承诺，如果本项目未完成验收前，由于相关政策调整导致业务需求或技术标准发生变化，应按照最新政策完成本项目建设。</w:t>
      </w:r>
      <w:r>
        <w:rPr>
          <w:rFonts w:hint="eastAsia" w:ascii="宋体" w:hAnsi="宋体" w:cs="宋体"/>
          <w:b/>
          <w:bCs/>
          <w:i/>
          <w:iCs/>
          <w:color w:val="auto"/>
          <w:sz w:val="21"/>
          <w:szCs w:val="21"/>
          <w:highlight w:val="none"/>
          <w:u w:val="single"/>
          <w:lang w:eastAsia="zh-CN"/>
        </w:rPr>
        <w:t xml:space="preserve">（提供承诺书，上传系统，承诺书格式自拟）</w:t>
      </w:r>
      <w:r/>
    </w:p>
    <w:p>
      <w:pPr>
        <w:numPr>
          <w:ilvl w:val="0"/>
          <w:numId w:val="0"/>
        </w:num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在项目上线平稳</w:t>
      </w:r>
      <w:r>
        <w:rPr>
          <w:rFonts w:hint="eastAsia" w:ascii="宋体" w:hAnsi="宋体" w:eastAsia="宋体" w:cs="宋体"/>
          <w:color w:val="auto"/>
          <w:sz w:val="21"/>
          <w:szCs w:val="21"/>
          <w:highlight w:val="none"/>
          <w:lang w:val="en-US" w:eastAsia="zh-CN"/>
        </w:rPr>
        <w:t xml:space="preserve">试运行</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个月后，向采购人提交验收申请，并提供以下验收材料，包括但不限于：</w:t>
      </w:r>
      <w:r>
        <w:rPr>
          <w:rFonts w:hint="eastAsia" w:ascii="宋体" w:hAnsi="宋体" w:cs="宋体"/>
          <w:color w:val="auto"/>
          <w:sz w:val="21"/>
          <w:szCs w:val="21"/>
          <w:highlight w:val="none"/>
          <w:lang w:val="en-US" w:eastAsia="zh-CN"/>
        </w:rPr>
        <w:t xml:space="preserve">总体设计报告、需求分析说明书、详细设计说明书、数据字典、操作使用说明书、系统运行维护手册、接口文档</w:t>
      </w:r>
      <w:r>
        <w:rPr>
          <w:rFonts w:hint="eastAsia" w:ascii="宋体" w:hAnsi="宋体" w:eastAsia="宋体" w:cs="宋体"/>
          <w:color w:val="auto"/>
          <w:sz w:val="21"/>
          <w:szCs w:val="21"/>
          <w:highlight w:val="none"/>
        </w:rPr>
        <w:t xml:space="preserve">等。</w:t>
      </w:r>
      <w:r/>
    </w:p>
    <w:p>
      <w:pPr>
        <w:numPr>
          <w:ilvl w:val="0"/>
          <w:numId w:val="0"/>
        </w:num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采购人同意验收后，</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需按照采购人指定的验收时间、方式、程序等要求，配合完成验收工作。</w:t>
      </w:r>
      <w:r/>
    </w:p>
    <w:p>
      <w:pPr>
        <w:numPr>
          <w:ilvl w:val="0"/>
          <w:numId w:val="0"/>
        </w:num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采购人出具的验收报告未明确认定验收合格的，不视为验收合格。采购人要求整改的地方，</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应在采购人要求的期限内完成整改。</w:t>
      </w:r>
      <w:r/>
    </w:p>
    <w:p>
      <w:pPr>
        <w:numPr>
          <w:ilvl w:val="0"/>
          <w:numId w:val="0"/>
        </w:num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在项目</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过程中出现性能指标或功能上不符合</w:t>
      </w:r>
      <w:r>
        <w:rPr>
          <w:rFonts w:hint="eastAsia" w:ascii="宋体" w:hAnsi="宋体" w:eastAsia="宋体" w:cs="宋体"/>
          <w:color w:val="auto"/>
          <w:sz w:val="21"/>
          <w:szCs w:val="21"/>
          <w:highlight w:val="none"/>
          <w:lang w:val="en-US" w:eastAsia="zh-CN"/>
        </w:rPr>
        <w:t xml:space="preserve">招标文件、投标文件</w:t>
      </w:r>
      <w:r>
        <w:rPr>
          <w:rFonts w:hint="eastAsia" w:ascii="宋体" w:hAnsi="宋体" w:eastAsia="宋体" w:cs="宋体"/>
          <w:color w:val="auto"/>
          <w:sz w:val="21"/>
          <w:szCs w:val="21"/>
          <w:highlight w:val="none"/>
        </w:rPr>
        <w:t xml:space="preserve">和合同要求时，由</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负责解决，采购人有权拒绝验收并保留依法依规追究</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责任的权利。</w:t>
      </w:r>
      <w:r/>
    </w:p>
    <w:p>
      <w:pPr>
        <w:ind w:firstLine="422"/>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rPr>
        <w:t xml:space="preserve">.售后服务要求</w:t>
      </w:r>
      <w:r/>
    </w:p>
    <w:p>
      <w:pPr>
        <w:numPr>
          <w:ilvl w:val="0"/>
          <w:numId w:val="31"/>
        </w:numPr>
        <w:ind w:left="0" w:firstLine="422"/>
        <w:keepLines w:val="0"/>
        <w:keepNext w:val="0"/>
        <w:pageBreakBefore w:val="0"/>
        <w:spacing w:line="360" w:lineRule="auto"/>
        <w:shd w:val="clear" w:color="auto"/>
        <w:widowControl w:val="off"/>
        <w:rPr>
          <w:rFonts w:hint="eastAsia" w:ascii="宋体" w:hAnsi="宋体" w:eastAsia="宋体" w:cs="宋体"/>
          <w:b/>
          <w:bCs w:val="0"/>
          <w:i/>
          <w:iCs/>
          <w:color w:val="auto"/>
          <w:sz w:val="21"/>
          <w:szCs w:val="21"/>
          <w:highlight w:val="none"/>
          <w:u w:val="single"/>
          <w:lang w:eastAsia="zh-CN"/>
        </w:rPr>
      </w:pPr>
      <w:r>
        <w:rPr>
          <w:rFonts w:hint="eastAsia" w:ascii="宋体" w:hAnsi="宋体" w:eastAsia="宋体" w:cs="宋体"/>
          <w:b/>
          <w:bCs w:val="0"/>
          <w:i/>
          <w:iCs/>
          <w:color w:val="auto"/>
          <w:sz w:val="21"/>
          <w:szCs w:val="21"/>
          <w:highlight w:val="none"/>
          <w:u w:val="single"/>
        </w:rPr>
        <w:t xml:space="preserve">质保期内，本合同项目所有技术和服务发生任何非人为故障，由投标人负责系统恢复。故障报修</w:t>
      </w:r>
      <w:r>
        <w:rPr>
          <w:rFonts w:hint="eastAsia" w:ascii="宋体" w:hAnsi="宋体" w:eastAsia="宋体" w:cs="宋体"/>
          <w:b/>
          <w:bCs w:val="0"/>
          <w:i/>
          <w:iCs/>
          <w:color w:val="auto"/>
          <w:sz w:val="21"/>
          <w:szCs w:val="21"/>
          <w:highlight w:val="none"/>
          <w:u w:val="single"/>
          <w:lang w:val="en-US" w:eastAsia="zh-CN"/>
        </w:rPr>
        <w:t xml:space="preserve">响应时间</w:t>
      </w:r>
      <w:r>
        <w:rPr>
          <w:rFonts w:hint="eastAsia" w:ascii="宋体" w:hAnsi="宋体" w:eastAsia="宋体" w:cs="宋体"/>
          <w:b/>
          <w:bCs w:val="0"/>
          <w:i/>
          <w:iCs/>
          <w:color w:val="auto"/>
          <w:sz w:val="21"/>
          <w:szCs w:val="21"/>
          <w:highlight w:val="none"/>
          <w:u w:val="single"/>
        </w:rPr>
        <w:t xml:space="preserve">要求</w:t>
      </w:r>
      <w:r>
        <w:rPr>
          <w:rFonts w:hint="eastAsia" w:ascii="宋体" w:hAnsi="宋体" w:cs="宋体"/>
          <w:b/>
          <w:bCs w:val="0"/>
          <w:i/>
          <w:iCs/>
          <w:color w:val="auto"/>
          <w:sz w:val="21"/>
          <w:szCs w:val="21"/>
          <w:highlight w:val="none"/>
          <w:u w:val="single"/>
          <w:lang w:eastAsia="zh-CN"/>
        </w:rPr>
        <w:t xml:space="preserve">投标人</w:t>
      </w:r>
      <w:r>
        <w:rPr>
          <w:rFonts w:hint="eastAsia" w:ascii="宋体" w:hAnsi="宋体" w:eastAsia="宋体" w:cs="宋体"/>
          <w:b/>
          <w:bCs w:val="0"/>
          <w:i/>
          <w:iCs/>
          <w:color w:val="auto"/>
          <w:sz w:val="21"/>
          <w:szCs w:val="21"/>
          <w:highlight w:val="none"/>
          <w:u w:val="single"/>
        </w:rPr>
        <w:t xml:space="preserve">提供7×24小时电话支持、远程服务支持</w:t>
      </w:r>
      <w:r>
        <w:rPr>
          <w:rFonts w:hint="eastAsia" w:ascii="宋体" w:hAnsi="宋体" w:eastAsia="宋体" w:cs="宋体"/>
          <w:b/>
          <w:bCs w:val="0"/>
          <w:i/>
          <w:iCs/>
          <w:color w:val="auto"/>
          <w:sz w:val="21"/>
          <w:szCs w:val="21"/>
          <w:highlight w:val="none"/>
          <w:u w:val="single"/>
          <w:lang w:eastAsia="zh-CN"/>
        </w:rPr>
        <w:t xml:space="preserve">，</w:t>
      </w:r>
      <w:r>
        <w:rPr>
          <w:rFonts w:hint="eastAsia" w:ascii="宋体" w:hAnsi="宋体" w:eastAsia="宋体" w:cs="宋体"/>
          <w:b/>
          <w:bCs w:val="0"/>
          <w:i/>
          <w:iCs/>
          <w:color w:val="auto"/>
          <w:sz w:val="21"/>
          <w:szCs w:val="21"/>
          <w:highlight w:val="none"/>
          <w:u w:val="single"/>
        </w:rPr>
        <w:t xml:space="preserve">简单故障2小时内解决</w:t>
      </w:r>
      <w:r>
        <w:rPr>
          <w:rFonts w:hint="eastAsia" w:ascii="宋体" w:hAnsi="宋体" w:eastAsia="宋体" w:cs="宋体"/>
          <w:b/>
          <w:bCs w:val="0"/>
          <w:i/>
          <w:iCs/>
          <w:color w:val="auto"/>
          <w:sz w:val="21"/>
          <w:szCs w:val="21"/>
          <w:highlight w:val="none"/>
          <w:u w:val="single"/>
          <w:lang w:eastAsia="zh-CN"/>
        </w:rPr>
        <w:t xml:space="preserve">，</w:t>
      </w:r>
      <w:r>
        <w:rPr>
          <w:rFonts w:hint="eastAsia" w:ascii="宋体" w:hAnsi="宋体" w:eastAsia="宋体" w:cs="宋体"/>
          <w:b/>
          <w:bCs w:val="0"/>
          <w:i/>
          <w:iCs/>
          <w:color w:val="auto"/>
          <w:sz w:val="21"/>
          <w:szCs w:val="21"/>
          <w:highlight w:val="none"/>
          <w:u w:val="single"/>
        </w:rPr>
        <w:t xml:space="preserve">重大故障24小时内工程师到</w:t>
      </w:r>
      <w:r>
        <w:rPr>
          <w:rFonts w:hint="eastAsia" w:ascii="宋体" w:hAnsi="宋体" w:eastAsia="宋体" w:cs="宋体"/>
          <w:b/>
          <w:bCs w:val="0"/>
          <w:i/>
          <w:iCs/>
          <w:color w:val="auto"/>
          <w:sz w:val="21"/>
          <w:szCs w:val="21"/>
          <w:highlight w:val="none"/>
          <w:u w:val="single"/>
          <w:lang w:val="en-US" w:eastAsia="zh-CN"/>
        </w:rPr>
        <w:t xml:space="preserve">现</w:t>
      </w:r>
      <w:r>
        <w:rPr>
          <w:rFonts w:hint="eastAsia" w:ascii="宋体" w:hAnsi="宋体" w:eastAsia="宋体" w:cs="宋体"/>
          <w:b/>
          <w:bCs w:val="0"/>
          <w:i/>
          <w:iCs/>
          <w:color w:val="auto"/>
          <w:sz w:val="21"/>
          <w:szCs w:val="21"/>
          <w:highlight w:val="none"/>
          <w:u w:val="single"/>
        </w:rPr>
        <w:t xml:space="preserve">场解决。故障问题解决后72小时内，向采购人提交问题处理报告，说明问题种类、问题原因、问题解决中使用的方法及造成的损失等情况</w:t>
      </w:r>
      <w:r>
        <w:rPr>
          <w:rFonts w:hint="eastAsia" w:ascii="宋体" w:hAnsi="宋体" w:eastAsia="宋体" w:cs="宋体"/>
          <w:b/>
          <w:bCs w:val="0"/>
          <w:i/>
          <w:iCs/>
          <w:color w:val="auto"/>
          <w:sz w:val="21"/>
          <w:szCs w:val="21"/>
          <w:highlight w:val="none"/>
          <w:u w:val="single"/>
          <w:lang w:eastAsia="zh-CN"/>
        </w:rPr>
        <w:t xml:space="preserve">。</w:t>
      </w:r>
      <w:r>
        <w:rPr>
          <w:rFonts w:hint="eastAsia" w:ascii="宋体" w:hAnsi="宋体" w:cs="宋体"/>
          <w:b/>
          <w:bCs w:val="0"/>
          <w:i/>
          <w:iCs/>
          <w:color w:val="auto"/>
          <w:sz w:val="21"/>
          <w:szCs w:val="21"/>
          <w:highlight w:val="none"/>
          <w:u w:val="single"/>
          <w:lang w:eastAsia="zh-CN"/>
        </w:rPr>
        <w:t xml:space="preserve">（提供承诺书，上传系统，承诺书格式自拟）</w:t>
      </w:r>
      <w:r/>
    </w:p>
    <w:p>
      <w:pPr>
        <w:numPr>
          <w:ilvl w:val="0"/>
          <w:numId w:val="31"/>
        </w:numPr>
        <w:ind w:left="0"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质保期内</w:t>
      </w:r>
      <w:r>
        <w:rPr>
          <w:rFonts w:hint="eastAsia" w:ascii="宋体" w:hAnsi="宋体" w:eastAsia="宋体" w:cs="宋体"/>
          <w:bCs/>
          <w:color w:val="auto"/>
          <w:sz w:val="21"/>
          <w:szCs w:val="21"/>
          <w:highlight w:val="none"/>
          <w:lang w:eastAsia="zh-CN"/>
        </w:rPr>
        <w:t xml:space="preserve">，对采购人提出的合理服务要求，</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bCs/>
          <w:color w:val="auto"/>
          <w:sz w:val="21"/>
          <w:szCs w:val="21"/>
          <w:highlight w:val="none"/>
          <w:lang w:eastAsia="zh-CN"/>
        </w:rPr>
        <w:t xml:space="preserve">必须即时进行电话、邮件及远程网络支持，并在2小时内到场服务。如不到场，采购人有权自行处理，相关费用由</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bCs/>
          <w:color w:val="auto"/>
          <w:sz w:val="21"/>
          <w:szCs w:val="21"/>
          <w:highlight w:val="none"/>
          <w:lang w:eastAsia="zh-CN"/>
        </w:rPr>
        <w:t xml:space="preserve">负责。</w:t>
      </w:r>
      <w:r/>
    </w:p>
    <w:p>
      <w:pPr>
        <w:numPr>
          <w:ilvl w:val="0"/>
          <w:numId w:val="31"/>
        </w:numPr>
        <w:ind w:left="0"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投标人</w:t>
      </w:r>
      <w:r>
        <w:rPr>
          <w:rFonts w:hint="eastAsia" w:ascii="宋体" w:hAnsi="宋体" w:eastAsia="宋体" w:cs="宋体"/>
          <w:bCs/>
          <w:color w:val="auto"/>
          <w:sz w:val="21"/>
          <w:szCs w:val="21"/>
          <w:highlight w:val="none"/>
          <w:lang w:eastAsia="zh-CN"/>
        </w:rPr>
        <w:t xml:space="preserve">需提供定期回访服务，对采购人提出的合理优化建议应提供免费升级服务。</w:t>
      </w:r>
      <w:r/>
    </w:p>
    <w:p>
      <w:pPr>
        <w:numPr>
          <w:ilvl w:val="0"/>
          <w:numId w:val="31"/>
        </w:numPr>
        <w:ind w:left="0"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所有的服务方式均为</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bCs/>
          <w:color w:val="auto"/>
          <w:sz w:val="21"/>
          <w:szCs w:val="21"/>
          <w:highlight w:val="none"/>
          <w:lang w:eastAsia="zh-CN"/>
        </w:rPr>
        <w:t xml:space="preserve">上门保修或者远程处理，即由</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bCs/>
          <w:color w:val="auto"/>
          <w:sz w:val="21"/>
          <w:szCs w:val="21"/>
          <w:highlight w:val="none"/>
          <w:lang w:eastAsia="zh-CN"/>
        </w:rPr>
        <w:t xml:space="preserve">派</w:t>
      </w:r>
      <w:r>
        <w:rPr>
          <w:rFonts w:hint="eastAsia" w:ascii="宋体" w:hAnsi="宋体" w:eastAsia="宋体" w:cs="宋体"/>
          <w:bCs/>
          <w:color w:val="auto"/>
          <w:sz w:val="21"/>
          <w:szCs w:val="21"/>
          <w:highlight w:val="none"/>
          <w:lang w:val="en-US" w:eastAsia="zh-CN"/>
        </w:rPr>
        <w:t xml:space="preserve">专业工程师</w:t>
      </w:r>
      <w:r>
        <w:rPr>
          <w:rFonts w:hint="eastAsia" w:ascii="宋体" w:hAnsi="宋体" w:eastAsia="宋体" w:cs="宋体"/>
          <w:bCs/>
          <w:color w:val="auto"/>
          <w:sz w:val="21"/>
          <w:szCs w:val="21"/>
          <w:highlight w:val="none"/>
          <w:lang w:eastAsia="zh-CN"/>
        </w:rPr>
        <w:t xml:space="preserve">到系统使用现场进行故障恢复或者远程处理，由此产生的一切费用均由</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bCs/>
          <w:color w:val="auto"/>
          <w:sz w:val="21"/>
          <w:szCs w:val="21"/>
          <w:highlight w:val="none"/>
          <w:lang w:eastAsia="zh-CN"/>
        </w:rPr>
        <w:t xml:space="preserve">承担。</w:t>
      </w:r>
      <w:r/>
    </w:p>
    <w:p>
      <w:pPr>
        <w:numPr>
          <w:ilvl w:val="0"/>
          <w:numId w:val="31"/>
        </w:numPr>
        <w:ind w:left="0" w:right="0" w:firstLine="42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Cs/>
          <w:color w:val="auto"/>
          <w:sz w:val="21"/>
          <w:szCs w:val="21"/>
          <w:highlight w:val="none"/>
        </w:rPr>
        <w:suppressLineNumbers w:val="0"/>
      </w:pPr>
      <w:r>
        <w:rPr>
          <w:rFonts w:hint="eastAsia" w:ascii="宋体" w:hAnsi="宋体" w:cs="宋体"/>
          <w:color w:val="auto"/>
          <w:sz w:val="21"/>
          <w:szCs w:val="21"/>
          <w:highlight w:val="none"/>
          <w:lang w:val="en-US" w:eastAsia="zh-CN"/>
        </w:rPr>
        <w:t xml:space="preserve">投标人</w:t>
      </w:r>
      <w:r>
        <w:rPr>
          <w:rFonts w:hint="eastAsia" w:ascii="宋体" w:hAnsi="宋体" w:eastAsia="宋体" w:cs="宋体"/>
          <w:bCs/>
          <w:color w:val="auto"/>
          <w:sz w:val="21"/>
          <w:szCs w:val="21"/>
          <w:highlight w:val="none"/>
        </w:rPr>
        <w:t xml:space="preserve">需协助进行论文选题、实验设计、文章撰写等</w:t>
      </w:r>
      <w:r>
        <w:rPr>
          <w:rFonts w:hint="eastAsia" w:ascii="宋体" w:hAnsi="宋体" w:cs="宋体"/>
          <w:bCs/>
          <w:color w:val="auto"/>
          <w:sz w:val="21"/>
          <w:szCs w:val="21"/>
          <w:highlight w:val="none"/>
          <w:lang w:val="en-US" w:eastAsia="zh-CN"/>
        </w:rPr>
        <w:t xml:space="preserve">数据服务</w:t>
      </w:r>
      <w:r>
        <w:rPr>
          <w:rFonts w:hint="eastAsia" w:ascii="宋体" w:hAnsi="宋体" w:eastAsia="宋体" w:cs="宋体"/>
          <w:bCs/>
          <w:color w:val="auto"/>
          <w:sz w:val="21"/>
          <w:szCs w:val="21"/>
          <w:highlight w:val="none"/>
        </w:rPr>
        <w:t xml:space="preserve">工作，并为医生提供专业性的指导，帮助科室提升整体科研能力。</w:t>
      </w:r>
      <w:r>
        <w:rPr>
          <w:rFonts w:hint="eastAsia" w:ascii="宋体" w:hAnsi="宋体" w:eastAsia="宋体" w:cs="宋体"/>
          <w:bCs/>
          <w:color w:val="auto"/>
          <w:sz w:val="21"/>
          <w:szCs w:val="21"/>
          <w:highlight w:val="none"/>
          <w:lang w:val="en-US" w:eastAsia="zh-CN"/>
        </w:rPr>
        <w:t xml:space="preserve">在项目</w:t>
      </w:r>
      <w:r>
        <w:rPr>
          <w:rFonts w:hint="eastAsia" w:ascii="宋体" w:hAnsi="宋体" w:eastAsia="宋体" w:cs="宋体"/>
          <w:bCs/>
          <w:color w:val="auto"/>
          <w:sz w:val="21"/>
          <w:szCs w:val="21"/>
          <w:highlight w:val="none"/>
        </w:rPr>
        <w:t xml:space="preserve">实施和免费质保期间</w:t>
      </w: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lang w:val="en-US" w:eastAsia="zh-CN" w:bidi="ar"/>
        </w:rPr>
        <w:t xml:space="preserve">需安排专业工程师派驻现场</w:t>
      </w:r>
      <w:r>
        <w:rPr>
          <w:rFonts w:hint="eastAsia" w:ascii="宋体" w:hAnsi="宋体" w:eastAsia="宋体" w:cs="宋体"/>
          <w:bCs/>
          <w:color w:val="auto"/>
          <w:sz w:val="21"/>
          <w:szCs w:val="21"/>
          <w:highlight w:val="none"/>
        </w:rPr>
        <w:t xml:space="preserve">提供相关科研服务</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bidi="ar"/>
        </w:rPr>
        <w:t xml:space="preserve">（人数不少于1人，接受医院管理，服从医院工作安排）</w:t>
      </w:r>
      <w:r/>
    </w:p>
    <w:p>
      <w:pPr>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（6）免费维护期满后，维保费用不应超过中标金额的8%,双方另外签署收费维护期合同。</w:t>
      </w:r>
      <w:r/>
    </w:p>
    <w:p>
      <w:pPr>
        <w:ind w:firstLine="422"/>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运维及应急响应服务</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rPr>
        <w:t xml:space="preserve">需提供运维及应急响应技术服务，提供迅速解决各种紧急安全问题的技术支持，控制事态发展；保护或恢复主机、网络服务的正常工作；并且提供事后分析，找出信息系统的安全漏洞，根据现场保留情况尽可能对入侵者进行追查。</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（2）应急响应时间：全年7×24小时。</w:t>
      </w:r>
      <w:r/>
    </w:p>
    <w:p>
      <w:pPr>
        <w:ind w:firstLine="420"/>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（3）响应方式：远程支持或现场支持。远程支持可以采用电话、E-mail，远程加密登录等方式。当远程支持无法解决问题时，中标人需派遣专业的紧急响应服务人员在第一时间到达现场提供服务。</w:t>
      </w:r>
      <w:r/>
    </w:p>
    <w:p>
      <w:pPr>
        <w:ind w:firstLine="422"/>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6</w:t>
      </w:r>
      <w:r>
        <w:rPr>
          <w:rFonts w:hint="eastAsia" w:ascii="宋体" w:hAnsi="宋体" w:eastAsia="宋体" w:cs="宋体"/>
          <w:b/>
          <w:bCs w:val="0"/>
          <w:color w:val="auto"/>
          <w:sz w:val="21"/>
          <w:szCs w:val="21"/>
          <w:highlight w:val="none"/>
        </w:rPr>
        <w:t xml:space="preserve">.培训服务</w:t>
      </w:r>
      <w:r/>
    </w:p>
    <w:p>
      <w:pPr>
        <w:numPr>
          <w:ilvl w:val="0"/>
          <w:numId w:val="32"/>
        </w:numPr>
        <w:ind w:left="0"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lang w:val="en-US" w:eastAsia="zh-CN"/>
        </w:rPr>
        <w:t xml:space="preserve">需根据项目相关交付内容提供有针对性的培训方案，针对不同系统，保障每月不少于1次培训，包括但不限于培训计划、培训方式、培训对象、培训内容等内容。</w:t>
      </w:r>
      <w:r/>
    </w:p>
    <w:p>
      <w:pPr>
        <w:numPr>
          <w:ilvl w:val="0"/>
          <w:numId w:val="32"/>
        </w:numPr>
        <w:ind w:left="0"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lang w:val="en-US" w:eastAsia="zh-CN"/>
        </w:rPr>
        <w:t xml:space="preserve">需按照采购人要求提供免费的现场培训和线上培训，确保被培训人员全面了解和掌握本项目所涉及的基本原理、技术特性、操作使用、管理维护等内容。</w:t>
      </w:r>
      <w:r/>
    </w:p>
    <w:p>
      <w:pPr>
        <w:numPr>
          <w:ilvl w:val="0"/>
          <w:numId w:val="32"/>
        </w:numPr>
        <w:ind w:left="0"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lang w:val="en-US" w:eastAsia="zh-CN"/>
        </w:rPr>
        <w:t xml:space="preserve">为所有被培训人员提供培训使用的教材讲义、操作指南等相关材料。</w:t>
      </w:r>
      <w:r/>
    </w:p>
    <w:p>
      <w:pPr>
        <w:ind w:firstLine="422"/>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7.报价说明</w:t>
      </w:r>
      <w:r/>
    </w:p>
    <w:p>
      <w:pPr>
        <w:numPr>
          <w:ilvl w:val="0"/>
          <w:numId w:val="33"/>
        </w:numPr>
        <w:ind w:left="0"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报价应包含与本次采购项目有关的所有费用。包含但不限于人员、设备、安装调试、验收、售后服务、伴随配套服务等所有含税费用。同时，还应包含支付给员工的工资和国家强制缴纳的各种社会保障资金，以及</w:t>
      </w:r>
      <w:r>
        <w:rPr>
          <w:rFonts w:hint="eastAsia" w:ascii="宋体" w:hAnsi="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lang w:val="en-US" w:eastAsia="zh-CN"/>
        </w:rPr>
        <w:t xml:space="preserve">认为需要的其他费用等。</w:t>
      </w:r>
      <w:r/>
    </w:p>
    <w:p>
      <w:pPr>
        <w:numPr>
          <w:ilvl w:val="0"/>
          <w:numId w:val="33"/>
        </w:numPr>
        <w:ind w:left="0"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本项目投标报价须对软件部分、硬件部分分别进行报价，并按招标文件要求详细列明各项产品名称、规格型号、数量、单价、总价等内容，报价应清晰、完整、准确。</w:t>
      </w:r>
      <w:r/>
    </w:p>
    <w:p>
      <w:pPr>
        <w:numPr>
          <w:ilvl w:val="0"/>
          <w:numId w:val="33"/>
        </w:numPr>
        <w:ind w:left="0"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lang w:val="en-US" w:eastAsia="zh-CN"/>
        </w:rPr>
        <w:t xml:space="preserve">的任何错漏、优惠、竞争性报价不得作为减轻责任、减少服务、增加收费、降低服务质量的理由。</w:t>
      </w:r>
      <w:r/>
    </w:p>
    <w:p>
      <w:pPr>
        <w:numPr>
          <w:ilvl w:val="0"/>
          <w:numId w:val="33"/>
        </w:numPr>
        <w:ind w:left="0"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lang w:val="en-US" w:eastAsia="zh-CN"/>
        </w:rPr>
        <w:t xml:space="preserve">报价除包含招标文件中列明的项目外还应包括保障服务正常运行应当具有的物资和服务，对项目正常运行应当具有的物资和服务理解不一致的以采购人理解为准。</w:t>
      </w:r>
      <w:r/>
    </w:p>
    <w:p>
      <w:pPr>
        <w:numPr>
          <w:ilvl w:val="0"/>
          <w:numId w:val="33"/>
        </w:numPr>
        <w:ind w:left="0"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Cs/>
          <w:color w:val="auto"/>
          <w:sz w:val="21"/>
          <w:szCs w:val="21"/>
          <w:highlight w:val="none"/>
        </w:rPr>
        <w:t xml:space="preserve">软、硬件</w:t>
      </w:r>
      <w:r>
        <w:rPr>
          <w:rFonts w:hint="eastAsia" w:ascii="宋体" w:hAnsi="宋体" w:eastAsia="宋体" w:cs="宋体"/>
          <w:b w:val="0"/>
          <w:bCs/>
          <w:color w:val="auto"/>
          <w:sz w:val="21"/>
          <w:szCs w:val="21"/>
          <w:highlight w:val="none"/>
          <w:lang w:val="en-US" w:eastAsia="zh-CN"/>
        </w:rPr>
        <w:t xml:space="preserve">采购人可以永久使用，产品所有接口永久开放，费用包含在本次总报价中，采购人不再另行支付额外费用。</w:t>
      </w:r>
      <w:r/>
    </w:p>
    <w:p>
      <w:pPr>
        <w:ind w:firstLine="422"/>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8.知识产权要求</w:t>
      </w:r>
      <w:r/>
    </w:p>
    <w:p>
      <w:pPr>
        <w:numPr>
          <w:ilvl w:val="0"/>
          <w:numId w:val="34"/>
        </w:numPr>
        <w:ind w:left="0"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采购人拥有本项目除第三方产品外所有工作文件、交付品文档、定制软件、应用系统软件、数据资源及其他附属产品的知识产权，未经采购人许可，</w:t>
      </w:r>
      <w:r>
        <w:rPr>
          <w:rFonts w:hint="eastAsia" w:ascii="宋体" w:hAnsi="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lang w:val="en-US" w:eastAsia="zh-CN"/>
        </w:rPr>
        <w:t xml:space="preserve">不得用于第三方。项目实施过程中所收集、产生的所有与本项目相关文档、源代码、资料，包括文字、图片、表格、数字等各种形式所属权均归属采购人。</w:t>
      </w:r>
      <w:r/>
    </w:p>
    <w:p>
      <w:pPr>
        <w:numPr>
          <w:ilvl w:val="0"/>
          <w:numId w:val="34"/>
        </w:numPr>
        <w:ind w:left="0" w:firstLine="422"/>
        <w:keepLines w:val="0"/>
        <w:keepNext w:val="0"/>
        <w:pageBreakBefore w:val="0"/>
        <w:spacing w:line="360" w:lineRule="auto"/>
        <w:shd w:val="clear" w:color="auto"/>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cs="宋体"/>
          <w:b/>
          <w:bCs w:val="0"/>
          <w:i/>
          <w:iCs/>
          <w:color w:val="auto"/>
          <w:sz w:val="21"/>
          <w:szCs w:val="21"/>
          <w:highlight w:val="none"/>
          <w:u w:val="single"/>
          <w:lang w:val="en-US" w:eastAsia="zh-CN"/>
        </w:rPr>
        <w:t xml:space="preserve">投标人</w:t>
      </w:r>
      <w:r>
        <w:rPr>
          <w:rFonts w:hint="eastAsia" w:ascii="宋体" w:hAnsi="宋体" w:eastAsia="宋体" w:cs="宋体"/>
          <w:b/>
          <w:bCs w:val="0"/>
          <w:i/>
          <w:iCs/>
          <w:color w:val="auto"/>
          <w:sz w:val="21"/>
          <w:szCs w:val="21"/>
          <w:highlight w:val="none"/>
          <w:u w:val="single"/>
          <w:lang w:val="en-US" w:eastAsia="zh-CN"/>
        </w:rPr>
        <w:t xml:space="preserve">需在投标文件中承诺提供给采购人使用的产品及服务或其中的任何一部分，免受第三方提出的侵犯其知识产权的索赔或诉讼。如有任何上述指控，</w:t>
      </w:r>
      <w:r>
        <w:rPr>
          <w:rFonts w:hint="eastAsia" w:ascii="宋体" w:hAnsi="宋体" w:cs="宋体"/>
          <w:b/>
          <w:bCs w:val="0"/>
          <w:i/>
          <w:iCs/>
          <w:color w:val="auto"/>
          <w:sz w:val="21"/>
          <w:szCs w:val="21"/>
          <w:highlight w:val="none"/>
          <w:u w:val="single"/>
          <w:lang w:val="en-US" w:eastAsia="zh-CN"/>
        </w:rPr>
        <w:t xml:space="preserve">投标人</w:t>
      </w:r>
      <w:r>
        <w:rPr>
          <w:rFonts w:hint="eastAsia" w:ascii="宋体" w:hAnsi="宋体" w:eastAsia="宋体" w:cs="宋体"/>
          <w:b/>
          <w:bCs w:val="0"/>
          <w:i/>
          <w:iCs/>
          <w:color w:val="auto"/>
          <w:sz w:val="21"/>
          <w:szCs w:val="21"/>
          <w:highlight w:val="none"/>
          <w:u w:val="single"/>
          <w:lang w:val="en-US" w:eastAsia="zh-CN"/>
        </w:rPr>
        <w:t xml:space="preserve">应独自承担可能发生的一切法律责任和费用。</w:t>
      </w:r>
      <w:r>
        <w:rPr>
          <w:rFonts w:hint="eastAsia" w:ascii="宋体" w:hAnsi="宋体" w:cs="宋体"/>
          <w:b/>
          <w:bCs w:val="0"/>
          <w:i/>
          <w:iCs/>
          <w:color w:val="auto"/>
          <w:sz w:val="21"/>
          <w:szCs w:val="21"/>
          <w:highlight w:val="none"/>
          <w:u w:val="single"/>
          <w:lang w:eastAsia="zh-CN"/>
        </w:rPr>
        <w:t xml:space="preserve">（提供承诺书，上传系统，承诺书格式自拟）</w:t>
      </w:r>
      <w:r/>
    </w:p>
    <w:p>
      <w:pPr>
        <w:ind w:firstLine="422"/>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9.保密要求</w:t>
      </w:r>
      <w:r/>
    </w:p>
    <w:p>
      <w:pPr>
        <w:numPr>
          <w:ilvl w:val="0"/>
          <w:numId w:val="35"/>
        </w:numPr>
        <w:ind w:left="0" w:firstLine="420"/>
        <w:keepLines w:val="0"/>
        <w:keepNext w:val="0"/>
        <w:pageBreakBefore w:val="0"/>
        <w:spacing w:line="360" w:lineRule="auto"/>
        <w:shd w:val="clear" w:color="auto"/>
        <w:widowControl w:val="off"/>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投标人须对本项目技术文件、采购人提供的所有内部资料、技术文档、系统数据（包含原始数据和衍生数据）和信息予以保密。投标人须签订保密承诺书，并严格遵守。</w:t>
      </w:r>
      <w:r/>
    </w:p>
    <w:p>
      <w:pPr>
        <w:ind w:firstLine="422"/>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10.其他要求</w:t>
      </w:r>
      <w:r/>
    </w:p>
    <w:p>
      <w:pPr>
        <w:numPr>
          <w:ilvl w:val="0"/>
          <w:numId w:val="36"/>
        </w:numPr>
        <w:ind w:left="0" w:firstLine="420"/>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bookmarkStart w:id="87" w:name="_Toc29995"/>
      <w:r>
        <w:rPr>
          <w:rFonts w:hint="eastAsia" w:ascii="宋体" w:hAnsi="宋体" w:eastAsia="宋体" w:cs="宋体"/>
          <w:i w:val="0"/>
          <w:iCs w:val="0"/>
          <w:color w:val="auto"/>
          <w:sz w:val="21"/>
          <w:szCs w:val="21"/>
          <w:highlight w:val="none"/>
          <w:lang w:eastAsia="zh-CN"/>
        </w:rPr>
        <w:t xml:space="preserve">投标人</w:t>
      </w:r>
      <w:r>
        <w:rPr>
          <w:rFonts w:hint="eastAsia" w:ascii="宋体" w:hAnsi="宋体" w:eastAsia="宋体" w:cs="宋体"/>
          <w:i w:val="0"/>
          <w:iCs w:val="0"/>
          <w:color w:val="auto"/>
          <w:sz w:val="21"/>
          <w:szCs w:val="21"/>
          <w:highlight w:val="none"/>
        </w:rPr>
        <w:t xml:space="preserve">应对照</w:t>
      </w:r>
      <w:r>
        <w:rPr>
          <w:rFonts w:hint="eastAsia" w:ascii="宋体" w:hAnsi="宋体" w:eastAsia="宋体" w:cs="宋体"/>
          <w:i w:val="0"/>
          <w:iCs w:val="0"/>
          <w:color w:val="auto"/>
          <w:sz w:val="21"/>
          <w:szCs w:val="21"/>
          <w:highlight w:val="none"/>
          <w:lang w:val="en-US" w:eastAsia="zh-CN"/>
        </w:rPr>
        <w:t xml:space="preserve">招标</w:t>
      </w:r>
      <w:r>
        <w:rPr>
          <w:rFonts w:hint="eastAsia" w:ascii="宋体" w:hAnsi="宋体" w:eastAsia="宋体" w:cs="宋体"/>
          <w:i w:val="0"/>
          <w:iCs w:val="0"/>
          <w:color w:val="auto"/>
          <w:sz w:val="21"/>
          <w:szCs w:val="21"/>
          <w:highlight w:val="none"/>
        </w:rPr>
        <w:t xml:space="preserve">文件要求，书面说明已对采购人的需求做出了实质性的响应，或申明与需求的偏差和例外。</w:t>
      </w:r>
      <w:r/>
    </w:p>
    <w:p>
      <w:pPr>
        <w:numPr>
          <w:ilvl w:val="0"/>
          <w:numId w:val="36"/>
        </w:numPr>
        <w:ind w:left="0" w:firstLine="420"/>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项目实施质量必须严格按照国家规范及江苏省、</w:t>
      </w:r>
      <w:r>
        <w:rPr>
          <w:rFonts w:hint="eastAsia" w:ascii="宋体" w:hAnsi="宋体" w:eastAsia="宋体" w:cs="宋体"/>
          <w:bCs/>
          <w:i w:val="0"/>
          <w:iCs w:val="0"/>
          <w:color w:val="auto"/>
          <w:sz w:val="21"/>
          <w:szCs w:val="21"/>
          <w:highlight w:val="none"/>
          <w:lang w:val="en-US" w:eastAsia="zh-CN"/>
        </w:rPr>
        <w:t xml:space="preserve">扬州市</w:t>
      </w:r>
      <w:r>
        <w:rPr>
          <w:rFonts w:hint="eastAsia" w:ascii="宋体" w:hAnsi="宋体" w:eastAsia="宋体" w:cs="宋体"/>
          <w:bCs/>
          <w:i w:val="0"/>
          <w:iCs w:val="0"/>
          <w:color w:val="auto"/>
          <w:sz w:val="21"/>
          <w:szCs w:val="21"/>
          <w:highlight w:val="none"/>
        </w:rPr>
        <w:t xml:space="preserve">相应地方规范、</w:t>
      </w:r>
      <w:r>
        <w:rPr>
          <w:rFonts w:hint="eastAsia" w:ascii="宋体" w:hAnsi="宋体" w:eastAsia="宋体" w:cs="宋体"/>
          <w:bCs/>
          <w:i w:val="0"/>
          <w:iCs w:val="0"/>
          <w:color w:val="auto"/>
          <w:sz w:val="21"/>
          <w:szCs w:val="21"/>
          <w:highlight w:val="none"/>
          <w:lang w:eastAsia="zh-CN"/>
        </w:rPr>
        <w:t xml:space="preserve">招标文件</w:t>
      </w:r>
      <w:r>
        <w:rPr>
          <w:rFonts w:hint="eastAsia" w:ascii="宋体" w:hAnsi="宋体" w:eastAsia="宋体" w:cs="宋体"/>
          <w:bCs/>
          <w:i w:val="0"/>
          <w:iCs w:val="0"/>
          <w:color w:val="auto"/>
          <w:sz w:val="21"/>
          <w:szCs w:val="21"/>
          <w:highlight w:val="none"/>
        </w:rPr>
        <w:t xml:space="preserve">的技术规范的有关要求执行，如果在合同履行过程中有新的国家或行业（部）规范和标准出台的，则</w:t>
      </w:r>
      <w:r>
        <w:rPr>
          <w:rFonts w:hint="eastAsia" w:ascii="宋体" w:hAnsi="宋体" w:eastAsia="宋体" w:cs="宋体"/>
          <w:bCs/>
          <w:i w:val="0"/>
          <w:iCs w:val="0"/>
          <w:color w:val="auto"/>
          <w:sz w:val="21"/>
          <w:szCs w:val="21"/>
          <w:highlight w:val="none"/>
          <w:lang w:eastAsia="zh-CN"/>
        </w:rPr>
        <w:t xml:space="preserve">投标人</w:t>
      </w:r>
      <w:r>
        <w:rPr>
          <w:rFonts w:hint="eastAsia" w:ascii="宋体" w:hAnsi="宋体" w:eastAsia="宋体" w:cs="宋体"/>
          <w:bCs/>
          <w:i w:val="0"/>
          <w:iCs w:val="0"/>
          <w:color w:val="auto"/>
          <w:sz w:val="21"/>
          <w:szCs w:val="21"/>
          <w:highlight w:val="none"/>
        </w:rPr>
        <w:t xml:space="preserve">应确保其合同产品达到并符合新的国家或行业（部）规范和标准，因此而增加的费用及风险由</w:t>
      </w:r>
      <w:r>
        <w:rPr>
          <w:rFonts w:hint="eastAsia" w:ascii="宋体" w:hAnsi="宋体" w:eastAsia="宋体" w:cs="宋体"/>
          <w:bCs/>
          <w:i w:val="0"/>
          <w:iCs w:val="0"/>
          <w:color w:val="auto"/>
          <w:sz w:val="21"/>
          <w:szCs w:val="21"/>
          <w:highlight w:val="none"/>
          <w:lang w:val="en-US" w:eastAsia="zh-CN"/>
        </w:rPr>
        <w:t xml:space="preserve">投标人</w:t>
      </w:r>
      <w:r>
        <w:rPr>
          <w:rFonts w:hint="eastAsia" w:ascii="宋体" w:hAnsi="宋体" w:eastAsia="宋体" w:cs="宋体"/>
          <w:bCs/>
          <w:i w:val="0"/>
          <w:iCs w:val="0"/>
          <w:color w:val="auto"/>
          <w:sz w:val="21"/>
          <w:szCs w:val="21"/>
          <w:highlight w:val="none"/>
        </w:rPr>
        <w:t xml:space="preserve">自行承担。</w:t>
      </w:r>
      <w:r/>
    </w:p>
    <w:p>
      <w:pPr>
        <w:pStyle w:val="861"/>
        <w:numPr>
          <w:ilvl w:val="0"/>
          <w:numId w:val="36"/>
        </w:numPr>
        <w:ind w:left="0" w:firstLine="420"/>
        <w:jc w:val="left"/>
        <w:keepLines w:val="0"/>
        <w:keepNext w:val="0"/>
        <w:pageBreakBefore w:val="0"/>
        <w:spacing w:after="0" w:line="360" w:lineRule="auto"/>
        <w:shd w:val="clear" w:color="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如果发生因投标人安全措施不力造成的事故责任、或者其他工作失误，由此所产生的一切责任由投标人承担。</w:t>
      </w:r>
      <w:r/>
    </w:p>
    <w:p>
      <w:pPr>
        <w:numPr>
          <w:ilvl w:val="0"/>
          <w:numId w:val="36"/>
        </w:numPr>
        <w:ind w:left="0" w:firstLine="420"/>
        <w:keepLines w:val="0"/>
        <w:keepNext w:val="0"/>
        <w:pageBreakBefore w:val="0"/>
        <w:spacing w:line="360" w:lineRule="auto"/>
        <w:shd w:val="clear" w:color="auto"/>
        <w:widowControl w:val="off"/>
        <w:rPr>
          <w:rFonts w:hint="eastAsia" w:ascii="宋体" w:hAnsi="宋体" w:eastAsia="宋体" w:cs="宋体"/>
          <w:bCs/>
          <w:i w:val="0"/>
          <w:iCs w:val="0"/>
          <w:color w:val="auto"/>
          <w:sz w:val="21"/>
          <w:szCs w:val="21"/>
          <w:highlight w:val="none"/>
          <w:lang w:eastAsia="zh-CN"/>
        </w:rPr>
      </w:pPr>
      <w:r>
        <w:rPr>
          <w:rFonts w:hint="eastAsia" w:ascii="宋体" w:hAnsi="宋体" w:eastAsia="宋体" w:cs="宋体"/>
          <w:bCs/>
          <w:i w:val="0"/>
          <w:iCs w:val="0"/>
          <w:color w:val="auto"/>
          <w:sz w:val="21"/>
          <w:szCs w:val="21"/>
          <w:highlight w:val="none"/>
        </w:rPr>
        <w:t xml:space="preserve">如因</w:t>
      </w:r>
      <w:r>
        <w:rPr>
          <w:rFonts w:hint="eastAsia" w:ascii="宋体" w:hAnsi="宋体" w:eastAsia="宋体" w:cs="宋体"/>
          <w:bCs/>
          <w:i w:val="0"/>
          <w:iCs w:val="0"/>
          <w:color w:val="auto"/>
          <w:sz w:val="21"/>
          <w:szCs w:val="21"/>
          <w:highlight w:val="none"/>
          <w:lang w:eastAsia="zh-CN"/>
        </w:rPr>
        <w:t xml:space="preserve">投标人</w:t>
      </w:r>
      <w:r>
        <w:rPr>
          <w:rFonts w:hint="eastAsia" w:ascii="宋体" w:hAnsi="宋体" w:eastAsia="宋体" w:cs="宋体"/>
          <w:bCs/>
          <w:i w:val="0"/>
          <w:iCs w:val="0"/>
          <w:color w:val="auto"/>
          <w:sz w:val="21"/>
          <w:szCs w:val="21"/>
          <w:highlight w:val="none"/>
        </w:rPr>
        <w:t xml:space="preserve">投入人员过少原因，造成无法在承诺工期内完成服务，由此产生的一切责任由</w:t>
      </w:r>
      <w:r>
        <w:rPr>
          <w:rFonts w:hint="eastAsia" w:ascii="宋体" w:hAnsi="宋体" w:eastAsia="宋体" w:cs="宋体"/>
          <w:bCs/>
          <w:i w:val="0"/>
          <w:iCs w:val="0"/>
          <w:color w:val="auto"/>
          <w:sz w:val="21"/>
          <w:szCs w:val="21"/>
          <w:highlight w:val="none"/>
          <w:lang w:eastAsia="zh-CN"/>
        </w:rPr>
        <w:t xml:space="preserve">投标人</w:t>
      </w:r>
      <w:r>
        <w:rPr>
          <w:rFonts w:hint="eastAsia" w:ascii="宋体" w:hAnsi="宋体" w:eastAsia="宋体" w:cs="宋体"/>
          <w:bCs/>
          <w:i w:val="0"/>
          <w:iCs w:val="0"/>
          <w:color w:val="auto"/>
          <w:sz w:val="21"/>
          <w:szCs w:val="21"/>
          <w:highlight w:val="none"/>
        </w:rPr>
        <w:t xml:space="preserve">承担</w:t>
      </w:r>
      <w:r>
        <w:rPr>
          <w:rFonts w:hint="eastAsia" w:ascii="宋体" w:hAnsi="宋体" w:eastAsia="宋体" w:cs="宋体"/>
          <w:bCs/>
          <w:i w:val="0"/>
          <w:iCs w:val="0"/>
          <w:color w:val="auto"/>
          <w:sz w:val="21"/>
          <w:szCs w:val="21"/>
          <w:highlight w:val="none"/>
          <w:lang w:eastAsia="zh-CN"/>
        </w:rPr>
        <w:t xml:space="preserve">。</w:t>
      </w:r>
      <w:r/>
    </w:p>
    <w:p>
      <w:pPr>
        <w:numPr>
          <w:ilvl w:val="0"/>
          <w:numId w:val="36"/>
        </w:numPr>
        <w:ind w:left="0" w:firstLine="420"/>
        <w:keepLines w:val="0"/>
        <w:keepNext w:val="0"/>
        <w:pageBreakBefore w:val="0"/>
        <w:spacing w:line="360" w:lineRule="auto"/>
        <w:shd w:val="clear" w:color="auto"/>
        <w:widowControl w:val="off"/>
        <w:rPr>
          <w:rFonts w:hint="eastAsia" w:ascii="宋体" w:hAnsi="宋体" w:eastAsia="宋体" w:cs="宋体"/>
          <w:b/>
          <w:bCs/>
          <w:i w:val="0"/>
          <w:iCs w:val="0"/>
          <w:color w:val="auto"/>
          <w:sz w:val="21"/>
          <w:szCs w:val="21"/>
          <w:highlight w:val="none"/>
          <w:u w:val="single"/>
        </w:rPr>
      </w:pPr>
      <w:r>
        <w:rPr>
          <w:rFonts w:hint="eastAsia" w:ascii="宋体" w:hAnsi="宋体" w:eastAsia="宋体" w:cs="宋体"/>
          <w:bCs/>
          <w:i w:val="0"/>
          <w:iCs w:val="0"/>
          <w:color w:val="auto"/>
          <w:sz w:val="21"/>
          <w:szCs w:val="21"/>
          <w:highlight w:val="none"/>
        </w:rPr>
        <w:t xml:space="preserve">其他未尽事宜按</w:t>
      </w:r>
      <w:r>
        <w:rPr>
          <w:rFonts w:hint="eastAsia" w:ascii="宋体" w:hAnsi="宋体" w:eastAsia="宋体" w:cs="宋体"/>
          <w:bCs/>
          <w:i w:val="0"/>
          <w:iCs w:val="0"/>
          <w:color w:val="auto"/>
          <w:sz w:val="21"/>
          <w:szCs w:val="21"/>
          <w:highlight w:val="none"/>
          <w:lang w:val="en-US" w:eastAsia="zh-CN"/>
        </w:rPr>
        <w:t xml:space="preserve">投标人</w:t>
      </w:r>
      <w:r>
        <w:rPr>
          <w:rFonts w:hint="eastAsia" w:ascii="宋体" w:hAnsi="宋体" w:eastAsia="宋体" w:cs="宋体"/>
          <w:bCs/>
          <w:i w:val="0"/>
          <w:iCs w:val="0"/>
          <w:color w:val="auto"/>
          <w:sz w:val="21"/>
          <w:szCs w:val="21"/>
          <w:highlight w:val="none"/>
        </w:rPr>
        <w:t xml:space="preserve">所提供的相应承诺执行。</w:t>
      </w:r>
      <w:r/>
    </w:p>
    <w:p>
      <w:pPr>
        <w:numPr>
          <w:ilvl w:val="0"/>
          <w:numId w:val="36"/>
        </w:numPr>
        <w:ind w:left="0" w:firstLine="420"/>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lang w:val="en-US" w:eastAsia="zh-CN" w:bidi="ar-SA"/>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节能产品要求</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www.ccgp.gov.cn/zcfg/mof/201904/t20190403_11849836.htm）查询,并在投标文件内提供由国家确定的认证机构出具的、处于有效期之内的节能产品认证证书原件，扫描上传，否则视为无效投标。（本项目涉及强制采购范围内产品有：无）</w:t>
      </w:r>
      <w:r/>
    </w:p>
    <w:p>
      <w:pPr>
        <w:spacing w:line="0" w:lineRule="atLeas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47"/>
        <w:shd w:val="clear" w:color="auto"/>
        <w:rPr>
          <w:color w:val="auto"/>
          <w:highlight w:val="none"/>
        </w:rPr>
      </w:pPr>
      <w:r>
        <w:rPr>
          <w:rFonts w:hint="eastAsia"/>
          <w:color w:val="auto"/>
          <w:highlight w:val="none"/>
        </w:rPr>
        <w:t xml:space="preserve">第五章 评标方法及评标标准</w:t>
      </w:r>
      <w:bookmarkEnd w:id="62"/>
      <w:r/>
      <w:bookmarkEnd w:id="87"/>
      <w:r/>
      <w:r/>
    </w:p>
    <w:p>
      <w:pPr>
        <w:pStyle w:val="1073"/>
        <w:ind w:firstLine="422"/>
        <w:keepLines w:val="0"/>
        <w:keepNext w:val="0"/>
        <w:pageBreakBefore w:val="0"/>
        <w:spacing w:before="0" w:after="0"/>
        <w:shd w:val="clear" w:color="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bookmarkStart w:id="88" w:name="_Toc449017024"/>
      <w:r/>
      <w:bookmarkStart w:id="89" w:name="_Toc449016388"/>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88"/>
      <w:r/>
      <w:bookmarkEnd w:id="89"/>
      <w:r/>
      <w:r/>
    </w:p>
    <w:p>
      <w:pPr>
        <w:ind w:firstLine="420"/>
        <w:keepLines w:val="0"/>
        <w:keepNext w:val="0"/>
        <w:pageBreakBefore w:val="0"/>
        <w:spacing w:line="360" w:lineRule="auto"/>
        <w:shd w:val="clear" w:color="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小微型企业价格扣除</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残疾人福利单位价格扣除</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监狱和戒毒企业价格扣除</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残疾人福利单位、监狱企业属于小型、微型企业的，不重复享受政策。</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联合体各方均为小型、微型企业（残疾人福利单位、监狱企业）的，联合体享受20%价格扣除，用扣除后的价格参与评审。</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0%以上的，给予6%的价格扣除，用扣除后的价格参与评审。</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采购本国产品的支持政策</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3"/>
        <w:ind w:firstLine="420"/>
        <w:keepLines w:val="0"/>
        <w:keepNext w:val="0"/>
        <w:pageBreakBefore w:val="0"/>
        <w:spacing w:before="0" w:after="0"/>
        <w:shd w:val="clear" w:color="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3"/>
        <w:ind w:firstLine="422"/>
        <w:keepLines w:val="0"/>
        <w:keepNext w:val="0"/>
        <w:pageBreakBefore w:val="0"/>
        <w:spacing w:before="0" w:after="0"/>
        <w:shd w:val="clear" w:color="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857"/>
        <w:tblpPr w:horzAnchor="page" w:tblpX="1658" w:vertAnchor="text" w:tblpY="425" w:leftFromText="180" w:topFromText="0" w:rightFromText="180" w:bottomFromText="0"/>
        <w:tblW w:w="502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6516"/>
        <w:gridCol w:w="871"/>
      </w:tblGrid>
      <w:tr>
        <w:trPr>
          <w:trHeight w:val="502"/>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b/>
                <w:bCs/>
                <w:color w:val="auto"/>
                <w:szCs w:val="21"/>
                <w:highlight w:val="none"/>
                <w:lang w:eastAsia="zh-CN"/>
              </w:rPr>
              <w:suppressLineNumbers w:val="0"/>
            </w:pPr>
            <w:r>
              <w:rPr>
                <w:rFonts w:hint="eastAsia" w:asciiTheme="minorEastAsia" w:hAnsiTheme="minorEastAsia" w:eastAsiaTheme="minorEastAsia" w:cstheme="minorEastAsia"/>
                <w:b/>
                <w:bCs/>
                <w:color w:val="auto"/>
                <w:szCs w:val="21"/>
                <w:highlight w:val="none"/>
                <w:lang w:val="en-US" w:eastAsia="zh-CN"/>
              </w:rPr>
              <w:t xml:space="preserve">评审项</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b/>
                <w:bCs/>
                <w:color w:val="auto"/>
                <w:szCs w:val="21"/>
                <w:highlight w:val="none"/>
              </w:rPr>
              <w:suppressLineNumbers w:val="0"/>
            </w:pPr>
            <w:r>
              <w:rPr>
                <w:rFonts w:hint="eastAsia"/>
                <w:b/>
                <w:bCs/>
                <w:color w:val="auto"/>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eastAsia="宋体"/>
                <w:b/>
                <w:bCs/>
                <w:color w:val="auto"/>
                <w:highlight w:val="none"/>
                <w:lang w:val="en-US" w:eastAsia="zh-CN"/>
              </w:rPr>
              <w:suppressLineNumbers w:val="0"/>
            </w:pPr>
            <w:r>
              <w:rPr>
                <w:rFonts w:hint="eastAsia"/>
                <w:b/>
                <w:bCs/>
                <w:color w:val="auto"/>
                <w:highlight w:val="none"/>
                <w:lang w:val="en-US" w:eastAsia="zh-CN"/>
              </w:rPr>
              <w:t xml:space="preserve">分值</w:t>
            </w:r>
            <w:r/>
          </w:p>
        </w:tc>
      </w:tr>
      <w:tr>
        <w:trPr>
          <w:trHeight w:val="985"/>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采用低价优先法计算，即满足招标文件要求且投标价格最低的投标报价为评标基准价，其价格分为满分。</w:t>
            </w:r>
            <w:r/>
          </w:p>
          <w:p>
            <w:pPr>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其他投标人的价格分统一按照下列公式计算：</w:t>
            </w:r>
            <w:r/>
          </w:p>
          <w:p>
            <w:pPr>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投标报价得分=(评标基准价／投标报价)×30×100%，结果保留两位有效小数。</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Theme="minorEastAsia" w:hAnsiTheme="minorEastAsia" w:eastAsiaTheme="minorEastAsia" w:cstheme="minorEastAsia"/>
                <w:b w:val="0"/>
                <w:bCs w:val="0"/>
                <w:color w:val="auto"/>
                <w:szCs w:val="21"/>
                <w:highlight w:val="none"/>
                <w:lang w:val="en-US" w:eastAsia="zh-CN"/>
              </w:rPr>
              <w:suppressLineNumbers w:val="0"/>
            </w:pPr>
            <w:r>
              <w:rPr>
                <w:rFonts w:hint="eastAsia" w:asciiTheme="minorEastAsia" w:hAnsiTheme="minorEastAsia" w:eastAsiaTheme="minorEastAsia" w:cstheme="minorEastAsia"/>
                <w:b w:val="0"/>
                <w:bCs w:val="0"/>
                <w:color w:val="auto"/>
                <w:szCs w:val="21"/>
                <w:highlight w:val="none"/>
                <w:lang w:val="en-US" w:eastAsia="zh-CN"/>
              </w:rPr>
              <w:t xml:space="preserve">30分</w:t>
            </w:r>
            <w:r/>
          </w:p>
        </w:tc>
      </w:tr>
      <w:tr>
        <w:trPr>
          <w:trHeight w:val="1760"/>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技术参数</w:t>
            </w:r>
            <w:r/>
          </w:p>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lang w:val="en-US" w:eastAsia="zh-CN"/>
              </w:rPr>
              <w:suppressLineNumbers w:val="0"/>
            </w:pPr>
            <w:r>
              <w:rPr>
                <w:rFonts w:hint="eastAsia" w:asciiTheme="minorEastAsia" w:hAnsiTheme="minorEastAsia" w:eastAsiaTheme="minorEastAsia" w:cstheme="minorEastAsia"/>
                <w:color w:val="auto"/>
                <w:szCs w:val="21"/>
                <w:highlight w:val="none"/>
                <w:lang w:val="en-US" w:eastAsia="zh-CN"/>
              </w:rPr>
              <w:t xml:space="preserve">响应</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投标人所投产品全部满足或优于第四章项目需求【</w:t>
            </w:r>
            <w:r>
              <w:rPr>
                <w:rFonts w:hint="eastAsia" w:ascii="宋体" w:hAnsi="宋体" w:eastAsia="宋体" w:cs="宋体"/>
                <w:b/>
                <w:bCs/>
                <w:color w:val="auto"/>
                <w:sz w:val="21"/>
                <w:szCs w:val="21"/>
                <w:highlight w:val="none"/>
                <w:lang w:val="en-US" w:eastAsia="zh-CN"/>
              </w:rPr>
              <w:t xml:space="preserve">技术要求</w:t>
            </w:r>
            <w:r>
              <w:rPr>
                <w:rFonts w:hint="eastAsia" w:asciiTheme="minorEastAsia" w:hAnsiTheme="minorEastAsia" w:eastAsiaTheme="minorEastAsia" w:cstheme="minorEastAsia"/>
                <w:color w:val="auto"/>
                <w:szCs w:val="21"/>
                <w:highlight w:val="none"/>
              </w:rPr>
              <w:t xml:space="preserve">】的，得</w:t>
            </w:r>
            <w:r>
              <w:rPr>
                <w:rFonts w:hint="eastAsia" w:asciiTheme="minorEastAsia" w:hAnsiTheme="minorEastAsia" w:eastAsiaTheme="minorEastAsia" w:cstheme="minorEastAsia"/>
                <w:color w:val="auto"/>
                <w:szCs w:val="21"/>
                <w:highlight w:val="none"/>
                <w:lang w:val="en-US" w:eastAsia="zh-CN"/>
              </w:rPr>
              <w:t xml:space="preserve">30</w:t>
            </w:r>
            <w:r>
              <w:rPr>
                <w:rFonts w:hint="eastAsia" w:asciiTheme="minorEastAsia" w:hAnsiTheme="minorEastAsia" w:eastAsiaTheme="minorEastAsia" w:cstheme="minorEastAsia"/>
                <w:color w:val="auto"/>
                <w:szCs w:val="21"/>
                <w:highlight w:val="none"/>
              </w:rPr>
              <w:t xml:space="preserve">分。评委根据投标文件中《技术参数响应及偏离表》，结合投标文件提供的佐证材料等进行评审。</w:t>
            </w:r>
            <w:r/>
          </w:p>
          <w:p>
            <w:pPr>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标注“</w:t>
            </w:r>
            <w:r>
              <w:rPr>
                <w:rFonts w:hint="eastAsia" w:ascii="华文宋体" w:hAnsi="华文宋体"/>
                <w:b/>
                <w:bCs/>
                <w:color w:val="auto"/>
                <w:sz w:val="18"/>
                <w:szCs w:val="18"/>
                <w:highlight w:val="none"/>
              </w:rPr>
              <w:t xml:space="preserve">▲</w:t>
            </w:r>
            <w:r>
              <w:rPr>
                <w:rFonts w:hint="eastAsia" w:asciiTheme="minorEastAsia" w:hAnsiTheme="minorEastAsia" w:eastAsiaTheme="minorEastAsia" w:cstheme="minorEastAsia"/>
                <w:color w:val="auto"/>
                <w:szCs w:val="21"/>
                <w:highlight w:val="none"/>
              </w:rPr>
              <w:t xml:space="preserve">”的重要技术指标（共</w:t>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项），每负偏离一项、未提供或未按要求提供佐证材料的扣</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共18分</w:t>
            </w:r>
            <w:r>
              <w:rPr>
                <w:rFonts w:hint="eastAsia" w:asciiTheme="minorEastAsia" w:hAnsiTheme="minorEastAsia" w:eastAsiaTheme="minorEastAsia" w:cstheme="minorEastAsia"/>
                <w:color w:val="auto"/>
                <w:szCs w:val="21"/>
                <w:highlight w:val="none"/>
              </w:rPr>
              <w:t xml:space="preserve">；</w:t>
            </w:r>
            <w:r/>
          </w:p>
          <w:p>
            <w:pPr>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不标注 “</w:t>
            </w:r>
            <w:r>
              <w:rPr>
                <w:rFonts w:hint="eastAsia" w:ascii="华文宋体" w:hAnsi="华文宋体"/>
                <w:b/>
                <w:bCs/>
                <w:color w:val="auto"/>
                <w:sz w:val="18"/>
                <w:szCs w:val="18"/>
                <w:highlight w:val="none"/>
              </w:rPr>
              <w:t xml:space="preserve">▲</w:t>
            </w:r>
            <w:r>
              <w:rPr>
                <w:rFonts w:hint="eastAsia" w:asciiTheme="minorEastAsia" w:hAnsiTheme="minorEastAsia" w:eastAsiaTheme="minorEastAsia" w:cstheme="minorEastAsia"/>
                <w:color w:val="auto"/>
                <w:szCs w:val="21"/>
                <w:highlight w:val="none"/>
              </w:rPr>
              <w:t xml:space="preserve">”的一般技术指标，总计负偏离项数：1~5项，扣1分，总计负偏离项数：6~10项，扣</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分，总计负偏离项数：11~15项，扣</w:t>
            </w: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分，总计负偏离项数：16~20项，扣</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分，总计负偏离项数：21~25项，扣</w:t>
            </w:r>
            <w:r>
              <w:rPr>
                <w:rFonts w:hint="eastAsia" w:asciiTheme="minorEastAsia" w:hAnsiTheme="minorEastAsia" w:eastAsiaTheme="minorEastAsia" w:cstheme="minorEastAsia"/>
                <w:color w:val="auto"/>
                <w:szCs w:val="21"/>
                <w:highlight w:val="none"/>
                <w:lang w:val="en-US" w:eastAsia="zh-CN"/>
              </w:rPr>
              <w:t xml:space="preserve">9</w:t>
            </w:r>
            <w:r>
              <w:rPr>
                <w:rFonts w:hint="eastAsia" w:asciiTheme="minorEastAsia" w:hAnsiTheme="minorEastAsia" w:eastAsiaTheme="minorEastAsia" w:cstheme="minorEastAsia"/>
                <w:color w:val="auto"/>
                <w:szCs w:val="21"/>
                <w:highlight w:val="none"/>
              </w:rPr>
              <w:t xml:space="preserve">分，总计负偏离项数：≥</w:t>
            </w:r>
            <w:r>
              <w:rPr>
                <w:rFonts w:hint="eastAsia" w:asciiTheme="minorEastAsia" w:hAnsiTheme="minorEastAsia" w:eastAsiaTheme="minorEastAsia" w:cstheme="minorEastAsia"/>
                <w:color w:val="auto"/>
                <w:szCs w:val="21"/>
                <w:highlight w:val="none"/>
                <w:lang w:val="en-US" w:eastAsia="zh-CN"/>
              </w:rPr>
              <w:t xml:space="preserve">26</w:t>
            </w:r>
            <w:r>
              <w:rPr>
                <w:rFonts w:hint="eastAsia" w:asciiTheme="minorEastAsia" w:hAnsiTheme="minorEastAsia" w:eastAsiaTheme="minorEastAsia" w:cstheme="minorEastAsia"/>
                <w:color w:val="auto"/>
                <w:szCs w:val="21"/>
                <w:highlight w:val="none"/>
              </w:rPr>
              <w:t xml:space="preserve">项，扣</w:t>
            </w:r>
            <w:r>
              <w:rPr>
                <w:rFonts w:hint="eastAsia" w:asciiTheme="minorEastAsia" w:hAnsiTheme="minorEastAsia" w:eastAsiaTheme="minorEastAsia" w:cstheme="minorEastAsia"/>
                <w:color w:val="auto"/>
                <w:szCs w:val="21"/>
                <w:highlight w:val="none"/>
                <w:lang w:val="en-US" w:eastAsia="zh-CN"/>
              </w:rPr>
              <w:t xml:space="preserve">12</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val="en-US" w:eastAsia="zh-CN"/>
              </w:rPr>
              <w:t xml:space="preserve">共12分</w:t>
            </w:r>
            <w:r>
              <w:rPr>
                <w:rFonts w:hint="eastAsia" w:asciiTheme="minorEastAsia" w:hAnsiTheme="minorEastAsia" w:eastAsiaTheme="minorEastAsia" w:cstheme="minorEastAsia"/>
                <w:color w:val="auto"/>
                <w:szCs w:val="21"/>
                <w:highlight w:val="none"/>
              </w:rPr>
              <w:t xml:space="preserve">。</w:t>
            </w:r>
            <w:r/>
          </w:p>
          <w:p>
            <w:pPr>
              <w:pStyle w:val="897"/>
              <w:ind w:left="0" w:right="0"/>
              <w:jc w:val="left"/>
              <w:keepLines w:val="0"/>
              <w:keepNext w:val="0"/>
              <w:pageBreakBefore w:val="0"/>
              <w:spacing w:before="0" w:beforeAutospacing="0" w:after="0" w:afterAutospacing="0" w:line="240" w:lineRule="auto"/>
              <w:shd w:val="clear" w:color="auto"/>
              <w:widowControl w:val="off"/>
              <w:rPr>
                <w:rFonts w:hint="default" w:ascii="Times New Roman" w:hAnsi="Times New Roman"/>
                <w:b/>
                <w:bCs/>
                <w:color w:val="auto"/>
                <w:szCs w:val="21"/>
                <w:highlight w:val="none"/>
              </w:rPr>
              <w:suppressLineNumbers w:val="0"/>
            </w:pPr>
            <w:r>
              <w:rPr>
                <w:rFonts w:hint="eastAsia" w:ascii="Times New Roman" w:hAnsi="Times New Roman"/>
                <w:b/>
                <w:bCs/>
                <w:color w:val="auto"/>
                <w:szCs w:val="21"/>
                <w:highlight w:val="none"/>
              </w:rPr>
              <w:t xml:space="preserve">说明：</w:t>
            </w:r>
            <w:r/>
          </w:p>
          <w:p>
            <w:pPr>
              <w:pStyle w:val="897"/>
              <w:numPr>
                <w:ilvl w:val="0"/>
                <w:numId w:val="37"/>
              </w:numPr>
              <w:ind w:left="0" w:right="0" w:firstLine="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仅对小标题下明确列出的此类功能项打分，大标题（如“数据采集范围”等）</w:t>
            </w:r>
            <w:r>
              <w:rPr>
                <w:rFonts w:hint="eastAsia" w:ascii="宋体" w:hAnsi="宋体" w:eastAsia="宋体" w:cs="宋体"/>
                <w:b/>
                <w:bCs/>
                <w:color w:val="auto"/>
                <w:sz w:val="21"/>
                <w:szCs w:val="21"/>
                <w:highlight w:val="none"/>
                <w:lang w:val="en-US" w:eastAsia="zh-CN"/>
              </w:rPr>
              <w:t xml:space="preserve">为</w:t>
            </w:r>
            <w:r>
              <w:rPr>
                <w:rFonts w:hint="eastAsia" w:ascii="宋体" w:hAnsi="宋体" w:eastAsia="宋体" w:cs="宋体"/>
                <w:b/>
                <w:bCs/>
                <w:color w:val="auto"/>
                <w:sz w:val="21"/>
                <w:szCs w:val="21"/>
                <w:highlight w:val="none"/>
              </w:rPr>
              <w:t xml:space="preserve">概括性标题</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仅为内容组织框架，不参与评分。</w:t>
            </w:r>
            <w:r/>
          </w:p>
          <w:p>
            <w:pPr>
              <w:pStyle w:val="897"/>
              <w:numPr>
                <w:ilvl w:val="0"/>
                <w:numId w:val="37"/>
              </w:numPr>
              <w:ind w:left="0" w:right="0" w:firstLine="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对</w:t>
            </w:r>
            <w:r>
              <w:rPr>
                <w:rFonts w:hint="eastAsia" w:ascii="宋体" w:hAnsi="宋体" w:eastAsia="宋体" w:cs="宋体"/>
                <w:b/>
                <w:bCs/>
                <w:color w:val="auto"/>
                <w:sz w:val="21"/>
                <w:szCs w:val="21"/>
                <w:highlight w:val="none"/>
                <w:lang w:val="en-US" w:eastAsia="zh-CN"/>
              </w:rPr>
              <w:t xml:space="preserve">技术要求</w:t>
            </w:r>
            <w:r>
              <w:rPr>
                <w:rFonts w:hint="eastAsia" w:ascii="宋体" w:hAnsi="宋体" w:eastAsia="宋体" w:cs="宋体"/>
                <w:b/>
                <w:bCs/>
                <w:color w:val="auto"/>
                <w:sz w:val="21"/>
                <w:szCs w:val="21"/>
                <w:highlight w:val="none"/>
              </w:rPr>
              <w:t xml:space="preserve">中标注“▲”的重要</w:t>
            </w:r>
            <w:r>
              <w:rPr>
                <w:rFonts w:hint="eastAsia" w:ascii="宋体" w:hAnsi="宋体" w:eastAsia="宋体" w:cs="宋体"/>
                <w:b/>
                <w:bCs/>
                <w:color w:val="auto"/>
                <w:sz w:val="21"/>
                <w:szCs w:val="21"/>
                <w:highlight w:val="none"/>
                <w:lang w:val="en-US" w:eastAsia="zh-CN"/>
              </w:rPr>
              <w:t xml:space="preserve">参数</w:t>
            </w:r>
            <w:r>
              <w:rPr>
                <w:rFonts w:hint="eastAsia" w:ascii="宋体" w:hAnsi="宋体" w:eastAsia="宋体" w:cs="宋体"/>
                <w:b/>
                <w:bCs/>
                <w:color w:val="auto"/>
                <w:sz w:val="21"/>
                <w:szCs w:val="21"/>
                <w:highlight w:val="none"/>
              </w:rPr>
              <w:t xml:space="preserve">，应按</w:t>
            </w:r>
            <w:r>
              <w:rPr>
                <w:rFonts w:hint="eastAsia" w:ascii="宋体" w:hAnsi="宋体" w:eastAsia="宋体" w:cs="宋体"/>
                <w:b/>
                <w:bCs/>
                <w:color w:val="auto"/>
                <w:sz w:val="21"/>
                <w:szCs w:val="21"/>
                <w:highlight w:val="none"/>
                <w:lang w:val="en-US" w:eastAsia="zh-CN"/>
              </w:rPr>
              <w:t xml:space="preserve">参数</w:t>
            </w:r>
            <w:r>
              <w:rPr>
                <w:rFonts w:hint="eastAsia" w:ascii="宋体" w:hAnsi="宋体" w:eastAsia="宋体" w:cs="宋体"/>
                <w:b/>
                <w:bCs/>
                <w:color w:val="auto"/>
                <w:sz w:val="21"/>
                <w:szCs w:val="21"/>
                <w:highlight w:val="none"/>
              </w:rPr>
              <w:t xml:space="preserve">末括号内要求提供</w:t>
            </w:r>
            <w:r>
              <w:rPr>
                <w:rFonts w:hint="eastAsia" w:ascii="宋体" w:hAnsi="宋体" w:eastAsia="宋体" w:cs="宋体"/>
                <w:b/>
                <w:bCs/>
                <w:color w:val="auto"/>
                <w:sz w:val="21"/>
                <w:szCs w:val="21"/>
                <w:highlight w:val="none"/>
                <w:lang w:val="en-US" w:eastAsia="zh-CN"/>
              </w:rPr>
              <w:t xml:space="preserve">相应</w:t>
            </w:r>
            <w:r>
              <w:rPr>
                <w:rFonts w:hint="eastAsia" w:ascii="宋体" w:hAnsi="宋体" w:eastAsia="宋体" w:cs="宋体"/>
                <w:b/>
                <w:bCs/>
                <w:color w:val="auto"/>
                <w:sz w:val="21"/>
                <w:szCs w:val="21"/>
                <w:highlight w:val="none"/>
              </w:rPr>
              <w:t xml:space="preserve">证明材料并在《技术参数响应及偏离表》</w:t>
            </w:r>
            <w:r>
              <w:rPr>
                <w:rFonts w:hint="eastAsia" w:ascii="宋体" w:hAnsi="宋体" w:eastAsia="宋体" w:cs="宋体"/>
                <w:b/>
                <w:bCs/>
                <w:color w:val="auto"/>
                <w:sz w:val="21"/>
                <w:szCs w:val="21"/>
                <w:highlight w:val="none"/>
                <w:lang w:val="en-US" w:eastAsia="zh-CN"/>
              </w:rPr>
              <w:t xml:space="preserve">中逐项说明偏离情况</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提供的软件功能截图</w:t>
            </w:r>
            <w:r>
              <w:rPr>
                <w:rFonts w:hint="eastAsia" w:ascii="宋体" w:hAnsi="宋体" w:cs="宋体"/>
                <w:b/>
                <w:bCs/>
                <w:color w:val="auto"/>
                <w:sz w:val="21"/>
                <w:szCs w:val="21"/>
                <w:highlight w:val="none"/>
                <w:lang w:val="en-US" w:eastAsia="zh-CN"/>
              </w:rPr>
              <w:t xml:space="preserve">应</w:t>
            </w:r>
            <w:r>
              <w:rPr>
                <w:rFonts w:hint="eastAsia" w:ascii="宋体" w:hAnsi="宋体" w:eastAsia="宋体" w:cs="宋体"/>
                <w:b/>
                <w:bCs/>
                <w:color w:val="auto"/>
                <w:sz w:val="21"/>
                <w:szCs w:val="21"/>
                <w:highlight w:val="none"/>
                <w:lang w:val="en-US" w:eastAsia="zh-CN"/>
              </w:rPr>
              <w:t xml:space="preserve">涵盖</w:t>
            </w:r>
            <w:r>
              <w:rPr>
                <w:rFonts w:hint="eastAsia" w:ascii="宋体" w:hAnsi="宋体" w:cs="宋体"/>
                <w:b/>
                <w:bCs/>
                <w:color w:val="auto"/>
                <w:sz w:val="21"/>
                <w:szCs w:val="21"/>
                <w:highlight w:val="none"/>
                <w:lang w:val="en-US" w:eastAsia="zh-CN"/>
              </w:rPr>
              <w:t xml:space="preserve">该</w:t>
            </w:r>
            <w:r>
              <w:rPr>
                <w:rFonts w:hint="eastAsia" w:ascii="宋体" w:hAnsi="宋体" w:eastAsia="宋体" w:cs="宋体"/>
                <w:b/>
                <w:bCs/>
                <w:color w:val="auto"/>
                <w:sz w:val="21"/>
                <w:szCs w:val="21"/>
                <w:highlight w:val="none"/>
                <w:lang w:val="en-US" w:eastAsia="zh-CN"/>
              </w:rPr>
              <w:t xml:space="preserve">参数的所有功能点，未提</w:t>
            </w:r>
            <w:r>
              <w:rPr>
                <w:rFonts w:hint="eastAsia" w:ascii="宋体" w:hAnsi="宋体" w:cs="宋体"/>
                <w:b/>
                <w:bCs/>
                <w:color w:val="auto"/>
                <w:sz w:val="21"/>
                <w:szCs w:val="21"/>
                <w:highlight w:val="none"/>
                <w:lang w:val="en-US" w:eastAsia="zh-CN"/>
              </w:rPr>
              <w:t xml:space="preserve">供</w:t>
            </w:r>
            <w:r>
              <w:rPr>
                <w:rFonts w:hint="eastAsia" w:ascii="宋体" w:hAnsi="宋体" w:eastAsia="宋体" w:cs="宋体"/>
                <w:b/>
                <w:bCs/>
                <w:color w:val="auto"/>
                <w:sz w:val="21"/>
                <w:szCs w:val="21"/>
                <w:highlight w:val="none"/>
                <w:lang w:val="en-US" w:eastAsia="zh-CN"/>
              </w:rPr>
              <w:t xml:space="preserve">相应材料或提供的材料不符合招标文件要求将视为负偏离，不予计分。</w:t>
            </w:r>
            <w:r/>
          </w:p>
          <w:p>
            <w:pPr>
              <w:pStyle w:val="897"/>
              <w:numPr>
                <w:ilvl w:val="0"/>
                <w:numId w:val="37"/>
              </w:numPr>
              <w:ind w:left="0" w:right="0" w:firstLine="0"/>
              <w:jc w:val="left"/>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宋体" w:hAnsi="宋体" w:eastAsia="宋体" w:cs="宋体"/>
                <w:b/>
                <w:bCs/>
                <w:color w:val="auto"/>
                <w:sz w:val="21"/>
                <w:szCs w:val="21"/>
                <w:highlight w:val="none"/>
              </w:rPr>
              <w:t xml:space="preserve">未标注“▲”的</w:t>
            </w:r>
            <w:r>
              <w:rPr>
                <w:rFonts w:hint="eastAsia" w:ascii="宋体" w:hAnsi="宋体" w:eastAsia="宋体" w:cs="宋体"/>
                <w:b/>
                <w:bCs/>
                <w:color w:val="auto"/>
                <w:sz w:val="21"/>
                <w:szCs w:val="21"/>
                <w:highlight w:val="none"/>
                <w:lang w:val="en-US" w:eastAsia="zh-CN"/>
              </w:rPr>
              <w:t xml:space="preserve">一般参数应</w:t>
            </w:r>
            <w:r>
              <w:rPr>
                <w:rFonts w:hint="eastAsia" w:ascii="宋体" w:hAnsi="宋体" w:eastAsia="宋体" w:cs="宋体"/>
                <w:b/>
                <w:bCs/>
                <w:color w:val="auto"/>
                <w:sz w:val="21"/>
                <w:szCs w:val="21"/>
                <w:highlight w:val="none"/>
              </w:rPr>
              <w:t xml:space="preserve">在《技术参数响应及偏离表》</w:t>
            </w:r>
            <w:r>
              <w:rPr>
                <w:rFonts w:hint="eastAsia" w:ascii="宋体" w:hAnsi="宋体" w:eastAsia="宋体" w:cs="宋体"/>
                <w:b/>
                <w:bCs/>
                <w:color w:val="auto"/>
                <w:sz w:val="21"/>
                <w:szCs w:val="21"/>
                <w:highlight w:val="none"/>
                <w:lang w:val="en-US" w:eastAsia="zh-CN"/>
              </w:rPr>
              <w:t xml:space="preserve">中逐项说明偏离情况</w:t>
            </w:r>
            <w:r>
              <w:rPr>
                <w:rFonts w:hint="eastAsia" w:ascii="宋体" w:hAnsi="宋体" w:eastAsia="宋体" w:cs="宋体"/>
                <w:b/>
                <w:bCs/>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97"/>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b w:val="0"/>
                <w:bCs w:val="0"/>
                <w:color w:val="auto"/>
                <w:szCs w:val="21"/>
                <w:highlight w:val="none"/>
                <w:lang w:val="en-US" w:eastAsia="zh-CN"/>
              </w:rPr>
              <w:suppressLineNumbers w:val="0"/>
            </w:pPr>
            <w:r>
              <w:rPr>
                <w:rFonts w:hint="eastAsia" w:ascii="宋体" w:hAnsi="宋体" w:cs="宋体"/>
                <w:b w:val="0"/>
                <w:bCs w:val="0"/>
                <w:color w:val="auto"/>
                <w:szCs w:val="21"/>
                <w:highlight w:val="none"/>
                <w:lang w:val="en-US" w:eastAsia="zh-CN"/>
              </w:rPr>
              <w:t xml:space="preserve">30分</w:t>
            </w:r>
            <w:r/>
          </w:p>
        </w:tc>
      </w:tr>
      <w:tr>
        <w:trPr>
          <w:trHeight w:val="1469"/>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实施方案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b/>
                <w:bCs/>
                <w:color w:val="auto"/>
                <w:szCs w:val="21"/>
                <w:highlight w:val="none"/>
              </w:rPr>
              <w:suppressLineNumbers w:val="0"/>
            </w:pPr>
            <w:r>
              <w:rPr>
                <w:rFonts w:hint="eastAsia" w:asciiTheme="minorEastAsia" w:hAnsiTheme="minorEastAsia" w:eastAsiaTheme="minorEastAsia" w:cstheme="minorEastAsia"/>
                <w:b/>
                <w:bCs/>
                <w:color w:val="auto"/>
                <w:szCs w:val="21"/>
                <w:highlight w:val="none"/>
              </w:rPr>
              <w:t xml:space="preserve">根据项目需求制定整体实施方案安装方案、验收方案，评委依据方案的专业性和完善度进行综合评分。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w:t>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en-US" w:eastAsia="zh-CN" w:bidi="ar"/>
              </w:rPr>
              <w:t xml:space="preserve">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等线" w:hAnsi="等线" w:eastAsia="等线"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lang w:val="en-US" w:eastAsia="zh-CN"/>
              </w:rPr>
              <w:t xml:space="preserve">7分</w:t>
            </w:r>
            <w:r/>
          </w:p>
        </w:tc>
      </w:tr>
      <w:tr>
        <w:trPr>
          <w:trHeight w:val="1469"/>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b/>
                <w:bCs/>
                <w:color w:val="auto"/>
                <w:szCs w:val="21"/>
                <w:highlight w:val="none"/>
              </w:rPr>
              <w:suppressLineNumbers w:val="0"/>
            </w:pPr>
            <w:r>
              <w:rPr>
                <w:rFonts w:hint="eastAsia" w:asciiTheme="minorEastAsia" w:hAnsiTheme="minorEastAsia" w:eastAsiaTheme="minorEastAsia" w:cstheme="minorEastAsia"/>
                <w:b/>
                <w:bCs/>
                <w:color w:val="auto"/>
                <w:szCs w:val="21"/>
                <w:highlight w:val="none"/>
              </w:rPr>
              <w:t xml:space="preserve">根据本项目需求制定详细的售后服务计划、售后服务方案、应急技术处理等内容，评委依据方案的专业性和完善度进行综合评分。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w:t>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en-US" w:eastAsia="zh-CN" w:bidi="ar"/>
              </w:rPr>
              <w:t xml:space="preserve">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等线" w:hAnsi="等线" w:eastAsia="等线"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pStyle w:val="862"/>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lang w:val="en-US" w:eastAsia="zh-CN"/>
              </w:rPr>
              <w:t xml:space="preserve">7分</w:t>
            </w:r>
            <w:r/>
          </w:p>
        </w:tc>
      </w:tr>
      <w:tr>
        <w:trPr>
          <w:trHeight w:val="1663"/>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培训方案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b/>
                <w:bCs/>
                <w:color w:val="auto"/>
                <w:szCs w:val="21"/>
                <w:highlight w:val="none"/>
              </w:rPr>
              <w:suppressLineNumbers w:val="0"/>
            </w:pPr>
            <w:r>
              <w:rPr>
                <w:rFonts w:hint="eastAsia" w:asciiTheme="minorEastAsia" w:hAnsiTheme="minorEastAsia" w:eastAsiaTheme="minorEastAsia" w:cstheme="minorEastAsia"/>
                <w:b/>
                <w:bCs/>
                <w:color w:val="auto"/>
                <w:szCs w:val="21"/>
                <w:highlight w:val="none"/>
              </w:rPr>
              <w:t xml:space="preserve">根据本项目需求制定详细的培训方案，包括但不限于培训计划、培训内容、</w:t>
            </w:r>
            <w:r>
              <w:rPr>
                <w:rFonts w:hint="eastAsia" w:ascii="宋体" w:hAnsi="宋体" w:cs="宋体"/>
                <w:b/>
                <w:bCs/>
                <w:color w:val="auto"/>
                <w:szCs w:val="21"/>
                <w:highlight w:val="none"/>
              </w:rPr>
              <w:t xml:space="preserve">培训方式</w:t>
            </w:r>
            <w:r>
              <w:rPr>
                <w:rFonts w:hint="eastAsia" w:asciiTheme="minorEastAsia" w:hAnsiTheme="minorEastAsia" w:eastAsiaTheme="minorEastAsia" w:cstheme="minorEastAsia"/>
                <w:b/>
                <w:bCs/>
                <w:color w:val="auto"/>
                <w:szCs w:val="21"/>
                <w:highlight w:val="none"/>
              </w:rPr>
              <w:t xml:space="preserve">等内容，评委依据方案的专业性和完善度进行综合评分。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en-US" w:eastAsia="zh-CN" w:bidi="ar"/>
              </w:rPr>
              <w:t xml:space="preserve">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等线" w:hAnsi="等线" w:eastAsia="等线"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（3）方案具有明显不合理项、描述欠缺、存在实施难度得1分；</w:t>
            </w:r>
            <w:r/>
          </w:p>
          <w:p>
            <w:pPr>
              <w:pStyle w:val="862"/>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lang w:val="en-US" w:eastAsia="zh-CN"/>
              </w:rPr>
              <w:t xml:space="preserve">6分</w:t>
            </w:r>
            <w:r/>
          </w:p>
        </w:tc>
      </w:tr>
      <w:tr>
        <w:trPr>
          <w:trHeight w:val="1997"/>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62"/>
              <w:ind w:left="0" w:right="0"/>
              <w:jc w:val="center"/>
              <w:keepLines w:val="0"/>
              <w:keepNext w:val="0"/>
              <w:pageBreakBefore w:val="0"/>
              <w:spacing w:before="0" w:beforeAutospacing="0" w:after="0" w:afterAutospacing="0" w:line="240" w:lineRule="auto"/>
              <w:shd w:val="clear" w:color="auto"/>
              <w:widowControl w:val="off"/>
              <w:rPr>
                <w:rFonts w:hint="default" w:asciiTheme="minorEastAsia" w:hAnsiTheme="minorEastAsia" w:eastAsiaTheme="minorEastAsia" w:cstheme="minorEastAsia"/>
                <w:color w:val="auto"/>
                <w:szCs w:val="21"/>
                <w:highlight w:val="none"/>
                <w:lang w:val="en-US" w:eastAsia="zh-CN"/>
              </w:rPr>
              <w:suppressLineNumbers w:val="0"/>
            </w:pPr>
            <w:r>
              <w:rPr>
                <w:rFonts w:hint="eastAsia" w:asciiTheme="minorEastAsia" w:hAnsiTheme="minorEastAsia" w:eastAsiaTheme="minorEastAsia" w:cstheme="minorEastAsia"/>
                <w:color w:val="auto"/>
                <w:szCs w:val="21"/>
                <w:highlight w:val="none"/>
                <w:lang w:val="en-US" w:eastAsia="zh-CN"/>
              </w:rPr>
              <w:t xml:space="preserve">信息安全方案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根据本项目需求制定详细的安全方案，包括但不限于安全管理方案、安全技术方案、数据安全方案等内容，评委依据方案的专业性和完善度进行综合评分。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（1）方案科学、严密、合理，描述详细且具有针对性的得6分；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（2）方案基本合理、描述一般、存在可操作性得3分；</w:t>
            </w:r>
            <w:r/>
          </w:p>
          <w:p>
            <w:pPr>
              <w:pStyle w:val="878"/>
              <w:ind w:left="0" w:right="0"/>
              <w:jc w:val="both"/>
              <w:keepLines w:val="0"/>
              <w:keepNext w:val="0"/>
              <w:pageBreakBefore w:val="0"/>
              <w:spacing w:before="0" w:beforeAutospacing="0" w:after="0" w:afterAutospacing="0" w:line="240" w:lineRule="auto"/>
              <w:shd w:val="clear" w:color="auto"/>
              <w:widowControl w:val="off"/>
              <w:rPr>
                <w:rFonts w:hint="eastAsia" w:ascii="等线" w:hAnsi="等线" w:eastAsia="等线"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（3）方案具有明显不合理项、描述欠缺、存在实施难度得1分；</w:t>
            </w:r>
            <w:r/>
          </w:p>
          <w:p>
            <w:pPr>
              <w:pStyle w:val="862"/>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lang w:val="en-US" w:eastAsia="zh-CN"/>
              </w:rPr>
              <w:t xml:space="preserve">6分</w:t>
            </w:r>
            <w:r/>
          </w:p>
        </w:tc>
      </w:tr>
      <w:tr>
        <w:trPr>
          <w:trHeight w:val="1760"/>
        </w:trPr>
        <w:tc>
          <w:tcPr>
            <w:tcBorders>
              <w:top w:val="single" w:color="000000" w:sz="4" w:space="0"/>
              <w:left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企业实力</w:t>
            </w:r>
            <w:r/>
          </w:p>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b/>
                <w:bCs/>
                <w:color w:val="auto"/>
                <w:szCs w:val="21"/>
                <w:highlight w:val="none"/>
              </w:rPr>
              <w:suppressLineNumbers w:val="0"/>
            </w:pPr>
            <w:r>
              <w:rPr>
                <w:rFonts w:hint="default" w:asciiTheme="minorEastAsia" w:hAnsiTheme="minorEastAsia" w:eastAsiaTheme="minorEastAsia" w:cstheme="minorEastAsia"/>
                <w:b w:val="0"/>
                <w:bCs w:val="0"/>
                <w:color w:val="auto"/>
                <w:sz w:val="21"/>
                <w:szCs w:val="21"/>
                <w:highlight w:val="none"/>
                <w:lang w:val="en-US" w:eastAsia="zh-CN" w:bidi="ar-SA"/>
              </w:rPr>
              <w:t xml:space="preserve">（1）投标人（或所投产品制造商）具备质量管理体系认证证书、信息技术服务管理体系认证证书、信息安全管理体系认证证书的，每</w:t>
            </w:r>
            <w:r>
              <w:rPr>
                <w:rFonts w:hint="eastAsia" w:asciiTheme="minorEastAsia" w:hAnsiTheme="minorEastAsia" w:eastAsiaTheme="minorEastAsia" w:cstheme="minorEastAsia"/>
                <w:b w:val="0"/>
                <w:bCs w:val="0"/>
                <w:color w:val="auto"/>
                <w:sz w:val="21"/>
                <w:szCs w:val="21"/>
                <w:highlight w:val="none"/>
                <w:lang w:val="en-US" w:eastAsia="zh-CN" w:bidi="ar-SA"/>
              </w:rPr>
              <w:t xml:space="preserve">提供</w:t>
            </w:r>
            <w:r>
              <w:rPr>
                <w:rFonts w:hint="default" w:asciiTheme="minorEastAsia" w:hAnsiTheme="minorEastAsia" w:eastAsiaTheme="minorEastAsia" w:cstheme="minorEastAsia"/>
                <w:b w:val="0"/>
                <w:bCs w:val="0"/>
                <w:color w:val="auto"/>
                <w:sz w:val="21"/>
                <w:szCs w:val="21"/>
                <w:highlight w:val="none"/>
                <w:lang w:val="en-US" w:eastAsia="zh-CN" w:bidi="ar-SA"/>
              </w:rPr>
              <w:t xml:space="preserve">一个证书得</w:t>
            </w:r>
            <w:r>
              <w:rPr>
                <w:rFonts w:hint="eastAsia" w:asciiTheme="minorEastAsia" w:hAnsiTheme="minorEastAsia" w:eastAsiaTheme="minorEastAsia" w:cstheme="minorEastAsia"/>
                <w:b w:val="0"/>
                <w:bCs w:val="0"/>
                <w:color w:val="auto"/>
                <w:sz w:val="21"/>
                <w:szCs w:val="21"/>
                <w:highlight w:val="none"/>
                <w:lang w:val="en-US" w:eastAsia="zh-CN" w:bidi="ar-SA"/>
              </w:rPr>
              <w:t xml:space="preserve">2</w:t>
            </w:r>
            <w:r>
              <w:rPr>
                <w:rFonts w:hint="default" w:asciiTheme="minorEastAsia" w:hAnsiTheme="minorEastAsia" w:eastAsiaTheme="minorEastAsia" w:cstheme="minorEastAsia"/>
                <w:b w:val="0"/>
                <w:bCs w:val="0"/>
                <w:color w:val="auto"/>
                <w:sz w:val="21"/>
                <w:szCs w:val="21"/>
                <w:highlight w:val="none"/>
                <w:lang w:val="en-US" w:eastAsia="zh-CN" w:bidi="ar-SA"/>
              </w:rPr>
              <w:t xml:space="preserve">分，</w:t>
            </w:r>
            <w:r>
              <w:rPr>
                <w:rFonts w:hint="eastAsia" w:asciiTheme="minorEastAsia" w:hAnsiTheme="minorEastAsia" w:eastAsiaTheme="minorEastAsia" w:cstheme="minorEastAsia"/>
                <w:color w:val="auto"/>
                <w:szCs w:val="21"/>
                <w:highlight w:val="none"/>
              </w:rPr>
              <w:t xml:space="preserve">满分</w:t>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分</w:t>
            </w:r>
            <w:r>
              <w:rPr>
                <w:rFonts w:hint="default" w:asciiTheme="minorEastAsia" w:hAnsiTheme="minorEastAsia" w:eastAsia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bCs/>
                <w:color w:val="auto"/>
                <w:szCs w:val="21"/>
                <w:highlight w:val="none"/>
              </w:rPr>
              <w:t xml:space="preserve">提供有效证书扫描件</w:t>
            </w:r>
            <w:r>
              <w:rPr>
                <w:rFonts w:hint="eastAsia" w:asciiTheme="minorEastAsia" w:hAnsiTheme="minorEastAsia" w:eastAsiaTheme="minorEastAsia" w:cstheme="minorEastAsia"/>
                <w:b/>
                <w:bCs/>
                <w:color w:val="auto"/>
                <w:szCs w:val="21"/>
                <w:highlight w:val="none"/>
                <w:lang w:eastAsia="zh-CN"/>
              </w:rPr>
              <w:t xml:space="preserve">、国家认证认监委网站查询</w:t>
            </w:r>
            <w:r>
              <w:rPr>
                <w:rFonts w:hint="eastAsia" w:asciiTheme="minorEastAsia" w:hAnsiTheme="minorEastAsia" w:eastAsiaTheme="minorEastAsia" w:cstheme="minorEastAsia"/>
                <w:b/>
                <w:bCs/>
                <w:color w:val="auto"/>
                <w:szCs w:val="21"/>
                <w:highlight w:val="none"/>
                <w:lang w:val="en-US" w:eastAsia="zh-CN"/>
              </w:rPr>
              <w:t xml:space="preserve">有效</w:t>
            </w:r>
            <w:r>
              <w:rPr>
                <w:rFonts w:hint="eastAsia" w:asciiTheme="minorEastAsia" w:hAnsiTheme="minorEastAsia" w:eastAsiaTheme="minorEastAsia" w:cstheme="minorEastAsia"/>
                <w:b/>
                <w:bCs/>
                <w:color w:val="auto"/>
                <w:szCs w:val="21"/>
                <w:highlight w:val="none"/>
                <w:lang w:eastAsia="zh-CN"/>
              </w:rPr>
              <w:t xml:space="preserve">截图，</w:t>
            </w:r>
            <w:r>
              <w:rPr>
                <w:rFonts w:hint="eastAsia" w:asciiTheme="minorEastAsia" w:hAnsiTheme="minorEastAsia" w:eastAsiaTheme="minorEastAsia" w:cstheme="minorEastAsia"/>
                <w:b/>
                <w:bCs/>
                <w:color w:val="auto"/>
                <w:szCs w:val="21"/>
                <w:highlight w:val="none"/>
              </w:rPr>
              <w:t xml:space="preserve">系统上传，未提供不得分</w:t>
            </w:r>
            <w:r/>
          </w:p>
          <w:p>
            <w:pPr>
              <w:numPr>
                <w:ilvl w:val="0"/>
                <w:numId w:val="0"/>
              </w:numPr>
              <w:ind w:left="0" w:right="0"/>
              <w:keepLines w:val="0"/>
              <w:keepNext w:val="0"/>
              <w:pageBreakBefore w:val="0"/>
              <w:spacing w:before="0" w:beforeAutospacing="0" w:after="0" w:afterAutospacing="0" w:line="240" w:lineRule="auto"/>
              <w:shd w:val="clear" w:color="auto"/>
              <w:widowControl w:val="off"/>
              <w:rPr>
                <w:rFonts w:hint="default" w:asciiTheme="minorEastAsia" w:hAnsiTheme="minorEastAsia" w:eastAsiaTheme="minorEastAsia" w:cstheme="minorEastAsia"/>
                <w:b w:val="0"/>
                <w:bCs w:val="0"/>
                <w:color w:val="auto"/>
                <w:sz w:val="21"/>
                <w:szCs w:val="21"/>
                <w:highlight w:val="none"/>
                <w:lang w:val="en-US" w:eastAsia="zh-CN" w:bidi="ar-SA"/>
              </w:rPr>
              <w:suppressLineNumbers w:val="0"/>
            </w:pPr>
            <w:r>
              <w:rPr>
                <w:rFonts w:hint="default" w:asciiTheme="minorEastAsia" w:hAnsiTheme="minorEastAsia" w:eastAsiaTheme="minorEastAsia" w:cstheme="minorEastAsia"/>
                <w:b w:val="0"/>
                <w:bCs w:val="0"/>
                <w:color w:val="auto"/>
                <w:sz w:val="21"/>
                <w:szCs w:val="21"/>
                <w:highlight w:val="none"/>
                <w:lang w:val="en-US" w:eastAsia="zh-CN" w:bidi="ar-SA"/>
              </w:rPr>
              <w:t xml:space="preserve">（2）投标人（或所投产品制造商）具备与本项目系统相关的软件著作权证书</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的得2分</w:t>
            </w:r>
            <w:r>
              <w:rPr>
                <w:rFonts w:hint="default" w:asciiTheme="minorEastAsia" w:hAnsiTheme="minorEastAsia" w:eastAsiaTheme="minorEastAsia" w:cstheme="minorEastAsia"/>
                <w:b w:val="0"/>
                <w:bCs w:val="0"/>
                <w:color w:val="auto"/>
                <w:sz w:val="21"/>
                <w:szCs w:val="21"/>
                <w:highlight w:val="none"/>
                <w:lang w:val="en-US" w:eastAsia="zh-CN" w:bidi="ar-SA"/>
              </w:rPr>
              <w:t xml:space="preserve">，证书软件名称包含“</w:t>
            </w:r>
            <w:r>
              <w:rPr>
                <w:rFonts w:hint="eastAsia" w:asciiTheme="minorEastAsia" w:hAnsiTheme="minorEastAsia" w:eastAsiaTheme="minorEastAsia" w:cstheme="minorEastAsia"/>
                <w:b w:val="0"/>
                <w:bCs w:val="0"/>
                <w:color w:val="auto"/>
                <w:sz w:val="21"/>
                <w:szCs w:val="21"/>
                <w:highlight w:val="none"/>
                <w:lang w:val="en-US" w:eastAsia="zh-CN" w:bidi="ar-SA"/>
              </w:rPr>
              <w:t xml:space="preserve">数据采集</w:t>
            </w:r>
            <w:r>
              <w:rPr>
                <w:rFonts w:hint="default" w:asciiTheme="minorEastAsia" w:hAnsiTheme="minorEastAsia" w:eastAsiaTheme="minorEastAsia" w:cstheme="minorEastAsia"/>
                <w:b w:val="0"/>
                <w:bCs w:val="0"/>
                <w:color w:val="auto"/>
                <w:sz w:val="21"/>
                <w:szCs w:val="21"/>
                <w:highlight w:val="none"/>
                <w:lang w:val="en-US" w:eastAsia="zh-CN" w:bidi="ar-SA"/>
              </w:rPr>
              <w:t xml:space="preserve">”等关键词。</w:t>
            </w:r>
            <w:r>
              <w:rPr>
                <w:rFonts w:hint="eastAsia" w:asciiTheme="minorEastAsia" w:hAnsiTheme="minorEastAsia" w:eastAsiaTheme="minorEastAsia" w:cstheme="minorEastAsia"/>
                <w:b/>
                <w:bCs/>
                <w:color w:val="auto"/>
                <w:szCs w:val="21"/>
                <w:highlight w:val="none"/>
              </w:rPr>
              <w:t xml:space="preserve">提供有效证书扫描件系统上传，未提供不得分</w:t>
            </w:r>
            <w:r/>
          </w:p>
          <w:p>
            <w:pPr>
              <w:numPr>
                <w:ilvl w:val="0"/>
                <w:numId w:val="0"/>
              </w:numPr>
              <w:ind w:left="0" w:right="0"/>
              <w:keepLines w:val="0"/>
              <w:keepNext w:val="0"/>
              <w:pageBreakBefore w:val="0"/>
              <w:spacing w:before="0" w:beforeAutospacing="0" w:after="0" w:afterAutospacing="0" w:line="240" w:lineRule="auto"/>
              <w:shd w:val="clear" w:color="auto"/>
              <w:widowControl w:val="off"/>
              <w:rPr>
                <w:rFonts w:hint="default"/>
                <w:color w:val="auto"/>
                <w:highlight w:val="none"/>
              </w:rPr>
              <w:suppressLineNumbers w:val="0"/>
            </w:pPr>
            <w:r>
              <w:rPr>
                <w:rFonts w:hint="eastAsia" w:asciiTheme="minorEastAsia" w:hAnsiTheme="minorEastAsia" w:eastAsiaTheme="minorEastAsia" w:cstheme="minorEastAsia"/>
                <w:b/>
                <w:bCs/>
                <w:color w:val="auto"/>
                <w:szCs w:val="21"/>
                <w:highlight w:val="none"/>
                <w:lang w:val="en-US" w:eastAsia="zh-CN"/>
              </w:rPr>
              <w:t xml:space="preserve">（</w:t>
            </w:r>
            <w:r>
              <w:rPr>
                <w:rFonts w:hint="default" w:asciiTheme="minorEastAsia" w:hAnsiTheme="minorEastAsia" w:eastAsiaTheme="minorEastAsia" w:cstheme="minorEastAsia"/>
                <w:b/>
                <w:bCs/>
                <w:color w:val="auto"/>
                <w:sz w:val="21"/>
                <w:szCs w:val="21"/>
                <w:highlight w:val="none"/>
                <w:lang w:val="en-US" w:eastAsia="zh-CN" w:bidi="ar-SA"/>
              </w:rPr>
              <w:t xml:space="preserve">如投标文件中提供的著作权证书名称表述与招标文件描述的关键字样不一致，而该投标文件中能证明</w:t>
            </w:r>
            <w:r>
              <w:rPr>
                <w:rFonts w:hint="eastAsia" w:asciiTheme="minorEastAsia" w:hAnsiTheme="minorEastAsia" w:eastAsiaTheme="minorEastAsia" w:cstheme="minorEastAsia"/>
                <w:b/>
                <w:bCs/>
                <w:color w:val="auto"/>
                <w:sz w:val="21"/>
                <w:szCs w:val="21"/>
                <w:highlight w:val="none"/>
                <w:lang w:val="en-US" w:eastAsia="zh-CN" w:bidi="ar-SA"/>
              </w:rPr>
              <w:t xml:space="preserve">投标人</w:t>
            </w:r>
            <w:r>
              <w:rPr>
                <w:rFonts w:hint="default" w:asciiTheme="minorEastAsia" w:hAnsiTheme="minorEastAsia" w:eastAsiaTheme="minorEastAsia" w:cstheme="minorEastAsia"/>
                <w:b/>
                <w:bCs/>
                <w:color w:val="auto"/>
                <w:sz w:val="21"/>
                <w:szCs w:val="21"/>
                <w:highlight w:val="none"/>
                <w:lang w:val="en-US" w:eastAsia="zh-CN" w:bidi="ar-SA"/>
              </w:rPr>
              <w:t xml:space="preserve">拥有的软件著作权具有相同或相似功能和效果，且评标委员会认可的，视同符合要求</w:t>
            </w:r>
            <w:r>
              <w:rPr>
                <w:rFonts w:hint="eastAsia" w:asciiTheme="minorEastAsia" w:hAnsiTheme="minorEastAsia" w:eastAsiaTheme="minorEastAsia" w:cstheme="minorEastAsia"/>
                <w:b/>
                <w:bCs/>
                <w:color w:val="auto"/>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widowControl w:val="off"/>
              <w:rPr>
                <w:rFonts w:hint="default" w:asciiTheme="minorEastAsia" w:hAnsiTheme="minorEastAsia" w:eastAsiaTheme="minorEastAsia" w:cstheme="minorEastAsia"/>
                <w:b w:val="0"/>
                <w:bCs w:val="0"/>
                <w:color w:val="auto"/>
                <w:sz w:val="21"/>
                <w:szCs w:val="21"/>
                <w:highlight w:val="none"/>
                <w:lang w:val="en-US" w:eastAsia="zh-CN" w:bidi="ar-SA"/>
              </w:rPr>
              <w:suppressLineNumbers w:val="0"/>
            </w:pPr>
            <w:r>
              <w:rPr>
                <w:rFonts w:hint="eastAsia" w:asciiTheme="minorEastAsia" w:hAnsiTheme="minorEastAsia" w:eastAsiaTheme="minorEastAsia" w:cstheme="minorEastAsia"/>
                <w:b w:val="0"/>
                <w:bCs w:val="0"/>
                <w:color w:val="auto"/>
                <w:sz w:val="21"/>
                <w:szCs w:val="21"/>
                <w:highlight w:val="none"/>
                <w:lang w:val="en-US" w:eastAsia="zh-CN" w:bidi="ar-SA"/>
              </w:rPr>
              <w:t xml:space="preserve">8分</w:t>
            </w:r>
            <w:r/>
          </w:p>
        </w:tc>
      </w:tr>
      <w:tr>
        <w:trPr>
          <w:trHeight w:val="800"/>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类似业绩</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pStyle w:val="860"/>
              <w:ind w:left="0" w:right="0"/>
              <w:keepLines w:val="0"/>
              <w:keepNext w:val="0"/>
              <w:pageBreakBefore w:val="0"/>
              <w:spacing w:before="0" w:beforeAutospacing="0" w:after="0" w:afterAutospacing="0" w:line="240" w:lineRule="auto"/>
              <w:shd w:val="clear" w:color="auto"/>
              <w:widowControl w:val="off"/>
              <w:rPr>
                <w:rFonts w:hint="eastAsia" w:asciiTheme="minorEastAsia" w:hAnsiTheme="minorEastAsia" w:eastAsiaTheme="minorEastAsia" w:cstheme="minorEastAsia"/>
                <w:color w:val="auto"/>
                <w:szCs w:val="21"/>
                <w:highlight w:val="none"/>
              </w:rPr>
              <w:suppressLineNumbers w:val="0"/>
            </w:pPr>
            <w:r>
              <w:rPr>
                <w:rFonts w:hint="eastAsia" w:asciiTheme="minorEastAsia" w:hAnsiTheme="minorEastAsia" w:eastAsiaTheme="minorEastAsia" w:cstheme="minorEastAsia"/>
                <w:color w:val="auto"/>
                <w:szCs w:val="21"/>
                <w:highlight w:val="none"/>
                <w:lang w:val="en-US" w:eastAsia="zh-CN"/>
              </w:rPr>
              <w:t xml:space="preserve">投标人（或所投产品制造商）提供</w:t>
            </w:r>
            <w:r>
              <w:rPr>
                <w:rFonts w:hint="eastAsia" w:asciiTheme="minorEastAsia" w:hAnsiTheme="minorEastAsia" w:eastAsiaTheme="minorEastAsia" w:cstheme="minorEastAsia"/>
                <w:color w:val="auto"/>
                <w:szCs w:val="21"/>
                <w:highlight w:val="none"/>
              </w:rPr>
              <w:t xml:space="preserve">20</w:t>
            </w:r>
            <w:r>
              <w:rPr>
                <w:rFonts w:hint="eastAsia" w:asciiTheme="minorEastAsia" w:hAnsiTheme="minorEastAsia" w:eastAsiaTheme="minorEastAsia" w:cstheme="minorEastAsia"/>
                <w:color w:val="auto"/>
                <w:szCs w:val="21"/>
                <w:highlight w:val="none"/>
                <w:lang w:val="en-US" w:eastAsia="zh-CN"/>
              </w:rPr>
              <w:t xml:space="preserve">23</w:t>
            </w:r>
            <w:r>
              <w:rPr>
                <w:rFonts w:hint="eastAsia" w:asciiTheme="minorEastAsia" w:hAnsiTheme="minorEastAsia" w:eastAsiaTheme="minorEastAsia" w:cstheme="minorEastAsia"/>
                <w:color w:val="auto"/>
                <w:szCs w:val="21"/>
                <w:highlight w:val="none"/>
              </w:rPr>
              <w:t xml:space="preserve">年1月1日以来(以合同签订时间准)</w:t>
            </w:r>
            <w:r>
              <w:rPr>
                <w:rFonts w:hint="eastAsia" w:asciiTheme="minorEastAsia" w:hAnsiTheme="minorEastAsia" w:eastAsiaTheme="minorEastAsia" w:cstheme="minorEastAsia"/>
                <w:color w:val="auto"/>
                <w:szCs w:val="21"/>
                <w:highlight w:val="none"/>
                <w:lang w:val="en-US" w:eastAsia="zh-CN"/>
              </w:rPr>
              <w:t xml:space="preserve">与项目需求相关的业绩，例如</w:t>
            </w:r>
            <w:r>
              <w:rPr>
                <w:rFonts w:hint="eastAsia" w:asciiTheme="minorEastAsia" w:hAnsiTheme="minorEastAsia" w:eastAsiaTheme="minorEastAsia" w:cstheme="minorEastAsia"/>
                <w:color w:val="auto"/>
                <w:szCs w:val="21"/>
                <w:highlight w:val="none"/>
              </w:rPr>
              <w:t xml:space="preserve">“科研平台、专病库平台”</w:t>
            </w:r>
            <w:r>
              <w:rPr>
                <w:rFonts w:hint="eastAsia" w:asciiTheme="minorEastAsia" w:hAnsiTheme="minorEastAsia" w:eastAsiaTheme="minorEastAsia" w:cstheme="minorEastAsia"/>
                <w:color w:val="auto"/>
                <w:szCs w:val="21"/>
                <w:highlight w:val="none"/>
                <w:lang w:val="en-US" w:eastAsia="zh-CN"/>
              </w:rPr>
              <w:t xml:space="preserve">等</w:t>
            </w:r>
            <w:r>
              <w:rPr>
                <w:rFonts w:hint="eastAsia" w:asciiTheme="minorEastAsia" w:hAnsiTheme="minorEastAsia" w:eastAsiaTheme="minorEastAsia" w:cstheme="minorEastAsia"/>
                <w:color w:val="auto"/>
                <w:szCs w:val="21"/>
                <w:highlight w:val="none"/>
              </w:rPr>
              <w:t xml:space="preserve">，每提供一个</w:t>
            </w:r>
            <w:r>
              <w:rPr>
                <w:rFonts w:hint="eastAsia" w:asciiTheme="minorEastAsia" w:hAnsiTheme="minorEastAsia" w:eastAsiaTheme="minorEastAsia" w:cstheme="minorEastAsia"/>
                <w:color w:val="auto"/>
                <w:szCs w:val="21"/>
                <w:highlight w:val="none"/>
                <w:lang w:val="en-US" w:eastAsia="zh-CN"/>
              </w:rPr>
              <w:t xml:space="preserve">业绩</w:t>
            </w:r>
            <w:r>
              <w:rPr>
                <w:rFonts w:hint="eastAsia" w:asciiTheme="minorEastAsia" w:hAnsiTheme="minorEastAsia" w:eastAsiaTheme="minorEastAsia" w:cstheme="minorEastAsia"/>
                <w:color w:val="auto"/>
                <w:szCs w:val="21"/>
                <w:highlight w:val="none"/>
              </w:rPr>
              <w:t xml:space="preserve">得</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分，满分</w:t>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分。</w:t>
            </w:r>
            <w:r/>
          </w:p>
          <w:p>
            <w:pPr>
              <w:pStyle w:val="860"/>
              <w:ind w:left="0" w:right="0"/>
              <w:keepLines w:val="0"/>
              <w:keepNext w:val="0"/>
              <w:pageBreakBefore w:val="0"/>
              <w:spacing w:before="0" w:beforeAutospacing="0" w:after="0" w:afterAutospacing="0" w:line="240" w:lineRule="auto"/>
              <w:shd w:val="clear" w:color="auto"/>
              <w:widowControl w:val="off"/>
              <w:rPr>
                <w:rFonts w:hint="default" w:asciiTheme="minorEastAsia" w:hAnsiTheme="minorEastAsia" w:eastAsiaTheme="minorEastAsia" w:cstheme="minorEastAsia"/>
                <w:color w:val="auto"/>
                <w:szCs w:val="21"/>
                <w:highlight w:val="none"/>
                <w:lang w:val="en-US" w:eastAsia="zh-CN"/>
              </w:rPr>
              <w:suppressLineNumbers w:val="0"/>
            </w:pPr>
            <w:r>
              <w:rPr>
                <w:rFonts w:hint="eastAsia" w:asciiTheme="minorEastAsia" w:hAnsiTheme="minorEastAsia" w:eastAsiaTheme="minorEastAsia" w:cstheme="minorEastAsia"/>
                <w:b/>
                <w:bCs/>
                <w:color w:val="auto"/>
                <w:szCs w:val="21"/>
                <w:highlight w:val="none"/>
              </w:rPr>
              <w:t xml:space="preserve">（提供合同扫描件系统上传，合同要素至少包含签订时间、合同双方名称、合同内容、合同总价；材料不完整或者内容不清晰无法辨认或提供不全不得分）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60"/>
              <w:ind w:left="0" w:right="0"/>
              <w:jc w:val="center"/>
              <w:keepLines w:val="0"/>
              <w:keepNext w:val="0"/>
              <w:pageBreakBefore w:val="0"/>
              <w:spacing w:before="0" w:beforeAutospacing="0" w:after="0" w:afterAutospacing="0" w:line="240" w:lineRule="auto"/>
              <w:shd w:val="clear" w:color="auto"/>
              <w:widowControl w:val="off"/>
              <w:rPr>
                <w:rFonts w:hint="default" w:asciiTheme="minorEastAsia" w:hAnsiTheme="minorEastAsia" w:eastAsiaTheme="minorEastAsia" w:cstheme="minorEastAsia"/>
                <w:b/>
                <w:bCs/>
                <w:color w:val="auto"/>
                <w:szCs w:val="21"/>
                <w:highlight w:val="none"/>
                <w:lang w:val="en-US" w:eastAsia="zh-CN"/>
              </w:rPr>
              <w:suppressLineNumbers w:val="0"/>
            </w:pPr>
            <w:r>
              <w:rPr>
                <w:rFonts w:hint="eastAsia" w:asciiTheme="minorEastAsia" w:hAnsiTheme="minorEastAsia" w:eastAsiaTheme="minorEastAsia" w:cstheme="minorEastAsia"/>
                <w:b w:val="0"/>
                <w:bCs w:val="0"/>
                <w:color w:val="auto"/>
                <w:szCs w:val="21"/>
                <w:highlight w:val="none"/>
                <w:lang w:val="en-US" w:eastAsia="zh-CN"/>
              </w:rPr>
              <w:t xml:space="preserve">6分</w:t>
            </w:r>
            <w:r/>
          </w:p>
        </w:tc>
      </w:tr>
    </w:tbl>
    <w:p>
      <w:pPr>
        <w:shd w:val="clear" w:color="auto"/>
        <w:rPr>
          <w:rFonts w:hint="eastAsia"/>
          <w:color w:val="auto"/>
          <w:highlight w:val="none"/>
        </w:rPr>
      </w:pPr>
      <w:r/>
      <w:bookmarkStart w:id="90" w:name="_Toc18779"/>
      <w:r>
        <w:rPr>
          <w:rFonts w:hint="eastAsia"/>
          <w:color w:val="auto"/>
          <w:highlight w:val="none"/>
        </w:rPr>
        <w:br w:type="page" w:clear="all"/>
      </w:r>
      <w:r/>
    </w:p>
    <w:p>
      <w:pPr>
        <w:pStyle w:val="847"/>
        <w:shd w:val="clear" w:color="auto"/>
        <w:rPr>
          <w:color w:val="auto"/>
          <w:highlight w:val="none"/>
        </w:rPr>
      </w:pPr>
      <w:r>
        <w:rPr>
          <w:rFonts w:hint="eastAsia"/>
          <w:color w:val="auto"/>
          <w:highlight w:val="none"/>
        </w:rPr>
        <w:t xml:space="preserve">第六章 投标文件格式</w:t>
      </w:r>
      <w:bookmarkEnd w:id="90"/>
      <w:r>
        <w:rPr>
          <w:rFonts w:hint="eastAsia"/>
          <w:color w:val="auto"/>
          <w:highlight w:val="none"/>
        </w:rPr>
        <w:t xml:space="preserve"> </w:t>
      </w:r>
      <w:r/>
    </w:p>
    <w:p>
      <w:pPr>
        <w:shd w:val="clear" w:color="auto"/>
        <w:rPr>
          <w:rFonts w:hint="eastAsia" w:ascii="宋体" w:hAnsi="宋体" w:cs="宋体"/>
          <w:bCs/>
          <w:color w:val="auto"/>
          <w:sz w:val="44"/>
          <w:highlight w:val="none"/>
        </w:rPr>
      </w:pPr>
      <w:r>
        <w:rPr>
          <w:rFonts w:hint="eastAsia" w:ascii="宋体" w:hAnsi="宋体" w:cs="宋体"/>
          <w:bCs/>
          <w:color w:val="auto"/>
          <w:sz w:val="44"/>
          <w:highlight w:val="none"/>
        </w:rPr>
      </w:r>
      <w:r/>
    </w:p>
    <w:p>
      <w:pPr>
        <w:shd w:val="clear" w:color="auto"/>
        <w:rPr>
          <w:rFonts w:hint="eastAsia" w:ascii="宋体" w:hAnsi="宋体" w:cs="宋体"/>
          <w:bCs/>
          <w:color w:val="auto"/>
          <w:sz w:val="44"/>
          <w:highlight w:val="none"/>
        </w:rPr>
      </w:pPr>
      <w:r>
        <w:rPr>
          <w:rFonts w:hint="eastAsia" w:ascii="宋体" w:hAnsi="宋体" w:cs="宋体"/>
          <w:bCs/>
          <w:color w:val="auto"/>
          <w:sz w:val="44"/>
          <w:highlight w:val="none"/>
        </w:rPr>
      </w:r>
      <w:r/>
    </w:p>
    <w:p>
      <w:pPr>
        <w:shd w:val="clear" w:color="auto"/>
        <w:rPr>
          <w:rFonts w:hint="eastAsia" w:ascii="宋体" w:hAnsi="宋体" w:cs="宋体"/>
          <w:bCs/>
          <w:color w:val="auto"/>
          <w:sz w:val="44"/>
          <w:highlight w:val="none"/>
        </w:rPr>
      </w:pPr>
      <w:r>
        <w:rPr>
          <w:rFonts w:hint="eastAsia" w:ascii="宋体" w:hAnsi="宋体" w:cs="宋体"/>
          <w:bCs/>
          <w:color w:val="auto"/>
          <w:sz w:val="44"/>
          <w:highlight w:val="none"/>
        </w:rPr>
      </w:r>
      <w:r/>
    </w:p>
    <w:p>
      <w:pPr>
        <w:pStyle w:val="862"/>
        <w:shd w:val="clear" w:color="auto"/>
        <w:rPr>
          <w:rFonts w:hint="eastAsia" w:ascii="宋体" w:hAnsi="宋体" w:cs="宋体"/>
          <w:bCs/>
          <w:color w:val="auto"/>
          <w:sz w:val="44"/>
          <w:highlight w:val="none"/>
        </w:rPr>
      </w:pPr>
      <w:r>
        <w:rPr>
          <w:rFonts w:hint="eastAsia" w:ascii="宋体" w:hAnsi="宋体" w:cs="宋体"/>
          <w:bCs/>
          <w:color w:val="auto"/>
          <w:sz w:val="44"/>
          <w:highlight w:val="none"/>
        </w:rPr>
      </w:r>
      <w:r/>
    </w:p>
    <w:p>
      <w:pPr>
        <w:shd w:val="clear" w:color="auto"/>
        <w:rPr>
          <w:color w:val="auto"/>
          <w:highlight w:val="none"/>
        </w:rPr>
      </w:pPr>
      <w:r>
        <w:rPr>
          <w:color w:val="auto"/>
          <w:highlight w:val="none"/>
        </w:rPr>
      </w:r>
      <w:r/>
    </w:p>
    <w:p>
      <w:pPr>
        <w:jc w:val="center"/>
        <w:shd w:val="clear" w:color="auto"/>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shd w:val="clear" w:color="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hd w:val="clear" w:color="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44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shd w:val="clear" w:color="auto"/>
        <w:rPr>
          <w:rFonts w:hint="eastAsia" w:ascii="宋体" w:hAnsi="宋体" w:cs="宋体"/>
          <w:b/>
          <w:bCs/>
          <w:color w:val="auto"/>
          <w:sz w:val="32"/>
          <w:szCs w:val="3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shd w:val="clear" w:color="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投标</w:t>
      </w:r>
      <w:r>
        <w:rPr>
          <w:rFonts w:hint="eastAsia" w:ascii="宋体" w:hAnsi="宋体" w:cs="宋体"/>
          <w:b/>
          <w:bCs/>
          <w:color w:val="auto"/>
          <w:sz w:val="32"/>
          <w:szCs w:val="32"/>
          <w:highlight w:val="none"/>
          <w:lang w:val="en-US" w:eastAsia="zh-CN"/>
        </w:rPr>
        <w:t xml:space="preserve">文件的组成</w:t>
      </w:r>
      <w:r/>
    </w:p>
    <w:p>
      <w:pPr>
        <w:jc w:val="center"/>
        <w:spacing w:line="44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一、资格审查内容</w:t>
      </w:r>
      <w:r/>
    </w:p>
    <w:p>
      <w:pPr>
        <w:ind w:left="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shd w:val="clear" w:color="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八、拟投入人员一览表</w:t>
      </w:r>
      <w:r/>
    </w:p>
    <w:p>
      <w:pPr>
        <w:ind w:firstLine="480"/>
        <w:spacing w:line="360" w:lineRule="auto"/>
        <w:shd w:val="clear" w:color="auto"/>
        <w:rPr>
          <w:rFonts w:hint="eastAsia" w:ascii="宋体" w:hAnsi="宋体" w:cs="宋体"/>
          <w:color w:val="auto"/>
          <w:sz w:val="36"/>
          <w:szCs w:val="36"/>
          <w:highlight w:val="none"/>
        </w:rPr>
      </w:pPr>
      <w:r>
        <w:rPr>
          <w:rFonts w:hint="eastAsia" w:ascii="宋体" w:hAnsi="宋体" w:cs="宋体"/>
          <w:color w:val="auto"/>
          <w:sz w:val="24"/>
          <w:highlight w:val="none"/>
        </w:rPr>
        <w:t xml:space="preserve">九、其他 （投标人认为有必要提供的声明和文件，如有自拟并自行添加）</w:t>
      </w:r>
      <w:r/>
    </w:p>
    <w:p>
      <w:pPr>
        <w:contextualSpacing/>
        <w:jc w:val="center"/>
        <w:shd w:val="clear" w:color="auto"/>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shd w:val="clear" w:color="auto"/>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shd w:val="clear" w:color="auto"/>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37"/>
        <w:shd w:val="clear" w:color="auto"/>
        <w:rPr>
          <w:rFonts w:hint="eastAsia" w:ascii="宋体" w:hAnsi="宋体" w:cs="宋体"/>
          <w:b/>
          <w:bCs/>
          <w:color w:val="auto"/>
          <w:highlight w:val="none"/>
        </w:rPr>
      </w:pPr>
      <w:r>
        <w:rPr>
          <w:rFonts w:hint="eastAsia" w:ascii="宋体" w:hAnsi="宋体" w:eastAsia="宋体" w:cs="宋体"/>
          <w:color w:val="auto"/>
          <w:sz w:val="32"/>
          <w:szCs w:val="32"/>
          <w:highlight w:val="none"/>
        </w:rPr>
        <w:br w:type="page" w:clear="all"/>
      </w:r>
      <w:bookmarkStart w:id="91" w:name="_Toc20369"/>
      <w:r/>
      <w:bookmarkStart w:id="92" w:name="_Toc5792"/>
      <w:r/>
      <w:bookmarkStart w:id="93" w:name="_Toc7268"/>
      <w:r>
        <w:rPr>
          <w:rFonts w:hint="eastAsia" w:ascii="宋体" w:hAnsi="宋体" w:eastAsia="宋体" w:cs="宋体"/>
          <w:color w:val="auto"/>
          <w:sz w:val="32"/>
          <w:highlight w:val="none"/>
        </w:rPr>
        <w:t xml:space="preserve">一、资格审查</w:t>
      </w:r>
      <w:bookmarkEnd w:id="91"/>
      <w:r/>
      <w:bookmarkEnd w:id="92"/>
      <w:r/>
      <w:bookmarkEnd w:id="93"/>
      <w:r>
        <w:rPr>
          <w:rFonts w:hint="eastAsia" w:ascii="宋体" w:hAnsi="宋体" w:eastAsia="宋体" w:cs="宋体"/>
          <w:color w:val="auto"/>
          <w:sz w:val="32"/>
          <w:highlight w:val="none"/>
          <w:lang w:val="en-US" w:eastAsia="zh-CN"/>
        </w:rPr>
        <w:t xml:space="preserve">内容</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法人或者其他组织的营业执照等证明文件，自然人的身份证明；</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2024年度或2025年度的财务报告情况；（成立不满一年无需提供）</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具备履行合同所必需的设备和专业技术能力的书面声明；</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参加政府采购活动前3年内在经营活动中没有重大违法记录的书面声明；</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供应商信用承诺书；</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olor w:val="auto"/>
          <w:sz w:val="24"/>
          <w:szCs w:val="21"/>
          <w:highlight w:val="none"/>
        </w:rPr>
        <w:t xml:space="preserve">8.</w:t>
      </w:r>
      <w:r>
        <w:rPr>
          <w:rFonts w:hint="eastAsia" w:ascii="宋体" w:hAnsi="宋体"/>
          <w:color w:val="auto"/>
          <w:sz w:val="24"/>
          <w:szCs w:val="21"/>
          <w:highlight w:val="none"/>
        </w:rPr>
        <w:t xml:space="preserve">法人授权书</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投标函</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法人授权书</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中小企业声明函（如果本项目</w:t>
      </w:r>
      <w:r>
        <w:rPr>
          <w:rFonts w:ascii="宋体" w:hAnsi="宋体"/>
          <w:color w:val="auto"/>
          <w:sz w:val="24"/>
          <w:szCs w:val="21"/>
          <w:highlight w:val="none"/>
        </w:rPr>
        <w:t xml:space="preserve">专门面向中小微型企业采购，则必须提供</w:t>
      </w:r>
      <w:r>
        <w:rPr>
          <w:rFonts w:hint="eastAsia" w:ascii="宋体" w:hAnsi="宋体"/>
          <w:color w:val="auto"/>
          <w:sz w:val="24"/>
          <w:szCs w:val="21"/>
          <w:highlight w:val="none"/>
        </w:rPr>
        <w:t xml:space="preserve">）</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残疾人福利性单位声明函（如果本项目</w:t>
      </w:r>
      <w:r>
        <w:rPr>
          <w:rFonts w:ascii="宋体" w:hAnsi="宋体"/>
          <w:color w:val="auto"/>
          <w:sz w:val="24"/>
          <w:szCs w:val="21"/>
          <w:highlight w:val="none"/>
        </w:rPr>
        <w:t xml:space="preserve">专门面向中小微型企业采购，</w:t>
      </w:r>
      <w:r>
        <w:rPr>
          <w:rFonts w:hint="eastAsia" w:ascii="宋体" w:hAnsi="宋体"/>
          <w:color w:val="auto"/>
          <w:sz w:val="24"/>
          <w:szCs w:val="21"/>
          <w:highlight w:val="none"/>
        </w:rPr>
        <w:t xml:space="preserve">供应商为</w:t>
      </w:r>
      <w:r>
        <w:rPr>
          <w:rFonts w:ascii="宋体" w:hAnsi="宋体"/>
          <w:color w:val="auto"/>
          <w:sz w:val="24"/>
          <w:szCs w:val="21"/>
          <w:highlight w:val="none"/>
        </w:rPr>
        <w:t xml:space="preserve">残疾人福利性单位并</w:t>
      </w:r>
      <w:r>
        <w:rPr>
          <w:rFonts w:hint="eastAsia" w:ascii="宋体" w:hAnsi="宋体"/>
          <w:color w:val="auto"/>
          <w:sz w:val="24"/>
          <w:szCs w:val="21"/>
          <w:highlight w:val="none"/>
        </w:rPr>
        <w:t xml:space="preserve">提供本单位制造的货物，或者提供其他残疾人福利性单位制造的货物，</w:t>
      </w:r>
      <w:r>
        <w:rPr>
          <w:rFonts w:ascii="宋体" w:hAnsi="宋体"/>
          <w:color w:val="auto"/>
          <w:sz w:val="24"/>
          <w:szCs w:val="21"/>
          <w:highlight w:val="none"/>
        </w:rPr>
        <w:t xml:space="preserve">则必须提供</w:t>
      </w:r>
      <w:r>
        <w:rPr>
          <w:rFonts w:hint="eastAsia" w:ascii="宋体" w:hAnsi="宋体"/>
          <w:color w:val="auto"/>
          <w:sz w:val="24"/>
          <w:szCs w:val="21"/>
          <w:highlight w:val="none"/>
        </w:rPr>
        <w:t xml:space="preserve">）</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lang w:val="en-US" w:eastAsia="zh-CN"/>
        </w:rPr>
      </w:pPr>
      <w:r>
        <w:rPr>
          <w:rFonts w:hint="eastAsia" w:ascii="宋体" w:hAnsi="宋体"/>
          <w:color w:val="auto"/>
          <w:sz w:val="24"/>
          <w:szCs w:val="21"/>
          <w:highlight w:val="none"/>
        </w:rPr>
        <w:t xml:space="preserve">联合体协议（如果本项目接受联合体</w:t>
      </w:r>
      <w:r>
        <w:rPr>
          <w:rFonts w:ascii="宋体" w:hAnsi="宋体"/>
          <w:color w:val="auto"/>
          <w:sz w:val="24"/>
          <w:szCs w:val="21"/>
          <w:highlight w:val="none"/>
        </w:rPr>
        <w:t xml:space="preserve">参加投标，</w:t>
      </w:r>
      <w:r>
        <w:rPr>
          <w:rFonts w:hint="eastAsia" w:ascii="宋体" w:hAnsi="宋体"/>
          <w:color w:val="auto"/>
          <w:sz w:val="24"/>
          <w:szCs w:val="21"/>
          <w:highlight w:val="none"/>
        </w:rPr>
        <w:t xml:space="preserve">投标人是联合体的，</w:t>
      </w:r>
      <w:r>
        <w:rPr>
          <w:rFonts w:ascii="宋体" w:hAnsi="宋体"/>
          <w:color w:val="auto"/>
          <w:sz w:val="24"/>
          <w:szCs w:val="21"/>
          <w:highlight w:val="none"/>
        </w:rPr>
        <w:t xml:space="preserve">则必须提供</w:t>
      </w:r>
      <w:r>
        <w:rPr>
          <w:rFonts w:hint="eastAsia" w:ascii="宋体" w:hAnsi="宋体"/>
          <w:color w:val="auto"/>
          <w:sz w:val="24"/>
          <w:szCs w:val="21"/>
          <w:highlight w:val="none"/>
        </w:rPr>
        <w:t xml:space="preserve">）</w:t>
      </w:r>
      <w:r/>
    </w:p>
    <w:p>
      <w:pPr>
        <w:numPr>
          <w:ilvl w:val="0"/>
          <w:numId w:val="38"/>
        </w:numPr>
        <w:ind w:left="0" w:firstLine="480"/>
        <w:keepLines w:val="0"/>
        <w:keepNext w:val="0"/>
        <w:pageBreakBefore w:val="0"/>
        <w:spacing w:line="360" w:lineRule="auto"/>
        <w:shd w:val="clear" w:color="auto"/>
        <w:widowControl w:val="off"/>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提供承诺函</w:t>
      </w:r>
      <w:r>
        <w:rPr>
          <w:rFonts w:hint="eastAsia" w:ascii="宋体" w:hAnsi="宋体"/>
          <w:color w:val="auto"/>
          <w:sz w:val="24"/>
          <w:szCs w:val="21"/>
          <w:highlight w:val="none"/>
          <w:lang w:eastAsia="zh-CN"/>
        </w:rPr>
        <w:t xml:space="preserve">）</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凡为采购项目提供整体设计、规范编制或者项目管理、监理、检测等服务的供应商，不得再参加本项目的采购活动</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提供承诺函</w:t>
      </w:r>
      <w:r>
        <w:rPr>
          <w:rFonts w:hint="eastAsia" w:ascii="宋体" w:hAnsi="宋体"/>
          <w:color w:val="auto"/>
          <w:sz w:val="24"/>
          <w:szCs w:val="21"/>
          <w:highlight w:val="none"/>
          <w:lang w:eastAsia="zh-CN"/>
        </w:rPr>
        <w:t xml:space="preserve">）</w:t>
      </w:r>
      <w:r/>
    </w:p>
    <w:p>
      <w:pPr>
        <w:numPr>
          <w:ilvl w:val="0"/>
          <w:numId w:val="38"/>
        </w:numPr>
        <w:ind w:left="0" w:firstLine="480"/>
        <w:keepLines w:val="0"/>
        <w:keepNext w:val="0"/>
        <w:pageBreakBefore w:val="0"/>
        <w:spacing w:line="360" w:lineRule="auto"/>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法人的分支机构不得参加投标（除银行、保险、石油石化、电力、电信等行业特殊情况外）</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提供承诺函</w:t>
      </w:r>
      <w:r>
        <w:rPr>
          <w:rFonts w:hint="eastAsia" w:ascii="宋体" w:hAnsi="宋体"/>
          <w:color w:val="auto"/>
          <w:sz w:val="24"/>
          <w:szCs w:val="21"/>
          <w:highlight w:val="none"/>
          <w:lang w:eastAsia="zh-CN"/>
        </w:rPr>
        <w:t xml:space="preserve">）</w:t>
      </w:r>
      <w:r/>
    </w:p>
    <w:p>
      <w:pPr>
        <w:ind w:firstLine="480"/>
        <w:keepLines w:val="0"/>
        <w:keepNext w:val="0"/>
        <w:pageBreakBefore w:val="0"/>
        <w:spacing w:line="360" w:lineRule="auto"/>
        <w:shd w:val="clear" w:color="auto"/>
        <w:widowControl w:val="off"/>
        <w:rPr>
          <w:rFonts w:ascii="宋体" w:hAnsi="宋体"/>
          <w:color w:val="auto"/>
          <w:sz w:val="24"/>
          <w:szCs w:val="24"/>
          <w:highlight w:val="none"/>
        </w:rPr>
      </w:pPr>
      <w:r>
        <w:rPr>
          <w:rFonts w:hint="eastAsia" w:ascii="宋体" w:hAnsi="宋体"/>
          <w:color w:val="auto"/>
          <w:sz w:val="24"/>
          <w:szCs w:val="24"/>
          <w:highlight w:val="none"/>
        </w:rPr>
        <w:t xml:space="preserve">总备注：上述“资格审查内容”中1-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条、</w:t>
      </w:r>
      <w:r>
        <w:rPr>
          <w:rFonts w:ascii="宋体" w:hAnsi="宋体"/>
          <w:color w:val="auto"/>
          <w:sz w:val="24"/>
          <w:szCs w:val="24"/>
          <w:highlight w:val="none"/>
        </w:rPr>
        <w:t xml:space="preserve">8</w:t>
      </w:r>
      <w:r>
        <w:rPr>
          <w:rFonts w:hint="eastAsia" w:ascii="宋体" w:hAnsi="宋体"/>
          <w:color w:val="auto"/>
          <w:sz w:val="24"/>
          <w:szCs w:val="24"/>
          <w:highlight w:val="none"/>
        </w:rPr>
        <w:t xml:space="preserve">、9</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13、14、15</w:t>
      </w:r>
      <w:r>
        <w:rPr>
          <w:rFonts w:hint="eastAsia" w:ascii="宋体" w:hAnsi="宋体"/>
          <w:color w:val="auto"/>
          <w:sz w:val="24"/>
          <w:szCs w:val="24"/>
          <w:highlight w:val="none"/>
        </w:rPr>
        <w:t xml:space="preserve">条投标人必须在投标文件中提供相关材料，否则作无效投标处理；10、11、12条如招标文件要求必须提供相关材料而未提供的，作无效投标处理。</w:t>
      </w:r>
      <w:r/>
    </w:p>
    <w:p>
      <w:pPr>
        <w:ind w:firstLine="422"/>
        <w:keepLines w:val="0"/>
        <w:keepNext w:val="0"/>
        <w:pageBreakBefore w:val="0"/>
        <w:spacing w:before="156" w:after="156" w:line="360" w:lineRule="auto"/>
        <w:shd w:val="clear" w:color="auto"/>
        <w:widowControl w:val="off"/>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ind w:firstLine="1476"/>
        <w:spacing w:before="156" w:after="156"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shd w:val="clear" w:color="auto"/>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shd w:val="clear" w:color="auto"/>
        <w:rPr>
          <w:rFonts w:hint="eastAsia" w:ascii="宋体" w:hAnsi="宋体" w:eastAsia="宋体" w:cs="宋体"/>
          <w:b/>
          <w:color w:val="auto"/>
          <w:szCs w:val="21"/>
          <w:highlight w:val="none"/>
          <w:lang w:val="en-US" w:eastAsia="zh-CN"/>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w:t>
      </w:r>
      <w:r>
        <w:rPr>
          <w:rFonts w:hint="eastAsia" w:ascii="宋体" w:hAnsi="宋体" w:cs="宋体"/>
          <w:b/>
          <w:color w:val="auto"/>
          <w:szCs w:val="21"/>
          <w:highlight w:val="none"/>
          <w:lang w:val="en-US" w:eastAsia="zh-CN"/>
        </w:rPr>
        <w:t xml:space="preserve">书</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5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1073"/>
        <w:ind w:firstLine="0"/>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1073"/>
        <w:ind w:firstLine="420"/>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73"/>
        <w:ind w:firstLine="420"/>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73"/>
        <w:ind w:firstLine="420"/>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73"/>
        <w:ind w:firstLine="420"/>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73"/>
        <w:ind w:firstLine="420"/>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73"/>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73"/>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73"/>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73"/>
        <w:ind w:left="425" w:firstLine="105"/>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73"/>
        <w:ind w:firstLine="478"/>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73"/>
        <w:ind w:firstLine="478"/>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73"/>
        <w:ind w:firstLine="478"/>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73"/>
        <w:ind w:firstLine="478"/>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73"/>
        <w:ind w:firstLine="478"/>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73"/>
        <w:ind w:firstLine="478"/>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73"/>
        <w:ind w:firstLine="478"/>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073"/>
        <w:ind w:firstLine="478"/>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1074"/>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74"/>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74"/>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74"/>
        <w:ind w:firstLine="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74"/>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1074"/>
        <w:ind w:firstLine="420"/>
        <w:spacing w:line="360" w:lineRule="auto"/>
        <w:shd w:val="clear" w:color="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74"/>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1074"/>
        <w:ind w:firstLine="420"/>
        <w:spacing w:line="360" w:lineRule="auto"/>
        <w:shd w:val="clear" w:color="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74"/>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shd w:val="clear" w:color="auto"/>
        <w:rPr>
          <w:rFonts w:hint="eastAsia" w:ascii="宋体" w:hAnsi="宋体" w:cs="宋体"/>
          <w:bCs/>
          <w:color w:val="auto"/>
          <w:highlight w:val="none"/>
        </w:rPr>
      </w:pPr>
      <w:r>
        <w:rPr>
          <w:rFonts w:hint="eastAsia" w:ascii="宋体" w:hAnsi="宋体" w:cs="宋体"/>
          <w:bCs/>
          <w:color w:val="auto"/>
          <w:highlight w:val="none"/>
        </w:rPr>
      </w:r>
      <w:r/>
    </w:p>
    <w:p>
      <w:pPr>
        <w:spacing w:line="46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shd w:val="clear" w:color="auto"/>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法定代表人身份证复印件、被授权人身份证复印件</w:t>
      </w:r>
      <w:r/>
    </w:p>
    <w:p>
      <w:pPr>
        <w:pStyle w:val="1037"/>
        <w:shd w:val="clear" w:color="auto"/>
        <w:rPr>
          <w:rFonts w:hint="eastAsia" w:ascii="宋体" w:hAnsi="宋体" w:eastAsia="宋体" w:cs="宋体"/>
          <w:color w:val="auto"/>
          <w:sz w:val="32"/>
          <w:highlight w:val="none"/>
        </w:rPr>
      </w:pPr>
      <w:r/>
      <w:bookmarkStart w:id="94" w:name="_Toc16911"/>
      <w:r/>
      <w:bookmarkStart w:id="95" w:name="_Toc9345"/>
      <w:r/>
      <w:bookmarkStart w:id="96" w:name="_Toc20616"/>
      <w:r>
        <w:rPr>
          <w:rFonts w:hint="eastAsia" w:ascii="宋体" w:hAnsi="宋体" w:eastAsia="宋体" w:cs="宋体"/>
          <w:color w:val="auto"/>
          <w:sz w:val="32"/>
          <w:highlight w:val="none"/>
        </w:rPr>
        <w:t xml:space="preserve">二、符合性审查响应对照表</w:t>
      </w:r>
      <w:bookmarkEnd w:id="94"/>
      <w:r/>
      <w:bookmarkEnd w:id="95"/>
      <w:r/>
      <w:bookmarkEnd w:id="96"/>
      <w:r/>
      <w:r/>
    </w:p>
    <w:p>
      <w:pPr>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5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是否响应</w:t>
            </w:r>
            <w:r/>
          </w:p>
          <w:p>
            <w:pPr>
              <w:ind w:left="0" w:right="0"/>
              <w:jc w:val="center"/>
              <w:keepLines w:val="0"/>
              <w:keepNext w:val="0"/>
              <w:spacing w:before="0" w:beforeAutospacing="0" w:after="0" w:afterAutospacing="0" w:line="240" w:lineRule="atLeast"/>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响应情况</w:t>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shd w:val="clear" w:color="auto"/>
              <w:rPr>
                <w:rFonts w:hint="eastAsia" w:ascii="宋体" w:hAnsi="宋体" w:cs="宋体"/>
                <w:bCs/>
                <w:iCs/>
                <w:color w:val="auto"/>
                <w:szCs w:val="21"/>
                <w:highlight w:val="none"/>
              </w:rPr>
              <w:suppressLineNumbers w:val="0"/>
            </w:pPr>
            <w:r>
              <w:rPr>
                <w:rFonts w:hint="eastAsia" w:ascii="宋体" w:hAnsi="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shd w:val="clear" w:color="auto"/>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r>
            <w:r/>
          </w:p>
        </w:tc>
        <w:tc>
          <w:tcPr>
            <w:tcW w:w="924"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shd w:val="clear" w:color="auto"/>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r>
            <w:r/>
          </w:p>
        </w:tc>
        <w:tc>
          <w:tcPr>
            <w:tcW w:w="924"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2999" w:type="pct"/>
            <w:vAlign w:val="center"/>
            <w:textDirection w:val="lrTb"/>
            <w:noWrap w:val="false"/>
          </w:tcPr>
          <w:p>
            <w:pPr>
              <w:ind w:left="0" w:right="0"/>
              <w:keepLines w:val="0"/>
              <w:keepNext w:val="0"/>
              <w:spacing w:before="0" w:beforeAutospacing="0" w:after="0" w:afterAutospacing="0" w:line="0" w:lineRule="atLeast"/>
              <w:shd w:val="clear" w:color="auto"/>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r>
            <w:r/>
          </w:p>
        </w:tc>
        <w:tc>
          <w:tcPr>
            <w:tcW w:w="924"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W w:w="2999" w:type="pct"/>
            <w:vAlign w:val="center"/>
            <w:textDirection w:val="lrTb"/>
            <w:noWrap w:val="false"/>
          </w:tcPr>
          <w:p>
            <w:pPr>
              <w:ind w:left="0" w:right="0"/>
              <w:keepLines w:val="0"/>
              <w:keepNext w:val="0"/>
              <w:spacing w:before="0" w:beforeAutospacing="0" w:after="0" w:afterAutospacing="0" w:line="0" w:lineRule="atLeast"/>
              <w:shd w:val="clear" w:color="auto"/>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37"/>
        <w:shd w:val="clear" w:color="auto"/>
        <w:rPr>
          <w:rFonts w:hint="eastAsia" w:ascii="宋体" w:hAnsi="宋体" w:eastAsia="宋体" w:cs="宋体"/>
          <w:color w:val="auto"/>
          <w:sz w:val="32"/>
          <w:highlight w:val="none"/>
        </w:rPr>
      </w:pPr>
      <w:r/>
      <w:bookmarkStart w:id="97" w:name="_Toc23068"/>
      <w:r/>
      <w:bookmarkStart w:id="98" w:name="_Toc29406"/>
      <w:r/>
      <w:bookmarkStart w:id="99" w:name="_Toc23420"/>
      <w:r>
        <w:rPr>
          <w:rFonts w:hint="eastAsia" w:ascii="宋体" w:hAnsi="宋体" w:eastAsia="宋体" w:cs="宋体"/>
          <w:color w:val="auto"/>
          <w:sz w:val="32"/>
          <w:highlight w:val="none"/>
        </w:rPr>
        <w:t xml:space="preserve">三、非实质性响应对照表</w:t>
      </w:r>
      <w:bookmarkEnd w:id="97"/>
      <w:r/>
      <w:bookmarkEnd w:id="98"/>
      <w:r/>
      <w:bookmarkEnd w:id="99"/>
      <w:r/>
      <w:r/>
    </w:p>
    <w:p>
      <w:pPr>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5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是否响应</w:t>
            </w:r>
            <w:r/>
          </w:p>
          <w:p>
            <w:pPr>
              <w:ind w:left="0" w:right="0"/>
              <w:jc w:val="center"/>
              <w:keepLines w:val="0"/>
              <w:keepNext w:val="0"/>
              <w:spacing w:before="0" w:beforeAutospacing="0" w:after="0" w:afterAutospacing="0" w:line="240" w:lineRule="atLeast"/>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响应情况</w:t>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b/>
                <w:color w:val="auto"/>
                <w:szCs w:val="21"/>
                <w:highlight w:val="none"/>
              </w:rPr>
              <w:suppressLineNumbers w:val="0"/>
            </w:pPr>
            <w:r>
              <w:rPr>
                <w:rFonts w:hint="eastAsia" w:ascii="宋体" w:hAnsi="宋体" w:cs="宋体"/>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shd w:val="clear" w:color="auto"/>
              <w:rPr>
                <w:rFonts w:hint="eastAsia" w:ascii="宋体" w:hAnsi="宋体" w:eastAsia="宋体" w:cs="宋体"/>
                <w:iCs/>
                <w:color w:val="auto"/>
                <w:szCs w:val="21"/>
                <w:highlight w:val="none"/>
                <w:lang w:eastAsia="zh-CN"/>
              </w:rPr>
              <w:suppressLineNumbers w:val="0"/>
            </w:pPr>
            <w:r>
              <w:rPr>
                <w:rFonts w:hint="eastAsia" w:ascii="宋体" w:hAnsi="宋体" w:cs="宋体"/>
                <w:iCs/>
                <w:color w:val="auto"/>
                <w:szCs w:val="21"/>
                <w:highlight w:val="none"/>
                <w:lang w:eastAsia="zh-CN"/>
              </w:rPr>
              <w:t xml:space="preserve">《</w:t>
            </w:r>
            <w:r>
              <w:rPr>
                <w:rFonts w:hint="eastAsia" w:ascii="宋体" w:hAnsi="宋体" w:cs="宋体"/>
                <w:iCs/>
                <w:color w:val="auto"/>
                <w:szCs w:val="21"/>
                <w:highlight w:val="none"/>
                <w:lang w:val="en-US" w:eastAsia="zh-CN"/>
              </w:rPr>
              <w:t xml:space="preserve">中小企业声明函</w:t>
            </w:r>
            <w:r>
              <w:rPr>
                <w:rFonts w:hint="eastAsia" w:ascii="宋体" w:hAnsi="宋体" w:cs="宋体"/>
                <w:iCs/>
                <w:color w:val="auto"/>
                <w:szCs w:val="21"/>
                <w:highlight w:val="none"/>
                <w:lang w:eastAsia="zh-CN"/>
              </w:rPr>
              <w:t xml:space="preserve">》</w:t>
            </w:r>
            <w:r/>
          </w:p>
        </w:tc>
        <w:tc>
          <w:tcPr>
            <w:tcW w:w="924"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shd w:val="clear" w:color="auto"/>
              <w:rPr>
                <w:rFonts w:hint="eastAsia" w:ascii="宋体" w:hAnsi="宋体" w:cs="宋体"/>
                <w:iCs/>
                <w:color w:val="auto"/>
                <w:szCs w:val="21"/>
                <w:highlight w:val="none"/>
              </w:rPr>
              <w:suppressLineNumbers w:val="0"/>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shd w:val="clear" w:color="auto"/>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r>
            <w:r/>
          </w:p>
        </w:tc>
        <w:tc>
          <w:tcPr>
            <w:tcW w:w="924"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软件和信息技术服务业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shd w:val="clear" w:color="auto"/>
        <w:rPr>
          <w:rFonts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软件和信息技术服务业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3、企业声明函请完整填写，中标后将公示。</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5、声明函应涵盖本项目(分包)所有货物，否则价格不作扣除。</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shd w:val="clear" w:color="auto"/>
        <w:rPr>
          <w:rStyle w:val="1063"/>
          <w:rFonts w:hint="eastAsia" w:ascii="宋体" w:hAnsi="宋体" w:cs="宋体"/>
          <w:color w:val="auto"/>
          <w:szCs w:val="21"/>
          <w:highlight w:val="none"/>
        </w:rPr>
      </w:pPr>
      <w:r>
        <w:rPr>
          <w:rStyle w:val="1063"/>
          <w:rFonts w:hint="eastAsia" w:ascii="宋体" w:hAnsi="宋体" w:cs="宋体"/>
          <w:color w:val="auto"/>
          <w:szCs w:val="21"/>
          <w:highlight w:val="none"/>
        </w:rPr>
        <w:br w:type="page" w:clear="all"/>
      </w:r>
      <w:r/>
    </w:p>
    <w:p>
      <w:pPr>
        <w:jc w:val="center"/>
        <w:shd w:val="clear" w:color="auto"/>
        <w:rPr>
          <w:rStyle w:val="1063"/>
          <w:rFonts w:hint="eastAsia" w:ascii="宋体" w:hAnsi="宋体" w:cs="宋体"/>
          <w:color w:val="auto"/>
          <w:szCs w:val="21"/>
          <w:highlight w:val="none"/>
        </w:rPr>
      </w:pPr>
      <w:r>
        <w:rPr>
          <w:rStyle w:val="1063"/>
          <w:rFonts w:hint="eastAsia" w:ascii="宋体" w:hAnsi="宋体" w:cs="宋体"/>
          <w:color w:val="auto"/>
          <w:szCs w:val="21"/>
          <w:highlight w:val="none"/>
        </w:rPr>
        <w:t xml:space="preserve">中小微企业划型标准</w:t>
      </w:r>
      <w:r/>
    </w:p>
    <w:p>
      <w:pPr>
        <w:pStyle w:val="1058"/>
        <w:ind w:firstLine="420"/>
        <w:spacing w:before="300" w:after="452" w:line="360" w:lineRule="auto"/>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63"/>
          <w:rFonts w:hint="eastAsia" w:ascii="宋体" w:hAnsi="宋体" w:cs="宋体"/>
          <w:color w:val="auto"/>
          <w:sz w:val="21"/>
          <w:szCs w:val="21"/>
          <w:highlight w:val="none"/>
        </w:rPr>
        <w:t xml:space="preserve">中小微企业划型标准如下：</w:t>
      </w:r>
      <w:r/>
    </w:p>
    <w:tbl>
      <w:tblPr>
        <w:tblStyle w:val="857"/>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58"/>
              <w:ind w:left="0" w:right="0"/>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ind w:left="0" w:right="0" w:firstLine="42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Style w:val="1063"/>
                <w:rFonts w:hint="eastAsia" w:ascii="宋体" w:hAnsi="宋体" w:cs="宋体"/>
                <w:color w:val="auto"/>
                <w:sz w:val="21"/>
                <w:szCs w:val="21"/>
                <w:highlight w:val="none"/>
                <w:lang w:eastAsia="zh-CN"/>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shd w:val="clear" w:color="auto"/>
              <w:widowControl/>
              <w:rPr>
                <w:rFonts w:hint="eastAsia" w:ascii="宋体" w:hAnsi="宋体" w:cs="宋体"/>
                <w:color w:val="auto"/>
                <w:sz w:val="21"/>
                <w:szCs w:val="21"/>
                <w:highlight w:val="none"/>
              </w:rPr>
              <w:suppressLineNumbers w:val="0"/>
            </w:pPr>
            <w:r>
              <w:rPr>
                <w:rStyle w:val="1063"/>
                <w:rFonts w:hint="eastAsia" w:ascii="宋体" w:hAnsi="宋体" w:cs="宋体"/>
                <w:color w:val="auto"/>
                <w:sz w:val="21"/>
                <w:szCs w:val="21"/>
                <w:highlight w:val="none"/>
              </w:rPr>
              <w:t xml:space="preserve">X＜10</w:t>
            </w:r>
            <w:r/>
          </w:p>
        </w:tc>
      </w:tr>
    </w:tbl>
    <w:p>
      <w:pPr>
        <w:pStyle w:val="1058"/>
        <w:ind w:firstLine="810"/>
        <w:spacing w:before="300" w:after="452" w:line="360" w:lineRule="auto"/>
        <w:shd w:val="clear" w:color="auto"/>
        <w:widowControl/>
        <w:rPr>
          <w:rStyle w:val="1063"/>
          <w:rFonts w:hint="eastAsia" w:ascii="宋体" w:hAnsi="宋体" w:cs="宋体"/>
          <w:color w:val="auto"/>
          <w:sz w:val="21"/>
          <w:szCs w:val="21"/>
          <w:highlight w:val="none"/>
        </w:rPr>
      </w:pPr>
      <w:r>
        <w:rPr>
          <w:rStyle w:val="1063"/>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38"/>
        <w:shd w:val="clear" w:color="auto"/>
        <w:rPr>
          <w:rFonts w:hint="eastAsia" w:ascii="宋体" w:hAnsi="宋体" w:cs="宋体"/>
          <w:color w:val="auto"/>
          <w:highlight w:val="none"/>
        </w:rPr>
      </w:pPr>
      <w:r>
        <w:rPr>
          <w:rStyle w:val="1063"/>
          <w:rFonts w:hint="eastAsia" w:ascii="宋体" w:hAnsi="宋体" w:cs="宋体"/>
          <w:b w:val="0"/>
          <w:color w:val="auto"/>
          <w:sz w:val="21"/>
          <w:szCs w:val="21"/>
          <w:highlight w:val="none"/>
        </w:rPr>
        <w:br w:type="page" w:clear="all"/>
      </w:r>
      <w:r/>
    </w:p>
    <w:p>
      <w:pPr>
        <w:ind w:firstLine="2726"/>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shd w:val="clear" w:color="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80"/>
        <w:spacing w:line="400" w:lineRule="exact"/>
        <w:shd w:val="clear" w:color="auto"/>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rPr>
        <w:t xml:space="preserve">单位的采购文件编号为</w:t>
      </w:r>
      <w:r>
        <w:rPr>
          <w:rFonts w:hint="eastAsia" w:ascii="宋体" w:hAnsi="宋体"/>
          <w:color w:val="auto"/>
          <w:sz w:val="24"/>
          <w:szCs w:val="21"/>
          <w:highlight w:val="none"/>
          <w:u w:val="single"/>
          <w:lang w:val="en-US" w:eastAsia="zh-CN"/>
        </w:rPr>
        <w:t xml:space="preserve">JSZC-321000-SWGC-G2026-0021号 </w:t>
      </w:r>
      <w:r>
        <w:rPr>
          <w:rFonts w:hint="eastAsia" w:ascii="宋体" w:hAnsi="宋体"/>
          <w:color w:val="auto"/>
          <w:sz w:val="24"/>
          <w:szCs w:val="21"/>
          <w:highlight w:val="none"/>
        </w:rPr>
        <w:t xml:space="preserve">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none"/>
          <w:lang w:val="en-US" w:eastAsia="zh-CN"/>
        </w:rPr>
        <w:t xml:space="preserve">  </w:t>
      </w:r>
      <w:r>
        <w:rPr>
          <w:rFonts w:hint="eastAsia" w:ascii="宋体" w:hAnsi="宋体"/>
          <w:color w:val="auto"/>
          <w:sz w:val="24"/>
          <w:szCs w:val="21"/>
          <w:highlight w:val="none"/>
        </w:rPr>
        <w:t xml:space="preserve">项目（采购包号：**）采购活动提供本单位制造的货物，或者提供其他残疾人福利性单位制造的货物（不包括使用非残疾人福利性单位注册商标的货物）。</w:t>
      </w:r>
      <w:r/>
    </w:p>
    <w:p>
      <w:pPr>
        <w:ind w:firstLine="480"/>
        <w:spacing w:line="400" w:lineRule="exact"/>
        <w:shd w:val="clear" w:color="auto"/>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shd w:val="clear" w:color="auto"/>
        <w:rPr>
          <w:rFonts w:ascii="宋体" w:hAnsi="宋体"/>
          <w:color w:val="auto"/>
          <w:sz w:val="24"/>
          <w:szCs w:val="21"/>
          <w:highlight w:val="none"/>
        </w:rPr>
      </w:pPr>
      <w:r>
        <w:rPr>
          <w:rFonts w:ascii="宋体" w:hAnsi="宋体"/>
          <w:color w:val="auto"/>
          <w:sz w:val="24"/>
          <w:szCs w:val="21"/>
          <w:highlight w:val="none"/>
        </w:rPr>
      </w:r>
      <w:r/>
    </w:p>
    <w:p>
      <w:pPr>
        <w:ind w:firstLine="480"/>
        <w:spacing w:line="400" w:lineRule="exact"/>
        <w:shd w:val="clear" w:color="auto"/>
        <w:rPr>
          <w:rFonts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shd w:val="clear" w:color="auto"/>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shd w:val="clear" w:color="auto"/>
        <w:rPr>
          <w:rFonts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shd w:val="clear" w:color="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shd w:val="clear" w:color="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59" w:firstLine="624"/>
        <w:jc w:val="center"/>
        <w:spacing w:line="400" w:lineRule="exact"/>
        <w:shd w:val="clear" w:color="auto"/>
        <w:tabs>
          <w:tab w:val="left" w:pos="4860" w:leader="none"/>
        </w:tabs>
        <w:rPr>
          <w:rFonts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w:t>
      </w:r>
      <w:r>
        <w:rPr>
          <w:rFonts w:hint="eastAsia" w:ascii="宋体" w:hAnsi="宋体"/>
          <w:color w:val="auto"/>
          <w:sz w:val="24"/>
          <w:szCs w:val="21"/>
          <w:highlight w:val="none"/>
          <w:lang w:val="en-US" w:eastAsia="zh-CN"/>
        </w:rPr>
        <w:t xml:space="preserve">公章</w:t>
      </w:r>
      <w:r>
        <w:rPr>
          <w:rFonts w:hint="eastAsia" w:ascii="宋体" w:hAnsi="宋体"/>
          <w:color w:val="auto"/>
          <w:sz w:val="24"/>
          <w:szCs w:val="21"/>
          <w:highlight w:val="none"/>
        </w:rPr>
        <w:t xml:space="preserve">）：</w:t>
      </w:r>
      <w:r/>
    </w:p>
    <w:p>
      <w:pPr>
        <w:ind w:right="1559" w:firstLine="480"/>
        <w:jc w:val="center"/>
        <w:spacing w:line="400" w:lineRule="exact"/>
        <w:shd w:val="clear" w:color="auto"/>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7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78"/>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83"/>
          <w:rFonts w:hint="eastAsia" w:ascii="方正魏碑_GBK" w:hAnsi="方正魏碑_GBK" w:eastAsia="方正魏碑_GBK" w:cs="方正魏碑_GBK"/>
          <w:i w:val="0"/>
          <w:color w:val="auto"/>
          <w:highlight w:val="none"/>
          <w:u w:val="single"/>
          <w:shd w:val="clear" w:color="auto" w:fill="ffffff"/>
        </w:rPr>
        <w:t xml:space="preserve">（产品名称1）</w:t>
      </w:r>
      <w:r>
        <w:rPr>
          <w:rStyle w:val="883"/>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83"/>
          <w:rFonts w:hint="eastAsia" w:ascii="方正魏碑_GBK" w:hAnsi="方正魏碑_GBK" w:eastAsia="方正魏碑_GBK" w:cs="方正魏碑_GBK"/>
          <w:i w:val="0"/>
          <w:color w:val="auto"/>
          <w:highlight w:val="none"/>
          <w:u w:val="single"/>
          <w:shd w:val="clear" w:color="auto" w:fill="ffffff"/>
        </w:rPr>
        <w:t xml:space="preserve">（厂名）</w:t>
      </w:r>
      <w:r>
        <w:rPr>
          <w:rStyle w:val="883"/>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8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83"/>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83"/>
          <w:rFonts w:hint="eastAsia" w:ascii="方正魏碑_GBK" w:hAnsi="方正魏碑_GBK" w:eastAsia="方正魏碑_GBK" w:cs="方正魏碑_GBK"/>
          <w:i w:val="0"/>
          <w:color w:val="auto"/>
          <w:highlight w:val="none"/>
          <w:u w:val="single"/>
          <w:shd w:val="clear" w:color="auto" w:fill="ffffff"/>
        </w:rPr>
        <w:t xml:space="preserve">（规定</w:t>
      </w:r>
      <w:r>
        <w:rPr>
          <w:rStyle w:val="883"/>
          <w:rFonts w:ascii="方正魏碑_GBK" w:hAnsi="方正魏碑_GBK" w:eastAsia="方正魏碑_GBK" w:cs="方正魏碑_GBK"/>
          <w:i w:val="0"/>
          <w:color w:val="auto"/>
          <w:highlight w:val="none"/>
          <w:u w:val="single"/>
          <w:shd w:val="clear" w:color="auto" w:fill="ffffff"/>
        </w:rPr>
        <w:t xml:space="preserve">比例</w:t>
      </w:r>
      <w:r>
        <w:rPr>
          <w:rStyle w:val="883"/>
          <w:rFonts w:hint="eastAsia" w:ascii="方正魏碑_GBK" w:hAnsi="方正魏碑_GBK" w:eastAsia="方正魏碑_GBK" w:cs="方正魏碑_GBK"/>
          <w:i w:val="0"/>
          <w:color w:val="auto"/>
          <w:highlight w:val="none"/>
          <w:u w:val="single"/>
          <w:shd w:val="clear" w:color="auto" w:fill="ffffff"/>
        </w:rPr>
        <w:t xml:space="preserve">）</w:t>
      </w:r>
      <w:r>
        <w:rPr>
          <w:rStyle w:val="883"/>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8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3"/>
          <w:rFonts w:hint="eastAsia" w:ascii="方正魏碑_GBK" w:hAnsi="方正魏碑_GBK" w:eastAsia="方正魏碑_GBK" w:cs="方正魏碑_GBK"/>
          <w:i w:val="0"/>
          <w:color w:val="auto"/>
          <w:highlight w:val="none"/>
          <w:u w:val="single"/>
          <w:shd w:val="clear" w:color="auto" w:fill="ffffff"/>
        </w:rPr>
        <w:t xml:space="preserve">（关键</w:t>
      </w:r>
      <w:r>
        <w:rPr>
          <w:rStyle w:val="883"/>
          <w:rFonts w:ascii="方正魏碑_GBK" w:hAnsi="方正魏碑_GBK" w:eastAsia="方正魏碑_GBK" w:cs="方正魏碑_GBK"/>
          <w:i w:val="0"/>
          <w:color w:val="auto"/>
          <w:highlight w:val="none"/>
          <w:u w:val="single"/>
          <w:shd w:val="clear" w:color="auto" w:fill="ffffff"/>
        </w:rPr>
        <w:t xml:space="preserve">组件</w:t>
      </w:r>
      <w:r>
        <w:rPr>
          <w:rStyle w:val="883"/>
          <w:rFonts w:hint="eastAsia" w:ascii="方正魏碑_GBK" w:hAnsi="方正魏碑_GBK" w:eastAsia="方正魏碑_GBK" w:cs="方正魏碑_GBK"/>
          <w:i w:val="0"/>
          <w:color w:val="auto"/>
          <w:highlight w:val="none"/>
          <w:u w:val="single"/>
          <w:shd w:val="clear" w:color="auto" w:fill="ffffff"/>
        </w:rPr>
        <w:t xml:space="preserve">）</w:t>
      </w:r>
      <w:r>
        <w:rPr>
          <w:rStyle w:val="883"/>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8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3"/>
          <w:rFonts w:hint="eastAsia" w:ascii="方正魏碑_GBK" w:hAnsi="方正魏碑_GBK" w:eastAsia="方正魏碑_GBK" w:cs="方正魏碑_GBK"/>
          <w:i w:val="0"/>
          <w:color w:val="auto"/>
          <w:highlight w:val="none"/>
          <w:u w:val="single"/>
          <w:shd w:val="clear" w:color="auto" w:fill="ffffff"/>
        </w:rPr>
        <w:t xml:space="preserve">（关键工序）</w:t>
      </w:r>
      <w:r>
        <w:rPr>
          <w:rStyle w:val="883"/>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8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83"/>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8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8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83"/>
          <w:rFonts w:hint="eastAsia" w:ascii="方正魏碑_GBK" w:hAnsi="方正魏碑_GBK" w:eastAsia="方正魏碑_GBK" w:cs="方正魏碑_GBK"/>
          <w:i w:val="0"/>
          <w:color w:val="auto"/>
          <w:highlight w:val="none"/>
          <w:u w:val="single"/>
          <w:shd w:val="clear" w:color="auto" w:fill="ffffff"/>
        </w:rPr>
        <w:t xml:space="preserve">（规定</w:t>
      </w:r>
      <w:r>
        <w:rPr>
          <w:rStyle w:val="883"/>
          <w:rFonts w:ascii="方正魏碑_GBK" w:hAnsi="方正魏碑_GBK" w:eastAsia="方正魏碑_GBK" w:cs="方正魏碑_GBK"/>
          <w:i w:val="0"/>
          <w:color w:val="auto"/>
          <w:highlight w:val="none"/>
          <w:u w:val="single"/>
          <w:shd w:val="clear" w:color="auto" w:fill="ffffff"/>
        </w:rPr>
        <w:t xml:space="preserve">比例</w:t>
      </w:r>
      <w:r>
        <w:rPr>
          <w:rStyle w:val="88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8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83"/>
          <w:rFonts w:hint="eastAsia" w:ascii="方正魏碑_GBK" w:hAnsi="方正魏碑_GBK" w:eastAsia="方正魏碑_GBK" w:cs="方正魏碑_GBK"/>
          <w:i w:val="0"/>
          <w:color w:val="auto"/>
          <w:highlight w:val="none"/>
          <w:u w:val="single"/>
          <w:shd w:val="clear" w:color="auto" w:fill="ffffff"/>
        </w:rPr>
        <w:t xml:space="preserve">（关键</w:t>
      </w:r>
      <w:r>
        <w:rPr>
          <w:rStyle w:val="883"/>
          <w:rFonts w:ascii="方正魏碑_GBK" w:hAnsi="方正魏碑_GBK" w:eastAsia="方正魏碑_GBK" w:cs="方正魏碑_GBK"/>
          <w:i w:val="0"/>
          <w:color w:val="auto"/>
          <w:highlight w:val="none"/>
          <w:u w:val="single"/>
          <w:shd w:val="clear" w:color="auto" w:fill="ffffff"/>
        </w:rPr>
        <w:t xml:space="preserve">组件</w:t>
      </w:r>
      <w:r>
        <w:rPr>
          <w:rStyle w:val="88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8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3"/>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7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78"/>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78"/>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7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7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7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7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7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78"/>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78"/>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hd w:val="clear" w:color="auto"/>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100" w:name="_Toc25382"/>
      <w:r/>
      <w:bookmarkStart w:id="101" w:name="_Toc19910"/>
      <w:r>
        <w:rPr>
          <w:rFonts w:hint="eastAsia" w:ascii="宋体" w:hAnsi="宋体" w:cs="宋体"/>
          <w:b/>
          <w:bCs/>
          <w:color w:val="auto"/>
          <w:sz w:val="32"/>
          <w:szCs w:val="44"/>
          <w:highlight w:val="none"/>
        </w:rPr>
        <w:t xml:space="preserve">四、开标一览表</w:t>
      </w:r>
      <w:bookmarkEnd w:id="100"/>
      <w:r/>
      <w:bookmarkEnd w:id="101"/>
      <w:r/>
      <w:r/>
    </w:p>
    <w:p>
      <w:pPr>
        <w:ind w:firstLine="48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ind w:firstLine="48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ind w:firstLine="48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分包号(如有)： </w:t>
      </w:r>
      <w:r/>
    </w:p>
    <w:p>
      <w:pPr>
        <w:ind w:firstLine="480"/>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85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1046"/>
              <w:ind w:left="0" w:right="0"/>
              <w:jc w:val="center"/>
              <w:keepLines w:val="0"/>
              <w:keepNext w:val="0"/>
              <w:spacing w:before="0" w:beforeAutospacing="0" w:after="0" w:afterAutospacing="0" w:line="30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投标货物及服务名称</w:t>
            </w:r>
            <w:r/>
          </w:p>
        </w:tc>
        <w:tc>
          <w:tcPr>
            <w:tcW w:w="36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1046"/>
              <w:ind w:left="0" w:right="0"/>
              <w:jc w:val="center"/>
              <w:keepLines w:val="0"/>
              <w:keepNext w:val="0"/>
              <w:spacing w:before="0" w:beforeAutospacing="0" w:after="0" w:afterAutospacing="0" w:line="30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073"/>
              <w:ind w:left="0" w:right="0" w:firstLine="0"/>
              <w:keepLines w:val="0"/>
              <w:keepNext w:val="0"/>
              <w:spacing w:before="0" w:beforeAutospacing="0" w:after="0" w:afterAutospacing="0" w:line="500" w:lineRule="exact"/>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大写：</w:t>
            </w:r>
            <w:r/>
          </w:p>
          <w:p>
            <w:pPr>
              <w:pStyle w:val="1073"/>
              <w:ind w:left="0" w:right="0" w:firstLine="0"/>
              <w:keepLines w:val="0"/>
              <w:keepNext w:val="0"/>
              <w:spacing w:before="0" w:beforeAutospacing="0" w:after="0" w:afterAutospacing="0" w:line="500" w:lineRule="exact"/>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小写：                             （人民币：元）</w:t>
            </w:r>
            <w:r/>
          </w:p>
          <w:p>
            <w:pPr>
              <w:pStyle w:val="1073"/>
              <w:ind w:left="0" w:right="0" w:firstLine="0"/>
              <w:keepLines w:val="0"/>
              <w:keepNext w:val="0"/>
              <w:spacing w:before="0" w:beforeAutospacing="0" w:after="0" w:afterAutospacing="0" w:line="500" w:lineRule="exact"/>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trHeight w:val="1697"/>
        </w:trPr>
        <w:tc>
          <w:tcPr>
            <w:tcW w:w="1395" w:type="pct"/>
            <w:vAlign w:val="center"/>
            <w:textDirection w:val="lrTb"/>
            <w:noWrap w:val="false"/>
          </w:tcPr>
          <w:p>
            <w:pPr>
              <w:pStyle w:val="1046"/>
              <w:ind w:left="0" w:right="0"/>
              <w:jc w:val="center"/>
              <w:keepLines w:val="0"/>
              <w:keepNext w:val="0"/>
              <w:spacing w:before="0" w:beforeAutospacing="0" w:after="0" w:afterAutospacing="0" w:line="300" w:lineRule="auto"/>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核心产品品牌</w:t>
            </w:r>
            <w:r/>
          </w:p>
        </w:tc>
        <w:tc>
          <w:tcPr>
            <w:tcW w:w="3604" w:type="pct"/>
            <w:vAlign w:val="center"/>
            <w:textDirection w:val="lrTb"/>
            <w:noWrap w:val="false"/>
          </w:tcPr>
          <w:p>
            <w:pPr>
              <w:pStyle w:val="1073"/>
              <w:ind w:left="0" w:right="0" w:firstLine="0"/>
              <w:keepLines w:val="0"/>
              <w:keepNext w:val="0"/>
              <w:spacing w:before="0" w:beforeAutospacing="0" w:after="0" w:afterAutospacing="0" w:line="500" w:lineRule="exact"/>
              <w:shd w:val="clear" w:color="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hd w:val="clear" w:color="auto"/>
        <w:rPr>
          <w:rFonts w:hint="eastAsia" w:ascii="宋体" w:hAnsi="宋体" w:cs="宋体"/>
          <w:color w:val="auto"/>
          <w:sz w:val="32"/>
          <w:szCs w:val="32"/>
          <w:highlight w:val="none"/>
        </w:rPr>
      </w:pPr>
      <w:r>
        <w:rPr>
          <w:rFonts w:hint="eastAsia" w:ascii="宋体" w:hAnsi="宋体" w:cs="宋体"/>
          <w:color w:val="auto"/>
          <w:szCs w:val="21"/>
          <w:highlight w:val="none"/>
        </w:rPr>
        <w:t xml:space="preserve">                                          </w:t>
      </w:r>
      <w:r/>
    </w:p>
    <w:p>
      <w:pPr>
        <w:pStyle w:val="1043"/>
        <w:ind w:firstLine="640"/>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43"/>
        <w:ind w:firstLine="640"/>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hd w:val="clear" w:color="auto"/>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102" w:name="_Toc17891"/>
      <w:r/>
      <w:bookmarkStart w:id="103" w:name="_Toc20323"/>
      <w:r>
        <w:rPr>
          <w:rFonts w:hint="eastAsia" w:ascii="宋体" w:hAnsi="宋体" w:cs="宋体"/>
          <w:b/>
          <w:bCs/>
          <w:color w:val="auto"/>
          <w:sz w:val="32"/>
          <w:szCs w:val="44"/>
          <w:highlight w:val="none"/>
        </w:rPr>
        <w:t xml:space="preserve">五、投标产品配置及分项报价表</w:t>
      </w:r>
      <w:bookmarkEnd w:id="102"/>
      <w:r/>
      <w:bookmarkEnd w:id="103"/>
      <w:r/>
      <w:r/>
    </w:p>
    <w:tbl>
      <w:tblPr>
        <w:tblStyle w:val="85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65"/>
        <w:gridCol w:w="859"/>
        <w:gridCol w:w="896"/>
        <w:gridCol w:w="1014"/>
        <w:gridCol w:w="1269"/>
        <w:gridCol w:w="847"/>
        <w:gridCol w:w="924"/>
        <w:gridCol w:w="891"/>
      </w:tblGrid>
      <w:tr>
        <w:trPr>
          <w:cantSplit/>
          <w:trHeight w:val="544"/>
        </w:trPr>
        <w:tc>
          <w:tcPr>
            <w:tcW w:w="270" w:type="pct"/>
            <w:vAlign w:val="top"/>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序号</w:t>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W w:w="506"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W w:w="528"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W w:w="597"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5</w:t>
            </w:r>
            <w:r/>
          </w:p>
        </w:tc>
        <w:tc>
          <w:tcPr>
            <w:tcW w:w="747"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w:t>
            </w:r>
            <w:r/>
          </w:p>
        </w:tc>
        <w:tc>
          <w:tcPr>
            <w:tcW w:w="499"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7</w:t>
            </w:r>
            <w:r/>
          </w:p>
        </w:tc>
        <w:tc>
          <w:tcPr>
            <w:tcW w:w="544"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8</w:t>
            </w:r>
            <w:r/>
          </w:p>
        </w:tc>
        <w:tc>
          <w:tcPr>
            <w:tcW w:w="521"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9</w:t>
            </w:r>
            <w:r/>
          </w:p>
        </w:tc>
      </w:tr>
      <w:tr>
        <w:trPr>
          <w:cantSplit/>
          <w:trHeight w:val="294"/>
        </w:trPr>
        <w:tc>
          <w:tcPr>
            <w:tcW w:w="270"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产品</w:t>
            </w:r>
            <w:r/>
          </w:p>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名称</w:t>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品牌</w:t>
            </w:r>
            <w:r/>
          </w:p>
        </w:tc>
        <w:tc>
          <w:tcPr>
            <w:tcW w:w="506"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规格</w:t>
            </w:r>
            <w:r/>
          </w:p>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型号</w:t>
            </w:r>
            <w:r/>
          </w:p>
        </w:tc>
        <w:tc>
          <w:tcPr>
            <w:tcW w:w="528"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制造商名称</w:t>
            </w:r>
            <w:r/>
          </w:p>
        </w:tc>
        <w:tc>
          <w:tcPr>
            <w:tcW w:w="597"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产地</w:t>
            </w:r>
            <w:r/>
          </w:p>
        </w:tc>
        <w:tc>
          <w:tcPr>
            <w:tcW w:w="747"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交付期</w:t>
            </w:r>
            <w:r/>
          </w:p>
        </w:tc>
        <w:tc>
          <w:tcPr>
            <w:tcW w:w="499"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数量</w:t>
            </w:r>
            <w:r/>
          </w:p>
        </w:tc>
        <w:tc>
          <w:tcPr>
            <w:tcW w:w="544"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分项</w:t>
            </w:r>
            <w:r/>
          </w:p>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单价</w:t>
            </w:r>
            <w:r/>
          </w:p>
        </w:tc>
        <w:tc>
          <w:tcPr>
            <w:tcW w:w="521"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分项</w:t>
            </w:r>
            <w:r/>
          </w:p>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总价</w:t>
            </w:r>
            <w:r/>
          </w:p>
        </w:tc>
      </w:tr>
      <w:tr>
        <w:trPr>
          <w:cantSplit/>
          <w:trHeight w:val="696"/>
        </w:trPr>
        <w:tc>
          <w:tcPr>
            <w:tcW w:w="270"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06"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28"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97" w:type="pct"/>
            <w:vAlign w:val="top"/>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47"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u w:val="single"/>
              </w:rPr>
              <w:suppressLineNumbers w:val="0"/>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499"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44"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21"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724"/>
        </w:trPr>
        <w:tc>
          <w:tcPr>
            <w:tcW w:w="270"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06"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28"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97" w:type="pct"/>
            <w:vAlign w:val="top"/>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47"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499"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44"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21"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270"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06"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28"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97" w:type="pct"/>
            <w:vAlign w:val="top"/>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47"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499"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44"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21"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580"/>
        </w:trPr>
        <w:tc>
          <w:tcPr>
            <w:tcW w:w="270"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default" w:ascii="宋体" w:hAnsi="宋体"/>
                <w:color w:val="auto"/>
                <w:sz w:val="24"/>
                <w:szCs w:val="24"/>
                <w:highlight w:val="none"/>
              </w:rPr>
              <w:suppressLineNumbers w:val="0"/>
            </w:pPr>
            <w:r>
              <w:rPr>
                <w:rFonts w:hint="default" w:ascii="宋体" w:hAnsi="宋体"/>
                <w:color w:val="auto"/>
                <w:sz w:val="24"/>
                <w:szCs w:val="24"/>
                <w:highlight w:val="none"/>
              </w:rPr>
              <w:t xml:space="preserve">…</w:t>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w:t>
            </w:r>
            <w:r/>
          </w:p>
        </w:tc>
        <w:tc>
          <w:tcPr>
            <w:tcW w:w="392"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06"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28"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97" w:type="pct"/>
            <w:vAlign w:val="top"/>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47"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499"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44"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521" w:type="pct"/>
            <w:vAlign w:val="center"/>
            <w:textDirection w:val="lrTb"/>
            <w:noWrap w:val="false"/>
          </w:tcPr>
          <w:p>
            <w:pPr>
              <w:ind w:left="0" w:right="0"/>
              <w:jc w:val="center"/>
              <w:keepLines w:val="0"/>
              <w:keepNext w:val="0"/>
              <w:spacing w:before="0" w:beforeAutospacing="0" w:after="0" w:afterAutospacing="0" w:line="0" w:lineRule="atLeas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434"/>
        </w:trPr>
        <w:tc>
          <w:tcPr>
            <w:gridSpan w:val="10"/>
            <w:tcW w:w="5000" w:type="pct"/>
            <w:vAlign w:val="top"/>
            <w:textDirection w:val="lrTb"/>
            <w:noWrap w:val="false"/>
          </w:tcPr>
          <w:p>
            <w:pPr>
              <w:ind w:left="0" w:right="0"/>
              <w:keepLines w:val="0"/>
              <w:keepNext w:val="0"/>
              <w:spacing w:before="0" w:beforeAutospacing="0" w:after="0" w:afterAutospacing="0"/>
              <w:shd w:val="clear" w:color="auto"/>
              <w:rPr>
                <w:rFonts w:hint="default" w:ascii="宋体" w:hAnsi="宋体"/>
                <w:color w:val="auto"/>
                <w:sz w:val="24"/>
                <w:szCs w:val="24"/>
                <w:highlight w:val="none"/>
                <w:u w:val="single"/>
              </w:rPr>
              <w:suppressLineNumbers w:val="0"/>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p>
        </w:tc>
      </w:tr>
      <w:tr>
        <w:trPr>
          <w:cantSplit/>
          <w:trHeight w:val="767"/>
        </w:trPr>
        <w:tc>
          <w:tcPr>
            <w:gridSpan w:val="10"/>
            <w:tcW w:w="5000" w:type="pct"/>
            <w:vAlign w:val="top"/>
            <w:textDirection w:val="lrTb"/>
            <w:noWrap w:val="false"/>
          </w:tcPr>
          <w:p>
            <w:pPr>
              <w:pStyle w:val="878"/>
              <w:ind w:left="0" w:right="0"/>
              <w:keepLines w:val="0"/>
              <w:keepNext w:val="0"/>
              <w:spacing w:before="0" w:beforeAutospacing="0" w:after="0" w:afterAutospacing="0" w:line="0" w:lineRule="atLeast"/>
              <w:shd w:val="clear" w:color="auto"/>
              <w:rPr>
                <w:rFonts w:hint="eastAsia"/>
                <w:color w:val="auto"/>
                <w:highlight w:val="none"/>
              </w:rPr>
              <w:suppressLineNumbers w:val="0"/>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shd w:val="clear" w:color="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本项目投标报价须对软件部分、硬件部分分别进行报价，并按招标文件要求详细列明各项产品名称、规格型号、数量、单价、总价等内容，报价应清晰、完整、准确。</w:t>
      </w:r>
      <w:r/>
    </w:p>
    <w:p>
      <w:pP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投标报价采用总承包方式，“投标总报价”应包括所投货物（包含与货物相关的服务）费用、安装调试费、测试验收费、培训费、运行维护费用、税金、国际（如果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）国内运输保险、报关清关（如果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）、开证（如果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）、办理全套免税手续费用（如果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）及其他有关的为完成本项目发生的所有费用，招标文件中另有规定的除外。“投标总报价”数额为各“分项总价”之和。</w:t>
      </w:r>
      <w:r/>
    </w:p>
    <w:p>
      <w:pP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color w:val="auto"/>
          <w:sz w:val="24"/>
          <w:szCs w:val="24"/>
          <w:highlight w:val="none"/>
        </w:rPr>
        <w:t xml:space="preserve">“</w:t>
      </w:r>
      <w:r>
        <w:rPr>
          <w:rFonts w:hint="eastAsia" w:ascii="宋体" w:hAnsi="宋体"/>
          <w:color w:val="auto"/>
          <w:sz w:val="24"/>
          <w:szCs w:val="24"/>
          <w:highlight w:val="none"/>
        </w:rPr>
        <w:t xml:space="preserve">投标分项报价表</w:t>
      </w:r>
      <w:r>
        <w:rPr>
          <w:rFonts w:hint="eastAsia"/>
          <w:color w:val="auto"/>
          <w:sz w:val="24"/>
          <w:szCs w:val="24"/>
          <w:highlight w:val="none"/>
        </w:rPr>
        <w:t xml:space="preserve">”</w:t>
      </w:r>
      <w:r>
        <w:rPr>
          <w:rFonts w:hint="eastAsia" w:ascii="宋体" w:hAnsi="宋体"/>
          <w:color w:val="auto"/>
          <w:sz w:val="24"/>
          <w:szCs w:val="24"/>
          <w:highlight w:val="none"/>
        </w:rPr>
        <w:t xml:space="preserve">中“投标总报价”数额应当与“开标一览表”中“投标总报价”数额一致。</w:t>
      </w:r>
      <w:r/>
    </w:p>
    <w:p>
      <w:pPr>
        <w:spacing w:line="400" w:lineRule="exact"/>
        <w:shd w:val="clear" w:color="auto"/>
        <w:rPr>
          <w:rFonts w:hint="eastAsia" w:ascii="宋体" w:hAnsi="宋体"/>
          <w:color w:val="auto"/>
          <w:sz w:val="24"/>
          <w:szCs w:val="24"/>
          <w:highlight w:val="none"/>
        </w:rPr>
      </w:pPr>
      <w:r>
        <w:rPr>
          <w:rFonts w:hint="eastAsia" w:ascii="方正魏碑_GBK" w:hAnsi="方正魏碑_GBK" w:eastAsia="方正魏碑_GBK" w:cs="方正魏碑_GBK"/>
          <w:color w:val="auto"/>
          <w:sz w:val="24"/>
          <w:szCs w:val="24"/>
          <w:highlight w:val="none"/>
          <w:lang w:val="en-US" w:eastAsia="zh-CN"/>
        </w:rPr>
        <w:t xml:space="preserve">4</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pStyle w:val="1037"/>
        <w:shd w:val="clear" w:color="auto"/>
        <w:rPr>
          <w:rFonts w:hint="eastAsia" w:ascii="宋体" w:hAnsi="宋体" w:eastAsia="宋体" w:cs="宋体"/>
          <w:color w:val="auto"/>
          <w:sz w:val="32"/>
          <w:highlight w:val="none"/>
        </w:rPr>
      </w:pPr>
      <w:r/>
      <w:bookmarkStart w:id="104" w:name="_Toc16517"/>
      <w:r/>
      <w:bookmarkStart w:id="105" w:name="_Toc5967"/>
      <w:r/>
      <w:bookmarkStart w:id="106" w:name="_Toc9678"/>
      <w:r>
        <w:rPr>
          <w:rFonts w:hint="eastAsia" w:ascii="宋体" w:hAnsi="宋体" w:eastAsia="宋体" w:cs="宋体"/>
          <w:color w:val="auto"/>
          <w:sz w:val="32"/>
          <w:highlight w:val="none"/>
        </w:rPr>
        <w:t xml:space="preserve">六、技术参数响应及偏离表</w:t>
      </w:r>
      <w:bookmarkEnd w:id="104"/>
      <w:r/>
      <w:bookmarkEnd w:id="105"/>
      <w:r/>
      <w:bookmarkEnd w:id="106"/>
      <w:r/>
      <w:r/>
    </w:p>
    <w:tbl>
      <w:tblPr>
        <w:tblStyle w:val="857"/>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255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招标要求</w:t>
            </w:r>
            <w:r/>
          </w:p>
        </w:tc>
        <w:tc>
          <w:tcPr>
            <w:tcW w:w="2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投标响应</w:t>
            </w:r>
            <w:r/>
          </w:p>
        </w:tc>
        <w:tc>
          <w:tcPr>
            <w:tcW w:w="1458"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超出、符合或偏离</w:t>
            </w:r>
            <w:r/>
          </w:p>
        </w:tc>
        <w:tc>
          <w:tcPr>
            <w:tcW w:w="1210"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注：1、按照基本技术要求详细填列。</w:t>
      </w:r>
      <w:r/>
    </w:p>
    <w:p>
      <w:pPr>
        <w:ind w:firstLine="480"/>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2、行数不够，可自行添加。</w:t>
      </w:r>
      <w:r/>
    </w:p>
    <w:p>
      <w:pPr>
        <w:jc w:val="center"/>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shd w:val="clear" w:color="auto"/>
        <w:rPr>
          <w:rFonts w:hint="eastAsia" w:ascii="宋体" w:hAnsi="宋体" w:cs="宋体"/>
          <w:color w:val="auto"/>
          <w:sz w:val="32"/>
          <w:highlight w:val="none"/>
        </w:rPr>
      </w:pPr>
      <w:r>
        <w:rPr>
          <w:rFonts w:hint="eastAsia" w:ascii="宋体" w:hAnsi="宋体" w:cs="宋体"/>
          <w:color w:val="auto"/>
          <w:sz w:val="32"/>
          <w:highlight w:val="none"/>
        </w:rPr>
      </w:r>
      <w:r/>
    </w:p>
    <w:p>
      <w:pPr>
        <w:shd w:val="clear" w:color="auto"/>
        <w:rPr>
          <w:rFonts w:hint="eastAsia" w:ascii="宋体" w:hAnsi="宋体" w:cs="宋体"/>
          <w:color w:val="auto"/>
          <w:sz w:val="32"/>
          <w:highlight w:val="none"/>
        </w:rPr>
      </w:pPr>
      <w:r>
        <w:rPr>
          <w:rFonts w:hint="eastAsia" w:ascii="宋体" w:hAnsi="宋体" w:cs="宋体"/>
          <w:color w:val="auto"/>
          <w:sz w:val="32"/>
          <w:highlight w:val="none"/>
        </w:rPr>
      </w:r>
      <w:r/>
    </w:p>
    <w:p>
      <w:pPr>
        <w:jc w:val="center"/>
        <w:shd w:val="clear" w:color="auto"/>
        <w:rPr>
          <w:rFonts w:hint="eastAsia" w:ascii="宋体" w:hAnsi="宋体" w:cs="宋体"/>
          <w:color w:val="auto"/>
          <w:sz w:val="32"/>
          <w:highlight w:val="none"/>
        </w:rPr>
      </w:pPr>
      <w:r/>
      <w:bookmarkStart w:id="123" w:name="_GoBack"/>
      <w:r/>
      <w:bookmarkEnd w:id="123"/>
      <w:r>
        <w:rPr>
          <w:rFonts w:hint="eastAsia" w:ascii="宋体" w:hAnsi="宋体" w:cs="宋体"/>
          <w:color w:val="auto"/>
          <w:sz w:val="32"/>
          <w:highlight w:val="none"/>
        </w:rPr>
        <w:br w:type="page" w:clear="all"/>
      </w:r>
      <w:bookmarkStart w:id="107" w:name="_Hlt26955054"/>
      <w:r/>
      <w:bookmarkEnd w:id="107"/>
      <w:r/>
      <w:bookmarkStart w:id="108" w:name="_Toc32154"/>
      <w:r/>
      <w:bookmarkStart w:id="109" w:name="_Toc16820"/>
      <w:r>
        <w:rPr>
          <w:rFonts w:hint="eastAsia" w:ascii="宋体" w:hAnsi="宋体" w:cs="宋体"/>
          <w:b/>
          <w:bCs/>
          <w:color w:val="auto"/>
          <w:sz w:val="32"/>
          <w:szCs w:val="44"/>
          <w:highlight w:val="none"/>
        </w:rPr>
        <w:t xml:space="preserve">七、商务条款响应及偏离表</w:t>
      </w:r>
      <w:bookmarkEnd w:id="108"/>
      <w:r/>
      <w:bookmarkEnd w:id="109"/>
      <w:r/>
      <w:r/>
    </w:p>
    <w:tbl>
      <w:tblPr>
        <w:tblStyle w:val="857"/>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vAlign w:val="center"/>
            <w:textDirection w:val="lrTb"/>
            <w:noWrap w:val="false"/>
          </w:tcPr>
          <w:p>
            <w:pPr>
              <w:ind w:left="0" w:right="0"/>
              <w:jc w:val="center"/>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bookmarkStart w:id="110" w:name="_Hlt26782999"/>
            <w:r/>
            <w:bookmarkEnd w:id="110"/>
            <w:r/>
            <w:bookmarkStart w:id="111" w:name="_Hlt26671343"/>
            <w:r/>
            <w:bookmarkEnd w:id="111"/>
            <w:r/>
            <w:bookmarkStart w:id="112" w:name="_Hlt26580838"/>
            <w:r/>
            <w:bookmarkEnd w:id="112"/>
            <w:r/>
            <w:bookmarkStart w:id="113" w:name="_Hlt26955064"/>
            <w:r/>
            <w:bookmarkEnd w:id="113"/>
            <w:r/>
            <w:bookmarkStart w:id="114" w:name="_Hlt26609391"/>
            <w:r/>
            <w:bookmarkEnd w:id="114"/>
            <w:r/>
            <w:bookmarkStart w:id="115" w:name="_Hlt26955056"/>
            <w:r/>
            <w:bookmarkEnd w:id="115"/>
            <w:r/>
            <w:bookmarkStart w:id="116" w:name="_Hlt26671372"/>
            <w:r/>
            <w:bookmarkEnd w:id="116"/>
            <w:r/>
            <w:bookmarkStart w:id="117" w:name="_Hlt24879081"/>
            <w:r/>
            <w:bookmarkEnd w:id="117"/>
            <w:r>
              <w:rPr>
                <w:rFonts w:hint="eastAsia" w:ascii="宋体" w:hAnsi="宋体" w:cs="宋体"/>
                <w:color w:val="auto"/>
                <w:szCs w:val="21"/>
                <w:highlight w:val="none"/>
              </w:rPr>
              <w:t xml:space="preserve">项目</w:t>
            </w:r>
            <w:r/>
          </w:p>
        </w:tc>
        <w:tc>
          <w:tcPr>
            <w:tcW w:w="2122"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招标文件要求</w:t>
            </w:r>
            <w:r/>
          </w:p>
        </w:tc>
        <w:tc>
          <w:tcPr>
            <w:tcW w:w="1800"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是否响应</w:t>
            </w:r>
            <w:r/>
          </w:p>
        </w:tc>
        <w:tc>
          <w:tcPr>
            <w:tcW w:w="2561"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投标人的承诺或说明</w:t>
            </w:r>
            <w:r/>
          </w:p>
        </w:tc>
      </w:tr>
      <w:tr>
        <w:trPr>
          <w:trHeight w:val="624"/>
        </w:trPr>
        <w:tc>
          <w:tcPr>
            <w:tcW w:w="1935" w:type="dxa"/>
            <w:vAlign w:val="center"/>
            <w:textDirection w:val="lrTb"/>
            <w:noWrap w:val="false"/>
          </w:tcPr>
          <w:p>
            <w:pPr>
              <w:ind w:left="0" w:right="0"/>
              <w:jc w:val="center"/>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质保期</w:t>
            </w:r>
            <w:r/>
          </w:p>
        </w:tc>
        <w:tc>
          <w:tcPr>
            <w:tcW w:w="2122"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950"/>
        </w:trPr>
        <w:tc>
          <w:tcPr>
            <w:tcW w:w="1935" w:type="dxa"/>
            <w:vAlign w:val="center"/>
            <w:textDirection w:val="lrTb"/>
            <w:noWrap w:val="false"/>
          </w:tcPr>
          <w:p>
            <w:pPr>
              <w:ind w:left="0" w:right="0"/>
              <w:jc w:val="center"/>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售后技术服务要求</w:t>
            </w:r>
            <w:r/>
          </w:p>
        </w:tc>
        <w:tc>
          <w:tcPr>
            <w:tcW w:w="2122"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717"/>
        </w:trPr>
        <w:tc>
          <w:tcPr>
            <w:tcW w:w="1935" w:type="dxa"/>
            <w:vAlign w:val="center"/>
            <w:textDirection w:val="lrTb"/>
            <w:noWrap w:val="false"/>
          </w:tcPr>
          <w:p>
            <w:pPr>
              <w:ind w:left="0" w:right="0"/>
              <w:jc w:val="center"/>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交付时间</w:t>
            </w:r>
            <w:r/>
          </w:p>
        </w:tc>
        <w:tc>
          <w:tcPr>
            <w:tcW w:w="2122"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vAlign w:val="center"/>
            <w:textDirection w:val="lrTb"/>
            <w:noWrap w:val="false"/>
          </w:tcPr>
          <w:p>
            <w:pPr>
              <w:ind w:left="43"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vAlign w:val="center"/>
            <w:textDirection w:val="lrTb"/>
            <w:noWrap w:val="false"/>
          </w:tcPr>
          <w:p>
            <w:pPr>
              <w:ind w:left="43"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6"/>
        </w:trPr>
        <w:tc>
          <w:tcPr>
            <w:tcW w:w="1935" w:type="dxa"/>
            <w:vAlign w:val="center"/>
            <w:textDirection w:val="lrTb"/>
            <w:noWrap w:val="false"/>
          </w:tcPr>
          <w:p>
            <w:pPr>
              <w:ind w:left="0" w:right="0"/>
              <w:jc w:val="center"/>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交货方式</w:t>
            </w:r>
            <w:r/>
          </w:p>
        </w:tc>
        <w:tc>
          <w:tcPr>
            <w:tcW w:w="2122"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vAlign w:val="center"/>
            <w:textDirection w:val="lrTb"/>
            <w:noWrap w:val="false"/>
          </w:tcPr>
          <w:p>
            <w:pPr>
              <w:ind w:left="43"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vAlign w:val="center"/>
            <w:textDirection w:val="lrTb"/>
            <w:noWrap w:val="false"/>
          </w:tcPr>
          <w:p>
            <w:pPr>
              <w:ind w:left="43"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13"/>
        </w:trPr>
        <w:tc>
          <w:tcPr>
            <w:tcW w:w="1935" w:type="dxa"/>
            <w:vAlign w:val="center"/>
            <w:textDirection w:val="lrTb"/>
            <w:noWrap w:val="false"/>
          </w:tcPr>
          <w:p>
            <w:pPr>
              <w:ind w:left="0" w:right="0"/>
              <w:jc w:val="center"/>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交货地点</w:t>
            </w:r>
            <w:r/>
          </w:p>
        </w:tc>
        <w:tc>
          <w:tcPr>
            <w:tcW w:w="2122"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vAlign w:val="center"/>
            <w:textDirection w:val="lrTb"/>
            <w:noWrap w:val="false"/>
          </w:tcPr>
          <w:p>
            <w:pPr>
              <w:ind w:left="43"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vAlign w:val="center"/>
            <w:textDirection w:val="lrTb"/>
            <w:noWrap w:val="false"/>
          </w:tcPr>
          <w:p>
            <w:pPr>
              <w:ind w:left="43"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4"/>
        </w:trPr>
        <w:tc>
          <w:tcPr>
            <w:tcW w:w="1935" w:type="dxa"/>
            <w:vAlign w:val="center"/>
            <w:textDirection w:val="lrTb"/>
            <w:noWrap w:val="false"/>
          </w:tcPr>
          <w:p>
            <w:pPr>
              <w:ind w:left="0" w:right="0"/>
              <w:jc w:val="center"/>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付款方式</w:t>
            </w:r>
            <w:r/>
          </w:p>
        </w:tc>
        <w:tc>
          <w:tcPr>
            <w:tcW w:w="2122"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vAlign w:val="center"/>
            <w:textDirection w:val="lrTb"/>
            <w:noWrap w:val="false"/>
          </w:tcPr>
          <w:p>
            <w:pPr>
              <w:ind w:left="0" w:right="0"/>
              <w:jc w:val="both"/>
              <w:keepLines w:val="0"/>
              <w:keepNext w:val="0"/>
              <w:spacing w:before="156" w:beforeAutospacing="0" w:after="0" w:afterAutospacing="0"/>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spacing w:line="48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shd w:val="clear" w:color="auto"/>
        <w:rPr>
          <w:rFonts w:hint="eastAsia" w:ascii="宋体" w:hAnsi="宋体" w:cs="宋体"/>
          <w:color w:val="auto"/>
          <w:sz w:val="30"/>
          <w:highlight w:val="none"/>
        </w:rPr>
      </w:pPr>
      <w:r>
        <w:rPr>
          <w:rFonts w:hint="eastAsia" w:ascii="宋体" w:hAnsi="宋体" w:cs="宋体"/>
          <w:color w:val="auto"/>
          <w:sz w:val="30"/>
          <w:highlight w:val="none"/>
        </w:rPr>
      </w:r>
      <w:r/>
    </w:p>
    <w:p>
      <w:pPr>
        <w:pStyle w:val="1043"/>
        <w:ind w:firstLine="480"/>
        <w:shd w:val="clear" w:color="auto"/>
        <w:rPr>
          <w:rFonts w:hint="eastAsia" w:ascii="宋体" w:hAnsi="宋体" w:cs="宋体"/>
          <w:color w:val="auto"/>
          <w:sz w:val="24"/>
          <w:highlight w:val="none"/>
        </w:rPr>
      </w:pPr>
      <w:r/>
      <w:bookmarkStart w:id="118" w:name="_Hlt26609389"/>
      <w:r/>
      <w:bookmarkEnd w:id="118"/>
      <w:r/>
      <w:bookmarkStart w:id="119" w:name="_Hlt26955066"/>
      <w:r/>
      <w:bookmarkEnd w:id="119"/>
      <w:r/>
      <w:bookmarkStart w:id="120" w:name="_Hlt26671374"/>
      <w:r/>
      <w:bookmarkEnd w:id="120"/>
      <w:r/>
      <w:bookmarkStart w:id="121" w:name="_Toc462564146"/>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jc w:val="center"/>
        <w:shd w:val="clear" w:color="auto"/>
        <w:rPr>
          <w:rFonts w:hint="eastAsia" w:ascii="宋体" w:hAnsi="宋体" w:cs="宋体"/>
          <w:b/>
          <w:bCs/>
          <w:color w:val="auto"/>
          <w:sz w:val="32"/>
          <w:szCs w:val="44"/>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44"/>
          <w:highlight w:val="none"/>
        </w:rPr>
        <w:t xml:space="preserve">八、拟投入人员一览表</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left="0" w:right="-2"/>
              <w:jc w:val="center"/>
              <w:keepLines w:val="0"/>
              <w:keepNext w:val="0"/>
              <w:spacing w:before="312"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743" w:type="dxa"/>
            <w:vAlign w:val="center"/>
            <w:textDirection w:val="lrTb"/>
            <w:noWrap w:val="false"/>
          </w:tcPr>
          <w:p>
            <w:pPr>
              <w:ind w:left="0" w:right="-2"/>
              <w:jc w:val="center"/>
              <w:keepLines w:val="0"/>
              <w:keepNext w:val="0"/>
              <w:spacing w:before="312"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岗位</w:t>
            </w:r>
            <w:r/>
          </w:p>
        </w:tc>
        <w:tc>
          <w:tcPr>
            <w:tcW w:w="744" w:type="dxa"/>
            <w:vAlign w:val="center"/>
            <w:textDirection w:val="lrTb"/>
            <w:noWrap w:val="false"/>
          </w:tcPr>
          <w:p>
            <w:pPr>
              <w:ind w:left="0" w:right="-2"/>
              <w:jc w:val="center"/>
              <w:keepLines w:val="0"/>
              <w:keepNext w:val="0"/>
              <w:spacing w:before="312"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姓 名</w:t>
            </w:r>
            <w:r/>
          </w:p>
        </w:tc>
        <w:tc>
          <w:tcPr>
            <w:tcW w:w="801" w:type="dxa"/>
            <w:vAlign w:val="center"/>
            <w:textDirection w:val="lrTb"/>
            <w:noWrap w:val="false"/>
          </w:tcPr>
          <w:p>
            <w:pPr>
              <w:ind w:left="0" w:right="-2"/>
              <w:jc w:val="center"/>
              <w:keepLines w:val="0"/>
              <w:keepNext w:val="0"/>
              <w:spacing w:before="312"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性别</w:t>
            </w:r>
            <w:r/>
          </w:p>
        </w:tc>
        <w:tc>
          <w:tcPr>
            <w:tcW w:w="727" w:type="dxa"/>
            <w:vAlign w:val="center"/>
            <w:textDirection w:val="lrTb"/>
            <w:noWrap w:val="false"/>
          </w:tcPr>
          <w:p>
            <w:pPr>
              <w:ind w:left="0" w:right="-2"/>
              <w:jc w:val="center"/>
              <w:keepLines w:val="0"/>
              <w:keepNext w:val="0"/>
              <w:spacing w:before="312"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学历</w:t>
            </w:r>
            <w:r/>
          </w:p>
        </w:tc>
        <w:tc>
          <w:tcPr>
            <w:tcW w:w="1365" w:type="dxa"/>
            <w:vAlign w:val="center"/>
            <w:textDirection w:val="lrTb"/>
            <w:noWrap w:val="false"/>
          </w:tcPr>
          <w:p>
            <w:pPr>
              <w:ind w:left="0" w:right="-2"/>
              <w:jc w:val="center"/>
              <w:keepLines w:val="0"/>
              <w:keepNext w:val="0"/>
              <w:spacing w:before="312"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left="0" w:right="-2"/>
              <w:jc w:val="center"/>
              <w:keepLines w:val="0"/>
              <w:keepNext w:val="0"/>
              <w:spacing w:before="312"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专业</w:t>
            </w:r>
            <w:r/>
          </w:p>
        </w:tc>
        <w:tc>
          <w:tcPr>
            <w:tcW w:w="1573" w:type="dxa"/>
            <w:vAlign w:val="center"/>
            <w:textDirection w:val="lrTb"/>
            <w:noWrap w:val="false"/>
          </w:tcPr>
          <w:p>
            <w:pPr>
              <w:ind w:left="0" w:right="-2"/>
              <w:jc w:val="center"/>
              <w:keepLines w:val="0"/>
              <w:keepNext w:val="0"/>
              <w:spacing w:before="312"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left="0" w:right="-2"/>
              <w:jc w:val="center"/>
              <w:keepLines w:val="0"/>
              <w:keepNext w:val="0"/>
              <w:spacing w:before="312"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83"/>
        </w:trPr>
        <w:tc>
          <w:tcPr>
            <w:tcW w:w="676"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shd w:val="clear" w:color="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pStyle w:val="1043"/>
        <w:ind w:firstLine="480"/>
        <w:shd w:val="clear" w:color="auto"/>
        <w:rPr>
          <w:rFonts w:hint="eastAsia" w:ascii="宋体" w:hAnsi="宋体" w:cs="宋体"/>
          <w:color w:val="auto"/>
          <w:sz w:val="24"/>
          <w:highlight w:val="none"/>
        </w:rPr>
      </w:pPr>
      <w:r>
        <w:rPr>
          <w:rFonts w:hint="eastAsia" w:ascii="宋体" w:hAnsi="宋体" w:cs="宋体"/>
          <w:color w:val="auto"/>
          <w:sz w:val="24"/>
          <w:highlight w:val="none"/>
        </w:rPr>
      </w:r>
      <w:bookmarkEnd w:id="121"/>
      <w:r/>
      <w:r/>
    </w:p>
    <w:p>
      <w:pPr>
        <w:jc w:val="center"/>
        <w:shd w:val="clear" w:color="auto"/>
        <w:widowControl/>
        <w:rPr>
          <w:rFonts w:hint="eastAsia" w:ascii="宋体" w:hAnsi="宋体" w:cs="宋体"/>
          <w:b/>
          <w:color w:val="auto"/>
          <w:highlight w:val="none"/>
        </w:rPr>
      </w:pPr>
      <w:r/>
      <w:bookmarkStart w:id="122" w:name="_格式2__法定代表人授权书"/>
      <w:r/>
      <w:bookmarkEnd w:id="122"/>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主要标的信息（中标后将公示）</w:t>
      </w:r>
      <w:r/>
    </w:p>
    <w:p>
      <w:pPr>
        <w:spacing w:after="312" w:line="360" w:lineRule="auto"/>
        <w:shd w:val="clear" w:color="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85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highlight w:val="none"/>
              </w:rPr>
              <w:suppressLineNumbers w:val="0"/>
            </w:pPr>
            <w:r>
              <w:rPr>
                <w:rFonts w:hint="eastAsia" w:ascii="宋体" w:hAnsi="宋体" w:cs="宋体"/>
                <w:color w:val="auto"/>
                <w:highlight w:val="none"/>
              </w:rPr>
              <w:t xml:space="preserve">货物类</w:t>
            </w:r>
            <w:r/>
          </w:p>
        </w:tc>
        <w:tc>
          <w:tcPr>
            <w:tcW w:w="3780"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highlight w:val="none"/>
              </w:rPr>
              <w:suppressLineNumbers w:val="0"/>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ind w:left="0" w:right="0"/>
              <w:keepLines w:val="0"/>
              <w:keepNext w:val="0"/>
              <w:spacing w:before="0" w:beforeAutospacing="0" w:after="0" w:afterAutospacing="0" w:line="360" w:lineRule="auto"/>
              <w:shd w:val="clear" w:color="auto"/>
              <w:rPr>
                <w:rFonts w:hint="eastAsia" w:ascii="宋体" w:hAnsi="宋体" w:cs="宋体"/>
                <w:color w:val="auto"/>
                <w:highlight w:val="none"/>
              </w:rPr>
              <w:suppressLineNumbers w:val="0"/>
            </w:pPr>
            <w:r>
              <w:rPr>
                <w:rFonts w:hint="eastAsia" w:ascii="宋体" w:hAnsi="宋体" w:cs="宋体"/>
                <w:color w:val="auto"/>
                <w:highlight w:val="none"/>
              </w:rPr>
              <w:t xml:space="preserve">名称：</w:t>
            </w:r>
            <w:r/>
          </w:p>
          <w:p>
            <w:pPr>
              <w:ind w:left="0" w:right="0"/>
              <w:keepLines w:val="0"/>
              <w:keepNext w:val="0"/>
              <w:spacing w:before="0" w:beforeAutospacing="0" w:after="0" w:afterAutospacing="0" w:line="360" w:lineRule="auto"/>
              <w:shd w:val="clear" w:color="auto"/>
              <w:rPr>
                <w:rFonts w:hint="eastAsia" w:ascii="宋体" w:hAnsi="宋体" w:cs="宋体"/>
                <w:color w:val="auto"/>
                <w:highlight w:val="none"/>
              </w:rPr>
              <w:suppressLineNumbers w:val="0"/>
            </w:pPr>
            <w:r>
              <w:rPr>
                <w:rFonts w:hint="eastAsia" w:ascii="宋体" w:hAnsi="宋体" w:cs="宋体"/>
                <w:color w:val="auto"/>
                <w:highlight w:val="none"/>
              </w:rPr>
              <w:t xml:space="preserve">品牌（如有）：</w:t>
            </w:r>
            <w:r/>
          </w:p>
          <w:p>
            <w:pPr>
              <w:ind w:left="0" w:right="0"/>
              <w:keepLines w:val="0"/>
              <w:keepNext w:val="0"/>
              <w:spacing w:before="0" w:beforeAutospacing="0" w:after="0" w:afterAutospacing="0" w:line="360" w:lineRule="auto"/>
              <w:shd w:val="clear" w:color="auto"/>
              <w:rPr>
                <w:rFonts w:hint="eastAsia" w:ascii="宋体" w:hAnsi="宋体" w:cs="宋体"/>
                <w:color w:val="auto"/>
                <w:highlight w:val="none"/>
              </w:rPr>
              <w:suppressLineNumbers w:val="0"/>
            </w:pPr>
            <w:r>
              <w:rPr>
                <w:rFonts w:hint="eastAsia" w:ascii="宋体" w:hAnsi="宋体" w:cs="宋体"/>
                <w:color w:val="auto"/>
                <w:highlight w:val="none"/>
              </w:rPr>
              <w:t xml:space="preserve">规格型号：</w:t>
            </w:r>
            <w:r/>
          </w:p>
          <w:p>
            <w:pPr>
              <w:ind w:left="0" w:right="0"/>
              <w:keepLines w:val="0"/>
              <w:keepNext w:val="0"/>
              <w:spacing w:before="0" w:beforeAutospacing="0" w:after="0" w:afterAutospacing="0" w:line="360" w:lineRule="auto"/>
              <w:shd w:val="clear" w:color="auto"/>
              <w:rPr>
                <w:rFonts w:hint="eastAsia" w:ascii="宋体" w:hAnsi="宋体" w:cs="宋体"/>
                <w:color w:val="auto"/>
                <w:highlight w:val="none"/>
              </w:rPr>
              <w:suppressLineNumbers w:val="0"/>
            </w:pPr>
            <w:r>
              <w:rPr>
                <w:rFonts w:hint="eastAsia" w:ascii="宋体" w:hAnsi="宋体" w:cs="宋体"/>
                <w:color w:val="auto"/>
                <w:highlight w:val="none"/>
              </w:rPr>
              <w:t xml:space="preserve">数量：</w:t>
            </w:r>
            <w:r/>
          </w:p>
          <w:p>
            <w:pPr>
              <w:ind w:left="0" w:right="0"/>
              <w:keepLines w:val="0"/>
              <w:keepNext w:val="0"/>
              <w:spacing w:before="0" w:beforeAutospacing="0" w:after="0" w:afterAutospacing="0" w:line="360" w:lineRule="auto"/>
              <w:shd w:val="clear" w:color="auto"/>
              <w:rPr>
                <w:rFonts w:hint="eastAsia" w:ascii="宋体" w:hAnsi="宋体" w:cs="宋体"/>
                <w:color w:val="auto"/>
                <w:highlight w:val="none"/>
              </w:rPr>
              <w:suppressLineNumbers w:val="0"/>
            </w:pPr>
            <w:r>
              <w:rPr>
                <w:rFonts w:hint="eastAsia" w:ascii="宋体" w:hAnsi="宋体" w:cs="宋体"/>
                <w:color w:val="auto"/>
                <w:highlight w:val="none"/>
              </w:rPr>
              <w:t xml:space="preserve">单价：</w:t>
            </w:r>
            <w:r/>
          </w:p>
        </w:tc>
        <w:tc>
          <w:tcPr>
            <w:tcW w:w="3780" w:type="dxa"/>
            <w:textDirection w:val="lrTb"/>
            <w:noWrap w:val="false"/>
          </w:tcPr>
          <w:p>
            <w:pPr>
              <w:ind w:left="0" w:right="0"/>
              <w:keepLines w:val="0"/>
              <w:keepNext w:val="0"/>
              <w:spacing w:before="0" w:beforeAutospacing="0" w:after="0" w:afterAutospacing="0" w:line="360" w:lineRule="auto"/>
              <w:shd w:val="clear" w:color="auto"/>
              <w:rPr>
                <w:rFonts w:hint="eastAsia" w:ascii="宋体" w:hAnsi="宋体" w:cs="宋体"/>
                <w:color w:val="auto"/>
                <w:highlight w:val="none"/>
              </w:rPr>
              <w:suppressLineNumbers w:val="0"/>
            </w:pPr>
            <w:r>
              <w:rPr>
                <w:rFonts w:hint="eastAsia" w:ascii="宋体" w:hAnsi="宋体" w:cs="宋体"/>
                <w:color w:val="auto"/>
                <w:highlight w:val="none"/>
              </w:rPr>
              <w:t xml:space="preserve">名称：</w:t>
            </w:r>
            <w:r/>
          </w:p>
          <w:p>
            <w:pPr>
              <w:ind w:left="0" w:right="0"/>
              <w:keepLines w:val="0"/>
              <w:keepNext w:val="0"/>
              <w:spacing w:before="0" w:beforeAutospacing="0" w:after="0" w:afterAutospacing="0" w:line="360" w:lineRule="auto"/>
              <w:shd w:val="clear" w:color="auto"/>
              <w:rPr>
                <w:rFonts w:hint="eastAsia" w:ascii="宋体" w:hAnsi="宋体" w:cs="宋体"/>
                <w:color w:val="auto"/>
                <w:highlight w:val="none"/>
              </w:rPr>
              <w:suppressLineNumbers w:val="0"/>
            </w:pPr>
            <w:r>
              <w:rPr>
                <w:rFonts w:hint="eastAsia" w:ascii="宋体" w:hAnsi="宋体" w:cs="宋体"/>
                <w:color w:val="auto"/>
                <w:highlight w:val="none"/>
              </w:rPr>
              <w:t xml:space="preserve">服务范围：</w:t>
            </w:r>
            <w:r/>
          </w:p>
          <w:p>
            <w:pPr>
              <w:ind w:left="0" w:right="0"/>
              <w:keepLines w:val="0"/>
              <w:keepNext w:val="0"/>
              <w:spacing w:before="0" w:beforeAutospacing="0" w:after="0" w:afterAutospacing="0" w:line="360" w:lineRule="auto"/>
              <w:shd w:val="clear" w:color="auto"/>
              <w:rPr>
                <w:rFonts w:hint="eastAsia" w:ascii="宋体" w:hAnsi="宋体" w:cs="宋体"/>
                <w:color w:val="auto"/>
                <w:highlight w:val="none"/>
                <w:u w:val="single"/>
              </w:rPr>
              <w:suppressLineNumbers w:val="0"/>
            </w:pPr>
            <w:r>
              <w:rPr>
                <w:rFonts w:hint="eastAsia" w:ascii="宋体" w:hAnsi="宋体" w:cs="宋体"/>
                <w:color w:val="auto"/>
                <w:highlight w:val="none"/>
              </w:rPr>
              <w:t xml:space="preserve">服务要求：</w:t>
            </w:r>
            <w:r/>
          </w:p>
          <w:p>
            <w:pPr>
              <w:ind w:left="0" w:right="0"/>
              <w:keepLines w:val="0"/>
              <w:keepNext w:val="0"/>
              <w:spacing w:before="0" w:beforeAutospacing="0" w:after="0" w:afterAutospacing="0" w:line="360" w:lineRule="auto"/>
              <w:shd w:val="clear" w:color="auto"/>
              <w:rPr>
                <w:rFonts w:hint="eastAsia" w:ascii="宋体" w:hAnsi="宋体" w:cs="宋体"/>
                <w:color w:val="auto"/>
                <w:highlight w:val="none"/>
                <w:u w:val="single"/>
              </w:rPr>
              <w:suppressLineNumbers w:val="0"/>
            </w:pPr>
            <w:r>
              <w:rPr>
                <w:rFonts w:hint="eastAsia" w:ascii="宋体" w:hAnsi="宋体" w:cs="宋体"/>
                <w:color w:val="auto"/>
                <w:highlight w:val="none"/>
              </w:rPr>
              <w:t xml:space="preserve">服务时间：</w:t>
            </w:r>
            <w:r/>
          </w:p>
          <w:p>
            <w:pPr>
              <w:ind w:left="0" w:right="0"/>
              <w:keepLines w:val="0"/>
              <w:keepNext w:val="0"/>
              <w:spacing w:before="0" w:beforeAutospacing="0" w:after="0" w:afterAutospacing="0" w:line="360" w:lineRule="auto"/>
              <w:shd w:val="clear" w:color="auto"/>
              <w:rPr>
                <w:rFonts w:hint="eastAsia" w:ascii="宋体" w:hAnsi="宋体" w:cs="宋体"/>
                <w:color w:val="auto"/>
                <w:highlight w:val="none"/>
              </w:rPr>
              <w:suppressLineNumbers w:val="0"/>
            </w:pPr>
            <w:r>
              <w:rPr>
                <w:rFonts w:hint="eastAsia" w:ascii="宋体" w:hAnsi="宋体" w:cs="宋体"/>
                <w:color w:val="auto"/>
                <w:highlight w:val="none"/>
              </w:rPr>
              <w:t xml:space="preserve">服务标准：</w:t>
            </w:r>
            <w:r/>
          </w:p>
        </w:tc>
      </w:tr>
    </w:tbl>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shd w:val="clear" w:color="auto"/>
        <w:rPr>
          <w:rFonts w:hint="eastAsia" w:ascii="宋体" w:hAnsi="宋体" w:cs="宋体"/>
          <w:b/>
          <w:color w:val="auto"/>
          <w:highlight w:val="none"/>
        </w:rPr>
      </w:pPr>
      <w:r>
        <w:rPr>
          <w:rFonts w:hint="eastAsia" w:ascii="宋体" w:hAnsi="宋体" w:cs="宋体"/>
          <w:b/>
          <w:color w:val="auto"/>
          <w:highlight w:val="none"/>
        </w:rPr>
      </w:r>
      <w:r/>
    </w:p>
    <w:p>
      <w:pPr>
        <w:spacing w:line="400" w:lineRule="exact"/>
        <w:shd w:val="clear" w:color="auto"/>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400" w:lineRule="exact"/>
        <w:shd w:val="clear" w:color="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自愿组成联合体，参加江苏省政府采购中心组织的采购编号为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项目（采购包号：**）的政府采购活动，我联合体指定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400" w:lineRule="exact"/>
        <w:shd w:val="clear" w:color="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shd w:val="clear" w:color="auto"/>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400" w:lineRule="exact"/>
        <w:shd w:val="clear" w:color="auto"/>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shd w:val="clear" w:color="auto"/>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6"/>
        <w:jc w:val="right"/>
        <w:spacing w:line="400" w:lineRule="exact"/>
        <w:shd w:val="clear" w:color="auto"/>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6"/>
        <w:spacing w:line="400" w:lineRule="exact"/>
        <w:shd w:val="clear" w:color="auto"/>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400" w:lineRule="exact"/>
        <w:shd w:val="clear" w:color="auto"/>
        <w:rPr>
          <w:rFonts w:ascii="宋体" w:hAnsi="宋体"/>
          <w:color w:val="auto"/>
          <w:sz w:val="24"/>
          <w:szCs w:val="21"/>
          <w:highlight w:val="none"/>
        </w:rPr>
      </w:pPr>
      <w:r>
        <w:rPr>
          <w:rFonts w:ascii="宋体" w:hAnsi="宋体"/>
          <w:color w:val="auto"/>
          <w:sz w:val="24"/>
          <w:szCs w:val="21"/>
          <w:highlight w:val="none"/>
        </w:rPr>
      </w:r>
      <w:r/>
    </w:p>
    <w:p>
      <w:pPr>
        <w:ind w:firstLine="645"/>
        <w:spacing w:line="400" w:lineRule="exact"/>
        <w:shd w:val="clear" w:color="auto"/>
        <w:rPr>
          <w:rFonts w:ascii="宋体" w:hAnsi="宋体"/>
          <w:color w:val="auto"/>
          <w:sz w:val="24"/>
          <w:szCs w:val="21"/>
          <w:highlight w:val="none"/>
        </w:rPr>
      </w:pPr>
      <w:r>
        <w:rPr>
          <w:rFonts w:ascii="宋体" w:hAnsi="宋体"/>
          <w:color w:val="auto"/>
          <w:sz w:val="24"/>
          <w:szCs w:val="21"/>
          <w:highlight w:val="none"/>
        </w:rPr>
      </w:r>
      <w:r/>
    </w:p>
    <w:p>
      <w:pPr>
        <w:ind w:firstLine="645"/>
        <w:spacing w:line="400" w:lineRule="exact"/>
        <w:shd w:val="clear" w:color="auto"/>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46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pPr>
    <w:r>
      <w:rPr>
        <w:rFonts w:hint="eastAsia"/>
        <w:lang w:eastAsia="zh-CN"/>
      </w:rPr>
      <w:t xml:space="preserve">JSZC-321000-SWGC-G2026-0021号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pPr>
    <w:r>
      <w:rPr>
        <w:rFonts w:hint="eastAsia"/>
        <w:lang w:eastAsia="zh-CN"/>
      </w:rPr>
      <w:t xml:space="preserve">JSZC-321000-SWGC-G2026-0021号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076"/>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0"/>
      </w:pPr>
      <w:rPr>
        <w:rFonts w:hint="default"/>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3"/>
  </w:num>
  <w:num w:numId="4">
    <w:abstractNumId w:val="3"/>
  </w:num>
  <w:num w:numId="5">
    <w:abstractNumId w:val="5"/>
  </w:num>
  <w:num w:numId="6">
    <w:abstractNumId w:val="32"/>
  </w:num>
  <w:num w:numId="7">
    <w:abstractNumId w:val="19"/>
  </w:num>
  <w:num w:numId="8">
    <w:abstractNumId w:val="2"/>
  </w:num>
  <w:num w:numId="9">
    <w:abstractNumId w:val="16"/>
  </w:num>
  <w:num w:numId="10">
    <w:abstractNumId w:val="28"/>
  </w:num>
  <w:num w:numId="11">
    <w:abstractNumId w:val="37"/>
  </w:num>
  <w:num w:numId="12">
    <w:abstractNumId w:val="22"/>
  </w:num>
  <w:num w:numId="13">
    <w:abstractNumId w:val="12"/>
  </w:num>
  <w:num w:numId="14">
    <w:abstractNumId w:val="15"/>
  </w:num>
  <w:num w:numId="15">
    <w:abstractNumId w:val="17"/>
  </w:num>
  <w:num w:numId="16">
    <w:abstractNumId w:val="31"/>
  </w:num>
  <w:num w:numId="17">
    <w:abstractNumId w:val="0"/>
  </w:num>
  <w:num w:numId="18">
    <w:abstractNumId w:val="21"/>
  </w:num>
  <w:num w:numId="19">
    <w:abstractNumId w:val="4"/>
  </w:num>
  <w:num w:numId="20">
    <w:abstractNumId w:val="11"/>
  </w:num>
  <w:num w:numId="21">
    <w:abstractNumId w:val="6"/>
  </w:num>
  <w:num w:numId="22">
    <w:abstractNumId w:val="23"/>
  </w:num>
  <w:num w:numId="23">
    <w:abstractNumId w:val="18"/>
  </w:num>
  <w:num w:numId="24">
    <w:abstractNumId w:val="9"/>
  </w:num>
  <w:num w:numId="25">
    <w:abstractNumId w:val="8"/>
  </w:num>
  <w:num w:numId="26">
    <w:abstractNumId w:val="25"/>
  </w:num>
  <w:num w:numId="27">
    <w:abstractNumId w:val="7"/>
  </w:num>
  <w:num w:numId="28">
    <w:abstractNumId w:val="26"/>
  </w:num>
  <w:num w:numId="29">
    <w:abstractNumId w:val="34"/>
  </w:num>
  <w:num w:numId="30">
    <w:abstractNumId w:val="30"/>
  </w:num>
  <w:num w:numId="31">
    <w:abstractNumId w:val="27"/>
  </w:num>
  <w:num w:numId="32">
    <w:abstractNumId w:val="36"/>
  </w:num>
  <w:num w:numId="33">
    <w:abstractNumId w:val="35"/>
  </w:num>
  <w:num w:numId="34">
    <w:abstractNumId w:val="1"/>
  </w:num>
  <w:num w:numId="35">
    <w:abstractNumId w:val="29"/>
  </w:num>
  <w:num w:numId="36">
    <w:abstractNumId w:val="33"/>
  </w:num>
  <w:num w:numId="37">
    <w:abstractNumId w:val="24"/>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9">
    <w:name w:val="Heading 1 Char"/>
    <w:basedOn w:val="856"/>
    <w:link w:val="847"/>
    <w:uiPriority w:val="9"/>
    <w:rPr>
      <w:rFonts w:ascii="Arial" w:hAnsi="Arial" w:eastAsia="Arial" w:cs="Arial"/>
      <w:sz w:val="40"/>
      <w:szCs w:val="40"/>
    </w:rPr>
  </w:style>
  <w:style w:type="character" w:styleId="810">
    <w:name w:val="Heading 2 Char"/>
    <w:basedOn w:val="856"/>
    <w:link w:val="848"/>
    <w:uiPriority w:val="9"/>
    <w:rPr>
      <w:rFonts w:ascii="Arial" w:hAnsi="Arial" w:eastAsia="Arial" w:cs="Arial"/>
      <w:sz w:val="34"/>
    </w:rPr>
  </w:style>
  <w:style w:type="character" w:styleId="811">
    <w:name w:val="Heading 3 Char"/>
    <w:basedOn w:val="856"/>
    <w:link w:val="849"/>
    <w:uiPriority w:val="9"/>
    <w:rPr>
      <w:rFonts w:ascii="Arial" w:hAnsi="Arial" w:eastAsia="Arial" w:cs="Arial"/>
      <w:sz w:val="30"/>
      <w:szCs w:val="30"/>
    </w:rPr>
  </w:style>
  <w:style w:type="character" w:styleId="812">
    <w:name w:val="Heading 4 Char"/>
    <w:basedOn w:val="856"/>
    <w:link w:val="850"/>
    <w:uiPriority w:val="9"/>
    <w:rPr>
      <w:rFonts w:ascii="Arial" w:hAnsi="Arial" w:eastAsia="Arial" w:cs="Arial"/>
      <w:b/>
      <w:bCs/>
      <w:sz w:val="26"/>
      <w:szCs w:val="26"/>
    </w:rPr>
  </w:style>
  <w:style w:type="character" w:styleId="813">
    <w:name w:val="Heading 5 Char"/>
    <w:basedOn w:val="856"/>
    <w:link w:val="851"/>
    <w:uiPriority w:val="9"/>
    <w:rPr>
      <w:rFonts w:ascii="Arial" w:hAnsi="Arial" w:eastAsia="Arial" w:cs="Arial"/>
      <w:b/>
      <w:bCs/>
      <w:sz w:val="24"/>
      <w:szCs w:val="24"/>
    </w:rPr>
  </w:style>
  <w:style w:type="character" w:styleId="814">
    <w:name w:val="Heading 6 Char"/>
    <w:basedOn w:val="856"/>
    <w:link w:val="852"/>
    <w:uiPriority w:val="9"/>
    <w:rPr>
      <w:rFonts w:ascii="Arial" w:hAnsi="Arial" w:eastAsia="Arial" w:cs="Arial"/>
      <w:b/>
      <w:bCs/>
      <w:sz w:val="22"/>
      <w:szCs w:val="22"/>
    </w:rPr>
  </w:style>
  <w:style w:type="character" w:styleId="815">
    <w:name w:val="Heading 7 Char"/>
    <w:basedOn w:val="856"/>
    <w:link w:val="853"/>
    <w:uiPriority w:val="9"/>
    <w:rPr>
      <w:rFonts w:ascii="Arial" w:hAnsi="Arial" w:eastAsia="Arial" w:cs="Arial"/>
      <w:b/>
      <w:bCs/>
      <w:i/>
      <w:iCs/>
      <w:sz w:val="22"/>
      <w:szCs w:val="22"/>
    </w:rPr>
  </w:style>
  <w:style w:type="character" w:styleId="816">
    <w:name w:val="Heading 8 Char"/>
    <w:basedOn w:val="856"/>
    <w:link w:val="854"/>
    <w:uiPriority w:val="9"/>
    <w:rPr>
      <w:rFonts w:ascii="Arial" w:hAnsi="Arial" w:eastAsia="Arial" w:cs="Arial"/>
      <w:i/>
      <w:iCs/>
      <w:sz w:val="22"/>
      <w:szCs w:val="22"/>
    </w:rPr>
  </w:style>
  <w:style w:type="character" w:styleId="817">
    <w:name w:val="Heading 9 Char"/>
    <w:basedOn w:val="856"/>
    <w:link w:val="855"/>
    <w:uiPriority w:val="9"/>
    <w:rPr>
      <w:rFonts w:ascii="Arial" w:hAnsi="Arial" w:eastAsia="Arial" w:cs="Arial"/>
      <w:i/>
      <w:iCs/>
      <w:sz w:val="21"/>
      <w:szCs w:val="21"/>
    </w:rPr>
  </w:style>
  <w:style w:type="character" w:styleId="818">
    <w:name w:val="Title Char"/>
    <w:basedOn w:val="856"/>
    <w:link w:val="879"/>
    <w:uiPriority w:val="10"/>
    <w:rPr>
      <w:sz w:val="48"/>
      <w:szCs w:val="48"/>
    </w:rPr>
  </w:style>
  <w:style w:type="character" w:styleId="819">
    <w:name w:val="Subtitle Char"/>
    <w:basedOn w:val="856"/>
    <w:link w:val="872"/>
    <w:uiPriority w:val="11"/>
    <w:rPr>
      <w:sz w:val="24"/>
      <w:szCs w:val="24"/>
    </w:rPr>
  </w:style>
  <w:style w:type="character" w:styleId="820">
    <w:name w:val="Quote Char"/>
    <w:link w:val="901"/>
    <w:uiPriority w:val="29"/>
    <w:rPr>
      <w:i/>
    </w:rPr>
  </w:style>
  <w:style w:type="character" w:styleId="821">
    <w:name w:val="Intense Quote Char"/>
    <w:link w:val="903"/>
    <w:uiPriority w:val="30"/>
    <w:rPr>
      <w:i/>
    </w:rPr>
  </w:style>
  <w:style w:type="character" w:styleId="822">
    <w:name w:val="Header Char"/>
    <w:basedOn w:val="856"/>
    <w:link w:val="869"/>
    <w:uiPriority w:val="99"/>
  </w:style>
  <w:style w:type="character" w:styleId="823">
    <w:name w:val="Caption Char"/>
    <w:basedOn w:val="859"/>
    <w:link w:val="868"/>
    <w:uiPriority w:val="99"/>
  </w:style>
  <w:style w:type="table" w:styleId="824">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3">
    <w:name w:val="Footnote Text Char"/>
    <w:link w:val="873"/>
    <w:uiPriority w:val="99"/>
    <w:rPr>
      <w:sz w:val="18"/>
    </w:rPr>
  </w:style>
  <w:style w:type="character" w:styleId="844">
    <w:name w:val="Endnote Text Char"/>
    <w:link w:val="867"/>
    <w:uiPriority w:val="99"/>
    <w:rPr>
      <w:sz w:val="20"/>
    </w:rPr>
  </w:style>
  <w:style w:type="paragraph" w:styleId="845">
    <w:name w:val="TOC Heading"/>
    <w:uiPriority w:val="39"/>
    <w:unhideWhenUsed/>
  </w:style>
  <w:style w:type="paragraph" w:styleId="84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47">
    <w:name w:val="Heading 1"/>
    <w:basedOn w:val="846"/>
    <w:next w:val="846"/>
    <w:link w:val="888"/>
    <w:uiPriority w:val="9"/>
    <w:qFormat/>
    <w:pPr>
      <w:jc w:val="center"/>
      <w:keepLines/>
      <w:keepNext/>
      <w:spacing w:line="360" w:lineRule="auto"/>
      <w:outlineLvl w:val="0"/>
    </w:pPr>
    <w:rPr>
      <w:rFonts w:ascii="Arial" w:hAnsi="Arial" w:cs="Arial"/>
      <w:b/>
      <w:sz w:val="30"/>
      <w:szCs w:val="40"/>
    </w:rPr>
  </w:style>
  <w:style w:type="paragraph" w:styleId="848">
    <w:name w:val="Heading 2"/>
    <w:basedOn w:val="846"/>
    <w:next w:val="846"/>
    <w:link w:val="889"/>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890"/>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891"/>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link w:val="892"/>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893"/>
    <w:uiPriority w:val="9"/>
    <w:unhideWhenUsed/>
    <w:qFormat/>
    <w:pPr>
      <w:keepLines/>
      <w:keepNext/>
      <w:spacing w:before="320" w:after="200"/>
      <w:outlineLvl w:val="5"/>
    </w:pPr>
    <w:rPr>
      <w:rFonts w:ascii="Arial" w:hAnsi="Arial" w:eastAsia="Arial" w:cs="Arial"/>
      <w:b/>
      <w:bCs/>
      <w:sz w:val="22"/>
    </w:rPr>
  </w:style>
  <w:style w:type="paragraph" w:styleId="853">
    <w:name w:val="Heading 7"/>
    <w:basedOn w:val="846"/>
    <w:next w:val="846"/>
    <w:link w:val="894"/>
    <w:uiPriority w:val="9"/>
    <w:unhideWhenUsed/>
    <w:qFormat/>
    <w:pPr>
      <w:keepLines/>
      <w:keepNext/>
      <w:spacing w:before="320" w:after="200"/>
      <w:outlineLvl w:val="6"/>
    </w:pPr>
    <w:rPr>
      <w:rFonts w:ascii="Arial" w:hAnsi="Arial" w:eastAsia="Arial" w:cs="Arial"/>
      <w:b/>
      <w:bCs/>
      <w:i/>
      <w:iCs/>
      <w:sz w:val="22"/>
    </w:rPr>
  </w:style>
  <w:style w:type="paragraph" w:styleId="854">
    <w:name w:val="Heading 8"/>
    <w:basedOn w:val="846"/>
    <w:next w:val="846"/>
    <w:link w:val="895"/>
    <w:uiPriority w:val="9"/>
    <w:unhideWhenUsed/>
    <w:qFormat/>
    <w:pPr>
      <w:keepLines/>
      <w:keepNext/>
      <w:spacing w:before="320" w:after="200"/>
      <w:outlineLvl w:val="7"/>
    </w:pPr>
    <w:rPr>
      <w:rFonts w:ascii="Arial" w:hAnsi="Arial" w:eastAsia="Arial" w:cs="Arial"/>
      <w:i/>
      <w:iCs/>
      <w:sz w:val="22"/>
    </w:rPr>
  </w:style>
  <w:style w:type="paragraph" w:styleId="855">
    <w:name w:val="Heading 9"/>
    <w:basedOn w:val="846"/>
    <w:next w:val="846"/>
    <w:link w:val="896"/>
    <w:uiPriority w:val="9"/>
    <w:unhideWhenUsed/>
    <w:qFormat/>
    <w:pPr>
      <w:keepLines/>
      <w:keepNext/>
      <w:spacing w:before="320" w:after="200"/>
      <w:outlineLvl w:val="8"/>
    </w:pPr>
    <w:rPr>
      <w:rFonts w:ascii="Arial" w:hAnsi="Arial" w:eastAsia="Arial" w:cs="Arial"/>
      <w:i/>
      <w:iCs/>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8">
    <w:name w:val="toc 7"/>
    <w:basedOn w:val="846"/>
    <w:next w:val="846"/>
    <w:uiPriority w:val="39"/>
    <w:unhideWhenUsed/>
    <w:qFormat/>
    <w:pPr>
      <w:ind w:left="1701"/>
      <w:spacing w:after="57"/>
    </w:pPr>
  </w:style>
  <w:style w:type="paragraph" w:styleId="859">
    <w:name w:val="Caption"/>
    <w:basedOn w:val="846"/>
    <w:next w:val="8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0">
    <w:name w:val="annotation text"/>
    <w:basedOn w:val="846"/>
    <w:uiPriority w:val="99"/>
    <w:semiHidden/>
    <w:unhideWhenUsed/>
    <w:qFormat/>
    <w:pPr>
      <w:jc w:val="left"/>
    </w:pPr>
  </w:style>
  <w:style w:type="paragraph" w:styleId="861">
    <w:name w:val="Body Text"/>
    <w:basedOn w:val="846"/>
    <w:uiPriority w:val="0"/>
    <w:qFormat/>
    <w:pPr>
      <w:spacing w:after="120"/>
    </w:pPr>
    <w:rPr>
      <w:rFonts w:ascii="Times New Roman" w:hAnsi="Times New Roman"/>
    </w:rPr>
  </w:style>
  <w:style w:type="paragraph" w:styleId="862">
    <w:name w:val="Body Text Indent"/>
    <w:basedOn w:val="846"/>
    <w:next w:val="846"/>
    <w:uiPriority w:val="0"/>
    <w:qFormat/>
    <w:pPr>
      <w:ind w:left="420"/>
      <w:spacing w:after="120"/>
    </w:pPr>
    <w:rPr>
      <w:rFonts w:ascii="等线" w:hAnsi="等线" w:eastAsia="等线"/>
    </w:rPr>
  </w:style>
  <w:style w:type="paragraph" w:styleId="863">
    <w:name w:val="toc 5"/>
    <w:basedOn w:val="846"/>
    <w:next w:val="846"/>
    <w:uiPriority w:val="39"/>
    <w:unhideWhenUsed/>
    <w:qFormat/>
    <w:pPr>
      <w:ind w:left="1134"/>
      <w:spacing w:after="57"/>
    </w:pPr>
  </w:style>
  <w:style w:type="paragraph" w:styleId="864">
    <w:name w:val="toc 3"/>
    <w:basedOn w:val="846"/>
    <w:next w:val="846"/>
    <w:uiPriority w:val="39"/>
    <w:unhideWhenUsed/>
    <w:qFormat/>
    <w:pPr>
      <w:ind w:left="567"/>
      <w:spacing w:after="57"/>
    </w:pPr>
  </w:style>
  <w:style w:type="paragraph" w:styleId="865">
    <w:name w:val="Plain Text"/>
    <w:basedOn w:val="846"/>
    <w:uiPriority w:val="0"/>
    <w:qFormat/>
    <w:rPr>
      <w:rFonts w:ascii="宋体" w:hAnsi="Courier New"/>
      <w:sz w:val="20"/>
      <w:szCs w:val="21"/>
    </w:rPr>
  </w:style>
  <w:style w:type="paragraph" w:styleId="866">
    <w:name w:val="toc 8"/>
    <w:basedOn w:val="846"/>
    <w:next w:val="846"/>
    <w:uiPriority w:val="39"/>
    <w:unhideWhenUsed/>
    <w:qFormat/>
    <w:pPr>
      <w:ind w:left="1984"/>
      <w:spacing w:after="57"/>
    </w:pPr>
  </w:style>
  <w:style w:type="paragraph" w:styleId="867">
    <w:name w:val="endnote text"/>
    <w:basedOn w:val="846"/>
    <w:link w:val="1034"/>
    <w:uiPriority w:val="99"/>
    <w:semiHidden/>
    <w:unhideWhenUsed/>
    <w:qFormat/>
    <w:rPr>
      <w:sz w:val="20"/>
    </w:rPr>
  </w:style>
  <w:style w:type="paragraph" w:styleId="868">
    <w:name w:val="Footer"/>
    <w:basedOn w:val="846"/>
    <w:link w:val="907"/>
    <w:uiPriority w:val="99"/>
    <w:unhideWhenUsed/>
    <w:qFormat/>
    <w:pPr>
      <w:tabs>
        <w:tab w:val="center" w:pos="7143" w:leader="none"/>
        <w:tab w:val="right" w:pos="14287" w:leader="none"/>
      </w:tabs>
    </w:pPr>
  </w:style>
  <w:style w:type="paragraph" w:styleId="869">
    <w:name w:val="Header"/>
    <w:basedOn w:val="846"/>
    <w:link w:val="905"/>
    <w:uiPriority w:val="99"/>
    <w:unhideWhenUsed/>
    <w:qFormat/>
    <w:pPr>
      <w:tabs>
        <w:tab w:val="center" w:pos="7143" w:leader="none"/>
        <w:tab w:val="right" w:pos="14287" w:leader="none"/>
      </w:tabs>
    </w:pPr>
  </w:style>
  <w:style w:type="paragraph" w:styleId="870">
    <w:name w:val="toc 1"/>
    <w:basedOn w:val="846"/>
    <w:next w:val="846"/>
    <w:uiPriority w:val="39"/>
    <w:unhideWhenUsed/>
    <w:qFormat/>
    <w:pPr>
      <w:spacing w:after="57"/>
    </w:pPr>
  </w:style>
  <w:style w:type="paragraph" w:styleId="871">
    <w:name w:val="toc 4"/>
    <w:basedOn w:val="846"/>
    <w:next w:val="846"/>
    <w:uiPriority w:val="39"/>
    <w:unhideWhenUsed/>
    <w:qFormat/>
    <w:pPr>
      <w:ind w:left="850"/>
      <w:spacing w:after="57"/>
    </w:pPr>
  </w:style>
  <w:style w:type="paragraph" w:styleId="872">
    <w:name w:val="Subtitle"/>
    <w:basedOn w:val="846"/>
    <w:next w:val="846"/>
    <w:link w:val="900"/>
    <w:uiPriority w:val="11"/>
    <w:qFormat/>
    <w:pPr>
      <w:spacing w:before="200" w:after="200"/>
    </w:pPr>
    <w:rPr>
      <w:sz w:val="24"/>
      <w:szCs w:val="24"/>
    </w:rPr>
  </w:style>
  <w:style w:type="paragraph" w:styleId="873">
    <w:name w:val="footnote text"/>
    <w:basedOn w:val="846"/>
    <w:link w:val="1033"/>
    <w:uiPriority w:val="99"/>
    <w:semiHidden/>
    <w:unhideWhenUsed/>
    <w:qFormat/>
    <w:pPr>
      <w:spacing w:after="40"/>
    </w:pPr>
    <w:rPr>
      <w:sz w:val="18"/>
    </w:rPr>
  </w:style>
  <w:style w:type="paragraph" w:styleId="874">
    <w:name w:val="toc 6"/>
    <w:basedOn w:val="846"/>
    <w:next w:val="846"/>
    <w:uiPriority w:val="39"/>
    <w:unhideWhenUsed/>
    <w:qFormat/>
    <w:pPr>
      <w:ind w:left="1417"/>
      <w:spacing w:after="57"/>
    </w:pPr>
  </w:style>
  <w:style w:type="paragraph" w:styleId="875">
    <w:name w:val="table of figures"/>
    <w:basedOn w:val="846"/>
    <w:next w:val="846"/>
    <w:uiPriority w:val="99"/>
    <w:unhideWhenUsed/>
    <w:qFormat/>
  </w:style>
  <w:style w:type="paragraph" w:styleId="876">
    <w:name w:val="toc 2"/>
    <w:basedOn w:val="846"/>
    <w:next w:val="846"/>
    <w:uiPriority w:val="39"/>
    <w:unhideWhenUsed/>
    <w:qFormat/>
    <w:pPr>
      <w:ind w:left="283"/>
      <w:spacing w:after="57"/>
    </w:pPr>
  </w:style>
  <w:style w:type="paragraph" w:styleId="877">
    <w:name w:val="toc 9"/>
    <w:basedOn w:val="846"/>
    <w:next w:val="846"/>
    <w:uiPriority w:val="39"/>
    <w:unhideWhenUsed/>
    <w:qFormat/>
    <w:pPr>
      <w:ind w:left="2268"/>
      <w:spacing w:after="57"/>
    </w:pPr>
  </w:style>
  <w:style w:type="paragraph" w:styleId="878">
    <w:name w:val="Normal (Web)"/>
    <w:basedOn w:val="846"/>
    <w:uiPriority w:val="99"/>
    <w:semiHidden/>
    <w:unhideWhenUsed/>
    <w:qFormat/>
    <w:pPr>
      <w:jc w:val="left"/>
      <w:spacing w:beforeAutospacing="1" w:afterAutospacing="1"/>
    </w:pPr>
    <w:rPr>
      <w:sz w:val="24"/>
    </w:rPr>
  </w:style>
  <w:style w:type="paragraph" w:styleId="879">
    <w:name w:val="Title"/>
    <w:basedOn w:val="846"/>
    <w:next w:val="846"/>
    <w:link w:val="899"/>
    <w:uiPriority w:val="10"/>
    <w:qFormat/>
    <w:pPr>
      <w:contextualSpacing/>
      <w:spacing w:before="300" w:after="200"/>
    </w:pPr>
    <w:rPr>
      <w:sz w:val="48"/>
      <w:szCs w:val="48"/>
    </w:rPr>
  </w:style>
  <w:style w:type="paragraph" w:styleId="880">
    <w:name w:val="Body Text First Indent"/>
    <w:basedOn w:val="861"/>
    <w:uiPriority w:val="0"/>
    <w:unhideWhenUsed/>
    <w:qFormat/>
    <w:pPr>
      <w:ind w:firstLine="420"/>
    </w:pPr>
    <w:rPr>
      <w:szCs w:val="21"/>
    </w:rPr>
  </w:style>
  <w:style w:type="table" w:styleId="8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endnote reference"/>
    <w:uiPriority w:val="99"/>
    <w:semiHidden/>
    <w:unhideWhenUsed/>
    <w:qFormat/>
    <w:rPr>
      <w:vertAlign w:val="superscript"/>
    </w:rPr>
  </w:style>
  <w:style w:type="character" w:styleId="883">
    <w:name w:val="Emphasis"/>
    <w:uiPriority w:val="0"/>
    <w:qFormat/>
    <w:rPr>
      <w:i/>
    </w:rPr>
  </w:style>
  <w:style w:type="character" w:styleId="884">
    <w:name w:val="Hyperlink"/>
    <w:uiPriority w:val="99"/>
    <w:unhideWhenUsed/>
    <w:qFormat/>
    <w:rPr>
      <w:color w:val="0000ff" w:themeColor="hyperlink"/>
      <w:u w:val="single"/>
      <w14:textFill>
        <w14:solidFill>
          <w14:schemeClr w14:val="hlink"/>
        </w14:solidFill>
      </w14:textFill>
    </w:rPr>
  </w:style>
  <w:style w:type="character" w:styleId="885">
    <w:name w:val="annotation reference"/>
    <w:basedOn w:val="856"/>
    <w:uiPriority w:val="0"/>
    <w:qFormat/>
    <w:rPr>
      <w:sz w:val="21"/>
      <w:szCs w:val="21"/>
    </w:rPr>
  </w:style>
  <w:style w:type="character" w:styleId="886">
    <w:name w:val="footnote reference"/>
    <w:uiPriority w:val="99"/>
    <w:unhideWhenUsed/>
    <w:qFormat/>
    <w:rPr>
      <w:vertAlign w:val="superscript"/>
    </w:rPr>
  </w:style>
  <w:style w:type="paragraph" w:styleId="887" w:customStyle="1">
    <w:name w:val="Default"/>
    <w:next w:val="846"/>
    <w:uiPriority w:val="0"/>
    <w:qFormat/>
    <w:pPr>
      <w:widowControl w:val="off"/>
    </w:pPr>
    <w:rPr>
      <w:rFonts w:ascii="黑体" w:hAnsi="Times New Roman" w:eastAsia="黑体" w:cs="Times New Roman"/>
      <w:lang w:val="en-US" w:eastAsia="zh-CN" w:bidi="ar-SA"/>
    </w:rPr>
  </w:style>
  <w:style w:type="character" w:styleId="888" w:customStyle="1">
    <w:name w:val="标题 1 字符"/>
    <w:link w:val="847"/>
    <w:uiPriority w:val="9"/>
    <w:qFormat/>
    <w:rPr>
      <w:rFonts w:ascii="Arial" w:hAnsi="Arial" w:eastAsia="宋体" w:cs="Arial"/>
      <w:b/>
      <w:sz w:val="30"/>
      <w:szCs w:val="40"/>
    </w:rPr>
  </w:style>
  <w:style w:type="character" w:styleId="889" w:customStyle="1">
    <w:name w:val="标题 2 字符"/>
    <w:link w:val="848"/>
    <w:uiPriority w:val="9"/>
    <w:qFormat/>
    <w:rPr>
      <w:rFonts w:ascii="Arial" w:hAnsi="Arial" w:eastAsia="Arial" w:cs="Arial"/>
      <w:sz w:val="34"/>
    </w:rPr>
  </w:style>
  <w:style w:type="character" w:styleId="890" w:customStyle="1">
    <w:name w:val="标题 3 字符"/>
    <w:link w:val="849"/>
    <w:uiPriority w:val="9"/>
    <w:qFormat/>
    <w:rPr>
      <w:rFonts w:ascii="Arial" w:hAnsi="Arial" w:eastAsia="Arial" w:cs="Arial"/>
      <w:sz w:val="30"/>
      <w:szCs w:val="30"/>
    </w:rPr>
  </w:style>
  <w:style w:type="character" w:styleId="891" w:customStyle="1">
    <w:name w:val="标题 4 字符"/>
    <w:link w:val="850"/>
    <w:uiPriority w:val="9"/>
    <w:qFormat/>
    <w:rPr>
      <w:rFonts w:ascii="Arial" w:hAnsi="Arial" w:eastAsia="Arial" w:cs="Arial"/>
      <w:b/>
      <w:bCs/>
      <w:sz w:val="26"/>
      <w:szCs w:val="26"/>
    </w:rPr>
  </w:style>
  <w:style w:type="character" w:styleId="892" w:customStyle="1">
    <w:name w:val="标题 5 字符"/>
    <w:link w:val="851"/>
    <w:uiPriority w:val="9"/>
    <w:qFormat/>
    <w:rPr>
      <w:rFonts w:ascii="Arial" w:hAnsi="Arial" w:eastAsia="Arial" w:cs="Arial"/>
      <w:b/>
      <w:bCs/>
      <w:sz w:val="24"/>
      <w:szCs w:val="24"/>
    </w:rPr>
  </w:style>
  <w:style w:type="character" w:styleId="893" w:customStyle="1">
    <w:name w:val="标题 6 字符"/>
    <w:link w:val="852"/>
    <w:uiPriority w:val="9"/>
    <w:qFormat/>
    <w:rPr>
      <w:rFonts w:ascii="Arial" w:hAnsi="Arial" w:eastAsia="Arial" w:cs="Arial"/>
      <w:b/>
      <w:bCs/>
      <w:sz w:val="22"/>
      <w:szCs w:val="22"/>
    </w:rPr>
  </w:style>
  <w:style w:type="character" w:styleId="894" w:customStyle="1">
    <w:name w:val="标题 7 字符"/>
    <w:link w:val="853"/>
    <w:uiPriority w:val="9"/>
    <w:qFormat/>
    <w:rPr>
      <w:rFonts w:ascii="Arial" w:hAnsi="Arial" w:eastAsia="Arial" w:cs="Arial"/>
      <w:b/>
      <w:bCs/>
      <w:i/>
      <w:iCs/>
      <w:sz w:val="22"/>
      <w:szCs w:val="22"/>
    </w:rPr>
  </w:style>
  <w:style w:type="character" w:styleId="895" w:customStyle="1">
    <w:name w:val="标题 8 字符"/>
    <w:link w:val="854"/>
    <w:uiPriority w:val="9"/>
    <w:qFormat/>
    <w:rPr>
      <w:rFonts w:ascii="Arial" w:hAnsi="Arial" w:eastAsia="Arial" w:cs="Arial"/>
      <w:i/>
      <w:iCs/>
      <w:sz w:val="22"/>
      <w:szCs w:val="22"/>
    </w:rPr>
  </w:style>
  <w:style w:type="character" w:styleId="896" w:customStyle="1">
    <w:name w:val="标题 9 字符"/>
    <w:link w:val="855"/>
    <w:uiPriority w:val="9"/>
    <w:qFormat/>
    <w:rPr>
      <w:rFonts w:ascii="Arial" w:hAnsi="Arial" w:eastAsia="Arial" w:cs="Arial"/>
      <w:i/>
      <w:iCs/>
      <w:sz w:val="21"/>
      <w:szCs w:val="21"/>
    </w:rPr>
  </w:style>
  <w:style w:type="paragraph" w:styleId="897">
    <w:name w:val="List Paragraph"/>
    <w:basedOn w:val="846"/>
    <w:uiPriority w:val="34"/>
    <w:qFormat/>
    <w:pPr>
      <w:contextualSpacing/>
      <w:ind w:left="720"/>
    </w:pPr>
  </w:style>
  <w:style w:type="paragraph" w:styleId="898">
    <w:name w:val="No Spacing"/>
    <w:uiPriority w:val="1"/>
    <w:qFormat/>
    <w:rPr>
      <w:rFonts w:ascii="Times New Roman" w:hAnsi="Times New Roman" w:eastAsia="宋体" w:cs="Times New Roman"/>
      <w:lang w:val="en-US" w:eastAsia="zh-CN" w:bidi="ar-SA"/>
    </w:rPr>
  </w:style>
  <w:style w:type="character" w:styleId="899" w:customStyle="1">
    <w:name w:val="标题 字符"/>
    <w:link w:val="879"/>
    <w:uiPriority w:val="10"/>
    <w:qFormat/>
    <w:rPr>
      <w:sz w:val="48"/>
      <w:szCs w:val="48"/>
    </w:rPr>
  </w:style>
  <w:style w:type="character" w:styleId="900" w:customStyle="1">
    <w:name w:val="副标题 字符"/>
    <w:link w:val="872"/>
    <w:uiPriority w:val="11"/>
    <w:qFormat/>
    <w:rPr>
      <w:sz w:val="24"/>
      <w:szCs w:val="24"/>
    </w:rPr>
  </w:style>
  <w:style w:type="paragraph" w:styleId="901">
    <w:name w:val="Quote"/>
    <w:basedOn w:val="846"/>
    <w:next w:val="846"/>
    <w:link w:val="902"/>
    <w:uiPriority w:val="29"/>
    <w:qFormat/>
    <w:pPr>
      <w:ind w:left="720" w:right="720"/>
    </w:pPr>
    <w:rPr>
      <w:i/>
    </w:rPr>
  </w:style>
  <w:style w:type="character" w:styleId="902" w:customStyle="1">
    <w:name w:val="引用 字符"/>
    <w:link w:val="901"/>
    <w:uiPriority w:val="29"/>
    <w:qFormat/>
    <w:rPr>
      <w:i/>
    </w:rPr>
  </w:style>
  <w:style w:type="paragraph" w:styleId="903">
    <w:name w:val="Intense Quote"/>
    <w:basedOn w:val="846"/>
    <w:next w:val="846"/>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字符"/>
    <w:link w:val="903"/>
    <w:uiPriority w:val="30"/>
    <w:qFormat/>
    <w:rPr>
      <w:i/>
    </w:rPr>
  </w:style>
  <w:style w:type="character" w:styleId="905" w:customStyle="1">
    <w:name w:val="页眉 字符"/>
    <w:link w:val="869"/>
    <w:uiPriority w:val="99"/>
    <w:qFormat/>
  </w:style>
  <w:style w:type="character" w:styleId="906" w:customStyle="1">
    <w:name w:val="Footer Char"/>
    <w:uiPriority w:val="99"/>
    <w:qFormat/>
  </w:style>
  <w:style w:type="character" w:styleId="907" w:customStyle="1">
    <w:name w:val="页脚 字符"/>
    <w:link w:val="868"/>
    <w:uiPriority w:val="99"/>
    <w:qFormat/>
  </w:style>
  <w:style w:type="table" w:styleId="9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脚注文本 字符"/>
    <w:link w:val="873"/>
    <w:uiPriority w:val="99"/>
    <w:qFormat/>
    <w:rPr>
      <w:sz w:val="18"/>
    </w:rPr>
  </w:style>
  <w:style w:type="character" w:styleId="1034" w:customStyle="1">
    <w:name w:val="尾注文本 字符"/>
    <w:link w:val="867"/>
    <w:uiPriority w:val="99"/>
    <w:qFormat/>
    <w:rPr>
      <w:sz w:val="20"/>
    </w:rPr>
  </w:style>
  <w:style w:type="paragraph" w:styleId="1035" w:customStyle="1">
    <w:name w:val="TOC 标题1"/>
    <w:uiPriority w:val="39"/>
    <w:unhideWhenUsed/>
    <w:qFormat/>
    <w:rPr>
      <w:rFonts w:ascii="Times New Roman" w:hAnsi="Times New Roman" w:eastAsia="宋体" w:cs="Times New Roman"/>
      <w:lang w:val="en-US" w:eastAsia="zh-CN" w:bidi="ar-SA"/>
    </w:rPr>
  </w:style>
  <w:style w:type="paragraph" w:styleId="1036" w:customStyle="1">
    <w:name w:val="标题 11"/>
    <w:basedOn w:val="846"/>
    <w:next w:val="846"/>
    <w:uiPriority w:val="9"/>
    <w:qFormat/>
    <w:pPr>
      <w:keepLines/>
      <w:keepNext/>
      <w:spacing w:before="340" w:after="330" w:line="578" w:lineRule="auto"/>
      <w:outlineLvl w:val="0"/>
    </w:pPr>
    <w:rPr>
      <w:b/>
      <w:bCs/>
      <w:sz w:val="44"/>
      <w:szCs w:val="44"/>
    </w:rPr>
  </w:style>
  <w:style w:type="paragraph" w:styleId="1037" w:customStyle="1">
    <w:name w:val="标题 21"/>
    <w:basedOn w:val="846"/>
    <w:next w:val="8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8" w:customStyle="1">
    <w:name w:val="标题 31"/>
    <w:basedOn w:val="846"/>
    <w:next w:val="846"/>
    <w:uiPriority w:val="0"/>
    <w:qFormat/>
    <w:pPr>
      <w:keepLines/>
      <w:keepNext/>
      <w:spacing w:before="260" w:after="260" w:line="416" w:lineRule="auto"/>
      <w:outlineLvl w:val="2"/>
    </w:pPr>
    <w:rPr>
      <w:b/>
      <w:bCs/>
      <w:sz w:val="32"/>
      <w:szCs w:val="32"/>
    </w:rPr>
  </w:style>
  <w:style w:type="character" w:styleId="1039" w:customStyle="1">
    <w:name w:val="默认段落字体1"/>
    <w:uiPriority w:val="1"/>
    <w:unhideWhenUsed/>
    <w:qFormat/>
  </w:style>
  <w:style w:type="table" w:styleId="1040" w:customStyle="1">
    <w:name w:val="普通表格1"/>
    <w:uiPriority w:val="99"/>
    <w:unhideWhenUsed/>
    <w:qFormat/>
    <w:tblPr>
      <w:tblCellMar>
        <w:left w:w="0" w:type="dxa"/>
        <w:top w:w="0" w:type="dxa"/>
        <w:right w:w="0" w:type="dxa"/>
        <w:bottom w:w="0" w:type="dxa"/>
      </w:tblCellMar>
    </w:tblPr>
  </w:style>
  <w:style w:type="paragraph" w:styleId="1041" w:customStyle="1">
    <w:name w:val="正文文本缩进1"/>
    <w:basedOn w:val="846"/>
    <w:next w:val="1042"/>
    <w:uiPriority w:val="0"/>
    <w:qFormat/>
    <w:pPr>
      <w:ind w:left="420"/>
      <w:spacing w:after="120"/>
    </w:pPr>
    <w:rPr>
      <w:rFonts w:ascii="等线" w:hAnsi="等线" w:eastAsia="等线"/>
    </w:rPr>
  </w:style>
  <w:style w:type="paragraph" w:styleId="1042" w:customStyle="1">
    <w:name w:val="寄信人地址1"/>
    <w:basedOn w:val="846"/>
    <w:uiPriority w:val="99"/>
    <w:unhideWhenUsed/>
    <w:qFormat/>
    <w:rPr>
      <w:rFonts w:ascii="Arial" w:hAnsi="Arial"/>
    </w:rPr>
  </w:style>
  <w:style w:type="paragraph" w:styleId="1043" w:customStyle="1">
    <w:name w:val="正文缩进1"/>
    <w:basedOn w:val="846"/>
    <w:uiPriority w:val="0"/>
    <w:unhideWhenUsed/>
    <w:qFormat/>
    <w:pPr>
      <w:ind w:firstLine="420"/>
    </w:pPr>
  </w:style>
  <w:style w:type="paragraph" w:styleId="1044" w:customStyle="1">
    <w:name w:val="批注文字1"/>
    <w:basedOn w:val="846"/>
    <w:link w:val="1045"/>
    <w:uiPriority w:val="0"/>
    <w:qFormat/>
    <w:pPr>
      <w:jc w:val="left"/>
    </w:pPr>
  </w:style>
  <w:style w:type="character" w:styleId="1045" w:customStyle="1">
    <w:name w:val="批注文字 Char"/>
    <w:link w:val="1044"/>
    <w:uiPriority w:val="0"/>
    <w:qFormat/>
    <w:rPr>
      <w:rFonts w:ascii="Calibri" w:hAnsi="Calibri"/>
      <w:sz w:val="21"/>
      <w:szCs w:val="22"/>
    </w:rPr>
  </w:style>
  <w:style w:type="paragraph" w:styleId="1046" w:customStyle="1">
    <w:name w:val="正文文本11"/>
    <w:basedOn w:val="846"/>
    <w:next w:val="1047"/>
    <w:uiPriority w:val="0"/>
    <w:qFormat/>
    <w:rPr>
      <w:rFonts w:ascii="楷体_GB2312" w:hAnsi="Arial" w:eastAsia="楷体_GB2312"/>
      <w:sz w:val="28"/>
      <w:szCs w:val="28"/>
    </w:rPr>
  </w:style>
  <w:style w:type="paragraph" w:styleId="1047" w:customStyle="1">
    <w:name w:val="标题1"/>
    <w:basedOn w:val="846"/>
    <w:next w:val="846"/>
    <w:uiPriority w:val="0"/>
    <w:qFormat/>
    <w:pPr>
      <w:jc w:val="center"/>
      <w:spacing w:before="240" w:after="60" w:line="360" w:lineRule="auto"/>
      <w:outlineLvl w:val="0"/>
    </w:pPr>
    <w:rPr>
      <w:rFonts w:ascii="宋体" w:hAnsi="宋体"/>
      <w:b/>
      <w:bCs/>
      <w:sz w:val="32"/>
      <w:szCs w:val="32"/>
    </w:rPr>
  </w:style>
  <w:style w:type="paragraph" w:styleId="1048" w:customStyle="1">
    <w:name w:val="纯文本1"/>
    <w:basedOn w:val="846"/>
    <w:uiPriority w:val="99"/>
    <w:qFormat/>
    <w:rPr>
      <w:rFonts w:ascii="宋体" w:hAnsi="Courier New"/>
      <w:sz w:val="20"/>
      <w:szCs w:val="21"/>
    </w:rPr>
  </w:style>
  <w:style w:type="paragraph" w:styleId="1049" w:customStyle="1">
    <w:name w:val="正文文本缩进 21"/>
    <w:basedOn w:val="846"/>
    <w:uiPriority w:val="0"/>
    <w:qFormat/>
    <w:pPr>
      <w:ind w:left="640"/>
      <w:spacing w:after="120" w:line="480" w:lineRule="auto"/>
    </w:pPr>
    <w:rPr>
      <w:rFonts w:eastAsia="仿宋_GB2312"/>
      <w:sz w:val="32"/>
      <w:szCs w:val="28"/>
    </w:rPr>
  </w:style>
  <w:style w:type="paragraph" w:styleId="1050" w:customStyle="1">
    <w:name w:val="批注框文本1"/>
    <w:basedOn w:val="846"/>
    <w:link w:val="1051"/>
    <w:uiPriority w:val="0"/>
    <w:qFormat/>
    <w:rPr>
      <w:sz w:val="18"/>
      <w:szCs w:val="18"/>
    </w:rPr>
  </w:style>
  <w:style w:type="character" w:styleId="1051" w:customStyle="1">
    <w:name w:val="批注框文本 Char"/>
    <w:link w:val="1050"/>
    <w:uiPriority w:val="0"/>
    <w:qFormat/>
    <w:rPr>
      <w:sz w:val="18"/>
      <w:szCs w:val="18"/>
    </w:rPr>
  </w:style>
  <w:style w:type="paragraph" w:styleId="1052" w:customStyle="1">
    <w:name w:val="页脚1"/>
    <w:basedOn w:val="846"/>
    <w:uiPriority w:val="99"/>
    <w:unhideWhenUsed/>
    <w:qFormat/>
    <w:pPr>
      <w:jc w:val="left"/>
      <w:tabs>
        <w:tab w:val="center" w:pos="4153" w:leader="none"/>
        <w:tab w:val="right" w:pos="8306" w:leader="none"/>
      </w:tabs>
    </w:pPr>
    <w:rPr>
      <w:sz w:val="18"/>
      <w:szCs w:val="18"/>
    </w:rPr>
  </w:style>
  <w:style w:type="paragraph" w:styleId="1053" w:customStyle="1">
    <w:name w:val="页眉1"/>
    <w:basedOn w:val="84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4" w:customStyle="1">
    <w:name w:val="目录 11"/>
    <w:basedOn w:val="846"/>
    <w:next w:val="846"/>
    <w:uiPriority w:val="39"/>
    <w:unhideWhenUsed/>
    <w:qFormat/>
  </w:style>
  <w:style w:type="paragraph" w:styleId="1055" w:customStyle="1">
    <w:name w:val="目录 21"/>
    <w:basedOn w:val="846"/>
    <w:next w:val="846"/>
    <w:uiPriority w:val="0"/>
    <w:qFormat/>
    <w:pPr>
      <w:ind w:left="420"/>
    </w:pPr>
  </w:style>
  <w:style w:type="paragraph" w:styleId="1056" w:customStyle="1">
    <w:name w:val="正文文本 21"/>
    <w:basedOn w:val="846"/>
    <w:uiPriority w:val="0"/>
    <w:qFormat/>
    <w:pPr>
      <w:spacing w:after="120" w:line="480" w:lineRule="auto"/>
    </w:pPr>
  </w:style>
  <w:style w:type="paragraph" w:styleId="1057" w:customStyle="1">
    <w:name w:val="信息标题1"/>
    <w:basedOn w:val="84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58" w:customStyle="1">
    <w:name w:val="普通(网站)1"/>
    <w:basedOn w:val="846"/>
    <w:uiPriority w:val="0"/>
    <w:qFormat/>
    <w:rPr>
      <w:rFonts w:ascii="Times New Roman" w:hAnsi="Times New Roman"/>
      <w:sz w:val="24"/>
    </w:rPr>
  </w:style>
  <w:style w:type="paragraph" w:styleId="1059" w:customStyle="1">
    <w:name w:val="批注主题1"/>
    <w:basedOn w:val="1044"/>
    <w:next w:val="1044"/>
    <w:link w:val="1060"/>
    <w:uiPriority w:val="0"/>
    <w:qFormat/>
    <w:rPr>
      <w:b/>
      <w:bCs/>
    </w:rPr>
  </w:style>
  <w:style w:type="character" w:styleId="1060" w:customStyle="1">
    <w:name w:val="批注主题 Char"/>
    <w:link w:val="1059"/>
    <w:uiPriority w:val="0"/>
    <w:qFormat/>
    <w:rPr>
      <w:rFonts w:ascii="Calibri" w:hAnsi="Calibri"/>
      <w:b/>
      <w:bCs/>
      <w:sz w:val="21"/>
      <w:szCs w:val="22"/>
    </w:rPr>
  </w:style>
  <w:style w:type="paragraph" w:styleId="1061" w:customStyle="1">
    <w:name w:val="正文首行缩进 21"/>
    <w:basedOn w:val="1041"/>
    <w:next w:val="846"/>
    <w:uiPriority w:val="0"/>
    <w:qFormat/>
    <w:pPr>
      <w:ind w:firstLine="420"/>
      <w:spacing w:before="100" w:beforeAutospacing="1"/>
    </w:pPr>
    <w:rPr>
      <w:rFonts w:ascii="Times New Roman" w:hAnsi="Times New Roman" w:eastAsia="宋体"/>
      <w:sz w:val="20"/>
      <w:szCs w:val="21"/>
    </w:rPr>
  </w:style>
  <w:style w:type="table" w:styleId="1062" w:customStyle="1">
    <w:name w:val="网格型1"/>
    <w:basedOn w:val="1040"/>
    <w:uiPriority w:val="0"/>
    <w:qFormat/>
    <w:pPr>
      <w:jc w:val="both"/>
      <w:widowControl w:val="off"/>
    </w:pPr>
    <w:tblPr/>
  </w:style>
  <w:style w:type="character" w:styleId="1063" w:customStyle="1">
    <w:name w:val="要点1"/>
    <w:uiPriority w:val="0"/>
    <w:qFormat/>
    <w:rPr>
      <w:b/>
    </w:rPr>
  </w:style>
  <w:style w:type="character" w:styleId="1064" w:customStyle="1">
    <w:name w:val="强调1"/>
    <w:uiPriority w:val="0"/>
    <w:qFormat/>
    <w:rPr>
      <w:i/>
    </w:rPr>
  </w:style>
  <w:style w:type="character" w:styleId="1065" w:customStyle="1">
    <w:name w:val="超链接1"/>
    <w:uiPriority w:val="0"/>
    <w:qFormat/>
    <w:rPr>
      <w:color w:val="0000ff"/>
      <w:u w:val="single"/>
    </w:rPr>
  </w:style>
  <w:style w:type="character" w:styleId="1066" w:customStyle="1">
    <w:name w:val="批注引用1"/>
    <w:uiPriority w:val="0"/>
    <w:qFormat/>
    <w:rPr>
      <w:sz w:val="21"/>
      <w:szCs w:val="21"/>
    </w:rPr>
  </w:style>
  <w:style w:type="paragraph" w:styleId="1067" w:customStyle="1">
    <w:name w:val="正文（缩进）"/>
    <w:basedOn w:val="846"/>
    <w:uiPriority w:val="0"/>
    <w:qFormat/>
    <w:pPr>
      <w:ind w:firstLine="480"/>
      <w:spacing w:before="156" w:after="156"/>
    </w:pPr>
  </w:style>
  <w:style w:type="paragraph" w:styleId="1068" w:customStyle="1">
    <w:name w:val="正文1"/>
    <w:basedOn w:val="846"/>
    <w:next w:val="1069"/>
    <w:uiPriority w:val="0"/>
    <w:qFormat/>
    <w:pPr>
      <w:jc w:val="left"/>
      <w:spacing w:line="360" w:lineRule="atLeast"/>
    </w:pPr>
    <w:rPr>
      <w:rFonts w:ascii="宋体" w:cs="Arial"/>
      <w:sz w:val="24"/>
      <w:szCs w:val="20"/>
    </w:rPr>
  </w:style>
  <w:style w:type="paragraph" w:styleId="1069" w:customStyle="1">
    <w:name w:val="正文文本1"/>
    <w:basedOn w:val="1068"/>
    <w:next w:val="1070"/>
    <w:uiPriority w:val="0"/>
    <w:qFormat/>
    <w:pPr>
      <w:spacing w:after="120"/>
    </w:pPr>
    <w:rPr>
      <w:lang w:eastAsia="en-US"/>
    </w:rPr>
  </w:style>
  <w:style w:type="paragraph" w:styleId="1070" w:customStyle="1">
    <w:name w:val="一级条标题"/>
    <w:basedOn w:val="1071"/>
    <w:next w:val="10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1" w:customStyle="1">
    <w:name w:val="章标题"/>
    <w:next w:val="84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2" w:customStyle="1">
    <w:name w:val="段"/>
    <w:basedOn w:val="1068"/>
    <w:next w:val="846"/>
    <w:uiPriority w:val="0"/>
    <w:qFormat/>
    <w:pPr>
      <w:ind w:firstLine="200"/>
      <w:widowControl/>
    </w:pPr>
    <w:rPr>
      <w:sz w:val="20"/>
    </w:rPr>
  </w:style>
  <w:style w:type="paragraph" w:styleId="1073" w:customStyle="1">
    <w:name w:val="普通正文"/>
    <w:basedOn w:val="846"/>
    <w:uiPriority w:val="0"/>
    <w:qFormat/>
    <w:pPr>
      <w:ind w:firstLine="480"/>
      <w:jc w:val="left"/>
      <w:spacing w:before="120" w:after="120" w:line="360" w:lineRule="auto"/>
    </w:pPr>
    <w:rPr>
      <w:rFonts w:ascii="Arial" w:hAnsi="Arial"/>
      <w:sz w:val="24"/>
      <w:szCs w:val="24"/>
    </w:rPr>
  </w:style>
  <w:style w:type="paragraph" w:styleId="1074" w:customStyle="1">
    <w:name w:val="Char"/>
    <w:basedOn w:val="846"/>
    <w:uiPriority w:val="0"/>
    <w:qFormat/>
    <w:pPr>
      <w:ind w:firstLine="200"/>
      <w:tabs>
        <w:tab w:val="left" w:pos="360" w:leader="none"/>
      </w:tabs>
    </w:pPr>
    <w:rPr>
      <w:rFonts w:ascii="Times New Roman" w:hAnsi="Times New Roman"/>
      <w:sz w:val="28"/>
      <w:szCs w:val="30"/>
    </w:rPr>
  </w:style>
  <w:style w:type="paragraph" w:styleId="1075" w:customStyle="1">
    <w:name w:val="Table Paragraph"/>
    <w:basedOn w:val="846"/>
    <w:uiPriority w:val="1"/>
    <w:qFormat/>
    <w:rPr>
      <w:rFonts w:ascii="Noto Sans CJK JP Regular" w:hAnsi="Noto Sans CJK JP Regular" w:eastAsia="Noto Sans CJK JP Regular" w:cs="Noto Sans CJK JP Regular"/>
    </w:rPr>
  </w:style>
  <w:style w:type="paragraph" w:styleId="1076" w:customStyle="1">
    <w:name w:val="正文（1）"/>
    <w:basedOn w:val="846"/>
    <w:uiPriority w:val="0"/>
    <w:qFormat/>
    <w:pPr>
      <w:numPr>
        <w:ilvl w:val="0"/>
        <w:numId w:val="1"/>
      </w:numPr>
      <w:ind w:firstLine="200"/>
    </w:pPr>
    <w:rPr>
      <w:szCs w:val="24"/>
    </w:rPr>
  </w:style>
  <w:style w:type="paragraph" w:styleId="1077" w:customStyle="1">
    <w:name w:val="朱-正文"/>
    <w:basedOn w:val="846"/>
    <w:uiPriority w:val="0"/>
    <w:qFormat/>
    <w:pPr>
      <w:ind w:firstLine="200"/>
    </w:pPr>
    <w:rPr>
      <w:rFonts w:ascii="Times New Roman"/>
      <w:color w:val="000000"/>
      <w:szCs w:val="24"/>
      <w:lang w:val="en-GB"/>
    </w:rPr>
  </w:style>
  <w:style w:type="paragraph" w:styleId="1078" w:customStyle="1">
    <w:name w:val="GP正文(首行缩进)"/>
    <w:basedOn w:val="846"/>
    <w:uiPriority w:val="0"/>
    <w:qFormat/>
    <w:pPr>
      <w:ind w:firstLine="480"/>
      <w:jc w:val="left"/>
    </w:pPr>
    <w:rPr>
      <w:rFonts w:ascii="Times New Roman" w:hAnsi="宋体"/>
      <w:sz w:val="24"/>
      <w:szCs w:val="24"/>
    </w:rPr>
  </w:style>
  <w:style w:type="character" w:styleId="1079" w:customStyle="1">
    <w:name w:val="font71"/>
    <w:uiPriority w:val="0"/>
    <w:qFormat/>
    <w:rPr>
      <w:rFonts w:hint="eastAsia" w:ascii="宋体" w:hAnsi="宋体" w:eastAsia="宋体" w:cs="宋体"/>
      <w:color w:val="ff0000"/>
      <w:sz w:val="21"/>
      <w:szCs w:val="21"/>
      <w:u w:val="none"/>
    </w:rPr>
  </w:style>
  <w:style w:type="character" w:styleId="1080" w:customStyle="1">
    <w:name w:val="font41"/>
    <w:uiPriority w:val="0"/>
    <w:qFormat/>
    <w:rPr>
      <w:rFonts w:hint="eastAsia" w:ascii="宋体" w:hAnsi="宋体" w:eastAsia="宋体" w:cs="宋体"/>
      <w:color w:val="000000"/>
      <w:sz w:val="21"/>
      <w:szCs w:val="21"/>
      <w:u w:val="none"/>
    </w:rPr>
  </w:style>
  <w:style w:type="paragraph" w:styleId="1081" w:customStyle="1">
    <w:name w:val="列出段落"/>
    <w:basedOn w:val="846"/>
    <w:uiPriority w:val="0"/>
    <w:qFormat/>
    <w:pPr>
      <w:ind w:firstLine="420"/>
    </w:pPr>
  </w:style>
  <w:style w:type="paragraph" w:styleId="1082" w:customStyle="1">
    <w:name w:val="列出段落2"/>
    <w:basedOn w:val="846"/>
    <w:uiPriority w:val="34"/>
    <w:qFormat/>
    <w:pPr>
      <w:ind w:firstLine="420"/>
    </w:pPr>
    <w:rPr>
      <w:rFonts w:ascii="宋体"/>
      <w:color w:val="404040"/>
    </w:rPr>
  </w:style>
  <w:style w:type="paragraph" w:styleId="1083" w:customStyle="1">
    <w:name w:val="列表段落1"/>
    <w:basedOn w:val="846"/>
    <w:uiPriority w:val="0"/>
    <w:qFormat/>
    <w:pPr>
      <w:ind w:firstLine="200"/>
    </w:pPr>
    <w:rPr>
      <w:rFonts w:cs="宋体"/>
    </w:rPr>
  </w:style>
  <w:style w:type="character" w:styleId="1084" w:customStyle="1">
    <w:name w:val="font51"/>
    <w:uiPriority w:val="0"/>
    <w:qFormat/>
    <w:rPr>
      <w:rFonts w:hint="eastAsia" w:ascii="宋体" w:hAnsi="宋体" w:eastAsia="宋体" w:cs="宋体"/>
      <w:color w:val="000000"/>
      <w:sz w:val="24"/>
      <w:szCs w:val="24"/>
      <w:u w:val="none"/>
      <w:vertAlign w:val="subscript"/>
    </w:rPr>
  </w:style>
  <w:style w:type="character" w:styleId="1085" w:customStyle="1">
    <w:name w:val="font61"/>
    <w:uiPriority w:val="0"/>
    <w:qFormat/>
    <w:rPr>
      <w:rFonts w:hint="eastAsia" w:ascii="宋体" w:hAnsi="宋体" w:eastAsia="宋体" w:cs="宋体"/>
      <w:color w:val="000000"/>
      <w:sz w:val="24"/>
      <w:szCs w:val="24"/>
      <w:u w:val="none"/>
    </w:rPr>
  </w:style>
  <w:style w:type="character" w:styleId="1086" w:customStyle="1">
    <w:name w:val="font01"/>
    <w:uiPriority w:val="0"/>
    <w:qFormat/>
    <w:rPr>
      <w:rFonts w:hint="eastAsia" w:ascii="宋体" w:hAnsi="宋体" w:eastAsia="宋体" w:cs="宋体"/>
      <w:color w:val="000000"/>
      <w:sz w:val="24"/>
      <w:szCs w:val="24"/>
      <w:u w:val="none"/>
    </w:rPr>
  </w:style>
  <w:style w:type="character" w:styleId="1087" w:customStyle="1">
    <w:name w:val="font81"/>
    <w:uiPriority w:val="0"/>
    <w:qFormat/>
    <w:rPr>
      <w:rFonts w:ascii="微软雅黑" w:hAnsi="微软雅黑" w:eastAsia="微软雅黑" w:cs="微软雅黑"/>
      <w:color w:val="000000"/>
      <w:sz w:val="24"/>
      <w:szCs w:val="24"/>
      <w:u w:val="none"/>
    </w:rPr>
  </w:style>
  <w:style w:type="character" w:styleId="1088" w:customStyle="1">
    <w:name w:val="font91"/>
    <w:uiPriority w:val="0"/>
    <w:qFormat/>
    <w:rPr>
      <w:rFonts w:ascii="Segoe UI Symbol" w:hAnsi="Segoe UI Symbol" w:eastAsia="Segoe UI Symbol" w:cs="Segoe UI Symbol"/>
      <w:color w:val="000000"/>
      <w:sz w:val="24"/>
      <w:szCs w:val="24"/>
      <w:u w:val="none"/>
    </w:rPr>
  </w:style>
  <w:style w:type="character" w:styleId="1089" w:customStyle="1">
    <w:name w:val="font101"/>
    <w:uiPriority w:val="0"/>
    <w:qFormat/>
    <w:rPr>
      <w:rFonts w:ascii="Calibri" w:hAnsi="Calibri" w:cs="Calibri"/>
      <w:color w:val="000000"/>
      <w:sz w:val="24"/>
      <w:szCs w:val="24"/>
      <w:u w:val="none"/>
    </w:rPr>
  </w:style>
  <w:style w:type="paragraph" w:styleId="1090" w:customStyle="1">
    <w:name w:val="TableItem"/>
    <w:uiPriority w:val="0"/>
    <w:qFormat/>
    <w:rPr>
      <w:rFonts w:ascii="Verdana" w:hAnsi="Verdana" w:eastAsia="宋体" w:cs="Verdana"/>
      <w:b/>
      <w:bCs/>
      <w:color w:val="538135"/>
      <w:spacing w:val="-10"/>
      <w:sz w:val="16"/>
      <w:szCs w:val="28"/>
      <w:lang w:val="en-US" w:eastAsia="zh-CN" w:bidi="ar-SA"/>
    </w:rPr>
  </w:style>
  <w:style w:type="paragraph" w:styleId="1091" w:customStyle="1">
    <w:name w:val="TableEmphasis"/>
    <w:basedOn w:val="846"/>
    <w:uiPriority w:val="0"/>
    <w:qFormat/>
    <w:rPr>
      <w:rFonts w:ascii="Times New Roman" w:hAnsi="Times New Roman" w:eastAsia="Times New Roman"/>
      <w:b/>
      <w:bCs/>
      <w:color w:val="3333ff"/>
      <w:sz w:val="16"/>
      <w:szCs w:val="18"/>
    </w:rPr>
  </w:style>
  <w:style w:type="paragraph" w:styleId="1092" w:customStyle="1">
    <w:name w:val="修订1"/>
    <w:uiPriority w:val="99"/>
    <w:unhideWhenUsed/>
    <w:qFormat/>
    <w:rPr>
      <w:rFonts w:ascii="Calibri" w:hAnsi="Calibri" w:eastAsia="宋体" w:cs="Times New Roman"/>
      <w:sz w:val="21"/>
      <w:szCs w:val="22"/>
      <w:lang w:val="en-US" w:eastAsia="zh-CN" w:bidi="ar-SA"/>
    </w:rPr>
  </w:style>
  <w:style w:type="paragraph" w:styleId="1093" w:customStyle="1">
    <w:name w:val="修订2"/>
    <w:uiPriority w:val="99"/>
    <w:semiHidden/>
    <w:qFormat/>
    <w:rPr>
      <w:rFonts w:ascii="Calibri" w:hAnsi="Calibri" w:eastAsia="宋体" w:cs="Times New Roman"/>
      <w:sz w:val="21"/>
      <w:szCs w:val="22"/>
      <w:lang w:val="en-US" w:eastAsia="zh-CN" w:bidi="ar-SA"/>
    </w:rPr>
  </w:style>
  <w:style w:type="character" w:styleId="1094" w:customStyle="1">
    <w:name w:val="font11"/>
    <w:uiPriority w:val="0"/>
    <w:qFormat/>
    <w:rPr>
      <w:rFonts w:hint="eastAsia" w:ascii="宋体" w:hAnsi="宋体" w:eastAsia="宋体" w:cs="宋体"/>
      <w:color w:val="000000"/>
      <w:sz w:val="24"/>
      <w:szCs w:val="24"/>
      <w:u w:val="none"/>
    </w:rPr>
  </w:style>
  <w:style w:type="character" w:styleId="1095" w:customStyle="1">
    <w:name w:val="font21"/>
    <w:uiPriority w:val="0"/>
    <w:qFormat/>
    <w:rPr>
      <w:rFonts w:ascii="Segoe UI Symbol" w:hAnsi="Segoe UI Symbol" w:eastAsia="Segoe UI Symbol" w:cs="Segoe UI Symbol"/>
      <w:color w:val="000000"/>
      <w:sz w:val="24"/>
      <w:szCs w:val="24"/>
      <w:u w:val="none"/>
    </w:rPr>
  </w:style>
  <w:style w:type="character" w:styleId="1096" w:customStyle="1">
    <w:name w:val="NormalCharacter1"/>
    <w:uiPriority w:val="0"/>
    <w:semiHidden/>
    <w:qFormat/>
  </w:style>
  <w:style w:type="character" w:styleId="1097" w:customStyle="1">
    <w:name w:val="font31"/>
    <w:uiPriority w:val="0"/>
    <w:qFormat/>
    <w:rPr>
      <w:rFonts w:hint="eastAsia" w:ascii="宋体" w:hAnsi="宋体" w:eastAsia="宋体" w:cs="宋体"/>
      <w:color w:val="000000"/>
      <w:sz w:val="21"/>
      <w:szCs w:val="21"/>
      <w:u w:val="none"/>
    </w:rPr>
  </w:style>
  <w:style w:type="paragraph" w:styleId="1098" w:customStyle="1">
    <w:name w:val="无间隔1"/>
    <w:uiPriority w:val="1"/>
    <w:qFormat/>
    <w:rPr>
      <w:rFonts w:ascii="Times New Roman" w:hAnsi="Times New Roman" w:eastAsia="宋体" w:cs="Times New Roman"/>
      <w:lang w:val="en-US" w:eastAsia="zh-CN" w:bidi="ar-SA"/>
    </w:rPr>
  </w:style>
  <w:style w:type="paragraph" w:styleId="1099" w:customStyle="1">
    <w:name w:val="索引 41"/>
    <w:basedOn w:val="846"/>
    <w:next w:val="846"/>
    <w:uiPriority w:val="99"/>
    <w:unhideWhenUsed/>
    <w:qFormat/>
    <w:pPr>
      <w:ind w:left="600"/>
    </w:pPr>
    <w:rPr>
      <w:rFonts w:ascii="Verdana" w:hAnsi="Verdana" w:eastAsia="微软雅黑"/>
      <w:szCs w:val="20"/>
    </w:rPr>
  </w:style>
  <w:style w:type="paragraph" w:styleId="1100" w:customStyle="1">
    <w:name w:val="首行缩进"/>
    <w:basedOn w:val="846"/>
    <w:uiPriority w:val="0"/>
    <w:qFormat/>
    <w:pPr>
      <w:ind w:firstLine="420"/>
      <w:spacing w:line="360" w:lineRule="auto"/>
    </w:pPr>
  </w:style>
  <w:style w:type="paragraph" w:styleId="1101" w:customStyle="1">
    <w:name w:val="表格文字"/>
    <w:basedOn w:val="846"/>
    <w:uiPriority w:val="0"/>
    <w:qFormat/>
    <w:pPr>
      <w:ind w:firstLine="0"/>
    </w:pPr>
    <w:rPr>
      <w:rFonts w:cs="宋体"/>
      <w:spacing w:val="2"/>
      <w:szCs w:val="21"/>
      <w:lang w:eastAsia="en-US"/>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3</cp:revision>
  <dcterms:created xsi:type="dcterms:W3CDTF">2024-11-07T06:15:00Z</dcterms:created>
  <dcterms:modified xsi:type="dcterms:W3CDTF">2026-02-26T09:38:38Z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40B8DA7EF64149E09F6D9C931BAA3C4F_13</vt:lpwstr>
  </property>
  <property fmtid="{D5CDD505-2E9C-101B-9397-08002B2CF9AE}" pid="4" name="KSOTemplateDocerSaveRecord">
    <vt:lpwstr>eyJoZGlkIjoiYWE2Y2YzYmM1MzExYzMxMzcwMDIyMWJhYjhkYzBlMGEiLCJ1c2VySWQiOiI0NjY3MzgyMDAifQ==</vt:lpwstr>
  </property>
</Properties>
</file>