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jc w:val="right"/>
        <w:rPr>
          <w:rFonts w:hint="eastAsia" w:ascii="宋体" w:hAnsi="宋体" w:eastAsia="宋体" w:cs="宋体"/>
          <w:b/>
          <w:bCs/>
          <w:color w:val="000000"/>
          <w:sz w:val="36"/>
          <w:szCs w:val="36"/>
          <w:highlight w:val="none"/>
          <w:lang w:eastAsia="zh-CN"/>
        </w:rPr>
      </w:pPr>
      <w:r/>
      <w:bookmarkStart w:id="0" w:name="_Toc19059"/>
      <w:r>
        <w:rPr>
          <w:rFonts w:hint="eastAsia" w:ascii="宋体" w:hAnsi="宋体" w:eastAsia="宋体" w:cs="宋体"/>
          <w:b/>
          <w:bCs/>
          <w:color w:val="000000"/>
          <w:sz w:val="36"/>
          <w:szCs w:val="36"/>
          <w:highlight w:val="none"/>
          <w:lang w:eastAsia="zh-CN"/>
        </w:rPr>
        <w:t xml:space="preserve">JSZC-321002-DJZX-G2026-0001号</w:t>
      </w:r>
      <w:r>
        <w:rPr>
          <w:rFonts w:hint="eastAsia" w:ascii="宋体" w:hAnsi="宋体" w:eastAsia="宋体" w:cs="宋体"/>
          <w:b/>
          <w:bCs/>
          <w:color w:val="000000"/>
          <w:sz w:val="36"/>
          <w:szCs w:val="36"/>
          <w:highlight w:val="none"/>
          <w:lang w:eastAsia="zh-CN"/>
        </w:rPr>
      </w:r>
      <w:r/>
    </w:p>
    <w:p>
      <w:pPr>
        <w:pStyle w:val="995"/>
        <w:jc w:val="right"/>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r>
      <w:r/>
    </w:p>
    <w:p>
      <w:pPr>
        <w:pStyle w:val="995"/>
        <w:jc w:val="center"/>
        <w:rPr>
          <w:rFonts w:hint="eastAsia" w:ascii="宋体" w:hAnsi="宋体" w:eastAsia="宋体" w:cs="宋体"/>
          <w:b/>
          <w:bCs/>
          <w:color w:val="000000"/>
          <w:spacing w:val="-6"/>
          <w:sz w:val="36"/>
          <w:szCs w:val="36"/>
          <w:highlight w:val="none"/>
          <w:lang w:eastAsia="zh-CN"/>
        </w:rPr>
      </w:pPr>
      <w:r>
        <w:rPr>
          <w:rFonts w:hint="eastAsia" w:ascii="宋体" w:hAnsi="宋体" w:eastAsia="宋体" w:cs="宋体"/>
          <w:b/>
          <w:bCs/>
          <w:color w:val="000000"/>
          <w:spacing w:val="-6"/>
          <w:sz w:val="36"/>
          <w:szCs w:val="36"/>
          <w:highlight w:val="none"/>
          <w:lang w:eastAsia="zh-CN"/>
        </w:rPr>
        <w:t xml:space="preserve">广陵区数据局办事大厅一体化服务项目</w:t>
      </w:r>
      <w:r>
        <w:rPr>
          <w:rFonts w:hint="eastAsia" w:ascii="宋体" w:hAnsi="宋体" w:eastAsia="宋体" w:cs="宋体"/>
          <w:b/>
          <w:bCs/>
          <w:color w:val="000000"/>
          <w:spacing w:val="-6"/>
          <w:sz w:val="36"/>
          <w:szCs w:val="36"/>
          <w:highlight w:val="none"/>
          <w:lang w:eastAsia="zh-CN"/>
        </w:rPr>
      </w:r>
      <w:r/>
    </w:p>
    <w:p>
      <w:pPr>
        <w:pStyle w:val="995"/>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公开招标文件</w:t>
      </w:r>
      <w:bookmarkEnd w:id="0"/>
      <w:r>
        <w:rPr>
          <w:rFonts w:hint="eastAsia" w:ascii="宋体" w:hAnsi="宋体" w:eastAsia="宋体" w:cs="宋体"/>
          <w:b/>
          <w:bCs/>
          <w:color w:val="000000"/>
          <w:sz w:val="36"/>
          <w:szCs w:val="36"/>
          <w:highlight w:val="none"/>
        </w:rPr>
      </w:r>
      <w:r/>
    </w:p>
    <w:p>
      <w:pPr>
        <w:pStyle w:val="995"/>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30480</wp:posOffset>
                </wp:positionH>
                <wp:positionV relativeFrom="paragraph">
                  <wp:posOffset>673100</wp:posOffset>
                </wp:positionV>
                <wp:extent cx="5271135" cy="279463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71135" cy="2794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4pt;mso-position-horizontal:absolute;mso-position-vertical-relative:text;margin-top:53.0pt;mso-position-vertical:absolute;width:415.0pt;height:220.0pt;mso-wrap-distance-left:9.0pt;mso-wrap-distance-top:0.0pt;mso-wrap-distance-right:9.0pt;mso-wrap-distance-bottom:0.0pt;" stroked="f">
                <v:path textboxrect="0,0,0,0"/>
                <w10:wrap type="square"/>
                <v:imagedata r:id="rId16" o:title=""/>
              </v:shape>
            </w:pict>
          </mc:Fallback>
        </mc:AlternateContent>
      </w:r>
      <w:r>
        <w:rPr>
          <w:rFonts w:hint="eastAsia" w:ascii="宋体" w:hAnsi="宋体" w:eastAsia="宋体" w:cs="宋体"/>
          <w:color w:val="000000"/>
          <w:szCs w:val="21"/>
          <w:highlight w:val="none"/>
        </w:rPr>
      </w:r>
      <w:r/>
    </w:p>
    <w:p>
      <w:pPr>
        <w:pStyle w:val="1020"/>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7"/>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95"/>
        <w:jc w:val="left"/>
        <w:rPr>
          <w:rFonts w:hint="eastAsia" w:ascii="宋体" w:hAnsi="宋体" w:eastAsia="宋体" w:cs="宋体"/>
          <w:b/>
          <w:bCs/>
          <w:color w:val="000000"/>
          <w:sz w:val="28"/>
          <w:szCs w:val="28"/>
          <w:highlight w:val="none"/>
          <w:lang w:eastAsia="zh-CN"/>
        </w:rPr>
      </w:pPr>
      <w:r/>
      <w:bookmarkStart w:id="1" w:name="_Toc5648"/>
      <w:r>
        <w:rPr>
          <w:rFonts w:hint="eastAsia" w:ascii="宋体" w:hAnsi="宋体" w:eastAsia="宋体" w:cs="宋体"/>
          <w:b/>
          <w:bCs/>
          <w:color w:val="000000"/>
          <w:sz w:val="28"/>
          <w:szCs w:val="28"/>
          <w:highlight w:val="none"/>
        </w:rPr>
        <w:t xml:space="preserve">采购人：</w:t>
      </w:r>
      <w:bookmarkEnd w:id="1"/>
      <w:r>
        <w:rPr>
          <w:rFonts w:hint="eastAsia" w:ascii="宋体" w:hAnsi="宋体" w:eastAsia="宋体" w:cs="宋体"/>
          <w:b/>
          <w:bCs/>
          <w:color w:val="000000"/>
          <w:sz w:val="28"/>
          <w:szCs w:val="28"/>
          <w:highlight w:val="none"/>
          <w:lang w:eastAsia="zh-CN"/>
        </w:rPr>
        <w:t xml:space="preserve">扬州市广陵区机关事务管理局</w:t>
      </w:r>
      <w:r>
        <w:rPr>
          <w:rFonts w:hint="eastAsia" w:ascii="宋体" w:hAnsi="宋体" w:eastAsia="宋体" w:cs="宋体"/>
          <w:b/>
          <w:bCs/>
          <w:color w:val="000000"/>
          <w:sz w:val="28"/>
          <w:szCs w:val="28"/>
          <w:highlight w:val="none"/>
          <w:lang w:eastAsia="zh-CN"/>
        </w:rPr>
      </w:r>
      <w:r/>
    </w:p>
    <w:p>
      <w:pPr>
        <w:pStyle w:val="995"/>
        <w:jc w:val="lef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采购代理机构（章）：</w:t>
      </w:r>
      <w:r>
        <w:rPr>
          <w:rFonts w:hint="eastAsia" w:ascii="宋体" w:hAnsi="宋体" w:eastAsia="宋体" w:cs="宋体"/>
          <w:b/>
          <w:bCs/>
          <w:color w:val="000000"/>
          <w:sz w:val="28"/>
          <w:szCs w:val="28"/>
          <w:highlight w:val="none"/>
          <w:lang w:eastAsia="zh-CN"/>
        </w:rPr>
        <w:t xml:space="preserve">江苏鼎坚工程咨询有限公司扬州分公司</w:t>
      </w:r>
      <w:r>
        <w:rPr>
          <w:rFonts w:hint="eastAsia" w:ascii="宋体" w:hAnsi="宋体" w:eastAsia="宋体" w:cs="宋体"/>
          <w:b/>
          <w:bCs/>
          <w:color w:val="000000"/>
          <w:sz w:val="28"/>
          <w:szCs w:val="28"/>
          <w:highlight w:val="none"/>
          <w:lang w:eastAsia="zh-CN"/>
        </w:rPr>
      </w:r>
      <w:r/>
    </w:p>
    <w:p>
      <w:pPr>
        <w:pStyle w:val="995"/>
        <w:jc w:val="left"/>
        <w:rPr>
          <w:rFonts w:hint="eastAsia" w:ascii="宋体" w:hAnsi="宋体" w:eastAsia="宋体" w:cs="宋体"/>
          <w:b/>
          <w:bCs/>
          <w:color w:val="000000"/>
          <w:sz w:val="28"/>
          <w:szCs w:val="28"/>
          <w:highlight w:val="none"/>
          <w:lang w:eastAsia="zh-CN"/>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28"/>
          <w:szCs w:val="28"/>
          <w:highlight w:val="none"/>
        </w:rPr>
        <w:t xml:space="preserve">发放日期：</w:t>
      </w:r>
      <w:r>
        <w:rPr>
          <w:rFonts w:hint="eastAsia" w:ascii="宋体" w:hAnsi="宋体" w:eastAsia="宋体" w:cs="宋体"/>
          <w:b/>
          <w:bCs/>
          <w:color w:val="000000"/>
          <w:sz w:val="28"/>
          <w:szCs w:val="28"/>
          <w:highlight w:val="none"/>
          <w:lang w:eastAsia="zh-CN"/>
        </w:rPr>
        <w:t xml:space="preserve">2026年</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lang w:eastAsia="zh-CN"/>
        </w:rPr>
        <w:t xml:space="preserve">月</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lang w:eastAsia="zh-CN"/>
        </w:rPr>
        <w:t xml:space="preserve">日</w:t>
      </w:r>
      <w:r>
        <w:rPr>
          <w:rFonts w:hint="eastAsia" w:ascii="宋体" w:hAnsi="宋体" w:eastAsia="宋体" w:cs="宋体"/>
          <w:b/>
          <w:bCs/>
          <w:color w:val="000000"/>
          <w:sz w:val="28"/>
          <w:szCs w:val="28"/>
          <w:highlight w:val="none"/>
          <w:lang w:eastAsia="zh-CN"/>
        </w:rPr>
      </w:r>
      <w:r/>
    </w:p>
    <w:p>
      <w:pPr>
        <w:pStyle w:val="995"/>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目  录</w:t>
      </w:r>
      <w:r>
        <w:rPr>
          <w:rFonts w:hint="eastAsia" w:ascii="宋体" w:hAnsi="宋体" w:eastAsia="宋体" w:cs="宋体"/>
          <w:b/>
          <w:color w:val="000000"/>
          <w:sz w:val="44"/>
          <w:szCs w:val="44"/>
          <w:highlight w:val="none"/>
        </w:rPr>
      </w:r>
      <w:r/>
    </w:p>
    <w:p>
      <w:pPr>
        <w:pStyle w:val="1107"/>
        <w:tabs>
          <w:tab w:val="right" w:pos="8306" w:leader="dot"/>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10"/>
        <w:tabs>
          <w:tab w:val="right" w:pos="8306"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TOC \o "1-1" \h \u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_Toc19640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第一章 招标公告</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_Toc19640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1</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r>
      <w:r/>
    </w:p>
    <w:p>
      <w:pPr>
        <w:pStyle w:val="1010"/>
        <w:tabs>
          <w:tab w:val="right" w:pos="8306" w:leader="dot"/>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_Toc10305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第二章 投标须知</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_Toc10305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5</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r>
      <w:r/>
    </w:p>
    <w:p>
      <w:pPr>
        <w:pStyle w:val="1010"/>
        <w:tabs>
          <w:tab w:val="right" w:pos="8306" w:leader="dot"/>
        </w:tabs>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_Toc12872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第三章 合同条款及格式</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lang w:val="en-US" w:eastAsia="zh-CN"/>
        </w:rPr>
        <w:t xml:space="preserve">1</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lang w:val="en-US" w:eastAsia="zh-CN"/>
        </w:rPr>
        <w:t xml:space="preserve">8</w:t>
      </w:r>
      <w:r>
        <w:rPr>
          <w:rFonts w:hint="eastAsia" w:ascii="宋体" w:hAnsi="宋体" w:eastAsia="宋体" w:cs="宋体"/>
          <w:b/>
          <w:color w:val="000000"/>
          <w:sz w:val="28"/>
          <w:szCs w:val="28"/>
          <w:highlight w:val="none"/>
          <w:lang w:val="en-US" w:eastAsia="zh-CN"/>
        </w:rPr>
      </w:r>
      <w:r/>
    </w:p>
    <w:p>
      <w:pPr>
        <w:pStyle w:val="1010"/>
        <w:tabs>
          <w:tab w:val="right" w:pos="8306" w:leader="dot"/>
        </w:tabs>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_Toc19326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第四章 项目需求</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lang w:val="en-US" w:eastAsia="zh-CN"/>
        </w:rPr>
        <w:t xml:space="preserve">2</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lang w:val="en-US" w:eastAsia="zh-CN"/>
        </w:rPr>
        <w:t xml:space="preserve">2</w:t>
      </w:r>
      <w:r>
        <w:rPr>
          <w:rFonts w:hint="eastAsia" w:ascii="宋体" w:hAnsi="宋体" w:eastAsia="宋体" w:cs="宋体"/>
          <w:b/>
          <w:color w:val="000000"/>
          <w:sz w:val="28"/>
          <w:szCs w:val="28"/>
          <w:highlight w:val="none"/>
          <w:lang w:val="en-US" w:eastAsia="zh-CN"/>
        </w:rPr>
      </w:r>
      <w:r/>
    </w:p>
    <w:p>
      <w:pPr>
        <w:pStyle w:val="1010"/>
        <w:tabs>
          <w:tab w:val="right" w:pos="8306" w:leader="dot"/>
        </w:tabs>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_Toc29291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第五章 评标方法及评标标准</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lang w:val="en-US" w:eastAsia="zh-CN"/>
        </w:rPr>
        <w:t xml:space="preserve">3</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lang w:val="en-US" w:eastAsia="zh-CN"/>
        </w:rPr>
        <w:t xml:space="preserve">7</w:t>
      </w:r>
      <w:r>
        <w:rPr>
          <w:rFonts w:hint="eastAsia" w:ascii="宋体" w:hAnsi="宋体" w:eastAsia="宋体" w:cs="宋体"/>
          <w:b/>
          <w:color w:val="000000"/>
          <w:sz w:val="28"/>
          <w:szCs w:val="28"/>
          <w:highlight w:val="none"/>
          <w:lang w:val="en-US" w:eastAsia="zh-CN"/>
        </w:rPr>
      </w:r>
      <w:r/>
    </w:p>
    <w:p>
      <w:pPr>
        <w:pStyle w:val="1010"/>
        <w:tabs>
          <w:tab w:val="right" w:pos="8306" w:leader="dot"/>
        </w:tabs>
        <w:rPr>
          <w:rFonts w:hint="eastAsia" w:ascii="宋体" w:hAnsi="宋体" w:eastAsia="宋体" w:cs="宋体"/>
          <w:b/>
          <w:color w:val="000000"/>
          <w:sz w:val="24"/>
          <w:szCs w:val="24"/>
          <w:highlight w:val="none"/>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HYPERLINK \l _Toc7338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第六章 投标文件格式</w:t>
      </w:r>
      <w:r>
        <w:rPr>
          <w:rFonts w:hint="eastAsia" w:ascii="宋体" w:hAnsi="宋体" w:eastAsia="宋体" w:cs="宋体"/>
          <w:b/>
          <w:color w:val="000000"/>
          <w:sz w:val="28"/>
          <w:szCs w:val="28"/>
          <w:highlight w:val="none"/>
        </w:rPr>
        <w:tab/>
      </w: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 PAGEREF _Toc7338 \h </w:instrText>
      </w:r>
      <w:r>
        <w:rPr>
          <w:rFonts w:hint="eastAsia" w:ascii="宋体" w:hAnsi="宋体" w:eastAsia="宋体" w:cs="宋体"/>
          <w:b/>
          <w:color w:val="000000"/>
          <w:sz w:val="28"/>
          <w:szCs w:val="28"/>
          <w:highlight w:val="none"/>
        </w:rPr>
        <w:fldChar w:fldCharType="separate"/>
      </w:r>
      <w:r>
        <w:rPr>
          <w:rFonts w:hint="eastAsia" w:ascii="宋体" w:hAnsi="宋体" w:eastAsia="宋体" w:cs="宋体"/>
          <w:b/>
          <w:color w:val="000000"/>
          <w:sz w:val="28"/>
          <w:szCs w:val="28"/>
          <w:highlight w:val="none"/>
        </w:rPr>
        <w:t xml:space="preserve">28</w:t>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8"/>
          <w:szCs w:val="28"/>
          <w:highlight w:val="none"/>
        </w:rPr>
        <w:fldChar w:fldCharType="end"/>
      </w:r>
      <w:r>
        <w:rPr>
          <w:rFonts w:hint="eastAsia" w:ascii="宋体" w:hAnsi="宋体" w:eastAsia="宋体" w:cs="宋体"/>
          <w:b/>
          <w:color w:val="000000"/>
          <w:sz w:val="24"/>
          <w:szCs w:val="24"/>
          <w:highlight w:val="none"/>
        </w:rPr>
      </w:r>
      <w:r/>
    </w:p>
    <w:p>
      <w:pPr>
        <w:pStyle w:val="995"/>
        <w:jc w:val="center"/>
        <w:spacing w:line="360" w:lineRule="auto"/>
        <w:rPr>
          <w:rFonts w:hint="eastAsia" w:ascii="宋体" w:hAnsi="宋体" w:eastAsia="宋体" w:cs="宋体"/>
          <w:b/>
          <w:bCs/>
          <w:color w:val="000000"/>
          <w:sz w:val="32"/>
          <w:szCs w:val="32"/>
          <w:highlight w:val="none"/>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2" w:name="_Toc497145839"/>
      <w:r/>
      <w:bookmarkEnd w:id="2"/>
      <w:r/>
      <w:bookmarkStart w:id="3" w:name="_Toc13618"/>
      <w:r/>
      <w:bookmarkStart w:id="4" w:name="_Toc19640"/>
      <w:r>
        <w:rPr>
          <w:rFonts w:hint="eastAsia" w:ascii="宋体" w:hAnsi="宋体" w:eastAsia="宋体" w:cs="宋体"/>
          <w:b/>
          <w:bCs/>
          <w:color w:val="000000"/>
          <w:sz w:val="32"/>
          <w:szCs w:val="32"/>
          <w:highlight w:val="none"/>
        </w:rPr>
      </w:r>
      <w:r/>
    </w:p>
    <w:p>
      <w:pPr>
        <w:pStyle w:val="995"/>
        <w:jc w:val="center"/>
        <w:spacing w:line="360" w:lineRule="auto"/>
        <w:rPr>
          <w:rFonts w:hint="eastAsia" w:ascii="宋体" w:hAnsi="宋体" w:eastAsia="宋体" w:cs="宋体"/>
          <w:color w:val="000000"/>
          <w:sz w:val="32"/>
          <w:szCs w:val="32"/>
          <w:highlight w:val="none"/>
        </w:rPr>
        <w:outlineLvl w:val="0"/>
      </w:pPr>
      <w:r>
        <w:rPr>
          <w:rFonts w:hint="eastAsia" w:ascii="宋体" w:hAnsi="宋体" w:eastAsia="宋体" w:cs="宋体"/>
          <w:b/>
          <w:bCs/>
          <w:color w:val="000000"/>
          <w:sz w:val="32"/>
          <w:szCs w:val="32"/>
          <w:highlight w:val="none"/>
        </w:rPr>
        <w:t xml:space="preserve">第一章 招标公告</w:t>
      </w:r>
      <w:bookmarkEnd w:id="3"/>
      <w:r/>
      <w:bookmarkEnd w:id="4"/>
      <w:r>
        <w:rPr>
          <w:rFonts w:hint="eastAsia" w:ascii="宋体" w:hAnsi="宋体" w:eastAsia="宋体" w:cs="宋体"/>
          <w:color w:val="000000"/>
          <w:sz w:val="32"/>
          <w:szCs w:val="32"/>
          <w:highlight w:val="none"/>
        </w:rPr>
      </w:r>
      <w:r/>
    </w:p>
    <w:p>
      <w:pPr>
        <w:pStyle w:val="995"/>
        <w:ind w:firstLine="420"/>
        <w:pageBreakBefore w:val="0"/>
        <w:spacing w:line="360" w:lineRule="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none"/>
        </w:rPr>
        <w:t xml:space="preserve">项目概况</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Cs w:val="21"/>
          <w:highlight w:val="none"/>
          <w:lang w:eastAsia="zh-CN"/>
        </w:rPr>
        <w:t xml:space="preserve">广陵区数据局办事大厅一体化服务项目</w:t>
      </w:r>
      <w:r>
        <w:rPr>
          <w:rFonts w:hint="eastAsia" w:ascii="宋体" w:hAnsi="宋体" w:eastAsia="宋体" w:cs="宋体"/>
          <w:color w:val="000000"/>
          <w:szCs w:val="21"/>
          <w:highlight w:val="none"/>
        </w:rPr>
        <w:t xml:space="preserve">的潜在投标人应在</w:t>
      </w:r>
      <w:r>
        <w:rPr>
          <w:rFonts w:hint="eastAsia" w:ascii="宋体" w:hAnsi="宋体" w:eastAsia="宋体" w:cs="宋体"/>
          <w:color w:val="000000"/>
          <w:szCs w:val="21"/>
          <w:highlight w:val="none"/>
          <w:u w:val="single"/>
        </w:rPr>
        <w:t xml:space="preserve">“中国政府采购网”</w:t>
      </w:r>
      <w:r>
        <w:rPr>
          <w:rFonts w:hint="eastAsia" w:ascii="宋体" w:hAnsi="宋体" w:eastAsia="宋体" w:cs="宋体"/>
          <w:color w:val="000000"/>
          <w:szCs w:val="21"/>
          <w:highlight w:val="none"/>
          <w:u w:val="single"/>
          <w:lang w:eastAsia="zh-CN"/>
        </w:rPr>
        <w:t xml:space="preserve">、</w:t>
      </w:r>
      <w:r>
        <w:rPr>
          <w:rFonts w:hint="eastAsia" w:ascii="宋体" w:hAnsi="宋体" w:eastAsia="宋体" w:cs="宋体"/>
          <w:color w:val="000000"/>
          <w:szCs w:val="21"/>
          <w:highlight w:val="none"/>
          <w:u w:val="single"/>
        </w:rPr>
        <w:t xml:space="preserve">“江苏省政府采购网”、“扬州市政府采购网”、“扬州市广陵区政府采购网”</w:t>
      </w:r>
      <w:r>
        <w:rPr>
          <w:rFonts w:hint="eastAsia" w:ascii="宋体" w:hAnsi="宋体" w:eastAsia="宋体" w:cs="宋体"/>
          <w:color w:val="000000"/>
          <w:szCs w:val="21"/>
          <w:highlight w:val="none"/>
        </w:rPr>
        <w:t xml:space="preserve">获取采购文件，并于</w:t>
      </w:r>
      <w:r>
        <w:rPr>
          <w:rFonts w:hint="eastAsia" w:ascii="宋体" w:hAnsi="宋体" w:eastAsia="宋体" w:cs="宋体"/>
          <w:color w:val="000000"/>
          <w:szCs w:val="21"/>
          <w:highlight w:val="none"/>
          <w:u w:val="single"/>
        </w:rPr>
        <w:t xml:space="preserve">202</w:t>
      </w:r>
      <w:r>
        <w:rPr>
          <w:rFonts w:hint="eastAsia" w:ascii="宋体" w:hAnsi="宋体" w:eastAsia="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年</w:t>
      </w:r>
      <w:r>
        <w:rPr>
          <w:rFonts w:hint="eastAsia" w:ascii="宋体" w:hAnsi="宋体" w:eastAsia="宋体" w:cs="宋体"/>
          <w:color w:val="000000"/>
          <w:szCs w:val="21"/>
          <w:highlight w:val="none"/>
          <w:u w:val="single"/>
          <w:lang w:val="en-US" w:eastAsia="zh-CN"/>
        </w:rPr>
        <w:t xml:space="preserve">2</w:t>
      </w:r>
      <w:r>
        <w:rPr>
          <w:rFonts w:hint="eastAsia" w:ascii="宋体" w:hAnsi="宋体" w:eastAsia="宋体" w:cs="宋体"/>
          <w:color w:val="000000"/>
          <w:szCs w:val="21"/>
          <w:highlight w:val="none"/>
          <w:u w:val="single"/>
        </w:rPr>
        <w:t xml:space="preserve">月</w:t>
      </w:r>
      <w:r>
        <w:rPr>
          <w:rFonts w:hint="eastAsia" w:ascii="宋体" w:hAnsi="宋体" w:eastAsia="宋体" w:cs="宋体"/>
          <w:color w:val="000000"/>
          <w:szCs w:val="21"/>
          <w:highlight w:val="none"/>
          <w:u w:val="single"/>
          <w:lang w:val="en-US" w:eastAsia="zh-CN"/>
        </w:rPr>
        <w:t xml:space="preserve">3</w:t>
      </w:r>
      <w:r>
        <w:rPr>
          <w:rFonts w:hint="eastAsia" w:ascii="宋体" w:hAnsi="宋体" w:eastAsia="宋体" w:cs="宋体"/>
          <w:color w:val="000000"/>
          <w:szCs w:val="21"/>
          <w:highlight w:val="none"/>
          <w:u w:val="single"/>
        </w:rPr>
        <w:t xml:space="preserve">日</w:t>
      </w:r>
      <w:r>
        <w:rPr>
          <w:rFonts w:hint="eastAsia" w:ascii="宋体" w:hAnsi="宋体" w:eastAsia="宋体" w:cs="宋体"/>
          <w:color w:val="000000"/>
          <w:szCs w:val="21"/>
          <w:highlight w:val="none"/>
          <w:u w:val="single"/>
          <w:lang w:val="en-US" w:eastAsia="zh-CN"/>
        </w:rPr>
        <w:t xml:space="preserve">上午09</w:t>
      </w:r>
      <w:r>
        <w:rPr>
          <w:rFonts w:hint="eastAsia" w:ascii="宋体" w:hAnsi="宋体" w:eastAsia="宋体" w:cs="宋体"/>
          <w:color w:val="000000"/>
          <w:szCs w:val="21"/>
          <w:highlight w:val="none"/>
          <w:u w:val="single"/>
        </w:rPr>
        <w:t xml:space="preserve">点30分</w:t>
      </w:r>
      <w:r>
        <w:rPr>
          <w:rFonts w:hint="eastAsia" w:ascii="宋体" w:hAnsi="宋体" w:eastAsia="宋体" w:cs="宋体"/>
          <w:bCs/>
          <w:color w:val="000000"/>
          <w:szCs w:val="21"/>
          <w:highlight w:val="none"/>
        </w:rPr>
        <w:t xml:space="preserve">（北京时间）前提交投标文件</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29"/>
        <w:jc w:val="both"/>
        <w:pageBreakBefore w:val="0"/>
        <w:spacing w:before="0" w:after="0" w:line="360" w:lineRule="auto"/>
        <w:rPr>
          <w:rFonts w:hint="eastAsia" w:ascii="宋体" w:hAnsi="宋体" w:eastAsia="宋体" w:cs="宋体"/>
          <w:color w:val="000000"/>
          <w:sz w:val="21"/>
          <w:szCs w:val="21"/>
          <w:highlight w:val="none"/>
        </w:rPr>
      </w:pPr>
      <w:r/>
      <w:bookmarkStart w:id="5" w:name="_Toc28359089"/>
      <w:r/>
      <w:bookmarkEnd w:id="5"/>
      <w:r/>
      <w:bookmarkStart w:id="6" w:name="_Toc35393629"/>
      <w:r/>
      <w:bookmarkEnd w:id="6"/>
      <w:r/>
      <w:bookmarkStart w:id="7" w:name="_Toc28359012"/>
      <w:r/>
      <w:bookmarkEnd w:id="7"/>
      <w:r/>
      <w:bookmarkStart w:id="8" w:name="_Toc35393798"/>
      <w:r/>
      <w:bookmarkEnd w:id="8"/>
      <w:r/>
      <w:bookmarkStart w:id="9" w:name="_Toc24823"/>
      <w:r>
        <w:rPr>
          <w:rFonts w:hint="eastAsia" w:ascii="宋体" w:hAnsi="宋体" w:eastAsia="宋体" w:cs="宋体"/>
          <w:color w:val="000000"/>
          <w:sz w:val="21"/>
          <w:szCs w:val="21"/>
          <w:highlight w:val="none"/>
        </w:rPr>
        <w:t xml:space="preserve">一、项目基本情况</w:t>
      </w:r>
      <w:bookmarkEnd w:id="9"/>
      <w:r>
        <w:rPr>
          <w:rFonts w:hint="eastAsia" w:ascii="宋体" w:hAnsi="宋体" w:eastAsia="宋体" w:cs="宋体"/>
          <w:color w:val="000000"/>
          <w:sz w:val="21"/>
          <w:szCs w:val="21"/>
          <w:highlight w:val="none"/>
        </w:rPr>
      </w:r>
      <w:r/>
    </w:p>
    <w:p>
      <w:pPr>
        <w:pStyle w:val="995"/>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lang w:eastAsia="zh-CN"/>
        </w:rPr>
        <w:t xml:space="preserve">JSZC-321002-DJZX-G2026-0001号 </w:t>
      </w:r>
      <w:r>
        <w:rPr>
          <w:rFonts w:hint="eastAsia" w:ascii="宋体" w:hAnsi="宋体" w:eastAsia="宋体" w:cs="宋体"/>
          <w:color w:val="000000"/>
          <w:szCs w:val="21"/>
          <w:highlight w:val="none"/>
          <w:lang w:eastAsia="zh-CN"/>
        </w:rPr>
      </w:r>
      <w:r/>
    </w:p>
    <w:p>
      <w:pPr>
        <w:pStyle w:val="995"/>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广陵区数据局办事大厅一体化服务项目</w:t>
      </w:r>
      <w:r>
        <w:rPr>
          <w:rFonts w:hint="eastAsia" w:ascii="宋体" w:hAnsi="宋体" w:eastAsia="宋体" w:cs="宋体"/>
          <w:color w:val="000000"/>
          <w:szCs w:val="21"/>
          <w:highlight w:val="none"/>
          <w:lang w:eastAsia="zh-CN"/>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采购方式：公开招标</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预算金额：</w:t>
      </w:r>
      <w:r>
        <w:rPr>
          <w:rFonts w:hint="eastAsia" w:ascii="宋体" w:hAnsi="宋体" w:eastAsia="宋体" w:cs="宋体"/>
          <w:color w:val="000000"/>
          <w:highlight w:val="none"/>
          <w:lang w:eastAsia="zh-CN"/>
        </w:rPr>
        <w:t xml:space="preserve">项目总预算270万元，项目服务期3年，90万元/年</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最高限价：</w:t>
      </w:r>
      <w:r>
        <w:rPr>
          <w:rFonts w:hint="eastAsia" w:ascii="宋体" w:hAnsi="宋体" w:eastAsia="宋体" w:cs="宋体"/>
          <w:color w:val="000000"/>
          <w:highlight w:val="none"/>
          <w:lang w:val="en-US" w:eastAsia="zh-CN"/>
        </w:rPr>
        <w:t xml:space="preserve">90</w:t>
      </w:r>
      <w:r>
        <w:rPr>
          <w:rFonts w:hint="eastAsia" w:ascii="宋体" w:hAnsi="宋体" w:eastAsia="宋体" w:cs="宋体"/>
          <w:color w:val="000000"/>
          <w:highlight w:val="none"/>
          <w:lang w:eastAsia="zh-CN"/>
        </w:rPr>
        <w:t xml:space="preserve">万元/年</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3年共计270万元</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（最后报价超过最高限价的为无效报价，按照无效投标处理）</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采购需求：详见项目需求。</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合同期限：</w:t>
      </w:r>
      <w:r>
        <w:rPr>
          <w:rFonts w:hint="eastAsia" w:ascii="宋体" w:hAnsi="宋体" w:eastAsia="宋体" w:cs="宋体"/>
          <w:color w:val="000000"/>
          <w:szCs w:val="21"/>
          <w:highlight w:val="none"/>
          <w:lang w:eastAsia="zh-CN"/>
        </w:rPr>
        <w:t xml:space="preserve">自合同签订之日起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接受联合体：否</w:t>
      </w:r>
      <w:r>
        <w:rPr>
          <w:rFonts w:hint="eastAsia" w:ascii="宋体" w:hAnsi="宋体" w:eastAsia="宋体" w:cs="宋体"/>
          <w:color w:val="000000"/>
          <w:szCs w:val="21"/>
          <w:highlight w:val="none"/>
        </w:rPr>
      </w:r>
      <w:r/>
    </w:p>
    <w:p>
      <w:pPr>
        <w:pStyle w:val="1029"/>
        <w:jc w:val="both"/>
        <w:pageBreakBefore w:val="0"/>
        <w:spacing w:before="0" w:after="0" w:line="360" w:lineRule="auto"/>
        <w:rPr>
          <w:rFonts w:hint="eastAsia" w:ascii="宋体" w:hAnsi="宋体" w:eastAsia="宋体" w:cs="宋体"/>
          <w:color w:val="000000"/>
          <w:sz w:val="21"/>
          <w:szCs w:val="21"/>
          <w:highlight w:val="none"/>
        </w:rPr>
      </w:pPr>
      <w:r/>
      <w:bookmarkStart w:id="10" w:name="_Toc28359013"/>
      <w:r/>
      <w:bookmarkEnd w:id="10"/>
      <w:r/>
      <w:bookmarkStart w:id="11" w:name="_Toc35393630"/>
      <w:r/>
      <w:bookmarkEnd w:id="11"/>
      <w:r/>
      <w:bookmarkStart w:id="12" w:name="_Toc35393799"/>
      <w:r/>
      <w:bookmarkEnd w:id="12"/>
      <w:r/>
      <w:bookmarkStart w:id="13" w:name="_Toc28359090"/>
      <w:r/>
      <w:bookmarkEnd w:id="13"/>
      <w:r/>
      <w:bookmarkStart w:id="14" w:name="_Toc20841"/>
      <w:r>
        <w:rPr>
          <w:rFonts w:hint="eastAsia" w:ascii="宋体" w:hAnsi="宋体" w:eastAsia="宋体" w:cs="宋体"/>
          <w:color w:val="000000"/>
          <w:sz w:val="21"/>
          <w:szCs w:val="21"/>
          <w:highlight w:val="none"/>
        </w:rPr>
        <w:t xml:space="preserve">二、申请人的资格要求：</w:t>
      </w:r>
      <w:bookmarkEnd w:id="14"/>
      <w:r>
        <w:rPr>
          <w:rFonts w:hint="eastAsia" w:ascii="宋体" w:hAnsi="宋体" w:eastAsia="宋体" w:cs="宋体"/>
          <w:color w:val="000000"/>
          <w:sz w:val="21"/>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bookmarkStart w:id="15" w:name="_Toc28359014"/>
      <w:r/>
      <w:bookmarkStart w:id="16" w:name="_Toc28359091"/>
      <w:r>
        <w:rPr>
          <w:rFonts w:hint="eastAsia" w:ascii="宋体" w:hAnsi="宋体" w:eastAsia="宋体" w:cs="宋体"/>
          <w:color w:val="000000"/>
          <w:szCs w:val="21"/>
          <w:highlight w:val="none"/>
        </w:rPr>
        <w:t xml:space="preserve">（一）满足《中华人民共和国政府采购法》第二十二条规定：</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1.法人或者其他组织的营业执照等证明文件，自然人的身份证明（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995"/>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w:t>
      </w:r>
      <w:r>
        <w:rPr>
          <w:rFonts w:hint="eastAsia" w:ascii="宋体" w:hAnsi="宋体" w:eastAsia="宋体" w:cs="宋体"/>
          <w:i/>
          <w:iCs/>
          <w:color w:val="000000"/>
          <w:szCs w:val="21"/>
          <w:highlight w:val="none"/>
          <w:u w:val="single"/>
          <w:lang w:eastAsia="zh-CN"/>
        </w:rPr>
        <w:t xml:space="preserve">2024年度或上一年度的财务状况报告</w:t>
      </w:r>
      <w:r>
        <w:rPr>
          <w:rFonts w:hint="eastAsia" w:ascii="宋体" w:hAnsi="宋体" w:eastAsia="宋体" w:cs="宋体"/>
          <w:b/>
          <w:bCs/>
          <w:i/>
          <w:iCs/>
          <w:color w:val="000000"/>
          <w:szCs w:val="21"/>
          <w:highlight w:val="none"/>
          <w:u w:val="single"/>
        </w:rPr>
        <w:t xml:space="preserve">（成立不满一年无需提供）</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995"/>
        <w:ind w:firstLine="42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3.依法缴纳税收和社会保障资金的相关材料</w:t>
      </w:r>
      <w:r>
        <w:rPr>
          <w:rFonts w:hint="eastAsia" w:ascii="宋体" w:hAnsi="宋体" w:eastAsia="宋体" w:cs="宋体"/>
          <w:b/>
          <w:bCs/>
          <w:i/>
          <w:iCs/>
          <w:color w:val="000000"/>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bCs/>
          <w:i/>
          <w:iCs/>
          <w:color w:val="000000"/>
          <w:szCs w:val="21"/>
          <w:highlight w:val="none"/>
          <w:u w:val="single"/>
        </w:rPr>
      </w:r>
      <w:r/>
    </w:p>
    <w:p>
      <w:pPr>
        <w:pStyle w:val="995"/>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4.具备履行合同所必需的设备和专业技术能力的书面声明；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r>
      <w:r/>
    </w:p>
    <w:p>
      <w:pPr>
        <w:pStyle w:val="995"/>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5.参加政府采购活动前3年内在经营活动中没有重大违法记录的书面声明。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r>
      <w:r/>
    </w:p>
    <w:p>
      <w:pPr>
        <w:pStyle w:val="995"/>
        <w:ind w:firstLine="42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6.投标人信用承诺函</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b/>
          <w:bCs/>
          <w:i/>
          <w:iCs/>
          <w:color w:val="000000"/>
          <w:szCs w:val="21"/>
          <w:highlight w:val="none"/>
          <w:u w:val="single"/>
        </w:rPr>
      </w:r>
      <w:r/>
    </w:p>
    <w:p>
      <w:pPr>
        <w:pStyle w:val="995"/>
        <w:ind w:firstLine="420"/>
        <w:pageBreakBefore w:val="0"/>
        <w:spacing w:line="360" w:lineRule="auto"/>
        <w:rPr>
          <w:rFonts w:hint="eastAsia" w:ascii="宋体" w:hAnsi="宋体" w:eastAsia="宋体" w:cs="宋体"/>
          <w:i/>
          <w:iCs/>
          <w:color w:val="000000"/>
          <w:szCs w:val="21"/>
          <w:highlight w:val="none"/>
          <w:u w:val="single"/>
        </w:rPr>
      </w:pPr>
      <w:r/>
      <w:bookmarkStart w:id="17" w:name="_Toc35393631"/>
      <w:r/>
      <w:bookmarkStart w:id="18" w:name="_Toc35393800"/>
      <w:r>
        <w:rPr>
          <w:rFonts w:hint="eastAsia" w:ascii="宋体" w:hAnsi="宋体" w:eastAsia="宋体" w:cs="宋体"/>
          <w:color w:val="000000"/>
          <w:szCs w:val="21"/>
          <w:highlight w:val="none"/>
        </w:rPr>
        <w:t xml:space="preserve">（二）采购人根据本项目要求规定的特定条件：</w:t>
      </w:r>
      <w:r>
        <w:rPr>
          <w:rFonts w:hint="eastAsia" w:ascii="宋体" w:hAnsi="宋体" w:eastAsia="宋体" w:cs="宋体"/>
          <w:i/>
          <w:iCs/>
          <w:color w:val="000000"/>
          <w:szCs w:val="21"/>
          <w:highlight w:val="none"/>
          <w:u w:val="single"/>
        </w:rPr>
        <w:t xml:space="preserve">无</w:t>
      </w:r>
      <w:r>
        <w:rPr>
          <w:rFonts w:hint="eastAsia" w:ascii="宋体" w:hAnsi="宋体" w:eastAsia="宋体" w:cs="宋体"/>
          <w:i/>
          <w:iCs/>
          <w:color w:val="000000"/>
          <w:szCs w:val="21"/>
          <w:highlight w:val="none"/>
          <w:u w:val="singl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（三）落实政府采购政策需满足的资格要求：</w:t>
      </w:r>
      <w:r>
        <w:rPr>
          <w:rFonts w:hint="eastAsia" w:ascii="宋体" w:hAnsi="宋体" w:eastAsia="宋体" w:cs="宋体"/>
          <w:i/>
          <w:color w:val="000000"/>
          <w:szCs w:val="21"/>
          <w:highlight w:val="none"/>
          <w:u w:val="single"/>
        </w:rPr>
        <w:t xml:space="preserve">本项目专门面向中小企业采购。投标人须提供《中小企业声明函》，《中小企业声明函》不符合要求或未提供的，投标文件无效。</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（四）拒绝下述投标人参加本次采购活动：</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1.投标人单位负责人为同一人或者存在直接控股、管理关系的不同投标人，不得参加同一合同项下的政府采购活动。</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（五）集中考察或召开答疑会：无</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（六）本项目不接受联合体参加投标。</w:t>
      </w:r>
      <w:r>
        <w:rPr>
          <w:rFonts w:hint="eastAsia" w:ascii="宋体" w:hAnsi="宋体" w:eastAsia="宋体" w:cs="宋体"/>
          <w:color w:val="000000"/>
          <w:szCs w:val="21"/>
          <w:highlight w:val="none"/>
        </w:rPr>
      </w:r>
      <w:r/>
    </w:p>
    <w:p>
      <w:pPr>
        <w:pStyle w:val="1029"/>
        <w:jc w:val="both"/>
        <w:pageBreakBefore w:val="0"/>
        <w:spacing w:before="0" w:after="0" w:line="360" w:lineRule="auto"/>
        <w:rPr>
          <w:rFonts w:hint="eastAsia" w:ascii="宋体" w:hAnsi="宋体" w:eastAsia="宋体" w:cs="宋体"/>
          <w:bCs w:val="0"/>
          <w:color w:val="000000"/>
          <w:sz w:val="21"/>
          <w:szCs w:val="21"/>
          <w:highlight w:val="none"/>
        </w:rPr>
      </w:pPr>
      <w:r/>
      <w:bookmarkStart w:id="19" w:name="_Toc109304965"/>
      <w:r/>
      <w:bookmarkEnd w:id="19"/>
      <w:r/>
      <w:bookmarkStart w:id="20" w:name="_Toc29504"/>
      <w:r>
        <w:rPr>
          <w:rFonts w:hint="eastAsia" w:ascii="宋体" w:hAnsi="宋体" w:eastAsia="宋体" w:cs="宋体"/>
          <w:bCs w:val="0"/>
          <w:color w:val="000000"/>
          <w:sz w:val="21"/>
          <w:szCs w:val="21"/>
          <w:highlight w:val="none"/>
        </w:rPr>
        <w:t xml:space="preserve">三、获取采购文件</w:t>
      </w:r>
      <w:bookmarkEnd w:id="20"/>
      <w:r>
        <w:rPr>
          <w:rFonts w:hint="eastAsia" w:ascii="宋体" w:hAnsi="宋体" w:eastAsia="宋体" w:cs="宋体"/>
          <w:bCs w:val="0"/>
          <w:color w:val="000000"/>
          <w:sz w:val="21"/>
          <w:szCs w:val="21"/>
          <w:highlight w:val="none"/>
        </w:rPr>
      </w:r>
      <w:r/>
    </w:p>
    <w:p>
      <w:pPr>
        <w:pStyle w:val="995"/>
        <w:ind w:firstLine="54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1.时间：自招标公告发布之日起5个工作日。5个工作日后仍可下载采购文件，但不作为投标人权益受到损害的证明材料和依据。</w:t>
      </w:r>
      <w:r>
        <w:rPr>
          <w:rFonts w:hint="eastAsia" w:ascii="宋体" w:hAnsi="宋体" w:eastAsia="宋体" w:cs="宋体"/>
          <w:color w:val="000000"/>
          <w:szCs w:val="21"/>
          <w:highlight w:val="none"/>
        </w:rPr>
      </w:r>
      <w:r/>
    </w:p>
    <w:p>
      <w:pPr>
        <w:pStyle w:val="995"/>
        <w:ind w:firstLine="54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2.获取方式：本项目采用网上注册登记方式。</w:t>
      </w:r>
      <w:r>
        <w:rPr>
          <w:rFonts w:hint="eastAsia" w:ascii="宋体" w:hAnsi="宋体" w:eastAsia="宋体" w:cs="宋体"/>
          <w:b/>
          <w:bCs/>
          <w:color w:val="000000"/>
          <w:szCs w:val="21"/>
          <w:highlight w:val="none"/>
        </w:rPr>
      </w:r>
      <w:r/>
    </w:p>
    <w:p>
      <w:pPr>
        <w:pStyle w:val="995"/>
        <w:ind w:firstLine="54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3.潜在投标人访问政府采购管理交易系统（苏采云）的网络地址和方法：</w:t>
      </w:r>
      <w:r>
        <w:rPr>
          <w:rFonts w:hint="eastAsia" w:ascii="宋体" w:hAnsi="宋体" w:eastAsia="宋体" w:cs="宋体"/>
          <w:b/>
          <w:bCs/>
          <w:color w:val="000000"/>
          <w:szCs w:val="21"/>
          <w:highlight w:val="none"/>
        </w:rPr>
      </w:r>
      <w:r/>
    </w:p>
    <w:p>
      <w:pPr>
        <w:pStyle w:val="995"/>
        <w:ind w:firstLine="54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b/>
          <w:bCs/>
          <w:color w:val="000000"/>
          <w:szCs w:val="21"/>
          <w:highlight w:val="none"/>
        </w:rPr>
      </w:r>
      <w:r/>
    </w:p>
    <w:p>
      <w:pPr>
        <w:pStyle w:val="995"/>
        <w:ind w:firstLine="54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（2）“CA数字证书”的获取：投标人需办理CA锁，“苏采云”系统目前仅支持“苏采云”系统下的政务CA，省内各地区办理的“苏采云”系统下的政务CA全省通用。</w:t>
      </w:r>
      <w:r>
        <w:rPr>
          <w:rFonts w:hint="eastAsia" w:ascii="宋体" w:hAnsi="宋体" w:eastAsia="宋体" w:cs="宋体"/>
          <w:b/>
          <w:bCs/>
          <w:color w:val="000000"/>
          <w:szCs w:val="21"/>
          <w:highlight w:val="none"/>
        </w:rPr>
      </w:r>
      <w:r/>
    </w:p>
    <w:p>
      <w:pPr>
        <w:pStyle w:val="995"/>
        <w:ind w:firstLine="54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（3）“CA数字证书”的办理材料以及投标人操作手册详见：</w:t>
      </w:r>
      <w:r>
        <w:rPr>
          <w:rFonts w:hint="eastAsia" w:ascii="宋体" w:hAnsi="宋体" w:eastAsia="宋体" w:cs="宋体"/>
          <w:b/>
          <w:bCs/>
          <w:color w:val="000000"/>
          <w:szCs w:val="21"/>
          <w:highlight w:val="none"/>
        </w:rPr>
      </w:r>
      <w:r/>
    </w:p>
    <w:p>
      <w:pPr>
        <w:pStyle w:val="995"/>
        <w:ind w:firstLine="54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http：//zfcg.yangzhou.gov.cn/zfcg/xzzx/202309/4d7de1f7865f4a2894fc22bc452f94d8.shtml。</w:t>
      </w:r>
      <w:r>
        <w:rPr>
          <w:rFonts w:hint="eastAsia" w:ascii="宋体" w:hAnsi="宋体" w:eastAsia="宋体" w:cs="宋体"/>
          <w:b/>
          <w:bCs/>
          <w:color w:val="000000"/>
          <w:szCs w:val="21"/>
          <w:highlight w:val="none"/>
        </w:rPr>
      </w:r>
      <w:r/>
    </w:p>
    <w:p>
      <w:pPr>
        <w:pStyle w:val="995"/>
        <w:ind w:firstLine="54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（4）潜在投标人访问“苏采云”系统的网络地址和方法：“苏采云”系统的网址：http：//jszfcg.jsczt.cn/。</w:t>
      </w:r>
      <w:r>
        <w:rPr>
          <w:rFonts w:hint="eastAsia" w:ascii="宋体" w:hAnsi="宋体" w:eastAsia="宋体" w:cs="宋体"/>
          <w:b/>
          <w:bCs/>
          <w:color w:val="000000"/>
          <w:szCs w:val="21"/>
          <w:highlight w:val="none"/>
        </w:rPr>
      </w:r>
      <w:r/>
    </w:p>
    <w:p>
      <w:pPr>
        <w:pStyle w:val="995"/>
        <w:ind w:firstLine="54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（5）采购文件（后缀名为“.kedt”）、投标人操作手册及政府采购客户端工具也可通过“苏采云”系统--已报名项目--报名详情页面内相应链接进行下载。</w:t>
      </w:r>
      <w:r>
        <w:rPr>
          <w:rFonts w:hint="eastAsia" w:ascii="宋体" w:hAnsi="宋体" w:eastAsia="宋体" w:cs="宋体"/>
          <w:b/>
          <w:bCs/>
          <w:color w:val="000000"/>
          <w:szCs w:val="21"/>
          <w:highlight w:val="none"/>
        </w:rPr>
      </w:r>
      <w:r/>
    </w:p>
    <w:p>
      <w:pPr>
        <w:pStyle w:val="995"/>
        <w:ind w:firstLine="54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（6）招标代理机构（采购代理机构）将数据电文形式的采购文件加载至“苏采云”系统，供潜在投标人下载或者查阅。</w:t>
      </w:r>
      <w:r>
        <w:rPr>
          <w:rFonts w:hint="eastAsia" w:ascii="宋体" w:hAnsi="宋体" w:eastAsia="宋体" w:cs="宋体"/>
          <w:b/>
          <w:bCs/>
          <w:color w:val="000000"/>
          <w:szCs w:val="21"/>
          <w:highlight w:val="none"/>
        </w:rPr>
      </w:r>
      <w:r/>
    </w:p>
    <w:p>
      <w:pPr>
        <w:pStyle w:val="995"/>
        <w:ind w:firstLine="54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（7）苏采云系统使用谷歌浏览器参与不见面开标。</w:t>
      </w:r>
      <w:r>
        <w:rPr>
          <w:rFonts w:hint="eastAsia" w:ascii="宋体" w:hAnsi="宋体" w:eastAsia="宋体" w:cs="宋体"/>
          <w:b/>
          <w:bCs/>
          <w:color w:val="000000"/>
          <w:szCs w:val="21"/>
          <w:highlight w:val="none"/>
        </w:rPr>
      </w:r>
      <w:r/>
    </w:p>
    <w:p>
      <w:pPr>
        <w:pStyle w:val="1029"/>
        <w:jc w:val="both"/>
        <w:pageBreakBefore w:val="0"/>
        <w:spacing w:before="0" w:after="0" w:line="360" w:lineRule="auto"/>
        <w:rPr>
          <w:rFonts w:hint="eastAsia" w:ascii="宋体" w:hAnsi="宋体" w:eastAsia="宋体" w:cs="宋体"/>
          <w:bCs w:val="0"/>
          <w:color w:val="000000"/>
          <w:sz w:val="21"/>
          <w:szCs w:val="21"/>
          <w:highlight w:val="none"/>
        </w:rPr>
      </w:pPr>
      <w:r/>
      <w:bookmarkStart w:id="21" w:name="_Toc109304966"/>
      <w:r/>
      <w:bookmarkEnd w:id="21"/>
      <w:r/>
      <w:bookmarkStart w:id="22" w:name="_Toc2275"/>
      <w:r>
        <w:rPr>
          <w:rFonts w:hint="eastAsia" w:ascii="宋体" w:hAnsi="宋体" w:eastAsia="宋体" w:cs="宋体"/>
          <w:bCs w:val="0"/>
          <w:color w:val="000000"/>
          <w:sz w:val="21"/>
          <w:szCs w:val="21"/>
          <w:highlight w:val="none"/>
        </w:rPr>
        <w:t xml:space="preserve">四、投标文件提交</w:t>
      </w:r>
      <w:bookmarkEnd w:id="22"/>
      <w:r>
        <w:rPr>
          <w:rFonts w:hint="eastAsia" w:ascii="宋体" w:hAnsi="宋体" w:eastAsia="宋体" w:cs="宋体"/>
          <w:bCs w:val="0"/>
          <w:color w:val="000000"/>
          <w:sz w:val="21"/>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bookmarkStart w:id="23" w:name="XMTBJSR_2"/>
      <w:r/>
      <w:bookmarkEnd w:id="23"/>
      <w:r>
        <w:rPr>
          <w:rFonts w:hint="eastAsia" w:ascii="宋体" w:hAnsi="宋体" w:eastAsia="宋体" w:cs="宋体"/>
          <w:color w:val="000000"/>
          <w:szCs w:val="21"/>
          <w:highlight w:val="none"/>
        </w:rPr>
        <w:t xml:space="preserve">1.截止时间：</w:t>
      </w:r>
      <w:r>
        <w:rPr>
          <w:rFonts w:hint="eastAsia" w:ascii="宋体" w:hAnsi="宋体" w:eastAsia="宋体" w:cs="宋体"/>
          <w:bCs/>
          <w:color w:val="000000"/>
          <w:szCs w:val="21"/>
          <w:highlight w:val="none"/>
          <w:u w:val="single"/>
          <w:lang w:val="en-US" w:eastAsia="zh-CN"/>
        </w:rPr>
        <w:t xml:space="preserve">2</w:t>
      </w:r>
      <w:r>
        <w:rPr>
          <w:rFonts w:hint="eastAsia" w:ascii="宋体" w:hAnsi="宋体" w:eastAsia="宋体" w:cs="宋体"/>
          <w:bCs/>
          <w:color w:val="000000"/>
          <w:szCs w:val="21"/>
          <w:highlight w:val="none"/>
          <w:u w:val="single"/>
          <w:lang w:val="en-US" w:eastAsia="zh-CN"/>
        </w:rPr>
        <w:t xml:space="preserve">026</w:t>
      </w:r>
      <w:r>
        <w:rPr>
          <w:rFonts w:hint="eastAsia" w:ascii="宋体" w:hAnsi="宋体" w:eastAsia="宋体" w:cs="宋体"/>
          <w:bCs/>
          <w:color w:val="000000"/>
          <w:szCs w:val="21"/>
          <w:highlight w:val="none"/>
          <w:u w:val="single"/>
        </w:rPr>
        <w:t xml:space="preserve">年</w:t>
      </w:r>
      <w:r>
        <w:rPr>
          <w:rFonts w:hint="eastAsia" w:ascii="宋体" w:hAnsi="宋体" w:eastAsia="宋体" w:cs="宋体"/>
          <w:bCs/>
          <w:color w:val="000000"/>
          <w:szCs w:val="21"/>
          <w:highlight w:val="none"/>
          <w:u w:val="single"/>
          <w:lang w:val="en-US" w:eastAsia="zh-CN"/>
        </w:rPr>
        <w:t xml:space="preserve">2</w:t>
      </w:r>
      <w:r>
        <w:rPr>
          <w:rFonts w:hint="eastAsia" w:ascii="宋体" w:hAnsi="宋体" w:eastAsia="宋体" w:cs="宋体"/>
          <w:bCs/>
          <w:color w:val="000000"/>
          <w:szCs w:val="21"/>
          <w:highlight w:val="none"/>
          <w:u w:val="single"/>
        </w:rPr>
        <w:t xml:space="preserve">月</w:t>
      </w:r>
      <w:r>
        <w:rPr>
          <w:rFonts w:hint="eastAsia" w:ascii="宋体" w:hAnsi="宋体" w:eastAsia="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u w:val="single"/>
        </w:rPr>
        <w:t xml:space="preserve">日</w:t>
      </w:r>
      <w:r>
        <w:rPr>
          <w:rFonts w:hint="eastAsia" w:ascii="宋体" w:hAnsi="宋体" w:eastAsia="宋体" w:cs="宋体"/>
          <w:bCs/>
          <w:color w:val="000000"/>
          <w:szCs w:val="21"/>
          <w:highlight w:val="none"/>
          <w:u w:val="single"/>
          <w:lang w:val="en-US" w:eastAsia="zh-CN"/>
        </w:rPr>
        <w:t xml:space="preserve">上</w:t>
      </w:r>
      <w:r>
        <w:rPr>
          <w:rFonts w:hint="eastAsia" w:ascii="宋体" w:hAnsi="宋体" w:eastAsia="宋体" w:cs="宋体"/>
          <w:bCs/>
          <w:color w:val="000000"/>
          <w:szCs w:val="21"/>
          <w:highlight w:val="none"/>
          <w:u w:val="single"/>
        </w:rPr>
        <w:t xml:space="preserve">午</w:t>
      </w:r>
      <w:r>
        <w:rPr>
          <w:rFonts w:hint="eastAsia" w:ascii="宋体" w:hAnsi="宋体" w:eastAsia="宋体" w:cs="宋体"/>
          <w:bCs/>
          <w:color w:val="000000"/>
          <w:szCs w:val="21"/>
          <w:highlight w:val="none"/>
          <w:u w:val="single"/>
          <w:lang w:val="en-US" w:eastAsia="zh-CN"/>
        </w:rPr>
        <w:t xml:space="preserve">09</w:t>
      </w:r>
      <w:r>
        <w:rPr>
          <w:rFonts w:hint="eastAsia" w:ascii="宋体" w:hAnsi="宋体" w:eastAsia="宋体" w:cs="宋体"/>
          <w:bCs/>
          <w:color w:val="000000"/>
          <w:szCs w:val="21"/>
          <w:highlight w:val="none"/>
          <w:u w:val="single"/>
        </w:rPr>
        <w:t xml:space="preserve">点30分</w:t>
      </w:r>
      <w:r>
        <w:rPr>
          <w:rFonts w:hint="eastAsia" w:ascii="宋体" w:hAnsi="宋体" w:eastAsia="宋体" w:cs="宋体"/>
          <w:bCs/>
          <w:color w:val="000000"/>
          <w:szCs w:val="21"/>
          <w:highlight w:val="none"/>
        </w:rPr>
        <w:t xml:space="preserve">（北京时间）</w:t>
      </w:r>
      <w:r>
        <w:rPr>
          <w:rFonts w:hint="eastAsia" w:ascii="宋体" w:hAnsi="宋体" w:eastAsia="宋体" w:cs="宋体"/>
          <w:color w:val="000000"/>
          <w:szCs w:val="21"/>
          <w:highlight w:val="none"/>
        </w:rPr>
      </w:r>
      <w:r/>
    </w:p>
    <w:p>
      <w:pPr>
        <w:pStyle w:val="995"/>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2.投标地点：“苏采云”系统（网址：http：//jszfcg.jsczt.cn/）“报名详情”</w:t>
      </w:r>
      <w:r>
        <w:rPr>
          <w:rFonts w:hint="eastAsia" w:ascii="宋体" w:hAnsi="宋体" w:eastAsia="宋体" w:cs="宋体"/>
          <w:b/>
          <w:bCs/>
          <w:color w:val="000000"/>
          <w:szCs w:val="21"/>
          <w:highlight w:val="none"/>
        </w:rPr>
      </w:r>
      <w:r/>
    </w:p>
    <w:p>
      <w:pPr>
        <w:pStyle w:val="1029"/>
        <w:jc w:val="both"/>
        <w:pageBreakBefore w:val="0"/>
        <w:spacing w:before="0" w:after="0" w:line="360" w:lineRule="auto"/>
        <w:rPr>
          <w:rFonts w:hint="eastAsia" w:ascii="宋体" w:hAnsi="宋体" w:eastAsia="宋体" w:cs="宋体"/>
          <w:bCs w:val="0"/>
          <w:color w:val="000000"/>
          <w:sz w:val="21"/>
          <w:szCs w:val="21"/>
          <w:highlight w:val="none"/>
        </w:rPr>
      </w:pPr>
      <w:r/>
      <w:bookmarkStart w:id="24" w:name="_Toc109304967"/>
      <w:r/>
      <w:bookmarkEnd w:id="24"/>
      <w:r/>
      <w:bookmarkStart w:id="25" w:name="_Toc6258"/>
      <w:r>
        <w:rPr>
          <w:rFonts w:hint="eastAsia" w:ascii="宋体" w:hAnsi="宋体" w:eastAsia="宋体" w:cs="宋体"/>
          <w:bCs w:val="0"/>
          <w:color w:val="000000"/>
          <w:sz w:val="21"/>
          <w:szCs w:val="21"/>
          <w:highlight w:val="none"/>
        </w:rPr>
        <w:t xml:space="preserve">五、开启</w:t>
      </w:r>
      <w:bookmarkEnd w:id="25"/>
      <w:r>
        <w:rPr>
          <w:rFonts w:hint="eastAsia" w:ascii="宋体" w:hAnsi="宋体" w:eastAsia="宋体" w:cs="宋体"/>
          <w:bCs w:val="0"/>
          <w:color w:val="000000"/>
          <w:sz w:val="21"/>
          <w:szCs w:val="21"/>
          <w:highlight w:val="none"/>
        </w:rPr>
      </w:r>
      <w:r/>
    </w:p>
    <w:p>
      <w:pPr>
        <w:pStyle w:val="1039"/>
        <w:pageBreakBefore w:val="0"/>
        <w:spacing w:line="360" w:lineRule="auto"/>
        <w:rPr>
          <w:rFonts w:hint="eastAsia" w:ascii="宋体" w:hAnsi="宋体" w:eastAsia="宋体" w:cs="宋体"/>
          <w:color w:val="000000"/>
          <w:sz w:val="21"/>
          <w:highlight w:val="none"/>
        </w:rPr>
      </w:pPr>
      <w:r/>
      <w:bookmarkStart w:id="26" w:name="XMTBJSR_3"/>
      <w:r/>
      <w:bookmarkEnd w:id="26"/>
      <w:r>
        <w:rPr>
          <w:rFonts w:hint="eastAsia" w:ascii="宋体" w:hAnsi="宋体" w:eastAsia="宋体" w:cs="宋体"/>
          <w:color w:val="000000"/>
          <w:sz w:val="21"/>
          <w:highlight w:val="none"/>
        </w:rPr>
        <w:t xml:space="preserve">1时间：</w:t>
      </w:r>
      <w:r>
        <w:rPr>
          <w:rFonts w:hint="eastAsia" w:ascii="宋体" w:hAnsi="宋体" w:eastAsia="宋体" w:cs="宋体"/>
          <w:color w:val="000000"/>
          <w:sz w:val="21"/>
          <w:highlight w:val="none"/>
          <w:u w:val="single"/>
        </w:rPr>
        <w:t xml:space="preserve">2026年</w:t>
      </w:r>
      <w:r>
        <w:rPr>
          <w:rFonts w:hint="eastAsia" w:ascii="宋体" w:hAnsi="宋体" w:eastAsia="宋体" w:cs="宋体"/>
          <w:color w:val="000000"/>
          <w:sz w:val="21"/>
          <w:highlight w:val="none"/>
          <w:u w:val="single"/>
          <w:lang w:val="en-US" w:eastAsia="zh-CN"/>
        </w:rPr>
        <w:t xml:space="preserve">2</w:t>
      </w:r>
      <w:r>
        <w:rPr>
          <w:rFonts w:hint="eastAsia" w:ascii="宋体" w:hAnsi="宋体" w:eastAsia="宋体" w:cs="宋体"/>
          <w:color w:val="000000"/>
          <w:sz w:val="21"/>
          <w:highlight w:val="none"/>
          <w:u w:val="single"/>
        </w:rPr>
        <w:t xml:space="preserve">月</w:t>
      </w:r>
      <w:r>
        <w:rPr>
          <w:rFonts w:hint="eastAsia" w:ascii="宋体" w:hAnsi="宋体" w:eastAsia="宋体" w:cs="宋体"/>
          <w:color w:val="000000"/>
          <w:sz w:val="21"/>
          <w:highlight w:val="none"/>
          <w:u w:val="single"/>
          <w:lang w:val="en-US" w:eastAsia="zh-CN"/>
        </w:rPr>
        <w:t xml:space="preserve">3</w:t>
      </w:r>
      <w:r>
        <w:rPr>
          <w:rFonts w:hint="eastAsia" w:ascii="宋体" w:hAnsi="宋体" w:eastAsia="宋体" w:cs="宋体"/>
          <w:color w:val="000000"/>
          <w:sz w:val="21"/>
          <w:highlight w:val="none"/>
          <w:u w:val="single"/>
        </w:rPr>
        <w:t xml:space="preserve">日</w:t>
      </w:r>
      <w:r>
        <w:rPr>
          <w:rFonts w:hint="eastAsia" w:ascii="宋体" w:hAnsi="宋体" w:eastAsia="宋体" w:cs="宋体"/>
          <w:bCs/>
          <w:color w:val="000000"/>
          <w:sz w:val="21"/>
          <w:highlight w:val="none"/>
          <w:u w:val="single"/>
          <w:lang w:val="en-US" w:eastAsia="zh-CN"/>
        </w:rPr>
        <w:t xml:space="preserve">上</w:t>
      </w:r>
      <w:r>
        <w:rPr>
          <w:rFonts w:hint="eastAsia" w:ascii="宋体" w:hAnsi="宋体" w:eastAsia="宋体" w:cs="宋体"/>
          <w:bCs/>
          <w:color w:val="000000"/>
          <w:sz w:val="21"/>
          <w:highlight w:val="none"/>
          <w:u w:val="single"/>
        </w:rPr>
        <w:t xml:space="preserve">午</w:t>
      </w:r>
      <w:r>
        <w:rPr>
          <w:rFonts w:hint="eastAsia" w:ascii="宋体" w:hAnsi="宋体" w:eastAsia="宋体" w:cs="宋体"/>
          <w:bCs/>
          <w:color w:val="000000"/>
          <w:sz w:val="21"/>
          <w:highlight w:val="none"/>
          <w:u w:val="single"/>
          <w:lang w:val="en-US" w:eastAsia="zh-CN"/>
        </w:rPr>
        <w:t xml:space="preserve">09</w:t>
      </w:r>
      <w:r>
        <w:rPr>
          <w:rFonts w:hint="eastAsia" w:ascii="宋体" w:hAnsi="宋体" w:eastAsia="宋体" w:cs="宋体"/>
          <w:bCs/>
          <w:color w:val="000000"/>
          <w:sz w:val="21"/>
          <w:highlight w:val="none"/>
          <w:u w:val="single"/>
        </w:rPr>
        <w:t xml:space="preserve">点30分</w:t>
      </w:r>
      <w:r>
        <w:rPr>
          <w:rFonts w:hint="eastAsia" w:ascii="宋体" w:hAnsi="宋体" w:eastAsia="宋体" w:cs="宋体"/>
          <w:bCs/>
          <w:color w:val="000000"/>
          <w:sz w:val="21"/>
          <w:highlight w:val="none"/>
        </w:rPr>
        <w:t xml:space="preserve">（北京时间）</w:t>
      </w:r>
      <w:r>
        <w:rPr>
          <w:rFonts w:hint="eastAsia" w:ascii="宋体" w:hAnsi="宋体" w:eastAsia="宋体" w:cs="宋体"/>
          <w:color w:val="000000"/>
          <w:sz w:val="21"/>
          <w:highlight w:val="none"/>
        </w:rPr>
      </w:r>
      <w:r/>
    </w:p>
    <w:p>
      <w:pPr>
        <w:pStyle w:val="995"/>
        <w:ind w:firstLine="422"/>
        <w:pageBreakBefore w:val="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2.开启地点：“苏采云</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Cs w:val="21"/>
          <w:highlight w:val="none"/>
        </w:rPr>
        <w:t xml:space="preserve">系统（网址：http：//jszfcg.jsczt.cn/）“开标大厅</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Cs w:val="21"/>
          <w:highlight w:val="none"/>
        </w:rPr>
      </w:r>
      <w:r/>
    </w:p>
    <w:p>
      <w:pPr>
        <w:pStyle w:val="995"/>
        <w:pageBreakBefore w:val="0"/>
        <w:spacing w:line="360" w:lineRule="auto"/>
        <w:rPr>
          <w:rFonts w:hint="eastAsia" w:ascii="宋体" w:hAnsi="宋体" w:eastAsia="宋体" w:cs="宋体"/>
          <w:b/>
          <w:bCs/>
          <w:color w:val="000000"/>
          <w:szCs w:val="21"/>
          <w:highlight w:val="none"/>
        </w:rPr>
        <w:outlineLvl w:val="1"/>
      </w:pPr>
      <w:r/>
      <w:bookmarkStart w:id="27" w:name="_Toc109304968"/>
      <w:r/>
      <w:bookmarkEnd w:id="27"/>
      <w:r>
        <w:rPr>
          <w:rFonts w:hint="eastAsia" w:ascii="宋体" w:hAnsi="宋体" w:eastAsia="宋体" w:cs="宋体"/>
          <w:b/>
          <w:bCs/>
          <w:color w:val="000000"/>
          <w:szCs w:val="21"/>
          <w:highlight w:val="none"/>
        </w:rPr>
        <w:t xml:space="preserve">六、公告期限</w:t>
      </w:r>
      <w:r>
        <w:rPr>
          <w:rFonts w:hint="eastAsia" w:ascii="宋体" w:hAnsi="宋体" w:eastAsia="宋体" w:cs="宋体"/>
          <w:b/>
          <w:bCs/>
          <w:color w:val="000000"/>
          <w:szCs w:val="21"/>
          <w:highlight w:val="none"/>
        </w:rPr>
      </w:r>
      <w:r/>
    </w:p>
    <w:p>
      <w:pPr>
        <w:pStyle w:val="995"/>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自本公告发布之日起5个工作日。</w:t>
      </w:r>
      <w:r>
        <w:rPr>
          <w:rFonts w:hint="eastAsia" w:ascii="宋体" w:hAnsi="宋体" w:eastAsia="宋体" w:cs="宋体"/>
          <w:b/>
          <w:bCs/>
          <w:color w:val="000000"/>
          <w:szCs w:val="21"/>
          <w:highlight w:val="none"/>
        </w:rPr>
      </w:r>
      <w:r/>
    </w:p>
    <w:p>
      <w:pPr>
        <w:pStyle w:val="995"/>
        <w:pageBreakBefore w:val="0"/>
        <w:spacing w:line="360" w:lineRule="auto"/>
        <w:rPr>
          <w:rFonts w:hint="eastAsia" w:ascii="宋体" w:hAnsi="宋体" w:eastAsia="宋体" w:cs="宋体"/>
          <w:b/>
          <w:bCs/>
          <w:color w:val="000000"/>
          <w:szCs w:val="21"/>
          <w:highlight w:val="none"/>
        </w:rPr>
        <w:outlineLvl w:val="1"/>
      </w:pPr>
      <w:r/>
      <w:bookmarkEnd w:id="15"/>
      <w:r/>
      <w:bookmarkEnd w:id="16"/>
      <w:r/>
      <w:bookmarkEnd w:id="17"/>
      <w:r/>
      <w:bookmarkEnd w:id="18"/>
      <w:r/>
      <w:bookmarkStart w:id="28" w:name="_Toc497145840"/>
      <w:r>
        <w:rPr>
          <w:rFonts w:hint="eastAsia" w:ascii="宋体" w:hAnsi="宋体" w:eastAsia="宋体" w:cs="宋体"/>
          <w:b/>
          <w:bCs/>
          <w:color w:val="000000"/>
          <w:szCs w:val="21"/>
          <w:highlight w:val="none"/>
        </w:rPr>
        <w:t xml:space="preserve">七、本次招标采购联系事项</w:t>
      </w:r>
      <w:r>
        <w:rPr>
          <w:rFonts w:hint="eastAsia" w:ascii="宋体" w:hAnsi="宋体" w:eastAsia="宋体" w:cs="宋体"/>
          <w:b/>
          <w:bCs/>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（一）采购代理机构：</w:t>
      </w:r>
      <w:r>
        <w:rPr>
          <w:rFonts w:hint="eastAsia" w:ascii="宋体" w:hAnsi="宋体" w:eastAsia="宋体" w:cs="宋体"/>
          <w:color w:val="000000"/>
          <w:szCs w:val="21"/>
          <w:highlight w:val="none"/>
          <w:lang w:eastAsia="zh-CN"/>
        </w:rPr>
        <w:t xml:space="preserve">江苏鼎坚工程咨询有限公司扬州分公司</w:t>
      </w:r>
      <w:r>
        <w:rPr>
          <w:rFonts w:hint="eastAsia" w:ascii="宋体" w:hAnsi="宋体" w:eastAsia="宋体" w:cs="宋体"/>
          <w:color w:val="000000"/>
          <w:szCs w:val="21"/>
          <w:highlight w:val="none"/>
          <w:lang w:eastAsia="zh-CN"/>
        </w:rPr>
      </w:r>
      <w:r/>
    </w:p>
    <w:p>
      <w:pPr>
        <w:pStyle w:val="995"/>
        <w:ind w:firstLine="42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张瀚心</w:t>
      </w:r>
      <w:r>
        <w:rPr>
          <w:rFonts w:hint="eastAsia" w:ascii="宋体" w:hAnsi="宋体" w:eastAsia="宋体" w:cs="宋体"/>
          <w:color w:val="000000"/>
          <w:szCs w:val="21"/>
          <w:highlight w:val="none"/>
          <w:lang w:val="en-US" w:eastAsia="zh-CN"/>
        </w:rPr>
      </w:r>
      <w:r/>
    </w:p>
    <w:p>
      <w:pPr>
        <w:pStyle w:val="995"/>
        <w:ind w:firstLine="42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联系电话：0514-8280356</w:t>
      </w:r>
      <w:r>
        <w:rPr>
          <w:rFonts w:hint="eastAsia" w:ascii="宋体" w:hAnsi="宋体" w:eastAsia="宋体" w:cs="宋体"/>
          <w:color w:val="000000"/>
          <w:szCs w:val="21"/>
          <w:highlight w:val="none"/>
          <w:lang w:val="en-US" w:eastAsia="zh-CN"/>
        </w:rPr>
        <w:t xml:space="preserve">0</w:t>
      </w:r>
      <w:r>
        <w:rPr>
          <w:rFonts w:hint="eastAsia" w:ascii="宋体" w:hAnsi="宋体" w:eastAsia="宋体" w:cs="宋体"/>
          <w:color w:val="000000"/>
          <w:szCs w:val="21"/>
          <w:highlight w:val="none"/>
          <w:lang w:val="en-US" w:eastAsia="zh-CN"/>
        </w:rPr>
        <w:tab/>
      </w:r>
      <w:r>
        <w:rPr>
          <w:rFonts w:hint="eastAsia" w:ascii="宋体" w:hAnsi="宋体" w:eastAsia="宋体" w:cs="宋体"/>
          <w:color w:val="000000"/>
          <w:szCs w:val="21"/>
          <w:highlight w:val="none"/>
          <w:lang w:val="en-US" w:eastAsia="zh-CN"/>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地址：扬州市邗江中路371号邗粮农发</w:t>
      </w:r>
      <w:r>
        <w:rPr>
          <w:rFonts w:hint="eastAsia" w:ascii="宋体" w:hAnsi="宋体" w:eastAsia="宋体" w:cs="宋体"/>
          <w:color w:val="000000"/>
          <w:szCs w:val="21"/>
          <w:highlight w:val="none"/>
          <w:lang w:eastAsia="zh-CN"/>
        </w:rPr>
        <w:t xml:space="preserve">五楼</w:t>
      </w:r>
      <w:r>
        <w:rPr>
          <w:rFonts w:hint="eastAsia" w:ascii="宋体" w:hAnsi="宋体" w:eastAsia="宋体" w:cs="宋体"/>
          <w:color w:val="000000"/>
          <w:szCs w:val="21"/>
          <w:highlight w:val="none"/>
        </w:rPr>
        <w:t xml:space="preserve">南侧</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（二）采购人：</w:t>
      </w:r>
      <w:r>
        <w:rPr>
          <w:rFonts w:hint="eastAsia" w:ascii="宋体" w:hAnsi="宋体" w:eastAsia="宋体" w:cs="宋体"/>
          <w:color w:val="000000"/>
          <w:szCs w:val="21"/>
          <w:highlight w:val="none"/>
          <w:lang w:eastAsia="zh-CN"/>
        </w:rPr>
        <w:t xml:space="preserve">扬州市广陵区机关事务管理局</w:t>
      </w:r>
      <w:r>
        <w:rPr>
          <w:rFonts w:hint="eastAsia" w:ascii="宋体" w:hAnsi="宋体" w:eastAsia="宋体" w:cs="宋体"/>
          <w:color w:val="000000"/>
          <w:szCs w:val="21"/>
          <w:highlight w:val="none"/>
          <w:lang w:eastAsia="zh-CN"/>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办公地址：江苏省扬州市广陵区文昌中路548号</w:t>
      </w:r>
      <w:r>
        <w:rPr>
          <w:rFonts w:hint="eastAsia" w:ascii="宋体" w:hAnsi="宋体" w:eastAsia="宋体" w:cs="宋体"/>
          <w:color w:val="000000"/>
          <w:szCs w:val="21"/>
          <w:highlight w:val="none"/>
        </w:rPr>
      </w:r>
      <w:r/>
    </w:p>
    <w:p>
      <w:pPr>
        <w:pStyle w:val="995"/>
        <w:numPr>
          <w:ilvl w:val="0"/>
          <w:numId w:val="4"/>
        </w:numPr>
        <w:pageBreakBefore w:val="0"/>
        <w:spacing w:line="360" w:lineRule="auto"/>
        <w:tabs>
          <w:tab w:val="left" w:pos="266" w:leader="none"/>
        </w:tabs>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落实好政府采购履约资金扶持政策</w:t>
      </w:r>
      <w:r>
        <w:rPr>
          <w:rFonts w:hint="eastAsia" w:ascii="宋体" w:hAnsi="宋体" w:eastAsia="宋体" w:cs="宋体"/>
          <w:b/>
          <w:bCs/>
          <w:color w:val="000000"/>
          <w:highlight w:val="none"/>
        </w:rPr>
      </w:r>
      <w:r/>
    </w:p>
    <w:p>
      <w:pPr>
        <w:pStyle w:val="1048"/>
        <w:ind w:firstLine="422"/>
        <w:pageBreakBefore w:val="0"/>
        <w:spacing w:line="360" w:lineRule="auto"/>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t xml:space="preserve">1、为提升政府采购投标人的融资可得性，解决中小企业融资难问题，中国人民银行、市财政局、市公共资源交易中心推出了政府采购线上应收账款融资模式。各投标人如果有融资需求，可以凭借政府采购中标（中标）通知书或政府采购合同，通过中国人民银行征信中心“中征应收账款融资服务平台（https：//www.crcrfsp.com）</w:t>
      </w:r>
      <w:r>
        <w:rPr>
          <w:rFonts w:hint="eastAsia" w:ascii="宋体" w:hAnsi="宋体" w:eastAsia="宋体" w:cs="宋体"/>
          <w:b/>
          <w:bCs/>
          <w:color w:val="000000"/>
          <w:highlight w:val="none"/>
        </w:rPr>
        <w:t xml:space="preserve">”</w:t>
      </w:r>
      <w:r>
        <w:rPr>
          <w:rFonts w:hint="eastAsia" w:ascii="宋体" w:hAnsi="宋体" w:eastAsia="宋体" w:cs="宋体"/>
          <w:b/>
          <w:color w:val="000000"/>
          <w:sz w:val="21"/>
          <w:highlight w:val="none"/>
        </w:rPr>
        <w:t xml:space="preserve">向参与政府采购融资业务的金融机构申请线上融资，相关事宜可向市人民银行咨询，联系电话：0514-87936653。</w:t>
      </w:r>
      <w:r>
        <w:rPr>
          <w:rFonts w:hint="eastAsia" w:ascii="宋体" w:hAnsi="宋体" w:eastAsia="宋体" w:cs="宋体"/>
          <w:b/>
          <w:color w:val="000000"/>
          <w:sz w:val="21"/>
          <w:highlight w:val="none"/>
        </w:rPr>
      </w:r>
      <w:r/>
    </w:p>
    <w:p>
      <w:pPr>
        <w:pStyle w:val="995"/>
        <w:ind w:firstLine="422"/>
        <w:pageBreakBefore w:val="0"/>
        <w:spacing w:line="360" w:lineRule="auto"/>
        <w:tabs>
          <w:tab w:val="left" w:pos="266" w:leader="none"/>
        </w:tabs>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w:t>
      </w:r>
      <w:r>
        <w:rPr>
          <w:rFonts w:hint="eastAsia" w:ascii="宋体" w:hAnsi="宋体" w:eastAsia="宋体" w:cs="宋体"/>
          <w:b/>
          <w:bCs/>
          <w:color w:val="000000"/>
          <w:highlight w:val="none"/>
        </w:rPr>
        <w:t xml:space="preserve">严格执行政府采购关于支持</w:t>
      </w:r>
      <w:r>
        <w:rPr>
          <w:rFonts w:hint="eastAsia" w:ascii="宋体" w:hAnsi="宋体" w:eastAsia="宋体" w:cs="宋体"/>
          <w:b/>
          <w:bCs/>
          <w:color w:val="000000"/>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b/>
          <w:color w:val="000000"/>
          <w:szCs w:val="21"/>
          <w:highlight w:val="none"/>
        </w:rPr>
      </w:r>
      <w:r/>
    </w:p>
    <w:p>
      <w:pPr>
        <w:pStyle w:val="1104"/>
        <w:ind w:firstLine="422"/>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3.落实好政府采购履约资金扶持政策。中标/中标人可凭政府采购合同办理融资贷款，详见江苏政府采购网“政采贷</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 w:val="21"/>
          <w:szCs w:val="21"/>
          <w:highlight w:val="none"/>
        </w:rPr>
        <w:t xml:space="preserve">专栏。</w:t>
      </w:r>
      <w:r>
        <w:rPr>
          <w:rFonts w:hint="eastAsia" w:ascii="宋体" w:hAnsi="宋体" w:eastAsia="宋体" w:cs="宋体"/>
          <w:b/>
          <w:color w:val="000000"/>
          <w:sz w:val="21"/>
          <w:szCs w:val="21"/>
          <w:highlight w:val="none"/>
        </w:rPr>
      </w:r>
      <w:r/>
    </w:p>
    <w:p>
      <w:pPr>
        <w:pStyle w:val="1048"/>
        <w:ind w:firstLine="422"/>
        <w:pageBreakBefore w:val="0"/>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4.投标人对于投标产品的包装应按照“财办库〔2020〕123号《关于印发《商品包装政府采购需求标准（试行）》、《快递包装政府采购需求标准（试行）》的通知》</w:t>
      </w:r>
      <w:r>
        <w:rPr>
          <w:rFonts w:hint="eastAsia" w:ascii="宋体" w:hAnsi="宋体" w:eastAsia="宋体" w:cs="宋体"/>
          <w:b/>
          <w:bCs/>
          <w:color w:val="000000"/>
          <w:highlight w:val="none"/>
        </w:rPr>
        <w:t xml:space="preserve">”</w:t>
      </w:r>
      <w:r>
        <w:rPr>
          <w:rFonts w:hint="eastAsia" w:ascii="宋体" w:hAnsi="宋体" w:eastAsia="宋体" w:cs="宋体"/>
          <w:b/>
          <w:bCs/>
          <w:color w:val="000000"/>
          <w:sz w:val="21"/>
          <w:highlight w:val="none"/>
        </w:rPr>
        <w:t xml:space="preserve">执行。</w:t>
      </w:r>
      <w:r>
        <w:rPr>
          <w:rFonts w:hint="eastAsia" w:ascii="宋体" w:hAnsi="宋体" w:eastAsia="宋体" w:cs="宋体"/>
          <w:b/>
          <w:bCs/>
          <w:color w:val="000000"/>
          <w:sz w:val="21"/>
          <w:highlight w:val="none"/>
        </w:rPr>
      </w:r>
      <w:r/>
    </w:p>
    <w:p>
      <w:pPr>
        <w:pStyle w:val="1029"/>
        <w:ind w:firstLine="422"/>
        <w:jc w:val="both"/>
        <w:pageBreakBefore w:val="0"/>
        <w:spacing w:before="0" w:after="0" w:line="360" w:lineRule="auto"/>
        <w:rPr>
          <w:rFonts w:hint="eastAsia" w:ascii="宋体" w:hAnsi="宋体" w:eastAsia="宋体" w:cs="宋体"/>
          <w:color w:val="000000"/>
          <w:sz w:val="21"/>
          <w:szCs w:val="21"/>
          <w:highlight w:val="none"/>
        </w:rPr>
      </w:pPr>
      <w:r/>
      <w:bookmarkStart w:id="29" w:name="_Toc109304971"/>
      <w:r/>
      <w:bookmarkEnd w:id="29"/>
      <w:r/>
      <w:bookmarkStart w:id="30" w:name="_Toc29323"/>
      <w:r>
        <w:rPr>
          <w:rFonts w:hint="eastAsia" w:ascii="宋体" w:hAnsi="宋体" w:eastAsia="宋体" w:cs="宋体"/>
          <w:color w:val="000000"/>
          <w:sz w:val="21"/>
          <w:szCs w:val="21"/>
          <w:highlight w:val="none"/>
        </w:rPr>
        <w:t xml:space="preserve">九、其他</w:t>
      </w:r>
      <w:bookmarkEnd w:id="30"/>
      <w:r>
        <w:rPr>
          <w:rFonts w:hint="eastAsia" w:ascii="宋体" w:hAnsi="宋体" w:eastAsia="宋体" w:cs="宋体"/>
          <w:color w:val="000000"/>
          <w:sz w:val="21"/>
          <w:szCs w:val="21"/>
          <w:highlight w:val="none"/>
        </w:rPr>
      </w:r>
      <w:r/>
    </w:p>
    <w:p>
      <w:pPr>
        <w:pStyle w:val="995"/>
        <w:ind w:firstLine="422"/>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本次采购采用“政府采购管理交易系统（苏采云）”，招标、投标、评标和中标结果发布全程电子化，开标方式为不见面开标。投标人应当按照《“苏采云”系统投标人操作手册》参加投标活动。如投标人未按要求操作，由此所产生的风险由投标人自行承担。</w:t>
      </w:r>
      <w:r>
        <w:rPr>
          <w:rFonts w:hint="eastAsia" w:ascii="宋体" w:hAnsi="宋体" w:eastAsia="宋体" w:cs="宋体"/>
          <w:b/>
          <w:bCs/>
          <w:color w:val="000000"/>
          <w:szCs w:val="21"/>
          <w:highlight w:val="none"/>
        </w:rPr>
      </w:r>
      <w:r/>
    </w:p>
    <w:p>
      <w:pPr>
        <w:pStyle w:val="995"/>
        <w:ind w:firstLine="422"/>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2.投标人如确定参加投标，可自行下载采购文件及有关资料，按照《操作手册》进行注册，领取CA和办理电子签章，并按《操作手册》要求制作、上传电子投标文件，技术支持联系方式：13813140731。</w:t>
      </w:r>
      <w:r>
        <w:rPr>
          <w:rFonts w:hint="eastAsia" w:ascii="宋体" w:hAnsi="宋体" w:eastAsia="宋体" w:cs="宋体"/>
          <w:b/>
          <w:bCs/>
          <w:color w:val="000000"/>
          <w:szCs w:val="21"/>
          <w:highlight w:val="none"/>
        </w:rPr>
      </w:r>
      <w:r/>
    </w:p>
    <w:p>
      <w:pPr>
        <w:pStyle w:val="995"/>
        <w:ind w:firstLine="422"/>
        <w:pageBreakBefore w:val="0"/>
        <w:spacing w:line="360" w:lineRule="auto"/>
        <w:rPr>
          <w:rFonts w:hint="eastAsia" w:ascii="宋体" w:hAnsi="宋体" w:eastAsia="宋体" w:cs="宋体"/>
          <w:b/>
          <w:i/>
          <w:iCs/>
          <w:color w:val="000000"/>
          <w:szCs w:val="21"/>
          <w:highlight w:val="none"/>
          <w:u w:val="single"/>
        </w:rPr>
      </w:pPr>
      <w:r>
        <w:rPr>
          <w:rFonts w:hint="eastAsia" w:ascii="宋体" w:hAnsi="宋体" w:eastAsia="宋体" w:cs="宋体"/>
          <w:b/>
          <w:i/>
          <w:iCs/>
          <w:color w:val="000000"/>
          <w:szCs w:val="21"/>
          <w:highlight w:val="none"/>
          <w:u w:val="single"/>
        </w:rPr>
        <w:t xml:space="preserve">3.本项目采购文件中所有斜体下划线部分为实质性条款，如不满足，则为无效投标。</w:t>
      </w:r>
      <w:r>
        <w:rPr>
          <w:rFonts w:hint="eastAsia" w:ascii="宋体" w:hAnsi="宋体" w:eastAsia="宋体" w:cs="宋体"/>
          <w:b/>
          <w:i/>
          <w:iCs/>
          <w:color w:val="000000"/>
          <w:szCs w:val="21"/>
          <w:highlight w:val="none"/>
          <w:u w:val="singl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.投标保证金：根据江苏省财政厅《关于做好政府采购支持企业发展有关事项的通知》（苏财购【2020】52号）文件的要求，本项目免收投标保证金。</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潜在投标人对招标文件项目需求部分的询问、质疑请向采购人提出，由采购人负责答复。</w:t>
      </w:r>
      <w:r>
        <w:rPr>
          <w:rFonts w:hint="eastAsia" w:ascii="宋体" w:hAnsi="宋体" w:eastAsia="宋体" w:cs="宋体"/>
          <w:color w:val="000000"/>
          <w:szCs w:val="21"/>
          <w:highlight w:val="none"/>
        </w:rPr>
      </w:r>
      <w:r/>
    </w:p>
    <w:p>
      <w:pPr>
        <w:pStyle w:val="995"/>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.有关本次招标的事项若存在变动或修改，敬请及时关注</w:t>
      </w:r>
      <w:r>
        <w:rPr>
          <w:rFonts w:hint="eastAsia" w:ascii="宋体" w:hAnsi="宋体" w:eastAsia="宋体" w:cs="宋体"/>
          <w:b w:val="0"/>
          <w:bCs w:val="0"/>
          <w:color w:val="000000"/>
          <w:szCs w:val="21"/>
          <w:highlight w:val="none"/>
        </w:rPr>
        <w:t xml:space="preserve">“中国政府采购网”</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“江苏省政府采购网”、“扬州市政府采购网”、</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扬州市广陵区政府采购网</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发布的信息。</w:t>
      </w:r>
      <w:r>
        <w:rPr>
          <w:rFonts w:hint="eastAsia" w:ascii="宋体" w:hAnsi="宋体" w:eastAsia="宋体" w:cs="宋体"/>
          <w:color w:val="000000"/>
          <w:szCs w:val="21"/>
          <w:highlight w:val="none"/>
        </w:rPr>
      </w:r>
      <w:r/>
    </w:p>
    <w:p>
      <w:pPr>
        <w:pStyle w:val="995"/>
        <w:jc w:val="right"/>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江苏鼎坚工程咨询有限公司扬州分公司</w:t>
      </w:r>
      <w:r>
        <w:rPr>
          <w:rFonts w:hint="eastAsia" w:ascii="宋体" w:hAnsi="宋体" w:eastAsia="宋体" w:cs="宋体"/>
          <w:color w:val="000000"/>
          <w:szCs w:val="21"/>
          <w:highlight w:val="none"/>
          <w:lang w:eastAsia="zh-CN"/>
        </w:rPr>
      </w:r>
      <w:r/>
    </w:p>
    <w:p>
      <w:pPr>
        <w:pStyle w:val="995"/>
        <w:ind w:firstLine="420"/>
        <w:jc w:val="right"/>
        <w:pageBreakBefore w:val="0"/>
        <w:spacing w:line="360" w:lineRule="auto"/>
        <w:rPr>
          <w:rFonts w:hint="eastAsia" w:ascii="宋体" w:hAnsi="宋体" w:eastAsia="宋体" w:cs="宋体"/>
          <w:color w:val="000000"/>
          <w:szCs w:val="21"/>
          <w:highlight w:val="none"/>
          <w:lang w:eastAsia="zh-CN"/>
        </w:rPr>
      </w:pPr>
      <w:r/>
      <w:bookmarkEnd w:id="28"/>
      <w:r/>
      <w:bookmarkStart w:id="31" w:name="_Toc16938520"/>
      <w:r/>
      <w:bookmarkStart w:id="32" w:name="_Toc458694821"/>
      <w:r/>
      <w:bookmarkStart w:id="33" w:name="_Toc513029204"/>
      <w:r/>
      <w:bookmarkStart w:id="34" w:name="_Toc20823276"/>
      <w:r>
        <w:rPr>
          <w:rFonts w:hint="eastAsia" w:ascii="宋体" w:hAnsi="宋体" w:eastAsia="宋体" w:cs="宋体"/>
          <w:color w:val="000000"/>
          <w:szCs w:val="21"/>
          <w:highlight w:val="none"/>
          <w:lang w:eastAsia="zh-CN"/>
        </w:rPr>
        <w:t xml:space="preserve">2026年</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月</w:t>
      </w:r>
      <w:r>
        <w:rPr>
          <w:rFonts w:hint="eastAsia" w:ascii="宋体" w:hAnsi="宋体" w:eastAsia="宋体" w:cs="宋体"/>
          <w:color w:val="000000"/>
          <w:szCs w:val="21"/>
          <w:highlight w:val="none"/>
          <w:lang w:val="en-US" w:eastAsia="zh-CN"/>
        </w:rPr>
        <w:t xml:space="preserve">12</w:t>
      </w:r>
      <w:r>
        <w:rPr>
          <w:rFonts w:hint="eastAsia" w:ascii="宋体" w:hAnsi="宋体" w:eastAsia="宋体" w:cs="宋体"/>
          <w:color w:val="000000"/>
          <w:szCs w:val="21"/>
          <w:highlight w:val="none"/>
          <w:lang w:eastAsia="zh-CN"/>
        </w:rPr>
        <w:t xml:space="preserve">日</w:t>
      </w:r>
      <w:r>
        <w:rPr>
          <w:rFonts w:hint="eastAsia" w:ascii="宋体" w:hAnsi="宋体" w:eastAsia="宋体" w:cs="宋体"/>
          <w:color w:val="000000"/>
          <w:szCs w:val="21"/>
          <w:highlight w:val="none"/>
          <w:lang w:eastAsia="zh-CN"/>
        </w:rPr>
      </w:r>
      <w:r/>
    </w:p>
    <w:p>
      <w:pPr>
        <w:pStyle w:val="995"/>
        <w:ind w:firstLine="420"/>
        <w:jc w:val="center"/>
        <w:spacing w:line="348" w:lineRule="auto"/>
        <w:rPr>
          <w:rFonts w:hint="eastAsia" w:ascii="宋体" w:hAnsi="宋体" w:eastAsia="宋体" w:cs="宋体"/>
          <w:color w:val="000000"/>
          <w:sz w:val="36"/>
          <w:szCs w:val="36"/>
          <w:highlight w:val="none"/>
        </w:rPr>
        <w:outlineLvl w:val="0"/>
      </w:pPr>
      <w:r>
        <w:rPr>
          <w:rFonts w:hint="eastAsia" w:ascii="宋体" w:hAnsi="宋体" w:eastAsia="宋体" w:cs="宋体"/>
          <w:color w:val="000000"/>
          <w:szCs w:val="21"/>
          <w:highlight w:val="none"/>
        </w:rPr>
        <w:br w:type="page" w:clear="all"/>
      </w:r>
      <w:bookmarkStart w:id="35" w:name="_Toc10305"/>
      <w:r>
        <w:rPr>
          <w:rFonts w:hint="eastAsia" w:ascii="宋体" w:hAnsi="宋体" w:eastAsia="宋体" w:cs="宋体"/>
          <w:b/>
          <w:bCs/>
          <w:color w:val="000000"/>
          <w:sz w:val="32"/>
          <w:szCs w:val="32"/>
          <w:highlight w:val="none"/>
        </w:rPr>
        <w:t xml:space="preserve">第二章 投标须知</w:t>
      </w:r>
      <w:bookmarkEnd w:id="35"/>
      <w:r>
        <w:rPr>
          <w:rFonts w:hint="eastAsia" w:ascii="宋体" w:hAnsi="宋体" w:eastAsia="宋体" w:cs="宋体"/>
          <w:color w:val="000000"/>
          <w:sz w:val="36"/>
          <w:szCs w:val="36"/>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1、采购方式</w:t>
      </w:r>
      <w:r>
        <w:rPr>
          <w:rFonts w:hint="eastAsia" w:ascii="宋体" w:hAnsi="宋体" w:eastAsia="宋体" w:cs="宋体"/>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1.1 本次采购采取公开招标方式，本采购文件仅适用于</w:t>
      </w:r>
      <w:r>
        <w:rPr>
          <w:rFonts w:hint="eastAsia" w:ascii="宋体" w:hAnsi="宋体" w:eastAsia="宋体" w:cs="宋体"/>
          <w:color w:val="000000"/>
          <w:szCs w:val="21"/>
          <w:highlight w:val="none"/>
          <w:lang w:eastAsia="zh-CN"/>
        </w:rPr>
        <w:t xml:space="preserve">JSZC-321002-DJZX-G2026-0001号</w:t>
      </w: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2、投标人</w:t>
      </w:r>
      <w:r>
        <w:rPr>
          <w:rFonts w:hint="eastAsia" w:ascii="宋体" w:hAnsi="宋体" w:eastAsia="宋体" w:cs="宋体"/>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2.1 参加公开招标的投标人以下简称“投标人”，是指参加投标并符合采购文件规定资格条件的法人、其他组织或者自然人。</w:t>
      </w:r>
      <w:r>
        <w:rPr>
          <w:rFonts w:hint="eastAsia" w:ascii="宋体" w:hAnsi="宋体" w:eastAsia="宋体" w:cs="宋体"/>
          <w:b/>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2.2合格的投标人</w:t>
      </w:r>
      <w:r>
        <w:rPr>
          <w:rFonts w:hint="eastAsia" w:ascii="宋体" w:hAnsi="宋体" w:eastAsia="宋体" w:cs="宋体"/>
          <w:b/>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2.2.1 满足招标公告中投标人的资格条件要求的规定。</w:t>
      </w:r>
      <w:r>
        <w:rPr>
          <w:rFonts w:hint="eastAsia" w:ascii="宋体" w:hAnsi="宋体" w:eastAsia="宋体" w:cs="宋体"/>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2.2.2 满足本文件实质性条款的规定。</w:t>
      </w:r>
      <w:r>
        <w:rPr>
          <w:rFonts w:hint="eastAsia" w:ascii="宋体" w:hAnsi="宋体" w:eastAsia="宋体" w:cs="宋体"/>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3、适用法律</w:t>
      </w:r>
      <w:r>
        <w:rPr>
          <w:rFonts w:hint="eastAsia" w:ascii="宋体" w:hAnsi="宋体" w:eastAsia="宋体" w:cs="宋体"/>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3.1 本次采购及由此产生的合同受中华人民共和国有关的法律法规制约和保护。</w:t>
      </w:r>
      <w:r>
        <w:rPr>
          <w:rFonts w:hint="eastAsia" w:ascii="宋体" w:hAnsi="宋体" w:eastAsia="宋体" w:cs="宋体"/>
          <w:b/>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bCs/>
          <w:color w:val="000000"/>
          <w:szCs w:val="21"/>
          <w:highlight w:val="none"/>
        </w:rPr>
        <w:suppressLineNumbers w:val="0"/>
      </w:pPr>
      <w:r>
        <w:rPr>
          <w:rFonts w:hint="eastAsia" w:ascii="宋体" w:hAnsi="宋体" w:eastAsia="宋体" w:cs="宋体"/>
          <w:b/>
          <w:bCs/>
          <w:color w:val="000000"/>
          <w:szCs w:val="21"/>
          <w:highlight w:val="none"/>
        </w:rPr>
        <w:t xml:space="preserve">4、投标费用</w:t>
      </w:r>
      <w:r>
        <w:rPr>
          <w:rFonts w:hint="eastAsia" w:ascii="宋体" w:hAnsi="宋体" w:eastAsia="宋体" w:cs="宋体"/>
          <w:b/>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4.1 投标人应自行承担所有与参加投标有关的费用，无论招标过程中的做法和结果如何，</w:t>
      </w:r>
      <w:r>
        <w:rPr>
          <w:rFonts w:hint="eastAsia" w:ascii="宋体" w:hAnsi="宋体" w:eastAsia="宋体" w:cs="宋体"/>
          <w:color w:val="000000"/>
          <w:szCs w:val="21"/>
          <w:highlight w:val="none"/>
          <w:lang w:eastAsia="zh-CN"/>
        </w:rPr>
        <w:t xml:space="preserve">江苏鼎坚工程咨询有限公司扬州分公司</w:t>
      </w:r>
      <w:r>
        <w:rPr>
          <w:rFonts w:hint="eastAsia" w:ascii="宋体" w:hAnsi="宋体" w:eastAsia="宋体" w:cs="宋体"/>
          <w:color w:val="000000"/>
          <w:szCs w:val="21"/>
          <w:highlight w:val="none"/>
        </w:rPr>
        <w:t xml:space="preserve">（以下简称代理机构）在任何情况下均无义务和责任承担这些费用。</w:t>
      </w:r>
      <w:r>
        <w:rPr>
          <w:rFonts w:hint="eastAsia" w:ascii="宋体" w:hAnsi="宋体" w:eastAsia="宋体" w:cs="宋体"/>
          <w:color w:val="000000"/>
          <w:szCs w:val="21"/>
          <w:highlight w:val="none"/>
        </w:rPr>
      </w:r>
      <w:r/>
    </w:p>
    <w:p>
      <w:pPr>
        <w:pStyle w:val="1081"/>
        <w:contextualSpacing w:val="0"/>
        <w:ind w:firstLine="422"/>
        <w:jc w:val="left"/>
        <w:pageBreakBefore w:val="0"/>
        <w:spacing w:before="0" w:after="0" w:line="372" w:lineRule="auto"/>
        <w:rPr>
          <w:rFonts w:hint="eastAsia" w:ascii="宋体" w:hAnsi="宋体" w:eastAsia="宋体" w:cs="宋体"/>
          <w:b/>
          <w:bCs/>
          <w:color w:val="000000"/>
          <w:highlight w:val="none"/>
        </w:rPr>
        <w:suppressLineNumbers w:val="0"/>
      </w:pPr>
      <w:r>
        <w:rPr>
          <w:rFonts w:hint="eastAsia" w:ascii="宋体" w:hAnsi="宋体" w:eastAsia="宋体" w:cs="宋体"/>
          <w:b/>
          <w:bCs/>
          <w:color w:val="000000"/>
          <w:highlight w:val="none"/>
        </w:rPr>
        <w:t xml:space="preserve">4.2本次采购由中标人在领取中标通知书前根据国家发改委【2011】534号文标准一次性支付给招标代理机构代理服务费。</w:t>
      </w:r>
      <w:r>
        <w:rPr>
          <w:rFonts w:hint="eastAsia" w:ascii="宋体" w:hAnsi="宋体" w:eastAsia="宋体" w:cs="宋体"/>
          <w:b/>
          <w:bCs/>
          <w:color w:val="000000"/>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（1）代理服务费以人民币支付；</w:t>
      </w:r>
      <w:r>
        <w:rPr>
          <w:rFonts w:hint="eastAsia" w:ascii="宋体" w:hAnsi="宋体" w:eastAsia="宋体" w:cs="宋体"/>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（2）代理服务费支付方式：一次性以电汇或转账等非现金形式支付；</w:t>
      </w:r>
      <w:r>
        <w:rPr>
          <w:rFonts w:hint="eastAsia" w:ascii="宋体" w:hAnsi="宋体" w:eastAsia="宋体" w:cs="宋体"/>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（3）代理服务费不在报价中单列，包含在总价中，由中标人支付给代理机构。</w:t>
      </w:r>
      <w:r>
        <w:rPr>
          <w:rFonts w:hint="eastAsia" w:ascii="宋体" w:hAnsi="宋体" w:eastAsia="宋体" w:cs="宋体"/>
          <w:color w:val="000000"/>
          <w:szCs w:val="21"/>
          <w:highlight w:val="none"/>
        </w:rPr>
      </w:r>
      <w:r/>
    </w:p>
    <w:p>
      <w:pPr>
        <w:pStyle w:val="995"/>
        <w:contextualSpacing w:val="0"/>
        <w:ind w:firstLine="422"/>
        <w:jc w:val="left"/>
        <w:keepLines/>
        <w:keepNext/>
        <w:pageBreakBefore w:val="0"/>
        <w:spacing w:before="0" w:after="0" w:line="372" w:lineRule="auto"/>
        <w:widowControl/>
        <w:rPr>
          <w:rFonts w:hint="eastAsia" w:ascii="宋体" w:hAnsi="宋体" w:eastAsia="宋体" w:cs="宋体"/>
          <w:b/>
          <w:bCs/>
          <w:color w:val="000000"/>
          <w:sz w:val="21"/>
          <w:szCs w:val="21"/>
          <w:highlight w:val="none"/>
        </w:rPr>
        <w:suppressLineNumbers w:val="0"/>
      </w:pPr>
      <w:r/>
      <w:bookmarkStart w:id="36" w:name="_Hlk115095815"/>
      <w:r>
        <w:rPr>
          <w:rFonts w:hint="eastAsia" w:ascii="宋体" w:hAnsi="宋体" w:eastAsia="宋体" w:cs="宋体"/>
          <w:b/>
          <w:bCs/>
          <w:color w:val="000000"/>
          <w:sz w:val="21"/>
          <w:szCs w:val="21"/>
          <w:highlight w:val="none"/>
        </w:rPr>
        <w:t xml:space="preserve">代理服务费开户银行：江苏常熟农村商业银行股份有限公司扬州分行</w:t>
      </w:r>
      <w:r>
        <w:rPr>
          <w:rFonts w:hint="eastAsia" w:ascii="宋体" w:hAnsi="宋体" w:eastAsia="宋体" w:cs="宋体"/>
          <w:b/>
          <w:bCs/>
          <w:color w:val="000000"/>
          <w:sz w:val="21"/>
          <w:szCs w:val="21"/>
          <w:highlight w:val="none"/>
        </w:rPr>
      </w:r>
      <w:r/>
    </w:p>
    <w:p>
      <w:pPr>
        <w:pStyle w:val="995"/>
        <w:contextualSpacing w:val="0"/>
        <w:ind w:firstLine="422"/>
        <w:jc w:val="left"/>
        <w:keepLines/>
        <w:keepNext/>
        <w:pageBreakBefore w:val="0"/>
        <w:spacing w:before="0" w:after="0" w:line="372"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          </w:t>
      </w:r>
      <w:bookmarkStart w:id="37" w:name="_Toc22202"/>
      <w:r/>
      <w:bookmarkStart w:id="38" w:name="_Toc27904"/>
      <w:r>
        <w:rPr>
          <w:rFonts w:hint="eastAsia" w:ascii="宋体" w:hAnsi="宋体" w:eastAsia="宋体" w:cs="宋体"/>
          <w:b/>
          <w:bCs/>
          <w:color w:val="000000"/>
          <w:sz w:val="21"/>
          <w:szCs w:val="21"/>
          <w:highlight w:val="none"/>
        </w:rPr>
        <w:t xml:space="preserve">开户名称：</w:t>
      </w:r>
      <w:bookmarkEnd w:id="37"/>
      <w:r/>
      <w:bookmarkEnd w:id="38"/>
      <w:r>
        <w:rPr>
          <w:rFonts w:hint="eastAsia" w:ascii="宋体" w:hAnsi="宋体" w:eastAsia="宋体" w:cs="宋体"/>
          <w:b/>
          <w:bCs/>
          <w:color w:val="000000"/>
          <w:sz w:val="21"/>
          <w:szCs w:val="21"/>
          <w:highlight w:val="none"/>
        </w:rPr>
        <w:t xml:space="preserve">江苏鼎坚工程咨询有限公司扬州分公司</w:t>
      </w:r>
      <w:r>
        <w:rPr>
          <w:rFonts w:hint="eastAsia" w:ascii="宋体" w:hAnsi="宋体" w:eastAsia="宋体" w:cs="宋体"/>
          <w:b/>
          <w:bCs/>
          <w:color w:val="000000"/>
          <w:sz w:val="21"/>
          <w:szCs w:val="21"/>
          <w:highlight w:val="none"/>
        </w:rPr>
      </w:r>
      <w:r/>
    </w:p>
    <w:p>
      <w:pPr>
        <w:pStyle w:val="995"/>
        <w:contextualSpacing w:val="0"/>
        <w:ind w:firstLine="422"/>
        <w:jc w:val="left"/>
        <w:keepLines/>
        <w:keepNext/>
        <w:pageBreakBefore w:val="0"/>
        <w:spacing w:before="0" w:after="0" w:line="372"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rPr>
        <w:t xml:space="preserve">          开户帐号：105260001000186283</w:t>
      </w:r>
      <w:r>
        <w:rPr>
          <w:rFonts w:hint="eastAsia" w:ascii="宋体" w:hAnsi="宋体" w:eastAsia="宋体" w:cs="宋体"/>
          <w:b/>
          <w:bCs/>
          <w:color w:val="000000"/>
          <w:sz w:val="21"/>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szCs w:val="21"/>
          <w:highlight w:val="none"/>
        </w:rPr>
        <w:suppressLineNumbers w:val="0"/>
      </w:pPr>
      <w:r>
        <w:rPr>
          <w:rFonts w:hint="eastAsia" w:ascii="宋体" w:hAnsi="宋体" w:eastAsia="宋体" w:cs="宋体"/>
          <w:color w:val="000000"/>
          <w:szCs w:val="21"/>
          <w:highlight w:val="none"/>
        </w:rPr>
        <w:t xml:space="preserve">4.3专家评审费按扬财购【2020】40 号文《关于进一步规范扬州市政府采购专家评审费标准的通知》执行。</w:t>
      </w:r>
      <w:r>
        <w:rPr>
          <w:rFonts w:hint="eastAsia" w:ascii="宋体" w:hAnsi="宋体" w:eastAsia="宋体" w:cs="宋体"/>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5、招标文件的约束力</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5.1 投标人一旦参加本项目采购活动，即被认为接受了本招标文件的规定和约束。</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6、招标文件构成</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6.1 招标文件由以下部分组成：</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（1）招标公告</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（2）投标人须知</w:t>
      </w:r>
      <w:r>
        <w:rPr>
          <w:rFonts w:hint="eastAsia" w:ascii="宋体" w:hAnsi="宋体" w:eastAsia="宋体" w:cs="宋体"/>
          <w:bCs/>
          <w:color w:val="000000"/>
          <w:szCs w:val="21"/>
          <w:highlight w:val="none"/>
        </w:rPr>
        <w:tab/>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（3）合同条款及格式</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（4）项目需求</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（5）评标方法与评标标准</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（6）投标文件格式</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请仔细检查招标文件是否齐全，如有缺漏请立即与代理机构联系解决。</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6.2 招标的最小单位是包。招标服务数量及技术要求中未分包的，投标人对要求提供的服务不得部分投标；招标服务数量及技术要求中已经分包的，应当以包为单位投标。</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6.3 招标文件如果要求投标人提交备选投标方案的，投标人可以提交备选方案；否则，备选方案将被拒绝。</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7、招标文件的澄清</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7.1 任何要求对招标文件进行澄清的投标人，应在投标截止日期的十日前按招标公告中的通讯地址，以书面形式通知代理机构。</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8、招标文件的修改</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8.1 在投标截止时间前，代理机构可以对招标文件进行修改。</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8.2 代理机构在招标文件要求提交投标文件截止时间前，有权按照法定要求推迟投标截止时间和开标时间。</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8.3 招标文件的修改将在“江苏省政府采购网</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、“扬州市政府采购网</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、“中国政府采购网</w:t>
      </w:r>
      <w:r>
        <w:rPr>
          <w:rFonts w:hint="eastAsia" w:ascii="宋体" w:hAnsi="宋体" w:eastAsia="宋体" w:cs="宋体"/>
          <w:b/>
          <w:bCs/>
          <w:color w:val="000000"/>
          <w:szCs w:val="21"/>
          <w:highlight w:val="none"/>
        </w:rPr>
        <w:t xml:space="preserve">”</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扬州市广陵区政府采购网</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Cs/>
          <w:color w:val="000000"/>
          <w:szCs w:val="21"/>
          <w:highlight w:val="none"/>
        </w:rPr>
        <w:t xml:space="preserve">公布，补充文件将作为招标文件的组成部分，并对投标人具有约束力。</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9、投标文件的语言、度量衡单位、货币</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9.1 投标人提交的投标文件以及投标人与代理机构就有关投标的所有来往通知、函件和文件均应使用简体中文。</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9.2 除技术性能另有规定外，投标文件所使用的度量衡单位，均须采用国家法定计量单位。</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9.3 投标人应使用人民币报价。</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10、投标文件构成</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10.1 投标文件由以下部分组成</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（1）资格审查响应对照表</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（2）符合性审查响应对照表</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（3）非实质性响应对照表</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（4）开标一览表 </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（5）分项报价表 </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（6）技术参数响应及偏离表 </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（7）商务条款响应及偏离表 </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（8）其他 （投标人认为有必要提供的声明和文件，如有自拟并自行添加）</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10.2 投标人应当根据招标文件要求编制投标文件，投标文件应对招标文件提出的要求和条件作出响应，并在相应的投标文件中逐条标明满足与否。</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11、证明投标人资格及符合招标文件规定的文件</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11.1 投标人应按要求提交资格证明文件及符合招标文件规定的文件。</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11.2 投标人应提交证明其有资格参加投标和中标后有能力独立履行合同的文件。</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11.3 投标人除必须具有履行合同所需提供的产品或服务的能力外，还必须具备相应的财务、技术方面的能力。</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11.4 投标人应提交根据合同要求提供的证明服务质量合格以及符合招标文件规定的证明文件。</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11.5 证明投标人所提供服务与招标文件的要求相一致的文件可以是手册、图纸、文字资料和数据。</w:t>
      </w:r>
      <w:r>
        <w:rPr>
          <w:rFonts w:hint="eastAsia" w:ascii="宋体" w:hAnsi="宋体" w:eastAsia="宋体" w:cs="宋体"/>
          <w:bCs/>
          <w:color w:val="000000"/>
          <w:szCs w:val="21"/>
          <w:highlight w:val="none"/>
        </w:rPr>
      </w:r>
      <w:r/>
    </w:p>
    <w:p>
      <w:pPr>
        <w:pStyle w:val="995"/>
        <w:contextualSpacing w:val="0"/>
        <w:ind w:left="420"/>
        <w:jc w:val="left"/>
        <w:pageBreakBefore w:val="0"/>
        <w:spacing w:before="0" w:after="0" w:line="372" w:lineRule="auto"/>
        <w:rPr>
          <w:rFonts w:hint="eastAsia" w:ascii="宋体" w:hAnsi="宋体" w:eastAsia="宋体" w:cs="宋体"/>
          <w:b/>
          <w:color w:val="000000"/>
          <w:szCs w:val="21"/>
          <w:highlight w:val="none"/>
        </w:rPr>
        <w:suppressLineNumbers w:val="0"/>
      </w:pPr>
      <w:r/>
      <w:bookmarkEnd w:id="31"/>
      <w:r/>
      <w:bookmarkEnd w:id="32"/>
      <w:r/>
      <w:bookmarkEnd w:id="33"/>
      <w:r/>
      <w:bookmarkEnd w:id="34"/>
      <w:r/>
      <w:bookmarkEnd w:id="36"/>
      <w:r/>
      <w:bookmarkStart w:id="39" w:name="_Toc497145842"/>
      <w:r>
        <w:rPr>
          <w:rFonts w:hint="eastAsia" w:ascii="宋体" w:hAnsi="宋体" w:eastAsia="宋体" w:cs="宋体"/>
          <w:b/>
          <w:color w:val="000000"/>
          <w:szCs w:val="21"/>
          <w:highlight w:val="none"/>
        </w:rPr>
        <w:t xml:space="preserve">12、</w:t>
      </w:r>
      <w:r>
        <w:rPr>
          <w:rFonts w:hint="eastAsia" w:ascii="宋体" w:hAnsi="宋体" w:eastAsia="宋体" w:cs="宋体"/>
          <w:b/>
          <w:bCs/>
          <w:color w:val="000000"/>
          <w:highlight w:val="none"/>
        </w:rPr>
        <w:t xml:space="preserve">分项报价表</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12.1 </w:t>
      </w:r>
      <w:r>
        <w:rPr>
          <w:rFonts w:hint="eastAsia" w:ascii="宋体" w:hAnsi="宋体" w:eastAsia="宋体" w:cs="宋体"/>
          <w:color w:val="000000"/>
          <w:szCs w:val="21"/>
          <w:highlight w:val="none"/>
        </w:rPr>
        <w:t xml:space="preserve">投标人应按照招标文件规定格式填报投标分项报价表，每项服务只允许有一个报价，任何有选择的报价将不予接受。</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12.2 标的物</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采购人需求的服务供应、安装，调试及有关技术服务等。</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12.3 其他费用处理</w:t>
      </w:r>
      <w:r>
        <w:rPr>
          <w:rFonts w:hint="eastAsia" w:ascii="宋体" w:hAnsi="宋体" w:eastAsia="宋体" w:cs="宋体"/>
          <w:color w:val="000000"/>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招标文件未列明，而投标人认为必需的费用也需列入报价。</w:t>
      </w:r>
      <w:r>
        <w:rPr>
          <w:rFonts w:hint="eastAsia" w:ascii="宋体" w:hAnsi="宋体" w:eastAsia="宋体" w:cs="宋体"/>
          <w:color w:val="000000"/>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12.4 投标货币</w:t>
      </w:r>
      <w:r>
        <w:rPr>
          <w:rFonts w:hint="eastAsia" w:ascii="宋体" w:hAnsi="宋体" w:eastAsia="宋体" w:cs="宋体"/>
          <w:color w:val="000000"/>
          <w:highlight w:val="none"/>
        </w:rPr>
      </w:r>
      <w:r/>
    </w:p>
    <w:p>
      <w:pPr>
        <w:pStyle w:val="995"/>
        <w:contextualSpacing w:val="0"/>
        <w:ind w:firstLine="420"/>
        <w:jc w:val="left"/>
        <w:pageBreakBefore w:val="0"/>
        <w:spacing w:before="0" w:after="0" w:line="372" w:lineRule="auto"/>
        <w:rPr>
          <w:rFonts w:hint="eastAsia" w:ascii="宋体" w:hAnsi="宋体" w:eastAsia="宋体" w:cs="宋体"/>
          <w:color w:val="000000"/>
          <w:highlight w:val="none"/>
        </w:rPr>
        <w:suppressLineNumbers w:val="0"/>
      </w:pPr>
      <w:r>
        <w:rPr>
          <w:rFonts w:hint="eastAsia" w:ascii="宋体" w:hAnsi="宋体" w:eastAsia="宋体" w:cs="宋体"/>
          <w:color w:val="000000"/>
          <w:highlight w:val="none"/>
        </w:rPr>
        <w:t xml:space="preserve">投标文件中的服务单价和总价无特殊规定的采用人民币报价，以元为单位标注。招标文件中另有规定的按规定执行。</w:t>
      </w:r>
      <w:r>
        <w:rPr>
          <w:rFonts w:hint="eastAsia" w:ascii="宋体" w:hAnsi="宋体" w:eastAsia="宋体" w:cs="宋体"/>
          <w:color w:val="000000"/>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13、技术参数响应及偏离表、商务条款响应及偏离表及投标货物说明</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13.1 对招标文件中的技术与商务条款要求逐项作出响应或偏离，并说明原因；</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13.2 提供参加本项目类似案例简介；</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13.3 培训计划；</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13.4 投标人认为需要的其他技术文件或说明。</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14、服务承诺及售后服务机构、人员的情况介绍</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14.1 投标人的服务承诺应按不低于招标文件中商务要求的标准。</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14.2 提供投标人有关售后服务的管理制度、售后服务机构的分布情况、售后服务人员的数量、素质、技术水平及售后服务的反应能力。</w:t>
      </w:r>
      <w:r>
        <w:rPr>
          <w:rFonts w:hint="eastAsia" w:ascii="宋体" w:hAnsi="宋体" w:eastAsia="宋体" w:cs="宋体"/>
          <w:bCs/>
          <w:color w:val="000000"/>
          <w:szCs w:val="21"/>
          <w:highlight w:val="none"/>
          <w:lang w:val="en-US" w:eastAsia="zh-CN"/>
        </w:rPr>
        <w:t xml:space="preserve"> </w:t>
      </w:r>
      <w:r>
        <w:rPr>
          <w:rFonts w:hint="eastAsia" w:ascii="宋体" w:hAnsi="宋体" w:eastAsia="宋体" w:cs="宋体"/>
          <w:bCs/>
          <w:color w:val="000000"/>
          <w:szCs w:val="21"/>
          <w:highlight w:val="none"/>
          <w:lang w:val="en-US" w:eastAsia="zh-CN"/>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15、投标函和开标一览表</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15.1 投标人应按照招标文件中提供的格式完整、正确填写投标函、开标一览表。</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15.2 开标一览表中的价格应与投标文件中分项报价表中的价格一致，如不一致，不作为无效投标处理，但评标时按开标一览表中价格为准。</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16、投标有效期</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16.1 投标有效期为开标之日起六十（60）天。投标有效期比规定短的将被视为非响应性投标而予以拒绝。</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bookmarkStart w:id="40" w:name="_Toc16938541"/>
      <w:r/>
      <w:bookmarkStart w:id="41" w:name="_Toc462564084"/>
      <w:r/>
      <w:bookmarkStart w:id="42" w:name="_Toc20823297"/>
      <w:r/>
      <w:bookmarkStart w:id="43" w:name="_Toc513029225"/>
      <w:r>
        <w:rPr>
          <w:rFonts w:hint="eastAsia" w:ascii="宋体" w:hAnsi="宋体" w:eastAsia="宋体" w:cs="宋体"/>
          <w:b/>
          <w:color w:val="000000"/>
          <w:szCs w:val="21"/>
          <w:highlight w:val="none"/>
        </w:rPr>
        <w:t xml:space="preserve">17、投标文件</w:t>
      </w:r>
      <w:bookmarkEnd w:id="40"/>
      <w:r/>
      <w:bookmarkEnd w:id="41"/>
      <w:r/>
      <w:bookmarkEnd w:id="42"/>
      <w:r/>
      <w:bookmarkEnd w:id="43"/>
      <w:r>
        <w:rPr>
          <w:rFonts w:hint="eastAsia" w:ascii="宋体" w:hAnsi="宋体" w:eastAsia="宋体" w:cs="宋体"/>
          <w:b/>
          <w:color w:val="000000"/>
          <w:szCs w:val="21"/>
          <w:highlight w:val="none"/>
        </w:rPr>
        <w:t xml:space="preserve">的递交</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17.1 电子投标文件的递交投标人应当按照《操作手册》规定，在投标截止时间前制作并上传电子投标文件。</w:t>
      </w:r>
      <w:bookmarkStart w:id="44" w:name="_Toc20823298"/>
      <w:r/>
      <w:bookmarkStart w:id="45" w:name="_Toc513029226"/>
      <w:r/>
      <w:bookmarkStart w:id="46" w:name="_Toc16938542"/>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17.2 </w:t>
      </w:r>
      <w:r>
        <w:rPr>
          <w:rFonts w:hint="eastAsia" w:ascii="宋体" w:hAnsi="宋体" w:eastAsia="宋体" w:cs="宋体"/>
          <w:b/>
          <w:bCs/>
          <w:color w:val="000000"/>
          <w:szCs w:val="21"/>
          <w:highlight w:val="none"/>
        </w:rPr>
        <w:t xml:space="preserve">政府采购管理交易系统（苏采云）</w:t>
      </w:r>
      <w:r>
        <w:rPr>
          <w:rFonts w:hint="eastAsia" w:ascii="宋体" w:hAnsi="宋体" w:eastAsia="宋体" w:cs="宋体"/>
          <w:b/>
          <w:color w:val="000000"/>
          <w:szCs w:val="21"/>
          <w:highlight w:val="none"/>
        </w:rPr>
        <w:t xml:space="preserve">相关要求是本招标文件的组成部分。</w:t>
      </w:r>
      <w:r>
        <w:rPr>
          <w:rFonts w:hint="eastAsia" w:ascii="宋体" w:hAnsi="宋体" w:eastAsia="宋体" w:cs="宋体"/>
          <w:b/>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17.3 投标人应对 CA 证书妥善保管，如被他人盗用投标，因此带来的结果均由投标人自行承担。</w:t>
      </w:r>
      <w:r>
        <w:rPr>
          <w:rFonts w:hint="eastAsia" w:ascii="宋体" w:hAnsi="宋体" w:eastAsia="宋体" w:cs="宋体"/>
          <w:b/>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17.4 投标人应当对招标文件提出的要求和条件作出实质性响应，并在电子投标系统逐条应答。</w:t>
      </w:r>
      <w:r>
        <w:rPr>
          <w:rFonts w:hint="eastAsia" w:ascii="宋体" w:hAnsi="宋体" w:eastAsia="宋体" w:cs="宋体"/>
          <w:b/>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17.5 投标人应对要求提供的资格证明文件（如资质证书、资格证书）、技术资料（如白皮书、彩页、手册、检测报告等）扫描上传至投标系统。</w:t>
      </w:r>
      <w:r>
        <w:rPr>
          <w:rFonts w:hint="eastAsia" w:ascii="宋体" w:hAnsi="宋体" w:eastAsia="宋体" w:cs="宋体"/>
          <w:b/>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17.6 投标人应当在招标文件要求提交投标文件的截止时间前，将投标文件提交至“苏采云</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Cs w:val="21"/>
          <w:highlight w:val="none"/>
        </w:rPr>
        <w:t xml:space="preserve">系统，逾期提交的投标文件，“苏采云</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Cs w:val="21"/>
          <w:highlight w:val="none"/>
        </w:rPr>
        <w:t xml:space="preserve">系统将自动拒收。</w:t>
      </w:r>
      <w:r>
        <w:rPr>
          <w:rFonts w:hint="eastAsia" w:ascii="宋体" w:hAnsi="宋体" w:eastAsia="宋体" w:cs="宋体"/>
          <w:b/>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color w:val="000000"/>
          <w:highlight w:val="none"/>
        </w:rPr>
        <w:suppressLineNumbers w:val="0"/>
      </w:pPr>
      <w:r>
        <w:rPr>
          <w:rFonts w:hint="eastAsia" w:ascii="宋体" w:hAnsi="宋体" w:eastAsia="宋体" w:cs="宋体"/>
          <w:b/>
          <w:color w:val="000000"/>
          <w:szCs w:val="21"/>
          <w:highlight w:val="none"/>
        </w:rPr>
        <w:t xml:space="preserve">17.7各 投标人应在规定时间内凭CA证书进行网上解密。</w:t>
      </w:r>
      <w:r>
        <w:rPr>
          <w:rFonts w:hint="eastAsia" w:ascii="宋体" w:hAnsi="宋体" w:eastAsia="宋体" w:cs="宋体"/>
          <w:color w:val="000000"/>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18、投标截止日期</w:t>
      </w:r>
      <w:bookmarkEnd w:id="44"/>
      <w:r/>
      <w:bookmarkEnd w:id="45"/>
      <w:r/>
      <w:bookmarkEnd w:id="46"/>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i/>
          <w:iCs/>
          <w:color w:val="000000"/>
          <w:szCs w:val="21"/>
          <w:highlight w:val="none"/>
          <w:u w:val="single"/>
        </w:rPr>
        <w:suppressLineNumbers w:val="0"/>
      </w:pPr>
      <w:r>
        <w:rPr>
          <w:rFonts w:hint="eastAsia" w:ascii="宋体" w:hAnsi="宋体" w:eastAsia="宋体" w:cs="宋体"/>
          <w:bCs/>
          <w:i/>
          <w:iCs/>
          <w:color w:val="000000"/>
          <w:szCs w:val="21"/>
          <w:highlight w:val="none"/>
          <w:u w:val="single"/>
        </w:rPr>
        <w:t xml:space="preserve">18.1 投标人上传电子投标文件的时间不得迟于招标公告中规定的投标截止时间。</w:t>
      </w:r>
      <w:r>
        <w:rPr>
          <w:rFonts w:hint="eastAsia" w:ascii="宋体" w:hAnsi="宋体" w:eastAsia="宋体" w:cs="宋体"/>
          <w:bCs/>
          <w:i/>
          <w:iCs/>
          <w:color w:val="000000"/>
          <w:szCs w:val="21"/>
          <w:highlight w:val="none"/>
          <w:u w:val="singl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bookmarkStart w:id="47" w:name="_Toc16938543"/>
      <w:r/>
      <w:bookmarkStart w:id="48" w:name="_Toc513029227"/>
      <w:r/>
      <w:bookmarkStart w:id="49" w:name="_Toc20823299"/>
      <w:r>
        <w:rPr>
          <w:rFonts w:hint="eastAsia" w:ascii="宋体" w:hAnsi="宋体" w:eastAsia="宋体" w:cs="宋体"/>
          <w:b/>
          <w:color w:val="000000"/>
          <w:szCs w:val="21"/>
          <w:highlight w:val="none"/>
        </w:rPr>
        <w:t xml:space="preserve">19、投标文件</w:t>
      </w:r>
      <w:bookmarkEnd w:id="47"/>
      <w:r/>
      <w:bookmarkEnd w:id="48"/>
      <w:r/>
      <w:bookmarkEnd w:id="49"/>
      <w:r>
        <w:rPr>
          <w:rFonts w:hint="eastAsia" w:ascii="宋体" w:hAnsi="宋体" w:eastAsia="宋体" w:cs="宋体"/>
          <w:b/>
          <w:color w:val="000000"/>
          <w:szCs w:val="21"/>
          <w:highlight w:val="none"/>
        </w:rPr>
        <w:t xml:space="preserve">的拒收</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19.1 代理机构拒绝接收在其规定的投标截止时间后上传的任何投标文件。</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bookmarkStart w:id="50" w:name="_Toc20823300"/>
      <w:r/>
      <w:bookmarkStart w:id="51" w:name="_Toc513029228"/>
      <w:r/>
      <w:bookmarkStart w:id="52" w:name="_Toc16938544"/>
      <w:r>
        <w:rPr>
          <w:rFonts w:hint="eastAsia" w:ascii="宋体" w:hAnsi="宋体" w:eastAsia="宋体" w:cs="宋体"/>
          <w:b/>
          <w:color w:val="000000"/>
          <w:szCs w:val="21"/>
          <w:highlight w:val="none"/>
        </w:rPr>
        <w:t xml:space="preserve">20、投标文件的撤回和修改</w:t>
      </w:r>
      <w:bookmarkEnd w:id="50"/>
      <w:r/>
      <w:bookmarkEnd w:id="51"/>
      <w:r/>
      <w:bookmarkEnd w:id="52"/>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20.1 投标文件的撤回</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20.1.1 电子投标文件的撤回</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投标人可在投标截止时间前，撤回其电子投标文件，具体操作方法见《操作手册》。</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20.1.2 投标人撤回电子投标文件，则认为其不再参与本项目投标活动。</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20.2 投标文件的修改</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投标人可在投标截止时间前，对其电子投标文件进行修改，具体操作方法见《操作手册》。</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20.3 在投标截止时间之后，投标人不得对其电子投标文件作任何修改。</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20.4 在投标截止时间至招标文件中规定的投标有效期满之间的这段时间内，投标人不得撤回其投标。</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21、开标</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21.1 代理机构将在招标公告中规定的时间和地点组织公开开标。投标人应当按照《操作手册》规定，参加开标活动。投标人未参加开标的，视同认可开标结果。</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21.2 投标人不足3家的，不得开标。</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21.3 开标仪式由代理机构主持。“政府采购管理交易系统（苏采云）</w:t>
      </w:r>
      <w:r>
        <w:rPr>
          <w:rFonts w:hint="eastAsia" w:ascii="宋体" w:hAnsi="宋体" w:eastAsia="宋体" w:cs="宋体"/>
          <w:b/>
          <w:bCs/>
          <w:color w:val="000000"/>
          <w:szCs w:val="21"/>
          <w:highlight w:val="none"/>
        </w:rPr>
        <w:t xml:space="preserve">”</w:t>
      </w:r>
      <w:r>
        <w:rPr>
          <w:rFonts w:hint="eastAsia" w:ascii="宋体" w:hAnsi="宋体" w:eastAsia="宋体" w:cs="宋体"/>
          <w:b/>
          <w:color w:val="000000"/>
          <w:szCs w:val="21"/>
          <w:highlight w:val="none"/>
        </w:rPr>
        <w:t xml:space="preserve">将自动对项目进行开标，并宣读各投标人的《开标一览表》。</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21.4 投标人在开标过程中涉及到的投标文件解密、开标结果确认等工作，应按照《操作手册》规定执行。</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22、评标委员会</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22.1 开标后，代理机构将立即组织评标委员会（以下简称评委会）进行评标。</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22.2 评委会由采购人代表和有关技术、经济等方面的专家组成，且人员构成符合政府采购有关规定。</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22.3 评委会独立工作，负责评审所有投标文件并确定中标候选人。</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23、评标过程的保密与公正</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23.1 公开开标后，直至签订合同之日止，凡是与审查、澄清、评价和比较投标的有关资料以及授标建议等，采购人、评委、代理机构工作人员均不得向投标人或与评标无关的其他人员透露。</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23.2 在评标过程中，投标人不得以任何行为影响评标过程，否则其投标文件将被作为无效投标文件。</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23.3 在评标期间，代理机构将设专门工作人员与投标人联系。</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23.4 代理机构和评委会不向未中标的投标人解释未中标原因，也不公布评标过程中的相关细节。</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23.5 采用综合评分法的项目，未中标的投标人可于中标结果公告期限届满之日起通过“政府采购管理交易系统（苏采云）</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查看自己的评审得分及排序情况。</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24、投标的澄清</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24.1 评标期间，为有助于对投标文件的审查、评价和比较，评委会有权以电子函件形式要求投标人对其投标文件进行澄清，但并非对每个投标人都作澄清要求。</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24.2 接到评委会澄清要求的投标人应派人按评委会规定的时间和格式在“政府采购管理交易系统（苏采云）</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中作出澄清，澄清的内容作为投标文件的补充部分，但投标的价格和实质性的内容不得做任何更改。具体操作方式见《操作手册》。</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24.3 接到评委会澄清要求的投标人如未按规定作出澄清，其风险由投标人自行承担。</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25、对投标文件的初审</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25.1 投标文件初审分为资格审查和符合性审查。</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25.1.1 资格审查：依据法律法规和招标文件的规定，由采购人对投标文件中的资格证明文件进行审查。并将审查结论以书面形式向评委会反馈。</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采购人在进行资格性审查的同时，将在“信用中国</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网站（www.creditchina.gov.cn）、“中国政府采购网</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若接受联合体投标的项目，两个以上的自然人、法人或者其他组织组成一个联合体，以一个投标人的身份共同参加政府采购活动的，联合体成员存在不良信用记录的，视同联合体存在不良信用记录。</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25.1.2 符合性检查：依据招标文件的规定，由评委会从投标文件的有效性、完整性和对招标文件的响应程度进行审查，以确定是否对招标文件的实质性要求作出响应。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25.1.3 未通过资格审查或符合性审查的投标人，代理机构将在“政府采购管理交易系统（苏采云）</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中告知未通过资格审查或符合性审查的原因，评审结束后，代理机构将不再告知未通过资格审查或符合性审查的原因。</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25.3 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25.4 评委会将对确定为实质性响应的投标进行进一步审核，看其是否有计算上或累加上的算术错误，修正错误的原则如下：</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（1）投标文件中开标一览表内容与投标文件中相应内容不一致的，以开标一览表为准。</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（2）大写金额与小写金额不一致的，以大写金额为准。</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（3）单价金额小数点或者百分比有明显错位的，以开标一览表的总价为准，并修改单价。</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（4）总价金额与按单价汇总金额不一致的，以单价金额计算结果为准。</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同时出现两种以上错误的，按照前款规定的顺序修正。</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25.5 评委会将按上述修正错误的方法调整投标文件中的投标报价，并通过“政府采购管理交易系统（苏采云）</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25.6 评委会将允许修正投标文件中不构成重大偏离的、微小的、非正规的、不一致的或不规则的地方，但这些修改不能影响任何投标人相应的名次排列。</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25.7 投标人在开、评标全过程中应保持通讯畅通，并安排专人与代理机构及评委会联系。</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26、无效投标、废标及投标人不足三家的处理</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 无效投标条款</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26.1.1 投标人未成功解密电子投标文件的。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26.1.2 投标人未按照招标文件要求上传电子投标文件的。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26.1.3 投标人在报价时采用选择性报价的。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26.1.4 投标人不具备招标文件中规定资格要求的。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26.1.5 投标人的报价超过了采购预算或最高限价的。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26.1.6 未通过符合性审查的。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26.1.7 不符合招标文件中规定的其他实质性要求和条件的（</w:t>
      </w:r>
      <w:r>
        <w:rPr>
          <w:rFonts w:hint="eastAsia" w:ascii="宋体" w:hAnsi="宋体" w:eastAsia="宋体" w:cs="宋体"/>
          <w:bCs/>
          <w:i/>
          <w:iCs/>
          <w:color w:val="000000"/>
          <w:szCs w:val="21"/>
          <w:highlight w:val="none"/>
          <w:u w:val="single"/>
        </w:rPr>
        <w:t xml:space="preserve">本招标文件中斜体且有下划线部分为实质性要求和条件</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26.1.8 投标人被 “信用中国</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网站（www.creditchina.gov.cn）、“中国政府采购网</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信用记录。</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26.1.9 投标文件含有采购人不能接受的附加条件的。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26.1.10 评委会认为投标人的报价明显低于其他通过符合性审查投标人的报价，有可能影响产品质量或者不能诚信履约的，将通过“政府采购管理交易系统（苏采云）</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要求其在合理的时间内提供说明，必要时提交相关证明材料；投标人不能证明其报价合理性的，评委会应当将其作为无效投标处理。</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26.1.11 投标文件未按照招标文件要求加盖电子签章。</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26.1.12 其他法律、法规及本招标文件规定的属无效投标的情形。</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26.2 废标条款：</w:t>
      </w:r>
      <w:r>
        <w:rPr>
          <w:rFonts w:hint="eastAsia" w:ascii="宋体" w:hAnsi="宋体" w:eastAsia="宋体" w:cs="宋体"/>
          <w:bCs/>
          <w:color w:val="000000"/>
          <w:szCs w:val="21"/>
          <w:highlight w:val="none"/>
        </w:rPr>
      </w:r>
      <w:r/>
    </w:p>
    <w:p>
      <w:pPr>
        <w:pStyle w:val="995"/>
        <w:contextualSpacing w:val="0"/>
        <w:ind w:left="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26.2.1 符合专业条件的投标人或者对招标文件作实质响应的投标人不足三家的。</w:t>
      </w:r>
      <w:r>
        <w:rPr>
          <w:rFonts w:hint="eastAsia" w:ascii="宋体" w:hAnsi="宋体" w:eastAsia="宋体" w:cs="宋体"/>
          <w:bCs/>
          <w:color w:val="000000"/>
          <w:szCs w:val="21"/>
          <w:highlight w:val="none"/>
        </w:rPr>
      </w:r>
      <w:r/>
    </w:p>
    <w:p>
      <w:pPr>
        <w:pStyle w:val="995"/>
        <w:contextualSpacing w:val="0"/>
        <w:ind w:left="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26.2.2 出现影响采购公正的违法、违规行为的。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26.2.3 因重大变故，采购任务取消的。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26.2.4 评委会认定招标文件存在歧义、重大缺陷导致评审工作无法进行。</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26.3 投标截止时间结束后参加投标的投标人不足三家的处理：</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26.3.1 如出现投标截止时间结束后参加投标的投标人或者在评标期间对招标文件做出实质性响应的投标人不足三家情况，按政府采购相关规定执行。</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27、确定中标单位</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27.1 评委会根据本招标文件规定的评标方法与评标标准向采购人推荐出至少三名中标候选人。</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27.2 采购人应根据评委会推荐</w:t>
      </w:r>
      <w:r>
        <w:rPr>
          <w:rFonts w:hint="eastAsia" w:ascii="宋体" w:hAnsi="宋体" w:eastAsia="宋体" w:cs="宋体"/>
          <w:bCs/>
          <w:color w:val="000000"/>
          <w:szCs w:val="21"/>
          <w:highlight w:val="none"/>
        </w:rPr>
        <w:t xml:space="preserve">的中标候选人确定中标人。注：根据《政府采购法实施条例》第七十一条规定，依照下列规定处理：（一）未确定中标或者成交投标人的，终止本次政府采购活动，重新开展政府采购活动。（二）已确定中标或者成交投标人但尚未签订政府采购合同的，中标或者成交结果无效，从合格的中标或者成交候选人中另行确定中标或者成交投标人；没有合格的中标或者成交候选人的，重新开展政府采购活动。（三）政府采购合同已签订但尚未履行的，撤销合同，从合格的中标或者成交候选人中另行确定中标或者成交投标人；没有合格的中标或者成交候选人的，重新开展政府采购活动。</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27.3 代理机构将在“江苏省政府采购网</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、“扬州市政府采购网</w:t>
      </w:r>
      <w:r>
        <w:rPr>
          <w:rFonts w:hint="eastAsia" w:ascii="宋体" w:hAnsi="宋体" w:eastAsia="宋体" w:cs="宋体"/>
          <w:b/>
          <w:bCs/>
          <w:color w:val="000000"/>
          <w:szCs w:val="21"/>
          <w:highlight w:val="none"/>
        </w:rPr>
        <w:t xml:space="preserve">”</w:t>
      </w:r>
      <w:r>
        <w:rPr>
          <w:rFonts w:hint="eastAsia" w:ascii="宋体" w:hAnsi="宋体" w:eastAsia="宋体" w:cs="宋体"/>
          <w:bCs/>
          <w:color w:val="000000"/>
          <w:szCs w:val="21"/>
          <w:highlight w:val="none"/>
        </w:rPr>
        <w:t xml:space="preserve">、“中国政府采购网</w:t>
      </w:r>
      <w:r>
        <w:rPr>
          <w:rFonts w:hint="eastAsia" w:ascii="宋体" w:hAnsi="宋体" w:eastAsia="宋体" w:cs="宋体"/>
          <w:b/>
          <w:bCs/>
          <w:color w:val="000000"/>
          <w:szCs w:val="21"/>
          <w:highlight w:val="none"/>
        </w:rPr>
        <w:t xml:space="preserve">”</w:t>
      </w:r>
      <w:r>
        <w:rPr>
          <w:rFonts w:hint="eastAsia" w:ascii="宋体" w:hAnsi="宋体" w:eastAsia="宋体" w:cs="宋体"/>
          <w:b w:val="0"/>
          <w:bCs w:val="0"/>
          <w:color w:val="000000"/>
          <w:szCs w:val="21"/>
          <w:highlight w:val="none"/>
        </w:rPr>
        <w:t xml:space="preserve">、</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扬州市广陵区政府采购网</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Cs/>
          <w:color w:val="000000"/>
          <w:szCs w:val="21"/>
          <w:highlight w:val="none"/>
        </w:rPr>
        <w:t xml:space="preserve">发布中标公告，公告期限为1个工作日。</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27.4 若有充分证据证明，中标人出现下列情况之一的，一经查实，将被取消中标资格：</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27.4.1 提供虚假材料谋取中标的；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27.4.2 向采购人、代理机构行贿或者提供其他不正当利益的；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27.4.3 恶意竞争，投标总报价明显低于其自身合理成本且又无法提供证明的；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27.4.4 属于本文件规定的无效条件，但在评标过程中又未被评委会发现的；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27.4.5 与采购人或者其他投标人恶意串通的；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27.4.6 采取不正当手段诋毁、排挤其他投标人的；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27.4.7 不符合法律、法规的规定的。</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27.5 有下列情形之一的，视为投标人串通投标，投标无效：</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27.5.1 不同投标人的投标文件由同一单位或者个人编制。</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27.5.2 不同投标人委托同一单位或者个人办理投标事宜。</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27.5.3 不同投标人的投标文件载明的项目管理成员或者联系人员为同一人。</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27.5.4 不同投标人的投标文件异常一致或者投标报价呈规律性差异。</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27.5.5 不同投标人的投标文件相互混装。</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28、质疑处理</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28.1 提出质疑的投标人应当是参与所质疑项目采购活动的投标人。潜在投标人依法获取其可质疑的采购文件的，可以对采购文件提出质疑。</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对项目需求部分的质疑，潜在投标人应向采购人提出，由采购人负责答复。</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28.2 投标人认为采购文件、采购过程和中标或成交结果使自己的权益受到损害的，可以在知道或应知其权益受到损害之日起7个工作日内，以书面形式向采购人或代理机构提出质疑。</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28.2.1 对采购文件提出质疑的，应当在获取采购文件之日或者采购文件公告期限届满之日起7个工作日内提出。</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28.2.2 对采购过程提出质疑的，为各采购程序环节结束之日起7个工作日内提出。</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28.2.3 对中标结果提出质疑的，为中标结果公告期限届满之日起7个工作日内提出。</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28.3 投标人应在法定质疑期内一次性提出针对同一采购程序环节的质疑。投标人如在法定期限内对同一采购程序环节提出多次质疑的，代理机构、采购人将只对投标人第一次质疑作出答复。</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28.4 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28.5 代理机构及采购人只接收以纸质原件形式送达的质疑。</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采购人质疑接收人及联系方式见招标文件第一章。</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28.6 代理机构收到质疑申请后，将对质疑的形式和内容进行审查，如质疑内容、格式不符合规定，代理机构将告知质疑人进行补正。</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28.7 质疑人应当在法定质疑期限内进行补正并重新提交质疑函。</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28.8 以下情形的质疑不予受理</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28.8.1 内容不符合《政府采购质疑和投诉办法》第十二条规定的质疑。</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28.8.2 超出政府采购法定期限的质疑。</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28.8.3 以传真、电子邮件等方式递交的非原件形式的质疑。</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28.8.4 未参加投标活动的投标人或在投标活动中自身权益未受到损害的投标人所提出的质疑。</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28.8.5 投标人组成联合体参加投标，联合体中任何一方或多方未按要求签字、盖章、加盖公章的质疑。</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28.10 代理机构应当在收到投标人的书面质疑后7个工作日内作出答复，并以书面形式通知质疑投标人和其他有关投标人，但答复的内容不得涉及商业秘密。</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29、中标通知书</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29.l 中标结果确定后，代理机构将向中标人发出中标通知书。</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29.2 中标人可在“政府采购管理交易系统（苏采云）”中标通知书下载模块中自行下载中标通知书。</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29.3 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30、 签订合同</w:t>
      </w:r>
      <w:r>
        <w:rPr>
          <w:rFonts w:hint="eastAsia" w:ascii="宋体" w:hAnsi="宋体" w:eastAsia="宋体" w:cs="宋体"/>
          <w:b/>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30.l 中标人应在中标通知书发出之日起三十日内，按照招标文件确定的事项与采购人签订政府采购合同。</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30.2 招标文件、中标人的投标文件及招标过程中有关澄清、承诺文件均应作为合同附件。</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30.3 合同在“政府采购管理交易系统（苏采云）”中签订，签订合同后，</w:t>
      </w:r>
      <w:r>
        <w:rPr>
          <w:rFonts w:hint="eastAsia" w:ascii="宋体" w:hAnsi="宋体" w:eastAsia="宋体" w:cs="宋体"/>
          <w:bCs/>
          <w:i/>
          <w:iCs/>
          <w:color w:val="000000"/>
          <w:szCs w:val="21"/>
          <w:highlight w:val="none"/>
          <w:u w:val="single"/>
        </w:rPr>
        <w:t xml:space="preserve">中标人不得将货物或服务及其他服务进行转包</w:t>
      </w:r>
      <w:r>
        <w:rPr>
          <w:rFonts w:hint="eastAsia" w:ascii="宋体" w:hAnsi="宋体" w:eastAsia="宋体" w:cs="宋体"/>
          <w:bCs/>
          <w:color w:val="000000"/>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rPr>
          <w:rFonts w:hint="eastAsia" w:ascii="宋体" w:hAnsi="宋体" w:eastAsia="宋体" w:cs="宋体"/>
          <w:bCs/>
          <w:color w:val="000000"/>
          <w:szCs w:val="21"/>
          <w:highlight w:val="none"/>
        </w:rPr>
      </w:r>
      <w:r/>
    </w:p>
    <w:p>
      <w:pPr>
        <w:pStyle w:val="995"/>
        <w:contextualSpacing w:val="0"/>
        <w:ind w:firstLine="420"/>
        <w:jc w:val="left"/>
        <w:pageBreakBefore w:val="0"/>
        <w:spacing w:before="0" w:after="0" w:line="372" w:lineRule="auto"/>
        <w:rPr>
          <w:rFonts w:hint="eastAsia" w:ascii="宋体" w:hAnsi="宋体" w:eastAsia="宋体" w:cs="宋体"/>
          <w:bCs/>
          <w:color w:val="000000"/>
          <w:szCs w:val="21"/>
          <w:highlight w:val="none"/>
        </w:rPr>
        <w:suppressLineNumbers w:val="0"/>
      </w:pPr>
      <w:r>
        <w:rPr>
          <w:rFonts w:hint="eastAsia" w:ascii="宋体" w:hAnsi="宋体" w:eastAsia="宋体" w:cs="宋体"/>
          <w:bCs/>
          <w:color w:val="000000"/>
          <w:szCs w:val="21"/>
          <w:highlight w:val="none"/>
        </w:rPr>
        <w:t xml:space="preserve">30.4 采购人不得向中标人提出任何不合理的要求作为签订合同的条件，不得与中标人私下订立背离合同实质性内容的协议。所签订的合同不得对招标文件确定事项和中标人投标文件作实质性修改。</w:t>
      </w:r>
      <w:r>
        <w:rPr>
          <w:rFonts w:hint="eastAsia" w:ascii="宋体" w:hAnsi="宋体" w:eastAsia="宋体" w:cs="宋体"/>
          <w:bCs/>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b/>
          <w:color w:val="000000"/>
          <w:szCs w:val="21"/>
          <w:highlight w:val="none"/>
        </w:rPr>
        <w:suppressLineNumbers w:val="0"/>
      </w:pPr>
      <w:r>
        <w:rPr>
          <w:rFonts w:hint="eastAsia" w:ascii="宋体" w:hAnsi="宋体" w:eastAsia="宋体" w:cs="宋体"/>
          <w:b/>
          <w:color w:val="000000"/>
          <w:szCs w:val="21"/>
          <w:highlight w:val="none"/>
        </w:rPr>
        <w:t xml:space="preserve">31、其他</w:t>
      </w:r>
      <w:r>
        <w:rPr>
          <w:rFonts w:hint="eastAsia" w:ascii="宋体" w:hAnsi="宋体" w:eastAsia="宋体" w:cs="宋体"/>
          <w:b/>
          <w:color w:val="000000"/>
          <w:szCs w:val="21"/>
          <w:highlight w:val="none"/>
        </w:rPr>
      </w:r>
      <w:r/>
    </w:p>
    <w:p>
      <w:pPr>
        <w:pStyle w:val="995"/>
        <w:contextualSpacing w:val="0"/>
        <w:ind w:firstLine="422"/>
        <w:jc w:val="left"/>
        <w:pageBreakBefore w:val="0"/>
        <w:spacing w:before="0" w:after="0" w:line="372" w:lineRule="auto"/>
        <w:rPr>
          <w:rFonts w:hint="eastAsia" w:ascii="宋体" w:hAnsi="宋体" w:eastAsia="宋体" w:cs="宋体"/>
          <w:color w:val="000000"/>
          <w:sz w:val="28"/>
          <w:szCs w:val="28"/>
          <w:highlight w:val="none"/>
        </w:rPr>
        <w:suppressLineNumbers w:val="0"/>
      </w:pPr>
      <w:r>
        <w:rPr>
          <w:rFonts w:hint="eastAsia" w:ascii="宋体" w:hAnsi="宋体" w:eastAsia="宋体" w:cs="宋体"/>
          <w:bCs/>
          <w:color w:val="000000"/>
          <w:szCs w:val="21"/>
          <w:highlight w:val="none"/>
        </w:rPr>
        <w:t xml:space="preserve">31.1 依据《政府采购促进中小企业发展管理办法》享受扶持政策获得政府采购合同</w:t>
      </w:r>
      <w:r>
        <w:rPr>
          <w:rFonts w:hint="eastAsia" w:ascii="宋体" w:hAnsi="宋体" w:eastAsia="宋体" w:cs="宋体"/>
          <w:color w:val="000000"/>
          <w:highlight w:val="none"/>
        </w:rPr>
        <w:t xml:space="preserve">的，小微企业不得将合同分包给大中型企业，中型企业不得将合同分包给大型企业。</w:t>
      </w:r>
      <w:r>
        <w:rPr>
          <w:rFonts w:hint="eastAsia" w:ascii="宋体" w:hAnsi="宋体" w:eastAsia="宋体" w:cs="宋体"/>
          <w:color w:val="000000"/>
          <w:sz w:val="28"/>
          <w:szCs w:val="28"/>
          <w:highlight w:val="none"/>
        </w:rPr>
        <w:br w:type="page" w:clear="all"/>
        <w:t xml:space="preserve">                </w:t>
      </w:r>
      <w:bookmarkStart w:id="53" w:name="_Toc12872"/>
      <w:r>
        <w:rPr>
          <w:rFonts w:hint="eastAsia" w:ascii="宋体" w:hAnsi="宋体" w:eastAsia="宋体" w:cs="宋体"/>
          <w:b/>
          <w:bCs/>
          <w:color w:val="000000"/>
          <w:sz w:val="32"/>
          <w:szCs w:val="32"/>
          <w:highlight w:val="none"/>
        </w:rPr>
        <w:t xml:space="preserve">第三章 合同条款及格式</w:t>
      </w:r>
      <w:bookmarkEnd w:id="53"/>
      <w:r>
        <w:rPr>
          <w:rFonts w:hint="eastAsia" w:ascii="宋体" w:hAnsi="宋体" w:eastAsia="宋体" w:cs="宋体"/>
          <w:color w:val="000000"/>
          <w:sz w:val="28"/>
          <w:szCs w:val="28"/>
          <w:highlight w:val="none"/>
        </w:rPr>
      </w:r>
      <w:r/>
    </w:p>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以下为中标后签订本项目合同的通用条款，中标人不得提出实质性的修改，关于专用条款将由采购人与中标人结合本项目具体情况协商后签订。</w:t>
      </w:r>
      <w:r>
        <w:rPr>
          <w:rFonts w:hint="eastAsia" w:ascii="宋体" w:hAnsi="宋体" w:eastAsia="宋体" w:cs="宋体"/>
          <w:color w:val="000000"/>
          <w:sz w:val="21"/>
          <w:highlight w:val="none"/>
        </w:rPr>
      </w:r>
      <w:r/>
    </w:p>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政府采购合同（服务）</w:t>
      </w:r>
      <w:r>
        <w:rPr>
          <w:rFonts w:hint="eastAsia" w:ascii="宋体" w:hAnsi="宋体" w:eastAsia="宋体" w:cs="宋体"/>
          <w:b/>
          <w:color w:val="000000"/>
          <w:szCs w:val="21"/>
          <w:highlight w:val="none"/>
        </w:rPr>
      </w:r>
      <w:r/>
    </w:p>
    <w:p>
      <w:pPr>
        <w:pStyle w:val="1048"/>
        <w:spacing w:line="312"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项目名称：</w:t>
      </w:r>
      <w:r>
        <w:rPr>
          <w:rFonts w:hint="eastAsia" w:hAnsi="宋体" w:eastAsia="宋体" w:cs="宋体"/>
          <w:color w:val="000000"/>
          <w:sz w:val="21"/>
          <w:highlight w:val="none"/>
          <w:lang w:eastAsia="zh-CN"/>
        </w:rPr>
        <w:t xml:space="preserve">广陵区数据局办事大厅一体化服务项目</w:t>
      </w:r>
      <w:r>
        <w:rPr>
          <w:rFonts w:hint="eastAsia" w:ascii="宋体" w:hAnsi="宋体" w:eastAsia="宋体" w:cs="宋体"/>
          <w:color w:val="000000"/>
          <w:sz w:val="21"/>
          <w:highlight w:val="none"/>
          <w:lang w:eastAsia="zh-CN"/>
        </w:rPr>
      </w:r>
      <w:r/>
    </w:p>
    <w:p>
      <w:pPr>
        <w:pStyle w:val="1048"/>
        <w:spacing w:line="312" w:lineRule="auto"/>
        <w:rPr>
          <w:rFonts w:hint="eastAsia" w:ascii="宋体" w:hAnsi="宋体" w:eastAsia="宋体" w:cs="宋体"/>
          <w:color w:val="000000"/>
          <w:sz w:val="21"/>
          <w:highlight w:val="none"/>
          <w:u w:val="single"/>
          <w:lang w:eastAsia="zh-CN"/>
        </w:rPr>
      </w:pPr>
      <w:r>
        <w:rPr>
          <w:rFonts w:hint="eastAsia" w:ascii="宋体" w:hAnsi="宋体" w:eastAsia="宋体" w:cs="宋体"/>
          <w:color w:val="000000"/>
          <w:sz w:val="21"/>
          <w:highlight w:val="none"/>
        </w:rPr>
        <w:t xml:space="preserve">编号：</w:t>
      </w:r>
      <w:r>
        <w:rPr>
          <w:rFonts w:hint="eastAsia" w:hAnsi="宋体" w:eastAsia="宋体" w:cs="宋体"/>
          <w:color w:val="000000"/>
          <w:sz w:val="21"/>
          <w:highlight w:val="none"/>
          <w:u w:val="single"/>
          <w:lang w:eastAsia="zh-CN"/>
        </w:rPr>
        <w:t xml:space="preserve">JSZC-321002-DJZX-G2026-0001</w:t>
      </w:r>
      <w:r>
        <w:rPr>
          <w:rFonts w:hint="eastAsia" w:ascii="宋体" w:hAnsi="宋体" w:eastAsia="宋体" w:cs="宋体"/>
          <w:color w:val="000000"/>
          <w:sz w:val="21"/>
          <w:highlight w:val="none"/>
          <w:u w:val="single"/>
          <w:lang w:eastAsia="zh-CN"/>
        </w:rPr>
        <w:t xml:space="preserve">号 </w:t>
      </w:r>
      <w:r>
        <w:rPr>
          <w:rFonts w:hint="eastAsia" w:ascii="宋体" w:hAnsi="宋体" w:eastAsia="宋体" w:cs="宋体"/>
          <w:color w:val="000000"/>
          <w:sz w:val="21"/>
          <w:highlight w:val="none"/>
          <w:u w:val="single"/>
          <w:lang w:eastAsia="zh-CN"/>
        </w:rPr>
      </w:r>
      <w:r/>
    </w:p>
    <w:p>
      <w:pPr>
        <w:pStyle w:val="1048"/>
        <w:spacing w:line="312"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甲方（采购人/买方）：</w:t>
      </w:r>
      <w:r>
        <w:rPr>
          <w:rFonts w:hint="eastAsia" w:ascii="宋体" w:hAnsi="宋体" w:eastAsia="宋体" w:cs="宋体"/>
          <w:color w:val="000000"/>
          <w:sz w:val="21"/>
          <w:highlight w:val="none"/>
          <w:lang w:eastAsia="zh-CN"/>
        </w:rPr>
        <w:t xml:space="preserve">扬州市广陵区机关事务管理局</w:t>
      </w:r>
      <w:r>
        <w:rPr>
          <w:rFonts w:hint="eastAsia" w:ascii="宋体" w:hAnsi="宋体" w:eastAsia="宋体" w:cs="宋体"/>
          <w:color w:val="000000"/>
          <w:sz w:val="21"/>
          <w:highlight w:val="none"/>
          <w:lang w:eastAsia="zh-CN"/>
        </w:rPr>
      </w:r>
      <w:r/>
    </w:p>
    <w:p>
      <w:pPr>
        <w:pStyle w:val="1048"/>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乙方（投标人/卖方）：</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1048"/>
        <w:spacing w:line="312"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见证方：</w:t>
      </w:r>
      <w:r>
        <w:rPr>
          <w:rFonts w:hint="eastAsia" w:ascii="宋体" w:hAnsi="宋体" w:eastAsia="宋体" w:cs="宋体"/>
          <w:color w:val="000000"/>
          <w:sz w:val="21"/>
          <w:highlight w:val="none"/>
          <w:lang w:eastAsia="zh-CN"/>
        </w:rPr>
        <w:t xml:space="preserve">江苏鼎坚工程咨询有限公司扬州分公司</w:t>
      </w:r>
      <w:r>
        <w:rPr>
          <w:rFonts w:hint="eastAsia" w:ascii="宋体" w:hAnsi="宋体" w:eastAsia="宋体" w:cs="宋体"/>
          <w:color w:val="000000"/>
          <w:sz w:val="21"/>
          <w:highlight w:val="none"/>
          <w:lang w:eastAsia="zh-CN"/>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根据《中华人民共和国政府采购法》、《中华人民共和国民法典》等法律法规的规定，甲乙双方按照</w:t>
      </w:r>
      <w:r>
        <w:rPr>
          <w:rFonts w:hint="eastAsia" w:ascii="宋体" w:hAnsi="宋体" w:eastAsia="宋体" w:cs="宋体"/>
          <w:color w:val="000000"/>
          <w:sz w:val="21"/>
          <w:highlight w:val="none"/>
          <w:lang w:eastAsia="zh-CN"/>
        </w:rPr>
        <w:t xml:space="preserve">江苏鼎坚工程咨询有限公司扬州分公司</w:t>
      </w:r>
      <w:r>
        <w:rPr>
          <w:rFonts w:hint="eastAsia" w:ascii="宋体" w:hAnsi="宋体" w:eastAsia="宋体" w:cs="宋体"/>
          <w:color w:val="000000"/>
          <w:sz w:val="21"/>
          <w:highlight w:val="none"/>
        </w:rPr>
        <w:t xml:space="preserve">关于本项目招标结果签订本合同。</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一、服务及产品内容</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1.1 项目（产品）名称：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1.2 项目服务内容：</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二、合同金额</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 本合同金额为（大写）：_________圆（_______元）人民币</w:t>
      </w:r>
      <w:r>
        <w:rPr>
          <w:rFonts w:hint="eastAsia" w:ascii="宋体" w:hAnsi="宋体" w:eastAsia="宋体" w:cs="宋体"/>
          <w:color w:val="000000"/>
          <w:sz w:val="21"/>
          <w:highlight w:val="none"/>
          <w:lang w:val="en-US" w:eastAsia="zh-CN"/>
        </w:rPr>
        <w:t xml:space="preserve">/年</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三、技术资料</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3.1乙方应按采购文件规定的时间向甲方提供使用服务或产品的有关技术资料。</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四、知识产权</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五、产权担保</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5.1乙方保证所交付的服务或产品的所有权完全属于乙方且无任何抵押、查封等产权瑕疵。</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六、履约保证金</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6.1 本项目不收取履约保证金</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七、转包或分包</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7.1本合同范围的服务或产品，应由乙方直接供应，不得转让他人供应；</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7.2 除非得到甲方的书面同意，乙方不得部分分包给他人供应。</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7.3乙方如有转包或未经甲方同意的分包行为，甲方有权解除合同。</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八、服务期</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8.1 服务期</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u w:val="single"/>
          <w:lang w:val="en-US" w:eastAsia="zh-CN"/>
        </w:rPr>
        <w:t xml:space="preserve">自合同签订之日起3年</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九、服务期、服务方式及服务地点</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9.1 服务期：</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9.2 服务方式：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9.3 服务地点：</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十、货款支付</w:t>
      </w:r>
      <w:r>
        <w:rPr>
          <w:rFonts w:hint="eastAsia" w:ascii="宋体" w:hAnsi="宋体" w:eastAsia="宋体" w:cs="宋体"/>
          <w:b/>
          <w:bCs/>
          <w:color w:val="000000"/>
          <w:sz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10.1 本合同项下所有款项均以人民币支付。 </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10.2 本合同项下的采购资金由甲方支付，付款前乙方向甲方开具发票。</w:t>
      </w:r>
      <w:r>
        <w:rPr>
          <w:rFonts w:hint="eastAsia" w:ascii="宋体" w:hAnsi="宋体" w:eastAsia="宋体" w:cs="宋体"/>
          <w:color w:val="000000"/>
          <w:szCs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10.3付款方式：合同签订后，</w:t>
      </w:r>
      <w:r>
        <w:rPr>
          <w:rFonts w:hint="eastAsia" w:ascii="宋体" w:hAnsi="宋体" w:eastAsia="宋体" w:cs="宋体"/>
          <w:color w:val="000000"/>
          <w:sz w:val="21"/>
          <w:highlight w:val="none"/>
        </w:rPr>
        <w:t xml:space="preserve">乙方</w:t>
      </w:r>
      <w:r>
        <w:rPr>
          <w:rFonts w:hint="eastAsia" w:ascii="宋体" w:hAnsi="宋体" w:eastAsia="宋体" w:cs="宋体"/>
          <w:color w:val="000000"/>
          <w:sz w:val="21"/>
          <w:highlight w:val="none"/>
        </w:rPr>
        <w:t xml:space="preserve">向</w:t>
      </w:r>
      <w:r>
        <w:rPr>
          <w:rFonts w:hint="eastAsia" w:ascii="宋体" w:hAnsi="宋体" w:eastAsia="宋体" w:cs="宋体"/>
          <w:color w:val="000000"/>
          <w:sz w:val="21"/>
          <w:highlight w:val="none"/>
        </w:rPr>
        <w:t xml:space="preserve">甲方</w:t>
      </w:r>
      <w:r>
        <w:rPr>
          <w:rFonts w:hint="eastAsia" w:ascii="宋体" w:hAnsi="宋体" w:eastAsia="宋体" w:cs="宋体"/>
          <w:color w:val="000000"/>
          <w:sz w:val="21"/>
          <w:highlight w:val="none"/>
        </w:rPr>
        <w:t xml:space="preserve">开具发票，</w:t>
      </w:r>
      <w:r>
        <w:rPr>
          <w:rFonts w:hint="eastAsia" w:ascii="宋体" w:hAnsi="宋体" w:eastAsia="宋体" w:cs="宋体"/>
          <w:color w:val="000000"/>
          <w:sz w:val="21"/>
          <w:highlight w:val="none"/>
        </w:rPr>
        <w:t xml:space="preserve">甲方</w:t>
      </w:r>
      <w:r>
        <w:rPr>
          <w:rFonts w:hint="eastAsia" w:ascii="宋体" w:hAnsi="宋体" w:eastAsia="宋体" w:cs="宋体"/>
          <w:color w:val="000000"/>
          <w:sz w:val="21"/>
          <w:highlight w:val="none"/>
        </w:rPr>
        <w:t xml:space="preserve">自收到发票之日起1</w:t>
      </w:r>
      <w:r>
        <w:rPr>
          <w:rFonts w:hint="eastAsia" w:ascii="宋体" w:hAnsi="宋体" w:eastAsia="宋体" w:cs="宋体"/>
          <w:color w:val="000000"/>
          <w:sz w:val="21"/>
          <w:highlight w:val="none"/>
          <w:lang w:val="en-US" w:eastAsia="zh-CN"/>
        </w:rPr>
        <w:t xml:space="preserve">0个工作日</w:t>
      </w:r>
      <w:r>
        <w:rPr>
          <w:rFonts w:hint="eastAsia" w:ascii="宋体" w:hAnsi="宋体" w:eastAsia="宋体" w:cs="宋体"/>
          <w:color w:val="000000"/>
          <w:sz w:val="21"/>
          <w:highlight w:val="none"/>
        </w:rPr>
        <w:t xml:space="preserve">内支付合同总价30%的预付款；服务开始后，剩余合同总价的70%，甲乙双方</w:t>
      </w:r>
      <w:r>
        <w:rPr>
          <w:rFonts w:hint="eastAsia" w:ascii="宋体" w:hAnsi="宋体" w:eastAsia="宋体" w:cs="宋体"/>
          <w:color w:val="000000"/>
          <w:sz w:val="21"/>
          <w:highlight w:val="none"/>
          <w:lang w:val="en-US" w:eastAsia="zh-CN"/>
        </w:rPr>
        <w:t xml:space="preserve">每三个月</w:t>
      </w:r>
      <w:r>
        <w:rPr>
          <w:rFonts w:hint="eastAsia" w:ascii="宋体" w:hAnsi="宋体" w:eastAsia="宋体" w:cs="宋体"/>
          <w:color w:val="000000"/>
          <w:sz w:val="21"/>
          <w:highlight w:val="none"/>
        </w:rPr>
        <w:t xml:space="preserve">按考核实际结算，达到离场要求且按时撤场后最后结清全部账目，不计利息。</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十一、税费</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11.1本合同执行中相关的一切税费均由乙方负担。</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十二、质量保证及售后服务</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12.1 乙方应按采购文件规定的服务或产品性能、技术要求、质量标准向甲方提供。</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12.2 乙方提供的服务或产品在质量期内因服务及产品本身的质量问题发生故障，乙方应负责免费更换。对达不到技术要求者，根据实际情况，经双方协商，可按以下办法处理：</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⑴更换：由乙方承担所发生的全部费用。</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⑵贬值处理：由甲乙双方合议定价。</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⑶退还处理：乙方应退还甲方支付的合同款，同时应承担该服务或产品的直接费用（运输、保险、检验、款项利息及银行手续费等）。</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12.3 如在使用过程中发生质量问题，乙方在接到甲方通知后在</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小时内到达甲方现场。</w:t>
      </w:r>
      <w:r>
        <w:rPr>
          <w:rFonts w:hint="eastAsia" w:ascii="宋体" w:hAnsi="宋体" w:eastAsia="宋体" w:cs="宋体"/>
          <w:color w:val="000000"/>
          <w:sz w:val="21"/>
          <w:highlight w:val="none"/>
        </w:rPr>
      </w:r>
      <w:r/>
    </w:p>
    <w:p>
      <w:pPr>
        <w:pStyle w:val="1004"/>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12.4 在服务期内，乙方应对服务或产品出现的质量及安全问题负责处理解决并承担一切费用。</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十三、调试和验收</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13.1 甲方对乙方提交的服务或产品依据采购文件上的技术规格要求和国家有关质量标准进行现场初步验收，外观、说明书符合采购文件技术要求的，给予签收，初步验收不合格的不予签收。交付后，甲方需在五个工作日内验收。</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13.2 乙方交付前应对服务或产品作出全面检查和对验收文件进行整理，并列出清单，作为甲方交付验收和使用的技术条件依据，检验的结果应随服务或产品交甲方。</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13.3 甲方对乙方提供的服务或产品在使用前进行调试时，乙方需负责安装并培训甲方的使用操作人员，并协助甲方一起调试，直到符合技术要求，甲方才做最终验收。</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13.4 对技术复杂的服务或产品，甲方可请国家认可的专业检测机构参与初步验收及最终验收，并由其出具质量检测报告。</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13.5 验收时乙方必须在现场，验收完毕后做出验收结果报告；验收费用由甲乙双方协商解决。</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十四、服务或产品包装、发运及运输</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14.1 乙方应在服务或产品发运前对其进行满足运输距离、防潮、防震、防锈和防破损装卸等要求包装，以保证服务或产品安全运达甲方指定地点。</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14.2 使用说明书、质量检验证明书、随配附件和工具以及清单一并交付甲方。</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14.3乙方在服务或产品发运手续办理完毕后24小时内或交付到甲方48小时前通知甲方，以准备接受交付。</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14.4 服务在交付甲方前发生的风险均由乙方负责。</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14.5 服务或产品在规定的交付期限内由乙方送达甲方指定的地点视为交付，乙方同时需通知甲方服务或产品已送达。</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十五、违约责任</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15.1 甲方无正当理由拒收服务或产品的，甲方向乙方偿付拒收款项总值的百分之五违约金。</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15.2 甲方无故逾期验收和办理款项支付手续的，甲方应按逾期付款总额每日万分之五向乙方支付违约金。</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十六、不可抗力事件处理</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16.1 在合同有效期内，任何一方因不可抗力事件导致不能履行合同，则合同履行期可延长，其延长期与不可抗力影响期相同。</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16.2 不可抗力事件发生后，应立即通知对方，并寄送有关权威机构出具的证明。</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16.3 不可抗力事件延续120天以上，双方应通过友好协商，确定是否继续履行合同。</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十七、诉讼</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17.1 双方在执行合同中所发生的一切争议，应通过协商解决。如协商不成，可向合同签订地法院起诉，合同签订地在此约定为扬州市。</w:t>
      </w:r>
      <w:r>
        <w:rPr>
          <w:rFonts w:hint="eastAsia" w:ascii="宋体" w:hAnsi="宋体" w:eastAsia="宋体" w:cs="宋体"/>
          <w:color w:val="000000"/>
          <w:sz w:val="21"/>
          <w:highlight w:val="none"/>
        </w:rPr>
      </w:r>
      <w:r/>
    </w:p>
    <w:p>
      <w:pPr>
        <w:pStyle w:val="1048"/>
        <w:ind w:firstLine="422"/>
        <w:spacing w:line="312"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十八、合同生效及其他</w:t>
      </w:r>
      <w:r>
        <w:rPr>
          <w:rFonts w:hint="eastAsia" w:ascii="宋体" w:hAnsi="宋体" w:eastAsia="宋体" w:cs="宋体"/>
          <w:b/>
          <w:bCs/>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19.1 合同经双方法定代表人签章并加盖单位公章，并经</w:t>
      </w:r>
      <w:r>
        <w:rPr>
          <w:rFonts w:hint="eastAsia" w:ascii="宋体" w:hAnsi="宋体" w:eastAsia="宋体" w:cs="宋体"/>
          <w:color w:val="000000"/>
          <w:sz w:val="21"/>
          <w:highlight w:val="none"/>
          <w:lang w:eastAsia="zh-CN"/>
        </w:rPr>
        <w:t xml:space="preserve">江苏鼎坚工程咨询有限公司扬州分公司</w:t>
      </w:r>
      <w:r>
        <w:rPr>
          <w:rFonts w:hint="eastAsia" w:ascii="宋体" w:hAnsi="宋体" w:eastAsia="宋体" w:cs="宋体"/>
          <w:color w:val="000000"/>
          <w:sz w:val="21"/>
          <w:highlight w:val="none"/>
        </w:rPr>
        <w:t xml:space="preserve">见证盖章后生效。</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19.2本合同未尽事宜，遵照《民法典》有关条文执行。</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19.3 本合同正本一式四份，具有同等法律效力，甲方、乙方、见证方及财政监管部门（扬州市</w:t>
      </w:r>
      <w:r>
        <w:rPr>
          <w:rFonts w:hint="eastAsia" w:hAnsi="宋体" w:eastAsia="宋体" w:cs="宋体"/>
          <w:color w:val="000000"/>
          <w:sz w:val="21"/>
          <w:highlight w:val="none"/>
          <w:lang w:val="en-US" w:eastAsia="zh-CN"/>
        </w:rPr>
        <w:t xml:space="preserve">广陵区</w:t>
      </w:r>
      <w:r>
        <w:rPr>
          <w:rFonts w:hint="eastAsia" w:ascii="宋体" w:hAnsi="宋体" w:eastAsia="宋体" w:cs="宋体"/>
          <w:color w:val="000000"/>
          <w:sz w:val="21"/>
          <w:highlight w:val="none"/>
        </w:rPr>
        <w:t xml:space="preserve">财政局政府采购管理处）各执一份。</w:t>
      </w:r>
      <w:r>
        <w:rPr>
          <w:rFonts w:hint="eastAsia" w:ascii="宋体" w:hAnsi="宋体" w:eastAsia="宋体" w:cs="宋体"/>
          <w:color w:val="000000"/>
          <w:sz w:val="21"/>
          <w:highlight w:val="none"/>
        </w:rPr>
      </w:r>
      <w:r/>
    </w:p>
    <w:p>
      <w:pPr>
        <w:pStyle w:val="1048"/>
        <w:ind w:firstLine="420"/>
        <w:spacing w:line="312"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W w:w="8522" w:type="dxa"/>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8"/>
              <w:ind w:firstLine="420"/>
              <w:spacing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甲方：</w:t>
            </w:r>
            <w:r>
              <w:rPr>
                <w:rFonts w:hint="eastAsia" w:ascii="宋体" w:hAnsi="宋体" w:eastAsia="宋体" w:cs="宋体"/>
                <w:color w:val="000000"/>
                <w:sz w:val="21"/>
                <w:highlight w:val="none"/>
                <w:lang w:eastAsia="zh-CN"/>
              </w:rPr>
              <w:t xml:space="preserve">扬州市广陵区机关事务管理局</w:t>
            </w:r>
            <w:r>
              <w:rPr>
                <w:rFonts w:hint="eastAsia" w:ascii="宋体" w:hAnsi="宋体" w:eastAsia="宋体" w:cs="宋体"/>
                <w:color w:val="000000"/>
                <w:sz w:val="21"/>
                <w:highlight w:val="none"/>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乙方： </w:t>
            </w:r>
            <w:r>
              <w:rPr>
                <w:rFonts w:hint="eastAsia" w:ascii="宋体" w:hAnsi="宋体" w:eastAsia="宋体" w:cs="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地址： </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地址： </w:t>
            </w:r>
            <w:r>
              <w:rPr>
                <w:rFonts w:hint="eastAsia" w:ascii="宋体" w:hAnsi="宋体" w:eastAsia="宋体" w:cs="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法定代表人或授权代表：</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法定代表人或授权代表：</w:t>
            </w:r>
            <w:r>
              <w:rPr>
                <w:rFonts w:hint="eastAsia" w:ascii="宋体" w:hAnsi="宋体" w:eastAsia="宋体" w:cs="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联系电话：</w:t>
            </w:r>
            <w:r>
              <w:rPr>
                <w:rFonts w:hint="eastAsia" w:ascii="宋体" w:hAnsi="宋体" w:eastAsia="宋体" w:cs="宋体"/>
                <w:color w:val="000000"/>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      年    月    日  </w:t>
            </w:r>
            <w:r>
              <w:rPr>
                <w:rFonts w:hint="eastAsia" w:ascii="宋体" w:hAnsi="宋体" w:eastAsia="宋体" w:cs="宋体"/>
                <w:color w:val="000000"/>
                <w:sz w:val="21"/>
                <w:highlight w:val="none"/>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      年    月    日</w:t>
            </w:r>
            <w:r>
              <w:rPr>
                <w:rFonts w:hint="eastAsia" w:ascii="宋体" w:hAnsi="宋体" w:eastAsia="宋体" w:cs="宋体"/>
                <w:color w:val="000000"/>
                <w:sz w:val="21"/>
                <w:highlight w:val="none"/>
              </w:rPr>
            </w:r>
            <w:r/>
          </w:p>
        </w:tc>
      </w:tr>
    </w:tbl>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048"/>
        <w:ind w:firstLine="420"/>
        <w:spacing w:line="360" w:lineRule="auto"/>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rPr>
        <w:t xml:space="preserve">见证方：</w:t>
      </w:r>
      <w:r>
        <w:rPr>
          <w:rFonts w:hint="eastAsia" w:ascii="宋体" w:hAnsi="宋体" w:eastAsia="宋体" w:cs="宋体"/>
          <w:color w:val="000000"/>
          <w:sz w:val="21"/>
          <w:highlight w:val="none"/>
          <w:lang w:eastAsia="zh-CN"/>
        </w:rPr>
        <w:t xml:space="preserve">江苏鼎坚工程咨询有限公司扬州分公司</w:t>
      </w:r>
      <w:r>
        <w:rPr>
          <w:rFonts w:hint="eastAsia" w:ascii="宋体" w:hAnsi="宋体" w:eastAsia="宋体" w:cs="宋体"/>
          <w:color w:val="000000"/>
          <w:sz w:val="21"/>
          <w:highlight w:val="none"/>
          <w:lang w:eastAsia="zh-CN"/>
        </w:rPr>
      </w:r>
      <w:r/>
    </w:p>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项目经办人：</w:t>
      </w:r>
      <w:r>
        <w:rPr>
          <w:rFonts w:hint="eastAsia" w:ascii="宋体" w:hAnsi="宋体" w:eastAsia="宋体" w:cs="宋体"/>
          <w:color w:val="000000"/>
          <w:sz w:val="21"/>
          <w:highlight w:val="none"/>
        </w:rPr>
      </w:r>
      <w:r/>
    </w:p>
    <w:p>
      <w:pPr>
        <w:pStyle w:val="1048"/>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日期：     年   月   日</w:t>
      </w:r>
      <w:r>
        <w:rPr>
          <w:rFonts w:hint="eastAsia" w:ascii="宋体" w:hAnsi="宋体" w:eastAsia="宋体" w:cs="宋体"/>
          <w:color w:val="000000"/>
          <w:sz w:val="21"/>
          <w:highlight w:val="none"/>
        </w:rPr>
      </w:r>
      <w:r/>
    </w:p>
    <w:p>
      <w:pPr>
        <w:pStyle w:val="995"/>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995"/>
        <w:ind w:firstLine="422"/>
        <w:spacing w:line="360" w:lineRule="auto"/>
        <w:rPr>
          <w:rFonts w:hint="eastAsia" w:ascii="宋体" w:hAnsi="宋体" w:eastAsia="宋体" w:cs="宋体"/>
          <w:color w:val="000000"/>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highlight w:val="none"/>
        </w:rPr>
      </w:r>
      <w:r/>
    </w:p>
    <w:p>
      <w:pPr>
        <w:pStyle w:val="995"/>
        <w:jc w:val="center"/>
        <w:spacing w:line="360" w:lineRule="auto"/>
        <w:widowControl/>
        <w:rPr>
          <w:rFonts w:hint="eastAsia" w:ascii="宋体" w:hAnsi="宋体" w:eastAsia="宋体" w:cs="宋体"/>
          <w:b/>
          <w:bCs/>
          <w:color w:val="000000"/>
          <w:sz w:val="32"/>
          <w:szCs w:val="32"/>
          <w:highlight w:val="none"/>
        </w:rPr>
        <w:outlineLvl w:val="0"/>
      </w:pPr>
      <w:r/>
      <w:bookmarkEnd w:id="39"/>
      <w:r/>
      <w:bookmarkStart w:id="54" w:name="_Toc19326"/>
      <w:r>
        <w:rPr>
          <w:rFonts w:hint="eastAsia" w:ascii="宋体" w:hAnsi="宋体" w:eastAsia="宋体" w:cs="宋体"/>
          <w:b/>
          <w:bCs/>
          <w:color w:val="000000"/>
          <w:sz w:val="32"/>
          <w:szCs w:val="32"/>
          <w:highlight w:val="none"/>
        </w:rPr>
        <w:t xml:space="preserve">第四章 项目需求</w:t>
      </w:r>
      <w:bookmarkEnd w:id="54"/>
      <w:r>
        <w:rPr>
          <w:rFonts w:hint="eastAsia" w:ascii="宋体" w:hAnsi="宋体" w:eastAsia="宋体" w:cs="宋体"/>
          <w:b/>
          <w:bCs/>
          <w:color w:val="000000"/>
          <w:sz w:val="32"/>
          <w:szCs w:val="32"/>
          <w:highlight w:val="none"/>
        </w:rPr>
      </w:r>
      <w:r/>
    </w:p>
    <w:p>
      <w:pPr>
        <w:pStyle w:val="99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bookmarkStart w:id="55" w:name="_Toc497145843"/>
      <w:r>
        <w:rPr>
          <w:rFonts w:hint="eastAsia" w:ascii="宋体" w:hAnsi="宋体" w:eastAsia="宋体" w:cs="宋体"/>
          <w:b/>
          <w:bCs/>
          <w:color w:val="000000"/>
          <w:sz w:val="21"/>
          <w:szCs w:val="21"/>
          <w:highlight w:val="none"/>
        </w:rPr>
        <w:t xml:space="preserve">本项目预算价</w:t>
      </w:r>
      <w:r>
        <w:rPr>
          <w:rFonts w:hint="eastAsia" w:ascii="宋体" w:hAnsi="宋体" w:eastAsia="宋体" w:cs="宋体"/>
          <w:b/>
          <w:bCs/>
          <w:color w:val="000000"/>
          <w:sz w:val="21"/>
          <w:szCs w:val="21"/>
          <w:highlight w:val="none"/>
          <w:lang w:val="en-US" w:eastAsia="zh-CN"/>
        </w:rPr>
        <w:t xml:space="preserve">90万元/年，项目服务三年总价为270万元</w:t>
      </w:r>
      <w:r>
        <w:rPr>
          <w:rFonts w:hint="eastAsia" w:ascii="宋体" w:hAnsi="宋体" w:eastAsia="宋体" w:cs="宋体"/>
          <w:b/>
          <w:bCs/>
          <w:color w:val="000000"/>
          <w:sz w:val="21"/>
          <w:szCs w:val="21"/>
          <w:highlight w:val="none"/>
        </w:rPr>
        <w:t xml:space="preserve">，服务期</w:t>
      </w:r>
      <w:r>
        <w:rPr>
          <w:rFonts w:hint="eastAsia" w:ascii="宋体" w:hAnsi="宋体" w:eastAsia="宋体" w:cs="宋体"/>
          <w:b/>
          <w:bCs/>
          <w:color w:val="000000"/>
          <w:sz w:val="21"/>
          <w:szCs w:val="21"/>
          <w:highlight w:val="none"/>
          <w:lang w:val="en-US" w:eastAsia="zh-CN"/>
        </w:rPr>
        <w:t xml:space="preserve">为：</w:t>
      </w:r>
      <w:r>
        <w:rPr>
          <w:rFonts w:hint="eastAsia" w:ascii="宋体" w:hAnsi="宋体" w:eastAsia="宋体" w:cs="宋体"/>
          <w:b/>
          <w:bCs/>
          <w:color w:val="000000"/>
          <w:sz w:val="21"/>
          <w:szCs w:val="21"/>
          <w:highlight w:val="none"/>
          <w:lang w:eastAsia="zh-CN"/>
        </w:rPr>
        <w:t xml:space="preserve">自合同签订之日起</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lang w:eastAsia="zh-CN"/>
        </w:rPr>
        <w:t xml:space="preserve">年</w:t>
      </w:r>
      <w:r>
        <w:rPr>
          <w:rFonts w:hint="eastAsia" w:ascii="宋体" w:hAnsi="宋体" w:eastAsia="宋体" w:cs="宋体"/>
          <w:b/>
          <w:bCs/>
          <w:color w:val="000000"/>
          <w:sz w:val="21"/>
          <w:szCs w:val="21"/>
          <w:highlight w:val="none"/>
        </w:rPr>
        <w:t xml:space="preserve">。投标报价超过预算价的作无效投标处理。</w:t>
      </w:r>
      <w:r>
        <w:rPr>
          <w:rFonts w:hint="eastAsia" w:ascii="宋体" w:hAnsi="宋体" w:eastAsia="宋体" w:cs="宋体"/>
          <w:b/>
          <w:bCs/>
          <w:color w:val="000000"/>
          <w:sz w:val="21"/>
          <w:szCs w:val="21"/>
          <w:highlight w:val="none"/>
        </w:rPr>
      </w:r>
      <w:r/>
    </w:p>
    <w:p>
      <w:pPr>
        <w:pStyle w:val="995"/>
        <w:spacing w:line="5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一、</w:t>
      </w:r>
      <w:r>
        <w:rPr>
          <w:rFonts w:hint="eastAsia" w:ascii="宋体" w:hAnsi="宋体" w:eastAsia="宋体" w:cs="宋体"/>
          <w:b/>
          <w:bCs/>
          <w:color w:val="000000"/>
          <w:szCs w:val="21"/>
          <w:highlight w:val="none"/>
        </w:rPr>
        <w:t xml:space="preserve">项目名称</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t xml:space="preserve">广陵区数据局办事大厅一体化服务项目</w:t>
      </w:r>
      <w:r>
        <w:rPr>
          <w:rFonts w:hint="eastAsia" w:ascii="宋体" w:hAnsi="宋体" w:eastAsia="宋体" w:cs="宋体"/>
          <w:color w:val="000000"/>
          <w:szCs w:val="21"/>
          <w:highlight w:val="none"/>
        </w:rPr>
        <w:t xml:space="preserve">。</w:t>
      </w:r>
      <w:r>
        <w:rPr>
          <w:rFonts w:hint="eastAsia" w:ascii="宋体" w:hAnsi="宋体" w:eastAsia="宋体" w:cs="宋体"/>
          <w:color w:val="000000"/>
          <w:highlight w:val="none"/>
        </w:rPr>
      </w:r>
      <w:r/>
    </w:p>
    <w:p>
      <w:pPr>
        <w:pStyle w:val="995"/>
        <w:jc w:val="lef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项目内容：</w:t>
      </w:r>
      <w:r>
        <w:rPr>
          <w:rFonts w:hint="eastAsia" w:ascii="宋体" w:hAnsi="宋体" w:eastAsia="宋体" w:cs="宋体"/>
          <w:b/>
          <w:bCs/>
          <w:color w:val="000000"/>
          <w:szCs w:val="21"/>
          <w:highlight w:val="none"/>
        </w:rPr>
      </w:r>
      <w:r/>
    </w:p>
    <w:tbl>
      <w:tblPr>
        <w:tblW w:w="84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21"/>
        <w:gridCol w:w="6071"/>
      </w:tblGrid>
      <w:tr>
        <w:trPr>
          <w:trHeight w:val="452"/>
        </w:trPr>
        <w:tc>
          <w:tcPr>
            <w:tcW w:w="2421" w:type="dxa"/>
            <w:vAlign w:val="center"/>
            <w:textDirection w:val="lrTb"/>
            <w:noWrap/>
          </w:tcPr>
          <w:p>
            <w:pPr>
              <w:pStyle w:val="995"/>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服务名称</w:t>
            </w:r>
            <w:r>
              <w:rPr>
                <w:rFonts w:hint="eastAsia" w:ascii="宋体" w:hAnsi="宋体" w:eastAsia="宋体" w:cs="宋体"/>
                <w:b/>
                <w:bCs/>
                <w:color w:val="000000"/>
                <w:szCs w:val="21"/>
                <w:highlight w:val="none"/>
              </w:rPr>
            </w:r>
            <w:r/>
          </w:p>
        </w:tc>
        <w:tc>
          <w:tcPr>
            <w:tcW w:w="6071" w:type="dxa"/>
            <w:vAlign w:val="center"/>
            <w:textDirection w:val="lrTb"/>
            <w:noWrap/>
          </w:tcPr>
          <w:p>
            <w:pPr>
              <w:pStyle w:val="995"/>
              <w:jc w:val="center"/>
              <w:widowControl/>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服务内容</w:t>
            </w:r>
            <w:r>
              <w:rPr>
                <w:rFonts w:hint="eastAsia" w:ascii="宋体" w:hAnsi="宋体" w:eastAsia="宋体" w:cs="宋体"/>
                <w:b/>
                <w:bCs/>
                <w:color w:val="000000"/>
                <w:szCs w:val="21"/>
                <w:highlight w:val="none"/>
              </w:rPr>
            </w:r>
            <w:r/>
          </w:p>
        </w:tc>
      </w:tr>
      <w:tr>
        <w:trPr>
          <w:trHeight w:val="1780"/>
        </w:trPr>
        <w:tc>
          <w:tcPr>
            <w:tcW w:w="2421" w:type="dxa"/>
            <w:vAlign w:val="center"/>
            <w:textDirection w:val="lrTb"/>
            <w:noWrap/>
          </w:tcPr>
          <w:p>
            <w:pPr>
              <w:pStyle w:val="995"/>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广陵区数据局办事大厅一体化服务项目</w:t>
            </w:r>
            <w:r>
              <w:rPr>
                <w:rFonts w:hint="eastAsia" w:ascii="宋体" w:hAnsi="宋体" w:eastAsia="宋体" w:cs="宋体"/>
                <w:color w:val="000000"/>
                <w:szCs w:val="21"/>
                <w:highlight w:val="none"/>
              </w:rPr>
            </w:r>
            <w:r/>
          </w:p>
        </w:tc>
        <w:tc>
          <w:tcPr>
            <w:tcW w:w="6071" w:type="dxa"/>
            <w:vAlign w:val="center"/>
            <w:textDirection w:val="lrTb"/>
            <w:noWrap w:val="false"/>
          </w:tcPr>
          <w:p>
            <w:pPr>
              <w:pStyle w:val="995"/>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广陵区数据局办事大厅一体化服务项目</w:t>
            </w:r>
            <w:r>
              <w:rPr>
                <w:rFonts w:hint="eastAsia" w:ascii="宋体" w:hAnsi="宋体" w:eastAsia="宋体" w:cs="宋体"/>
                <w:color w:val="000000"/>
                <w:highlight w:val="none"/>
              </w:rPr>
              <w:t xml:space="preserve">，地址位于观潮路1030号。一体化服务范围:室内一层二层办事大厅6000平方、地下3000平方、室外1000平方含室外停车场500平方。一体化服务总面积1万平方左右。招标服务项目:门岗、室内秩序维护、停车场秩序维护、引导员、设备维护等项目。</w:t>
            </w:r>
            <w:r>
              <w:rPr>
                <w:rFonts w:hint="eastAsia" w:ascii="宋体" w:hAnsi="宋体" w:eastAsia="宋体" w:cs="宋体"/>
                <w:color w:val="000000"/>
                <w:highlight w:val="none"/>
              </w:rPr>
            </w:r>
            <w:r/>
          </w:p>
        </w:tc>
      </w:tr>
    </w:tbl>
    <w:p>
      <w:pPr>
        <w:pStyle w:val="99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二、本项目服务的主要内容</w:t>
      </w:r>
      <w:r>
        <w:rPr>
          <w:rFonts w:hint="eastAsia" w:ascii="宋体" w:hAnsi="宋体" w:eastAsia="宋体" w:cs="宋体"/>
          <w:b/>
          <w:color w:val="000000"/>
          <w:szCs w:val="21"/>
          <w:highlight w:val="none"/>
        </w:rPr>
      </w:r>
      <w:r/>
    </w:p>
    <w:p>
      <w:pPr>
        <w:pStyle w:val="1004"/>
        <w:ind w:firstLine="420"/>
        <w:jc w:val="left"/>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1.扬州市广陵区行政审批局办公区、办事大厅内等场所的人身、财产安全保卫、守护以及巡逻，并做好防火、防盗、防破坏、防事故等工作。</w:t>
      </w:r>
      <w:r>
        <w:rPr>
          <w:rFonts w:hint="eastAsia" w:ascii="宋体" w:hAnsi="宋体" w:eastAsia="宋体" w:cs="宋体"/>
          <w:b w:val="0"/>
          <w:bCs w:val="0"/>
          <w:color w:val="000000"/>
          <w:sz w:val="21"/>
          <w:highlight w:val="none"/>
        </w:rPr>
      </w:r>
      <w:r/>
    </w:p>
    <w:p>
      <w:pPr>
        <w:pStyle w:val="1004"/>
        <w:ind w:firstLine="420"/>
        <w:jc w:val="left"/>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2.门卫管理和综合治理工作，对进出扬州市广陵区行政审批局大门的人员、车辆进行检查登记，做好服务范围内安全秩序的维护。</w:t>
      </w:r>
      <w:r>
        <w:rPr>
          <w:rFonts w:hint="eastAsia" w:ascii="宋体" w:hAnsi="宋体" w:eastAsia="宋体" w:cs="宋体"/>
          <w:b w:val="0"/>
          <w:bCs w:val="0"/>
          <w:color w:val="000000"/>
          <w:sz w:val="21"/>
          <w:highlight w:val="none"/>
        </w:rPr>
      </w:r>
      <w:r/>
    </w:p>
    <w:p>
      <w:pPr>
        <w:pStyle w:val="1004"/>
        <w:ind w:firstLine="420"/>
        <w:jc w:val="left"/>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3.负责门卫周边、扬州市广陵区行政审批局地上、地下车辆停放秩序的维护，确保消防通道畅通。</w:t>
      </w:r>
      <w:r>
        <w:rPr>
          <w:rFonts w:hint="eastAsia" w:ascii="宋体" w:hAnsi="宋体" w:eastAsia="宋体" w:cs="宋体"/>
          <w:b w:val="0"/>
          <w:bCs w:val="0"/>
          <w:color w:val="000000"/>
          <w:sz w:val="21"/>
          <w:highlight w:val="none"/>
        </w:rPr>
      </w:r>
      <w:r/>
    </w:p>
    <w:p>
      <w:pPr>
        <w:pStyle w:val="1004"/>
        <w:ind w:firstLine="420"/>
        <w:jc w:val="left"/>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4.负责扬州市广陵区行政审批局消防设施设备、电梯设施设备的专业维保服务。</w:t>
      </w:r>
      <w:r>
        <w:rPr>
          <w:rFonts w:hint="eastAsia" w:ascii="宋体" w:hAnsi="宋体" w:eastAsia="宋体" w:cs="宋体"/>
          <w:b w:val="0"/>
          <w:bCs w:val="0"/>
          <w:color w:val="000000"/>
          <w:sz w:val="21"/>
          <w:highlight w:val="none"/>
        </w:rPr>
      </w:r>
      <w:r/>
    </w:p>
    <w:p>
      <w:pPr>
        <w:pStyle w:val="1004"/>
        <w:ind w:firstLine="420"/>
        <w:jc w:val="left"/>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5.突发事件处置、灾害预防、火灾扑救、发现和制止暴力事件，随时准备提供紧急救助。</w:t>
      </w:r>
      <w:r>
        <w:rPr>
          <w:rFonts w:hint="eastAsia" w:ascii="宋体" w:hAnsi="宋体" w:eastAsia="宋体" w:cs="宋体"/>
          <w:b w:val="0"/>
          <w:bCs w:val="0"/>
          <w:color w:val="000000"/>
          <w:sz w:val="21"/>
          <w:highlight w:val="none"/>
        </w:rPr>
      </w:r>
      <w:r/>
    </w:p>
    <w:p>
      <w:pPr>
        <w:pStyle w:val="1004"/>
        <w:ind w:firstLine="420"/>
        <w:jc w:val="left"/>
        <w:spacing w:line="360" w:lineRule="auto"/>
        <w:rPr>
          <w:rFonts w:hint="eastAsia" w:ascii="宋体" w:hAnsi="宋体" w:eastAsia="宋体" w:cs="宋体"/>
          <w:b w:val="0"/>
          <w:bCs w:val="0"/>
          <w:color w:val="000000"/>
          <w:sz w:val="21"/>
          <w:highlight w:val="none"/>
        </w:rPr>
      </w:pPr>
      <w:r>
        <w:rPr>
          <w:rFonts w:hint="eastAsia" w:ascii="宋体" w:hAnsi="宋体" w:eastAsia="宋体" w:cs="宋体"/>
          <w:b w:val="0"/>
          <w:bCs w:val="0"/>
          <w:color w:val="000000"/>
          <w:sz w:val="21"/>
          <w:highlight w:val="none"/>
        </w:rPr>
        <w:t xml:space="preserve">6.属于保安服务范围内的其它工作以及采购方临时交办的任务。</w:t>
      </w:r>
      <w:r>
        <w:rPr>
          <w:rFonts w:hint="eastAsia" w:ascii="宋体" w:hAnsi="宋体" w:eastAsia="宋体" w:cs="宋体"/>
          <w:b w:val="0"/>
          <w:bCs w:val="0"/>
          <w:color w:val="000000"/>
          <w:sz w:val="21"/>
          <w:highlight w:val="none"/>
        </w:rPr>
      </w:r>
      <w:r/>
    </w:p>
    <w:p>
      <w:pPr>
        <w:pStyle w:val="995"/>
        <w:spacing w:line="50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三、本项目管理及服务的主要标准及要求</w:t>
      </w:r>
      <w:r>
        <w:rPr>
          <w:rFonts w:hint="eastAsia" w:ascii="宋体" w:hAnsi="宋体" w:eastAsia="宋体" w:cs="宋体"/>
          <w:b/>
          <w:color w:val="000000"/>
          <w:szCs w:val="21"/>
          <w:highlight w:val="none"/>
        </w:rPr>
      </w:r>
      <w:r/>
    </w:p>
    <w:p>
      <w:pPr>
        <w:pStyle w:val="995"/>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按专业化要求配置管理服务人员，配备管理服务人员必须经业主面试或审核同意。</w:t>
      </w:r>
      <w:r>
        <w:rPr>
          <w:rFonts w:hint="eastAsia" w:ascii="宋体" w:hAnsi="宋体" w:eastAsia="宋体" w:cs="宋体"/>
          <w:color w:val="000000"/>
          <w:szCs w:val="21"/>
          <w:highlight w:val="none"/>
        </w:rPr>
      </w:r>
      <w:r/>
    </w:p>
    <w:p>
      <w:pPr>
        <w:pStyle w:val="995"/>
        <w:ind w:firstLine="42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1.项目经理</w:t>
      </w:r>
      <w:r>
        <w:rPr>
          <w:rFonts w:hint="eastAsia" w:ascii="宋体" w:hAnsi="宋体" w:eastAsia="宋体" w:cs="宋体"/>
          <w:b/>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（1）全面负责保安队伍的日常管理事务，严格管理保安队伍安全纪律，掌握队员的思想动态，充分调动队员积极性，保证队伍稳定。</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（2）传达落实行政审批局的服务要求与管理规定，组织实施并不断完善行政审批局安全保卫整体方案，并且结合行政审批局发展实际情况，适时调整各执勤岗位，完善各岗位职责。</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（3）定期向行政审批局汇报工作开展情况及治安信息，重大情况应及时报告，配合行政审批局对区域内违规事件进行处理。</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（4）定期组织开展保安业务培训和应急预案训练，每半年组织一次消防演练，制订行政审批局内重大活动的安全保卫方案。</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（5）建立健全录用保安人员的档案资料，负责供保安使用的行政审批局所属设备资产的领用、管理、交接等工作。</w:t>
      </w:r>
      <w:r>
        <w:rPr>
          <w:rFonts w:hint="eastAsia" w:ascii="宋体" w:hAnsi="宋体" w:eastAsia="宋体" w:cs="宋体"/>
          <w:bCs/>
          <w:color w:val="000000"/>
          <w:highlight w:val="none"/>
        </w:rPr>
      </w:r>
      <w:r/>
    </w:p>
    <w:p>
      <w:pPr>
        <w:pStyle w:val="995"/>
        <w:ind w:firstLine="42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2.保安员</w:t>
      </w:r>
      <w:r>
        <w:rPr>
          <w:rFonts w:hint="eastAsia" w:ascii="宋体" w:hAnsi="宋体" w:eastAsia="宋体" w:cs="宋体"/>
          <w:b/>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（1）知法、懂法、守法、依法办事，严格遵守保安从业规范及行政审批局的相关规章制度。</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（2）具有一定的文化素质、管理经验和处理突发事件的能力，党员、退役军人为佳。身体健康，无传染病及精神病等不能控制自己行为能力的疾病病史，体貌端正。</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（3）有吃苦耐劳的精神和高度的责任感，能够严格履行岗位职责。</w:t>
      </w:r>
      <w:r>
        <w:rPr>
          <w:rFonts w:hint="eastAsia" w:ascii="宋体" w:hAnsi="宋体" w:eastAsia="宋体" w:cs="宋体"/>
          <w:bCs/>
          <w:color w:val="000000"/>
          <w:highlight w:val="none"/>
        </w:rPr>
      </w:r>
      <w:r/>
    </w:p>
    <w:p>
      <w:pPr>
        <w:pStyle w:val="995"/>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（4）门卫：出入口24小时有值班看守；按照委托合同要求进行进出车辆管理、访客登记，谢绝采购人拒绝访问人员和未经采购人批准的人员入内，物品搬出实行登记。 </w:t>
      </w:r>
      <w:r>
        <w:rPr>
          <w:rFonts w:hint="eastAsia" w:ascii="宋体" w:hAnsi="宋体" w:eastAsia="宋体" w:cs="宋体"/>
          <w:color w:val="000000"/>
          <w:szCs w:val="21"/>
          <w:highlight w:val="none"/>
        </w:rPr>
      </w:r>
      <w:r/>
    </w:p>
    <w:p>
      <w:pPr>
        <w:pStyle w:val="995"/>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紧急事故反应：制定紧急事故处理预案，至少包括：火灾、爆炸、地震、炸弹恐吓、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按照采购人委托组织恢复生活秩序，如：帮助恢复电力供应、抢救财产等。</w:t>
      </w:r>
      <w:r>
        <w:rPr>
          <w:rFonts w:hint="eastAsia" w:ascii="宋体" w:hAnsi="宋体" w:eastAsia="宋体" w:cs="宋体"/>
          <w:color w:val="000000"/>
          <w:szCs w:val="21"/>
          <w:highlight w:val="none"/>
        </w:rPr>
      </w:r>
      <w:r/>
    </w:p>
    <w:p>
      <w:pPr>
        <w:pStyle w:val="995"/>
        <w:ind w:firstLine="420"/>
        <w:spacing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其他防范措施：设有采购人求助与报警电话，24小时有人值守；接到报警信号，确认后值班室应立即派人赶往现场查看，予以恰当的紧急处理；涉及人身安全处，设有明显标志并有防护措施；协助有关部门维持服务区域正常工件秩序，防止不安全事件发生；对服务区域外围边界、角落、车库、道路、照明等相关设施加强维护；建立钥匙管理及登记备案制度。</w:t>
      </w:r>
      <w:r>
        <w:rPr>
          <w:rFonts w:hint="eastAsia" w:ascii="宋体" w:hAnsi="宋体" w:eastAsia="宋体" w:cs="宋体"/>
          <w:color w:val="000000"/>
          <w:szCs w:val="21"/>
          <w:highlight w:val="none"/>
        </w:rPr>
      </w:r>
      <w:r/>
    </w:p>
    <w:p>
      <w:pPr>
        <w:pStyle w:val="995"/>
        <w:ind w:firstLine="42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3.办事大厅、停车场交通引导员</w:t>
      </w:r>
      <w:r>
        <w:rPr>
          <w:rFonts w:hint="eastAsia" w:ascii="宋体" w:hAnsi="宋体" w:eastAsia="宋体" w:cs="宋体"/>
          <w:b/>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（1）做好办事大厅办事群众相关引导工作，要做到主动热情。</w:t>
      </w:r>
      <w:r>
        <w:rPr>
          <w:rFonts w:hint="eastAsia" w:ascii="宋体" w:hAnsi="宋体" w:eastAsia="宋体" w:cs="宋体"/>
          <w:bCs/>
          <w:color w:val="000000"/>
          <w:highlight w:val="none"/>
        </w:rPr>
      </w:r>
      <w:r/>
    </w:p>
    <w:p>
      <w:pPr>
        <w:pStyle w:val="995"/>
        <w:spacing w:after="120"/>
        <w:rPr>
          <w:rFonts w:hint="eastAsia" w:ascii="宋体" w:hAnsi="宋体" w:eastAsia="宋体" w:cs="宋体"/>
          <w:color w:val="000000"/>
          <w:highlight w:val="none"/>
        </w:rPr>
      </w:pPr>
      <w:r>
        <w:rPr>
          <w:rFonts w:hint="eastAsia" w:ascii="宋体" w:hAnsi="宋体" w:eastAsia="宋体" w:cs="宋体"/>
          <w:bCs/>
          <w:color w:val="000000"/>
          <w:highlight w:val="none"/>
        </w:rPr>
        <w:t xml:space="preserve">    （2）做好办事大厅秩序维护工作，办事高峰在期间的快速引导工作。</w:t>
      </w:r>
      <w:r>
        <w:rPr>
          <w:rFonts w:hint="eastAsia" w:ascii="宋体" w:hAnsi="宋体" w:eastAsia="宋体" w:cs="宋体"/>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（3）停车场进场引导员须适当引导，对进入车场的群众要热情有礼。</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（4）维持停车场出入口秩序，合理安排停泊车辆，保证车道畅通。</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（5）禁止无关人员滞留停车场，防止停放的车辆财物被盗。</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（6）发生交通事故或其他突发事件时须控制好现场并及时报告队长。</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（7）注意取车和停放车辆的秩序，特别是在工作日审批局大厅办事高峰期间会出现停车和取车混乱，要求车主守秩序和互相谦让，注意安全。</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（8）协助做好办事大厅、停车场的相关消杀工作。</w:t>
      </w:r>
      <w:r>
        <w:rPr>
          <w:rFonts w:hint="eastAsia" w:ascii="宋体" w:hAnsi="宋体" w:eastAsia="宋体" w:cs="宋体"/>
          <w:bCs/>
          <w:color w:val="000000"/>
          <w:highlight w:val="none"/>
        </w:rPr>
      </w:r>
      <w:r/>
    </w:p>
    <w:p>
      <w:pPr>
        <w:pStyle w:val="995"/>
        <w:ind w:firstLine="42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4.消防维保员</w:t>
      </w:r>
      <w:r>
        <w:rPr>
          <w:rFonts w:hint="eastAsia" w:ascii="宋体" w:hAnsi="宋体" w:eastAsia="宋体" w:cs="宋体"/>
          <w:b/>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（1）负责对各种消防控制设备的监视和运用，不得擅离职守，做好检查、操作等任务。</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（2）熟悉本系统所采用消防设施系统基本原理、功能，熟练掌握操作技术，协助技术人员进行修理、维护，不得擅自拆卸、挪用或停用，保证设备正常运行。</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发生火灾要尽快确认，及时、准确启动有关消纺设备，正确有效地组织扑救及人员疏散，及时报告当班负责人，并应直接拨119向消防队报警，不得迟报或不报，消防队到场后，要如实报告情况，协助消防人员扑救火灾，保护火灾现场，调查火灾原因。</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（4）对消防控制室设备及通讯器材等进行经常性的检查，定期做好各系统功能试验，以确保消防设施各系统运行状况良好，认真填写维保记录。</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（5）宣传贯彻消防法规、遵守防火安全管理制度，以高度的责任感去完成各项技术工作和日常管理工作。</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（6）积极参加消防专业培训，不断提高业务素质。   </w:t>
      </w:r>
      <w:r>
        <w:rPr>
          <w:rFonts w:hint="eastAsia" w:ascii="宋体" w:hAnsi="宋体" w:eastAsia="宋体" w:cs="宋体"/>
          <w:bCs/>
          <w:color w:val="000000"/>
          <w:highlight w:val="none"/>
        </w:rPr>
      </w:r>
      <w:r/>
    </w:p>
    <w:p>
      <w:pPr>
        <w:pStyle w:val="995"/>
        <w:ind w:firstLine="422"/>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5.电梯维保员 </w:t>
      </w:r>
      <w:r>
        <w:rPr>
          <w:rFonts w:hint="eastAsia" w:ascii="宋体" w:hAnsi="宋体" w:eastAsia="宋体" w:cs="宋体"/>
          <w:b/>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（1)工作人员必须服从安排，完成各电梯的维修、保养及其它任务。</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（2）工程维修班组负责日常维修、保养的工作。</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（3）贯彻执行电梯技术条件和机械设备维修工程施工及验收规范等有关标准，使所维修、保养电梯能够达到国家、本企业的现行标准要求。</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（4）对维修、保养电梯的资料保管及收集工作，资料交项目处存档。</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（5）认真做好例保、维修、季检工作，协助甲方做好安全质量检查监督工作。</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（6）做好电梯的调试工作及解决维修上遇到的技术问题，确保电梯维保工程保质、保量按时完成。</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（7）做好有关服务工作，产品质量资料的收集工作，遇到情况及时向有关部门报告。</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（8）遵守公司的规章制度。</w:t>
      </w:r>
      <w:r>
        <w:rPr>
          <w:rFonts w:hint="eastAsia" w:ascii="宋体" w:hAnsi="宋体" w:eastAsia="宋体" w:cs="宋体"/>
          <w:bCs/>
          <w:color w:val="000000"/>
          <w:highlight w:val="none"/>
        </w:rPr>
      </w:r>
      <w:r/>
    </w:p>
    <w:p>
      <w:pPr>
        <w:pStyle w:val="995"/>
        <w:ind w:firstLine="420"/>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（9）完成采购方交办的其它工作。</w:t>
      </w:r>
      <w:r>
        <w:rPr>
          <w:rFonts w:hint="eastAsia" w:ascii="宋体" w:hAnsi="宋体" w:eastAsia="宋体" w:cs="宋体"/>
          <w:bCs/>
          <w:color w:val="000000"/>
          <w:highlight w:val="none"/>
        </w:rPr>
      </w:r>
      <w:r/>
    </w:p>
    <w:p>
      <w:pPr>
        <w:pStyle w:val="995"/>
        <w:ind w:firstLine="422"/>
        <w:spacing w:line="50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四、人员配备：</w:t>
      </w:r>
      <w:r>
        <w:rPr>
          <w:rFonts w:hint="eastAsia" w:ascii="宋体" w:hAnsi="宋体" w:eastAsia="宋体" w:cs="宋体"/>
          <w:b/>
          <w:bCs/>
          <w:color w:val="000000"/>
          <w:szCs w:val="21"/>
          <w:highlight w:val="none"/>
        </w:rPr>
      </w:r>
      <w:r/>
    </w:p>
    <w:tbl>
      <w:tblPr>
        <w:tblW w:w="834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483"/>
        <w:gridCol w:w="4961"/>
        <w:gridCol w:w="1125"/>
        <w:gridCol w:w="780"/>
      </w:tblGrid>
      <w:tr>
        <w:trPr>
          <w:trHeight w:val="789"/>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岗位名称</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人员配置要求</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人数配置</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项目经理</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995"/>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男女不限，具备大专及以上相关学历，3年以上行政办公楼安保管理经验，掌握智能化行政办公楼安保管理的相关知识和技能，具有相关专业证书，服务意识和责任心强，懂管理，会做思想工作。</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1人</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消防、电梯维保人员</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995"/>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男，55岁以下，身高1.70米以上，五官端正，举止大方，身体健康，具有大专或以上学历，具有相关专业证书。</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1人</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安保队长</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995"/>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（军人优先）男，身高1.70米以上，具备大专及以上相关学历，持相关安保类证书，五官端正，举止大方，身体健康，具备2年以上工作经验。</w:t>
            </w: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1人</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安保员</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995"/>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（军人优先）男，55岁以下，身高1.70米以上，五官端正，举止大方，身体健康，具有高中或以上学历，具有2年以上安保工作经验。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7人</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引导员</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995"/>
              <w:spacing w:line="400" w:lineRule="exact"/>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男女不限，55岁以下，具有初中以上学历，五官端正，身材适中，具有2年以上工作经验。</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5人</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67"/>
        </w:trPr>
        <w:tc>
          <w:tcPr>
            <w:gridSpan w:val="2"/>
            <w:tcBorders>
              <w:top w:val="single" w:color="000000" w:sz="4" w:space="0"/>
              <w:left w:val="single" w:color="000000" w:sz="4" w:space="0"/>
              <w:bottom w:val="single" w:color="000000" w:sz="4" w:space="0"/>
              <w:right w:val="single" w:color="000000" w:sz="4" w:space="0"/>
            </w:tcBorders>
            <w:tcW w:w="6444"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合计</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15人</w:t>
            </w:r>
            <w:r>
              <w:rPr>
                <w:rFonts w:hint="eastAsia" w:ascii="宋体" w:hAnsi="宋体" w:eastAsia="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995"/>
              <w:jc w:val="center"/>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95"/>
        <w:ind w:firstLine="422"/>
        <w:spacing w:line="360" w:lineRule="auto"/>
        <w:tabs>
          <w:tab w:val="left" w:pos="780" w:leader="none"/>
        </w:tabs>
        <w:rPr>
          <w:rFonts w:hint="eastAsia" w:ascii="宋体" w:hAnsi="宋体" w:eastAsia="宋体" w:cs="宋体"/>
          <w:b/>
          <w:bCs/>
          <w:i/>
          <w:color w:val="000000"/>
          <w:highlight w:val="none"/>
          <w:u w:val="single"/>
        </w:rPr>
      </w:pPr>
      <w:r>
        <w:rPr>
          <w:rFonts w:hint="eastAsia" w:ascii="宋体" w:hAnsi="宋体" w:eastAsia="宋体" w:cs="宋体"/>
          <w:b/>
          <w:bCs/>
          <w:i/>
          <w:color w:val="000000"/>
          <w:highlight w:val="none"/>
          <w:u w:val="single"/>
        </w:rPr>
      </w:r>
      <w:r/>
    </w:p>
    <w:p>
      <w:pPr>
        <w:pStyle w:val="9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5"/>
        <w:ind w:firstLine="643"/>
        <w:jc w:val="center"/>
        <w:spacing w:line="324" w:lineRule="auto"/>
        <w:rPr>
          <w:rFonts w:hint="eastAsia" w:ascii="宋体" w:hAnsi="宋体" w:eastAsia="宋体" w:cs="宋体"/>
          <w:b/>
          <w:bCs/>
          <w:color w:val="000000"/>
          <w:sz w:val="32"/>
          <w:szCs w:val="32"/>
          <w:highlight w:val="none"/>
        </w:rPr>
        <w:outlineLvl w:val="0"/>
      </w:pPr>
      <w:r/>
      <w:bookmarkEnd w:id="55"/>
      <w:r/>
      <w:bookmarkStart w:id="56" w:name="_Toc497145844"/>
      <w:r>
        <w:rPr>
          <w:rFonts w:hint="eastAsia" w:ascii="宋体" w:hAnsi="宋体" w:eastAsia="宋体" w:cs="宋体"/>
          <w:b/>
          <w:bCs/>
          <w:color w:val="000000"/>
          <w:sz w:val="32"/>
          <w:szCs w:val="32"/>
          <w:highlight w:val="none"/>
        </w:rPr>
        <w:br w:type="page" w:clear="all"/>
      </w:r>
      <w:bookmarkStart w:id="57" w:name="_Toc29291"/>
      <w:r>
        <w:rPr>
          <w:rFonts w:hint="eastAsia" w:ascii="宋体" w:hAnsi="宋体" w:eastAsia="宋体" w:cs="宋体"/>
          <w:b/>
          <w:bCs/>
          <w:color w:val="000000"/>
          <w:sz w:val="32"/>
          <w:szCs w:val="32"/>
          <w:highlight w:val="none"/>
        </w:rPr>
        <w:t xml:space="preserve">第五章 评标方法及评标标准</w:t>
      </w:r>
      <w:bookmarkEnd w:id="57"/>
      <w:r>
        <w:rPr>
          <w:rFonts w:hint="eastAsia" w:ascii="宋体" w:hAnsi="宋体" w:eastAsia="宋体" w:cs="宋体"/>
          <w:b/>
          <w:bCs/>
          <w:color w:val="000000"/>
          <w:sz w:val="32"/>
          <w:szCs w:val="32"/>
          <w:highlight w:val="none"/>
        </w:rPr>
      </w:r>
      <w:r/>
    </w:p>
    <w:p>
      <w:pPr>
        <w:pStyle w:val="1099"/>
        <w:ind w:firstLine="422"/>
        <w:spacing w:before="0" w:after="0"/>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一、评标方法</w:t>
      </w:r>
      <w:r>
        <w:rPr>
          <w:rFonts w:hint="eastAsia" w:ascii="宋体" w:hAnsi="宋体" w:eastAsia="宋体" w:cs="宋体"/>
          <w:b/>
          <w:color w:val="000000"/>
          <w:sz w:val="21"/>
          <w:szCs w:val="21"/>
          <w:highlight w:val="none"/>
        </w:rPr>
      </w:r>
      <w:r/>
    </w:p>
    <w:p>
      <w:pPr>
        <w:pStyle w:val="1099"/>
        <w:ind w:firstLine="42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1"/>
          <w:szCs w:val="21"/>
          <w:highlight w:val="none"/>
        </w:rPr>
      </w:r>
      <w:r/>
    </w:p>
    <w:p>
      <w:pPr>
        <w:pStyle w:val="995"/>
        <w:numPr>
          <w:ilvl w:val="0"/>
          <w:numId w:val="0"/>
        </w:num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 w:val="21"/>
          <w:szCs w:val="21"/>
          <w:highlight w:val="none"/>
          <w:lang w:val="en-US" w:eastAsia="zh-CN" w:bidi="ar-SA"/>
        </w:rPr>
        <w:t xml:space="preserve">二、</w:t>
      </w:r>
      <w:r>
        <w:rPr>
          <w:rFonts w:hint="eastAsia" w:ascii="宋体" w:hAnsi="宋体" w:eastAsia="宋体" w:cs="宋体"/>
          <w:b/>
          <w:color w:val="000000"/>
          <w:szCs w:val="21"/>
          <w:highlight w:val="none"/>
        </w:rPr>
        <w:t xml:space="preserve">政府采购政策功能落实</w:t>
      </w:r>
      <w:r>
        <w:rPr>
          <w:rFonts w:hint="eastAsia" w:ascii="宋体" w:hAnsi="宋体" w:eastAsia="宋体" w:cs="宋体"/>
          <w:b/>
          <w:color w:val="000000"/>
          <w:szCs w:val="21"/>
          <w:highlight w:val="none"/>
        </w:rPr>
      </w:r>
      <w:r/>
    </w:p>
    <w:p>
      <w:pPr>
        <w:pStyle w:val="995"/>
        <w:ind w:firstLine="420"/>
        <w:spacing w:line="360" w:lineRule="auto"/>
        <w:rPr>
          <w:rFonts w:hint="eastAsia" w:ascii="宋体" w:hAnsi="宋体" w:cs="宋体"/>
          <w:color w:val="000000"/>
          <w:szCs w:val="21"/>
        </w:rPr>
      </w:pPr>
      <w:r>
        <w:rPr>
          <w:rFonts w:hint="eastAsia" w:ascii="宋体" w:hAnsi="宋体" w:cs="宋体"/>
          <w:color w:val="000000"/>
          <w:szCs w:val="21"/>
        </w:rPr>
        <w:t xml:space="preserve">1、中小企业</w:t>
      </w:r>
      <w:r>
        <w:rPr>
          <w:rFonts w:hint="eastAsia" w:ascii="宋体" w:hAnsi="宋体" w:cs="宋体"/>
          <w:color w:val="000000"/>
          <w:szCs w:val="21"/>
        </w:rPr>
      </w:r>
      <w:r/>
    </w:p>
    <w:p>
      <w:pPr>
        <w:pStyle w:val="995"/>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（1）供应商需按照采购文件的要求提供相应的《中小企业声明函》。</w:t>
      </w:r>
      <w:r>
        <w:rPr>
          <w:rFonts w:hint="eastAsia" w:ascii="宋体" w:hAnsi="宋体" w:cs="宋体"/>
          <w:color w:val="000000"/>
          <w:szCs w:val="21"/>
        </w:rPr>
      </w:r>
      <w:r/>
    </w:p>
    <w:p>
      <w:pPr>
        <w:pStyle w:val="995"/>
        <w:ind w:firstLine="420"/>
        <w:spacing w:line="360" w:lineRule="auto"/>
        <w:rPr>
          <w:rFonts w:hint="eastAsia" w:ascii="宋体" w:hAnsi="宋体" w:cs="宋体"/>
          <w:color w:val="000000"/>
          <w:szCs w:val="21"/>
        </w:rPr>
      </w:pPr>
      <w:r>
        <w:rPr>
          <w:rFonts w:hint="eastAsia" w:ascii="宋体" w:hAnsi="宋体" w:cs="宋体"/>
          <w:color w:val="000000"/>
          <w:szCs w:val="21"/>
        </w:rPr>
        <w:t xml:space="preserve">（2）企业标准请参照《关于印发中小企业划型标准规定的通知》（工信部联企业[2011]300号）文件规定自行填写。</w:t>
      </w:r>
      <w:r>
        <w:rPr>
          <w:rFonts w:hint="eastAsia" w:ascii="宋体" w:hAnsi="宋体" w:cs="宋体"/>
          <w:color w:val="000000"/>
          <w:szCs w:val="21"/>
        </w:rPr>
      </w:r>
      <w:r/>
    </w:p>
    <w:p>
      <w:pPr>
        <w:pStyle w:val="995"/>
        <w:ind w:firstLine="420"/>
        <w:spacing w:line="360" w:lineRule="auto"/>
        <w:rPr>
          <w:rFonts w:hint="eastAsia" w:ascii="宋体" w:hAnsi="宋体" w:cs="宋体"/>
          <w:color w:val="000000"/>
          <w:szCs w:val="21"/>
        </w:rPr>
      </w:pPr>
      <w:r>
        <w:rPr>
          <w:rFonts w:hint="eastAsia" w:ascii="宋体" w:hAnsi="宋体" w:cs="宋体"/>
          <w:color w:val="000000"/>
          <w:szCs w:val="21"/>
        </w:rPr>
        <w:t xml:space="preserve">2、残疾人福利单位</w:t>
      </w:r>
      <w:r>
        <w:rPr>
          <w:rFonts w:hint="eastAsia" w:ascii="宋体" w:hAnsi="宋体" w:cs="宋体"/>
          <w:color w:val="000000"/>
          <w:szCs w:val="21"/>
        </w:rPr>
      </w:r>
      <w:r/>
    </w:p>
    <w:p>
      <w:pPr>
        <w:pStyle w:val="995"/>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（1）本项目对残疾人福利性单位视同小型、微型企业。</w:t>
      </w:r>
      <w:r>
        <w:rPr>
          <w:rFonts w:hint="eastAsia" w:ascii="宋体" w:hAnsi="宋体" w:cs="宋体"/>
          <w:color w:val="000000"/>
          <w:szCs w:val="21"/>
        </w:rPr>
      </w:r>
      <w:r/>
    </w:p>
    <w:p>
      <w:pPr>
        <w:pStyle w:val="995"/>
        <w:ind w:firstLine="420"/>
        <w:spacing w:line="360" w:lineRule="auto"/>
        <w:rPr>
          <w:rFonts w:hint="eastAsia" w:ascii="宋体" w:hAnsi="宋体" w:cs="宋体"/>
          <w:color w:val="000000"/>
          <w:szCs w:val="21"/>
        </w:rPr>
      </w:pPr>
      <w:r>
        <w:rPr>
          <w:rFonts w:hint="eastAsia" w:ascii="宋体" w:hAnsi="宋体" w:cs="宋体"/>
          <w:color w:val="000000"/>
          <w:szCs w:val="21"/>
        </w:rPr>
        <w:t xml:space="preserve">（2）残疾人福利单位需按照采购文件的要求提供《残疾人福利性单位声明函》。</w:t>
      </w:r>
      <w:r>
        <w:rPr>
          <w:rFonts w:hint="eastAsia" w:ascii="宋体" w:hAnsi="宋体" w:cs="宋体"/>
          <w:color w:val="000000"/>
          <w:szCs w:val="21"/>
        </w:rPr>
      </w:r>
      <w:r/>
    </w:p>
    <w:p>
      <w:pPr>
        <w:pStyle w:val="995"/>
        <w:ind w:firstLine="420"/>
        <w:spacing w:line="360" w:lineRule="auto"/>
        <w:rPr>
          <w:rFonts w:hint="eastAsia" w:ascii="宋体" w:hAnsi="宋体" w:cs="宋体"/>
          <w:color w:val="000000"/>
          <w:szCs w:val="21"/>
        </w:rPr>
      </w:pPr>
      <w:r>
        <w:rPr>
          <w:rFonts w:hint="eastAsia" w:ascii="宋体" w:hAnsi="宋体" w:cs="宋体"/>
          <w:color w:val="000000"/>
          <w:szCs w:val="21"/>
        </w:rPr>
        <w:t xml:space="preserve">（3）残疾人福利单位标准请参照《关于促进残疾人就业政府采购政策的通知》（财库〔2017〕141号）。</w:t>
      </w:r>
      <w:r>
        <w:rPr>
          <w:rFonts w:hint="eastAsia" w:ascii="宋体" w:hAnsi="宋体" w:cs="宋体"/>
          <w:color w:val="000000"/>
          <w:szCs w:val="21"/>
        </w:rPr>
      </w:r>
      <w:r/>
    </w:p>
    <w:p>
      <w:pPr>
        <w:pStyle w:val="995"/>
        <w:ind w:firstLine="420"/>
        <w:spacing w:line="360" w:lineRule="auto"/>
        <w:rPr>
          <w:rFonts w:hint="eastAsia" w:ascii="宋体" w:hAnsi="宋体" w:cs="宋体"/>
          <w:color w:val="000000"/>
          <w:szCs w:val="21"/>
        </w:rPr>
      </w:pPr>
      <w:r>
        <w:rPr>
          <w:rFonts w:hint="eastAsia" w:ascii="宋体" w:hAnsi="宋体" w:cs="宋体"/>
          <w:color w:val="000000"/>
          <w:szCs w:val="21"/>
        </w:rPr>
        <w:t xml:space="preserve">  3、监狱和戒毒企业</w:t>
      </w:r>
      <w:r>
        <w:rPr>
          <w:rFonts w:hint="eastAsia" w:ascii="宋体" w:hAnsi="宋体" w:cs="宋体"/>
          <w:color w:val="000000"/>
          <w:szCs w:val="21"/>
        </w:rPr>
      </w:r>
      <w:r/>
    </w:p>
    <w:p>
      <w:pPr>
        <w:pStyle w:val="995"/>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（1）本项目对监狱和戒毒企业（简称监狱企业）视同小型、微型企业。</w:t>
      </w:r>
      <w:r>
        <w:rPr>
          <w:rFonts w:hint="eastAsia" w:ascii="宋体" w:hAnsi="宋体" w:cs="宋体"/>
          <w:color w:val="000000"/>
          <w:szCs w:val="21"/>
        </w:rPr>
      </w:r>
      <w:r/>
    </w:p>
    <w:p>
      <w:pPr>
        <w:pStyle w:val="995"/>
        <w:ind w:firstLine="420"/>
        <w:spacing w:line="360" w:lineRule="auto"/>
        <w:rPr>
          <w:rFonts w:hint="eastAsia" w:ascii="宋体" w:hAnsi="宋体" w:cs="宋体"/>
          <w:color w:val="000000"/>
          <w:szCs w:val="21"/>
        </w:rPr>
      </w:pPr>
      <w:r>
        <w:rPr>
          <w:rFonts w:hint="eastAsia" w:ascii="宋体" w:hAnsi="宋体" w:cs="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Cs w:val="21"/>
        </w:rPr>
      </w:r>
      <w:r/>
    </w:p>
    <w:p>
      <w:pPr>
        <w:pStyle w:val="995"/>
        <w:ind w:firstLine="420"/>
        <w:spacing w:line="360" w:lineRule="auto"/>
        <w:rPr>
          <w:rFonts w:hint="eastAsia" w:ascii="宋体" w:hAnsi="宋体" w:cs="宋体"/>
          <w:color w:val="000000"/>
        </w:rPr>
      </w:pPr>
      <w:r>
        <w:rPr>
          <w:rFonts w:hint="eastAsia" w:ascii="宋体" w:hAnsi="宋体" w:cs="宋体"/>
          <w:color w:val="000000"/>
          <w:szCs w:val="21"/>
        </w:rPr>
        <w:t xml:space="preserve">（3）监狱企业标准请参照《关于政府采购支持监狱企业发展有关问题的通知》（财库[2014]68号）。</w:t>
      </w:r>
      <w:r>
        <w:rPr>
          <w:rFonts w:hint="eastAsia" w:ascii="宋体" w:hAnsi="宋体" w:cs="宋体"/>
          <w:color w:val="000000"/>
        </w:rPr>
      </w:r>
      <w:r/>
    </w:p>
    <w:p>
      <w:pPr>
        <w:pStyle w:val="995"/>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三、评分标准</w:t>
      </w:r>
      <w:r>
        <w:rPr>
          <w:rFonts w:hint="eastAsia" w:ascii="宋体" w:hAnsi="宋体" w:eastAsia="宋体" w:cs="宋体"/>
          <w:b/>
          <w:color w:val="000000"/>
          <w:szCs w:val="21"/>
          <w:highlight w:val="none"/>
        </w:rPr>
      </w:r>
      <w:r/>
    </w:p>
    <w:tbl>
      <w:tblPr>
        <w:tblW w:w="8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7531"/>
      </w:tblGrid>
      <w:tr>
        <w:trPr>
          <w:trHeight w:val="23"/>
        </w:trPr>
        <w:tc>
          <w:tcPr>
            <w:tcW w:w="1411" w:type="dxa"/>
            <w:vAlign w:val="center"/>
            <w:textDirection w:val="lrTb"/>
            <w:noWrap w:val="false"/>
          </w:tcPr>
          <w:p>
            <w:pPr>
              <w:pStyle w:val="995"/>
              <w:jc w:val="center"/>
              <w:spacing w:line="360" w:lineRule="auto"/>
              <w:rPr>
                <w:rFonts w:hint="eastAsia" w:ascii="宋体" w:hAnsi="宋体" w:eastAsia="宋体" w:cs="宋体"/>
                <w:b/>
                <w:bCs/>
                <w:color w:val="000000"/>
                <w:sz w:val="21"/>
                <w:szCs w:val="21"/>
                <w:highlight w:val="none"/>
              </w:rPr>
            </w:pPr>
            <w:r/>
            <w:bookmarkEnd w:id="56"/>
            <w:r>
              <w:rPr>
                <w:rFonts w:hint="eastAsia" w:ascii="宋体" w:hAnsi="宋体" w:eastAsia="宋体" w:cs="宋体"/>
                <w:b/>
                <w:bCs/>
                <w:color w:val="000000"/>
                <w:sz w:val="21"/>
                <w:szCs w:val="21"/>
                <w:highlight w:val="none"/>
              </w:rPr>
              <w:t xml:space="preserve">评审内容</w:t>
            </w:r>
            <w:r>
              <w:rPr>
                <w:rFonts w:hint="eastAsia" w:ascii="宋体" w:hAnsi="宋体" w:eastAsia="宋体" w:cs="宋体"/>
                <w:b/>
                <w:bCs/>
                <w:color w:val="000000"/>
                <w:sz w:val="21"/>
                <w:szCs w:val="21"/>
                <w:highlight w:val="none"/>
              </w:rPr>
            </w:r>
            <w:r/>
          </w:p>
        </w:tc>
        <w:tc>
          <w:tcPr>
            <w:tcW w:w="7531" w:type="dxa"/>
            <w:vAlign w:val="center"/>
            <w:textDirection w:val="lrTb"/>
            <w:noWrap w:val="false"/>
          </w:tcPr>
          <w:p>
            <w:pPr>
              <w:pStyle w:val="995"/>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评分细则</w:t>
            </w:r>
            <w:r>
              <w:rPr>
                <w:rFonts w:hint="eastAsia" w:ascii="宋体" w:hAnsi="宋体" w:eastAsia="宋体" w:cs="宋体"/>
                <w:b/>
                <w:bCs/>
                <w:color w:val="000000"/>
                <w:sz w:val="21"/>
                <w:szCs w:val="21"/>
                <w:highlight w:val="none"/>
              </w:rPr>
            </w:r>
            <w:r/>
          </w:p>
        </w:tc>
      </w:tr>
      <w:tr>
        <w:trPr>
          <w:trHeight w:val="23"/>
        </w:trPr>
        <w:tc>
          <w:tcPr>
            <w:tcW w:w="1411" w:type="dxa"/>
            <w:vAlign w:val="center"/>
            <w:textDirection w:val="lrTb"/>
            <w:noWrap w:val="false"/>
          </w:tcPr>
          <w:p>
            <w:pPr>
              <w:pStyle w:val="99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报价得分</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color w:val="000000"/>
                <w:sz w:val="21"/>
                <w:szCs w:val="21"/>
                <w:highlight w:val="none"/>
              </w:rPr>
            </w:r>
            <w:r/>
          </w:p>
        </w:tc>
        <w:tc>
          <w:tcPr>
            <w:tcW w:w="7531" w:type="dxa"/>
            <w:vAlign w:val="center"/>
            <w:textDirection w:val="lrTb"/>
            <w:noWrap w:val="false"/>
          </w:tcPr>
          <w:p>
            <w:pPr>
              <w:pStyle w:val="995"/>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满足招标文件要求且投标价格最低的有效投标报价为评标基准价，其价格分为满分</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分。其他投标人的价格分统一按照下列公式计算：投标报价得分=（评标基准价/投标报价）×</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b/>
                <w:bCs/>
                <w:color w:val="000000"/>
                <w:sz w:val="21"/>
                <w:szCs w:val="21"/>
                <w:highlight w:val="none"/>
              </w:rPr>
              <w:t xml:space="preserve">保留两位小数。</w:t>
            </w:r>
            <w:r>
              <w:rPr>
                <w:rFonts w:hint="eastAsia" w:ascii="宋体" w:hAnsi="宋体" w:eastAsia="宋体" w:cs="宋体"/>
                <w:b/>
                <w:bCs/>
                <w:color w:val="000000"/>
                <w:sz w:val="21"/>
                <w:szCs w:val="21"/>
                <w:highlight w:val="none"/>
              </w:rPr>
            </w:r>
            <w:r/>
          </w:p>
          <w:p>
            <w:pPr>
              <w:pStyle w:val="995"/>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注:评标委员会认为投标人的报价明显低于其他通过符合性审查投标人的报价，有可能影响产品质量或者不能诚信履约的，应当要求其在评标现场合理的时间提供书面说明，必要时提交相关证明材料;投标人不能证明其报价合理性的，评标委员会将其作为无效投标处理。</w:t>
            </w:r>
            <w:r>
              <w:rPr>
                <w:rFonts w:hint="eastAsia" w:ascii="宋体" w:hAnsi="宋体" w:eastAsia="宋体" w:cs="宋体"/>
                <w:b/>
                <w:bCs/>
                <w:color w:val="000000"/>
                <w:sz w:val="21"/>
                <w:szCs w:val="21"/>
                <w:highlight w:val="none"/>
              </w:rPr>
            </w:r>
            <w:r/>
          </w:p>
        </w:tc>
      </w:tr>
      <w:tr>
        <w:trPr>
          <w:trHeight w:val="23"/>
        </w:trPr>
        <w:tc>
          <w:tcPr>
            <w:tcW w:w="1411" w:type="dxa"/>
            <w:vAlign w:val="center"/>
            <w:vMerge w:val="restart"/>
            <w:textDirection w:val="lrTb"/>
            <w:noWrap w:val="false"/>
          </w:tcPr>
          <w:p>
            <w:pPr>
              <w:pStyle w:val="99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技术方案（</w:t>
            </w:r>
            <w:r>
              <w:rPr>
                <w:rFonts w:hint="eastAsia" w:ascii="宋体" w:hAnsi="宋体" w:eastAsia="宋体" w:cs="宋体"/>
                <w:color w:val="000000"/>
                <w:sz w:val="21"/>
                <w:szCs w:val="21"/>
                <w:highlight w:val="none"/>
                <w:lang w:val="en-US" w:eastAsia="zh-CN"/>
              </w:rPr>
              <w:t xml:space="preserve">55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7531" w:type="dxa"/>
            <w:vAlign w:val="center"/>
            <w:textDirection w:val="lrTb"/>
            <w:noWrap w:val="false"/>
          </w:tcPr>
          <w:p>
            <w:pPr>
              <w:pStyle w:val="995"/>
              <w:ind w:firstLine="0"/>
              <w:keepLines w:val="0"/>
              <w:keepNext w:val="0"/>
              <w:pageBreakBefore w:val="0"/>
              <w:spacing w:line="32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1、整体服务设想和总体目标：</w:t>
            </w:r>
            <w:r>
              <w:rPr>
                <w:rFonts w:hint="eastAsia" w:ascii="宋体" w:hAnsi="宋体" w:eastAsia="宋体" w:cs="宋体"/>
                <w:color w:val="000000"/>
                <w:szCs w:val="21"/>
                <w:highlight w:val="none"/>
              </w:rPr>
              <w:t xml:space="preserve">考察投标人对投标项目现状的熟悉程度，是否了解投标项目的重点难点，针对重点难点的措施是否切实合理，服务目标是否满足招标文件要求等（满分7分）。</w:t>
            </w:r>
            <w:r>
              <w:rPr>
                <w:rFonts w:hint="eastAsia" w:ascii="宋体" w:hAnsi="宋体" w:eastAsia="宋体" w:cs="宋体"/>
                <w:color w:val="000000"/>
                <w:szCs w:val="21"/>
                <w:highlight w:val="none"/>
              </w:rPr>
            </w:r>
            <w:r/>
          </w:p>
          <w:p>
            <w:pPr>
              <w:pStyle w:val="995"/>
              <w:ind w:firstLine="0"/>
              <w:keepLines w:val="0"/>
              <w:keepNext w:val="0"/>
              <w:pageBreakBefore w:val="0"/>
              <w:spacing w:line="32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（1）对投标项目基本情况熟悉，了解招标人的服务需求，重点难点分析正确，针对重点难点的措施切实可行得7分；</w:t>
            </w:r>
            <w:r>
              <w:rPr>
                <w:rFonts w:hint="eastAsia" w:ascii="宋体" w:hAnsi="宋体" w:eastAsia="宋体" w:cs="宋体"/>
                <w:color w:val="000000"/>
                <w:szCs w:val="21"/>
                <w:highlight w:val="none"/>
              </w:rPr>
            </w:r>
            <w:r/>
          </w:p>
          <w:p>
            <w:pPr>
              <w:pStyle w:val="995"/>
              <w:ind w:firstLine="0"/>
              <w:keepLines w:val="0"/>
              <w:keepNext w:val="0"/>
              <w:pageBreakBefore w:val="0"/>
              <w:spacing w:line="32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（2）对投标项目基本情况熟悉度一般，基本了解招标人的服务需求，重点难点分析基本正确，针对重点难点的措施基本可操作得4分；</w:t>
            </w:r>
            <w:r>
              <w:rPr>
                <w:rFonts w:hint="eastAsia" w:ascii="宋体" w:hAnsi="宋体" w:eastAsia="宋体" w:cs="宋体"/>
                <w:color w:val="000000"/>
                <w:szCs w:val="21"/>
                <w:highlight w:val="none"/>
              </w:rPr>
            </w:r>
            <w:r/>
          </w:p>
          <w:p>
            <w:pPr>
              <w:pStyle w:val="995"/>
              <w:ind w:firstLine="0"/>
              <w:keepLines w:val="0"/>
              <w:keepNext w:val="0"/>
              <w:pageBreakBefore w:val="0"/>
              <w:spacing w:line="324"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（3）对投标项目基本情况熟悉度一般，对招标人的服务需求了解度一般，重点难点分析不符合实际，针对重点难点的措施可操作较低得1分。</w:t>
            </w:r>
            <w:r>
              <w:rPr>
                <w:rFonts w:hint="eastAsia" w:ascii="宋体" w:hAnsi="宋体" w:eastAsia="宋体" w:cs="宋体"/>
                <w:color w:val="000000"/>
                <w:sz w:val="21"/>
                <w:szCs w:val="21"/>
                <w:highlight w:val="none"/>
              </w:rPr>
            </w:r>
            <w:r/>
          </w:p>
        </w:tc>
      </w:tr>
      <w:tr>
        <w:trPr>
          <w:trHeight w:val="23"/>
        </w:trPr>
        <w:tc>
          <w:tcPr>
            <w:tcW w:w="1411" w:type="dxa"/>
            <w:vAlign w:val="center"/>
            <w:vMerge w:val="continue"/>
            <w:textDirection w:val="lrTb"/>
            <w:noWrap w:val="false"/>
          </w:tcPr>
          <w:p>
            <w:pPr>
              <w:pStyle w:val="99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1" w:type="dxa"/>
            <w:vAlign w:val="center"/>
            <w:textDirection w:val="lrTb"/>
            <w:noWrap w:val="false"/>
          </w:tcPr>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b/>
                <w:bCs/>
                <w:color w:val="000000"/>
                <w:szCs w:val="20"/>
                <w:highlight w:val="none"/>
              </w:rPr>
              <w:t xml:space="preserve">2、各项管理规章制度及现代化管理措施：</w:t>
            </w:r>
            <w:r>
              <w:rPr>
                <w:rFonts w:hint="eastAsia" w:ascii="宋体" w:hAnsi="宋体" w:eastAsia="宋体" w:cs="宋体"/>
                <w:color w:val="000000"/>
                <w:szCs w:val="20"/>
                <w:highlight w:val="none"/>
              </w:rPr>
              <w:t xml:space="preserve">投标人有无健全的管理规章制度，包括员工管理考核类、作业指导类等，有无采用现代化的管理措施确保服务目标的实现（满分7分）。</w:t>
            </w:r>
            <w:r>
              <w:rPr>
                <w:rFonts w:hint="eastAsia" w:ascii="宋体" w:hAnsi="宋体" w:eastAsia="宋体" w:cs="宋体"/>
                <w:color w:val="000000"/>
                <w:szCs w:val="20"/>
                <w:highlight w:val="none"/>
              </w:rPr>
            </w:r>
            <w:r/>
          </w:p>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（1）规章制度健全且现代化管理措施操作性强的得7分，</w:t>
            </w:r>
            <w:r>
              <w:rPr>
                <w:rFonts w:hint="eastAsia" w:ascii="宋体" w:hAnsi="宋体" w:eastAsia="宋体" w:cs="宋体"/>
                <w:color w:val="000000"/>
                <w:szCs w:val="20"/>
                <w:highlight w:val="none"/>
              </w:rPr>
            </w:r>
            <w:r/>
          </w:p>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（2）规章制度基本健全，现代化管理措施基本可操作的得4分；</w:t>
            </w:r>
            <w:r>
              <w:rPr>
                <w:rFonts w:hint="eastAsia" w:ascii="宋体" w:hAnsi="宋体" w:eastAsia="宋体" w:cs="宋体"/>
                <w:color w:val="000000"/>
                <w:szCs w:val="20"/>
                <w:highlight w:val="none"/>
              </w:rPr>
            </w:r>
            <w:r/>
          </w:p>
          <w:p>
            <w:pPr>
              <w:pStyle w:val="995"/>
              <w:numPr>
                <w:ilvl w:val="0"/>
                <w:numId w:val="0"/>
              </w:num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Cs w:val="20"/>
                <w:highlight w:val="none"/>
              </w:rPr>
              <w:t xml:space="preserve">（3）规章制度不健全，现代化管理措施操作性较低的得1分。</w:t>
            </w:r>
            <w:r>
              <w:rPr>
                <w:rFonts w:hint="eastAsia" w:ascii="宋体" w:hAnsi="宋体" w:eastAsia="宋体" w:cs="宋体"/>
                <w:color w:val="000000"/>
                <w:sz w:val="21"/>
                <w:szCs w:val="21"/>
                <w:highlight w:val="none"/>
              </w:rPr>
            </w:r>
            <w:r/>
          </w:p>
        </w:tc>
      </w:tr>
      <w:tr>
        <w:trPr>
          <w:trHeight w:val="23"/>
        </w:trPr>
        <w:tc>
          <w:tcPr>
            <w:tcW w:w="1411" w:type="dxa"/>
            <w:vAlign w:val="center"/>
            <w:vMerge w:val="continue"/>
            <w:textDirection w:val="lrTb"/>
            <w:noWrap w:val="false"/>
          </w:tcPr>
          <w:p>
            <w:pPr>
              <w:pStyle w:val="99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1" w:type="dxa"/>
            <w:vAlign w:val="center"/>
            <w:textDirection w:val="lrTb"/>
            <w:noWrap w:val="false"/>
          </w:tcPr>
          <w:p>
            <w:pPr>
              <w:pStyle w:val="995"/>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3、引导服务方案：</w:t>
            </w:r>
            <w:r>
              <w:rPr>
                <w:rFonts w:hint="eastAsia" w:ascii="宋体" w:hAnsi="宋体" w:eastAsia="宋体" w:cs="宋体"/>
                <w:b w:val="0"/>
                <w:bCs w:val="0"/>
                <w:color w:val="000000"/>
                <w:sz w:val="21"/>
                <w:szCs w:val="21"/>
                <w:highlight w:val="none"/>
                <w:lang w:val="en-US" w:eastAsia="zh-CN" w:bidi="ar-SA"/>
              </w:rPr>
              <w:t xml:space="preserve">引导服务整体模式，根据招标文件提出的标准及要求制定的服务具体措施等（满分7分）。</w:t>
            </w:r>
            <w:r>
              <w:rPr>
                <w:rFonts w:hint="eastAsia" w:ascii="宋体" w:hAnsi="宋体" w:eastAsia="宋体" w:cs="宋体"/>
                <w:b/>
                <w:bCs/>
                <w:color w:val="000000"/>
                <w:sz w:val="21"/>
                <w:szCs w:val="21"/>
                <w:highlight w:val="none"/>
                <w:lang w:val="en-US" w:eastAsia="zh-CN" w:bidi="ar-SA"/>
              </w:rPr>
            </w:r>
            <w:r/>
          </w:p>
          <w:p>
            <w:pPr>
              <w:pStyle w:val="995"/>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（1）方案完整、细致，符合项目需求，操作性强得7分；</w:t>
            </w:r>
            <w:r>
              <w:rPr>
                <w:rFonts w:hint="eastAsia" w:ascii="宋体" w:hAnsi="宋体" w:eastAsia="宋体" w:cs="宋体"/>
                <w:b w:val="0"/>
                <w:bCs w:val="0"/>
                <w:color w:val="000000"/>
                <w:sz w:val="21"/>
                <w:szCs w:val="21"/>
                <w:highlight w:val="none"/>
                <w:lang w:val="en-US" w:eastAsia="zh-CN" w:bidi="ar-SA"/>
              </w:rPr>
            </w:r>
            <w:r/>
          </w:p>
          <w:p>
            <w:pPr>
              <w:pStyle w:val="995"/>
              <w:spacing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（2）方案较为完整、细致，基本符合项目需求，操作性较强得4分；</w:t>
            </w:r>
            <w:r>
              <w:rPr>
                <w:rFonts w:hint="eastAsia" w:ascii="宋体" w:hAnsi="宋体" w:eastAsia="宋体" w:cs="宋体"/>
                <w:b w:val="0"/>
                <w:bCs w:val="0"/>
                <w:color w:val="000000"/>
                <w:sz w:val="21"/>
                <w:szCs w:val="21"/>
                <w:highlight w:val="none"/>
                <w:lang w:val="en-US" w:eastAsia="zh-CN" w:bidi="ar-SA"/>
              </w:rPr>
            </w:r>
            <w:r/>
          </w:p>
          <w:p>
            <w:pPr>
              <w:pStyle w:val="995"/>
              <w:spacing w:line="360" w:lineRule="auto"/>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（3）方案不完整、不细致，与项目需求响应度低，操作性较低得1分。</w:t>
            </w:r>
            <w:r>
              <w:rPr>
                <w:rFonts w:hint="eastAsia" w:ascii="宋体" w:hAnsi="宋体" w:eastAsia="宋体" w:cs="宋体"/>
                <w:color w:val="000000"/>
                <w:sz w:val="21"/>
                <w:szCs w:val="21"/>
                <w:highlight w:val="none"/>
              </w:rPr>
            </w:r>
            <w:r/>
          </w:p>
        </w:tc>
      </w:tr>
      <w:tr>
        <w:trPr>
          <w:trHeight w:val="23"/>
        </w:trPr>
        <w:tc>
          <w:tcPr>
            <w:tcW w:w="1411" w:type="dxa"/>
            <w:vAlign w:val="center"/>
            <w:vMerge w:val="continue"/>
            <w:textDirection w:val="lrTb"/>
            <w:noWrap w:val="false"/>
          </w:tcPr>
          <w:p>
            <w:pPr>
              <w:pStyle w:val="99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1" w:type="dxa"/>
            <w:vAlign w:val="center"/>
            <w:textDirection w:val="lrTb"/>
            <w:noWrap w:val="false"/>
          </w:tcPr>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b/>
                <w:bCs/>
                <w:color w:val="000000"/>
                <w:szCs w:val="20"/>
                <w:highlight w:val="none"/>
                <w:lang w:val="en-US" w:eastAsia="zh-CN"/>
              </w:rPr>
              <w:t xml:space="preserve">4</w:t>
            </w:r>
            <w:r>
              <w:rPr>
                <w:rFonts w:hint="eastAsia" w:ascii="宋体" w:hAnsi="宋体" w:eastAsia="宋体" w:cs="宋体"/>
                <w:b/>
                <w:bCs/>
                <w:color w:val="000000"/>
                <w:szCs w:val="20"/>
                <w:highlight w:val="none"/>
              </w:rPr>
              <w:t xml:space="preserve">、保安服务方案：</w:t>
            </w:r>
            <w:r>
              <w:rPr>
                <w:rFonts w:hint="eastAsia" w:ascii="宋体" w:hAnsi="宋体" w:eastAsia="宋体" w:cs="宋体"/>
                <w:color w:val="000000"/>
                <w:szCs w:val="20"/>
                <w:highlight w:val="none"/>
              </w:rPr>
              <w:t xml:space="preserve">保安服务整体模式，根据招标文件提出的标准及要求制定的各部位保安服务具体措施等（满分7分）。</w:t>
            </w:r>
            <w:r>
              <w:rPr>
                <w:rFonts w:hint="eastAsia" w:ascii="宋体" w:hAnsi="宋体" w:eastAsia="宋体" w:cs="宋体"/>
                <w:color w:val="000000"/>
                <w:szCs w:val="20"/>
                <w:highlight w:val="none"/>
              </w:rPr>
            </w:r>
            <w:r/>
          </w:p>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（1）方案完整、细致，符合项目需求，操作性强得7分；</w:t>
            </w:r>
            <w:r>
              <w:rPr>
                <w:rFonts w:hint="eastAsia" w:ascii="宋体" w:hAnsi="宋体" w:eastAsia="宋体" w:cs="宋体"/>
                <w:color w:val="000000"/>
                <w:szCs w:val="20"/>
                <w:highlight w:val="none"/>
              </w:rPr>
            </w:r>
            <w:r/>
          </w:p>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（2）方案较为完整、细致，基本符合项目需求，操作性较强得4分；</w:t>
            </w:r>
            <w:r>
              <w:rPr>
                <w:rFonts w:hint="eastAsia" w:ascii="宋体" w:hAnsi="宋体" w:eastAsia="宋体" w:cs="宋体"/>
                <w:color w:val="000000"/>
                <w:szCs w:val="20"/>
                <w:highlight w:val="none"/>
              </w:rPr>
            </w:r>
            <w:r/>
          </w:p>
          <w:p>
            <w:pPr>
              <w:pStyle w:val="1003"/>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Cs w:val="20"/>
                <w:highlight w:val="none"/>
              </w:rPr>
              <w:t xml:space="preserve">（3）方案不完整、不细致，与项目需求响应度低，操作性较低得1分。</w:t>
            </w:r>
            <w:r>
              <w:rPr>
                <w:rFonts w:hint="eastAsia" w:ascii="宋体" w:hAnsi="宋体" w:eastAsia="宋体" w:cs="宋体"/>
                <w:color w:val="000000"/>
                <w:sz w:val="21"/>
                <w:szCs w:val="21"/>
                <w:highlight w:val="none"/>
              </w:rPr>
            </w:r>
            <w:r/>
          </w:p>
        </w:tc>
      </w:tr>
      <w:tr>
        <w:trPr>
          <w:trHeight w:val="23"/>
        </w:trPr>
        <w:tc>
          <w:tcPr>
            <w:tcW w:w="1411" w:type="dxa"/>
            <w:vAlign w:val="center"/>
            <w:vMerge w:val="continue"/>
            <w:textDirection w:val="lrTb"/>
            <w:noWrap w:val="false"/>
          </w:tcPr>
          <w:p>
            <w:pPr>
              <w:pStyle w:val="99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1" w:type="dxa"/>
            <w:vAlign w:val="center"/>
            <w:textDirection w:val="lrTb"/>
            <w:noWrap w:val="false"/>
          </w:tcPr>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b/>
                <w:bCs/>
                <w:color w:val="000000"/>
                <w:szCs w:val="20"/>
                <w:highlight w:val="none"/>
              </w:rPr>
              <w:t xml:space="preserve">5、消防、电梯维保服务方案</w:t>
            </w:r>
            <w:r>
              <w:rPr>
                <w:rFonts w:hint="eastAsia" w:ascii="宋体" w:hAnsi="宋体" w:eastAsia="宋体" w:cs="宋体"/>
                <w:color w:val="000000"/>
                <w:szCs w:val="20"/>
                <w:highlight w:val="none"/>
              </w:rPr>
              <w:t xml:space="preserve">：消防、电梯维保服务模式，消防、电梯维保服务时限承诺，消防、电梯等设施设备的日常运行维护措施等（满分7分）。</w:t>
            </w:r>
            <w:r>
              <w:rPr>
                <w:rFonts w:hint="eastAsia" w:ascii="宋体" w:hAnsi="宋体" w:eastAsia="宋体" w:cs="宋体"/>
                <w:color w:val="000000"/>
                <w:szCs w:val="20"/>
                <w:highlight w:val="none"/>
              </w:rPr>
            </w:r>
            <w:r/>
          </w:p>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（1）方案完整、细致，符合项目需求，操作性强得7分；</w:t>
            </w:r>
            <w:r>
              <w:rPr>
                <w:rFonts w:hint="eastAsia" w:ascii="宋体" w:hAnsi="宋体" w:eastAsia="宋体" w:cs="宋体"/>
                <w:color w:val="000000"/>
                <w:szCs w:val="20"/>
                <w:highlight w:val="none"/>
              </w:rPr>
            </w:r>
            <w:r/>
          </w:p>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（2）方案较为完整、细致，基本符合项目需求，操作性较强得4分；</w:t>
            </w:r>
            <w:r>
              <w:rPr>
                <w:rFonts w:hint="eastAsia" w:ascii="宋体" w:hAnsi="宋体" w:eastAsia="宋体" w:cs="宋体"/>
                <w:color w:val="000000"/>
                <w:szCs w:val="20"/>
                <w:highlight w:val="none"/>
              </w:rPr>
            </w:r>
            <w:r/>
          </w:p>
          <w:p>
            <w:pPr>
              <w:pStyle w:val="1003"/>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Cs w:val="20"/>
                <w:highlight w:val="none"/>
              </w:rPr>
              <w:t xml:space="preserve">（3）方案不完整、不细致，与项目需求响应度低，操作性较低得1分。</w:t>
            </w:r>
            <w:r>
              <w:rPr>
                <w:rFonts w:hint="eastAsia" w:ascii="宋体" w:hAnsi="宋体" w:eastAsia="宋体" w:cs="宋体"/>
                <w:color w:val="000000"/>
                <w:sz w:val="21"/>
                <w:szCs w:val="21"/>
                <w:highlight w:val="none"/>
              </w:rPr>
            </w:r>
            <w:r/>
          </w:p>
        </w:tc>
      </w:tr>
      <w:tr>
        <w:trPr>
          <w:trHeight w:val="23"/>
        </w:trPr>
        <w:tc>
          <w:tcPr>
            <w:tcW w:w="1411" w:type="dxa"/>
            <w:vAlign w:val="center"/>
            <w:vMerge w:val="continue"/>
            <w:textDirection w:val="lrTb"/>
            <w:noWrap w:val="false"/>
          </w:tcPr>
          <w:p>
            <w:pPr>
              <w:pStyle w:val="99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1" w:type="dxa"/>
            <w:vAlign w:val="center"/>
            <w:textDirection w:val="lrTb"/>
            <w:noWrap w:val="false"/>
          </w:tcPr>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b/>
                <w:bCs/>
                <w:color w:val="000000"/>
                <w:szCs w:val="20"/>
                <w:highlight w:val="none"/>
              </w:rPr>
              <w:t xml:space="preserve">6、人员定岗及责任区域的划分：</w:t>
            </w:r>
            <w:r>
              <w:rPr>
                <w:rFonts w:hint="eastAsia" w:ascii="宋体" w:hAnsi="宋体" w:eastAsia="宋体" w:cs="宋体"/>
                <w:color w:val="000000"/>
                <w:szCs w:val="20"/>
                <w:highlight w:val="none"/>
              </w:rPr>
              <w:t xml:space="preserve">投标人根据现场勘察情况及本招标文件要求的人员配置情况，对各岗位人员责任区域进行划分（满分6分）。</w:t>
            </w:r>
            <w:r>
              <w:rPr>
                <w:rFonts w:hint="eastAsia" w:ascii="宋体" w:hAnsi="宋体" w:eastAsia="宋体" w:cs="宋体"/>
                <w:color w:val="000000"/>
                <w:szCs w:val="20"/>
                <w:highlight w:val="none"/>
              </w:rPr>
            </w:r>
            <w:r/>
          </w:p>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（1）人员服务时间安排、责任区域划分合理，能满足采购人服务需求的得6分；</w:t>
            </w:r>
            <w:r>
              <w:rPr>
                <w:rFonts w:hint="eastAsia" w:ascii="宋体" w:hAnsi="宋体" w:eastAsia="宋体" w:cs="宋体"/>
                <w:color w:val="000000"/>
                <w:szCs w:val="20"/>
                <w:highlight w:val="none"/>
              </w:rPr>
            </w:r>
            <w:r/>
          </w:p>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（2）人员服务时间安排、责任区域划分基本合理，基本满足采购人服务需求的得3分；</w:t>
            </w:r>
            <w:r>
              <w:rPr>
                <w:rFonts w:hint="eastAsia" w:ascii="宋体" w:hAnsi="宋体" w:eastAsia="宋体" w:cs="宋体"/>
                <w:color w:val="000000"/>
                <w:szCs w:val="20"/>
                <w:highlight w:val="none"/>
              </w:rPr>
            </w:r>
            <w:r/>
          </w:p>
          <w:p>
            <w:pPr>
              <w:pStyle w:val="1003"/>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Cs w:val="20"/>
                <w:highlight w:val="none"/>
              </w:rPr>
              <w:t xml:space="preserve">（3）人员服务时间安排、责任区域划分不合理，对采购人服务需求响应较低的得1分。</w:t>
            </w:r>
            <w:r>
              <w:rPr>
                <w:rFonts w:hint="eastAsia" w:ascii="宋体" w:hAnsi="宋体" w:eastAsia="宋体" w:cs="宋体"/>
                <w:color w:val="000000"/>
                <w:sz w:val="21"/>
                <w:szCs w:val="21"/>
                <w:highlight w:val="none"/>
              </w:rPr>
            </w:r>
            <w:r/>
          </w:p>
        </w:tc>
      </w:tr>
      <w:tr>
        <w:trPr>
          <w:trHeight w:val="23"/>
        </w:trPr>
        <w:tc>
          <w:tcPr>
            <w:tcW w:w="1411" w:type="dxa"/>
            <w:vAlign w:val="center"/>
            <w:vMerge w:val="continue"/>
            <w:textDirection w:val="lrTb"/>
            <w:noWrap w:val="false"/>
          </w:tcPr>
          <w:p>
            <w:pPr>
              <w:pStyle w:val="99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1" w:type="dxa"/>
            <w:vAlign w:val="center"/>
            <w:textDirection w:val="lrTb"/>
            <w:noWrap w:val="false"/>
          </w:tcPr>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b/>
                <w:bCs/>
                <w:color w:val="000000"/>
                <w:szCs w:val="20"/>
                <w:highlight w:val="none"/>
              </w:rPr>
              <w:t xml:space="preserve">7、重大活动、突发事件应急预案：</w:t>
            </w:r>
            <w:r>
              <w:rPr>
                <w:rFonts w:hint="eastAsia" w:ascii="宋体" w:hAnsi="宋体" w:eastAsia="宋体" w:cs="宋体"/>
                <w:color w:val="000000"/>
                <w:szCs w:val="20"/>
                <w:highlight w:val="none"/>
              </w:rPr>
              <w:t xml:space="preserve">投标人有无应急响应优势、有无应急响应组织，有无完整的应急响应指导书，重大活动、突发事件应急响应预案是否全面、切合投标项目实际情况（满分7分）。</w:t>
            </w:r>
            <w:r>
              <w:rPr>
                <w:rFonts w:hint="eastAsia" w:ascii="宋体" w:hAnsi="宋体" w:eastAsia="宋体" w:cs="宋体"/>
                <w:color w:val="000000"/>
                <w:szCs w:val="20"/>
                <w:highlight w:val="none"/>
              </w:rPr>
            </w:r>
            <w:r/>
          </w:p>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（1）有应急响应优势，有应急组织及指导书，各类重大活动、突发事件应急预案健全且符合项目需求得7分；</w:t>
            </w:r>
            <w:r>
              <w:rPr>
                <w:rFonts w:hint="eastAsia" w:ascii="宋体" w:hAnsi="宋体" w:eastAsia="宋体" w:cs="宋体"/>
                <w:color w:val="000000"/>
                <w:szCs w:val="20"/>
                <w:highlight w:val="none"/>
              </w:rPr>
            </w:r>
            <w:r/>
          </w:p>
          <w:p>
            <w:pPr>
              <w:pStyle w:val="995"/>
              <w:jc w:val="left"/>
              <w:spacing w:line="360" w:lineRule="exact"/>
              <w:widowControl/>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（2）应急响应优势不明显，应急组织及指导书基本健全，各类重大活动、突发事件应急预案基本健全且基本符合项目需求得4分；</w:t>
            </w:r>
            <w:r>
              <w:rPr>
                <w:rFonts w:hint="eastAsia" w:ascii="宋体" w:hAnsi="宋体" w:eastAsia="宋体" w:cs="宋体"/>
                <w:color w:val="000000"/>
                <w:szCs w:val="20"/>
                <w:highlight w:val="none"/>
              </w:rPr>
            </w:r>
            <w:r/>
          </w:p>
          <w:p>
            <w:pPr>
              <w:pStyle w:val="1003"/>
              <w:ind w:left="0" w:firstLine="0"/>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（3）无应急响应优势，应急组织及指导书不健全，各类重大活动、突发事件应急预案不健全得1分。</w:t>
            </w:r>
            <w:r>
              <w:rPr>
                <w:rFonts w:hint="eastAsia" w:ascii="宋体" w:hAnsi="宋体" w:eastAsia="宋体" w:cs="宋体"/>
                <w:color w:val="000000"/>
                <w:szCs w:val="20"/>
                <w:highlight w:val="none"/>
              </w:rPr>
            </w:r>
            <w:r/>
          </w:p>
        </w:tc>
      </w:tr>
      <w:tr>
        <w:trPr>
          <w:trHeight w:val="23"/>
        </w:trPr>
        <w:tc>
          <w:tcPr>
            <w:tcW w:w="1411" w:type="dxa"/>
            <w:vAlign w:val="center"/>
            <w:vMerge w:val="continue"/>
            <w:textDirection w:val="lrTb"/>
            <w:noWrap w:val="false"/>
          </w:tcPr>
          <w:p>
            <w:pPr>
              <w:pStyle w:val="99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531" w:type="dxa"/>
            <w:vAlign w:val="center"/>
            <w:textDirection w:val="lrTb"/>
            <w:noWrap w:val="false"/>
          </w:tcPr>
          <w:p>
            <w:pPr>
              <w:pStyle w:val="995"/>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0"/>
                <w:highlight w:val="none"/>
                <w:lang w:val="zh-CN"/>
              </w:rPr>
            </w:pPr>
            <w:r>
              <w:rPr>
                <w:rFonts w:hint="eastAsia" w:ascii="宋体" w:hAnsi="宋体" w:eastAsia="宋体" w:cs="宋体"/>
                <w:b/>
                <w:bCs/>
                <w:color w:val="000000"/>
                <w:szCs w:val="20"/>
                <w:highlight w:val="none"/>
              </w:rPr>
              <w:t xml:space="preserve">8、</w:t>
            </w:r>
            <w:r>
              <w:rPr>
                <w:rFonts w:hint="eastAsia" w:ascii="宋体" w:hAnsi="宋体" w:eastAsia="宋体" w:cs="宋体"/>
                <w:b/>
                <w:bCs/>
                <w:color w:val="000000"/>
                <w:szCs w:val="20"/>
                <w:highlight w:val="none"/>
                <w:lang w:val="zh-CN"/>
              </w:rPr>
              <w:t xml:space="preserve">安全事故处理方案：</w:t>
            </w:r>
            <w:r>
              <w:rPr>
                <w:rFonts w:hint="eastAsia" w:ascii="宋体" w:hAnsi="宋体" w:eastAsia="宋体" w:cs="宋体"/>
                <w:color w:val="000000"/>
                <w:szCs w:val="20"/>
                <w:highlight w:val="none"/>
                <w:lang w:val="zh-CN"/>
              </w:rPr>
              <w:t xml:space="preserve">根据本项目的具体服务要求，制定合理、完善的安全事故处理措施，包括意外伤害赔偿措施、工伤赔偿措施、风险规避措施</w:t>
            </w:r>
            <w:r>
              <w:rPr>
                <w:rFonts w:hint="eastAsia" w:ascii="宋体" w:hAnsi="宋体" w:eastAsia="宋体" w:cs="宋体"/>
                <w:color w:val="000000"/>
                <w:szCs w:val="20"/>
                <w:highlight w:val="none"/>
              </w:rPr>
              <w:t xml:space="preserve">（满分</w:t>
            </w:r>
            <w:r>
              <w:rPr>
                <w:rFonts w:hint="eastAsia" w:ascii="宋体" w:hAnsi="宋体" w:eastAsia="宋体" w:cs="宋体"/>
                <w:color w:val="000000"/>
                <w:szCs w:val="20"/>
                <w:highlight w:val="none"/>
                <w:lang w:val="en-US" w:eastAsia="zh-CN"/>
              </w:rPr>
              <w:t xml:space="preserve">7</w:t>
            </w:r>
            <w:r>
              <w:rPr>
                <w:rFonts w:hint="eastAsia" w:ascii="宋体" w:hAnsi="宋体" w:eastAsia="宋体" w:cs="宋体"/>
                <w:color w:val="000000"/>
                <w:szCs w:val="20"/>
                <w:highlight w:val="none"/>
              </w:rPr>
              <w:t xml:space="preserve">分）</w:t>
            </w:r>
            <w:r>
              <w:rPr>
                <w:rFonts w:hint="eastAsia" w:ascii="宋体" w:hAnsi="宋体" w:eastAsia="宋体" w:cs="宋体"/>
                <w:color w:val="000000"/>
                <w:szCs w:val="20"/>
                <w:highlight w:val="none"/>
                <w:lang w:val="zh-CN"/>
              </w:rPr>
              <w:t xml:space="preserve">。</w:t>
            </w:r>
            <w:r>
              <w:rPr>
                <w:rFonts w:hint="eastAsia" w:ascii="宋体" w:hAnsi="宋体" w:eastAsia="宋体" w:cs="宋体"/>
                <w:color w:val="000000"/>
                <w:szCs w:val="20"/>
                <w:highlight w:val="none"/>
                <w:lang w:val="zh-CN"/>
              </w:rPr>
            </w:r>
            <w:r/>
          </w:p>
          <w:p>
            <w:pPr>
              <w:pStyle w:val="995"/>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（1）方案完整、细致，符合项目需求，操作性强得</w:t>
            </w:r>
            <w:r>
              <w:rPr>
                <w:rFonts w:hint="eastAsia" w:ascii="宋体" w:hAnsi="宋体" w:eastAsia="宋体" w:cs="宋体"/>
                <w:color w:val="000000"/>
                <w:szCs w:val="20"/>
                <w:highlight w:val="none"/>
                <w:lang w:val="en-US" w:eastAsia="zh-CN"/>
              </w:rPr>
              <w:t xml:space="preserve">7</w:t>
            </w:r>
            <w:r>
              <w:rPr>
                <w:rFonts w:hint="eastAsia" w:ascii="宋体" w:hAnsi="宋体" w:eastAsia="宋体" w:cs="宋体"/>
                <w:color w:val="000000"/>
                <w:szCs w:val="20"/>
                <w:highlight w:val="none"/>
              </w:rPr>
              <w:t xml:space="preserve">分；</w:t>
            </w:r>
            <w:r>
              <w:rPr>
                <w:rFonts w:hint="eastAsia" w:ascii="宋体" w:hAnsi="宋体" w:eastAsia="宋体" w:cs="宋体"/>
                <w:color w:val="000000"/>
                <w:szCs w:val="20"/>
                <w:highlight w:val="none"/>
              </w:rPr>
            </w:r>
            <w:r/>
          </w:p>
          <w:p>
            <w:pPr>
              <w:pStyle w:val="995"/>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（2）方案较为完整、细致，基本符合项目需求，操作性较强得</w:t>
            </w:r>
            <w:r>
              <w:rPr>
                <w:rFonts w:hint="eastAsia" w:ascii="宋体" w:hAnsi="宋体" w:eastAsia="宋体" w:cs="宋体"/>
                <w:color w:val="000000"/>
                <w:szCs w:val="20"/>
                <w:highlight w:val="none"/>
                <w:lang w:val="en-US" w:eastAsia="zh-CN"/>
              </w:rPr>
              <w:t xml:space="preserve">4</w:t>
            </w:r>
            <w:r>
              <w:rPr>
                <w:rFonts w:hint="eastAsia" w:ascii="宋体" w:hAnsi="宋体" w:eastAsia="宋体" w:cs="宋体"/>
                <w:color w:val="000000"/>
                <w:szCs w:val="20"/>
                <w:highlight w:val="none"/>
              </w:rPr>
              <w:t xml:space="preserve">分；</w:t>
            </w:r>
            <w:r>
              <w:rPr>
                <w:rFonts w:hint="eastAsia" w:ascii="宋体" w:hAnsi="宋体" w:eastAsia="宋体" w:cs="宋体"/>
                <w:color w:val="000000"/>
                <w:szCs w:val="20"/>
                <w:highlight w:val="none"/>
              </w:rPr>
            </w:r>
            <w:r/>
          </w:p>
          <w:p>
            <w:pPr>
              <w:pStyle w:val="1003"/>
              <w:ind w:left="0" w:firstLine="0"/>
              <w:spacing w:line="360" w:lineRule="auto"/>
              <w:rPr>
                <w:rFonts w:hint="eastAsia" w:ascii="宋体" w:hAnsi="宋体" w:eastAsia="宋体" w:cs="宋体"/>
                <w:color w:val="000000"/>
                <w:szCs w:val="20"/>
                <w:highlight w:val="none"/>
              </w:rPr>
            </w:pPr>
            <w:r>
              <w:rPr>
                <w:rFonts w:hint="eastAsia" w:ascii="宋体" w:hAnsi="宋体" w:eastAsia="宋体" w:cs="宋体"/>
                <w:color w:val="000000"/>
                <w:szCs w:val="20"/>
                <w:highlight w:val="none"/>
              </w:rPr>
              <w:t xml:space="preserve">（3）方案不完整、不细致，与项目需求响应度低，操作性较低得1分。</w:t>
            </w:r>
            <w:r>
              <w:rPr>
                <w:rFonts w:hint="eastAsia" w:ascii="宋体" w:hAnsi="宋体" w:eastAsia="宋体" w:cs="宋体"/>
                <w:color w:val="000000"/>
                <w:szCs w:val="20"/>
                <w:highlight w:val="none"/>
              </w:rPr>
            </w:r>
            <w:r/>
          </w:p>
        </w:tc>
      </w:tr>
      <w:tr>
        <w:trPr>
          <w:trHeight w:val="23"/>
        </w:trPr>
        <w:tc>
          <w:tcPr>
            <w:tcW w:w="1411" w:type="dxa"/>
            <w:vAlign w:val="center"/>
            <w:textDirection w:val="lrTb"/>
            <w:noWrap w:val="false"/>
          </w:tcPr>
          <w:p>
            <w:pPr>
              <w:pStyle w:val="995"/>
              <w:ind w:left="0" w:right="0" w:firstLine="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rPr>
              <w:t xml:space="preserve">人员配备（22分）</w:t>
            </w:r>
            <w:r>
              <w:rPr>
                <w:rFonts w:hint="eastAsia" w:ascii="宋体" w:hAnsi="宋体" w:eastAsia="宋体" w:cs="宋体"/>
                <w:color w:val="000000"/>
                <w:sz w:val="21"/>
                <w:szCs w:val="21"/>
                <w:highlight w:val="none"/>
                <w:lang w:val="en-US" w:eastAsia="zh-CN"/>
              </w:rPr>
            </w:r>
            <w:r/>
          </w:p>
        </w:tc>
        <w:tc>
          <w:tcPr>
            <w:tcW w:w="7531" w:type="dxa"/>
            <w:vAlign w:val="center"/>
            <w:textDirection w:val="lrTb"/>
            <w:noWrap w:val="false"/>
          </w:tcPr>
          <w:p>
            <w:pPr>
              <w:pStyle w:val="995"/>
              <w:numPr>
                <w:ilvl w:val="0"/>
                <w:numId w:val="5"/>
              </w:numPr>
              <w:jc w:val="left"/>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拟派项目经理，45岁以下、持有本科或以上学历得2分，持消防设施操作员证、持高级保安员证的得2分，有</w:t>
            </w:r>
            <w:r>
              <w:rPr>
                <w:rFonts w:hint="eastAsia" w:ascii="宋体" w:hAnsi="宋体" w:eastAsia="宋体" w:cs="宋体"/>
                <w:color w:val="000000"/>
                <w:szCs w:val="21"/>
                <w:highlight w:val="none"/>
                <w:lang w:val="en-US" w:eastAsia="zh-CN"/>
              </w:rPr>
              <w:t xml:space="preserve">相关</w:t>
            </w:r>
            <w:r>
              <w:rPr>
                <w:rFonts w:hint="eastAsia" w:ascii="宋体" w:hAnsi="宋体" w:eastAsia="宋体" w:cs="宋体"/>
                <w:color w:val="000000"/>
                <w:szCs w:val="21"/>
                <w:highlight w:val="none"/>
              </w:rPr>
              <w:t xml:space="preserve">服务管理3年以上工作经验，且客户服务单位服务评价为</w:t>
            </w:r>
            <w:r>
              <w:rPr>
                <w:rFonts w:hint="eastAsia" w:ascii="宋体" w:hAnsi="宋体" w:eastAsia="宋体" w:cs="宋体"/>
                <w:color w:val="000000"/>
                <w:szCs w:val="21"/>
                <w:highlight w:val="none"/>
                <w:lang w:val="zh-CN"/>
              </w:rPr>
              <w:t xml:space="preserve">优秀的得</w:t>
            </w:r>
            <w:r>
              <w:rPr>
                <w:rFonts w:hint="eastAsia" w:ascii="宋体" w:hAnsi="宋体" w:eastAsia="宋体" w:cs="宋体"/>
                <w:color w:val="000000"/>
                <w:szCs w:val="21"/>
                <w:highlight w:val="none"/>
              </w:rPr>
              <w:t xml:space="preserve">2分，满分6分。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提供证书及相关证明材料扫描上传</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color w:val="000000"/>
                <w:szCs w:val="21"/>
                <w:highlight w:val="none"/>
              </w:rPr>
            </w:r>
            <w:r/>
          </w:p>
          <w:p>
            <w:pPr>
              <w:pStyle w:val="995"/>
              <w:numPr>
                <w:ilvl w:val="0"/>
                <w:numId w:val="5"/>
              </w:numPr>
              <w:jc w:val="left"/>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拟派保安队长45岁以下、退伍军人得2分，大专或以上学历得2分，持高级保安员证得1分，四级及以上消防设施操作员证得1分，满分6分。</w:t>
            </w:r>
            <w:r>
              <w:rPr>
                <w:rFonts w:hint="eastAsia" w:ascii="宋体" w:hAnsi="宋体" w:eastAsia="宋体" w:cs="宋体"/>
                <w:color w:val="000000"/>
                <w:szCs w:val="21"/>
                <w:highlight w:val="none"/>
              </w:rPr>
            </w:r>
            <w:r/>
          </w:p>
          <w:p>
            <w:pPr>
              <w:pStyle w:val="995"/>
              <w:numPr>
                <w:ilvl w:val="0"/>
                <w:numId w:val="5"/>
              </w:numPr>
              <w:jc w:val="left"/>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拟派保安员中具备消防设施操作员证有一个得1.5分，满分3分。</w:t>
            </w:r>
            <w:r>
              <w:rPr>
                <w:rFonts w:hint="eastAsia" w:ascii="宋体" w:hAnsi="宋体" w:eastAsia="宋体" w:cs="宋体"/>
                <w:color w:val="000000"/>
                <w:szCs w:val="21"/>
                <w:highlight w:val="none"/>
              </w:rPr>
            </w:r>
            <w:r/>
          </w:p>
          <w:p>
            <w:pPr>
              <w:pStyle w:val="995"/>
              <w:numPr>
                <w:ilvl w:val="0"/>
                <w:numId w:val="5"/>
              </w:numPr>
              <w:jc w:val="left"/>
              <w:spacing w:line="3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拟派保安员中具有高级保安员证有一个得1分，满分2分。</w:t>
            </w:r>
            <w:r>
              <w:rPr>
                <w:rFonts w:hint="eastAsia" w:ascii="宋体" w:hAnsi="宋体" w:eastAsia="宋体" w:cs="宋体"/>
                <w:color w:val="000000"/>
                <w:szCs w:val="21"/>
                <w:highlight w:val="none"/>
              </w:rPr>
            </w:r>
            <w:r/>
          </w:p>
          <w:p>
            <w:pPr>
              <w:pStyle w:val="995"/>
              <w:numPr>
                <w:ilvl w:val="0"/>
                <w:numId w:val="0"/>
              </w:numPr>
              <w:tabs>
                <w:tab w:val="left" w:pos="7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bidi="ar"/>
              </w:rPr>
              <w:t xml:space="preserve">拟派消防、电梯维保人员，大专或以上学历得2分，持</w:t>
            </w:r>
            <w:r>
              <w:rPr>
                <w:rFonts w:hint="eastAsia" w:ascii="宋体" w:hAnsi="宋体" w:eastAsia="宋体" w:cs="宋体"/>
                <w:color w:val="000000"/>
                <w:szCs w:val="21"/>
                <w:highlight w:val="none"/>
              </w:rPr>
              <w:t xml:space="preserve">消防设施操作员证和电梯管理员证得3分，满分5分。</w:t>
            </w:r>
            <w:r>
              <w:rPr>
                <w:rFonts w:hint="eastAsia" w:ascii="宋体" w:hAnsi="宋体" w:eastAsia="宋体" w:cs="宋体"/>
                <w:color w:val="000000"/>
                <w:szCs w:val="21"/>
                <w:highlight w:val="none"/>
              </w:rPr>
            </w:r>
            <w:r/>
          </w:p>
          <w:p>
            <w:pPr>
              <w:pStyle w:val="995"/>
              <w:numPr>
                <w:ilvl w:val="0"/>
                <w:numId w:val="0"/>
              </w:numPr>
              <w:tabs>
                <w:tab w:val="left" w:pos="7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（6）拟派引导员中其中一人，40岁以下，持有本科或以上学历得1分，持普通话二级及以上证书得2分</w:t>
            </w:r>
            <w:r>
              <w:rPr>
                <w:rFonts w:hint="eastAsia" w:ascii="宋体" w:hAnsi="宋体" w:eastAsia="宋体" w:cs="宋体"/>
                <w:color w:val="000000"/>
                <w:szCs w:val="21"/>
                <w:highlight w:val="none"/>
              </w:rPr>
              <w:t xml:space="preserve">，满分3分。</w:t>
            </w:r>
            <w:r>
              <w:rPr>
                <w:rFonts w:hint="eastAsia" w:ascii="宋体" w:hAnsi="宋体" w:eastAsia="宋体" w:cs="宋体"/>
                <w:color w:val="000000"/>
                <w:szCs w:val="21"/>
                <w:highlight w:val="none"/>
              </w:rPr>
            </w:r>
            <w:r/>
          </w:p>
          <w:p>
            <w:pPr>
              <w:pStyle w:val="995"/>
              <w:rPr>
                <w:rFonts w:hint="eastAsia" w:ascii="宋体" w:hAnsi="宋体" w:eastAsia="宋体" w:cs="宋体"/>
                <w:color w:val="000000"/>
                <w:sz w:val="21"/>
                <w:szCs w:val="21"/>
                <w:highlight w:val="none"/>
                <w:lang w:val="zh-CN"/>
              </w:rPr>
            </w:pPr>
            <w:r>
              <w:rPr>
                <w:rFonts w:hint="eastAsia" w:ascii="宋体" w:hAnsi="宋体" w:eastAsia="宋体" w:cs="宋体"/>
                <w:b/>
                <w:bCs w:val="0"/>
                <w:color w:val="000000"/>
                <w:szCs w:val="21"/>
                <w:highlight w:val="none"/>
              </w:rPr>
              <w:t xml:space="preserve">（以上人员</w:t>
            </w:r>
            <w:r>
              <w:rPr>
                <w:rFonts w:hint="eastAsia" w:ascii="宋体" w:hAnsi="宋体" w:eastAsia="宋体" w:cs="宋体"/>
                <w:b/>
                <w:bCs w:val="0"/>
                <w:color w:val="000000"/>
                <w:szCs w:val="21"/>
                <w:highlight w:val="none"/>
                <w:lang w:val="en-US" w:eastAsia="zh-CN"/>
              </w:rPr>
              <w:t xml:space="preserve">须</w:t>
            </w:r>
            <w:r>
              <w:rPr>
                <w:rFonts w:hint="eastAsia" w:ascii="宋体" w:hAnsi="宋体" w:eastAsia="宋体" w:cs="宋体"/>
                <w:b/>
                <w:bCs w:val="0"/>
                <w:color w:val="000000"/>
                <w:szCs w:val="21"/>
                <w:highlight w:val="none"/>
              </w:rPr>
              <w:t xml:space="preserve">提供</w:t>
            </w:r>
            <w:r>
              <w:rPr>
                <w:rFonts w:hint="eastAsia" w:ascii="宋体" w:hAnsi="宋体" w:eastAsia="宋体" w:cs="宋体"/>
                <w:b/>
                <w:bCs w:val="0"/>
                <w:color w:val="000000"/>
                <w:szCs w:val="21"/>
                <w:highlight w:val="none"/>
                <w:lang w:val="en-US" w:eastAsia="zh-CN"/>
              </w:rPr>
              <w:t xml:space="preserve">供应商为其缴纳近3</w:t>
            </w:r>
            <w:r>
              <w:rPr>
                <w:rFonts w:hint="eastAsia" w:ascii="宋体" w:hAnsi="宋体" w:eastAsia="宋体" w:cs="宋体"/>
                <w:b/>
                <w:bCs w:val="0"/>
                <w:color w:val="000000"/>
                <w:szCs w:val="21"/>
                <w:highlight w:val="none"/>
              </w:rPr>
              <w:t xml:space="preserve">个月</w:t>
            </w:r>
            <w:r>
              <w:rPr>
                <w:rFonts w:hint="eastAsia" w:ascii="宋体" w:hAnsi="宋体" w:eastAsia="宋体" w:cs="宋体"/>
                <w:b/>
                <w:bCs w:val="0"/>
                <w:color w:val="000000"/>
                <w:szCs w:val="21"/>
                <w:highlight w:val="none"/>
                <w:lang w:val="en-US" w:eastAsia="zh-CN"/>
              </w:rPr>
              <w:t xml:space="preserve">任意一份</w:t>
            </w:r>
            <w:r>
              <w:rPr>
                <w:rFonts w:hint="eastAsia" w:ascii="宋体" w:hAnsi="宋体" w:eastAsia="宋体" w:cs="宋体"/>
                <w:b/>
                <w:bCs w:val="0"/>
                <w:color w:val="000000"/>
                <w:szCs w:val="21"/>
                <w:highlight w:val="none"/>
              </w:rPr>
              <w:t xml:space="preserve">社保缴纳证明</w:t>
            </w:r>
            <w:r>
              <w:rPr>
                <w:rFonts w:hint="eastAsia" w:ascii="宋体" w:hAnsi="宋体" w:eastAsia="宋体" w:cs="宋体"/>
                <w:b/>
                <w:bCs w:val="0"/>
                <w:color w:val="000000"/>
                <w:szCs w:val="21"/>
                <w:highlight w:val="none"/>
                <w:lang w:val="en-US" w:eastAsia="zh-CN"/>
              </w:rPr>
              <w:t xml:space="preserve">材料</w:t>
            </w:r>
            <w:r>
              <w:rPr>
                <w:rFonts w:hint="eastAsia" w:ascii="宋体" w:hAnsi="宋体" w:eastAsia="宋体" w:cs="宋体"/>
                <w:b/>
                <w:bCs w:val="0"/>
                <w:color w:val="000000"/>
                <w:szCs w:val="21"/>
                <w:highlight w:val="none"/>
              </w:rPr>
              <w:t xml:space="preserve">扫描上传）。</w:t>
            </w:r>
            <w:r>
              <w:rPr>
                <w:rFonts w:hint="eastAsia" w:ascii="宋体" w:hAnsi="宋体" w:eastAsia="宋体" w:cs="宋体"/>
                <w:color w:val="000000"/>
                <w:sz w:val="21"/>
                <w:szCs w:val="21"/>
                <w:highlight w:val="none"/>
                <w:lang w:val="zh-CN"/>
              </w:rPr>
            </w:r>
            <w:r/>
          </w:p>
        </w:tc>
      </w:tr>
      <w:tr>
        <w:trPr>
          <w:trHeight w:val="23"/>
        </w:trPr>
        <w:tc>
          <w:tcPr>
            <w:tcW w:w="1411" w:type="dxa"/>
            <w:vAlign w:val="center"/>
            <w:textDirection w:val="lrTb"/>
            <w:noWrap w:val="false"/>
          </w:tcPr>
          <w:p>
            <w:pPr>
              <w:pStyle w:val="995"/>
              <w:ind w:left="0" w:right="0" w:firstLine="0"/>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p>
            <w:pPr>
              <w:pStyle w:val="995"/>
              <w:ind w:left="0" w:right="0" w:firstLine="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 w:val="21"/>
                <w:szCs w:val="21"/>
                <w:highlight w:val="none"/>
              </w:rPr>
            </w:r>
            <w:r/>
          </w:p>
        </w:tc>
        <w:tc>
          <w:tcPr>
            <w:tcW w:w="7531" w:type="dxa"/>
            <w:vAlign w:val="center"/>
            <w:textDirection w:val="lrTb"/>
            <w:noWrap w:val="false"/>
          </w:tcPr>
          <w:p>
            <w:pPr>
              <w:pStyle w:val="995"/>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rPr>
              <w:t xml:space="preserve">202</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年1月1日至今</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以合同签订时间为准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，具有类似项目业绩，每有1个得2分，满分</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b/>
                <w:bCs/>
                <w:color w:val="000000"/>
                <w:szCs w:val="21"/>
                <w:highlight w:val="none"/>
              </w:rPr>
              <w:t xml:space="preserve">（同一项目不同年限的不累计、同一份合同不重复计分，提供</w:t>
            </w:r>
            <w:r>
              <w:rPr>
                <w:rFonts w:hint="eastAsia" w:ascii="宋体" w:hAnsi="宋体" w:eastAsia="宋体" w:cs="宋体"/>
                <w:b/>
                <w:bCs/>
                <w:color w:val="000000"/>
                <w:szCs w:val="21"/>
                <w:highlight w:val="none"/>
                <w:lang w:val="en-US" w:eastAsia="zh-CN"/>
              </w:rPr>
              <w:t xml:space="preserve">合同</w:t>
            </w:r>
            <w:r>
              <w:rPr>
                <w:rFonts w:hint="eastAsia" w:ascii="宋体" w:hAnsi="宋体" w:eastAsia="宋体" w:cs="宋体"/>
                <w:b/>
                <w:bCs/>
                <w:color w:val="000000"/>
                <w:szCs w:val="21"/>
                <w:highlight w:val="none"/>
              </w:rPr>
              <w:t xml:space="preserve">原件扫描件上传）</w:t>
            </w:r>
            <w:r>
              <w:rPr>
                <w:rFonts w:hint="eastAsia" w:ascii="宋体" w:hAnsi="宋体" w:eastAsia="宋体" w:cs="宋体"/>
                <w:color w:val="000000"/>
                <w:sz w:val="21"/>
                <w:szCs w:val="21"/>
                <w:highlight w:val="none"/>
              </w:rPr>
            </w:r>
            <w:r/>
          </w:p>
        </w:tc>
      </w:tr>
      <w:tr>
        <w:trPr>
          <w:trHeight w:val="23"/>
        </w:trPr>
        <w:tc>
          <w:tcPr>
            <w:tcW w:w="1411" w:type="dxa"/>
            <w:vAlign w:val="center"/>
            <w:vMerge w:val="restart"/>
            <w:textDirection w:val="lrTb"/>
            <w:noWrap w:val="false"/>
          </w:tcPr>
          <w:p>
            <w:pPr>
              <w:pStyle w:val="995"/>
              <w:ind w:left="0" w:right="0" w:firstLine="0"/>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企业实力</w:t>
            </w:r>
            <w:r>
              <w:rPr>
                <w:rFonts w:hint="eastAsia" w:ascii="宋体" w:hAnsi="宋体" w:eastAsia="宋体" w:cs="宋体"/>
                <w:color w:val="000000"/>
                <w:szCs w:val="21"/>
                <w:highlight w:val="none"/>
              </w:rPr>
            </w:r>
            <w:r/>
          </w:p>
          <w:p>
            <w:pPr>
              <w:pStyle w:val="995"/>
              <w:ind w:left="0" w:right="0" w:firstLine="0"/>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rPr>
            </w:r>
            <w:r/>
          </w:p>
        </w:tc>
        <w:tc>
          <w:tcPr>
            <w:tcW w:w="7531" w:type="dxa"/>
            <w:vAlign w:val="center"/>
            <w:textDirection w:val="lrTb"/>
            <w:noWrap w:val="false"/>
          </w:tcPr>
          <w:p>
            <w:pPr>
              <w:pStyle w:val="99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1、投标人提供</w:t>
            </w:r>
            <w:r>
              <w:rPr>
                <w:rFonts w:hint="eastAsia" w:ascii="宋体" w:hAnsi="宋体" w:eastAsia="宋体" w:cs="宋体"/>
                <w:color w:val="000000"/>
                <w:szCs w:val="21"/>
                <w:highlight w:val="none"/>
                <w:lang w:val="en-US" w:eastAsia="zh-CN" w:bidi="ar"/>
              </w:rPr>
              <w:t xml:space="preserve">有效期内的</w:t>
            </w:r>
            <w:r>
              <w:rPr>
                <w:rFonts w:hint="eastAsia" w:ascii="宋体" w:hAnsi="宋体" w:eastAsia="宋体" w:cs="宋体"/>
                <w:color w:val="000000"/>
                <w:szCs w:val="21"/>
                <w:highlight w:val="none"/>
                <w:lang w:bidi="ar"/>
              </w:rPr>
              <w:t xml:space="preserve">质量管理体系认证证书得</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分</w:t>
            </w:r>
            <w:r>
              <w:rPr>
                <w:rFonts w:hint="eastAsia" w:ascii="宋体" w:hAnsi="宋体" w:eastAsia="宋体" w:cs="宋体"/>
                <w:b/>
                <w:bCs/>
                <w:color w:val="000000"/>
                <w:szCs w:val="21"/>
                <w:highlight w:val="none"/>
                <w:lang w:bidi="ar"/>
              </w:rPr>
              <w:t xml:space="preserve">（</w:t>
            </w:r>
            <w:r>
              <w:rPr>
                <w:rFonts w:hint="eastAsia" w:ascii="宋体" w:hAnsi="宋体" w:eastAsia="宋体" w:cs="宋体"/>
                <w:b/>
                <w:bCs/>
                <w:color w:val="000000"/>
                <w:szCs w:val="21"/>
                <w:highlight w:val="none"/>
              </w:rPr>
              <w:t xml:space="preserve">提供证书原件扫描及全国认证认可信息公共服务平台查询截图上传</w:t>
            </w:r>
            <w:r>
              <w:rPr>
                <w:rFonts w:hint="eastAsia" w:ascii="宋体" w:hAnsi="宋体" w:eastAsia="宋体" w:cs="宋体"/>
                <w:b/>
                <w:bCs/>
                <w:color w:val="000000"/>
                <w:szCs w:val="21"/>
                <w:highlight w:val="none"/>
                <w:lang w:bidi="ar"/>
              </w:rPr>
              <w:t xml:space="preserve">）。</w:t>
            </w:r>
            <w:r>
              <w:rPr>
                <w:rFonts w:hint="eastAsia" w:ascii="宋体" w:hAnsi="宋体" w:eastAsia="宋体" w:cs="宋体"/>
                <w:color w:val="000000"/>
                <w:szCs w:val="21"/>
                <w:highlight w:val="none"/>
              </w:rPr>
            </w:r>
            <w:r/>
          </w:p>
        </w:tc>
      </w:tr>
      <w:tr>
        <w:trPr>
          <w:trHeight w:val="23"/>
        </w:trPr>
        <w:tc>
          <w:tcPr>
            <w:tcW w:w="1411" w:type="dxa"/>
            <w:vAlign w:val="center"/>
            <w:vMerge w:val="continue"/>
            <w:textDirection w:val="lrTb"/>
            <w:noWrap w:val="false"/>
          </w:tcPr>
          <w:p>
            <w:pPr>
              <w:pStyle w:val="995"/>
              <w:ind w:firstLine="105"/>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531" w:type="dxa"/>
            <w:vAlign w:val="center"/>
            <w:textDirection w:val="lrTb"/>
            <w:noWrap w:val="false"/>
          </w:tcPr>
          <w:p>
            <w:pPr>
              <w:pStyle w:val="99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2、投标人提供</w:t>
            </w:r>
            <w:r>
              <w:rPr>
                <w:rFonts w:hint="eastAsia" w:ascii="宋体" w:hAnsi="宋体" w:eastAsia="宋体" w:cs="宋体"/>
                <w:color w:val="000000"/>
                <w:szCs w:val="21"/>
                <w:highlight w:val="none"/>
                <w:lang w:val="en-US" w:eastAsia="zh-CN" w:bidi="ar"/>
              </w:rPr>
              <w:t xml:space="preserve">有效期内的</w:t>
            </w:r>
            <w:r>
              <w:rPr>
                <w:rFonts w:hint="eastAsia" w:ascii="宋体" w:hAnsi="宋体" w:eastAsia="宋体" w:cs="宋体"/>
                <w:color w:val="000000"/>
                <w:szCs w:val="21"/>
                <w:highlight w:val="none"/>
                <w:lang w:bidi="ar"/>
              </w:rPr>
              <w:t xml:space="preserve">环境认证证书得</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分</w:t>
            </w:r>
            <w:r>
              <w:rPr>
                <w:rFonts w:hint="eastAsia" w:ascii="宋体" w:hAnsi="宋体" w:eastAsia="宋体" w:cs="宋体"/>
                <w:b/>
                <w:bCs/>
                <w:color w:val="000000"/>
                <w:szCs w:val="21"/>
                <w:highlight w:val="none"/>
                <w:lang w:bidi="ar"/>
              </w:rPr>
              <w:t xml:space="preserve">（</w:t>
            </w:r>
            <w:r>
              <w:rPr>
                <w:rFonts w:hint="eastAsia" w:ascii="宋体" w:hAnsi="宋体" w:eastAsia="宋体" w:cs="宋体"/>
                <w:b/>
                <w:bCs/>
                <w:color w:val="000000"/>
                <w:szCs w:val="21"/>
                <w:highlight w:val="none"/>
              </w:rPr>
              <w:t xml:space="preserve">提供证书原件扫描及全国认证认可信息公共服务平台查询截图上传</w:t>
            </w:r>
            <w:r>
              <w:rPr>
                <w:rFonts w:hint="eastAsia" w:ascii="宋体" w:hAnsi="宋体" w:eastAsia="宋体" w:cs="宋体"/>
                <w:b/>
                <w:bCs/>
                <w:color w:val="000000"/>
                <w:szCs w:val="21"/>
                <w:highlight w:val="none"/>
                <w:lang w:bidi="ar"/>
              </w:rPr>
              <w:t xml:space="preserve">）</w:t>
            </w:r>
            <w:r>
              <w:rPr>
                <w:rFonts w:hint="eastAsia" w:ascii="宋体" w:hAnsi="宋体" w:eastAsia="宋体" w:cs="宋体"/>
                <w:color w:val="000000"/>
                <w:szCs w:val="21"/>
                <w:highlight w:val="none"/>
                <w:lang w:bidi="ar"/>
              </w:rPr>
              <w:t xml:space="preserve">。</w:t>
            </w:r>
            <w:r>
              <w:rPr>
                <w:rFonts w:hint="eastAsia" w:ascii="宋体" w:hAnsi="宋体" w:eastAsia="宋体" w:cs="宋体"/>
                <w:color w:val="000000"/>
                <w:szCs w:val="21"/>
                <w:highlight w:val="none"/>
              </w:rPr>
            </w:r>
            <w:r/>
          </w:p>
        </w:tc>
      </w:tr>
      <w:tr>
        <w:trPr>
          <w:trHeight w:val="239"/>
        </w:trPr>
        <w:tc>
          <w:tcPr>
            <w:tcW w:w="1411" w:type="dxa"/>
            <w:vAlign w:val="center"/>
            <w:vMerge w:val="continue"/>
            <w:textDirection w:val="lrTb"/>
            <w:noWrap w:val="false"/>
          </w:tcPr>
          <w:p>
            <w:pPr>
              <w:pStyle w:val="995"/>
              <w:ind w:firstLine="105"/>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531" w:type="dxa"/>
            <w:vAlign w:val="center"/>
            <w:textDirection w:val="lrTb"/>
            <w:noWrap w:val="false"/>
          </w:tcPr>
          <w:p>
            <w:pPr>
              <w:pStyle w:val="99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3、投标人提供</w:t>
            </w:r>
            <w:r>
              <w:rPr>
                <w:rFonts w:hint="eastAsia" w:ascii="宋体" w:hAnsi="宋体" w:eastAsia="宋体" w:cs="宋体"/>
                <w:color w:val="000000"/>
                <w:szCs w:val="21"/>
                <w:highlight w:val="none"/>
                <w:lang w:val="en-US" w:eastAsia="zh-CN" w:bidi="ar"/>
              </w:rPr>
              <w:t xml:space="preserve">有效期内的</w:t>
            </w:r>
            <w:r>
              <w:rPr>
                <w:rFonts w:hint="eastAsia" w:ascii="宋体" w:hAnsi="宋体" w:eastAsia="宋体" w:cs="宋体"/>
                <w:color w:val="000000"/>
                <w:szCs w:val="21"/>
                <w:highlight w:val="none"/>
                <w:lang w:bidi="ar"/>
              </w:rPr>
              <w:t xml:space="preserve">职业健康安全认证证书得</w:t>
            </w:r>
            <w:r>
              <w:rPr>
                <w:rFonts w:hint="eastAsia" w:ascii="宋体" w:hAnsi="宋体" w:eastAsia="宋体" w:cs="宋体"/>
                <w:color w:val="000000"/>
                <w:szCs w:val="21"/>
                <w:highlight w:val="none"/>
                <w:lang w:val="en-US" w:eastAsia="zh-CN" w:bidi="ar"/>
              </w:rPr>
              <w:t xml:space="preserve">1</w:t>
            </w:r>
            <w:r>
              <w:rPr>
                <w:rFonts w:hint="eastAsia" w:ascii="宋体" w:hAnsi="宋体" w:eastAsia="宋体" w:cs="宋体"/>
                <w:color w:val="000000"/>
                <w:szCs w:val="21"/>
                <w:highlight w:val="none"/>
                <w:lang w:bidi="ar"/>
              </w:rPr>
              <w:t xml:space="preserve">分</w:t>
            </w:r>
            <w:r>
              <w:rPr>
                <w:rFonts w:hint="eastAsia" w:ascii="宋体" w:hAnsi="宋体" w:eastAsia="宋体" w:cs="宋体"/>
                <w:b/>
                <w:bCs/>
                <w:color w:val="000000"/>
                <w:szCs w:val="21"/>
                <w:highlight w:val="none"/>
                <w:lang w:bidi="ar"/>
              </w:rPr>
              <w:t xml:space="preserve">（</w:t>
            </w:r>
            <w:r>
              <w:rPr>
                <w:rFonts w:hint="eastAsia" w:ascii="宋体" w:hAnsi="宋体" w:eastAsia="宋体" w:cs="宋体"/>
                <w:b/>
                <w:bCs/>
                <w:color w:val="000000"/>
                <w:szCs w:val="21"/>
                <w:highlight w:val="none"/>
              </w:rPr>
              <w:t xml:space="preserve">提供证书原件扫描及全国认证认可信息公共服务平台查询截图上传</w:t>
            </w:r>
            <w:r>
              <w:rPr>
                <w:rFonts w:hint="eastAsia" w:ascii="宋体" w:hAnsi="宋体" w:eastAsia="宋体" w:cs="宋体"/>
                <w:b/>
                <w:bCs/>
                <w:color w:val="000000"/>
                <w:szCs w:val="21"/>
                <w:highlight w:val="none"/>
                <w:lang w:bidi="ar"/>
              </w:rPr>
              <w:t xml:space="preserve">）。</w:t>
            </w:r>
            <w:r>
              <w:rPr>
                <w:rFonts w:hint="eastAsia" w:ascii="宋体" w:hAnsi="宋体" w:eastAsia="宋体" w:cs="宋体"/>
                <w:color w:val="000000"/>
                <w:szCs w:val="21"/>
                <w:highlight w:val="none"/>
              </w:rPr>
            </w:r>
            <w:r/>
          </w:p>
        </w:tc>
      </w:tr>
    </w:tbl>
    <w:p>
      <w:pPr>
        <w:pStyle w:val="995"/>
        <w:spacing w:line="360" w:lineRule="auto"/>
        <w:rPr>
          <w:rFonts w:ascii="宋体" w:hAnsi="宋体" w:cs="宋体"/>
          <w:b/>
          <w:bCs w:val="0"/>
          <w:color w:val="000000"/>
          <w:highlight w:val="none"/>
        </w:rPr>
      </w:pPr>
      <w:r>
        <w:rPr>
          <w:rFonts w:hint="eastAsia" w:ascii="宋体" w:hAnsi="宋体" w:cs="宋体"/>
          <w:b/>
          <w:bCs w:val="0"/>
          <w:color w:val="000000"/>
          <w:highlight w:val="none"/>
          <w:lang w:eastAsia="zh-CN"/>
        </w:rPr>
        <w:t xml:space="preserve">四、</w:t>
      </w:r>
      <w:r>
        <w:rPr>
          <w:rFonts w:hint="eastAsia" w:ascii="宋体" w:hAnsi="宋体" w:cs="宋体"/>
          <w:b/>
          <w:bCs w:val="0"/>
          <w:color w:val="000000"/>
          <w:highlight w:val="none"/>
        </w:rPr>
        <w:t xml:space="preserve">异常低价投标（响应）：</w:t>
      </w:r>
      <w:r>
        <w:rPr>
          <w:rFonts w:ascii="宋体" w:hAnsi="宋体" w:cs="宋体"/>
          <w:b/>
          <w:bCs w:val="0"/>
          <w:color w:val="000000"/>
          <w:highlight w:val="none"/>
        </w:rPr>
      </w:r>
      <w:r/>
    </w:p>
    <w:p>
      <w:pPr>
        <w:pStyle w:val="995"/>
        <w:spacing w:line="360" w:lineRule="auto"/>
        <w:rPr>
          <w:rFonts w:ascii="宋体" w:hAnsi="宋体" w:cs="宋体"/>
          <w:bCs/>
          <w:color w:val="000000"/>
          <w:highlight w:val="none"/>
        </w:rPr>
      </w:pPr>
      <w:r>
        <w:rPr>
          <w:rFonts w:hint="eastAsia" w:ascii="宋体" w:hAnsi="宋体" w:cs="宋体"/>
          <w:bCs/>
          <w:color w:val="000000"/>
          <w:highlight w:val="none"/>
        </w:rPr>
        <w:t xml:space="preserve">（1）</w:t>
      </w:r>
      <w:r>
        <w:rPr>
          <w:rFonts w:hint="eastAsia" w:ascii="宋体" w:hAnsi="宋体" w:cs="宋体"/>
          <w:bCs/>
          <w:color w:val="000000"/>
          <w:spacing w:val="-6"/>
          <w:sz w:val="21"/>
          <w:highlight w:val="none"/>
        </w:rPr>
        <w:t xml:space="preserve">投标（响应）报价低于采购项目预算50%的，即投标（响应）报价&lt;采购项目预算×50% ；</w:t>
      </w:r>
      <w:r>
        <w:rPr>
          <w:rFonts w:ascii="宋体" w:hAnsi="宋体" w:cs="宋体"/>
          <w:bCs/>
          <w:color w:val="000000"/>
          <w:highlight w:val="none"/>
        </w:rPr>
      </w:r>
      <w:r/>
    </w:p>
    <w:p>
      <w:pPr>
        <w:pStyle w:val="995"/>
        <w:spacing w:line="360" w:lineRule="auto"/>
        <w:rPr>
          <w:rFonts w:ascii="宋体" w:hAnsi="宋体" w:cs="宋体"/>
          <w:bCs/>
          <w:color w:val="000000"/>
          <w:highlight w:val="none"/>
        </w:rPr>
      </w:pPr>
      <w:r>
        <w:rPr>
          <w:rFonts w:hint="eastAsia" w:ascii="宋体" w:hAnsi="宋体" w:cs="宋体"/>
          <w:bCs/>
          <w:color w:val="000000"/>
          <w:highlight w:val="none"/>
        </w:rPr>
        <w:t xml:space="preserve">（2）</w:t>
      </w:r>
      <w:r>
        <w:rPr>
          <w:rFonts w:hint="eastAsia" w:ascii="宋体" w:hAnsi="宋体" w:cs="宋体"/>
          <w:bCs/>
          <w:color w:val="000000"/>
          <w:spacing w:val="-6"/>
          <w:sz w:val="21"/>
          <w:highlight w:val="none"/>
        </w:rPr>
        <w:t xml:space="preserve">投标（响应）报价低于采购项目最高限价45%的，即投标（响应）报价&lt;采购项目最高限价×45% ；</w:t>
      </w:r>
      <w:r>
        <w:rPr>
          <w:rFonts w:ascii="宋体" w:hAnsi="宋体" w:cs="宋体"/>
          <w:bCs/>
          <w:color w:val="000000"/>
          <w:highlight w:val="none"/>
        </w:rPr>
      </w:r>
      <w:r/>
    </w:p>
    <w:p>
      <w:pPr>
        <w:pStyle w:val="995"/>
        <w:spacing w:line="360" w:lineRule="auto"/>
        <w:rPr>
          <w:rFonts w:ascii="宋体" w:hAnsi="宋体" w:cs="宋体"/>
          <w:bCs/>
          <w:color w:val="000000"/>
          <w:highlight w:val="none"/>
        </w:rPr>
      </w:pPr>
      <w:r>
        <w:rPr>
          <w:rFonts w:hint="eastAsia" w:ascii="宋体" w:hAnsi="宋体" w:cs="宋体"/>
          <w:bCs/>
          <w:color w:val="000000"/>
          <w:highlight w:val="none"/>
        </w:rPr>
        <w:t xml:space="preserve">（3）</w:t>
      </w:r>
      <w:r>
        <w:rPr>
          <w:rFonts w:hint="eastAsia" w:ascii="宋体" w:hAnsi="宋体" w:cs="宋体"/>
          <w:bCs/>
          <w:color w:val="000000"/>
          <w:spacing w:val="-6"/>
          <w:sz w:val="21"/>
          <w:highlight w:val="none"/>
        </w:rPr>
        <w:t xml:space="preserve">评标委员会认定的</w:t>
      </w:r>
      <w:r>
        <w:rPr>
          <w:rFonts w:hint="eastAsia" w:ascii="宋体" w:hAnsi="宋体" w:cs="宋体"/>
          <w:color w:val="000000"/>
          <w:spacing w:val="-6"/>
          <w:sz w:val="21"/>
          <w:szCs w:val="24"/>
          <w:highlight w:val="none"/>
          <w:lang w:eastAsia="zh-CN"/>
        </w:rPr>
        <w:t xml:space="preserve">投标人</w:t>
      </w:r>
      <w:r>
        <w:rPr>
          <w:rFonts w:hint="eastAsia" w:ascii="宋体" w:hAnsi="宋体" w:cs="宋体"/>
          <w:bCs/>
          <w:color w:val="000000"/>
          <w:spacing w:val="-6"/>
          <w:sz w:val="21"/>
          <w:highlight w:val="none"/>
        </w:rPr>
        <w:t xml:space="preserve">报价过低、有可能影响产品质量或者不能诚信履约的其他情形。</w:t>
      </w:r>
      <w:r>
        <w:rPr>
          <w:rFonts w:ascii="宋体" w:hAnsi="宋体" w:cs="宋体"/>
          <w:bCs/>
          <w:color w:val="000000"/>
          <w:highlight w:val="none"/>
        </w:rPr>
      </w:r>
      <w:r/>
    </w:p>
    <w:p>
      <w:pPr>
        <w:pStyle w:val="995"/>
        <w:ind w:firstLine="422"/>
        <w:spacing w:line="360" w:lineRule="auto"/>
        <w:rPr>
          <w:rFonts w:ascii="宋体" w:hAnsi="宋体" w:cs="宋体"/>
          <w:bCs/>
          <w:color w:val="000000"/>
          <w:highlight w:val="none"/>
        </w:rPr>
      </w:pPr>
      <w:r>
        <w:rPr>
          <w:rFonts w:hint="eastAsia" w:ascii="宋体" w:hAnsi="宋体" w:cs="宋体"/>
          <w:bCs/>
          <w:color w:val="000000"/>
          <w:highlight w:val="none"/>
        </w:rPr>
        <w:t xml:space="preserve">启动异常低价投标（响应）审查后，评标委员会应当要求相关</w:t>
      </w:r>
      <w:r>
        <w:rPr>
          <w:rFonts w:hint="eastAsia" w:ascii="宋体" w:hAnsi="宋体" w:cs="宋体"/>
          <w:color w:val="000000"/>
          <w:szCs w:val="24"/>
          <w:highlight w:val="none"/>
          <w:lang w:eastAsia="zh-CN"/>
        </w:rPr>
        <w:t xml:space="preserve">投标人</w:t>
      </w:r>
      <w:r>
        <w:rPr>
          <w:rFonts w:hint="eastAsia" w:ascii="宋体" w:hAnsi="宋体" w:cs="宋体"/>
          <w:bCs/>
          <w:color w:val="000000"/>
          <w:highlight w:val="none"/>
        </w:rPr>
        <w:t xml:space="preserve">通过</w:t>
      </w:r>
      <w:r>
        <w:rPr>
          <w:rFonts w:hint="eastAsia" w:ascii="宋体" w:hAnsi="宋体" w:cs="宋体"/>
          <w:color w:val="000000"/>
          <w:highlight w:val="none"/>
        </w:rPr>
        <w:t xml:space="preserve">苏采云系统在</w:t>
      </w:r>
      <w:r>
        <w:rPr>
          <w:rFonts w:hint="eastAsia" w:ascii="宋体" w:hAnsi="宋体" w:cs="宋体"/>
          <w:bCs/>
          <w:color w:val="000000"/>
          <w:highlight w:val="none"/>
        </w:rPr>
        <w:t xml:space="preserve">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ascii="宋体" w:hAnsi="宋体" w:cs="宋体"/>
          <w:color w:val="000000"/>
          <w:szCs w:val="24"/>
          <w:highlight w:val="none"/>
          <w:lang w:eastAsia="zh-CN"/>
        </w:rPr>
        <w:t xml:space="preserve">投标人</w:t>
      </w:r>
      <w:r>
        <w:rPr>
          <w:rFonts w:hint="eastAsia" w:ascii="宋体" w:hAnsi="宋体" w:cs="宋体"/>
          <w:bCs/>
          <w:color w:val="000000"/>
          <w:highlight w:val="none"/>
        </w:rPr>
        <w:t xml:space="preserve">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bCs/>
          <w:color w:val="000000"/>
          <w:highlight w:val="none"/>
        </w:rPr>
      </w:r>
      <w:r/>
    </w:p>
    <w:p>
      <w:pPr>
        <w:pStyle w:val="995"/>
        <w:jc w:val="center"/>
        <w:rPr>
          <w:rFonts w:hint="eastAsia" w:ascii="宋体" w:hAnsi="宋体" w:eastAsia="宋体" w:cs="宋体"/>
          <w:b/>
          <w:bCs/>
          <w:color w:val="000000"/>
          <w:sz w:val="36"/>
          <w:szCs w:val="36"/>
          <w:highlight w:val="none"/>
        </w:rPr>
        <w:outlineLvl w:val="0"/>
      </w:pPr>
      <w:r/>
      <w:bookmarkStart w:id="58" w:name="_Toc7338"/>
      <w:r>
        <w:rPr>
          <w:rFonts w:hint="eastAsia" w:ascii="宋体" w:hAnsi="宋体" w:eastAsia="宋体" w:cs="宋体"/>
          <w:b/>
          <w:bCs/>
          <w:color w:val="000000"/>
          <w:sz w:val="36"/>
          <w:szCs w:val="36"/>
          <w:highlight w:val="none"/>
        </w:rPr>
        <w:br w:type="page" w:clear="all"/>
      </w:r>
      <w:r>
        <w:rPr>
          <w:rFonts w:hint="eastAsia" w:ascii="宋体" w:hAnsi="宋体" w:eastAsia="宋体" w:cs="宋体"/>
          <w:b/>
          <w:bCs/>
          <w:color w:val="000000"/>
          <w:sz w:val="36"/>
          <w:szCs w:val="36"/>
          <w:highlight w:val="none"/>
        </w:rPr>
        <w:t xml:space="preserve">第六章 投标文件格式</w:t>
      </w:r>
      <w:bookmarkEnd w:id="58"/>
      <w:r>
        <w:rPr>
          <w:rFonts w:hint="eastAsia" w:ascii="宋体" w:hAnsi="宋体" w:eastAsia="宋体" w:cs="宋体"/>
          <w:b/>
          <w:bCs/>
          <w:color w:val="000000"/>
          <w:sz w:val="36"/>
          <w:szCs w:val="36"/>
          <w:highlight w:val="none"/>
        </w:rPr>
      </w:r>
      <w:r/>
    </w:p>
    <w:p>
      <w:pPr>
        <w:pStyle w:val="995"/>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95"/>
        <w:rPr>
          <w:rFonts w:hint="eastAsia" w:ascii="宋体" w:hAnsi="宋体" w:eastAsia="宋体" w:cs="宋体"/>
          <w:b/>
          <w:color w:val="000000"/>
          <w:sz w:val="28"/>
          <w:szCs w:val="28"/>
          <w:highlight w:val="none"/>
        </w:rPr>
      </w:pPr>
      <w:r/>
      <w:bookmarkStart w:id="59" w:name="OLE_LINK137"/>
      <w:r/>
      <w:bookmarkEnd w:id="59"/>
      <w:r/>
      <w:bookmarkStart w:id="60" w:name="OLE_LINK141"/>
      <w:r/>
      <w:bookmarkEnd w:id="60"/>
      <w:r>
        <w:rPr>
          <w:rFonts w:hint="eastAsia" w:ascii="宋体" w:hAnsi="宋体" w:eastAsia="宋体" w:cs="宋体"/>
          <w:b/>
          <w:color w:val="000000"/>
          <w:sz w:val="28"/>
          <w:szCs w:val="28"/>
          <w:highlight w:val="none"/>
        </w:rPr>
      </w:r>
      <w:r/>
    </w:p>
    <w:p>
      <w:pPr>
        <w:pStyle w:val="1029"/>
        <w:spacing w:line="480" w:lineRule="auto"/>
        <w:rPr>
          <w:rFonts w:hint="eastAsia" w:ascii="宋体" w:hAnsi="宋体" w:eastAsia="宋体" w:cs="宋体"/>
          <w:bCs w:val="0"/>
          <w:color w:val="000000"/>
          <w:sz w:val="36"/>
          <w:szCs w:val="36"/>
          <w:highlight w:val="none"/>
        </w:rPr>
        <w:outlineLvl w:val="9"/>
      </w:pPr>
      <w:r/>
      <w:bookmarkStart w:id="61" w:name="_Toc497145845"/>
      <w:r/>
      <w:bookmarkEnd w:id="61"/>
      <w:r/>
      <w:bookmarkStart w:id="62" w:name="OLE_LINK144"/>
      <w:r/>
      <w:bookmarkEnd w:id="62"/>
      <w:r/>
      <w:bookmarkStart w:id="63" w:name="_Toc7007"/>
      <w:r>
        <w:rPr>
          <w:rFonts w:hint="eastAsia" w:ascii="宋体" w:hAnsi="宋体" w:eastAsia="宋体" w:cs="宋体"/>
          <w:bCs w:val="0"/>
          <w:color w:val="000000"/>
          <w:sz w:val="36"/>
          <w:szCs w:val="36"/>
          <w:highlight w:val="none"/>
        </w:rPr>
        <w:t xml:space="preserve">投标文件</w:t>
      </w:r>
      <w:bookmarkEnd w:id="63"/>
      <w:r>
        <w:rPr>
          <w:rFonts w:hint="eastAsia" w:ascii="宋体" w:hAnsi="宋体" w:eastAsia="宋体" w:cs="宋体"/>
          <w:bCs w:val="0"/>
          <w:color w:val="000000"/>
          <w:sz w:val="36"/>
          <w:szCs w:val="36"/>
          <w:highlight w:val="none"/>
        </w:rPr>
      </w:r>
      <w:r/>
    </w:p>
    <w:p>
      <w:pPr>
        <w:pStyle w:val="1096"/>
        <w:numPr>
          <w:ilvl w:val="0"/>
          <w:numId w:val="0"/>
        </w:num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95"/>
        <w:spacing w:line="72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项目名称：</w:t>
      </w:r>
      <w:r>
        <w:rPr>
          <w:rFonts w:hint="eastAsia" w:ascii="宋体" w:hAnsi="宋体" w:eastAsia="宋体" w:cs="宋体"/>
          <w:b/>
          <w:color w:val="000000"/>
          <w:sz w:val="28"/>
          <w:szCs w:val="28"/>
          <w:highlight w:val="none"/>
          <w:u w:val="single"/>
          <w:lang w:eastAsia="zh-CN"/>
        </w:rPr>
        <w:t xml:space="preserve">广陵区数据局办事大厅一体化服务项目</w:t>
      </w:r>
      <w:r>
        <w:rPr>
          <w:rFonts w:hint="eastAsia" w:ascii="宋体" w:hAnsi="宋体" w:eastAsia="宋体" w:cs="宋体"/>
          <w:b/>
          <w:color w:val="000000"/>
          <w:sz w:val="28"/>
          <w:szCs w:val="28"/>
          <w:highlight w:val="none"/>
          <w:lang w:eastAsia="zh-CN"/>
        </w:rPr>
      </w:r>
      <w:r/>
    </w:p>
    <w:p>
      <w:pPr>
        <w:pStyle w:val="995"/>
        <w:spacing w:line="720" w:lineRule="auto"/>
        <w:rPr>
          <w:rFonts w:hint="eastAsia" w:ascii="宋体" w:hAnsi="宋体" w:eastAsia="宋体" w:cs="宋体"/>
          <w:b/>
          <w:color w:val="000000"/>
          <w:sz w:val="28"/>
          <w:szCs w:val="28"/>
          <w:highlight w:val="none"/>
          <w:u w:val="single"/>
          <w:lang w:eastAsia="zh-CN"/>
        </w:rPr>
      </w:pPr>
      <w:r>
        <w:rPr>
          <w:rFonts w:hint="eastAsia" w:ascii="宋体" w:hAnsi="宋体" w:eastAsia="宋体" w:cs="宋体"/>
          <w:b/>
          <w:color w:val="000000"/>
          <w:sz w:val="28"/>
          <w:szCs w:val="28"/>
          <w:highlight w:val="none"/>
        </w:rPr>
        <w:t xml:space="preserve">项目编号：</w:t>
      </w:r>
      <w:r>
        <w:rPr>
          <w:rFonts w:hint="eastAsia" w:ascii="宋体" w:hAnsi="宋体" w:eastAsia="宋体" w:cs="宋体"/>
          <w:b/>
          <w:color w:val="000000"/>
          <w:sz w:val="28"/>
          <w:szCs w:val="28"/>
          <w:highlight w:val="none"/>
          <w:u w:val="single"/>
          <w:lang w:eastAsia="zh-CN"/>
        </w:rPr>
        <w:t xml:space="preserve">JSZC-321002-DJZX-G2026-0001号</w:t>
      </w:r>
      <w:r>
        <w:rPr>
          <w:rFonts w:hint="eastAsia" w:ascii="宋体" w:hAnsi="宋体" w:eastAsia="宋体" w:cs="宋体"/>
          <w:b/>
          <w:color w:val="000000"/>
          <w:sz w:val="28"/>
          <w:szCs w:val="28"/>
          <w:highlight w:val="none"/>
          <w:u w:val="single"/>
          <w:lang w:eastAsia="zh-CN"/>
        </w:rPr>
      </w:r>
      <w:r/>
    </w:p>
    <w:p>
      <w:pPr>
        <w:pStyle w:val="995"/>
        <w:spacing w:line="72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供 应 商 ：</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rPr>
        <w:t xml:space="preserve">（电子签章）</w:t>
      </w:r>
      <w:r>
        <w:rPr>
          <w:rFonts w:hint="eastAsia" w:ascii="宋体" w:hAnsi="宋体" w:eastAsia="宋体" w:cs="宋体"/>
          <w:b/>
          <w:color w:val="000000"/>
          <w:sz w:val="28"/>
          <w:szCs w:val="28"/>
          <w:highlight w:val="none"/>
        </w:rPr>
      </w:r>
      <w:r/>
    </w:p>
    <w:p>
      <w:pPr>
        <w:pStyle w:val="995"/>
        <w:spacing w:line="72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日    期 ：</w:t>
      </w:r>
      <w:r>
        <w:rPr>
          <w:rFonts w:hint="eastAsia" w:ascii="宋体" w:hAnsi="宋体" w:eastAsia="宋体" w:cs="宋体"/>
          <w:b/>
          <w:color w:val="000000"/>
          <w:sz w:val="28"/>
          <w:szCs w:val="28"/>
          <w:highlight w:val="none"/>
          <w:u w:val="single"/>
        </w:rPr>
        <w:t xml:space="preserve">                  </w:t>
      </w:r>
      <w:r>
        <w:rPr>
          <w:rFonts w:hint="eastAsia" w:ascii="宋体" w:hAnsi="宋体" w:eastAsia="宋体" w:cs="宋体"/>
          <w:b/>
          <w:color w:val="000000"/>
          <w:sz w:val="28"/>
          <w:szCs w:val="28"/>
          <w:highlight w:val="none"/>
        </w:rPr>
      </w:r>
      <w:r/>
    </w:p>
    <w:p>
      <w:pPr>
        <w:pStyle w:val="995"/>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说明：</w:t>
      </w:r>
      <w:r>
        <w:rPr>
          <w:rFonts w:hint="eastAsia" w:ascii="宋体" w:hAnsi="宋体" w:eastAsia="宋体" w:cs="宋体"/>
          <w:b/>
          <w:bCs/>
          <w:color w:val="000000"/>
          <w:sz w:val="28"/>
          <w:szCs w:val="28"/>
          <w:highlight w:val="none"/>
          <w:lang w:val="zh-CN"/>
        </w:rPr>
      </w:r>
      <w:r/>
    </w:p>
    <w:p>
      <w:pPr>
        <w:pStyle w:val="995"/>
        <w:ind w:firstLine="618"/>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对本章所有的投标文件格式 ，投标人可根据自身情况进行补充和修改，但补充和修改不得造成与本格式内容有实质性的违背。</w:t>
      </w:r>
      <w:r>
        <w:rPr>
          <w:rFonts w:hint="eastAsia" w:ascii="宋体" w:hAnsi="宋体" w:eastAsia="宋体" w:cs="宋体"/>
          <w:b/>
          <w:bCs/>
          <w:color w:val="000000"/>
          <w:sz w:val="28"/>
          <w:szCs w:val="28"/>
          <w:highlight w:val="none"/>
          <w:lang w:val="zh-CN"/>
        </w:rPr>
      </w:r>
      <w:r/>
    </w:p>
    <w:p>
      <w:pPr>
        <w:pStyle w:val="995"/>
        <w:jc w:val="center"/>
        <w:spacing w:before="312" w:after="312"/>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b/>
          <w:color w:val="000000"/>
          <w:szCs w:val="21"/>
          <w:highlight w:val="none"/>
        </w:rPr>
        <w:t xml:space="preserve">评分索引表</w:t>
      </w:r>
      <w:r>
        <w:rPr>
          <w:rFonts w:hint="eastAsia" w:ascii="宋体" w:hAnsi="宋体" w:eastAsia="宋体" w:cs="宋体"/>
          <w:color w:val="000000"/>
          <w:szCs w:val="21"/>
          <w:highlight w:val="none"/>
        </w:rPr>
      </w:r>
      <w:r/>
    </w:p>
    <w:tbl>
      <w:tblPr>
        <w:tblW w:w="8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5592"/>
      </w:tblGrid>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评分项目</w:t>
            </w:r>
            <w:r>
              <w:rPr>
                <w:rFonts w:hint="eastAsia" w:ascii="宋体" w:hAnsi="宋体" w:eastAsia="宋体" w:cs="宋体"/>
                <w:b/>
                <w:color w:val="000000"/>
                <w:sz w:val="21"/>
                <w:szCs w:val="21"/>
                <w:highlight w:val="none"/>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b/>
                <w:color w:val="000000"/>
                <w:szCs w:val="21"/>
                <w:highlight w:val="none"/>
                <w:lang w:bidi="en-US"/>
              </w:rPr>
            </w:pPr>
            <w:r>
              <w:rPr>
                <w:rFonts w:hint="eastAsia" w:ascii="宋体" w:hAnsi="宋体" w:eastAsia="宋体" w:cs="宋体"/>
                <w:b/>
                <w:color w:val="000000"/>
                <w:szCs w:val="21"/>
                <w:highlight w:val="none"/>
                <w:lang w:bidi="en-US"/>
              </w:rPr>
              <w:t xml:space="preserve">在投标文件中的页码位置</w:t>
            </w:r>
            <w:r>
              <w:rPr>
                <w:rFonts w:hint="eastAsia" w:ascii="宋体" w:hAnsi="宋体" w:eastAsia="宋体" w:cs="宋体"/>
                <w:b/>
                <w:color w:val="000000"/>
                <w:szCs w:val="21"/>
                <w:highlight w:val="none"/>
                <w:lang w:bidi="en-US"/>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b/>
                <w:color w:val="000000"/>
                <w:szCs w:val="21"/>
                <w:highlight w:val="none"/>
                <w:lang w:bidi="en-US"/>
              </w:rPr>
            </w:pPr>
            <w:r>
              <w:rPr>
                <w:rFonts w:hint="eastAsia" w:ascii="宋体" w:hAnsi="宋体" w:eastAsia="宋体" w:cs="宋体"/>
                <w:b/>
                <w:color w:val="000000"/>
                <w:szCs w:val="21"/>
                <w:highlight w:val="none"/>
                <w:lang w:bidi="en-US"/>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trHeight w:val="567"/>
        </w:trPr>
        <w:tc>
          <w:tcPr>
            <w:gridSpan w:val="2"/>
            <w:tcW w:w="8337"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gridSpan w:val="2"/>
            <w:tcW w:w="8337"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gridSpan w:val="2"/>
            <w:tcW w:w="8337"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2745"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gridSpan w:val="2"/>
            <w:tcW w:w="8337" w:type="dxa"/>
            <w:vAlign w:val="center"/>
            <w:textDirection w:val="lrTb"/>
            <w:noWrap w:val="false"/>
          </w:tcPr>
          <w:p>
            <w:pPr>
              <w:pStyle w:val="1076"/>
              <w:ind w:left="420"/>
              <w:jc w:val="center"/>
              <w:spacing w:line="265" w:lineRule="atLeast"/>
              <w:shd w:val="clear" w:color="auto" w:fill="ffffff"/>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r>
            <w:r/>
          </w:p>
        </w:tc>
      </w:tr>
      <w:tr>
        <w:trPr>
          <w:trHeight w:val="567"/>
        </w:trPr>
        <w:tc>
          <w:tcPr>
            <w:tcW w:w="2745" w:type="dxa"/>
            <w:vAlign w:val="center"/>
            <w:textDirection w:val="lrTb"/>
            <w:noWrap w:val="false"/>
          </w:tcPr>
          <w:p>
            <w:pPr>
              <w:pStyle w:val="1076"/>
              <w:ind w:left="0" w:firstLine="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67"/>
        </w:trPr>
        <w:tc>
          <w:tcPr>
            <w:tcW w:w="2745" w:type="dxa"/>
            <w:vAlign w:val="center"/>
            <w:textDirection w:val="lrTb"/>
            <w:noWrap w:val="false"/>
          </w:tcPr>
          <w:p>
            <w:pPr>
              <w:pStyle w:val="1076"/>
              <w:ind w:left="0" w:firstLine="420"/>
              <w:jc w:val="center"/>
              <w:spacing w:line="265" w:lineRule="atLeast"/>
              <w:shd w:val="clear" w:color="auto" w:fill="ffff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5592" w:type="dxa"/>
            <w:vAlign w:val="center"/>
            <w:textDirection w:val="lrTb"/>
            <w:noWrap w:val="false"/>
          </w:tcPr>
          <w:p>
            <w:pPr>
              <w:pStyle w:val="995"/>
              <w:jc w:val="center"/>
              <w:spacing w:after="200" w:line="220" w:lineRule="atLeas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95"/>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95"/>
        <w:jc w:val="center"/>
        <w:spacing w:after="312" w:line="360" w:lineRule="auto"/>
        <w:rPr>
          <w:rFonts w:hint="eastAsia" w:ascii="宋体" w:hAnsi="宋体" w:eastAsia="宋体" w:cs="宋体"/>
          <w:b/>
          <w:color w:val="000000"/>
          <w:szCs w:val="21"/>
          <w:highlight w:val="none"/>
          <w:u w:val="single"/>
        </w:rPr>
      </w:pPr>
      <w:r>
        <w:rPr>
          <w:rFonts w:hint="eastAsia" w:ascii="宋体" w:hAnsi="宋体" w:eastAsia="宋体" w:cs="宋体"/>
          <w:b/>
          <w:color w:val="000000"/>
          <w:szCs w:val="21"/>
          <w:highlight w:val="none"/>
          <w:u w:val="single"/>
        </w:rPr>
        <w:br w:type="page" w:clear="all"/>
      </w:r>
      <w:r>
        <w:rPr>
          <w:rFonts w:hint="eastAsia" w:ascii="宋体" w:hAnsi="宋体" w:eastAsia="宋体" w:cs="宋体"/>
          <w:b/>
          <w:bCs/>
          <w:color w:val="000000"/>
          <w:szCs w:val="21"/>
          <w:highlight w:val="none"/>
        </w:rPr>
        <w:t xml:space="preserve">投标文件主要目录</w:t>
      </w:r>
      <w:r>
        <w:rPr>
          <w:rFonts w:hint="eastAsia" w:ascii="宋体" w:hAnsi="宋体" w:eastAsia="宋体" w:cs="宋体"/>
          <w:b/>
          <w:color w:val="000000"/>
          <w:szCs w:val="21"/>
          <w:highlight w:val="none"/>
          <w:u w:val="single"/>
        </w:rPr>
      </w:r>
      <w:r/>
    </w:p>
    <w:p>
      <w:pPr>
        <w:pStyle w:val="99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一、资格审查响应对照表</w:t>
      </w:r>
      <w:r>
        <w:rPr>
          <w:rFonts w:hint="eastAsia" w:ascii="宋体" w:hAnsi="宋体" w:eastAsia="宋体" w:cs="宋体"/>
          <w:color w:val="000000"/>
          <w:szCs w:val="21"/>
          <w:highlight w:val="none"/>
        </w:rPr>
      </w:r>
      <w:r/>
    </w:p>
    <w:p>
      <w:pPr>
        <w:pStyle w:val="995"/>
        <w:ind w:left="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二、符合性审查响应对照表</w:t>
      </w:r>
      <w:r>
        <w:rPr>
          <w:rFonts w:hint="eastAsia" w:ascii="宋体" w:hAnsi="宋体" w:eastAsia="宋体" w:cs="宋体"/>
          <w:color w:val="000000"/>
          <w:szCs w:val="21"/>
          <w:highlight w:val="none"/>
        </w:rPr>
      </w:r>
      <w:r/>
    </w:p>
    <w:p>
      <w:pPr>
        <w:pStyle w:val="995"/>
        <w:ind w:left="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三、非实质性响应对照表</w:t>
      </w:r>
      <w:r>
        <w:rPr>
          <w:rFonts w:hint="eastAsia" w:ascii="宋体" w:hAnsi="宋体" w:eastAsia="宋体" w:cs="宋体"/>
          <w:color w:val="000000"/>
          <w:szCs w:val="21"/>
          <w:highlight w:val="none"/>
        </w:rPr>
      </w:r>
      <w:r/>
    </w:p>
    <w:p>
      <w:pPr>
        <w:pStyle w:val="995"/>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w:t>
      </w:r>
      <w:r>
        <w:rPr>
          <w:rFonts w:hint="eastAsia" w:ascii="宋体" w:hAnsi="宋体" w:eastAsia="宋体" w:cs="宋体"/>
          <w:b/>
          <w:bCs/>
          <w:color w:val="000000"/>
          <w:szCs w:val="21"/>
          <w:highlight w:val="none"/>
        </w:rPr>
        <w:t xml:space="preserve">、</w:t>
      </w:r>
      <w:r>
        <w:rPr>
          <w:rFonts w:hint="eastAsia" w:ascii="宋体" w:hAnsi="宋体" w:eastAsia="宋体" w:cs="宋体"/>
          <w:b/>
          <w:bCs/>
          <w:i/>
          <w:iCs/>
          <w:color w:val="000000"/>
          <w:szCs w:val="21"/>
          <w:highlight w:val="none"/>
          <w:u w:val="single"/>
        </w:rPr>
        <w:t xml:space="preserve">开标一览表</w:t>
      </w:r>
      <w:r>
        <w:rPr>
          <w:rFonts w:hint="eastAsia" w:ascii="宋体" w:hAnsi="宋体" w:eastAsia="宋体" w:cs="宋体"/>
          <w:color w:val="000000"/>
          <w:szCs w:val="21"/>
          <w:highlight w:val="none"/>
        </w:rPr>
      </w:r>
      <w:r/>
    </w:p>
    <w:p>
      <w:pPr>
        <w:pStyle w:val="99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五、技术参数响应及偏离表</w:t>
      </w:r>
      <w:r>
        <w:rPr>
          <w:rFonts w:hint="eastAsia" w:ascii="宋体" w:hAnsi="宋体" w:eastAsia="宋体" w:cs="宋体"/>
          <w:color w:val="000000"/>
          <w:szCs w:val="21"/>
          <w:highlight w:val="none"/>
        </w:rPr>
      </w:r>
      <w:r/>
    </w:p>
    <w:p>
      <w:pPr>
        <w:pStyle w:val="99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六、商务条款响应及偏离表</w:t>
      </w:r>
      <w:r>
        <w:rPr>
          <w:rFonts w:hint="eastAsia" w:ascii="宋体" w:hAnsi="宋体" w:eastAsia="宋体" w:cs="宋体"/>
          <w:color w:val="000000"/>
          <w:szCs w:val="21"/>
          <w:highlight w:val="none"/>
        </w:rPr>
      </w:r>
      <w:r/>
    </w:p>
    <w:p>
      <w:pPr>
        <w:pStyle w:val="99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七、附件</w:t>
      </w:r>
      <w:r>
        <w:rPr>
          <w:rFonts w:hint="eastAsia" w:ascii="宋体" w:hAnsi="宋体" w:eastAsia="宋体" w:cs="宋体"/>
          <w:color w:val="000000"/>
          <w:szCs w:val="21"/>
          <w:highlight w:val="none"/>
        </w:rPr>
      </w:r>
      <w:r/>
    </w:p>
    <w:p>
      <w:pPr>
        <w:pStyle w:val="99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八、其他 （投标人认为有必要提供的声明和文件，如有自拟并自行添加）</w:t>
      </w:r>
      <w:r>
        <w:rPr>
          <w:rFonts w:hint="eastAsia" w:ascii="宋体" w:hAnsi="宋体" w:eastAsia="宋体" w:cs="宋体"/>
          <w:color w:val="000000"/>
          <w:szCs w:val="21"/>
          <w:highlight w:val="none"/>
        </w:rPr>
      </w:r>
      <w:r/>
    </w:p>
    <w:p>
      <w:pPr>
        <w:pStyle w:val="995"/>
        <w:jc w:val="lef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1031"/>
        <w:rPr>
          <w:rFonts w:hint="eastAsia" w:ascii="宋体" w:hAnsi="宋体" w:eastAsia="宋体" w:cs="宋体"/>
          <w:color w:val="000000"/>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hAnsi="宋体" w:eastAsia="宋体" w:cs="宋体"/>
          <w:color w:val="000000"/>
          <w:highlight w:val="none"/>
        </w:rPr>
      </w:r>
      <w:r/>
    </w:p>
    <w:p>
      <w:pPr>
        <w:pStyle w:val="995"/>
        <w:jc w:val="center"/>
        <w:spacing w:line="360" w:lineRule="auto"/>
        <w:rPr>
          <w:rFonts w:hint="eastAsia" w:ascii="宋体" w:hAnsi="宋体" w:eastAsia="宋体" w:cs="宋体"/>
          <w:b/>
          <w:color w:val="000000"/>
          <w:szCs w:val="21"/>
          <w:highlight w:val="none"/>
        </w:rPr>
      </w:pPr>
      <w:r/>
      <w:bookmarkStart w:id="64" w:name="OLE_LINK168"/>
      <w:r/>
      <w:bookmarkEnd w:id="64"/>
      <w:r/>
      <w:bookmarkStart w:id="65" w:name="OLE_LINK166"/>
      <w:r/>
      <w:bookmarkEnd w:id="65"/>
      <w:r>
        <w:rPr>
          <w:rFonts w:hint="eastAsia" w:ascii="宋体" w:hAnsi="宋体" w:eastAsia="宋体" w:cs="宋体"/>
          <w:b/>
          <w:color w:val="000000"/>
          <w:szCs w:val="21"/>
          <w:highlight w:val="none"/>
        </w:rPr>
        <w:t xml:space="preserve">一、资格性和符合性检查响应对照表</w:t>
      </w:r>
      <w:r>
        <w:rPr>
          <w:rFonts w:hint="eastAsia" w:ascii="宋体" w:hAnsi="宋体" w:eastAsia="宋体" w:cs="宋体"/>
          <w:b/>
          <w:color w:val="000000"/>
          <w:szCs w:val="21"/>
          <w:highlight w:val="none"/>
        </w:rPr>
      </w:r>
      <w:r/>
    </w:p>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投标人全称（加盖公章）：</w:t>
      </w:r>
      <w:r>
        <w:rPr>
          <w:rFonts w:hint="eastAsia" w:ascii="宋体" w:hAnsi="宋体" w:eastAsia="宋体" w:cs="宋体"/>
          <w:color w:val="000000"/>
          <w:szCs w:val="21"/>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3"/>
        <w:gridCol w:w="6963"/>
        <w:gridCol w:w="1074"/>
      </w:tblGrid>
      <w:tr>
        <w:trPr>
          <w:trHeight w:val="605"/>
        </w:trPr>
        <w:tc>
          <w:tcPr>
            <w:tcW w:w="284"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4086"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资格审查响应内容</w:t>
            </w:r>
            <w:r>
              <w:rPr>
                <w:rFonts w:hint="eastAsia" w:ascii="宋体" w:hAnsi="宋体" w:eastAsia="宋体" w:cs="宋体"/>
                <w:b/>
                <w:color w:val="000000"/>
                <w:szCs w:val="21"/>
                <w:highlight w:val="none"/>
              </w:rPr>
            </w:r>
            <w:r/>
          </w:p>
        </w:tc>
        <w:tc>
          <w:tcPr>
            <w:tcW w:w="628"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r>
      <w:tr>
        <w:trPr>
          <w:trHeight w:val="335"/>
        </w:trPr>
        <w:tc>
          <w:tcPr>
            <w:gridSpan w:val="3"/>
            <w:tcW w:w="8520" w:type="dxa"/>
            <w:vAlign w:val="center"/>
            <w:textDirection w:val="lrTb"/>
            <w:noWrap w:val="false"/>
          </w:tcPr>
          <w:p>
            <w:pPr>
              <w:pStyle w:val="99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通用资格条件</w:t>
            </w:r>
            <w:r>
              <w:rPr>
                <w:rFonts w:hint="eastAsia" w:ascii="宋体" w:hAnsi="宋体" w:eastAsia="宋体" w:cs="宋体"/>
                <w:b/>
                <w:color w:val="000000"/>
                <w:szCs w:val="21"/>
                <w:highlight w:val="none"/>
              </w:rPr>
            </w:r>
            <w:r/>
          </w:p>
        </w:tc>
      </w:tr>
      <w:tr>
        <w:trPr>
          <w:trHeight w:val="505"/>
        </w:trPr>
        <w:tc>
          <w:tcPr>
            <w:tcW w:w="284"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4086"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法人或者其他组织的营业执照等证明文件，自然人的身份证明（</w:t>
            </w:r>
            <w:r>
              <w:rPr>
                <w:rFonts w:hint="eastAsia" w:ascii="宋体" w:hAnsi="宋体" w:eastAsia="宋体" w:cs="宋体"/>
                <w:b/>
                <w:bCs/>
                <w:color w:val="000000"/>
                <w:szCs w:val="21"/>
                <w:highlight w:val="none"/>
              </w:rPr>
              <w:t xml:space="preserve">原件扫描上传）</w:t>
            </w:r>
            <w:r>
              <w:rPr>
                <w:rFonts w:hint="eastAsia" w:ascii="宋体" w:hAnsi="宋体" w:eastAsia="宋体" w:cs="宋体"/>
                <w:color w:val="000000"/>
                <w:szCs w:val="21"/>
                <w:highlight w:val="none"/>
              </w:rPr>
            </w:r>
            <w:r/>
          </w:p>
        </w:tc>
        <w:tc>
          <w:tcPr>
            <w:tcW w:w="628" w:type="dxa"/>
            <w:vAlign w:val="center"/>
            <w:textDirection w:val="lrTb"/>
            <w:noWrap w:val="false"/>
          </w:tcPr>
          <w:p>
            <w:pPr>
              <w:pStyle w:val="99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425"/>
        </w:trPr>
        <w:tc>
          <w:tcPr>
            <w:tcW w:w="284"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4086"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2024年度或上一年度的财务状况报告</w:t>
            </w:r>
            <w:r>
              <w:rPr>
                <w:rFonts w:hint="eastAsia" w:ascii="宋体" w:hAnsi="宋体" w:eastAsia="宋体" w:cs="宋体"/>
                <w:b/>
                <w:bCs/>
                <w:color w:val="000000"/>
                <w:szCs w:val="21"/>
                <w:highlight w:val="none"/>
              </w:rPr>
              <w:t xml:space="preserve">（成立不满一年无需提供）</w:t>
            </w:r>
            <w:r>
              <w:rPr>
                <w:rFonts w:hint="eastAsia" w:ascii="宋体" w:hAnsi="宋体" w:eastAsia="宋体" w:cs="宋体"/>
                <w:color w:val="000000"/>
                <w:szCs w:val="21"/>
                <w:highlight w:val="none"/>
              </w:rPr>
            </w:r>
            <w:r/>
          </w:p>
        </w:tc>
        <w:tc>
          <w:tcPr>
            <w:tcW w:w="62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1203"/>
        </w:trPr>
        <w:tc>
          <w:tcPr>
            <w:tcW w:w="284"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4086"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依法缴纳税收和社会保障资金的相关材料</w:t>
            </w:r>
            <w:r>
              <w:rPr>
                <w:rFonts w:hint="eastAsia" w:ascii="宋体" w:hAnsi="宋体" w:eastAsia="宋体" w:cs="宋体"/>
                <w:b/>
                <w:bCs/>
                <w:color w:val="000000"/>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Cs w:val="21"/>
                <w:highlight w:val="none"/>
              </w:rPr>
            </w:r>
            <w:r/>
          </w:p>
        </w:tc>
        <w:tc>
          <w:tcPr>
            <w:tcW w:w="62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284"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4086"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具备履行合同所必需的设备和专业技术能力的书面声明；</w:t>
            </w:r>
            <w:r>
              <w:rPr>
                <w:rFonts w:hint="eastAsia" w:ascii="宋体" w:hAnsi="宋体" w:eastAsia="宋体" w:cs="宋体"/>
                <w:b/>
                <w:bCs/>
                <w:color w:val="000000"/>
                <w:szCs w:val="21"/>
                <w:highlight w:val="none"/>
              </w:rPr>
              <w:t xml:space="preserve">（原件扫描上传）</w:t>
            </w:r>
            <w:r>
              <w:rPr>
                <w:rFonts w:hint="eastAsia" w:ascii="宋体" w:hAnsi="宋体" w:eastAsia="宋体" w:cs="宋体"/>
                <w:color w:val="000000"/>
                <w:szCs w:val="21"/>
                <w:highlight w:val="none"/>
              </w:rPr>
            </w:r>
            <w:r/>
          </w:p>
        </w:tc>
        <w:tc>
          <w:tcPr>
            <w:tcW w:w="62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284"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4086"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参加政府采购活动前3年内在经营活动中没有重大违法记录的书面声明。</w:t>
            </w:r>
            <w:r>
              <w:rPr>
                <w:rFonts w:hint="eastAsia" w:ascii="宋体" w:hAnsi="宋体" w:eastAsia="宋体" w:cs="宋体"/>
                <w:b/>
                <w:bCs/>
                <w:color w:val="000000"/>
                <w:szCs w:val="21"/>
                <w:highlight w:val="none"/>
              </w:rPr>
              <w:t xml:space="preserve">（原件扫描上传）</w:t>
            </w:r>
            <w:r>
              <w:rPr>
                <w:rFonts w:hint="eastAsia" w:ascii="宋体" w:hAnsi="宋体" w:eastAsia="宋体" w:cs="宋体"/>
                <w:color w:val="000000"/>
                <w:szCs w:val="21"/>
                <w:highlight w:val="none"/>
              </w:rPr>
            </w:r>
            <w:r/>
          </w:p>
        </w:tc>
        <w:tc>
          <w:tcPr>
            <w:tcW w:w="62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08"/>
        </w:trPr>
        <w:tc>
          <w:tcPr>
            <w:tcW w:w="284"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rPr>
            </w:r>
            <w:r/>
          </w:p>
        </w:tc>
        <w:tc>
          <w:tcPr>
            <w:tcW w:w="4086"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投标人信用承诺函</w:t>
            </w:r>
            <w:r>
              <w:rPr>
                <w:rFonts w:hint="eastAsia" w:ascii="宋体" w:hAnsi="宋体" w:eastAsia="宋体" w:cs="宋体"/>
                <w:b/>
                <w:bCs/>
                <w:color w:val="000000"/>
                <w:szCs w:val="21"/>
                <w:highlight w:val="none"/>
              </w:rPr>
              <w:t xml:space="preserve">（原件扫描上传）</w:t>
            </w:r>
            <w:r>
              <w:rPr>
                <w:rFonts w:hint="eastAsia" w:ascii="宋体" w:hAnsi="宋体" w:eastAsia="宋体" w:cs="宋体"/>
                <w:color w:val="000000"/>
                <w:szCs w:val="21"/>
                <w:highlight w:val="none"/>
              </w:rPr>
            </w:r>
            <w:r/>
          </w:p>
        </w:tc>
        <w:tc>
          <w:tcPr>
            <w:tcW w:w="62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gridSpan w:val="3"/>
            <w:tcW w:w="8520" w:type="dxa"/>
            <w:vAlign w:val="center"/>
            <w:textDirection w:val="lrTb"/>
            <w:noWrap w:val="false"/>
          </w:tcPr>
          <w:p>
            <w:pPr>
              <w:pStyle w:val="99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落实政府采购政策需满足的资格要求</w:t>
            </w:r>
            <w:r>
              <w:rPr>
                <w:rFonts w:hint="eastAsia" w:ascii="宋体" w:hAnsi="宋体" w:eastAsia="宋体" w:cs="宋体"/>
                <w:b/>
                <w:bCs/>
                <w:color w:val="000000"/>
                <w:szCs w:val="21"/>
                <w:highlight w:val="none"/>
              </w:rPr>
            </w:r>
            <w:r/>
          </w:p>
        </w:tc>
      </w:tr>
      <w:tr>
        <w:trPr>
          <w:trHeight w:val="400"/>
        </w:trPr>
        <w:tc>
          <w:tcPr>
            <w:tcW w:w="284" w:type="dxa"/>
            <w:vAlign w:val="center"/>
            <w:textDirection w:val="lrTb"/>
            <w:noWrap w:val="false"/>
          </w:tcPr>
          <w:p>
            <w:pPr>
              <w:pStyle w:val="995"/>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r>
            <w:r/>
          </w:p>
        </w:tc>
        <w:tc>
          <w:tcPr>
            <w:tcW w:w="4086" w:type="dxa"/>
            <w:vAlign w:val="center"/>
            <w:textDirection w:val="lrTb"/>
            <w:noWrap w:val="false"/>
          </w:tcPr>
          <w:p>
            <w:pPr>
              <w:pStyle w:val="995"/>
              <w:spacing w:line="360" w:lineRule="auto"/>
              <w:rPr>
                <w:rFonts w:hint="eastAsia" w:ascii="宋体" w:hAnsi="宋体" w:eastAsia="宋体" w:cs="宋体"/>
                <w:i/>
                <w:iCs/>
                <w:color w:val="000000"/>
                <w:szCs w:val="21"/>
                <w:highlight w:val="none"/>
              </w:rPr>
            </w:pPr>
            <w:r>
              <w:rPr>
                <w:rFonts w:hint="eastAsia" w:ascii="宋体" w:hAnsi="宋体" w:eastAsia="宋体" w:cs="宋体"/>
                <w:i/>
                <w:color w:val="000000"/>
                <w:szCs w:val="21"/>
                <w:highlight w:val="none"/>
                <w:u w:val="single"/>
              </w:rPr>
              <w:t xml:space="preserve">本项目专门面向中小企业采购。投标人须提供《中小企业声明函》，《中小企业声明函》不符合要求或未提供的，投标文件无效。</w:t>
            </w:r>
            <w:r>
              <w:rPr>
                <w:rFonts w:hint="eastAsia" w:ascii="宋体" w:hAnsi="宋体" w:eastAsia="宋体" w:cs="宋体"/>
                <w:i/>
                <w:iCs/>
                <w:color w:val="000000"/>
                <w:szCs w:val="21"/>
                <w:highlight w:val="none"/>
              </w:rPr>
            </w:r>
            <w:r/>
          </w:p>
        </w:tc>
        <w:tc>
          <w:tcPr>
            <w:tcW w:w="62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gridSpan w:val="3"/>
            <w:tcW w:w="8520" w:type="dxa"/>
            <w:vAlign w:val="center"/>
            <w:textDirection w:val="lrTb"/>
            <w:noWrap w:val="false"/>
          </w:tcPr>
          <w:p>
            <w:pPr>
              <w:pStyle w:val="99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特定资格条件</w:t>
            </w:r>
            <w:r>
              <w:rPr>
                <w:rFonts w:hint="eastAsia" w:ascii="宋体" w:hAnsi="宋体" w:eastAsia="宋体" w:cs="宋体"/>
                <w:b/>
                <w:color w:val="000000"/>
                <w:szCs w:val="21"/>
                <w:highlight w:val="none"/>
              </w:rPr>
            </w:r>
            <w:r/>
          </w:p>
        </w:tc>
      </w:tr>
      <w:tr>
        <w:trPr>
          <w:trHeight w:val="389"/>
        </w:trPr>
        <w:tc>
          <w:tcPr>
            <w:tcW w:w="284" w:type="dxa"/>
            <w:vAlign w:val="center"/>
            <w:textDirection w:val="lrTb"/>
            <w:noWrap w:val="false"/>
          </w:tcPr>
          <w:p>
            <w:pPr>
              <w:pStyle w:val="995"/>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r>
            <w:r/>
          </w:p>
        </w:tc>
        <w:tc>
          <w:tcPr>
            <w:tcW w:w="4086" w:type="dxa"/>
            <w:vAlign w:val="center"/>
            <w:textDirection w:val="lrTb"/>
            <w:noWrap w:val="false"/>
          </w:tcPr>
          <w:p>
            <w:pPr>
              <w:pStyle w:val="995"/>
              <w:jc w:val="left"/>
              <w:spacing w:line="348" w:lineRule="auto"/>
              <w:rPr>
                <w:rFonts w:hint="eastAsia" w:ascii="宋体" w:hAnsi="宋体" w:eastAsia="宋体" w:cs="宋体"/>
                <w:i/>
                <w:iCs/>
                <w:color w:val="000000"/>
                <w:szCs w:val="21"/>
                <w:highlight w:val="none"/>
              </w:rPr>
            </w:pPr>
            <w:r>
              <w:rPr>
                <w:rFonts w:hint="eastAsia" w:ascii="宋体" w:hAnsi="宋体" w:eastAsia="宋体" w:cs="宋体"/>
                <w:i/>
                <w:iCs/>
                <w:color w:val="000000"/>
                <w:szCs w:val="21"/>
                <w:highlight w:val="none"/>
              </w:rPr>
              <w:t xml:space="preserve">无</w:t>
            </w:r>
            <w:r>
              <w:rPr>
                <w:rFonts w:hint="eastAsia" w:ascii="宋体" w:hAnsi="宋体" w:eastAsia="宋体" w:cs="宋体"/>
                <w:i/>
                <w:iCs/>
                <w:color w:val="000000"/>
                <w:szCs w:val="21"/>
                <w:highlight w:val="none"/>
              </w:rPr>
            </w:r>
            <w:r/>
          </w:p>
        </w:tc>
        <w:tc>
          <w:tcPr>
            <w:tcW w:w="62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二、资信证明文件</w:t>
      </w:r>
      <w:r>
        <w:rPr>
          <w:rFonts w:hint="eastAsia" w:ascii="宋体" w:hAnsi="宋体" w:eastAsia="宋体" w:cs="宋体"/>
          <w:b/>
          <w:color w:val="000000"/>
          <w:szCs w:val="21"/>
          <w:highlight w:val="none"/>
        </w:rPr>
      </w:r>
      <w:r/>
    </w:p>
    <w:p>
      <w:pPr>
        <w:pStyle w:val="995"/>
        <w:ind w:firstLine="420"/>
        <w:spacing w:line="348"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（一）满足《中华人民共和国政府采购法》第二十二条规定：</w:t>
      </w:r>
      <w:r>
        <w:rPr>
          <w:rFonts w:hint="eastAsia" w:ascii="宋体" w:hAnsi="宋体" w:eastAsia="宋体" w:cs="宋体"/>
          <w:color w:val="000000"/>
          <w:szCs w:val="21"/>
          <w:highlight w:val="none"/>
        </w:rPr>
      </w:r>
      <w:r/>
    </w:p>
    <w:p>
      <w:pPr>
        <w:pStyle w:val="995"/>
        <w:ind w:firstLine="420"/>
        <w:spacing w:line="348"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1.法人或者其他组织的营业执照等证明文件，自然人的身份证明（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995"/>
        <w:ind w:firstLine="420"/>
        <w:spacing w:line="348"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2.</w:t>
      </w:r>
      <w:r>
        <w:rPr>
          <w:rFonts w:hint="eastAsia" w:ascii="宋体" w:hAnsi="宋体" w:eastAsia="宋体" w:cs="宋体"/>
          <w:i/>
          <w:iCs/>
          <w:color w:val="000000"/>
          <w:szCs w:val="21"/>
          <w:highlight w:val="none"/>
          <w:u w:val="single"/>
          <w:lang w:eastAsia="zh-CN"/>
        </w:rPr>
        <w:t xml:space="preserve">2024年度或上一年度的财务状况报告</w:t>
      </w:r>
      <w:r>
        <w:rPr>
          <w:rFonts w:hint="eastAsia" w:ascii="宋体" w:hAnsi="宋体" w:eastAsia="宋体" w:cs="宋体"/>
          <w:b/>
          <w:bCs/>
          <w:i/>
          <w:iCs/>
          <w:color w:val="000000"/>
          <w:szCs w:val="21"/>
          <w:highlight w:val="none"/>
          <w:u w:val="single"/>
        </w:rPr>
        <w:t xml:space="preserve">（成立不满一年无需提供）</w:t>
      </w:r>
      <w:r>
        <w:rPr>
          <w:rFonts w:hint="eastAsia" w:ascii="宋体" w:hAnsi="宋体" w:eastAsia="宋体" w:cs="宋体"/>
          <w:i/>
          <w:iCs/>
          <w:color w:val="000000"/>
          <w:szCs w:val="21"/>
          <w:highlight w:val="none"/>
          <w:u w:val="single"/>
        </w:rPr>
        <w:t xml:space="preserve">；</w:t>
      </w:r>
      <w:r>
        <w:rPr>
          <w:rFonts w:hint="eastAsia" w:ascii="宋体" w:hAnsi="宋体" w:eastAsia="宋体" w:cs="宋体"/>
          <w:i/>
          <w:iCs/>
          <w:color w:val="000000"/>
          <w:szCs w:val="21"/>
          <w:highlight w:val="none"/>
          <w:u w:val="single"/>
        </w:rPr>
      </w:r>
      <w:r/>
    </w:p>
    <w:p>
      <w:pPr>
        <w:pStyle w:val="995"/>
        <w:ind w:firstLine="420"/>
        <w:spacing w:line="348"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3.依法缴纳税收和社会保障资金的相关材料</w:t>
      </w:r>
      <w:r>
        <w:rPr>
          <w:rFonts w:hint="eastAsia" w:ascii="宋体" w:hAnsi="宋体" w:eastAsia="宋体" w:cs="宋体"/>
          <w:b/>
          <w:bCs/>
          <w:i/>
          <w:iCs/>
          <w:color w:val="000000"/>
          <w:szCs w:val="21"/>
          <w:highlight w:val="none"/>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bCs/>
          <w:i/>
          <w:iCs/>
          <w:color w:val="000000"/>
          <w:szCs w:val="21"/>
          <w:highlight w:val="none"/>
          <w:u w:val="single"/>
        </w:rPr>
      </w:r>
      <w:r/>
    </w:p>
    <w:p>
      <w:pPr>
        <w:pStyle w:val="995"/>
        <w:ind w:firstLine="420"/>
        <w:spacing w:line="348"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4.具备履行合同所必需的设备和专业技术能力的书面声明；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r>
      <w:r/>
    </w:p>
    <w:p>
      <w:pPr>
        <w:pStyle w:val="995"/>
        <w:ind w:firstLine="420"/>
        <w:spacing w:line="348"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5.参加政府采购活动前3年内在经营活动中没有重大违法记录的书面声明。</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i/>
          <w:iCs/>
          <w:color w:val="000000"/>
          <w:szCs w:val="21"/>
          <w:highlight w:val="none"/>
          <w:u w:val="single"/>
        </w:rPr>
      </w:r>
      <w:r/>
    </w:p>
    <w:p>
      <w:pPr>
        <w:pStyle w:val="995"/>
        <w:ind w:firstLine="420"/>
        <w:spacing w:line="348"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6.投标人信用承诺函</w:t>
      </w:r>
      <w:r>
        <w:rPr>
          <w:rFonts w:hint="eastAsia" w:ascii="宋体" w:hAnsi="宋体" w:eastAsia="宋体" w:cs="宋体"/>
          <w:b/>
          <w:bCs/>
          <w:i/>
          <w:iCs/>
          <w:color w:val="000000"/>
          <w:szCs w:val="21"/>
          <w:highlight w:val="none"/>
          <w:u w:val="single"/>
        </w:rPr>
        <w:t xml:space="preserve">（原件扫描上传）</w:t>
      </w:r>
      <w:r>
        <w:rPr>
          <w:rFonts w:hint="eastAsia" w:ascii="宋体" w:hAnsi="宋体" w:eastAsia="宋体" w:cs="宋体"/>
          <w:b/>
          <w:bCs/>
          <w:i/>
          <w:iCs/>
          <w:color w:val="000000"/>
          <w:szCs w:val="21"/>
          <w:highlight w:val="none"/>
          <w:u w:val="single"/>
        </w:rPr>
      </w:r>
      <w:r/>
    </w:p>
    <w:p>
      <w:pPr>
        <w:pStyle w:val="995"/>
        <w:ind w:firstLine="420"/>
        <w:spacing w:line="348" w:lineRule="auto"/>
        <w:rPr>
          <w:rFonts w:hint="eastAsia" w:ascii="宋体" w:hAnsi="宋体" w:eastAsia="宋体" w:cs="宋体"/>
          <w:i/>
          <w:iCs/>
          <w:color w:val="000000"/>
          <w:szCs w:val="21"/>
          <w:highlight w:val="none"/>
          <w:u w:val="single"/>
        </w:rPr>
      </w:pPr>
      <w:r>
        <w:rPr>
          <w:rFonts w:hint="eastAsia" w:ascii="宋体" w:hAnsi="宋体" w:eastAsia="宋体" w:cs="宋体"/>
          <w:color w:val="000000"/>
          <w:szCs w:val="21"/>
          <w:highlight w:val="none"/>
        </w:rPr>
        <w:t xml:space="preserve">（二）采购人根据本项目要求规定的特定条件：</w:t>
      </w:r>
      <w:r>
        <w:rPr>
          <w:rFonts w:hint="eastAsia" w:ascii="宋体" w:hAnsi="宋体" w:eastAsia="宋体" w:cs="宋体"/>
          <w:i/>
          <w:iCs/>
          <w:color w:val="000000"/>
          <w:szCs w:val="21"/>
          <w:highlight w:val="none"/>
          <w:u w:val="single"/>
        </w:rPr>
        <w:t xml:space="preserve">无</w:t>
      </w:r>
      <w:r>
        <w:rPr>
          <w:rFonts w:hint="eastAsia" w:ascii="宋体" w:hAnsi="宋体" w:eastAsia="宋体" w:cs="宋体"/>
          <w:i/>
          <w:iCs/>
          <w:color w:val="000000"/>
          <w:szCs w:val="21"/>
          <w:highlight w:val="none"/>
          <w:u w:val="single"/>
        </w:rPr>
      </w:r>
      <w:r/>
    </w:p>
    <w:p>
      <w:pPr>
        <w:pStyle w:val="995"/>
        <w:jc w:val="center"/>
        <w:spacing w:before="156" w:after="156"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（三）落实政府采购政策需满足的资格要求：</w:t>
      </w:r>
      <w:r>
        <w:rPr>
          <w:rFonts w:hint="eastAsia" w:ascii="宋体" w:hAnsi="宋体" w:eastAsia="宋体" w:cs="宋体"/>
          <w:i/>
          <w:color w:val="000000"/>
          <w:szCs w:val="21"/>
          <w:highlight w:val="none"/>
          <w:u w:val="single"/>
        </w:rPr>
        <w:t xml:space="preserve">本项目专门面向中小企业采购。投标人须提供《中小企业声明函》，《中小企业声明函》不符合要求或未提供的，投标文件无效。</w:t>
      </w:r>
      <w:r>
        <w:rPr>
          <w:rFonts w:hint="eastAsia" w:ascii="宋体" w:hAnsi="宋体" w:eastAsia="宋体" w:cs="宋体"/>
          <w:color w:val="000000"/>
          <w:szCs w:val="21"/>
          <w:highlight w:val="none"/>
          <w:lang w:val="en"/>
        </w:rPr>
        <w:br w:type="page" w:clear="all"/>
      </w:r>
      <w:r>
        <w:rPr>
          <w:rFonts w:hint="eastAsia" w:ascii="宋体" w:hAnsi="宋体" w:eastAsia="宋体" w:cs="宋体"/>
          <w:b/>
          <w:bCs/>
          <w:color w:val="000000"/>
          <w:szCs w:val="21"/>
          <w:highlight w:val="none"/>
        </w:rPr>
        <w:t xml:space="preserve">具备履行合同所必需的设备和专业技术能力的书面声明</w:t>
      </w:r>
      <w:r>
        <w:rPr>
          <w:rFonts w:hint="eastAsia" w:ascii="宋体" w:hAnsi="宋体" w:eastAsia="宋体" w:cs="宋体"/>
          <w:b/>
          <w:bCs/>
          <w:color w:val="000000"/>
          <w:szCs w:val="21"/>
          <w:highlight w:val="none"/>
        </w:rPr>
      </w:r>
      <w:r/>
    </w:p>
    <w:p>
      <w:pPr>
        <w:pStyle w:val="995"/>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szCs w:val="21"/>
          <w:highlight w:val="none"/>
        </w:rPr>
      </w:r>
      <w:r/>
    </w:p>
    <w:p>
      <w:pPr>
        <w:pStyle w:val="995"/>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95"/>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995"/>
        <w:ind w:firstLine="210"/>
        <w:jc w:val="center"/>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b/>
          <w:bCs/>
          <w:color w:val="000000"/>
          <w:szCs w:val="21"/>
          <w:highlight w:val="none"/>
        </w:rPr>
        <w:t xml:space="preserve">参加本次政府采购活动前 3 年内在经营活动中没有重大违法记录的书面声明</w:t>
      </w:r>
      <w:r>
        <w:rPr>
          <w:rFonts w:hint="eastAsia" w:ascii="宋体" w:hAnsi="宋体" w:eastAsia="宋体" w:cs="宋体"/>
          <w:b/>
          <w:bCs/>
          <w:color w:val="000000"/>
          <w:szCs w:val="21"/>
          <w:highlight w:val="none"/>
        </w:rPr>
      </w:r>
      <w:r/>
    </w:p>
    <w:p>
      <w:pPr>
        <w:pStyle w:val="995"/>
        <w:jc w:val="center"/>
        <w:spacing w:after="312"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声  明</w:t>
      </w:r>
      <w:r>
        <w:rPr>
          <w:rFonts w:hint="eastAsia" w:ascii="宋体" w:hAnsi="宋体" w:eastAsia="宋体" w:cs="宋体"/>
          <w:b/>
          <w:bCs/>
          <w:color w:val="000000"/>
          <w:szCs w:val="21"/>
          <w:highlight w:val="none"/>
        </w:rPr>
      </w:r>
      <w:r/>
    </w:p>
    <w:p>
      <w:pPr>
        <w:pStyle w:val="995"/>
        <w:ind w:firstLine="420"/>
        <w:spacing w:line="480" w:lineRule="auto"/>
        <w:rPr>
          <w:rFonts w:hint="eastAsia" w:ascii="宋体" w:hAnsi="宋体" w:eastAsia="宋体" w:cs="宋体"/>
          <w:b/>
          <w:bCs/>
          <w:color w:val="000000"/>
          <w:szCs w:val="21"/>
          <w:highlight w:val="none"/>
        </w:rPr>
      </w:pPr>
      <w:r>
        <w:rPr>
          <w:rFonts w:hint="eastAsia" w:ascii="宋体" w:hAnsi="宋体" w:eastAsia="宋体" w:cs="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
          <w:bCs/>
          <w:color w:val="000000"/>
          <w:szCs w:val="21"/>
          <w:highlight w:val="none"/>
        </w:rPr>
      </w:r>
      <w:r/>
    </w:p>
    <w:p>
      <w:pPr>
        <w:pStyle w:val="995"/>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投标人名称（公章）：</w:t>
      </w:r>
      <w:r>
        <w:rPr>
          <w:rFonts w:hint="eastAsia" w:ascii="宋体" w:hAnsi="宋体" w:eastAsia="宋体" w:cs="宋体"/>
          <w:bCs/>
          <w:color w:val="000000"/>
          <w:szCs w:val="21"/>
          <w:highlight w:val="none"/>
        </w:rPr>
      </w:r>
      <w:r/>
    </w:p>
    <w:p>
      <w:pPr>
        <w:pStyle w:val="995"/>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法定代表人或授权代表签字：</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r>
      <w:r/>
    </w:p>
    <w:p>
      <w:pPr>
        <w:pStyle w:val="995"/>
        <w:spacing w:line="48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                               日期：</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年</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月</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日</w:t>
      </w:r>
      <w:r>
        <w:rPr>
          <w:rFonts w:hint="eastAsia" w:ascii="宋体" w:hAnsi="宋体" w:eastAsia="宋体" w:cs="宋体"/>
          <w:bCs/>
          <w:color w:val="000000"/>
          <w:szCs w:val="21"/>
          <w:highlight w:val="none"/>
        </w:rPr>
      </w:r>
      <w:r/>
    </w:p>
    <w:p>
      <w:pPr>
        <w:pStyle w:val="995"/>
        <w:spacing w:line="46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br w:type="page" w:clear="all"/>
      </w:r>
      <w:r>
        <w:rPr>
          <w:rFonts w:hint="eastAsia" w:ascii="宋体" w:hAnsi="宋体" w:eastAsia="宋体" w:cs="宋体"/>
          <w:b/>
          <w:color w:val="000000"/>
          <w:szCs w:val="21"/>
          <w:highlight w:val="none"/>
        </w:rPr>
        <w:t xml:space="preserve">投标人信用承诺书</w:t>
      </w:r>
      <w:r>
        <w:rPr>
          <w:rFonts w:hint="eastAsia" w:ascii="宋体" w:hAnsi="宋体" w:eastAsia="宋体" w:cs="宋体"/>
          <w:b/>
          <w:color w:val="000000"/>
          <w:szCs w:val="21"/>
          <w:highlight w:val="none"/>
        </w:rPr>
      </w:r>
      <w:r/>
    </w:p>
    <w:p>
      <w:pPr>
        <w:pStyle w:val="1096"/>
        <w:numPr>
          <w:ilvl w:val="0"/>
          <w:numId w:val="0"/>
        </w:numPr>
        <w:ind w:left="420"/>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995"/>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承诺主体名称：</w:t>
      </w:r>
      <w:r>
        <w:rPr>
          <w:rFonts w:hint="eastAsia" w:ascii="宋体" w:hAnsi="宋体" w:eastAsia="宋体" w:cs="宋体"/>
          <w:color w:val="000000"/>
          <w:szCs w:val="21"/>
          <w:highlight w:val="none"/>
        </w:rPr>
      </w:r>
      <w:r/>
    </w:p>
    <w:p>
      <w:pPr>
        <w:pStyle w:val="995"/>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四、自觉接受行政管理部门、行业组织、社会公众、新闻舆论的监督；</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七、严格遵守信用信息公示相关规定，向社会公示信用信息；</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八、在“信用中国</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t xml:space="preserve">和“中国政府采购网</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t xml:space="preserve">网站中无违法违规、较重或严重失信记录；</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十、本承诺书自签订之日起生效。</w:t>
      </w:r>
      <w:r>
        <w:rPr>
          <w:rFonts w:hint="eastAsia" w:ascii="宋体" w:hAnsi="宋体" w:eastAsia="宋体" w:cs="宋体"/>
          <w:color w:val="000000"/>
          <w:szCs w:val="21"/>
          <w:highlight w:val="none"/>
        </w:rPr>
      </w:r>
      <w:r/>
    </w:p>
    <w:p>
      <w:pPr>
        <w:pStyle w:val="995"/>
        <w:ind w:firstLine="420"/>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（注：法定代表人或负责人、主体名称发生变更的应当重新做出承诺。）</w:t>
      </w:r>
      <w:r>
        <w:rPr>
          <w:rFonts w:hint="eastAsia" w:ascii="宋体" w:hAnsi="宋体" w:eastAsia="宋体" w:cs="宋体"/>
          <w:color w:val="000000"/>
          <w:szCs w:val="21"/>
          <w:highlight w:val="none"/>
        </w:rPr>
      </w:r>
      <w:r/>
    </w:p>
    <w:p>
      <w:pPr>
        <w:pStyle w:val="1096"/>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95"/>
        <w:ind w:firstLine="420"/>
        <w:jc w:val="center"/>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承诺单位（签章）：</w:t>
      </w:r>
      <w:r>
        <w:rPr>
          <w:rFonts w:hint="eastAsia" w:ascii="宋体" w:hAnsi="宋体" w:eastAsia="宋体" w:cs="宋体"/>
          <w:color w:val="000000"/>
          <w:szCs w:val="21"/>
          <w:highlight w:val="none"/>
        </w:rPr>
      </w:r>
      <w:r/>
    </w:p>
    <w:p>
      <w:pPr>
        <w:pStyle w:val="995"/>
        <w:ind w:firstLine="420"/>
        <w:jc w:val="center"/>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法定代表人（负责人）：</w:t>
      </w:r>
      <w:r>
        <w:rPr>
          <w:rFonts w:hint="eastAsia" w:ascii="宋体" w:hAnsi="宋体" w:eastAsia="宋体" w:cs="宋体"/>
          <w:color w:val="000000"/>
          <w:szCs w:val="21"/>
          <w:highlight w:val="none"/>
        </w:rPr>
      </w:r>
      <w:r/>
    </w:p>
    <w:p>
      <w:pPr>
        <w:pStyle w:val="995"/>
        <w:ind w:firstLine="420"/>
        <w:jc w:val="center"/>
        <w:spacing w:line="31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rPr>
          <w:rFonts w:hint="eastAsia" w:ascii="宋体" w:hAnsi="宋体" w:eastAsia="宋体" w:cs="宋体"/>
          <w:color w:val="000000"/>
          <w:szCs w:val="21"/>
          <w:highlight w:val="none"/>
        </w:rPr>
      </w:r>
      <w:r/>
    </w:p>
    <w:p>
      <w:pPr>
        <w:pStyle w:val="995"/>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1014"/>
        <w:ind w:firstLine="450"/>
        <w:rPr>
          <w:rFonts w:hint="eastAsia" w:ascii="宋体" w:hAnsi="宋体" w:eastAsia="宋体" w:cs="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highlight w:val="none"/>
        </w:rPr>
      </w:r>
      <w:r/>
    </w:p>
    <w:p>
      <w:pPr>
        <w:pStyle w:val="1057"/>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995"/>
        <w:numPr>
          <w:ilvl w:val="0"/>
          <w:numId w:val="6"/>
        </w:num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符合性审查响应对照表</w:t>
      </w:r>
      <w:r>
        <w:rPr>
          <w:rFonts w:hint="eastAsia" w:ascii="宋体" w:hAnsi="宋体" w:eastAsia="宋体" w:cs="宋体"/>
          <w:b/>
          <w:color w:val="000000"/>
          <w:szCs w:val="21"/>
          <w:highlight w:val="none"/>
        </w:rPr>
      </w:r>
      <w:r/>
    </w:p>
    <w:tbl>
      <w:tblPr>
        <w:tblW w:w="879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4792"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rPr>
                <w:rFonts w:hint="eastAsia" w:ascii="宋体" w:hAnsi="宋体" w:eastAsia="宋体" w:cs="宋体"/>
                <w:b/>
                <w:color w:val="000000"/>
                <w:szCs w:val="21"/>
                <w:highlight w:val="none"/>
              </w:rPr>
            </w:r>
            <w:r/>
          </w:p>
        </w:tc>
        <w:tc>
          <w:tcPr>
            <w:tcW w:w="2006"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1348"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W w:w="4792" w:type="dxa"/>
            <w:vAlign w:val="center"/>
            <w:textDirection w:val="lrTb"/>
            <w:noWrap w:val="false"/>
          </w:tcPr>
          <w:p>
            <w:pPr>
              <w:pStyle w:val="995"/>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采购需求中必须满足的实质性要求（即加斜体下划线内容，每条详细列出）</w:t>
            </w:r>
            <w:r>
              <w:rPr>
                <w:rFonts w:hint="eastAsia" w:ascii="宋体" w:hAnsi="宋体" w:eastAsia="宋体" w:cs="宋体"/>
                <w:iCs/>
                <w:color w:val="000000"/>
                <w:szCs w:val="21"/>
                <w:highlight w:val="none"/>
              </w:rPr>
            </w:r>
            <w:r/>
          </w:p>
        </w:tc>
        <w:tc>
          <w:tcPr>
            <w:tcW w:w="2006" w:type="dxa"/>
            <w:vAlign w:val="center"/>
            <w:textDirection w:val="lrTb"/>
            <w:noWrap w:val="false"/>
          </w:tcPr>
          <w:p>
            <w:pPr>
              <w:pStyle w:val="99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48" w:type="dxa"/>
            <w:vAlign w:val="center"/>
            <w:textDirection w:val="lrTb"/>
            <w:noWrap w:val="false"/>
          </w:tcPr>
          <w:p>
            <w:pPr>
              <w:pStyle w:val="99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4792" w:type="dxa"/>
            <w:vAlign w:val="center"/>
            <w:textDirection w:val="lrTb"/>
            <w:noWrap w:val="false"/>
          </w:tcPr>
          <w:p>
            <w:pPr>
              <w:pStyle w:val="995"/>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2006"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646"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4792" w:type="dxa"/>
            <w:vAlign w:val="center"/>
            <w:textDirection w:val="lrTb"/>
            <w:noWrap w:val="false"/>
          </w:tcPr>
          <w:p>
            <w:pPr>
              <w:pStyle w:val="995"/>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2006"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646"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4792" w:type="dxa"/>
            <w:vAlign w:val="center"/>
            <w:textDirection w:val="lrTb"/>
            <w:noWrap w:val="false"/>
          </w:tcPr>
          <w:p>
            <w:pPr>
              <w:pStyle w:val="995"/>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2006"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4792" w:type="dxa"/>
            <w:vAlign w:val="center"/>
            <w:textDirection w:val="lrTb"/>
            <w:noWrap w:val="false"/>
          </w:tcPr>
          <w:p>
            <w:pPr>
              <w:pStyle w:val="995"/>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tc>
        <w:tc>
          <w:tcPr>
            <w:tcW w:w="2006"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95"/>
        <w:numPr>
          <w:ilvl w:val="0"/>
          <w:numId w:val="6"/>
        </w:num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非实质性响应对照表</w:t>
      </w:r>
      <w:r>
        <w:rPr>
          <w:rFonts w:hint="eastAsia" w:ascii="宋体" w:hAnsi="宋体" w:eastAsia="宋体" w:cs="宋体"/>
          <w:b/>
          <w:color w:val="000000"/>
          <w:szCs w:val="21"/>
          <w:highlight w:val="none"/>
        </w:rPr>
      </w:r>
      <w:r/>
    </w:p>
    <w:p>
      <w:pPr>
        <w:pStyle w:val="99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bl>
      <w:tblPr>
        <w:tblW w:w="867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rPr>
                <w:rFonts w:hint="eastAsia" w:ascii="宋体" w:hAnsi="宋体" w:eastAsia="宋体" w:cs="宋体"/>
                <w:b/>
                <w:color w:val="000000"/>
                <w:szCs w:val="21"/>
                <w:highlight w:val="none"/>
              </w:rPr>
            </w:r>
            <w:r/>
          </w:p>
        </w:tc>
        <w:tc>
          <w:tcPr>
            <w:tcW w:w="4572"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非实质性响应内容</w:t>
            </w:r>
            <w:r>
              <w:rPr>
                <w:rFonts w:hint="eastAsia" w:ascii="宋体" w:hAnsi="宋体" w:eastAsia="宋体" w:cs="宋体"/>
                <w:b/>
                <w:color w:val="000000"/>
                <w:szCs w:val="21"/>
                <w:highlight w:val="none"/>
              </w:rPr>
            </w:r>
            <w:r/>
          </w:p>
        </w:tc>
        <w:tc>
          <w:tcPr>
            <w:tcW w:w="1968"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rPr>
                <w:rFonts w:hint="eastAsia" w:ascii="宋体" w:hAnsi="宋体" w:eastAsia="宋体" w:cs="宋体"/>
                <w:b/>
                <w:color w:val="000000"/>
                <w:szCs w:val="21"/>
                <w:highlight w:val="none"/>
              </w:rPr>
            </w:r>
            <w:r/>
          </w:p>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rPr>
                <w:rFonts w:hint="eastAsia" w:ascii="宋体" w:hAnsi="宋体" w:eastAsia="宋体" w:cs="宋体"/>
                <w:b/>
                <w:color w:val="000000"/>
                <w:szCs w:val="21"/>
                <w:highlight w:val="none"/>
              </w:rPr>
            </w:r>
            <w:r/>
          </w:p>
        </w:tc>
        <w:tc>
          <w:tcPr>
            <w:tcW w:w="1491"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995"/>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hint="eastAsia" w:ascii="宋体" w:hAnsi="宋体" w:eastAsia="宋体" w:cs="宋体"/>
                <w:b/>
                <w:color w:val="000000"/>
                <w:szCs w:val="21"/>
                <w:highlight w:val="none"/>
              </w:rPr>
            </w:r>
            <w:r/>
          </w:p>
        </w:tc>
        <w:tc>
          <w:tcPr>
            <w:tcW w:w="4572"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《企业声明函》</w:t>
            </w:r>
            <w:r>
              <w:rPr>
                <w:rFonts w:hint="eastAsia" w:ascii="宋体" w:hAnsi="宋体" w:eastAsia="宋体" w:cs="宋体"/>
                <w:color w:val="000000"/>
                <w:szCs w:val="21"/>
                <w:highlight w:val="none"/>
              </w:rPr>
            </w:r>
            <w:r/>
          </w:p>
        </w:tc>
        <w:tc>
          <w:tcPr>
            <w:tcW w:w="1968" w:type="dxa"/>
            <w:vAlign w:val="center"/>
            <w:textDirection w:val="lrTb"/>
            <w:noWrap w:val="false"/>
          </w:tcPr>
          <w:p>
            <w:pPr>
              <w:pStyle w:val="99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491" w:type="dxa"/>
            <w:vAlign w:val="center"/>
            <w:textDirection w:val="lrTb"/>
            <w:noWrap w:val="false"/>
          </w:tcPr>
          <w:p>
            <w:pPr>
              <w:pStyle w:val="99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4572"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《残疾人福利性单位声明函》</w:t>
            </w:r>
            <w:r>
              <w:rPr>
                <w:rFonts w:hint="eastAsia" w:ascii="宋体" w:hAnsi="宋体" w:eastAsia="宋体" w:cs="宋体"/>
                <w:color w:val="000000"/>
                <w:szCs w:val="21"/>
                <w:highlight w:val="none"/>
              </w:rPr>
            </w:r>
            <w:r/>
          </w:p>
        </w:tc>
        <w:tc>
          <w:tcPr>
            <w:tcW w:w="196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91"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4572" w:type="dxa"/>
            <w:vAlign w:val="center"/>
            <w:textDirection w:val="lrTb"/>
            <w:noWrap w:val="false"/>
          </w:tcPr>
          <w:p>
            <w:pPr>
              <w:pStyle w:val="995"/>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rPr>
                <w:rFonts w:hint="eastAsia" w:ascii="宋体" w:hAnsi="宋体" w:eastAsia="宋体" w:cs="宋体"/>
                <w:iCs/>
                <w:color w:val="000000"/>
                <w:szCs w:val="21"/>
                <w:highlight w:val="none"/>
              </w:rPr>
            </w:r>
            <w:r/>
          </w:p>
        </w:tc>
        <w:tc>
          <w:tcPr>
            <w:tcW w:w="1968"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91" w:type="dxa"/>
            <w:vAlign w:val="center"/>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95"/>
        <w:jc w:val="center"/>
        <w:spacing w:line="36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r>
      <w:r/>
    </w:p>
    <w:p>
      <w:pPr>
        <w:pStyle w:val="995"/>
        <w:jc w:val="center"/>
        <w:spacing w:line="360" w:lineRule="auto"/>
        <w:rPr>
          <w:rFonts w:hint="eastAsia" w:ascii="宋体" w:hAnsi="宋体"/>
          <w:b/>
          <w:bCs/>
          <w:color w:val="000000"/>
          <w:szCs w:val="21"/>
          <w:highlight w:val="none"/>
          <w:lang w:bidi="ar"/>
        </w:rPr>
      </w:pPr>
      <w:r>
        <w:rPr>
          <w:rFonts w:hint="eastAsia" w:ascii="宋体" w:hAnsi="宋体" w:eastAsia="宋体" w:cs="宋体"/>
          <w:b/>
          <w:bCs/>
          <w:color w:val="000000"/>
          <w:szCs w:val="21"/>
          <w:highlight w:val="none"/>
          <w:lang w:bidi="ar"/>
        </w:rPr>
        <w:br w:type="page" w:clear="all"/>
      </w:r>
      <w:r>
        <w:rPr>
          <w:rFonts w:hint="eastAsia" w:ascii="宋体" w:hAnsi="宋体"/>
          <w:b/>
          <w:bCs/>
          <w:color w:val="000000"/>
          <w:szCs w:val="21"/>
          <w:highlight w:val="none"/>
        </w:rPr>
        <w:t xml:space="preserve">中小企业声明函（服务）</w:t>
      </w:r>
      <w:r>
        <w:rPr>
          <w:rFonts w:hint="eastAsia" w:ascii="宋体" w:hAnsi="宋体"/>
          <w:b/>
          <w:bCs/>
          <w:color w:val="000000"/>
          <w:szCs w:val="21"/>
          <w:highlight w:val="none"/>
          <w:lang w:bidi="ar"/>
        </w:rPr>
      </w:r>
      <w:r/>
    </w:p>
    <w:p>
      <w:pPr>
        <w:pStyle w:val="99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本公司（联合体）郑重声明，根据《政府采购促进中小企业发展管理办法》（财库﹝2020﹞46 号）的规定，本公司（联合体）参加</w:t>
      </w:r>
      <w:r>
        <w:rPr>
          <w:rFonts w:hint="eastAsia" w:ascii="宋体" w:hAnsi="宋体"/>
          <w:color w:val="000000"/>
          <w:szCs w:val="21"/>
          <w:highlight w:val="none"/>
          <w:u w:val="single"/>
        </w:rPr>
        <w:t xml:space="preserve">（单位名称）</w:t>
      </w:r>
      <w:r>
        <w:rPr>
          <w:rFonts w:hint="eastAsia" w:ascii="宋体" w:hAnsi="宋体"/>
          <w:color w:val="000000"/>
          <w:szCs w:val="21"/>
          <w:highlight w:val="none"/>
        </w:rPr>
        <w:t xml:space="preserve">的</w:t>
      </w:r>
      <w:r>
        <w:rPr>
          <w:rFonts w:hint="eastAsia" w:ascii="宋体" w:hAnsi="宋体"/>
          <w:color w:val="000000"/>
          <w:szCs w:val="21"/>
          <w:highlight w:val="none"/>
          <w:u w:val="single"/>
        </w:rPr>
        <w:t xml:space="preserve">（项目名称）</w:t>
      </w:r>
      <w:r>
        <w:rPr>
          <w:rFonts w:hint="eastAsia" w:ascii="宋体" w:hAnsi="宋体"/>
          <w:color w:val="000000"/>
          <w:szCs w:val="21"/>
          <w:highlight w:val="none"/>
        </w:rPr>
        <w:t xml:space="preserve">采购活动，服务全部由符合政策要求的中小企业承接。相关企业（含联合体中的中小企业、签订分包意向协议的中小企业）的具体情况如下：</w:t>
      </w:r>
      <w:r>
        <w:rPr>
          <w:rFonts w:hint="eastAsia" w:ascii="宋体" w:hAnsi="宋体"/>
          <w:color w:val="000000"/>
          <w:szCs w:val="21"/>
          <w:highlight w:val="none"/>
        </w:rPr>
      </w:r>
      <w:r/>
    </w:p>
    <w:p>
      <w:pPr>
        <w:pStyle w:val="99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 </w:t>
      </w:r>
      <w:r>
        <w:rPr>
          <w:rFonts w:hint="eastAsia" w:ascii="宋体" w:hAnsi="宋体"/>
          <w:color w:val="000000"/>
          <w:szCs w:val="21"/>
          <w:highlight w:val="none"/>
          <w:u w:val="single"/>
        </w:rPr>
        <w:t xml:space="preserve">（标的名称）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（租赁和商务服务业）（该行业类别不可修改）</w:t>
      </w:r>
      <w:r>
        <w:rPr>
          <w:rFonts w:hint="eastAsia" w:ascii="宋体" w:hAnsi="宋体"/>
          <w:color w:val="000000"/>
          <w:szCs w:val="21"/>
          <w:highlight w:val="none"/>
        </w:rPr>
        <w:t xml:space="preserve">；承建（承接）企业为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rPr>
          <w:rFonts w:hint="eastAsia" w:ascii="宋体" w:hAnsi="宋体"/>
          <w:color w:val="000000"/>
          <w:szCs w:val="21"/>
          <w:highlight w:val="none"/>
          <w:lang w:eastAsia="en-US"/>
        </w:rPr>
        <w:fldChar w:fldCharType="begin"/>
      </w:r>
      <w:r>
        <w:rPr>
          <w:rFonts w:hint="eastAsia" w:ascii="宋体" w:hAnsi="宋体"/>
          <w:color w:val="000000"/>
          <w:spacing w:val="-1"/>
          <w:szCs w:val="21"/>
          <w:highlight w:val="none"/>
          <w:vertAlign w:val="superscript"/>
        </w:rPr>
        <w:instrText xml:space="preserve"> HYPERLINK \l "br1" </w:instrText>
      </w:r>
      <w:r>
        <w:rPr>
          <w:rFonts w:hint="eastAsia" w:ascii="宋体" w:hAnsi="宋体"/>
          <w:color w:val="000000"/>
          <w:szCs w:val="21"/>
          <w:highlight w:val="none"/>
          <w:lang w:eastAsia="en-US"/>
        </w:rPr>
        <w:fldChar w:fldCharType="separate"/>
      </w:r>
      <w:r>
        <w:rPr>
          <w:rFonts w:hint="eastAsia" w:ascii="宋体" w:hAnsi="宋体"/>
          <w:color w:val="000000"/>
          <w:spacing w:val="-1"/>
          <w:szCs w:val="21"/>
          <w:highlight w:val="none"/>
          <w:vertAlign w:val="superscript"/>
        </w:rPr>
        <w:t xml:space="preserve">1</w:t>
      </w:r>
      <w:r>
        <w:rPr>
          <w:rFonts w:hint="eastAsia" w:ascii="宋体" w:hAnsi="宋体"/>
          <w:color w:val="000000"/>
          <w:szCs w:val="21"/>
          <w:highlight w:val="none"/>
          <w:lang w:eastAsia="en-US"/>
        </w:rPr>
        <w:fldChar w:fldCharType="end"/>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rPr>
      </w:r>
      <w:r/>
    </w:p>
    <w:p>
      <w:pPr>
        <w:pStyle w:val="99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 </w:t>
      </w:r>
      <w:r>
        <w:rPr>
          <w:rFonts w:hint="eastAsia" w:ascii="宋体" w:hAnsi="宋体"/>
          <w:color w:val="000000"/>
          <w:szCs w:val="21"/>
          <w:highlight w:val="none"/>
          <w:u w:val="single"/>
        </w:rPr>
        <w:t xml:space="preserve">（标的名称）</w:t>
      </w:r>
      <w:r>
        <w:rPr>
          <w:rFonts w:hint="eastAsia" w:ascii="宋体" w:hAnsi="宋体"/>
          <w:color w:val="000000"/>
          <w:szCs w:val="21"/>
          <w:highlight w:val="none"/>
        </w:rPr>
        <w:t xml:space="preserve"> ，属于</w:t>
      </w:r>
      <w:r>
        <w:rPr>
          <w:rFonts w:hint="eastAsia" w:ascii="宋体" w:hAnsi="宋体"/>
          <w:color w:val="000000"/>
          <w:szCs w:val="21"/>
          <w:highlight w:val="none"/>
          <w:u w:val="single"/>
        </w:rPr>
        <w:t xml:space="preserve">（租赁和商务服务业）（该行业类别不可修改）</w:t>
      </w:r>
      <w:r>
        <w:rPr>
          <w:rFonts w:hint="eastAsia" w:ascii="宋体" w:hAnsi="宋体"/>
          <w:color w:val="000000"/>
          <w:szCs w:val="21"/>
          <w:highlight w:val="none"/>
        </w:rPr>
        <w:t xml:space="preserve">；承建（承接）企业为</w:t>
      </w:r>
      <w:r>
        <w:rPr>
          <w:rFonts w:hint="eastAsia" w:ascii="宋体" w:hAnsi="宋体"/>
          <w:color w:val="000000"/>
          <w:szCs w:val="21"/>
          <w:highlight w:val="none"/>
          <w:u w:val="single"/>
        </w:rPr>
        <w:t xml:space="preserve">（企业名称）</w:t>
      </w:r>
      <w:r>
        <w:rPr>
          <w:rFonts w:hint="eastAsia" w:ascii="宋体" w:hAnsi="宋体"/>
          <w:color w:val="000000"/>
          <w:szCs w:val="21"/>
          <w:highlight w:val="none"/>
        </w:rPr>
        <w:t xml:space="preserve">，从业人员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（中型企业、小型企业、微型企业）；</w:t>
      </w:r>
      <w:r>
        <w:rPr>
          <w:rFonts w:hint="eastAsia" w:ascii="宋体" w:hAnsi="宋体"/>
          <w:color w:val="000000"/>
          <w:szCs w:val="21"/>
          <w:highlight w:val="none"/>
        </w:rPr>
      </w:r>
      <w:r/>
    </w:p>
    <w:p>
      <w:pPr>
        <w:pStyle w:val="99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9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olor w:val="000000"/>
          <w:szCs w:val="21"/>
          <w:highlight w:val="none"/>
        </w:rPr>
      </w:r>
      <w:r/>
    </w:p>
    <w:p>
      <w:pPr>
        <w:pStyle w:val="99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rPr>
          <w:rFonts w:hint="eastAsia" w:ascii="宋体" w:hAnsi="宋体"/>
          <w:color w:val="000000"/>
          <w:szCs w:val="21"/>
          <w:highlight w:val="none"/>
        </w:rPr>
      </w:r>
      <w:r/>
    </w:p>
    <w:p>
      <w:pPr>
        <w:pStyle w:val="995"/>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注</w:t>
      </w:r>
      <w:r>
        <w:rPr>
          <w:rFonts w:hint="eastAsia" w:ascii="宋体" w:hAnsi="宋体"/>
          <w:color w:val="000000"/>
          <w:szCs w:val="21"/>
          <w:highlight w:val="none"/>
        </w:rPr>
        <w:t xml:space="preserve">：1、从业人员（不仅指在职职工）、营业收入、资产总额填报上一年度数据，无上一年度数据的新成立企业可不填报。</w:t>
      </w:r>
      <w:r>
        <w:rPr>
          <w:rFonts w:hint="eastAsia" w:ascii="宋体" w:hAnsi="宋体"/>
          <w:b/>
          <w:bCs/>
          <w:color w:val="000000"/>
          <w:szCs w:val="21"/>
          <w:highlight w:val="none"/>
        </w:rPr>
      </w:r>
      <w:r/>
    </w:p>
    <w:p>
      <w:pPr>
        <w:pStyle w:val="99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2、供应商如不提供此声明函，价格将不做相应扣除。</w:t>
      </w:r>
      <w:r>
        <w:rPr>
          <w:rFonts w:hint="eastAsia" w:ascii="宋体" w:hAnsi="宋体"/>
          <w:color w:val="000000"/>
          <w:szCs w:val="21"/>
          <w:highlight w:val="none"/>
        </w:rPr>
      </w:r>
      <w:r/>
    </w:p>
    <w:p>
      <w:pPr>
        <w:pStyle w:val="99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3、企业声明函请完整填写，成交后将公示。</w:t>
      </w:r>
      <w:r>
        <w:rPr>
          <w:rFonts w:hint="eastAsia" w:ascii="宋体" w:hAnsi="宋体"/>
          <w:color w:val="000000"/>
          <w:szCs w:val="21"/>
          <w:highlight w:val="none"/>
        </w:rPr>
      </w:r>
      <w:r/>
    </w:p>
    <w:p>
      <w:pPr>
        <w:pStyle w:val="99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供应商应当对其出具的《中小企业声明函》真实性负责，供应商出具的《中小企业声明函》内容不实的，属于提供虚假材料谋取成交。对相关制造商信息了解不充分，或者不能确定相关信息真实、准确的，不建议出具《中小企业声明函》。</w:t>
      </w:r>
      <w:r>
        <w:rPr>
          <w:rFonts w:hint="eastAsia" w:ascii="宋体" w:hAnsi="宋体"/>
          <w:color w:val="000000"/>
          <w:szCs w:val="21"/>
          <w:highlight w:val="none"/>
        </w:rPr>
      </w:r>
      <w:r/>
    </w:p>
    <w:p>
      <w:pPr>
        <w:pStyle w:val="99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5、中小企业不得属于大企业的分支机构，不得存在控股股东为大企业的情形，不得存在与大企业的负责人为同一人的情形。</w:t>
      </w:r>
      <w:r>
        <w:rPr>
          <w:rFonts w:hint="eastAsia" w:ascii="宋体" w:hAnsi="宋体"/>
          <w:color w:val="000000"/>
          <w:szCs w:val="21"/>
          <w:highlight w:val="none"/>
        </w:rPr>
      </w:r>
      <w:r/>
    </w:p>
    <w:p>
      <w:pPr>
        <w:pStyle w:val="99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政府采购法》第七十七条第一款：提供虚假材料谋取成交、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olor w:val="000000"/>
          <w:szCs w:val="21"/>
          <w:highlight w:val="none"/>
        </w:rPr>
      </w:r>
      <w:r/>
    </w:p>
    <w:p>
      <w:pPr>
        <w:pStyle w:val="995"/>
        <w:ind w:firstLine="46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企业名称（盖章）：</w:t>
      </w:r>
      <w:r>
        <w:rPr>
          <w:rFonts w:hint="eastAsia" w:ascii="宋体" w:hAnsi="宋体"/>
          <w:color w:val="000000"/>
          <w:szCs w:val="21"/>
          <w:highlight w:val="none"/>
        </w:rPr>
      </w:r>
      <w:r/>
    </w:p>
    <w:p>
      <w:pPr>
        <w:pStyle w:val="995"/>
        <w:ind w:firstLine="462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029"/>
        <w:spacing w:before="300" w:after="300" w:line="360" w:lineRule="auto"/>
        <w:widowControl/>
        <w:rPr>
          <w:rFonts w:hint="eastAsia" w:ascii="宋体" w:hAnsi="宋体" w:eastAsia="宋体"/>
          <w:bCs w:val="0"/>
          <w:color w:val="000000"/>
          <w:sz w:val="21"/>
          <w:szCs w:val="21"/>
          <w:highlight w:val="none"/>
        </w:rPr>
        <w:outlineLvl w:val="9"/>
      </w:pPr>
      <w:r/>
      <w:bookmarkStart w:id="66" w:name="_Toc109304977"/>
      <w:r/>
      <w:bookmarkEnd w:id="66"/>
      <w:r/>
      <w:bookmarkStart w:id="67" w:name="_Toc23256"/>
      <w:r>
        <w:rPr>
          <w:rFonts w:hint="eastAsia" w:ascii="宋体" w:hAnsi="宋体" w:eastAsia="宋体"/>
          <w:bCs w:val="0"/>
          <w:color w:val="000000"/>
          <w:sz w:val="21"/>
          <w:szCs w:val="21"/>
          <w:highlight w:val="none"/>
        </w:rPr>
        <w:t xml:space="preserve">中小微企业划型标准</w:t>
      </w:r>
      <w:bookmarkEnd w:id="67"/>
      <w:r>
        <w:rPr>
          <w:rFonts w:hint="eastAsia" w:ascii="宋体" w:hAnsi="宋体" w:eastAsia="宋体"/>
          <w:bCs w:val="0"/>
          <w:color w:val="000000"/>
          <w:sz w:val="21"/>
          <w:szCs w:val="21"/>
          <w:highlight w:val="none"/>
        </w:rPr>
      </w:r>
      <w:r/>
    </w:p>
    <w:p>
      <w:pPr>
        <w:pStyle w:val="1065"/>
        <w:ind w:firstLine="420"/>
        <w:spacing w:before="300" w:after="452" w:line="360" w:lineRule="auto"/>
        <w:rPr>
          <w:rFonts w:hint="eastAsia"/>
          <w:color w:val="000000"/>
          <w:sz w:val="21"/>
          <w:szCs w:val="21"/>
          <w:highlight w:val="none"/>
        </w:rPr>
      </w:pPr>
      <w:r>
        <w:rPr>
          <w:rStyle w:val="1070"/>
          <w:rFonts w:hint="eastAsia"/>
          <w:color w:val="000000"/>
          <w:sz w:val="21"/>
          <w:szCs w:val="21"/>
          <w:highlight w:val="none"/>
        </w:rPr>
        <w:t xml:space="preserve">中小微企业划型标准如下：</w:t>
      </w:r>
      <w:r>
        <w:rPr>
          <w:rFonts w:hint="eastAsia"/>
          <w:color w:val="000000"/>
          <w:sz w:val="21"/>
          <w:szCs w:val="21"/>
          <w:highlight w:val="none"/>
        </w:rPr>
      </w:r>
      <w:r/>
    </w:p>
    <w:tbl>
      <w:tblPr>
        <w:tblW w:w="8988" w:type="dxa"/>
        <w:tblCellSpacing w:w="15" w:type="dxa"/>
        <w:tblInd w:w="-3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788"/>
        <w:gridCol w:w="1806"/>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行业名称</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指标名称</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计量单位</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中型</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小型</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微型</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农、林、牧、渔</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500≤Y＜20000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50≤Y＜500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Y＜50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工业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300≤X＜1000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20≤X＜300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X＜20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2000≤Y＜40000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300≤Y＜2000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Y＜300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建筑业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6000≤Y＜80000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300≤Y＜6000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Y＜300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资产总额（Z）</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5000≤Z＜80000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300≤Z＜5000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Z＜300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批发业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20≤X＜200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5≤X＜20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X＜5</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5000≤Y＜40000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1000≤Y＜5000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Y＜1000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零售业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50≤X＜300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10≤X＜50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X＜10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500≤Y＜20000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100≤Y＜500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Y＜100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交通运输业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300≤X＜1000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20≤X＜300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X＜20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3000≤Y＜30000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200≤Y＜3000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Y＜200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仓储业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100≤X＜200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20≤X＜100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X＜20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1000≤Y＜30000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100≤Y＜1000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Y＜100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邮政业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300≤X＜1000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20≤X＜300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X＜20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2000≤Y＜30000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100≤Y＜2000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Y＜100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住宿业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100≤X＜300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10≤X＜100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X＜10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2000≤Y＜10000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100≤Y＜2000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Y＜100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餐饮业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100≤X＜300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10≤X＜100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X＜10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2000≤Y＜10000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100≤Y＜2000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Y＜100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信息传输业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100≤X＜2000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10≤X＜100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X＜10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1000≤Y＜100000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100≤Y＜1000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Y＜100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软件和信息技术服务业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100≤X＜300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10≤X＜100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X＜10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1000≤Y＜10000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50≤Y＜1000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Y＜50</w:t>
            </w:r>
            <w:r>
              <w:rPr>
                <w:rStyle w:val="1070"/>
                <w:rFonts w:hint="eastAsia"/>
                <w:color w:val="000000"/>
                <w:sz w:val="21"/>
                <w:szCs w:val="21"/>
                <w:highlight w:val="none"/>
              </w:rPr>
            </w:r>
            <w:r/>
          </w:p>
        </w:tc>
      </w:tr>
      <w:tr>
        <w:trPr>
          <w:tblCellSpacing w:w="15" w:type="dxa"/>
          <w:trHeight w:val="240"/>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房地产开发经营</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1000≤Y＜200000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100≤X＜1000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X＜100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资产总额（Z）</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5000≤Z＜10000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2000≤Y＜5000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Y＜2000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物业管理</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300≤X＜1000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100≤X＜300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X＜100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营业收入（Y）</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1000≤Y＜5000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500≤Y＜1000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Y＜500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租赁和商务服务业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100≤X＜300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10≤X＜100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X＜10</w:t>
            </w:r>
            <w:r>
              <w:rPr>
                <w:rStyle w:val="1070"/>
                <w:rFonts w:hint="eastAsia"/>
                <w:color w:val="000000"/>
                <w:sz w:val="21"/>
                <w:szCs w:val="21"/>
                <w:highlight w:val="none"/>
              </w:rPr>
            </w:r>
            <w:r/>
          </w:p>
        </w:tc>
      </w:tr>
      <w:tr>
        <w:trPr>
          <w:tblCellSpacing w:w="15" w:type="dxa"/>
          <w:trHeight w:val="225"/>
        </w:trPr>
        <w:tc>
          <w:tcPr>
            <w:tcW w:w="1401" w:type="dxa"/>
            <w:vAlign w:val="center"/>
            <w:vMerge w:val="continue"/>
            <w:textDirection w:val="lrTb"/>
            <w:noWrap w:val="false"/>
          </w:tcPr>
          <w:p>
            <w:pPr>
              <w:pStyle w:val="995"/>
              <w:jc w:val="center"/>
              <w:spacing w:line="360" w:lineRule="auto"/>
              <w:widowControl/>
              <w:rPr>
                <w:rFonts w:hint="eastAsia" w:ascii="宋体" w:hAnsi="宋体"/>
                <w:color w:val="000000"/>
                <w:szCs w:val="21"/>
                <w:highlight w:val="none"/>
              </w:rPr>
            </w:pPr>
            <w:r>
              <w:rPr>
                <w:rFonts w:hint="eastAsia" w:ascii="宋体" w:hAnsi="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资产总额（Z）</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万元</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8000≤Z＜120000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100≤Z＜8000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Y＜100</w:t>
            </w:r>
            <w:r>
              <w:rPr>
                <w:rStyle w:val="1070"/>
                <w:rFonts w:hint="eastAsia"/>
                <w:color w:val="000000"/>
                <w:sz w:val="21"/>
                <w:szCs w:val="21"/>
                <w:highlight w:val="none"/>
              </w:rPr>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其他未列明行业</w:t>
            </w:r>
            <w:r>
              <w:rPr>
                <w:rStyle w:val="1070"/>
                <w:rFonts w:hint="eastAsia"/>
                <w:color w:val="000000"/>
                <w:sz w:val="21"/>
                <w:szCs w:val="21"/>
                <w:highlight w:val="none"/>
              </w:rPr>
            </w:r>
            <w:r/>
          </w:p>
        </w:tc>
        <w:tc>
          <w:tcPr>
            <w:tcMar>
              <w:left w:w="105" w:type="dxa"/>
              <w:top w:w="0" w:type="dxa"/>
              <w:right w:w="105" w:type="dxa"/>
              <w:bottom w:w="0" w:type="dxa"/>
            </w:tcMar>
            <w:tcW w:w="170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从业人员（X）</w:t>
            </w:r>
            <w:r>
              <w:rPr>
                <w:rStyle w:val="1070"/>
                <w:rFonts w:hint="eastAsia"/>
                <w:color w:val="000000"/>
                <w:sz w:val="21"/>
                <w:szCs w:val="21"/>
                <w:highlight w:val="none"/>
              </w:rPr>
            </w:r>
            <w:r/>
          </w:p>
        </w:tc>
        <w:tc>
          <w:tcPr>
            <w:tcMar>
              <w:left w:w="105" w:type="dxa"/>
              <w:top w:w="0" w:type="dxa"/>
              <w:right w:w="105" w:type="dxa"/>
              <w:bottom w:w="0" w:type="dxa"/>
            </w:tcMar>
            <w:tcW w:w="758"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人</w:t>
            </w:r>
            <w:r>
              <w:rPr>
                <w:rStyle w:val="1070"/>
                <w:rFonts w:hint="eastAsia"/>
                <w:color w:val="000000"/>
                <w:sz w:val="21"/>
                <w:szCs w:val="21"/>
                <w:highlight w:val="none"/>
              </w:rPr>
            </w:r>
            <w:r/>
          </w:p>
        </w:tc>
        <w:tc>
          <w:tcPr>
            <w:tcMar>
              <w:left w:w="105" w:type="dxa"/>
              <w:top w:w="0" w:type="dxa"/>
              <w:right w:w="105" w:type="dxa"/>
              <w:bottom w:w="0" w:type="dxa"/>
            </w:tcMar>
            <w:tcW w:w="1776"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100≤X＜300</w:t>
            </w:r>
            <w:r>
              <w:rPr>
                <w:rStyle w:val="1070"/>
                <w:rFonts w:hint="eastAsia"/>
                <w:color w:val="000000"/>
                <w:sz w:val="21"/>
                <w:szCs w:val="21"/>
                <w:highlight w:val="none"/>
              </w:rPr>
            </w:r>
            <w:r/>
          </w:p>
        </w:tc>
        <w:tc>
          <w:tcPr>
            <w:tcMar>
              <w:left w:w="105" w:type="dxa"/>
              <w:top w:w="0" w:type="dxa"/>
              <w:right w:w="105" w:type="dxa"/>
              <w:bottom w:w="0" w:type="dxa"/>
            </w:tcMar>
            <w:tcW w:w="1679"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10≤X＜100</w:t>
            </w:r>
            <w:r>
              <w:rPr>
                <w:rStyle w:val="1070"/>
                <w:rFonts w:hint="eastAsia"/>
                <w:color w:val="000000"/>
                <w:sz w:val="21"/>
                <w:szCs w:val="21"/>
                <w:highlight w:val="none"/>
              </w:rPr>
            </w:r>
            <w:r/>
          </w:p>
        </w:tc>
        <w:tc>
          <w:tcPr>
            <w:tcMar>
              <w:left w:w="105" w:type="dxa"/>
              <w:top w:w="0" w:type="dxa"/>
              <w:right w:w="105" w:type="dxa"/>
              <w:bottom w:w="0" w:type="dxa"/>
            </w:tcMar>
            <w:tcW w:w="1455" w:type="dxa"/>
            <w:vAlign w:val="center"/>
            <w:textDirection w:val="lrTb"/>
            <w:noWrap w:val="false"/>
          </w:tcPr>
          <w:p>
            <w:pPr>
              <w:pStyle w:val="1065"/>
              <w:jc w:val="center"/>
              <w:spacing w:before="0" w:beforeAutospacing="0" w:after="0" w:afterAutospacing="0" w:line="360" w:lineRule="auto"/>
              <w:rPr>
                <w:rStyle w:val="1070"/>
                <w:rFonts w:hint="eastAsia"/>
                <w:color w:val="000000"/>
                <w:sz w:val="21"/>
                <w:szCs w:val="21"/>
                <w:highlight w:val="none"/>
              </w:rPr>
            </w:pPr>
            <w:r>
              <w:rPr>
                <w:rStyle w:val="1070"/>
                <w:rFonts w:hint="eastAsia"/>
                <w:color w:val="000000"/>
                <w:sz w:val="21"/>
                <w:szCs w:val="21"/>
                <w:highlight w:val="none"/>
              </w:rPr>
              <w:t xml:space="preserve">X＜10</w:t>
            </w:r>
            <w:r>
              <w:rPr>
                <w:rStyle w:val="1070"/>
                <w:rFonts w:hint="eastAsia"/>
                <w:color w:val="000000"/>
                <w:sz w:val="21"/>
                <w:szCs w:val="21"/>
                <w:highlight w:val="none"/>
              </w:rPr>
            </w:r>
            <w:r/>
          </w:p>
        </w:tc>
      </w:tr>
    </w:tbl>
    <w:p>
      <w:pPr>
        <w:pStyle w:val="1065"/>
        <w:ind w:firstLine="420"/>
        <w:spacing w:before="300" w:after="452" w:line="360" w:lineRule="auto"/>
        <w:rPr>
          <w:rStyle w:val="1070"/>
          <w:rFonts w:hint="eastAsia" w:ascii="宋体" w:hAnsi="宋体" w:eastAsia="宋体" w:cs="宋体"/>
          <w:color w:val="000000"/>
          <w:sz w:val="21"/>
          <w:szCs w:val="21"/>
          <w:highlight w:val="none"/>
        </w:rPr>
      </w:pPr>
      <w:r>
        <w:rPr>
          <w:rStyle w:val="1070"/>
          <w:rFonts w:hint="eastAsia"/>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070"/>
          <w:rFonts w:hint="eastAsia" w:ascii="宋体" w:hAnsi="宋体" w:eastAsia="宋体" w:cs="宋体"/>
          <w:color w:val="000000"/>
          <w:sz w:val="21"/>
          <w:szCs w:val="21"/>
          <w:highlight w:val="none"/>
        </w:rPr>
      </w:r>
      <w:r/>
    </w:p>
    <w:p>
      <w:pPr>
        <w:pStyle w:val="995"/>
        <w:jc w:val="center"/>
        <w:spacing w:line="360" w:lineRule="auto"/>
        <w:widowControl/>
        <w:rPr>
          <w:rFonts w:hint="eastAsia" w:ascii="宋体" w:hAnsi="宋体" w:eastAsia="宋体" w:cs="宋体"/>
          <w:b/>
          <w:bCs/>
          <w:color w:val="000000"/>
          <w:szCs w:val="21"/>
          <w:highlight w:val="none"/>
          <w:lang w:bidi="ar"/>
        </w:rPr>
      </w:pPr>
      <w:r>
        <w:rPr>
          <w:rFonts w:hint="eastAsia" w:ascii="宋体" w:hAnsi="宋体" w:eastAsia="宋体" w:cs="宋体"/>
          <w:b/>
          <w:bCs/>
          <w:color w:val="000000"/>
          <w:szCs w:val="21"/>
          <w:highlight w:val="none"/>
          <w:lang w:bidi="ar"/>
        </w:rPr>
        <w:br w:type="page" w:clear="all"/>
      </w:r>
      <w:r>
        <w:rPr>
          <w:rFonts w:hint="eastAsia" w:ascii="宋体" w:hAnsi="宋体" w:eastAsia="宋体" w:cs="宋体"/>
          <w:b/>
          <w:bCs/>
          <w:color w:val="000000"/>
          <w:szCs w:val="21"/>
          <w:highlight w:val="none"/>
          <w:lang w:bidi="ar"/>
        </w:rPr>
        <w:t xml:space="preserve">残疾人福利性单位声明函</w:t>
      </w:r>
      <w:r>
        <w:rPr>
          <w:rFonts w:hint="eastAsia" w:ascii="宋体" w:hAnsi="宋体" w:eastAsia="宋体" w:cs="宋体"/>
          <w:b/>
          <w:bCs/>
          <w:color w:val="000000"/>
          <w:szCs w:val="21"/>
          <w:highlight w:val="none"/>
          <w:lang w:bidi="ar"/>
        </w:rPr>
      </w:r>
      <w:r/>
    </w:p>
    <w:p>
      <w:pPr>
        <w:pStyle w:val="995"/>
        <w:ind w:firstLine="420"/>
        <w:jc w:val="left"/>
        <w:spacing w:line="360" w:lineRule="auto"/>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本公司郑重声明，根据《财政部 民政部 中国残疾人联合会关于促进残疾人就业政府采购政策的通知》（财库〔2017〕141 号）的规定，本单位为符合条件的残疾人福利性单位，且本单位参加</w:t>
      </w:r>
      <w:r>
        <w:rPr>
          <w:rFonts w:hint="eastAsia" w:ascii="宋体" w:hAnsi="宋体" w:eastAsia="宋体" w:cs="宋体"/>
          <w:color w:val="000000"/>
          <w:szCs w:val="21"/>
          <w:highlight w:val="none"/>
          <w:lang w:eastAsia="zh-CN" w:bidi="ar"/>
        </w:rPr>
        <w:t xml:space="preserve">江苏鼎坚工程咨询有限公司扬州分公司</w:t>
      </w:r>
      <w:r>
        <w:rPr>
          <w:rFonts w:hint="eastAsia" w:ascii="宋体" w:hAnsi="宋体" w:eastAsia="宋体" w:cs="宋体"/>
          <w:color w:val="000000"/>
          <w:szCs w:val="21"/>
          <w:highlight w:val="none"/>
          <w:lang w:bidi="ar"/>
        </w:rPr>
        <w:t xml:space="preserve">采购编号为</w:t>
      </w:r>
      <w:r>
        <w:rPr>
          <w:rFonts w:hint="eastAsia" w:ascii="宋体" w:hAnsi="宋体" w:eastAsia="宋体" w:cs="宋体"/>
          <w:color w:val="000000"/>
          <w:szCs w:val="21"/>
          <w:highlight w:val="none"/>
          <w:u w:val="single"/>
          <w:lang w:bidi="ar"/>
        </w:rPr>
        <w:t xml:space="preserve">            </w:t>
      </w:r>
      <w:r>
        <w:rPr>
          <w:rFonts w:hint="eastAsia" w:ascii="宋体" w:hAnsi="宋体" w:eastAsia="宋体" w:cs="宋体"/>
          <w:color w:val="000000"/>
          <w:szCs w:val="21"/>
          <w:highlight w:val="none"/>
          <w:lang w:bidi="ar"/>
        </w:rPr>
        <w:t xml:space="preserve">的项目采购活动提供本单位制造的货物（由本单位承担工程/提供服务），或者提供其他残疾人福利性单位制造的货物（不包括使用非残疾人福利性单位注册商标的货物）。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szCs w:val="21"/>
          <w:highlight w:val="none"/>
          <w:lang w:bidi="ar"/>
        </w:rPr>
      </w:r>
      <w:r/>
    </w:p>
    <w:p>
      <w:pPr>
        <w:pStyle w:val="995"/>
        <w:ind w:firstLine="420"/>
        <w:jc w:val="left"/>
        <w:spacing w:line="360" w:lineRule="auto"/>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本公司对上述声明的真实性负责。如有虚假，将依法承担相应责任。 </w:t>
      </w:r>
      <w:r>
        <w:rPr>
          <w:rFonts w:hint="eastAsia" w:ascii="宋体" w:hAnsi="宋体" w:eastAsia="宋体" w:cs="宋体"/>
          <w:color w:val="000000"/>
          <w:szCs w:val="21"/>
          <w:highlight w:val="none"/>
          <w:lang w:bidi="ar"/>
        </w:rPr>
      </w:r>
      <w:r/>
    </w:p>
    <w:p>
      <w:pPr>
        <w:pStyle w:val="995"/>
        <w:ind w:firstLine="5880"/>
        <w:jc w:val="left"/>
        <w:spacing w:line="360" w:lineRule="auto"/>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企业名称（盖章）： </w:t>
      </w:r>
      <w:r>
        <w:rPr>
          <w:rFonts w:hint="eastAsia" w:ascii="宋体" w:hAnsi="宋体" w:eastAsia="宋体" w:cs="宋体"/>
          <w:color w:val="000000"/>
          <w:szCs w:val="21"/>
          <w:highlight w:val="none"/>
          <w:lang w:bidi="ar"/>
        </w:rPr>
      </w:r>
      <w:r/>
    </w:p>
    <w:p>
      <w:pPr>
        <w:pStyle w:val="995"/>
        <w:ind w:firstLine="5880"/>
        <w:jc w:val="left"/>
        <w:spacing w:line="360" w:lineRule="auto"/>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日 期：</w:t>
      </w:r>
      <w:r>
        <w:rPr>
          <w:rFonts w:hint="eastAsia" w:ascii="宋体" w:hAnsi="宋体" w:eastAsia="宋体" w:cs="宋体"/>
          <w:color w:val="000000"/>
          <w:szCs w:val="21"/>
          <w:highlight w:val="none"/>
          <w:lang w:bidi="ar"/>
        </w:rPr>
      </w:r>
      <w:r/>
    </w:p>
    <w:p>
      <w:pPr>
        <w:pStyle w:val="1048"/>
        <w:ind w:firstLine="5817"/>
        <w:jc w:val="left"/>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1048"/>
        <w:ind w:firstLine="6090"/>
        <w:jc w:val="left"/>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年     月     日</w:t>
      </w:r>
      <w:r>
        <w:rPr>
          <w:rFonts w:hint="eastAsia" w:ascii="宋体" w:hAnsi="宋体" w:eastAsia="宋体" w:cs="宋体"/>
          <w:color w:val="000000"/>
          <w:sz w:val="21"/>
          <w:highlight w:val="none"/>
        </w:rPr>
      </w:r>
      <w:r/>
    </w:p>
    <w:p>
      <w:pPr>
        <w:pStyle w:val="995"/>
        <w:jc w:val="center"/>
        <w:spacing w:line="85"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rPr>
        <w:t xml:space="preserve">四、</w:t>
      </w:r>
      <w:r>
        <w:rPr>
          <w:rFonts w:hint="eastAsia" w:ascii="宋体" w:hAnsi="宋体" w:eastAsia="宋体" w:cs="宋体"/>
          <w:b/>
          <w:bCs/>
          <w:color w:val="000000"/>
          <w:sz w:val="28"/>
          <w:szCs w:val="28"/>
          <w:highlight w:val="none"/>
        </w:rPr>
        <w:t xml:space="preserve">开标一览表</w:t>
      </w:r>
      <w:r>
        <w:rPr>
          <w:rFonts w:hint="eastAsia" w:ascii="宋体" w:hAnsi="宋体" w:eastAsia="宋体" w:cs="宋体"/>
          <w:b/>
          <w:color w:val="000000"/>
          <w:sz w:val="28"/>
          <w:szCs w:val="28"/>
          <w:highlight w:val="none"/>
        </w:rPr>
      </w:r>
      <w:r/>
    </w:p>
    <w:p>
      <w:pPr>
        <w:pStyle w:val="995"/>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p>
      <w:pPr>
        <w:pStyle w:val="995"/>
        <w:ind w:firstLine="210"/>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项目名称： </w:t>
      </w:r>
      <w:r>
        <w:rPr>
          <w:rFonts w:hint="eastAsia" w:ascii="宋体" w:hAnsi="宋体" w:eastAsia="宋体" w:cs="宋体"/>
          <w:color w:val="000000"/>
          <w:szCs w:val="21"/>
          <w:highlight w:val="none"/>
        </w:rPr>
      </w:r>
      <w:r/>
    </w:p>
    <w:p>
      <w:pPr>
        <w:pStyle w:val="995"/>
        <w:ind w:firstLine="210"/>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项目编号：                  </w:t>
      </w:r>
      <w:r>
        <w:rPr>
          <w:rFonts w:hint="eastAsia" w:ascii="宋体" w:hAnsi="宋体" w:eastAsia="宋体" w:cs="宋体"/>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104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投标总报价</w:t>
            </w:r>
            <w:r>
              <w:rPr>
                <w:rFonts w:hint="eastAsia" w:ascii="宋体" w:hAnsi="宋体" w:eastAsia="宋体" w:cs="宋体"/>
                <w:color w:val="000000"/>
                <w:szCs w:val="21"/>
                <w:highlight w:val="none"/>
              </w:rPr>
            </w:r>
            <w:r/>
          </w:p>
        </w:tc>
      </w:tr>
      <w:tr>
        <w:trPr>
          <w:cantSplit/>
          <w:trHeight w:val="1697"/>
        </w:trPr>
        <w:tc>
          <w:tcPr>
            <w:tcW w:w="2377" w:type="dxa"/>
            <w:vAlign w:val="center"/>
            <w:textDirection w:val="lrTb"/>
            <w:noWrap w:val="false"/>
          </w:tcPr>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1099"/>
              <w:ind w:firstLine="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1099"/>
              <w:ind w:firstLine="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（人民币：元）</w:t>
            </w:r>
            <w:r>
              <w:rPr>
                <w:rFonts w:hint="eastAsia" w:ascii="宋体" w:hAnsi="宋体" w:eastAsia="宋体" w:cs="宋体"/>
                <w:color w:val="000000"/>
                <w:sz w:val="21"/>
                <w:szCs w:val="21"/>
                <w:highlight w:val="none"/>
              </w:rPr>
            </w:r>
            <w:r/>
          </w:p>
        </w:tc>
      </w:tr>
      <w:tr>
        <w:trPr>
          <w:cantSplit/>
          <w:trHeight w:val="1697"/>
        </w:trPr>
        <w:tc>
          <w:tcPr>
            <w:tcW w:w="2377" w:type="dxa"/>
            <w:vAlign w:val="center"/>
            <w:textDirection w:val="lrTb"/>
            <w:noWrap w:val="false"/>
          </w:tcPr>
          <w:p>
            <w:pPr>
              <w:pStyle w:val="104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tcW w:w="6143" w:type="dxa"/>
            <w:vAlign w:val="center"/>
            <w:textDirection w:val="lrTb"/>
            <w:noWrap w:val="false"/>
          </w:tcPr>
          <w:p>
            <w:pPr>
              <w:pStyle w:val="1099"/>
              <w:ind w:firstLine="0"/>
              <w:spacing w:before="0" w:after="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95"/>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1002"/>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95"/>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法定代表人或者授权代表（签字或盖章）：</w:t>
      </w:r>
      <w:r>
        <w:rPr>
          <w:rFonts w:hint="eastAsia" w:ascii="宋体" w:hAnsi="宋体" w:eastAsia="宋体" w:cs="宋体"/>
          <w:color w:val="000000"/>
          <w:szCs w:val="21"/>
          <w:highlight w:val="none"/>
        </w:rPr>
      </w:r>
      <w:r/>
    </w:p>
    <w:p>
      <w:pPr>
        <w:pStyle w:val="995"/>
        <w:keepLines w:val="0"/>
        <w:keepNext w:val="0"/>
        <w:pageBreakBefore w:val="0"/>
        <w:spacing w:line="360" w:lineRule="auto"/>
        <w:widowControl w:val="off"/>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投标人全称（盖章）：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95"/>
        <w:jc w:val="center"/>
        <w:spacing w:after="312"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t xml:space="preserve">分项报价表</w:t>
      </w:r>
      <w:r>
        <w:rPr>
          <w:rFonts w:hint="eastAsia" w:ascii="宋体" w:hAnsi="宋体" w:eastAsia="宋体" w:cs="宋体"/>
          <w:b/>
          <w:color w:val="000000"/>
          <w:szCs w:val="21"/>
          <w:highlight w:val="none"/>
        </w:rPr>
      </w:r>
      <w:r/>
    </w:p>
    <w:p>
      <w:pPr>
        <w:pStyle w:val="995"/>
        <w:ind w:firstLine="420"/>
        <w:spacing w:after="312"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投标人全称（加盖公章）：</w:t>
      </w:r>
      <w:r>
        <w:rPr>
          <w:rFonts w:hint="eastAsia" w:ascii="宋体" w:hAnsi="宋体" w:eastAsia="宋体" w:cs="宋体"/>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1"/>
        <w:gridCol w:w="1589"/>
        <w:gridCol w:w="1711"/>
        <w:gridCol w:w="1711"/>
        <w:gridCol w:w="1711"/>
      </w:tblGrid>
      <w:tr>
        <w:trPr>
          <w:trHeight w:val="577"/>
        </w:trPr>
        <w:tc>
          <w:tcPr>
            <w:tcMar>
              <w:left w:w="108" w:type="dxa"/>
              <w:top w:w="0" w:type="dxa"/>
              <w:right w:w="108" w:type="dxa"/>
              <w:bottom w:w="0" w:type="dxa"/>
            </w:tcMar>
            <w:tcW w:w="190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Mar>
              <w:left w:w="108" w:type="dxa"/>
              <w:top w:w="0" w:type="dxa"/>
              <w:right w:w="108" w:type="dxa"/>
              <w:bottom w:w="0" w:type="dxa"/>
            </w:tcMar>
            <w:tcW w:w="1589"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r>
      <w:tr>
        <w:trPr>
          <w:trHeight w:val="648"/>
        </w:trPr>
        <w:tc>
          <w:tcPr>
            <w:tcMar>
              <w:left w:w="108" w:type="dxa"/>
              <w:top w:w="0" w:type="dxa"/>
              <w:right w:w="108" w:type="dxa"/>
              <w:bottom w:w="0" w:type="dxa"/>
            </w:tcMar>
            <w:tcW w:w="190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服务分项</w:t>
            </w:r>
            <w:r>
              <w:rPr>
                <w:rFonts w:hint="eastAsia" w:ascii="宋体" w:hAnsi="宋体" w:eastAsia="宋体" w:cs="宋体"/>
                <w:color w:val="000000"/>
                <w:szCs w:val="21"/>
                <w:highlight w:val="none"/>
              </w:rPr>
            </w:r>
            <w:r/>
          </w:p>
        </w:tc>
        <w:tc>
          <w:tcPr>
            <w:tcMar>
              <w:left w:w="108" w:type="dxa"/>
              <w:top w:w="0" w:type="dxa"/>
              <w:right w:w="108" w:type="dxa"/>
              <w:bottom w:w="0" w:type="dxa"/>
            </w:tcMar>
            <w:tcW w:w="1589" w:type="dxa"/>
            <w:vAlign w:val="center"/>
            <w:textDirection w:val="lrTb"/>
            <w:noWrap w:val="false"/>
          </w:tcPr>
          <w:p>
            <w:pPr>
              <w:pStyle w:val="995"/>
              <w:jc w:val="center"/>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数量</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单价</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总价</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备注</w:t>
            </w:r>
            <w:r>
              <w:rPr>
                <w:rFonts w:hint="eastAsia" w:ascii="宋体" w:hAnsi="宋体" w:eastAsia="宋体" w:cs="宋体"/>
                <w:color w:val="000000"/>
                <w:szCs w:val="21"/>
                <w:highlight w:val="none"/>
                <w:lang w:eastAsia="zh-CN"/>
              </w:rPr>
            </w:r>
            <w:r/>
          </w:p>
        </w:tc>
      </w:tr>
      <w:tr>
        <w:trPr>
          <w:trHeight w:val="700"/>
        </w:trPr>
        <w:tc>
          <w:tcPr>
            <w:tcMar>
              <w:left w:w="108" w:type="dxa"/>
              <w:top w:w="0" w:type="dxa"/>
              <w:right w:w="108" w:type="dxa"/>
              <w:bottom w:w="0" w:type="dxa"/>
            </w:tcMar>
            <w:tcW w:w="190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589"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697"/>
        </w:trPr>
        <w:tc>
          <w:tcPr>
            <w:tcMar>
              <w:left w:w="108" w:type="dxa"/>
              <w:top w:w="0" w:type="dxa"/>
              <w:right w:w="108" w:type="dxa"/>
              <w:bottom w:w="0" w:type="dxa"/>
            </w:tcMar>
            <w:tcW w:w="190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589"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706"/>
        </w:trPr>
        <w:tc>
          <w:tcPr>
            <w:tcMar>
              <w:left w:w="108" w:type="dxa"/>
              <w:top w:w="0" w:type="dxa"/>
              <w:right w:w="108" w:type="dxa"/>
              <w:bottom w:w="0" w:type="dxa"/>
            </w:tcMar>
            <w:tcW w:w="190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589"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615"/>
        </w:trPr>
        <w:tc>
          <w:tcPr>
            <w:tcMar>
              <w:left w:w="108" w:type="dxa"/>
              <w:top w:w="0" w:type="dxa"/>
              <w:right w:w="108" w:type="dxa"/>
              <w:bottom w:w="0" w:type="dxa"/>
            </w:tcMar>
            <w:tcW w:w="190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589"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615"/>
        </w:trPr>
        <w:tc>
          <w:tcPr>
            <w:tcMar>
              <w:left w:w="108" w:type="dxa"/>
              <w:top w:w="0" w:type="dxa"/>
              <w:right w:w="108" w:type="dxa"/>
              <w:bottom w:w="0" w:type="dxa"/>
            </w:tcMar>
            <w:tcW w:w="190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589"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858"/>
        </w:trPr>
        <w:tc>
          <w:tcPr>
            <w:tcMar>
              <w:left w:w="108" w:type="dxa"/>
              <w:top w:w="0" w:type="dxa"/>
              <w:right w:w="108" w:type="dxa"/>
              <w:bottom w:w="0" w:type="dxa"/>
            </w:tcMar>
            <w:tcW w:w="190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gridSpan w:val="2"/>
            <w:tcMar>
              <w:left w:w="108" w:type="dxa"/>
              <w:top w:w="0" w:type="dxa"/>
              <w:right w:w="108" w:type="dxa"/>
              <w:bottom w:w="0" w:type="dxa"/>
            </w:tcMar>
            <w:tcW w:w="3300"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711" w:type="dxa"/>
            <w:vAlign w:val="center"/>
            <w:textDirection w:val="lrTb"/>
            <w:noWrap w:val="false"/>
          </w:tcPr>
          <w:p>
            <w:pPr>
              <w:pStyle w:val="995"/>
              <w:jc w:val="center"/>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bl>
    <w:p>
      <w:pPr>
        <w:pStyle w:val="995"/>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95"/>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95"/>
        <w:ind w:firstLine="210"/>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法定代表人或授权代表签字：</w:t>
      </w:r>
      <w:r>
        <w:rPr>
          <w:rFonts w:hint="eastAsia" w:ascii="宋体" w:hAnsi="宋体" w:eastAsia="宋体" w:cs="宋体"/>
          <w:color w:val="000000"/>
          <w:szCs w:val="21"/>
          <w:highlight w:val="none"/>
        </w:rPr>
      </w:r>
      <w:r/>
    </w:p>
    <w:p>
      <w:pPr>
        <w:pStyle w:val="995"/>
        <w:jc w:val="center"/>
        <w:spacing w:after="312"/>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p>
      <w:pPr>
        <w:pStyle w:val="995"/>
        <w:jc w:val="right"/>
        <w:spacing w:after="312"/>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rPr>
      </w:r>
      <w:r/>
    </w:p>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、行数不够，可自行添加。</w:t>
      </w:r>
      <w:r>
        <w:rPr>
          <w:rFonts w:hint="eastAsia" w:ascii="宋体" w:hAnsi="宋体" w:eastAsia="宋体" w:cs="宋体"/>
          <w:color w:val="000000"/>
          <w:szCs w:val="21"/>
          <w:highlight w:val="none"/>
        </w:rPr>
      </w:r>
      <w:r/>
    </w:p>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95"/>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br w:type="page" w:clear="all"/>
      </w:r>
      <w:bookmarkStart w:id="68" w:name="_Toc11692"/>
      <w:r>
        <w:rPr>
          <w:rFonts w:hint="eastAsia" w:ascii="宋体" w:hAnsi="宋体" w:eastAsia="宋体" w:cs="宋体"/>
          <w:b/>
          <w:color w:val="000000"/>
          <w:szCs w:val="21"/>
          <w:highlight w:val="none"/>
        </w:rPr>
        <w:t xml:space="preserve">五、技术参数响应及偏离表</w:t>
      </w:r>
      <w:bookmarkEnd w:id="68"/>
      <w:r>
        <w:rPr>
          <w:rFonts w:hint="eastAsia" w:ascii="宋体" w:hAnsi="宋体" w:eastAsia="宋体" w:cs="宋体"/>
          <w:bCs/>
          <w:color w:val="000000"/>
          <w:szCs w:val="21"/>
          <w:highlight w:val="none"/>
        </w:rPr>
      </w:r>
      <w:r/>
    </w:p>
    <w:tbl>
      <w:tblPr>
        <w:tblW w:w="883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2409"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采购要求</w:t>
            </w:r>
            <w:r>
              <w:rPr>
                <w:rFonts w:hint="eastAsia" w:ascii="宋体" w:hAnsi="宋体" w:eastAsia="宋体" w:cs="宋体"/>
                <w:color w:val="000000"/>
                <w:szCs w:val="21"/>
                <w:highlight w:val="none"/>
              </w:rPr>
            </w:r>
            <w:r/>
          </w:p>
        </w:tc>
        <w:tc>
          <w:tcPr>
            <w:tcW w:w="2284"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投标响应</w:t>
            </w:r>
            <w:r>
              <w:rPr>
                <w:rFonts w:hint="eastAsia" w:ascii="宋体" w:hAnsi="宋体" w:eastAsia="宋体" w:cs="宋体"/>
                <w:color w:val="000000"/>
                <w:szCs w:val="21"/>
                <w:highlight w:val="none"/>
              </w:rPr>
            </w:r>
            <w:r/>
          </w:p>
        </w:tc>
        <w:tc>
          <w:tcPr>
            <w:tcW w:w="2016"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超出、符合或偏离</w:t>
            </w:r>
            <w:r>
              <w:rPr>
                <w:rFonts w:hint="eastAsia" w:ascii="宋体" w:hAnsi="宋体" w:eastAsia="宋体" w:cs="宋体"/>
                <w:color w:val="000000"/>
                <w:szCs w:val="21"/>
                <w:highlight w:val="none"/>
              </w:rPr>
            </w:r>
            <w:r/>
          </w:p>
        </w:tc>
        <w:tc>
          <w:tcPr>
            <w:tcW w:w="1137" w:type="dxa"/>
            <w:vAlign w:val="center"/>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证明材料</w:t>
            </w: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9"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016"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7"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9"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016"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7"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9"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016"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7"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9"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016"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7"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9"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016"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7"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9"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016"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7"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9"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016"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7"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cantSplit/>
          <w:trHeight w:val="640"/>
        </w:trPr>
        <w:tc>
          <w:tcPr>
            <w:tcW w:w="9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409"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284"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016"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37"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注：1、按照基本技术要求详细填列。</w:t>
      </w:r>
      <w:r>
        <w:rPr>
          <w:rFonts w:hint="eastAsia" w:ascii="宋体" w:hAnsi="宋体" w:eastAsia="宋体" w:cs="宋体"/>
          <w:color w:val="000000"/>
          <w:szCs w:val="21"/>
          <w:highlight w:val="none"/>
        </w:rPr>
      </w:r>
      <w:r/>
    </w:p>
    <w:p>
      <w:pPr>
        <w:pStyle w:val="995"/>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2、行数不够，可自行添加。</w:t>
      </w:r>
      <w:r>
        <w:rPr>
          <w:rFonts w:hint="eastAsia" w:ascii="宋体" w:hAnsi="宋体" w:eastAsia="宋体" w:cs="宋体"/>
          <w:color w:val="000000"/>
          <w:szCs w:val="21"/>
          <w:highlight w:val="none"/>
        </w:rPr>
      </w:r>
      <w:r/>
    </w:p>
    <w:p>
      <w:pPr>
        <w:pStyle w:val="1048"/>
        <w:jc w:val="center"/>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br w:type="page" w:clear="all"/>
      </w:r>
      <w:bookmarkStart w:id="69" w:name="_Toc26000"/>
      <w:r>
        <w:rPr>
          <w:rFonts w:hint="eastAsia" w:ascii="宋体" w:hAnsi="宋体" w:eastAsia="宋体" w:cs="宋体"/>
          <w:b/>
          <w:color w:val="000000"/>
          <w:sz w:val="21"/>
          <w:highlight w:val="none"/>
        </w:rPr>
        <w:t xml:space="preserve">六、商务条款响应及偏离表</w:t>
      </w:r>
      <w:bookmarkEnd w:id="69"/>
      <w:r>
        <w:rPr>
          <w:rFonts w:hint="eastAsia" w:ascii="宋体" w:hAnsi="宋体" w:eastAsia="宋体" w:cs="宋体"/>
          <w:b/>
          <w:color w:val="000000"/>
          <w:sz w:val="21"/>
          <w:highlight w:val="none"/>
        </w:rPr>
      </w:r>
      <w:r/>
    </w:p>
    <w:tbl>
      <w:tblPr>
        <w:tblW w:w="85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tc>
        <w:tc>
          <w:tcPr>
            <w:tcW w:w="2502"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采购文件要求</w:t>
            </w:r>
            <w:r>
              <w:rPr>
                <w:rFonts w:hint="eastAsia" w:ascii="宋体" w:hAnsi="宋体" w:eastAsia="宋体" w:cs="宋体"/>
                <w:color w:val="000000"/>
                <w:szCs w:val="21"/>
                <w:highlight w:val="none"/>
              </w:rPr>
            </w:r>
            <w:r/>
          </w:p>
        </w:tc>
        <w:tc>
          <w:tcPr>
            <w:tcW w:w="1837"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是否响应</w:t>
            </w:r>
            <w:r>
              <w:rPr>
                <w:rFonts w:hint="eastAsia" w:ascii="宋体" w:hAnsi="宋体" w:eastAsia="宋体" w:cs="宋体"/>
                <w:color w:val="000000"/>
                <w:szCs w:val="21"/>
                <w:highlight w:val="none"/>
              </w:rPr>
            </w:r>
            <w:r/>
          </w:p>
        </w:tc>
        <w:tc>
          <w:tcPr>
            <w:tcW w:w="2563"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投标人的承诺或说明</w:t>
            </w:r>
            <w:r>
              <w:rPr>
                <w:rFonts w:hint="eastAsia" w:ascii="宋体" w:hAnsi="宋体" w:eastAsia="宋体" w:cs="宋体"/>
                <w:color w:val="000000"/>
                <w:szCs w:val="21"/>
                <w:highlight w:val="none"/>
              </w:rPr>
            </w:r>
            <w:r/>
          </w:p>
        </w:tc>
      </w:tr>
      <w:tr>
        <w:trPr>
          <w:trHeight w:val="540"/>
        </w:trPr>
        <w:tc>
          <w:tcPr>
            <w:tcW w:w="1638"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服务时间</w:t>
            </w:r>
            <w:r>
              <w:rPr>
                <w:rFonts w:hint="eastAsia" w:ascii="宋体" w:hAnsi="宋体" w:eastAsia="宋体" w:cs="宋体"/>
                <w:color w:val="000000"/>
                <w:szCs w:val="21"/>
                <w:highlight w:val="none"/>
              </w:rPr>
            </w:r>
            <w:r/>
          </w:p>
        </w:tc>
        <w:tc>
          <w:tcPr>
            <w:tcW w:w="2502"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37" w:type="dxa"/>
            <w:vAlign w:val="top"/>
            <w:textDirection w:val="lrTb"/>
            <w:noWrap w:val="false"/>
          </w:tcPr>
          <w:p>
            <w:pPr>
              <w:pStyle w:val="995"/>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3" w:type="dxa"/>
            <w:vAlign w:val="top"/>
            <w:textDirection w:val="lrTb"/>
            <w:noWrap w:val="false"/>
          </w:tcPr>
          <w:p>
            <w:pPr>
              <w:pStyle w:val="995"/>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40"/>
        </w:trPr>
        <w:tc>
          <w:tcPr>
            <w:tcW w:w="1638"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服务方式</w:t>
            </w:r>
            <w:r>
              <w:rPr>
                <w:rFonts w:hint="eastAsia" w:ascii="宋体" w:hAnsi="宋体" w:eastAsia="宋体" w:cs="宋体"/>
                <w:color w:val="000000"/>
                <w:szCs w:val="21"/>
                <w:highlight w:val="none"/>
              </w:rPr>
            </w:r>
            <w:r/>
          </w:p>
        </w:tc>
        <w:tc>
          <w:tcPr>
            <w:tcW w:w="2502" w:type="dxa"/>
            <w:vAlign w:val="top"/>
            <w:textDirection w:val="lrTb"/>
            <w:noWrap w:val="false"/>
          </w:tcPr>
          <w:p>
            <w:pPr>
              <w:pStyle w:val="995"/>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37" w:type="dxa"/>
            <w:vAlign w:val="top"/>
            <w:textDirection w:val="lrTb"/>
            <w:noWrap w:val="false"/>
          </w:tcPr>
          <w:p>
            <w:pPr>
              <w:pStyle w:val="995"/>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3" w:type="dxa"/>
            <w:vAlign w:val="top"/>
            <w:textDirection w:val="lrTb"/>
            <w:noWrap w:val="false"/>
          </w:tcPr>
          <w:p>
            <w:pPr>
              <w:pStyle w:val="995"/>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0"/>
        </w:trPr>
        <w:tc>
          <w:tcPr>
            <w:tcW w:w="1638"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服务地点</w:t>
            </w:r>
            <w:r>
              <w:rPr>
                <w:rFonts w:hint="eastAsia" w:ascii="宋体" w:hAnsi="宋体" w:eastAsia="宋体" w:cs="宋体"/>
                <w:color w:val="000000"/>
                <w:szCs w:val="21"/>
                <w:highlight w:val="none"/>
              </w:rPr>
            </w:r>
            <w:r/>
          </w:p>
        </w:tc>
        <w:tc>
          <w:tcPr>
            <w:tcW w:w="2502" w:type="dxa"/>
            <w:vAlign w:val="top"/>
            <w:textDirection w:val="lrTb"/>
            <w:noWrap w:val="false"/>
          </w:tcPr>
          <w:p>
            <w:pPr>
              <w:pStyle w:val="995"/>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37" w:type="dxa"/>
            <w:vAlign w:val="top"/>
            <w:textDirection w:val="lrTb"/>
            <w:noWrap w:val="false"/>
          </w:tcPr>
          <w:p>
            <w:pPr>
              <w:pStyle w:val="995"/>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3" w:type="dxa"/>
            <w:vAlign w:val="top"/>
            <w:textDirection w:val="lrTb"/>
            <w:noWrap w:val="false"/>
          </w:tcPr>
          <w:p>
            <w:pPr>
              <w:pStyle w:val="995"/>
              <w:ind w:left="43"/>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2"/>
        </w:trPr>
        <w:tc>
          <w:tcPr>
            <w:tcW w:w="1638"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付款方式</w:t>
            </w:r>
            <w:r>
              <w:rPr>
                <w:rFonts w:hint="eastAsia" w:ascii="宋体" w:hAnsi="宋体" w:eastAsia="宋体" w:cs="宋体"/>
                <w:color w:val="000000"/>
                <w:szCs w:val="21"/>
                <w:highlight w:val="none"/>
              </w:rPr>
            </w:r>
            <w:r/>
          </w:p>
        </w:tc>
        <w:tc>
          <w:tcPr>
            <w:tcW w:w="2502" w:type="dxa"/>
            <w:vAlign w:val="top"/>
            <w:textDirection w:val="lrTb"/>
            <w:noWrap w:val="false"/>
          </w:tcPr>
          <w:p>
            <w:pPr>
              <w:pStyle w:val="995"/>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37"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3"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638"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rPr>
            </w:r>
            <w:r/>
          </w:p>
        </w:tc>
        <w:tc>
          <w:tcPr>
            <w:tcW w:w="2502"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837"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563" w:type="dxa"/>
            <w:vAlign w:val="top"/>
            <w:textDirection w:val="lrTb"/>
            <w:noWrap w:val="false"/>
          </w:tcPr>
          <w:p>
            <w:pPr>
              <w:pStyle w:val="995"/>
              <w:jc w:val="center"/>
              <w:spacing w:before="156"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1048"/>
        <w:ind w:firstLine="422"/>
        <w:jc w:val="center"/>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r>
      <w:r/>
    </w:p>
    <w:p>
      <w:pPr>
        <w:pStyle w:val="995"/>
        <w:ind w:right="-2"/>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Cs w:val="21"/>
          <w:highlight w:val="none"/>
        </w:rPr>
      </w:r>
      <w:r/>
    </w:p>
    <w:p>
      <w:pPr>
        <w:pStyle w:val="995"/>
        <w:ind w:right="-2"/>
        <w:jc w:val="center"/>
        <w:spacing w:line="85" w:lineRule="atLeast"/>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七、拟投入人员一览表</w:t>
      </w:r>
      <w:r>
        <w:rPr>
          <w:rFonts w:hint="eastAsia" w:ascii="宋体" w:hAnsi="宋体" w:eastAsia="宋体" w:cs="宋体"/>
          <w:b/>
          <w:color w:val="000000"/>
          <w:szCs w:val="21"/>
          <w:highlight w:val="none"/>
        </w:rPr>
      </w:r>
      <w:r/>
    </w:p>
    <w:p>
      <w:pPr>
        <w:pStyle w:val="995"/>
        <w:rPr>
          <w:rFonts w:hint="eastAsia" w:ascii="宋体" w:hAnsi="宋体" w:eastAsia="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highlight w:val="none"/>
        </w:rPr>
        <w:t xml:space="preserve">投标人全称（加盖公章）：</w:t>
      </w:r>
      <w:r>
        <w:rPr>
          <w:rFonts w:hint="eastAsia" w:ascii="宋体" w:hAnsi="宋体" w:eastAsia="宋体" w:cs="宋体"/>
          <w:b/>
          <w:color w:val="000000"/>
          <w:szCs w:val="21"/>
          <w:highlight w:val="none"/>
        </w:rPr>
      </w:r>
      <w:r/>
    </w:p>
    <w:p>
      <w:pPr>
        <w:pStyle w:val="995"/>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p>
      <w:pPr>
        <w:pStyle w:val="995"/>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1078"/>
        <w:gridCol w:w="1078"/>
        <w:gridCol w:w="1078"/>
        <w:gridCol w:w="1078"/>
        <w:gridCol w:w="1079"/>
        <w:gridCol w:w="1079"/>
        <w:gridCol w:w="1079"/>
      </w:tblGrid>
      <w:tr>
        <w:trPr>
          <w:trHeight w:val="781"/>
        </w:trPr>
        <w:tc>
          <w:tcPr>
            <w:tcMar>
              <w:left w:w="108" w:type="dxa"/>
              <w:top w:w="0" w:type="dxa"/>
              <w:right w:w="108" w:type="dxa"/>
              <w:bottom w:w="0" w:type="dxa"/>
            </w:tcMar>
            <w:tcW w:w="1169" w:type="dxa"/>
            <w:vAlign w:val="center"/>
            <w:textDirection w:val="lrTb"/>
            <w:noWrap w:val="false"/>
          </w:tcPr>
          <w:p>
            <w:pPr>
              <w:pStyle w:val="995"/>
              <w:ind w:right="-2"/>
              <w:jc w:val="center"/>
              <w:spacing w:before="312"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before="312"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岗位</w:t>
            </w: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before="312"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姓 名</w:t>
            </w: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before="312"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before="312"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学历</w:t>
            </w: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before="312"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出生年月</w:t>
            </w: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before="312"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专业</w:t>
            </w: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before="312"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473"/>
        </w:trPr>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473"/>
        </w:trPr>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473"/>
        </w:trPr>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473"/>
        </w:trPr>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473"/>
        </w:trPr>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473"/>
        </w:trPr>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473"/>
        </w:trPr>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473"/>
        </w:trPr>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r>
        <w:trPr>
          <w:trHeight w:val="483"/>
        </w:trPr>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c>
          <w:tcPr>
            <w:tcMar>
              <w:left w:w="108" w:type="dxa"/>
              <w:top w:w="0" w:type="dxa"/>
              <w:right w:w="108" w:type="dxa"/>
              <w:bottom w:w="0" w:type="dxa"/>
            </w:tcMar>
            <w:tcW w:w="1169" w:type="dxa"/>
            <w:vAlign w:val="center"/>
            <w:textDirection w:val="lrTb"/>
            <w:noWrap w:val="false"/>
          </w:tcPr>
          <w:p>
            <w:pPr>
              <w:pStyle w:val="995"/>
              <w:ind w:right="-2"/>
              <w:jc w:val="center"/>
              <w:spacing w:line="85" w:lineRule="atLeas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tc>
      </w:tr>
    </w:tbl>
    <w:p>
      <w:pPr>
        <w:pStyle w:val="995"/>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r>
      <w:r/>
    </w:p>
    <w:p>
      <w:pPr>
        <w:pStyle w:val="995"/>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法定代表人或授权代表签字：</w:t>
      </w:r>
      <w:r>
        <w:rPr>
          <w:rFonts w:hint="eastAsia" w:ascii="宋体" w:hAnsi="宋体" w:eastAsia="宋体" w:cs="宋体"/>
          <w:color w:val="000000"/>
          <w:szCs w:val="21"/>
          <w:highlight w:val="none"/>
        </w:rPr>
      </w:r>
      <w:r/>
    </w:p>
    <w:p>
      <w:pPr>
        <w:pStyle w:val="995"/>
        <w:jc w:val="righ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995"/>
        <w:jc w:val="right"/>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、行数不够，可自行添加。</w:t>
      </w:r>
      <w:r>
        <w:rPr>
          <w:rFonts w:hint="eastAsia" w:ascii="宋体" w:hAnsi="宋体" w:eastAsia="宋体" w:cs="宋体"/>
          <w:color w:val="000000"/>
          <w:szCs w:val="21"/>
          <w:highlight w:val="none"/>
        </w:rPr>
      </w:r>
      <w:r/>
    </w:p>
    <w:p>
      <w:pPr>
        <w:pStyle w:val="995"/>
        <w:jc w:val="center"/>
        <w:spacing w:before="312"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br w:type="page" w:clear="all"/>
      </w:r>
      <w:bookmarkStart w:id="70" w:name="_Toc9500"/>
      <w:r>
        <w:rPr>
          <w:rFonts w:hint="eastAsia" w:ascii="宋体" w:hAnsi="宋体" w:eastAsia="宋体" w:cs="宋体"/>
          <w:b/>
          <w:color w:val="000000"/>
          <w:szCs w:val="21"/>
          <w:highlight w:val="none"/>
        </w:rPr>
        <w:t xml:space="preserve">主要标的信息（中标后将公示）</w:t>
      </w:r>
      <w:bookmarkEnd w:id="70"/>
      <w:r>
        <w:rPr>
          <w:rFonts w:hint="eastAsia" w:ascii="宋体" w:hAnsi="宋体" w:eastAsia="宋体" w:cs="宋体"/>
          <w:b/>
          <w:color w:val="000000"/>
          <w:szCs w:val="21"/>
          <w:highlight w:val="none"/>
        </w:rPr>
      </w:r>
      <w:r/>
    </w:p>
    <w:p>
      <w:pPr>
        <w:pStyle w:val="995"/>
        <w:spacing w:after="312"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投标人全称：</w:t>
      </w:r>
      <w:r>
        <w:rPr>
          <w:rFonts w:hint="eastAsia" w:ascii="宋体" w:hAnsi="宋体" w:eastAsia="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1"/>
      </w:tblGrid>
      <w:tr>
        <w:trPr/>
        <w:tc>
          <w:tcPr>
            <w:tcW w:w="4631" w:type="dxa"/>
            <w:vAlign w:val="top"/>
            <w:textDirection w:val="lrTb"/>
            <w:noWrap w:val="false"/>
          </w:tcPr>
          <w:p>
            <w:pPr>
              <w:pStyle w:val="99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服务类</w:t>
            </w:r>
            <w:r>
              <w:rPr>
                <w:rFonts w:hint="eastAsia" w:ascii="宋体" w:hAnsi="宋体" w:eastAsia="宋体" w:cs="宋体"/>
                <w:color w:val="000000"/>
                <w:szCs w:val="21"/>
                <w:highlight w:val="none"/>
              </w:rPr>
            </w:r>
            <w:r/>
          </w:p>
        </w:tc>
      </w:tr>
      <w:tr>
        <w:trPr>
          <w:trHeight w:val="3810"/>
        </w:trPr>
        <w:tc>
          <w:tcPr>
            <w:tcW w:w="4631" w:type="dxa"/>
            <w:vAlign w:val="top"/>
            <w:textDirection w:val="lrTb"/>
            <w:noWrap w:val="false"/>
          </w:tcPr>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名称：</w:t>
            </w:r>
            <w:r>
              <w:rPr>
                <w:rFonts w:hint="eastAsia" w:ascii="宋体" w:hAnsi="宋体" w:eastAsia="宋体" w:cs="宋体"/>
                <w:color w:val="000000"/>
                <w:szCs w:val="21"/>
                <w:highlight w:val="none"/>
              </w:rPr>
            </w:r>
            <w:r/>
          </w:p>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服务范围：</w:t>
            </w:r>
            <w:r>
              <w:rPr>
                <w:rFonts w:hint="eastAsia" w:ascii="宋体" w:hAnsi="宋体" w:eastAsia="宋体" w:cs="宋体"/>
                <w:color w:val="000000"/>
                <w:szCs w:val="21"/>
                <w:highlight w:val="none"/>
              </w:rPr>
            </w:r>
            <w:r/>
          </w:p>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服务要求：</w:t>
            </w:r>
            <w:r>
              <w:rPr>
                <w:rFonts w:hint="eastAsia" w:ascii="宋体" w:hAnsi="宋体" w:eastAsia="宋体" w:cs="宋体"/>
                <w:color w:val="000000"/>
                <w:szCs w:val="21"/>
                <w:highlight w:val="none"/>
              </w:rPr>
            </w:r>
            <w:r/>
          </w:p>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服务时间：</w:t>
            </w:r>
            <w:r>
              <w:rPr>
                <w:rFonts w:hint="eastAsia" w:ascii="宋体" w:hAnsi="宋体" w:eastAsia="宋体" w:cs="宋体"/>
                <w:color w:val="000000"/>
                <w:szCs w:val="21"/>
                <w:highlight w:val="none"/>
              </w:rPr>
            </w:r>
            <w:r/>
          </w:p>
          <w:p>
            <w:pPr>
              <w:pStyle w:val="99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服务标准：</w:t>
            </w:r>
            <w:r>
              <w:rPr>
                <w:rFonts w:hint="eastAsia" w:ascii="宋体" w:hAnsi="宋体" w:eastAsia="宋体" w:cs="宋体"/>
                <w:color w:val="000000"/>
                <w:szCs w:val="21"/>
                <w:highlight w:val="none"/>
              </w:rPr>
            </w:r>
            <w:r/>
          </w:p>
        </w:tc>
      </w:tr>
    </w:tbl>
    <w:sectPr>
      <w:footnotePr/>
      <w:endnotePr/>
      <w:type w:val="nextPage"/>
      <w:pgSz w:w="11906" w:h="16838" w:orient="portrait"/>
      <w:pgMar w:top="1440" w:right="1800"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Cambria">
    <w:panose1 w:val="02040503050406030204"/>
  </w:font>
  <w:font w:name="Calibri">
    <w:panose1 w:val="020F0502020204030204"/>
  </w:font>
  <w:font w:name="Courier New">
    <w:panose1 w:val="02070309020205020404"/>
  </w:font>
  <w:font w:name="幼圆">
    <w:panose1 w:val="020105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1055"/>
                            <w:tabs>
                              <w:tab w:val="clear" w:pos="4153" w:leader="none"/>
                              <w:tab w:val="clear" w:pos="8306" w:leader="none"/>
                            </w:tabs>
                            <w:rPr>
                              <w:rFonts w:hint="eastAsia"/>
                            </w:rPr>
                          </w:pPr>
                          <w:r>
                            <w:rPr>
                              <w:rFonts w:hint="eastAsia"/>
                            </w:rPr>
                          </w:r>
                          <w:r/>
                        </w:p>
                        <w:p>
                          <w:pPr>
                            <w:pStyle w:val="995"/>
                          </w:pPr>
                          <w:r/>
                          <w:r/>
                        </w:p>
                        <w:p>
                          <w:pPr>
                            <w:pStyle w:val="995"/>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isibility:visible;" filled="f" stroked="f">
              <v:textbox inset="0,0,0,0">
                <w:txbxContent>
                  <w:p>
                    <w:pPr>
                      <w:pStyle w:val="1055"/>
                      <w:tabs>
                        <w:tab w:val="clear" w:pos="4153" w:leader="none"/>
                        <w:tab w:val="clear" w:pos="8306" w:leader="none"/>
                      </w:tabs>
                      <w:rPr>
                        <w:rFonts w:hint="eastAsia"/>
                      </w:rPr>
                    </w:pPr>
                    <w:r>
                      <w:rPr>
                        <w:rFonts w:hint="eastAsia"/>
                      </w:rPr>
                    </w:r>
                    <w:r/>
                  </w:p>
                  <w:p>
                    <w:pPr>
                      <w:pStyle w:val="995"/>
                    </w:pPr>
                    <w:r/>
                    <w:r/>
                  </w:p>
                  <w:p>
                    <w:pPr>
                      <w:pStyle w:val="99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13335</wp:posOffset>
              </wp:positionV>
              <wp:extent cx="991870" cy="1346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91870" cy="134620"/>
                      </a:xfrm>
                      <a:prstGeom prst="rect">
                        <a:avLst/>
                      </a:prstGeom>
                      <a:noFill/>
                      <a:ln>
                        <a:noFill/>
                      </a:ln>
                    </wps:spPr>
                    <wps:txbx>
                      <w:txbxContent>
                        <w:p>
                          <w:pPr>
                            <w:pStyle w:val="1005"/>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47</w:t>
                          </w:r>
                          <w:r>
                            <w:t xml:space="preserve"> 页</w:t>
                          </w:r>
                          <w:r/>
                        </w:p>
                        <w:p>
                          <w:pPr>
                            <w:pStyle w:val="995"/>
                          </w:pPr>
                          <w:r/>
                          <w:r/>
                        </w:p>
                      </w:txbxContent>
                    </wps:txbx>
                    <wps:bodyPr wrap="square" lIns="0" tIns="0" rIns="0" bIns="0" upright="1"/>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1.1pt;mso-position-vertical:absolute;width:78.1pt;height:10.6pt;mso-wrap-distance-left:9.0pt;mso-wrap-distance-top:0.0pt;mso-wrap-distance-right:9.0pt;mso-wrap-distance-bottom:0.0pt;visibility:visible;" filled="f" stroked="f">
              <v:textbox inset="0,0,0,0">
                <w:txbxContent>
                  <w:p>
                    <w:pPr>
                      <w:pStyle w:val="1005"/>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47</w:t>
                    </w:r>
                    <w:r>
                      <w:t xml:space="preserve"> 页</w:t>
                    </w:r>
                    <w:r/>
                  </w:p>
                  <w:p>
                    <w:pPr>
                      <w:pStyle w:val="99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rPr>
                              <w:rFonts w:hint="eastAsia"/>
                              <w:lang w:val="en-US" w:eastAsia="zh-CN"/>
                            </w:rPr>
                            <w:t xml:space="preserve">47</w:t>
                          </w:r>
                          <w:r>
                            <w:t xml:space="preserve"> 页</w:t>
                          </w:r>
                          <w:r/>
                        </w:p>
                        <w:p>
                          <w:pPr>
                            <w:pStyle w:val="995"/>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rPr>
                        <w:rFonts w:hint="eastAsia"/>
                        <w:lang w:val="en-US" w:eastAsia="zh-CN"/>
                      </w:rPr>
                      <w:t xml:space="preserve">47</w:t>
                    </w:r>
                    <w:r>
                      <w:t xml:space="preserve"> 页</w:t>
                    </w:r>
                    <w:r/>
                  </w:p>
                  <w:p>
                    <w:pPr>
                      <w:pStyle w:val="99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JSZC-321002-DJZX-G2026-0001号 </w:t>
    </w:r>
    <w:r>
      <w:rPr>
        <w:rFonts w:hint="eastAsia"/>
      </w:rPr>
      <w:t xml:space="preserve">                           </w:t>
    </w:r>
    <w:r>
      <w:rPr>
        <w:rFonts w:hint="eastAsia"/>
        <w:lang w:eastAsia="zh-CN"/>
      </w:rPr>
      <w:t xml:space="preserve">江苏鼎坚工程咨询有限公司扬州分公司</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JSZC-321002-DJZX-G2026-0001号 </w:t>
    </w:r>
    <w:r>
      <w:rPr>
        <w:rFonts w:hint="eastAsia"/>
      </w:rPr>
      <w:t xml:space="preserve">                           </w:t>
    </w:r>
    <w:r>
      <w:rPr>
        <w:rFonts w:hint="eastAsia"/>
        <w:lang w:eastAsia="zh-CN"/>
      </w:rPr>
      <w:t xml:space="preserve">江苏鼎坚工程咨询有限公司扬州分公司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both"/>
      <w:tabs>
        <w:tab w:val="clear" w:pos="4153" w:leader="none"/>
        <w:tab w:val="clear" w:pos="8306" w:leader="none"/>
      </w:tabs>
      <w:rPr>
        <w:rFonts w:hint="eastAsia" w:eastAsia="宋体"/>
        <w:lang w:eastAsia="zh-CN"/>
      </w:rPr>
      <w:pBdr>
        <w:bottom w:val="single" w:color="000000" w:sz="4" w:space="1"/>
      </w:pBdr>
    </w:pPr>
    <w:r>
      <w:rPr>
        <w:rFonts w:hint="eastAsia"/>
        <w:lang w:eastAsia="zh-CN"/>
      </w:rPr>
      <w:t xml:space="preserve">JSZC-321002-DJZX-G2026-0001号 </w:t>
    </w:r>
    <w:r>
      <w:rPr>
        <w:rFonts w:hint="eastAsia"/>
      </w:rPr>
      <w:t xml:space="preserve">                           </w:t>
    </w:r>
    <w:r>
      <w:rPr>
        <w:rFonts w:hint="eastAsia"/>
        <w:lang w:eastAsia="zh-CN"/>
      </w:rPr>
      <w:t xml:space="preserve">江苏鼎坚工程咨询有限公司扬州分公司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47"/>
      <w:isLgl w:val="false"/>
      <w:suff w:val="tab"/>
      <w:lvlText w:val=""/>
      <w:lvlJc w:val="left"/>
      <w:pPr>
        <w:pStyle w:val="99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96"/>
      <w:isLgl w:val="false"/>
      <w:suff w:val="tab"/>
      <w:lvlText w:val=""/>
      <w:lvlJc w:val="left"/>
      <w:pPr>
        <w:pStyle w:val="99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9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pStyle w:val="995"/>
      </w:pPr>
      <w:rPr>
        <w:rFonts w:hint="eastAsia"/>
      </w:rPr>
    </w:lvl>
    <w:lvl w:ilvl="1">
      <w:start w:val="1"/>
      <w:numFmt w:val="bullet"/>
      <w:isLgl w:val="false"/>
      <w:suff w:val="tab"/>
      <w:lvlText w:val="o"/>
      <w:lvlJc w:val="left"/>
      <w:pPr>
        <w:pStyle w:val="995"/>
        <w:ind w:left="1440" w:hanging="360"/>
      </w:pPr>
      <w:rPr>
        <w:rFonts w:ascii="Courier New" w:hAnsi="Courier New" w:eastAsia="Courier New"/>
      </w:rPr>
    </w:lvl>
    <w:lvl w:ilvl="2">
      <w:start w:val="1"/>
      <w:numFmt w:val="bullet"/>
      <w:isLgl w:val="false"/>
      <w:suff w:val="tab"/>
      <w:lvlText w:val="§"/>
      <w:lvlJc w:val="left"/>
      <w:pPr>
        <w:pStyle w:val="995"/>
        <w:ind w:left="2160" w:hanging="360"/>
      </w:pPr>
      <w:rPr>
        <w:rFonts w:ascii="Wingdings" w:hAnsi="Wingdings" w:eastAsia="Wingdings"/>
      </w:rPr>
    </w:lvl>
    <w:lvl w:ilvl="3">
      <w:start w:val="1"/>
      <w:numFmt w:val="bullet"/>
      <w:isLgl w:val="false"/>
      <w:suff w:val="tab"/>
      <w:lvlText w:val="·"/>
      <w:lvlJc w:val="left"/>
      <w:pPr>
        <w:pStyle w:val="995"/>
        <w:ind w:left="2880" w:hanging="360"/>
      </w:pPr>
      <w:rPr>
        <w:rFonts w:ascii="Symbol" w:hAnsi="Symbol" w:eastAsia="Symbol"/>
      </w:rPr>
    </w:lvl>
    <w:lvl w:ilvl="4">
      <w:start w:val="1"/>
      <w:numFmt w:val="bullet"/>
      <w:isLgl w:val="false"/>
      <w:suff w:val="tab"/>
      <w:lvlText w:val="o"/>
      <w:lvlJc w:val="left"/>
      <w:pPr>
        <w:pStyle w:val="995"/>
        <w:ind w:left="3600" w:hanging="360"/>
      </w:pPr>
      <w:rPr>
        <w:rFonts w:ascii="Courier New" w:hAnsi="Courier New" w:eastAsia="Courier New"/>
      </w:rPr>
    </w:lvl>
    <w:lvl w:ilvl="5">
      <w:start w:val="1"/>
      <w:numFmt w:val="bullet"/>
      <w:isLgl w:val="false"/>
      <w:suff w:val="tab"/>
      <w:lvlText w:val="§"/>
      <w:lvlJc w:val="left"/>
      <w:pPr>
        <w:pStyle w:val="995"/>
        <w:ind w:left="4320" w:hanging="360"/>
      </w:pPr>
      <w:rPr>
        <w:rFonts w:ascii="Wingdings" w:hAnsi="Wingdings" w:eastAsia="Wingdings"/>
      </w:rPr>
    </w:lvl>
    <w:lvl w:ilvl="6">
      <w:start w:val="1"/>
      <w:numFmt w:val="bullet"/>
      <w:isLgl w:val="false"/>
      <w:suff w:val="tab"/>
      <w:lvlText w:val="·"/>
      <w:lvlJc w:val="left"/>
      <w:pPr>
        <w:pStyle w:val="995"/>
        <w:ind w:left="5040" w:hanging="360"/>
      </w:pPr>
      <w:rPr>
        <w:rFonts w:ascii="Symbol" w:hAnsi="Symbol" w:eastAsia="Symbol"/>
      </w:rPr>
    </w:lvl>
    <w:lvl w:ilvl="7">
      <w:start w:val="1"/>
      <w:numFmt w:val="bullet"/>
      <w:isLgl w:val="false"/>
      <w:suff w:val="tab"/>
      <w:lvlText w:val="o"/>
      <w:lvlJc w:val="left"/>
      <w:pPr>
        <w:pStyle w:val="995"/>
        <w:ind w:left="5760" w:hanging="360"/>
      </w:pPr>
      <w:rPr>
        <w:rFonts w:ascii="Courier New" w:hAnsi="Courier New" w:eastAsia="Courier New"/>
      </w:rPr>
    </w:lvl>
    <w:lvl w:ilvl="8">
      <w:start w:val="1"/>
      <w:numFmt w:val="bullet"/>
      <w:isLgl w:val="false"/>
      <w:suff w:val="tab"/>
      <w:lvlText w:val="§"/>
      <w:lvlJc w:val="left"/>
      <w:pPr>
        <w:pStyle w:val="995"/>
        <w:ind w:left="6480" w:hanging="360"/>
      </w:pPr>
      <w:rPr>
        <w:rFonts w:ascii="Wingdings" w:hAnsi="Wingdings" w:eastAsia="Wingdings"/>
      </w:rPr>
    </w:lvl>
  </w:abstractNum>
  <w:abstractNum w:abstractNumId="4">
    <w:multiLevelType w:val="hybridMultilevel"/>
    <w:lvl w:ilvl="0">
      <w:start w:val="1"/>
      <w:numFmt w:val="japaneseCounting"/>
      <w:isLgl w:val="false"/>
      <w:suff w:val="tab"/>
      <w:lvlText w:val="第%1章"/>
      <w:lvlJc w:val="left"/>
      <w:pPr>
        <w:pStyle w:val="995"/>
        <w:ind w:left="300" w:hanging="420"/>
      </w:pPr>
      <w:rPr>
        <w:rFonts w:hint="eastAsia" w:ascii="黑体" w:eastAsia="黑体"/>
        <w:b w:val="0"/>
        <w:sz w:val="36"/>
        <w:lang w:val="en-US"/>
      </w:rPr>
    </w:lvl>
    <w:lvl w:ilvl="1">
      <w:start w:val="1"/>
      <w:numFmt w:val="decimal"/>
      <w:pStyle w:val="1093"/>
      <w:isLgl w:val="false"/>
      <w:suff w:val="tab"/>
      <w:lvlText w:val="%1.%2"/>
      <w:lvlJc w:val="left"/>
      <w:pPr>
        <w:pStyle w:val="995"/>
        <w:ind w:left="0" w:firstLine="0"/>
        <w:tabs>
          <w:tab w:val="num" w:pos="851" w:leader="none"/>
        </w:tabs>
      </w:pPr>
    </w:lvl>
    <w:lvl w:ilvl="2">
      <w:start w:val="1"/>
      <w:numFmt w:val="decimal"/>
      <w:pStyle w:val="1094"/>
      <w:isLgl w:val="false"/>
      <w:suff w:val="tab"/>
      <w:lvlText w:val="%1.%2.%3"/>
      <w:lvlJc w:val="left"/>
      <w:pPr>
        <w:pStyle w:val="995"/>
        <w:ind w:left="0" w:firstLine="0"/>
        <w:tabs>
          <w:tab w:val="num" w:pos="851" w:leader="none"/>
        </w:tabs>
      </w:pPr>
      <w:rPr>
        <w:color w:val="000000"/>
      </w:rPr>
    </w:lvl>
    <w:lvl w:ilvl="3">
      <w:start w:val="1"/>
      <w:numFmt w:val="decimal"/>
      <w:isLgl w:val="false"/>
      <w:suff w:val="tab"/>
      <w:lvlText w:val="%1.%2.%3.%4"/>
      <w:lvlJc w:val="left"/>
      <w:pPr>
        <w:pStyle w:val="995"/>
        <w:ind w:left="0" w:firstLine="0"/>
        <w:tabs>
          <w:tab w:val="num" w:pos="1134" w:leader="none"/>
        </w:tabs>
      </w:pPr>
      <w:rPr>
        <w:rFonts w:hint="eastAsia"/>
      </w:rPr>
    </w:lvl>
    <w:lvl w:ilvl="4">
      <w:start w:val="1"/>
      <w:numFmt w:val="decimal"/>
      <w:isLgl w:val="false"/>
      <w:suff w:val="tab"/>
      <w:lvlText w:val="%1.%2.%3.%4.%5"/>
      <w:lvlJc w:val="left"/>
      <w:pPr>
        <w:pStyle w:val="995"/>
        <w:ind w:left="4620" w:hanging="850"/>
        <w:tabs>
          <w:tab w:val="num" w:pos="4850" w:leader="none"/>
        </w:tabs>
      </w:pPr>
      <w:rPr>
        <w:rFonts w:hint="eastAsia"/>
      </w:rPr>
    </w:lvl>
    <w:lvl w:ilvl="5">
      <w:start w:val="1"/>
      <w:numFmt w:val="decimal"/>
      <w:isLgl w:val="false"/>
      <w:suff w:val="tab"/>
      <w:lvlText w:val="%1.%2.%3.%4.%5.%6"/>
      <w:lvlJc w:val="left"/>
      <w:pPr>
        <w:pStyle w:val="995"/>
        <w:ind w:left="5329" w:hanging="1134"/>
        <w:tabs>
          <w:tab w:val="num" w:pos="5635" w:leader="none"/>
        </w:tabs>
      </w:pPr>
      <w:rPr>
        <w:rFonts w:hint="eastAsia"/>
      </w:rPr>
    </w:lvl>
    <w:lvl w:ilvl="6">
      <w:start w:val="1"/>
      <w:numFmt w:val="decimal"/>
      <w:isLgl w:val="false"/>
      <w:suff w:val="tab"/>
      <w:lvlText w:val="%1.%2.%3.%4.%5.%6.%7"/>
      <w:lvlJc w:val="left"/>
      <w:pPr>
        <w:pStyle w:val="995"/>
        <w:ind w:left="5896" w:hanging="1276"/>
        <w:tabs>
          <w:tab w:val="num" w:pos="6420" w:leader="none"/>
        </w:tabs>
      </w:pPr>
      <w:rPr>
        <w:rFonts w:hint="eastAsia"/>
      </w:rPr>
    </w:lvl>
    <w:lvl w:ilvl="7">
      <w:start w:val="1"/>
      <w:numFmt w:val="decimal"/>
      <w:isLgl w:val="false"/>
      <w:suff w:val="tab"/>
      <w:lvlText w:val="%1.%2.%3.%4.%5.%6.%7.%8"/>
      <w:lvlJc w:val="left"/>
      <w:pPr>
        <w:pStyle w:val="995"/>
        <w:ind w:left="6463" w:hanging="1418"/>
        <w:tabs>
          <w:tab w:val="num" w:pos="6845" w:leader="none"/>
        </w:tabs>
      </w:pPr>
      <w:rPr>
        <w:rFonts w:hint="eastAsia"/>
      </w:rPr>
    </w:lvl>
    <w:lvl w:ilvl="8">
      <w:start w:val="1"/>
      <w:numFmt w:val="decimal"/>
      <w:isLgl w:val="false"/>
      <w:suff w:val="tab"/>
      <w:lvlText w:val="%1.%2.%3.%4.%5.%6.%7.%8.%9"/>
      <w:lvlJc w:val="left"/>
      <w:pPr>
        <w:pStyle w:val="995"/>
        <w:ind w:left="7171" w:hanging="1700"/>
        <w:tabs>
          <w:tab w:val="num" w:pos="7631" w:leader="none"/>
        </w:tabs>
      </w:pPr>
      <w:rPr>
        <w:rFonts w:hint="eastAsia"/>
      </w:rPr>
    </w:lvl>
  </w:abstractNum>
  <w:abstractNum w:abstractNumId="5">
    <w:multiLevelType w:val="hybridMultilevel"/>
    <w:lvl w:ilvl="0">
      <w:start w:val="1"/>
      <w:numFmt w:val="decimal"/>
      <w:isLgl w:val="false"/>
      <w:suff w:val="nothing"/>
      <w:lvlText w:val="（%1）"/>
      <w:lvlJc w:val="left"/>
      <w:pPr>
        <w:pStyle w:val="99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1"/>
  </w:num>
  <w:num w:numId="4">
    <w:abstractNumId w:val="3"/>
  </w:num>
  <w:num w:numId="5">
    <w:abstractNumId w:val="5"/>
    <w:lvlOverride w:ilvl="0">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name w:val="Heading 1"/>
    <w:basedOn w:val="995"/>
    <w:next w:val="995"/>
    <w:link w:val="818"/>
    <w:uiPriority w:val="9"/>
    <w:qFormat/>
    <w:pPr>
      <w:keepLines/>
      <w:keepNext/>
      <w:spacing w:before="480" w:after="200"/>
      <w:outlineLvl w:val="0"/>
    </w:pPr>
    <w:rPr>
      <w:rFonts w:ascii="Arial" w:hAnsi="Arial" w:eastAsia="Arial" w:cs="Arial"/>
      <w:sz w:val="40"/>
      <w:szCs w:val="40"/>
    </w:rPr>
  </w:style>
  <w:style w:type="character" w:styleId="818">
    <w:name w:val="Heading 1 Char"/>
    <w:link w:val="817"/>
    <w:uiPriority w:val="9"/>
    <w:rPr>
      <w:rFonts w:ascii="Arial" w:hAnsi="Arial" w:eastAsia="Arial" w:cs="Arial"/>
      <w:sz w:val="40"/>
      <w:szCs w:val="40"/>
    </w:rPr>
  </w:style>
  <w:style w:type="paragraph" w:styleId="819">
    <w:name w:val="Heading 2"/>
    <w:basedOn w:val="995"/>
    <w:next w:val="995"/>
    <w:link w:val="820"/>
    <w:uiPriority w:val="9"/>
    <w:unhideWhenUsed/>
    <w:qFormat/>
    <w:pPr>
      <w:keepLines/>
      <w:keepNext/>
      <w:spacing w:before="360" w:after="200"/>
      <w:outlineLvl w:val="1"/>
    </w:pPr>
    <w:rPr>
      <w:rFonts w:ascii="Arial" w:hAnsi="Arial" w:eastAsia="Arial" w:cs="Arial"/>
      <w:sz w:val="34"/>
    </w:rPr>
  </w:style>
  <w:style w:type="character" w:styleId="820">
    <w:name w:val="Heading 2 Char"/>
    <w:link w:val="819"/>
    <w:uiPriority w:val="9"/>
    <w:rPr>
      <w:rFonts w:ascii="Arial" w:hAnsi="Arial" w:eastAsia="Arial" w:cs="Arial"/>
      <w:sz w:val="34"/>
    </w:rPr>
  </w:style>
  <w:style w:type="paragraph" w:styleId="821">
    <w:name w:val="Heading 3"/>
    <w:basedOn w:val="995"/>
    <w:next w:val="995"/>
    <w:link w:val="822"/>
    <w:uiPriority w:val="9"/>
    <w:unhideWhenUsed/>
    <w:qFormat/>
    <w:pPr>
      <w:keepLines/>
      <w:keepNext/>
      <w:spacing w:before="320" w:after="200"/>
      <w:outlineLvl w:val="2"/>
    </w:pPr>
    <w:rPr>
      <w:rFonts w:ascii="Arial" w:hAnsi="Arial" w:eastAsia="Arial" w:cs="Arial"/>
      <w:sz w:val="30"/>
      <w:szCs w:val="30"/>
    </w:rPr>
  </w:style>
  <w:style w:type="character" w:styleId="822">
    <w:name w:val="Heading 3 Char"/>
    <w:link w:val="821"/>
    <w:uiPriority w:val="9"/>
    <w:rPr>
      <w:rFonts w:ascii="Arial" w:hAnsi="Arial" w:eastAsia="Arial" w:cs="Arial"/>
      <w:sz w:val="30"/>
      <w:szCs w:val="30"/>
    </w:rPr>
  </w:style>
  <w:style w:type="paragraph" w:styleId="823">
    <w:name w:val="Heading 4"/>
    <w:basedOn w:val="995"/>
    <w:next w:val="995"/>
    <w:link w:val="824"/>
    <w:uiPriority w:val="9"/>
    <w:unhideWhenUsed/>
    <w:qFormat/>
    <w:pPr>
      <w:keepLines/>
      <w:keepNext/>
      <w:spacing w:before="320" w:after="200"/>
      <w:outlineLvl w:val="3"/>
    </w:pPr>
    <w:rPr>
      <w:rFonts w:ascii="Arial" w:hAnsi="Arial" w:eastAsia="Arial" w:cs="Arial"/>
      <w:b/>
      <w:bCs/>
      <w:sz w:val="26"/>
      <w:szCs w:val="26"/>
    </w:rPr>
  </w:style>
  <w:style w:type="character" w:styleId="824">
    <w:name w:val="Heading 4 Char"/>
    <w:link w:val="823"/>
    <w:uiPriority w:val="9"/>
    <w:rPr>
      <w:rFonts w:ascii="Arial" w:hAnsi="Arial" w:eastAsia="Arial" w:cs="Arial"/>
      <w:b/>
      <w:bCs/>
      <w:sz w:val="26"/>
      <w:szCs w:val="26"/>
    </w:rPr>
  </w:style>
  <w:style w:type="paragraph" w:styleId="825">
    <w:name w:val="Heading 5"/>
    <w:basedOn w:val="995"/>
    <w:next w:val="995"/>
    <w:link w:val="826"/>
    <w:uiPriority w:val="9"/>
    <w:unhideWhenUsed/>
    <w:qFormat/>
    <w:pPr>
      <w:keepLines/>
      <w:keepNext/>
      <w:spacing w:before="320" w:after="200"/>
      <w:outlineLvl w:val="4"/>
    </w:pPr>
    <w:rPr>
      <w:rFonts w:ascii="Arial" w:hAnsi="Arial" w:eastAsia="Arial" w:cs="Arial"/>
      <w:b/>
      <w:bCs/>
      <w:sz w:val="24"/>
      <w:szCs w:val="24"/>
    </w:rPr>
  </w:style>
  <w:style w:type="character" w:styleId="826">
    <w:name w:val="Heading 5 Char"/>
    <w:link w:val="825"/>
    <w:uiPriority w:val="9"/>
    <w:rPr>
      <w:rFonts w:ascii="Arial" w:hAnsi="Arial" w:eastAsia="Arial" w:cs="Arial"/>
      <w:b/>
      <w:bCs/>
      <w:sz w:val="24"/>
      <w:szCs w:val="24"/>
    </w:rPr>
  </w:style>
  <w:style w:type="paragraph" w:styleId="827">
    <w:name w:val="Heading 6"/>
    <w:basedOn w:val="995"/>
    <w:next w:val="995"/>
    <w:link w:val="828"/>
    <w:uiPriority w:val="9"/>
    <w:unhideWhenUsed/>
    <w:qFormat/>
    <w:pPr>
      <w:keepLines/>
      <w:keepNext/>
      <w:spacing w:before="320" w:after="200"/>
      <w:outlineLvl w:val="5"/>
    </w:pPr>
    <w:rPr>
      <w:rFonts w:ascii="Arial" w:hAnsi="Arial" w:eastAsia="Arial" w:cs="Arial"/>
      <w:b/>
      <w:bCs/>
      <w:sz w:val="22"/>
      <w:szCs w:val="22"/>
    </w:rPr>
  </w:style>
  <w:style w:type="character" w:styleId="828">
    <w:name w:val="Heading 6 Char"/>
    <w:link w:val="827"/>
    <w:uiPriority w:val="9"/>
    <w:rPr>
      <w:rFonts w:ascii="Arial" w:hAnsi="Arial" w:eastAsia="Arial" w:cs="Arial"/>
      <w:b/>
      <w:bCs/>
      <w:sz w:val="22"/>
      <w:szCs w:val="22"/>
    </w:rPr>
  </w:style>
  <w:style w:type="paragraph" w:styleId="829">
    <w:name w:val="Heading 7"/>
    <w:basedOn w:val="995"/>
    <w:next w:val="995"/>
    <w:link w:val="830"/>
    <w:uiPriority w:val="9"/>
    <w:unhideWhenUsed/>
    <w:qFormat/>
    <w:pPr>
      <w:keepLines/>
      <w:keepNext/>
      <w:spacing w:before="320" w:after="200"/>
      <w:outlineLvl w:val="6"/>
    </w:pPr>
    <w:rPr>
      <w:rFonts w:ascii="Arial" w:hAnsi="Arial" w:eastAsia="Arial" w:cs="Arial"/>
      <w:b/>
      <w:bCs/>
      <w:i/>
      <w:iCs/>
      <w:sz w:val="22"/>
      <w:szCs w:val="22"/>
    </w:rPr>
  </w:style>
  <w:style w:type="character" w:styleId="830">
    <w:name w:val="Heading 7 Char"/>
    <w:link w:val="829"/>
    <w:uiPriority w:val="9"/>
    <w:rPr>
      <w:rFonts w:ascii="Arial" w:hAnsi="Arial" w:eastAsia="Arial" w:cs="Arial"/>
      <w:b/>
      <w:bCs/>
      <w:i/>
      <w:iCs/>
      <w:sz w:val="22"/>
      <w:szCs w:val="22"/>
    </w:rPr>
  </w:style>
  <w:style w:type="paragraph" w:styleId="831">
    <w:name w:val="Heading 8"/>
    <w:basedOn w:val="995"/>
    <w:next w:val="995"/>
    <w:link w:val="832"/>
    <w:uiPriority w:val="9"/>
    <w:unhideWhenUsed/>
    <w:qFormat/>
    <w:pPr>
      <w:keepLines/>
      <w:keepNext/>
      <w:spacing w:before="320" w:after="200"/>
      <w:outlineLvl w:val="7"/>
    </w:pPr>
    <w:rPr>
      <w:rFonts w:ascii="Arial" w:hAnsi="Arial" w:eastAsia="Arial" w:cs="Arial"/>
      <w:i/>
      <w:iCs/>
      <w:sz w:val="22"/>
      <w:szCs w:val="22"/>
    </w:rPr>
  </w:style>
  <w:style w:type="character" w:styleId="832">
    <w:name w:val="Heading 8 Char"/>
    <w:link w:val="831"/>
    <w:uiPriority w:val="9"/>
    <w:rPr>
      <w:rFonts w:ascii="Arial" w:hAnsi="Arial" w:eastAsia="Arial" w:cs="Arial"/>
      <w:i/>
      <w:iCs/>
      <w:sz w:val="22"/>
      <w:szCs w:val="22"/>
    </w:rPr>
  </w:style>
  <w:style w:type="paragraph" w:styleId="833">
    <w:name w:val="Heading 9"/>
    <w:basedOn w:val="995"/>
    <w:next w:val="995"/>
    <w:link w:val="834"/>
    <w:uiPriority w:val="9"/>
    <w:unhideWhenUsed/>
    <w:qFormat/>
    <w:pPr>
      <w:keepLines/>
      <w:keepNext/>
      <w:spacing w:before="320" w:after="200"/>
      <w:outlineLvl w:val="8"/>
    </w:pPr>
    <w:rPr>
      <w:rFonts w:ascii="Arial" w:hAnsi="Arial" w:eastAsia="Arial" w:cs="Arial"/>
      <w:i/>
      <w:iCs/>
      <w:sz w:val="21"/>
      <w:szCs w:val="21"/>
    </w:rPr>
  </w:style>
  <w:style w:type="character" w:styleId="834">
    <w:name w:val="Heading 9 Char"/>
    <w:link w:val="833"/>
    <w:uiPriority w:val="9"/>
    <w:rPr>
      <w:rFonts w:ascii="Arial" w:hAnsi="Arial" w:eastAsia="Arial" w:cs="Arial"/>
      <w:i/>
      <w:iCs/>
      <w:sz w:val="21"/>
      <w:szCs w:val="21"/>
    </w:rPr>
  </w:style>
  <w:style w:type="paragraph" w:styleId="835">
    <w:name w:val="List Paragraph"/>
    <w:basedOn w:val="995"/>
    <w:uiPriority w:val="34"/>
    <w:qFormat/>
    <w:pPr>
      <w:contextualSpacing/>
      <w:ind w:left="720"/>
    </w:pPr>
  </w:style>
  <w:style w:type="paragraph" w:styleId="836">
    <w:name w:val="No Spacing"/>
    <w:uiPriority w:val="1"/>
    <w:qFormat/>
    <w:pPr>
      <w:spacing w:before="0" w:after="0" w:line="240" w:lineRule="auto"/>
    </w:pPr>
  </w:style>
  <w:style w:type="paragraph" w:styleId="837">
    <w:name w:val="Title"/>
    <w:basedOn w:val="995"/>
    <w:next w:val="995"/>
    <w:link w:val="838"/>
    <w:uiPriority w:val="10"/>
    <w:qFormat/>
    <w:pPr>
      <w:contextualSpacing/>
      <w:spacing w:before="300" w:after="200"/>
    </w:pPr>
    <w:rPr>
      <w:sz w:val="48"/>
      <w:szCs w:val="48"/>
    </w:rPr>
  </w:style>
  <w:style w:type="character" w:styleId="838">
    <w:name w:val="Title Char"/>
    <w:link w:val="837"/>
    <w:uiPriority w:val="10"/>
    <w:rPr>
      <w:sz w:val="48"/>
      <w:szCs w:val="48"/>
    </w:rPr>
  </w:style>
  <w:style w:type="paragraph" w:styleId="839">
    <w:name w:val="Subtitle"/>
    <w:basedOn w:val="995"/>
    <w:next w:val="995"/>
    <w:link w:val="840"/>
    <w:uiPriority w:val="11"/>
    <w:qFormat/>
    <w:pPr>
      <w:spacing w:before="200" w:after="200"/>
    </w:pPr>
    <w:rPr>
      <w:sz w:val="24"/>
      <w:szCs w:val="24"/>
    </w:rPr>
  </w:style>
  <w:style w:type="character" w:styleId="840">
    <w:name w:val="Subtitle Char"/>
    <w:link w:val="839"/>
    <w:uiPriority w:val="11"/>
    <w:rPr>
      <w:sz w:val="24"/>
      <w:szCs w:val="24"/>
    </w:rPr>
  </w:style>
  <w:style w:type="paragraph" w:styleId="841">
    <w:name w:val="Quote"/>
    <w:basedOn w:val="995"/>
    <w:next w:val="995"/>
    <w:link w:val="842"/>
    <w:uiPriority w:val="29"/>
    <w:qFormat/>
    <w:pPr>
      <w:ind w:left="720" w:right="720"/>
    </w:pPr>
    <w:rPr>
      <w:i/>
    </w:rPr>
  </w:style>
  <w:style w:type="character" w:styleId="842">
    <w:name w:val="Quote Char"/>
    <w:link w:val="841"/>
    <w:uiPriority w:val="29"/>
    <w:rPr>
      <w:i/>
    </w:rPr>
  </w:style>
  <w:style w:type="paragraph" w:styleId="843">
    <w:name w:val="Intense Quote"/>
    <w:basedOn w:val="995"/>
    <w:next w:val="995"/>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paragraph" w:styleId="845">
    <w:name w:val="Header"/>
    <w:basedOn w:val="995"/>
    <w:link w:val="846"/>
    <w:uiPriority w:val="99"/>
    <w:unhideWhenUsed/>
    <w:pPr>
      <w:spacing w:after="0" w:line="240" w:lineRule="auto"/>
      <w:tabs>
        <w:tab w:val="center" w:pos="7143" w:leader="none"/>
        <w:tab w:val="right" w:pos="14287" w:leader="none"/>
      </w:tabs>
    </w:pPr>
  </w:style>
  <w:style w:type="character" w:styleId="846">
    <w:name w:val="Header Char"/>
    <w:link w:val="845"/>
    <w:uiPriority w:val="99"/>
  </w:style>
  <w:style w:type="paragraph" w:styleId="847">
    <w:name w:val="Footer"/>
    <w:basedOn w:val="995"/>
    <w:link w:val="850"/>
    <w:uiPriority w:val="99"/>
    <w:unhideWhenUsed/>
    <w:pPr>
      <w:spacing w:after="0" w:line="240" w:lineRule="auto"/>
      <w:tabs>
        <w:tab w:val="center" w:pos="7143" w:leader="none"/>
        <w:tab w:val="right" w:pos="14287" w:leader="none"/>
      </w:tabs>
    </w:pPr>
  </w:style>
  <w:style w:type="character" w:styleId="848">
    <w:name w:val="Footer Char"/>
    <w:link w:val="847"/>
    <w:uiPriority w:val="99"/>
  </w:style>
  <w:style w:type="paragraph" w:styleId="849">
    <w:name w:val="Caption"/>
    <w:basedOn w:val="995"/>
    <w:next w:val="995"/>
    <w:uiPriority w:val="35"/>
    <w:semiHidden/>
    <w:unhideWhenUsed/>
    <w:qFormat/>
    <w:pPr>
      <w:spacing w:line="276" w:lineRule="auto"/>
    </w:pPr>
    <w:rPr>
      <w:b/>
      <w:bCs/>
      <w:color w:val="4f81bd" w:themeColor="accent1"/>
      <w:sz w:val="18"/>
      <w:szCs w:val="18"/>
    </w:rPr>
  </w:style>
  <w:style w:type="character" w:styleId="850">
    <w:name w:val="Caption Char"/>
    <w:basedOn w:val="849"/>
    <w:link w:val="847"/>
    <w:uiPriority w:val="99"/>
  </w:style>
  <w:style w:type="table" w:styleId="8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7">
    <w:name w:val="Hyperlink"/>
    <w:uiPriority w:val="99"/>
    <w:unhideWhenUsed/>
    <w:rPr>
      <w:color w:val="0000ff" w:themeColor="hyperlink"/>
      <w:u w:val="single"/>
    </w:rPr>
  </w:style>
  <w:style w:type="paragraph" w:styleId="978">
    <w:name w:val="footnote text"/>
    <w:basedOn w:val="995"/>
    <w:link w:val="979"/>
    <w:uiPriority w:val="99"/>
    <w:semiHidden/>
    <w:unhideWhenUsed/>
    <w:pPr>
      <w:spacing w:after="40" w:line="240" w:lineRule="auto"/>
    </w:pPr>
    <w:rPr>
      <w:sz w:val="18"/>
    </w:rPr>
  </w:style>
  <w:style w:type="character" w:styleId="979">
    <w:name w:val="Footnote Text Char"/>
    <w:link w:val="978"/>
    <w:uiPriority w:val="99"/>
    <w:rPr>
      <w:sz w:val="18"/>
    </w:rPr>
  </w:style>
  <w:style w:type="character" w:styleId="980">
    <w:name w:val="footnote reference"/>
    <w:uiPriority w:val="99"/>
    <w:unhideWhenUsed/>
    <w:rPr>
      <w:vertAlign w:val="superscript"/>
    </w:rPr>
  </w:style>
  <w:style w:type="paragraph" w:styleId="981">
    <w:name w:val="endnote text"/>
    <w:basedOn w:val="995"/>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uiPriority w:val="99"/>
    <w:semiHidden/>
    <w:unhideWhenUsed/>
    <w:rPr>
      <w:vertAlign w:val="superscript"/>
    </w:rPr>
  </w:style>
  <w:style w:type="paragraph" w:styleId="984">
    <w:name w:val="toc 1"/>
    <w:basedOn w:val="995"/>
    <w:next w:val="995"/>
    <w:uiPriority w:val="39"/>
    <w:unhideWhenUsed/>
    <w:pPr>
      <w:ind w:left="0" w:right="0" w:firstLine="0"/>
      <w:spacing w:after="57"/>
    </w:pPr>
  </w:style>
  <w:style w:type="paragraph" w:styleId="985">
    <w:name w:val="toc 2"/>
    <w:basedOn w:val="995"/>
    <w:next w:val="995"/>
    <w:uiPriority w:val="39"/>
    <w:unhideWhenUsed/>
    <w:pPr>
      <w:ind w:left="283" w:right="0" w:firstLine="0"/>
      <w:spacing w:after="57"/>
    </w:pPr>
  </w:style>
  <w:style w:type="paragraph" w:styleId="986">
    <w:name w:val="toc 3"/>
    <w:basedOn w:val="995"/>
    <w:next w:val="995"/>
    <w:uiPriority w:val="39"/>
    <w:unhideWhenUsed/>
    <w:pPr>
      <w:ind w:left="567" w:right="0" w:firstLine="0"/>
      <w:spacing w:after="57"/>
    </w:pPr>
  </w:style>
  <w:style w:type="paragraph" w:styleId="987">
    <w:name w:val="toc 4"/>
    <w:basedOn w:val="995"/>
    <w:next w:val="995"/>
    <w:uiPriority w:val="39"/>
    <w:unhideWhenUsed/>
    <w:pPr>
      <w:ind w:left="850" w:right="0" w:firstLine="0"/>
      <w:spacing w:after="57"/>
    </w:pPr>
  </w:style>
  <w:style w:type="paragraph" w:styleId="988">
    <w:name w:val="toc 5"/>
    <w:basedOn w:val="995"/>
    <w:next w:val="995"/>
    <w:uiPriority w:val="39"/>
    <w:unhideWhenUsed/>
    <w:pPr>
      <w:ind w:left="1134" w:right="0" w:firstLine="0"/>
      <w:spacing w:after="57"/>
    </w:pPr>
  </w:style>
  <w:style w:type="paragraph" w:styleId="989">
    <w:name w:val="toc 6"/>
    <w:basedOn w:val="995"/>
    <w:next w:val="995"/>
    <w:uiPriority w:val="39"/>
    <w:unhideWhenUsed/>
    <w:pPr>
      <w:ind w:left="1417" w:right="0" w:firstLine="0"/>
      <w:spacing w:after="57"/>
    </w:pPr>
  </w:style>
  <w:style w:type="paragraph" w:styleId="990">
    <w:name w:val="toc 7"/>
    <w:basedOn w:val="995"/>
    <w:next w:val="995"/>
    <w:uiPriority w:val="39"/>
    <w:unhideWhenUsed/>
    <w:pPr>
      <w:ind w:left="1701" w:right="0" w:firstLine="0"/>
      <w:spacing w:after="57"/>
    </w:pPr>
  </w:style>
  <w:style w:type="paragraph" w:styleId="991">
    <w:name w:val="toc 8"/>
    <w:basedOn w:val="995"/>
    <w:next w:val="995"/>
    <w:uiPriority w:val="39"/>
    <w:unhideWhenUsed/>
    <w:pPr>
      <w:ind w:left="1984" w:right="0" w:firstLine="0"/>
      <w:spacing w:after="57"/>
    </w:pPr>
  </w:style>
  <w:style w:type="paragraph" w:styleId="992">
    <w:name w:val="toc 9"/>
    <w:basedOn w:val="995"/>
    <w:next w:val="995"/>
    <w:uiPriority w:val="39"/>
    <w:unhideWhenUsed/>
    <w:pPr>
      <w:ind w:left="2268" w:right="0" w:firstLine="0"/>
      <w:spacing w:after="57"/>
    </w:pPr>
  </w:style>
  <w:style w:type="paragraph" w:styleId="993">
    <w:name w:val="TOC Heading"/>
    <w:uiPriority w:val="39"/>
    <w:unhideWhenUsed/>
  </w:style>
  <w:style w:type="paragraph" w:styleId="994">
    <w:name w:val="table of figures"/>
    <w:basedOn w:val="995"/>
    <w:next w:val="995"/>
    <w:uiPriority w:val="99"/>
    <w:unhideWhenUsed/>
    <w:pPr>
      <w:spacing w:after="0" w:afterAutospacing="0"/>
    </w:pPr>
  </w:style>
  <w:style w:type="paragraph" w:styleId="995" w:default="1">
    <w:name w:val="Normal"/>
    <w:next w:val="995"/>
    <w:link w:val="995"/>
    <w:qFormat/>
    <w:pPr>
      <w:jc w:val="both"/>
      <w:widowControl w:val="off"/>
    </w:pPr>
    <w:rPr>
      <w:sz w:val="21"/>
      <w:szCs w:val="22"/>
      <w:lang w:val="en-US" w:eastAsia="zh-CN" w:bidi="ar-SA"/>
    </w:rPr>
  </w:style>
  <w:style w:type="paragraph" w:styleId="996">
    <w:name w:val="标题 4"/>
    <w:basedOn w:val="995"/>
    <w:next w:val="995"/>
    <w:link w:val="995"/>
    <w:qFormat/>
    <w:pPr>
      <w:spacing w:before="280" w:after="290" w:line="377" w:lineRule="auto"/>
      <w:outlineLvl w:val="3"/>
    </w:pPr>
    <w:rPr>
      <w:rFonts w:ascii="Arial" w:hAnsi="Arial" w:eastAsia="黑体"/>
      <w:b/>
      <w:bCs/>
      <w:sz w:val="28"/>
      <w:szCs w:val="28"/>
    </w:rPr>
  </w:style>
  <w:style w:type="character" w:styleId="997">
    <w:name w:val="默认段落字体"/>
    <w:next w:val="997"/>
    <w:link w:val="995"/>
    <w:semiHidden/>
    <w:qFormat/>
  </w:style>
  <w:style w:type="table" w:styleId="998">
    <w:name w:val="普通表格"/>
    <w:next w:val="998"/>
    <w:link w:val="995"/>
    <w:semiHidden/>
    <w:qFormat/>
    <w:tblPr/>
  </w:style>
  <w:style w:type="paragraph" w:styleId="999">
    <w:name w:val="正文缩进"/>
    <w:basedOn w:val="995"/>
    <w:next w:val="995"/>
    <w:link w:val="995"/>
    <w:unhideWhenUsed/>
    <w:qFormat/>
    <w:pPr>
      <w:ind w:firstLine="420"/>
    </w:pPr>
  </w:style>
  <w:style w:type="paragraph" w:styleId="1000">
    <w:name w:val="批注文字"/>
    <w:basedOn w:val="995"/>
    <w:next w:val="1000"/>
    <w:link w:val="995"/>
    <w:uiPriority w:val="99"/>
    <w:unhideWhenUsed/>
    <w:pPr>
      <w:jc w:val="left"/>
    </w:pPr>
  </w:style>
  <w:style w:type="paragraph" w:styleId="1001">
    <w:name w:val="正文文本"/>
    <w:basedOn w:val="995"/>
    <w:next w:val="995"/>
    <w:link w:val="995"/>
    <w:qFormat/>
    <w:pPr>
      <w:spacing w:after="120"/>
    </w:pPr>
  </w:style>
  <w:style w:type="paragraph" w:styleId="1002">
    <w:name w:val="正文文本缩进"/>
    <w:basedOn w:val="995"/>
    <w:next w:val="995"/>
    <w:link w:val="995"/>
    <w:uiPriority w:val="99"/>
    <w:unhideWhenUsed/>
    <w:qFormat/>
    <w:pPr>
      <w:ind w:firstLine="540"/>
      <w:spacing w:line="400" w:lineRule="exact"/>
    </w:pPr>
    <w:rPr>
      <w:sz w:val="24"/>
    </w:rPr>
  </w:style>
  <w:style w:type="paragraph" w:styleId="1003">
    <w:name w:val="列表 2"/>
    <w:basedOn w:val="995"/>
    <w:next w:val="1003"/>
    <w:link w:val="995"/>
    <w:unhideWhenUsed/>
    <w:qFormat/>
    <w:pPr>
      <w:contextualSpacing/>
      <w:ind w:left="100" w:hanging="200"/>
    </w:pPr>
  </w:style>
  <w:style w:type="paragraph" w:styleId="1004">
    <w:name w:val="纯文本"/>
    <w:basedOn w:val="995"/>
    <w:next w:val="999"/>
    <w:link w:val="995"/>
    <w:qFormat/>
    <w:rPr>
      <w:rFonts w:ascii="宋体" w:hAnsi="Courier New"/>
      <w:sz w:val="20"/>
      <w:szCs w:val="21"/>
    </w:rPr>
  </w:style>
  <w:style w:type="paragraph" w:styleId="1005">
    <w:name w:val="页脚"/>
    <w:basedOn w:val="995"/>
    <w:next w:val="1005"/>
    <w:link w:val="1006"/>
    <w:uiPriority w:val="99"/>
    <w:pPr>
      <w:jc w:val="left"/>
      <w:tabs>
        <w:tab w:val="center" w:pos="4153" w:leader="none"/>
        <w:tab w:val="right" w:pos="8306" w:leader="none"/>
      </w:tabs>
    </w:pPr>
    <w:rPr>
      <w:sz w:val="18"/>
      <w:szCs w:val="18"/>
    </w:rPr>
  </w:style>
  <w:style w:type="character" w:styleId="1006">
    <w:name w:val="页脚 字符1"/>
    <w:next w:val="1006"/>
    <w:link w:val="1005"/>
    <w:rPr>
      <w:sz w:val="18"/>
      <w:szCs w:val="18"/>
    </w:rPr>
  </w:style>
  <w:style w:type="paragraph" w:styleId="1007">
    <w:name w:val="寄信人地址"/>
    <w:basedOn w:val="995"/>
    <w:next w:val="1007"/>
    <w:link w:val="995"/>
    <w:uiPriority w:val="99"/>
    <w:unhideWhenUsed/>
    <w:qFormat/>
    <w:rPr>
      <w:rFonts w:ascii="Arial" w:hAnsi="Arial"/>
    </w:rPr>
  </w:style>
  <w:style w:type="paragraph" w:styleId="1008">
    <w:name w:val="页眉"/>
    <w:basedOn w:val="995"/>
    <w:next w:val="1008"/>
    <w:link w:val="1009"/>
    <w:pPr>
      <w:jc w:val="center"/>
      <w:tabs>
        <w:tab w:val="center" w:pos="4153" w:leader="none"/>
        <w:tab w:val="right" w:pos="8306" w:leader="none"/>
      </w:tabs>
    </w:pPr>
    <w:rPr>
      <w:sz w:val="18"/>
      <w:szCs w:val="18"/>
    </w:rPr>
  </w:style>
  <w:style w:type="character" w:styleId="1009">
    <w:name w:val="页眉 字符1"/>
    <w:next w:val="1009"/>
    <w:link w:val="1008"/>
    <w:rPr>
      <w:sz w:val="18"/>
      <w:szCs w:val="18"/>
    </w:rPr>
  </w:style>
  <w:style w:type="paragraph" w:styleId="1010">
    <w:name w:val="目录 1"/>
    <w:basedOn w:val="995"/>
    <w:next w:val="995"/>
    <w:link w:val="995"/>
  </w:style>
  <w:style w:type="paragraph" w:styleId="1011">
    <w:name w:val="目录 2"/>
    <w:basedOn w:val="995"/>
    <w:next w:val="995"/>
    <w:link w:val="995"/>
    <w:pPr>
      <w:ind w:left="420"/>
    </w:pPr>
  </w:style>
  <w:style w:type="paragraph" w:styleId="1012">
    <w:name w:val="目录 9"/>
    <w:basedOn w:val="995"/>
    <w:next w:val="995"/>
    <w:link w:val="995"/>
    <w:uiPriority w:val="2"/>
    <w:qFormat/>
    <w:pPr>
      <w:ind w:left="1680"/>
      <w:jc w:val="left"/>
    </w:pPr>
    <w:rPr>
      <w:rFonts w:ascii="Calibri" w:hAnsi="Calibri"/>
      <w:sz w:val="18"/>
      <w:szCs w:val="18"/>
    </w:rPr>
  </w:style>
  <w:style w:type="paragraph" w:styleId="1013">
    <w:name w:val="普通(网站)"/>
    <w:basedOn w:val="995"/>
    <w:next w:val="1013"/>
    <w:link w:val="995"/>
    <w:pPr>
      <w:ind w:left="0" w:right="0"/>
      <w:jc w:val="left"/>
      <w:spacing w:before="100" w:beforeAutospacing="1" w:after="100" w:afterAutospacing="1"/>
    </w:pPr>
    <w:rPr>
      <w:sz w:val="24"/>
      <w:lang w:val="en-US" w:eastAsia="zh-CN" w:bidi="ar"/>
    </w:rPr>
  </w:style>
  <w:style w:type="paragraph" w:styleId="1014">
    <w:name w:val="正文首行缩进 2"/>
    <w:basedOn w:val="1002"/>
    <w:next w:val="995"/>
    <w:link w:val="995"/>
    <w:qFormat/>
    <w:pPr>
      <w:ind w:firstLine="420"/>
    </w:pPr>
    <w:rPr>
      <w:sz w:val="20"/>
    </w:rPr>
  </w:style>
  <w:style w:type="table" w:styleId="1015">
    <w:name w:val="网格型"/>
    <w:basedOn w:val="998"/>
    <w:next w:val="1015"/>
    <w:link w:val="995"/>
    <w:pPr>
      <w:jc w:val="both"/>
      <w:widowControl w:val="off"/>
    </w:pPr>
    <w:tblPr/>
  </w:style>
  <w:style w:type="character" w:styleId="1016">
    <w:name w:val="页码"/>
    <w:next w:val="1016"/>
    <w:link w:val="995"/>
    <w:qFormat/>
  </w:style>
  <w:style w:type="character" w:styleId="1017">
    <w:name w:val="超链接"/>
    <w:basedOn w:val="997"/>
    <w:next w:val="1017"/>
    <w:link w:val="995"/>
    <w:uiPriority w:val="99"/>
    <w:unhideWhenUsed/>
    <w:qFormat/>
    <w:rPr>
      <w:color w:val="0000ff"/>
      <w:u w:val="single"/>
    </w:rPr>
  </w:style>
  <w:style w:type="character" w:styleId="1018">
    <w:name w:val="htd0"/>
    <w:next w:val="1018"/>
    <w:link w:val="995"/>
    <w:qFormat/>
  </w:style>
  <w:style w:type="character" w:styleId="1019">
    <w:name w:val="默认段落字体1"/>
    <w:next w:val="1019"/>
    <w:link w:val="995"/>
    <w:qFormat/>
  </w:style>
  <w:style w:type="paragraph" w:styleId="1020">
    <w:name w:val="正文（缩进）"/>
    <w:basedOn w:val="995"/>
    <w:next w:val="1021"/>
    <w:link w:val="995"/>
    <w:qFormat/>
    <w:pPr>
      <w:ind w:firstLine="200"/>
      <w:spacing w:before="156" w:after="156" w:line="360" w:lineRule="auto"/>
    </w:pPr>
    <w:rPr>
      <w:sz w:val="24"/>
    </w:rPr>
  </w:style>
  <w:style w:type="paragraph" w:styleId="1021">
    <w:name w:val="Char Char Char Char Char Char Char Char Char"/>
    <w:basedOn w:val="995"/>
    <w:next w:val="1022"/>
    <w:link w:val="995"/>
    <w:qFormat/>
    <w:pPr>
      <w:ind w:left="360" w:hanging="360"/>
      <w:jc w:val="both"/>
      <w:tabs>
        <w:tab w:val="left" w:pos="360" w:leader="none"/>
      </w:tabs>
    </w:pPr>
    <w:rPr>
      <w:rFonts w:ascii="Calibri" w:hAnsi="Calibri" w:eastAsia="Calibri"/>
      <w:sz w:val="24"/>
      <w:szCs w:val="24"/>
      <w:lang w:val="zh-CN"/>
    </w:rPr>
  </w:style>
  <w:style w:type="paragraph" w:styleId="1022">
    <w:name w:val="正文文本 21"/>
    <w:basedOn w:val="995"/>
    <w:next w:val="1023"/>
    <w:link w:val="995"/>
    <w:qFormat/>
    <w:pPr>
      <w:ind w:left="720" w:hanging="720"/>
      <w:jc w:val="both"/>
      <w:widowControl/>
    </w:pPr>
    <w:rPr>
      <w:rFonts w:ascii="Calibri" w:hAnsi="Calibri" w:eastAsia="Calibri"/>
      <w:sz w:val="24"/>
      <w:szCs w:val="20"/>
      <w:lang w:val="en-GB"/>
    </w:rPr>
  </w:style>
  <w:style w:type="paragraph" w:styleId="1023">
    <w:name w:val="默认段落字体 Para Char Char Char Char Char Char Char"/>
    <w:basedOn w:val="995"/>
    <w:next w:val="1024"/>
    <w:link w:val="995"/>
    <w:qFormat/>
    <w:pPr>
      <w:ind w:firstLine="200"/>
    </w:pPr>
  </w:style>
  <w:style w:type="paragraph" w:styleId="1024">
    <w:name w:val="样式 首行缩进:  2 字符"/>
    <w:basedOn w:val="995"/>
    <w:next w:val="1025"/>
    <w:link w:val="995"/>
    <w:qFormat/>
    <w:pPr>
      <w:ind w:firstLine="480"/>
      <w:jc w:val="both"/>
      <w:spacing w:line="360" w:lineRule="auto"/>
    </w:pPr>
    <w:rPr>
      <w:rFonts w:ascii="Times New Roman" w:hAnsi="Times New Roman"/>
      <w:sz w:val="24"/>
      <w:szCs w:val="20"/>
      <w:lang w:val="zh-CN"/>
    </w:rPr>
  </w:style>
  <w:style w:type="paragraph" w:styleId="1025">
    <w:name w:val="样式 段后: 0.25 行"/>
    <w:basedOn w:val="995"/>
    <w:next w:val="1026"/>
    <w:link w:val="995"/>
    <w:qFormat/>
    <w:pPr>
      <w:ind w:firstLine="420"/>
      <w:spacing w:line="300" w:lineRule="auto"/>
      <w:widowControl/>
    </w:pPr>
    <w:rPr>
      <w:rFonts w:ascii="Arial" w:hAnsi="Arial" w:eastAsia="Calibri"/>
      <w:sz w:val="22"/>
      <w:szCs w:val="20"/>
      <w:lang w:val="zh-CN" w:eastAsia="en-US" w:bidi="en-US"/>
    </w:rPr>
  </w:style>
  <w:style w:type="paragraph" w:styleId="1026">
    <w:name w:val="正文 New New New New New New New New New New New New New New"/>
    <w:next w:val="1012"/>
    <w:link w:val="995"/>
    <w:qFormat/>
    <w:pPr>
      <w:jc w:val="both"/>
      <w:widowControl w:val="off"/>
    </w:pPr>
    <w:rPr>
      <w:rFonts w:hint="eastAsia"/>
      <w:sz w:val="21"/>
      <w:lang w:val="en-US" w:eastAsia="zh-CN" w:bidi="ar-SA"/>
    </w:rPr>
  </w:style>
  <w:style w:type="paragraph" w:styleId="1027">
    <w:name w:val="标题 11"/>
    <w:basedOn w:val="995"/>
    <w:next w:val="1027"/>
    <w:link w:val="1028"/>
    <w:qFormat/>
    <w:pPr>
      <w:keepLines/>
      <w:keepNext/>
      <w:spacing w:before="340" w:after="330" w:line="578" w:lineRule="auto"/>
      <w:outlineLvl w:val="0"/>
    </w:pPr>
    <w:rPr>
      <w:b/>
      <w:bCs/>
      <w:sz w:val="44"/>
      <w:szCs w:val="44"/>
    </w:rPr>
  </w:style>
  <w:style w:type="character" w:styleId="1028">
    <w:name w:val="标题 1 字符"/>
    <w:next w:val="1028"/>
    <w:link w:val="1027"/>
    <w:qFormat/>
    <w:rPr>
      <w:b/>
      <w:bCs/>
      <w:sz w:val="44"/>
      <w:szCs w:val="44"/>
    </w:rPr>
  </w:style>
  <w:style w:type="paragraph" w:styleId="1029">
    <w:name w:val="标题 21"/>
    <w:basedOn w:val="995"/>
    <w:next w:val="1029"/>
    <w:link w:val="1030"/>
    <w:qFormat/>
    <w:pPr>
      <w:jc w:val="center"/>
      <w:keepLines/>
      <w:keepNext/>
      <w:spacing w:before="260" w:after="260" w:line="416" w:lineRule="auto"/>
      <w:outlineLvl w:val="1"/>
    </w:pPr>
    <w:rPr>
      <w:rFonts w:ascii="Arial" w:hAnsi="Arial" w:eastAsia="幼圆"/>
      <w:b/>
      <w:bCs/>
      <w:sz w:val="44"/>
      <w:szCs w:val="44"/>
    </w:rPr>
  </w:style>
  <w:style w:type="character" w:styleId="1030">
    <w:name w:val="标题 2 字符"/>
    <w:next w:val="1030"/>
    <w:link w:val="1029"/>
    <w:qFormat/>
    <w:rPr>
      <w:rFonts w:ascii="Arial" w:hAnsi="Arial" w:eastAsia="幼圆"/>
      <w:b/>
      <w:bCs/>
      <w:sz w:val="44"/>
      <w:szCs w:val="44"/>
    </w:rPr>
  </w:style>
  <w:style w:type="paragraph" w:styleId="1031">
    <w:name w:val="标题 31"/>
    <w:basedOn w:val="995"/>
    <w:next w:val="995"/>
    <w:link w:val="1032"/>
    <w:qFormat/>
    <w:pPr>
      <w:keepLines/>
      <w:keepNext/>
      <w:spacing w:before="260" w:after="260" w:line="416" w:lineRule="auto"/>
      <w:outlineLvl w:val="2"/>
    </w:pPr>
    <w:rPr>
      <w:rFonts w:ascii="Times New Roman" w:hAnsi="Times New Roman"/>
      <w:b/>
      <w:bCs/>
      <w:sz w:val="32"/>
      <w:szCs w:val="32"/>
    </w:rPr>
  </w:style>
  <w:style w:type="character" w:styleId="1032">
    <w:name w:val="标题 3 字符"/>
    <w:next w:val="1032"/>
    <w:link w:val="1031"/>
    <w:qFormat/>
    <w:rPr>
      <w:rFonts w:ascii="Times New Roman" w:hAnsi="Times New Roman"/>
      <w:b/>
      <w:bCs/>
      <w:sz w:val="32"/>
      <w:szCs w:val="32"/>
    </w:rPr>
  </w:style>
  <w:style w:type="paragraph" w:styleId="1033">
    <w:name w:val="标题 41"/>
    <w:basedOn w:val="995"/>
    <w:next w:val="1033"/>
    <w:link w:val="995"/>
    <w:qFormat/>
    <w:pPr>
      <w:keepLines/>
      <w:keepNext/>
      <w:spacing w:before="280" w:after="290" w:line="376" w:lineRule="auto"/>
      <w:outlineLvl w:val="3"/>
    </w:pPr>
    <w:rPr>
      <w:rFonts w:ascii="Arial" w:hAnsi="Arial" w:eastAsia="黑体"/>
      <w:b/>
      <w:bCs/>
      <w:sz w:val="28"/>
      <w:szCs w:val="28"/>
    </w:rPr>
  </w:style>
  <w:style w:type="paragraph" w:styleId="1034">
    <w:name w:val="标题 51"/>
    <w:basedOn w:val="995"/>
    <w:next w:val="1034"/>
    <w:link w:val="995"/>
    <w:qFormat/>
    <w:pPr>
      <w:ind w:left="992" w:hanging="992"/>
      <w:keepLines/>
      <w:keepNext/>
      <w:spacing w:before="280" w:after="290" w:line="376" w:lineRule="auto"/>
      <w:tabs>
        <w:tab w:val="left" w:pos="992" w:leader="none"/>
      </w:tabs>
      <w:outlineLvl w:val="4"/>
    </w:pPr>
    <w:rPr>
      <w:b/>
      <w:bCs/>
      <w:sz w:val="28"/>
      <w:szCs w:val="28"/>
    </w:rPr>
  </w:style>
  <w:style w:type="paragraph" w:styleId="1035">
    <w:name w:val="标题 61"/>
    <w:basedOn w:val="995"/>
    <w:next w:val="1035"/>
    <w:link w:val="995"/>
    <w:qFormat/>
    <w:pPr>
      <w:keepLines/>
      <w:keepNext/>
      <w:spacing w:before="240" w:after="64" w:line="320" w:lineRule="auto"/>
      <w:outlineLvl w:val="5"/>
    </w:pPr>
    <w:rPr>
      <w:rFonts w:ascii="Arial" w:hAnsi="Arial" w:eastAsia="黑体"/>
      <w:b/>
      <w:bCs/>
      <w:sz w:val="24"/>
      <w:szCs w:val="24"/>
    </w:rPr>
  </w:style>
  <w:style w:type="paragraph" w:styleId="1036">
    <w:name w:val="标题 71"/>
    <w:basedOn w:val="995"/>
    <w:next w:val="1036"/>
    <w:link w:val="995"/>
    <w:qFormat/>
    <w:pPr>
      <w:ind w:left="1320"/>
      <w:outlineLvl w:val="6"/>
    </w:pPr>
    <w:rPr>
      <w:b/>
      <w:bCs/>
      <w:sz w:val="21"/>
      <w:szCs w:val="21"/>
    </w:rPr>
  </w:style>
  <w:style w:type="table" w:styleId="1037">
    <w:name w:val="普通表格1"/>
    <w:next w:val="1037"/>
    <w:link w:val="995"/>
    <w:qFormat/>
    <w:rPr>
      <w:lang w:val="en-US" w:eastAsia="zh-CN" w:bidi="ar-SA"/>
    </w:rPr>
    <w:tblPr/>
  </w:style>
  <w:style w:type="paragraph" w:styleId="1038">
    <w:name w:val="目录 91"/>
    <w:basedOn w:val="995"/>
    <w:next w:val="1038"/>
    <w:link w:val="995"/>
    <w:qFormat/>
    <w:pPr>
      <w:ind w:left="1680"/>
      <w:jc w:val="left"/>
    </w:pPr>
    <w:rPr>
      <w:rFonts w:ascii="Calibri" w:hAnsi="Calibri"/>
      <w:sz w:val="18"/>
      <w:szCs w:val="18"/>
    </w:rPr>
  </w:style>
  <w:style w:type="paragraph" w:styleId="1039">
    <w:name w:val="正文缩进1"/>
    <w:basedOn w:val="995"/>
    <w:next w:val="1039"/>
    <w:link w:val="1040"/>
    <w:qFormat/>
    <w:pPr>
      <w:ind w:firstLine="420"/>
    </w:pPr>
    <w:rPr>
      <w:rFonts w:ascii="Times New Roman" w:hAnsi="Times New Roman"/>
      <w:sz w:val="20"/>
      <w:szCs w:val="21"/>
    </w:rPr>
  </w:style>
  <w:style w:type="character" w:styleId="1040">
    <w:name w:val="正文缩进 字符"/>
    <w:next w:val="1040"/>
    <w:link w:val="1039"/>
    <w:qFormat/>
    <w:rPr>
      <w:rFonts w:ascii="Times New Roman" w:hAnsi="Times New Roman" w:eastAsia="宋体"/>
      <w:szCs w:val="21"/>
    </w:rPr>
  </w:style>
  <w:style w:type="paragraph" w:styleId="1041">
    <w:name w:val="引文目录标题1"/>
    <w:basedOn w:val="995"/>
    <w:next w:val="1041"/>
    <w:link w:val="995"/>
    <w:qFormat/>
    <w:pPr>
      <w:spacing w:before="120"/>
    </w:pPr>
    <w:rPr>
      <w:rFonts w:ascii="Cambria" w:hAnsi="Cambria" w:eastAsia="宋体"/>
      <w:sz w:val="24"/>
    </w:rPr>
  </w:style>
  <w:style w:type="paragraph" w:styleId="1042">
    <w:name w:val="批注文字1"/>
    <w:basedOn w:val="995"/>
    <w:next w:val="1042"/>
    <w:link w:val="1043"/>
    <w:qFormat/>
    <w:pPr>
      <w:jc w:val="left"/>
    </w:pPr>
  </w:style>
  <w:style w:type="character" w:styleId="1043">
    <w:name w:val="批注文字 字符"/>
    <w:next w:val="1043"/>
    <w:link w:val="1042"/>
    <w:qFormat/>
    <w:rPr>
      <w:sz w:val="21"/>
      <w:szCs w:val="22"/>
    </w:rPr>
  </w:style>
  <w:style w:type="paragraph" w:styleId="1044">
    <w:name w:val="正文文本11"/>
    <w:basedOn w:val="995"/>
    <w:next w:val="1045"/>
    <w:link w:val="995"/>
    <w:qFormat/>
    <w:rPr>
      <w:rFonts w:ascii="楷体_GB2312" w:hAnsi="Arial" w:eastAsia="楷体_GB2312"/>
      <w:sz w:val="28"/>
      <w:szCs w:val="28"/>
    </w:rPr>
  </w:style>
  <w:style w:type="paragraph" w:styleId="1045">
    <w:name w:val="正文文本 211"/>
    <w:basedOn w:val="995"/>
    <w:next w:val="1045"/>
    <w:link w:val="995"/>
    <w:qFormat/>
    <w:pPr>
      <w:spacing w:after="120" w:line="480" w:lineRule="auto"/>
    </w:pPr>
  </w:style>
  <w:style w:type="paragraph" w:styleId="1046">
    <w:name w:val="正文文本缩进11"/>
    <w:basedOn w:val="995"/>
    <w:next w:val="1046"/>
    <w:link w:val="995"/>
    <w:qFormat/>
    <w:pPr>
      <w:ind w:firstLine="540"/>
      <w:spacing w:line="400" w:lineRule="exact"/>
    </w:pPr>
    <w:rPr>
      <w:sz w:val="24"/>
    </w:rPr>
  </w:style>
  <w:style w:type="paragraph" w:styleId="1047">
    <w:name w:val="列表项目符号 21"/>
    <w:basedOn w:val="995"/>
    <w:next w:val="1047"/>
    <w:link w:val="995"/>
    <w:qFormat/>
    <w:pPr>
      <w:numPr>
        <w:ilvl w:val="0"/>
        <w:numId w:val="1"/>
      </w:numPr>
      <w:tabs>
        <w:tab w:val="clear" w:pos="780" w:leader="none"/>
      </w:tabs>
    </w:pPr>
  </w:style>
  <w:style w:type="paragraph" w:styleId="1048">
    <w:name w:val="纯文本11"/>
    <w:basedOn w:val="995"/>
    <w:next w:val="1048"/>
    <w:link w:val="1049"/>
    <w:qFormat/>
    <w:rPr>
      <w:rFonts w:ascii="宋体" w:hAnsi="Courier New"/>
      <w:sz w:val="20"/>
      <w:szCs w:val="21"/>
    </w:rPr>
  </w:style>
  <w:style w:type="character" w:styleId="1049">
    <w:name w:val="纯文本 字符"/>
    <w:next w:val="1049"/>
    <w:link w:val="1048"/>
    <w:qFormat/>
    <w:rPr>
      <w:rFonts w:ascii="宋体" w:hAnsi="Courier New" w:eastAsia="宋体"/>
      <w:szCs w:val="21"/>
    </w:rPr>
  </w:style>
  <w:style w:type="paragraph" w:styleId="1050">
    <w:name w:val="日期1"/>
    <w:basedOn w:val="995"/>
    <w:next w:val="1050"/>
    <w:link w:val="1051"/>
    <w:qFormat/>
    <w:rPr>
      <w:rFonts w:ascii="Times New Roman" w:hAnsi="Times New Roman"/>
      <w:sz w:val="24"/>
      <w:szCs w:val="20"/>
    </w:rPr>
  </w:style>
  <w:style w:type="character" w:styleId="1051">
    <w:name w:val="日期 字符"/>
    <w:next w:val="1051"/>
    <w:link w:val="1050"/>
    <w:qFormat/>
    <w:rPr>
      <w:rFonts w:ascii="Times New Roman" w:hAnsi="Times New Roman" w:eastAsia="宋体"/>
      <w:sz w:val="24"/>
      <w:szCs w:val="20"/>
    </w:rPr>
  </w:style>
  <w:style w:type="paragraph" w:styleId="1052">
    <w:name w:val="正文文本缩进 21"/>
    <w:basedOn w:val="995"/>
    <w:next w:val="1052"/>
    <w:link w:val="995"/>
    <w:qFormat/>
    <w:pPr>
      <w:ind w:firstLine="510"/>
      <w:spacing w:line="520" w:lineRule="exact"/>
    </w:pPr>
    <w:rPr>
      <w:rFonts w:ascii="华文仿宋" w:eastAsia="华文仿宋"/>
      <w:sz w:val="28"/>
    </w:rPr>
  </w:style>
  <w:style w:type="paragraph" w:styleId="1053">
    <w:name w:val="批注框文本1"/>
    <w:basedOn w:val="995"/>
    <w:next w:val="1053"/>
    <w:link w:val="1054"/>
    <w:qFormat/>
    <w:rPr>
      <w:sz w:val="18"/>
      <w:szCs w:val="18"/>
    </w:rPr>
  </w:style>
  <w:style w:type="character" w:styleId="1054">
    <w:name w:val="批注框文本 字符"/>
    <w:next w:val="1054"/>
    <w:link w:val="1053"/>
    <w:semiHidden/>
    <w:qFormat/>
    <w:rPr>
      <w:sz w:val="18"/>
      <w:szCs w:val="18"/>
    </w:rPr>
  </w:style>
  <w:style w:type="paragraph" w:styleId="1055">
    <w:name w:val="页脚1"/>
    <w:basedOn w:val="995"/>
    <w:next w:val="1055"/>
    <w:link w:val="1056"/>
    <w:qFormat/>
    <w:pPr>
      <w:jc w:val="left"/>
      <w:tabs>
        <w:tab w:val="center" w:pos="4153" w:leader="none"/>
        <w:tab w:val="right" w:pos="8306" w:leader="none"/>
      </w:tabs>
    </w:pPr>
    <w:rPr>
      <w:sz w:val="18"/>
      <w:szCs w:val="18"/>
    </w:rPr>
  </w:style>
  <w:style w:type="character" w:styleId="1056">
    <w:name w:val="页脚 字符"/>
    <w:next w:val="1056"/>
    <w:link w:val="1055"/>
    <w:uiPriority w:val="99"/>
    <w:qFormat/>
    <w:rPr>
      <w:sz w:val="18"/>
      <w:szCs w:val="18"/>
    </w:rPr>
  </w:style>
  <w:style w:type="paragraph" w:styleId="1057">
    <w:name w:val="寄信人地址1"/>
    <w:basedOn w:val="995"/>
    <w:next w:val="1057"/>
    <w:link w:val="995"/>
    <w:qFormat/>
    <w:rPr>
      <w:rFonts w:ascii="Arial" w:hAnsi="Arial"/>
    </w:rPr>
  </w:style>
  <w:style w:type="paragraph" w:styleId="1058">
    <w:name w:val="页眉1"/>
    <w:basedOn w:val="995"/>
    <w:next w:val="1058"/>
    <w:link w:val="1059"/>
    <w:qFormat/>
    <w:pPr>
      <w:jc w:val="center"/>
      <w:tabs>
        <w:tab w:val="center" w:pos="4153" w:leader="none"/>
        <w:tab w:val="right" w:pos="8306" w:leader="none"/>
      </w:tabs>
      <w:pBdr>
        <w:bottom w:val="single" w:color="000000" w:sz="6" w:space="1"/>
      </w:pBdr>
    </w:pPr>
    <w:rPr>
      <w:sz w:val="18"/>
      <w:szCs w:val="18"/>
    </w:rPr>
  </w:style>
  <w:style w:type="character" w:styleId="1059">
    <w:name w:val="页眉 字符"/>
    <w:next w:val="1059"/>
    <w:link w:val="1058"/>
    <w:qFormat/>
    <w:rPr>
      <w:sz w:val="18"/>
      <w:szCs w:val="18"/>
    </w:rPr>
  </w:style>
  <w:style w:type="paragraph" w:styleId="1060">
    <w:name w:val="目录 11"/>
    <w:basedOn w:val="995"/>
    <w:next w:val="1060"/>
    <w:link w:val="995"/>
    <w:qFormat/>
  </w:style>
  <w:style w:type="paragraph" w:styleId="1061">
    <w:name w:val="副标题1"/>
    <w:basedOn w:val="995"/>
    <w:next w:val="1061"/>
    <w:link w:val="995"/>
    <w:qFormat/>
    <w:pPr>
      <w:jc w:val="center"/>
      <w:spacing w:before="240" w:after="60" w:line="312" w:lineRule="auto"/>
      <w:outlineLvl w:val="1"/>
    </w:pPr>
    <w:rPr>
      <w:rFonts w:ascii="Cambria" w:hAnsi="Cambria" w:eastAsia="宋体"/>
      <w:b/>
      <w:bCs/>
      <w:sz w:val="32"/>
      <w:szCs w:val="32"/>
    </w:rPr>
  </w:style>
  <w:style w:type="paragraph" w:styleId="1062">
    <w:name w:val="正文文本缩进 31"/>
    <w:basedOn w:val="995"/>
    <w:next w:val="1062"/>
    <w:link w:val="995"/>
    <w:qFormat/>
    <w:pPr>
      <w:ind w:left="420"/>
      <w:spacing w:after="120"/>
    </w:pPr>
    <w:rPr>
      <w:sz w:val="16"/>
      <w:szCs w:val="16"/>
    </w:rPr>
  </w:style>
  <w:style w:type="paragraph" w:styleId="1063">
    <w:name w:val="目录 21"/>
    <w:basedOn w:val="995"/>
    <w:next w:val="1063"/>
    <w:link w:val="995"/>
    <w:qFormat/>
    <w:pPr>
      <w:ind w:left="420"/>
    </w:pPr>
  </w:style>
  <w:style w:type="paragraph" w:styleId="1064">
    <w:name w:val="正文文本 22"/>
    <w:basedOn w:val="995"/>
    <w:next w:val="1064"/>
    <w:link w:val="995"/>
    <w:qFormat/>
    <w:pPr>
      <w:spacing w:after="120" w:line="480" w:lineRule="auto"/>
    </w:pPr>
  </w:style>
  <w:style w:type="paragraph" w:styleId="1065">
    <w:name w:val="普通(网站)1"/>
    <w:basedOn w:val="995"/>
    <w:next w:val="1065"/>
    <w:link w:val="995"/>
    <w:qFormat/>
    <w:pPr>
      <w:jc w:val="left"/>
      <w:spacing w:before="100" w:beforeAutospacing="1" w:after="100" w:afterAutospacing="1"/>
      <w:widowControl/>
    </w:pPr>
    <w:rPr>
      <w:rFonts w:ascii="宋体" w:hAnsi="宋体"/>
      <w:sz w:val="24"/>
    </w:rPr>
  </w:style>
  <w:style w:type="paragraph" w:styleId="1066">
    <w:name w:val="批注主题1"/>
    <w:basedOn w:val="1042"/>
    <w:next w:val="1066"/>
    <w:link w:val="1067"/>
    <w:qFormat/>
    <w:rPr>
      <w:b/>
      <w:bCs/>
    </w:rPr>
  </w:style>
  <w:style w:type="character" w:styleId="1067">
    <w:name w:val="批注主题 字符"/>
    <w:next w:val="1067"/>
    <w:link w:val="1066"/>
    <w:qFormat/>
  </w:style>
  <w:style w:type="paragraph" w:styleId="1068">
    <w:name w:val="正文首行缩进 211"/>
    <w:basedOn w:val="1046"/>
    <w:next w:val="1068"/>
    <w:link w:val="995"/>
    <w:qFormat/>
    <w:pPr>
      <w:ind w:left="420" w:right="0" w:firstLine="420"/>
      <w:jc w:val="both"/>
      <w:keepLines w:val="0"/>
      <w:keepNext w:val="0"/>
      <w:spacing w:before="0" w:beforeAutospacing="0" w:after="120" w:afterAutospacing="0"/>
      <w:widowControl w:val="off"/>
      <w:suppressLineNumbers w:val="0"/>
    </w:pPr>
  </w:style>
  <w:style w:type="table" w:styleId="1069">
    <w:name w:val="网格型1"/>
    <w:basedOn w:val="1037"/>
    <w:next w:val="1069"/>
    <w:link w:val="995"/>
    <w:qFormat/>
    <w:pPr>
      <w:spacing w:after="0" w:line="240" w:lineRule="auto"/>
    </w:pPr>
    <w:tblPr/>
  </w:style>
  <w:style w:type="character" w:styleId="1070">
    <w:name w:val="要点1"/>
    <w:next w:val="1070"/>
    <w:link w:val="995"/>
    <w:qFormat/>
    <w:rPr>
      <w:b/>
    </w:rPr>
  </w:style>
  <w:style w:type="character" w:styleId="1071">
    <w:name w:val="页码1"/>
    <w:next w:val="1071"/>
    <w:link w:val="995"/>
    <w:qFormat/>
  </w:style>
  <w:style w:type="character" w:styleId="1072">
    <w:name w:val="强调1"/>
    <w:next w:val="1072"/>
    <w:link w:val="995"/>
    <w:qFormat/>
    <w:rPr>
      <w:i/>
    </w:rPr>
  </w:style>
  <w:style w:type="character" w:styleId="1073">
    <w:name w:val="超链接1"/>
    <w:next w:val="1073"/>
    <w:link w:val="995"/>
    <w:qFormat/>
    <w:rPr>
      <w:color w:val="0000ff"/>
      <w:u w:val="single"/>
    </w:rPr>
  </w:style>
  <w:style w:type="character" w:styleId="1074">
    <w:name w:val="批注引用1"/>
    <w:next w:val="1074"/>
    <w:link w:val="995"/>
    <w:qFormat/>
    <w:rPr>
      <w:sz w:val="21"/>
      <w:szCs w:val="21"/>
    </w:rPr>
  </w:style>
  <w:style w:type="character" w:styleId="1075">
    <w:name w:val="列出段落 Char"/>
    <w:next w:val="1075"/>
    <w:link w:val="1076"/>
    <w:qFormat/>
    <w:rPr>
      <w:rFonts w:ascii="Calibri" w:hAnsi="Calibri" w:eastAsia="宋体"/>
      <w:sz w:val="24"/>
      <w:szCs w:val="24"/>
      <w:lang w:eastAsia="en-US" w:bidi="en-US"/>
    </w:rPr>
  </w:style>
  <w:style w:type="paragraph" w:styleId="1076">
    <w:name w:val="列出段落1"/>
    <w:basedOn w:val="995"/>
    <w:next w:val="1076"/>
    <w:link w:val="1075"/>
    <w:qFormat/>
    <w:pPr>
      <w:contextualSpacing/>
      <w:ind w:left="720"/>
      <w:jc w:val="left"/>
      <w:widowControl/>
    </w:pPr>
    <w:rPr>
      <w:sz w:val="24"/>
      <w:szCs w:val="24"/>
      <w:lang w:eastAsia="en-US" w:bidi="en-US"/>
    </w:rPr>
  </w:style>
  <w:style w:type="character" w:styleId="1077">
    <w:name w:val="NormalCharacter1"/>
    <w:next w:val="1077"/>
    <w:link w:val="995"/>
    <w:semiHidden/>
    <w:qFormat/>
  </w:style>
  <w:style w:type="paragraph" w:styleId="1078">
    <w:name w:val="一级条标题"/>
    <w:basedOn w:val="1079"/>
    <w:next w:val="1080"/>
    <w:link w:val="995"/>
    <w:qFormat/>
    <w:pPr>
      <w:ind w:left="907" w:hanging="907"/>
      <w:spacing w:before="0" w:after="0"/>
      <w:tabs>
        <w:tab w:val="left" w:pos="810" w:leader="none"/>
        <w:tab w:val="left" w:pos="1265" w:leader="none"/>
      </w:tabs>
      <w:outlineLvl w:val="2"/>
    </w:pPr>
    <w:rPr>
      <w:rFonts w:hAnsi="宋体"/>
      <w:sz w:val="20"/>
      <w:szCs w:val="20"/>
    </w:rPr>
  </w:style>
  <w:style w:type="paragraph" w:styleId="1079">
    <w:name w:val="章标题"/>
    <w:next w:val="995"/>
    <w:link w:val="99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80">
    <w:name w:val="段"/>
    <w:basedOn w:val="1081"/>
    <w:next w:val="995"/>
    <w:link w:val="995"/>
    <w:qFormat/>
    <w:pPr>
      <w:ind w:firstLine="200"/>
      <w:widowControl/>
    </w:pPr>
    <w:rPr>
      <w:rFonts w:ascii="宋体"/>
      <w:sz w:val="20"/>
      <w:szCs w:val="20"/>
    </w:rPr>
  </w:style>
  <w:style w:type="paragraph" w:styleId="1081">
    <w:name w:val="正文1"/>
    <w:next w:val="1082"/>
    <w:link w:val="995"/>
    <w:qFormat/>
    <w:pPr>
      <w:jc w:val="both"/>
    </w:pPr>
    <w:rPr>
      <w:sz w:val="21"/>
      <w:szCs w:val="21"/>
      <w:lang w:val="en-US" w:eastAsia="zh-CN" w:bidi="ar-SA"/>
    </w:rPr>
  </w:style>
  <w:style w:type="paragraph" w:styleId="1082">
    <w:name w:val="正文文本1"/>
    <w:basedOn w:val="1081"/>
    <w:next w:val="1078"/>
    <w:link w:val="995"/>
    <w:qFormat/>
    <w:pPr>
      <w:spacing w:after="120"/>
    </w:pPr>
    <w:rPr>
      <w:lang w:val="en-US" w:eastAsia="en-US"/>
    </w:rPr>
  </w:style>
  <w:style w:type="paragraph" w:styleId="1083">
    <w:name w:val="正文11"/>
    <w:next w:val="1081"/>
    <w:link w:val="995"/>
    <w:qFormat/>
    <w:pPr>
      <w:jc w:val="both"/>
      <w:widowControl w:val="off"/>
    </w:pPr>
    <w:rPr>
      <w:sz w:val="21"/>
      <w:szCs w:val="22"/>
      <w:lang w:val="en-US" w:eastAsia="zh-CN" w:bidi="ar-SA"/>
    </w:rPr>
  </w:style>
  <w:style w:type="paragraph" w:styleId="1084">
    <w:name w:val="正文 A"/>
    <w:next w:val="1084"/>
    <w:link w:val="995"/>
    <w:qFormat/>
    <w:pPr>
      <w:jc w:val="both"/>
      <w:widowControl w:val="off"/>
      <w:framePr w:wrap="around" w:vAnchor="margin" w:hAnchor="text" w:yAlign="top"/>
    </w:pPr>
    <w:rPr>
      <w:rFonts w:eastAsia="Times New Roman"/>
      <w:color w:val="000000"/>
      <w:sz w:val="21"/>
      <w:szCs w:val="21"/>
      <w:lang w:val="en-US" w:eastAsia="zh-CN" w:bidi="ar-SA"/>
    </w:rPr>
  </w:style>
  <w:style w:type="paragraph" w:styleId="1085">
    <w:name w:val="正文文本缩进1"/>
    <w:basedOn w:val="995"/>
    <w:next w:val="1085"/>
    <w:link w:val="995"/>
    <w:qFormat/>
    <w:pPr>
      <w:ind w:firstLine="540"/>
      <w:spacing w:line="400" w:lineRule="exact"/>
    </w:pPr>
    <w:rPr>
      <w:sz w:val="24"/>
    </w:rPr>
  </w:style>
  <w:style w:type="paragraph" w:styleId="1086">
    <w:name w:val="Char"/>
    <w:basedOn w:val="995"/>
    <w:next w:val="1086"/>
    <w:link w:val="995"/>
    <w:qFormat/>
    <w:pPr>
      <w:ind w:firstLine="200"/>
      <w:tabs>
        <w:tab w:val="left" w:pos="360" w:leader="none"/>
      </w:tabs>
    </w:pPr>
    <w:rPr>
      <w:rFonts w:ascii="Times New Roman" w:hAnsi="Times New Roman" w:eastAsia="宋体"/>
      <w:sz w:val="28"/>
      <w:szCs w:val="30"/>
    </w:rPr>
  </w:style>
  <w:style w:type="paragraph" w:styleId="1087">
    <w:name w:val="_正文段落"/>
    <w:basedOn w:val="995"/>
    <w:next w:val="1087"/>
    <w:link w:val="995"/>
    <w:qFormat/>
    <w:pPr>
      <w:ind w:firstLine="200"/>
      <w:spacing w:line="360" w:lineRule="auto"/>
    </w:pPr>
    <w:rPr>
      <w:rFonts w:ascii="Times New Roman" w:hAnsi="Times New Roman"/>
      <w:szCs w:val="24"/>
    </w:rPr>
  </w:style>
  <w:style w:type="paragraph" w:styleId="1088">
    <w:name w:val="列出段落2"/>
    <w:basedOn w:val="995"/>
    <w:next w:val="1088"/>
    <w:link w:val="995"/>
    <w:qFormat/>
    <w:pPr>
      <w:ind w:firstLine="420"/>
    </w:pPr>
  </w:style>
  <w:style w:type="paragraph" w:styleId="1089">
    <w:name w:val="普通文字"/>
    <w:basedOn w:val="995"/>
    <w:next w:val="1089"/>
    <w:link w:val="995"/>
    <w:qFormat/>
    <w:rPr>
      <w:rFonts w:ascii="宋体" w:hAnsi="Times New Roman"/>
      <w:sz w:val="24"/>
      <w:szCs w:val="20"/>
    </w:rPr>
  </w:style>
  <w:style w:type="paragraph" w:styleId="1090">
    <w:name w:val="列出段落21"/>
    <w:basedOn w:val="995"/>
    <w:next w:val="1090"/>
    <w:link w:val="995"/>
    <w:qFormat/>
    <w:pPr>
      <w:ind w:firstLine="420"/>
    </w:pPr>
    <w:rPr>
      <w:szCs w:val="24"/>
    </w:rPr>
  </w:style>
  <w:style w:type="paragraph" w:styleId="1091">
    <w:name w:val="Default"/>
    <w:next w:val="1091"/>
    <w:link w:val="995"/>
    <w:qFormat/>
    <w:pPr>
      <w:widowControl w:val="off"/>
    </w:pPr>
    <w:rPr>
      <w:rFonts w:ascii="宋体"/>
      <w:color w:val="000000"/>
      <w:sz w:val="24"/>
      <w:szCs w:val="24"/>
      <w:lang w:val="en-US" w:eastAsia="zh-CN" w:bidi="ar-SA"/>
    </w:rPr>
  </w:style>
  <w:style w:type="paragraph" w:styleId="1092">
    <w:name w:val="正文空2格  1."/>
    <w:basedOn w:val="995"/>
    <w:next w:val="1092"/>
    <w:link w:val="995"/>
    <w:qFormat/>
    <w:pPr>
      <w:ind w:firstLine="480"/>
    </w:pPr>
    <w:rPr>
      <w:sz w:val="28"/>
      <w:szCs w:val="20"/>
    </w:rPr>
  </w:style>
  <w:style w:type="paragraph" w:styleId="1093">
    <w:name w:val="正文 1.1"/>
    <w:basedOn w:val="995"/>
    <w:next w:val="1093"/>
    <w:link w:val="995"/>
    <w:qFormat/>
    <w:pPr>
      <w:numPr>
        <w:ilvl w:val="1"/>
        <w:numId w:val="2"/>
      </w:numPr>
      <w:ind w:firstLine="550"/>
      <w:tabs>
        <w:tab w:val="clear" w:pos="851" w:leader="none"/>
      </w:tabs>
      <w:outlineLvl w:val="1"/>
    </w:pPr>
    <w:rPr>
      <w:rFonts w:ascii="仿宋" w:hAnsi="仿宋"/>
      <w:b/>
    </w:rPr>
  </w:style>
  <w:style w:type="paragraph" w:styleId="1094">
    <w:name w:val="正文 1.1.1"/>
    <w:basedOn w:val="995"/>
    <w:next w:val="1094"/>
    <w:link w:val="995"/>
    <w:qFormat/>
    <w:pPr>
      <w:numPr>
        <w:ilvl w:val="2"/>
        <w:numId w:val="2"/>
      </w:numPr>
      <w:tabs>
        <w:tab w:val="clear" w:pos="851" w:leader="none"/>
      </w:tabs>
      <w:outlineLvl w:val="2"/>
    </w:pPr>
    <w:rPr>
      <w:rFonts w:hAnsi="宋体" w:eastAsia="宋体"/>
      <w:color w:val="ff0000"/>
    </w:rPr>
  </w:style>
  <w:style w:type="paragraph" w:styleId="1095">
    <w:name w:val="修订"/>
    <w:next w:val="1095"/>
    <w:link w:val="995"/>
    <w:qFormat/>
    <w:rPr>
      <w:sz w:val="21"/>
      <w:szCs w:val="22"/>
      <w:lang w:val="en-US" w:eastAsia="zh-CN" w:bidi="ar-SA"/>
    </w:rPr>
  </w:style>
  <w:style w:type="paragraph" w:styleId="1096">
    <w:name w:val="ListBullet21"/>
    <w:basedOn w:val="995"/>
    <w:next w:val="1096"/>
    <w:link w:val="995"/>
    <w:qFormat/>
    <w:pPr>
      <w:numPr>
        <w:ilvl w:val="0"/>
        <w:numId w:val="3"/>
      </w:numPr>
      <w:tabs>
        <w:tab w:val="clear" w:pos="780" w:leader="none"/>
      </w:tabs>
    </w:pPr>
  </w:style>
  <w:style w:type="paragraph" w:styleId="1097">
    <w:name w:val="Table Paragraph"/>
    <w:basedOn w:val="995"/>
    <w:next w:val="1097"/>
    <w:link w:val="995"/>
    <w:qFormat/>
    <w:pPr>
      <w:jc w:val="left"/>
    </w:pPr>
    <w:rPr>
      <w:rFonts w:ascii="宋体" w:hAnsi="宋体"/>
      <w:sz w:val="22"/>
      <w:lang w:val="zh-CN" w:bidi="zh-CN"/>
    </w:rPr>
  </w:style>
  <w:style w:type="paragraph" w:styleId="1098">
    <w:name w:val="列表段落"/>
    <w:basedOn w:val="995"/>
    <w:next w:val="1098"/>
    <w:link w:val="995"/>
    <w:qFormat/>
    <w:pPr>
      <w:ind w:firstLine="420"/>
    </w:pPr>
    <w:rPr>
      <w:rFonts w:eastAsia="楷体_GB2312"/>
      <w:sz w:val="26"/>
      <w:szCs w:val="20"/>
    </w:rPr>
  </w:style>
  <w:style w:type="paragraph" w:styleId="1099">
    <w:name w:val="普通正文"/>
    <w:basedOn w:val="1081"/>
    <w:next w:val="1099"/>
    <w:link w:val="995"/>
    <w:qFormat/>
    <w:pPr>
      <w:ind w:firstLine="480"/>
      <w:jc w:val="left"/>
      <w:spacing w:before="120" w:after="120" w:line="360" w:lineRule="auto"/>
    </w:pPr>
    <w:rPr>
      <w:rFonts w:ascii="Arial" w:hAnsi="Arial" w:eastAsia="宋体"/>
      <w:sz w:val="24"/>
      <w:szCs w:val="24"/>
    </w:rPr>
  </w:style>
  <w:style w:type="paragraph" w:styleId="1100">
    <w:name w:val="表格"/>
    <w:next w:val="1100"/>
    <w:link w:val="995"/>
    <w:qFormat/>
    <w:pPr>
      <w:jc w:val="center"/>
      <w:spacing w:line="360" w:lineRule="auto"/>
    </w:pPr>
    <w:rPr>
      <w:rFonts w:ascii="宋体" w:hAnsi="宋体"/>
      <w:bCs/>
      <w:spacing w:val="-4"/>
      <w:sz w:val="21"/>
      <w:szCs w:val="22"/>
      <w:lang w:val="en-US" w:eastAsia="zh-CN" w:bidi="ar-SA"/>
    </w:rPr>
  </w:style>
  <w:style w:type="paragraph" w:styleId="1101">
    <w:name w:val="_Style 7"/>
    <w:next w:val="1101"/>
    <w:link w:val="995"/>
    <w:qFormat/>
    <w:pPr>
      <w:ind w:left="420" w:firstLine="420"/>
      <w:jc w:val="both"/>
      <w:spacing w:after="120"/>
      <w:widowControl w:val="off"/>
    </w:pPr>
    <w:rPr>
      <w:sz w:val="21"/>
      <w:szCs w:val="24"/>
      <w:lang w:val="en-US" w:eastAsia="zh-CN" w:bidi="ar-SA"/>
    </w:rPr>
  </w:style>
  <w:style w:type="paragraph" w:styleId="1102">
    <w:name w:val="Blockquote"/>
    <w:basedOn w:val="995"/>
    <w:next w:val="1102"/>
    <w:link w:val="995"/>
    <w:qFormat/>
    <w:pPr>
      <w:ind w:left="360" w:right="360"/>
      <w:spacing w:before="100" w:after="100"/>
      <w:widowControl w:val="off"/>
    </w:pPr>
    <w:rPr>
      <w:sz w:val="24"/>
    </w:rPr>
  </w:style>
  <w:style w:type="paragraph" w:styleId="1103">
    <w:name w:val="正文首行缩进 21"/>
    <w:basedOn w:val="1085"/>
    <w:next w:val="1103"/>
    <w:link w:val="995"/>
    <w:qFormat/>
    <w:pPr>
      <w:ind w:firstLine="420"/>
    </w:pPr>
  </w:style>
  <w:style w:type="paragraph" w:styleId="1104">
    <w:name w:val="纯文本1"/>
    <w:basedOn w:val="995"/>
    <w:next w:val="1104"/>
    <w:link w:val="995"/>
    <w:qFormat/>
    <w:rPr>
      <w:rFonts w:ascii="宋体" w:hAnsi="Courier New"/>
      <w:sz w:val="20"/>
      <w:szCs w:val="20"/>
    </w:rPr>
  </w:style>
  <w:style w:type="table" w:styleId="1105">
    <w:name w:val="Table Normal"/>
    <w:next w:val="1105"/>
    <w:link w:val="995"/>
    <w:qFormat/>
    <w:rPr>
      <w:lang w:val="en-US" w:eastAsia="zh-CN" w:bidi="ar-SA"/>
    </w:rPr>
    <w:tblPr/>
  </w:style>
  <w:style w:type="paragraph" w:styleId="1106">
    <w:name w:val="首行缩进"/>
    <w:basedOn w:val="995"/>
    <w:next w:val="1106"/>
    <w:link w:val="995"/>
    <w:qFormat/>
    <w:pPr>
      <w:ind w:firstLine="480"/>
    </w:pPr>
    <w:rPr>
      <w:rFonts w:ascii="Times New Roman" w:hAnsi="Times New Roman"/>
    </w:rPr>
  </w:style>
  <w:style w:type="paragraph" w:styleId="1107">
    <w:name w:val="WPSOffice手动目录 1"/>
    <w:next w:val="1107"/>
    <w:link w:val="995"/>
    <w:rPr>
      <w:lang w:val="en-US" w:eastAsia="zh-CN" w:bidi="ar-SA"/>
    </w:rPr>
  </w:style>
  <w:style w:type="character" w:styleId="1108" w:default="1">
    <w:name w:val="Default Paragraph Font"/>
    <w:uiPriority w:val="1"/>
    <w:semiHidden/>
    <w:unhideWhenUsed/>
  </w:style>
  <w:style w:type="numbering" w:styleId="1109" w:default="1">
    <w:name w:val="No List"/>
    <w:uiPriority w:val="99"/>
    <w:semiHidden/>
    <w:unhideWhenUsed/>
  </w:style>
  <w:style w:type="table" w:styleId="11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拾忆S</dc:creator>
  <cp:lastModifiedBy>李芸</cp:lastModifiedBy>
  <cp:revision>10</cp:revision>
  <dcterms:created xsi:type="dcterms:W3CDTF">2024-09-03T01:38:00Z</dcterms:created>
  <dcterms:modified xsi:type="dcterms:W3CDTF">2026-01-08T07:10:00Z</dcterms:modified>
</cp:coreProperties>
</file>