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方正楷体_GBK" w:hAnsi="宋体" w:eastAsia="方正楷体_GBK"/>
          <w:b/>
          <w:bCs/>
          <w:i/>
          <w:sz w:val="36"/>
          <w:u w:val="single"/>
        </w:rPr>
      </w:pPr>
      <w:r>
        <w:rPr>
          <w:rFonts w:ascii="方正楷体_GBK" w:hAnsi="宋体" w:eastAsia="方正楷体_GBK"/>
          <w:b/>
          <w:bCs/>
          <w:i/>
          <w:sz w:val="36"/>
          <w:u w:val="single"/>
        </w:rPr>
      </w:r>
      <w:r/>
    </w:p>
    <w:p>
      <w:pPr>
        <w:jc w:val="center"/>
        <w:rPr>
          <w:rFonts w:hint="eastAsia" w:ascii="宋体" w:hAnsi="宋体" w:eastAsia="宋体"/>
          <w:b/>
          <w:bCs/>
          <w:sz w:val="36"/>
          <w:lang w:eastAsia="zh-CN"/>
        </w:rPr>
      </w:pPr>
      <w:r>
        <w:rPr>
          <w:rFonts w:hint="eastAsia" w:ascii="宋体" w:hAnsi="宋体"/>
          <w:b/>
          <w:bCs/>
          <w:sz w:val="36"/>
        </w:rPr>
        <w:t xml:space="preserve">            编号：</w:t>
      </w:r>
      <w:r>
        <w:rPr>
          <w:rFonts w:hint="eastAsia" w:ascii="宋体" w:hAnsi="宋体"/>
          <w:b/>
          <w:bCs/>
          <w:sz w:val="36"/>
          <w:lang w:eastAsia="zh-CN"/>
        </w:rPr>
        <w:t xml:space="preserve">JSZC-321000-SWGC-G2026-0018号</w:t>
      </w:r>
      <w:r/>
    </w:p>
    <w:p>
      <w:pPr>
        <w:pStyle w:val="1119"/>
        <w:ind w:firstLine="0"/>
      </w:pPr>
      <w:r/>
      <w:r/>
    </w:p>
    <w:p>
      <w:pPr>
        <w:jc w:val="center"/>
        <w:spacing w:line="480" w:lineRule="auto"/>
        <w:rPr>
          <w:rFonts w:ascii="宋体" w:hAnsi="宋体"/>
          <w:b/>
          <w:bCs/>
          <w:sz w:val="36"/>
        </w:rPr>
      </w:pPr>
      <w:r>
        <w:rPr>
          <w:rFonts w:hint="eastAsia" w:ascii="宋体" w:hAnsi="宋体"/>
          <w:b/>
          <w:bCs/>
          <w:sz w:val="36"/>
        </w:rPr>
        <w:t xml:space="preserve">江平东路东延工程非涉铁西段（一期）工程一切险</w:t>
      </w:r>
      <w:r/>
    </w:p>
    <w:p>
      <w:pPr>
        <w:jc w:val="center"/>
        <w:spacing w:line="480" w:lineRule="auto"/>
        <w:rPr>
          <w:rFonts w:ascii="宋体" w:hAnsi="宋体"/>
          <w:b/>
          <w:bCs/>
          <w:sz w:val="36"/>
        </w:rPr>
      </w:pPr>
      <w:r>
        <w:rPr>
          <w:rFonts w:hint="eastAsia" w:ascii="宋体" w:hAnsi="宋体"/>
          <w:b/>
          <w:bCs/>
          <w:sz w:val="36"/>
        </w:rPr>
        <w:t xml:space="preserve">公开招标文件</w:t>
      </w:r>
      <w:r/>
    </w:p>
    <w:p>
      <w:pPr>
        <w:jc w:val="center"/>
        <w:rPr>
          <w:rFonts w:ascii="宋体" w:hAnsi="宋体"/>
          <w:sz w:val="36"/>
        </w:rPr>
      </w:pPr>
      <w:r>
        <w:rPr>
          <w:rFonts w:ascii="宋体" w:hAnsi="宋体"/>
          <w:sz w:val="36"/>
        </w:rPr>
      </w:r>
      <w:r/>
    </w:p>
    <w:p>
      <w:pPr>
        <w:jc w:val="center"/>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6068060" cy="3743325"/>
                <wp:effectExtent l="0" t="0" r="12700" b="5715"/>
                <wp:docPr id="1" name="_x0000_i2051"/>
                <wp:cNvGraphicFramePr/>
                <a:graphic xmlns:a="http://schemas.openxmlformats.org/drawingml/2006/main">
                  <a:graphicData uri="http://schemas.openxmlformats.org/drawingml/2006/picture">
                    <pic:pic xmlns:pic="http://schemas.openxmlformats.org/drawingml/2006/picture">
                      <pic:nvPicPr>
                        <pic:cNvPr id="1" name="_x0000_i2051"/>
                        <pic:cNvPicPr/>
                        <pic:nvPr/>
                      </pic:nvPicPr>
                      <pic:blipFill>
                        <a:blip r:embed="rId19"/>
                        <a:stretch/>
                      </pic:blipFill>
                      <pic:spPr bwMode="auto">
                        <a:xfrm>
                          <a:off x="0" y="0"/>
                          <a:ext cx="6068059" cy="3743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7.8pt;height:294.8pt;mso-wrap-distance-left:0.0pt;mso-wrap-distance-top:0.0pt;mso-wrap-distance-right:0.0pt;mso-wrap-distance-bottom:0.0pt;" stroked="false">
                <v:path textboxrect="0,0,0,0"/>
                <v:imagedata r:id="rId19" o:title=""/>
              </v:shape>
            </w:pict>
          </mc:Fallback>
        </mc:AlternateContent>
      </w:r>
      <w:r/>
    </w:p>
    <w:p>
      <w:pPr>
        <w:pStyle w:val="1096"/>
      </w:pPr>
      <w:r/>
      <w:r/>
    </w:p>
    <w:p>
      <w:pPr>
        <w:jc w:val="center"/>
        <w:spacing w:line="480" w:lineRule="auto"/>
        <w:rPr>
          <w:rFonts w:ascii="宋体" w:hAnsi="宋体"/>
          <w:b/>
          <w:bCs/>
          <w:sz w:val="36"/>
        </w:rPr>
      </w:pPr>
      <w:r>
        <w:rPr>
          <w:rFonts w:hint="eastAsia" w:ascii="宋体" w:hAnsi="宋体"/>
          <w:b/>
          <w:bCs/>
          <w:sz w:val="36"/>
        </w:rPr>
        <w:t xml:space="preserve">江苏苏维工程管理有限公司</w:t>
      </w:r>
      <w:r/>
    </w:p>
    <w:p>
      <w:pPr>
        <w:jc w:val="center"/>
        <w:spacing w:line="480" w:lineRule="auto"/>
        <w:rPr>
          <w:rFonts w:ascii="宋体" w:hAnsi="宋体"/>
          <w:b/>
          <w:bCs/>
          <w:sz w:val="36"/>
        </w:rPr>
      </w:pPr>
      <w:r>
        <w:rPr>
          <w:rFonts w:hint="eastAsia" w:ascii="宋体" w:hAnsi="宋体"/>
          <w:b/>
          <w:bCs/>
          <w:sz w:val="36"/>
        </w:rPr>
        <w:t xml:space="preserve">202</w:t>
      </w:r>
      <w:r>
        <w:rPr>
          <w:rFonts w:hint="eastAsia" w:ascii="宋体" w:hAnsi="宋体"/>
          <w:b/>
          <w:bCs/>
          <w:sz w:val="36"/>
          <w:lang w:val="en-US" w:eastAsia="zh-CN"/>
        </w:rPr>
        <w:t xml:space="preserve">6</w:t>
      </w:r>
      <w:r>
        <w:rPr>
          <w:rFonts w:hint="eastAsia" w:ascii="宋体" w:hAnsi="宋体"/>
          <w:b/>
          <w:bCs/>
          <w:sz w:val="36"/>
        </w:rPr>
        <w:t xml:space="preserve">年</w:t>
      </w:r>
      <w:r>
        <w:rPr>
          <w:rFonts w:hint="eastAsia" w:ascii="宋体" w:hAnsi="宋体"/>
          <w:b/>
          <w:bCs/>
          <w:sz w:val="36"/>
          <w:lang w:val="en-US" w:eastAsia="zh-CN"/>
        </w:rPr>
        <w:t xml:space="preserve">02</w:t>
      </w:r>
      <w:r>
        <w:rPr>
          <w:rFonts w:hint="eastAsia" w:ascii="宋体" w:hAnsi="宋体"/>
          <w:b/>
          <w:bCs/>
          <w:sz w:val="36"/>
        </w:rPr>
        <w:t xml:space="preserve">月</w:t>
      </w:r>
      <w:r>
        <w:rPr>
          <w:rFonts w:hint="eastAsia" w:ascii="宋体" w:hAnsi="宋体"/>
          <w:b/>
          <w:bCs/>
          <w:sz w:val="36"/>
          <w:lang w:val="en-US" w:eastAsia="zh-CN"/>
        </w:rPr>
        <w:t xml:space="preserve">13</w:t>
      </w:r>
      <w:bookmarkStart w:id="31" w:name="_GoBack"/>
      <w:r/>
      <w:bookmarkEnd w:id="31"/>
      <w:r>
        <w:rPr>
          <w:rFonts w:hint="eastAsia" w:ascii="宋体" w:hAnsi="宋体"/>
          <w:b/>
          <w:bCs/>
          <w:sz w:val="36"/>
        </w:rPr>
        <w:t xml:space="preserve">日</w:t>
      </w:r>
      <w:r/>
    </w:p>
    <w:p>
      <w:pPr>
        <w:spacing w:line="480" w:lineRule="auto"/>
      </w:pPr>
      <w:r/>
      <w:r/>
    </w:p>
    <w:p>
      <w:pPr>
        <w:rPr>
          <w:rFonts w:ascii="宋体" w:hAnsi="宋体"/>
          <w:sz w:val="32"/>
        </w:rPr>
      </w:pPr>
      <w:r>
        <w:rPr>
          <w:rFonts w:ascii="宋体" w:hAnsi="宋体"/>
          <w:sz w:val="32"/>
        </w:rPr>
      </w:r>
      <w:r/>
    </w:p>
    <w:p>
      <w:pPr>
        <w:pStyle w:val="1119"/>
        <w:ind w:firstLine="400"/>
      </w:pPr>
      <w:r/>
      <w:r/>
    </w:p>
    <w:p>
      <w:pPr>
        <w:jc w:val="center"/>
        <w:spacing w:line="480" w:lineRule="auto"/>
        <w:rPr>
          <w:rFonts w:ascii="宋体" w:hAnsi="宋体"/>
          <w:sz w:val="32"/>
        </w:rPr>
      </w:pPr>
      <w:r>
        <w:rPr>
          <w:rFonts w:hint="eastAsia" w:ascii="宋体" w:hAnsi="宋体"/>
          <w:sz w:val="32"/>
        </w:rPr>
        <w:t xml:space="preserve">目 录</w:t>
      </w:r>
      <w:r/>
    </w:p>
    <w:p>
      <w:pPr>
        <w:pStyle w:val="1119"/>
        <w:ind w:firstLine="400"/>
      </w:pPr>
      <w:r/>
      <w:r/>
    </w:p>
    <w:p>
      <w:pPr>
        <w:pStyle w:val="1113"/>
        <w:spacing w:line="480" w:lineRule="auto"/>
        <w:tabs>
          <w:tab w:val="right" w:pos="8296" w:leader="dot"/>
        </w:tabs>
        <w:rPr>
          <w:rFonts w:ascii="宋体" w:hAnsi="宋体"/>
          <w:sz w:val="28"/>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采购公告</w:t>
      </w:r>
      <w:r>
        <w:rPr>
          <w:rFonts w:hint="eastAsia"/>
        </w:rPr>
        <w:tab/>
      </w:r>
      <w:r>
        <w:rPr>
          <w:rFonts w:hint="eastAsia"/>
        </w:rPr>
        <w:t xml:space="preserve">3</w:t>
      </w:r>
      <w:r/>
    </w:p>
    <w:p>
      <w:pPr>
        <w:pStyle w:val="1113"/>
        <w:spacing w:line="480" w:lineRule="auto"/>
        <w:tabs>
          <w:tab w:val="right" w:pos="8296" w:leader="dot"/>
        </w:tabs>
        <w:rPr>
          <w:rFonts w:ascii="宋体" w:hAnsi="宋体"/>
        </w:rPr>
      </w:pPr>
      <w:r>
        <w:rPr>
          <w:rFonts w:hint="eastAsia" w:ascii="宋体" w:hAnsi="宋体"/>
        </w:rPr>
        <w:t xml:space="preserve">第二章 投标人须知</w:t>
      </w:r>
      <w:r>
        <w:rPr>
          <w:rFonts w:hint="eastAsia"/>
        </w:rPr>
        <w:tab/>
      </w:r>
      <w:r>
        <w:rPr>
          <w:rFonts w:hint="eastAsia"/>
        </w:rPr>
        <w:t xml:space="preserve">7</w:t>
      </w:r>
      <w:r/>
    </w:p>
    <w:p>
      <w:pPr>
        <w:pStyle w:val="1113"/>
        <w:spacing w:line="480" w:lineRule="auto"/>
        <w:tabs>
          <w:tab w:val="right" w:pos="8296" w:leader="dot"/>
        </w:tabs>
        <w:rPr>
          <w:rFonts w:ascii="宋体" w:hAnsi="宋体"/>
        </w:rPr>
      </w:pPr>
      <w:r>
        <w:rPr>
          <w:rFonts w:hint="eastAsia" w:ascii="宋体" w:hAnsi="宋体"/>
        </w:rPr>
        <w:t xml:space="preserve">第三章 合同条款及格式</w:t>
      </w:r>
      <w:r>
        <w:rPr>
          <w:rFonts w:hint="eastAsia"/>
        </w:rPr>
        <w:tab/>
      </w:r>
      <w:r>
        <w:rPr>
          <w:rFonts w:hint="eastAsia"/>
        </w:rPr>
        <w:t xml:space="preserve">18</w:t>
      </w:r>
      <w:r/>
    </w:p>
    <w:p>
      <w:pPr>
        <w:pStyle w:val="1113"/>
        <w:spacing w:line="480" w:lineRule="auto"/>
        <w:tabs>
          <w:tab w:val="right" w:pos="8296" w:leader="dot"/>
        </w:tabs>
      </w:pPr>
      <w:r>
        <w:rPr>
          <w:rFonts w:hint="eastAsia"/>
        </w:rPr>
        <w:t xml:space="preserve">第四章 项目需求</w:t>
      </w:r>
      <w:r>
        <w:rPr>
          <w:rFonts w:hint="eastAsia"/>
        </w:rPr>
        <w:tab/>
      </w:r>
      <w:r>
        <w:rPr>
          <w:rFonts w:hint="eastAsia"/>
        </w:rPr>
        <w:t xml:space="preserve">21</w:t>
      </w:r>
      <w:r/>
    </w:p>
    <w:p>
      <w:pPr>
        <w:pStyle w:val="1113"/>
        <w:spacing w:line="480" w:lineRule="auto"/>
        <w:tabs>
          <w:tab w:val="right" w:pos="8296" w:leader="dot"/>
        </w:tabs>
        <w:rPr>
          <w:rFonts w:ascii="宋体" w:hAnsi="宋体"/>
        </w:rPr>
      </w:pPr>
      <w:r>
        <w:rPr>
          <w:rFonts w:hint="eastAsia" w:ascii="宋体" w:hAnsi="宋体"/>
        </w:rPr>
        <w:t xml:space="preserve">第五章 评标方法及评标标准</w:t>
      </w:r>
      <w:r>
        <w:rPr>
          <w:rFonts w:hint="eastAsia"/>
        </w:rPr>
        <w:tab/>
      </w:r>
      <w:r>
        <w:rPr>
          <w:rFonts w:hint="eastAsia"/>
        </w:rPr>
        <w:t xml:space="preserve">38</w:t>
      </w:r>
      <w:r/>
    </w:p>
    <w:p>
      <w:pPr>
        <w:pStyle w:val="1113"/>
        <w:spacing w:line="480" w:lineRule="auto"/>
        <w:tabs>
          <w:tab w:val="right" w:pos="8296" w:leader="dot"/>
        </w:tabs>
        <w:rPr>
          <w:rFonts w:ascii="宋体" w:hAnsi="宋体"/>
        </w:rPr>
      </w:pPr>
      <w:r>
        <w:rPr>
          <w:rFonts w:hint="eastAsia" w:ascii="宋体" w:hAnsi="宋体"/>
        </w:rPr>
        <w:t xml:space="preserve">第六章 投标文件格式</w:t>
      </w:r>
      <w:r>
        <w:rPr>
          <w:rFonts w:hint="eastAsia"/>
        </w:rPr>
        <w:tab/>
      </w:r>
      <w:r>
        <w:rPr>
          <w:rFonts w:hint="eastAsia"/>
        </w:rPr>
        <w:t xml:space="preserve">42</w:t>
      </w:r>
      <w:r/>
    </w:p>
    <w:p>
      <w:pPr>
        <w:spacing w:line="480" w:lineRule="auto"/>
        <w:rPr>
          <w:rFonts w:ascii="宋体" w:hAnsi="宋体"/>
          <w:sz w:val="28"/>
        </w:rPr>
      </w:pPr>
      <w:r>
        <w:rPr>
          <w:rFonts w:hint="eastAsia" w:ascii="宋体" w:hAnsi="宋体"/>
          <w:sz w:val="28"/>
        </w:rPr>
        <w:fldChar w:fldCharType="end"/>
      </w:r>
      <w:r/>
    </w:p>
    <w:p>
      <w:pPr>
        <w:numPr>
          <w:ilvl w:val="0"/>
          <w:numId w:val="2"/>
        </w:numPr>
        <w:jc w:val="center"/>
        <w:rPr>
          <w:rFonts w:ascii="宋体" w:hAnsi="宋体"/>
          <w:b/>
          <w:bCs/>
          <w:sz w:val="36"/>
        </w:rPr>
        <w:sectPr>
          <w:headerReference w:type="default" r:id="rId9"/>
          <w:footerReference w:type="default" r:id="rId13"/>
          <w:footnotePr/>
          <w:endnotePr/>
          <w:type w:val="nextPage"/>
          <w:pgSz w:w="11906" w:h="16838" w:orient="portrait"/>
          <w:pgMar w:top="1440" w:right="1576" w:bottom="1440" w:left="1463" w:header="851" w:footer="992" w:gutter="0"/>
          <w:pgNumType w:start="1"/>
          <w:cols w:num="1" w:sep="0" w:space="720" w:equalWidth="1"/>
          <w:docGrid w:linePitch="360"/>
        </w:sectPr>
      </w:pPr>
      <w:r>
        <w:rPr>
          <w:rFonts w:ascii="宋体" w:hAnsi="宋体"/>
          <w:b/>
          <w:bCs/>
          <w:sz w:val="36"/>
        </w:rPr>
      </w:r>
      <w:r/>
    </w:p>
    <w:p>
      <w:pPr>
        <w:jc w:val="center"/>
        <w:spacing w:line="360" w:lineRule="auto"/>
        <w:rPr>
          <w:rFonts w:ascii="宋体" w:hAnsi="宋体"/>
          <w:b/>
          <w:bCs/>
          <w:sz w:val="36"/>
        </w:rPr>
      </w:pPr>
      <w:r>
        <w:rPr>
          <w:rFonts w:hint="eastAsia" w:ascii="宋体" w:hAnsi="宋体"/>
          <w:b/>
          <w:bCs/>
          <w:sz w:val="36"/>
        </w:rPr>
        <w:t xml:space="preserve">第一章江平东路东延工程非涉铁西段（一期）工程一切险采购公告</w:t>
      </w:r>
      <w:r/>
    </w:p>
    <w:p>
      <w:pPr>
        <w:ind w:firstLine="420"/>
        <w:spacing w:line="360" w:lineRule="auto"/>
        <w:tabs>
          <w:tab w:val="left" w:pos="266" w:leader="none"/>
        </w:tabs>
        <w:rPr>
          <w:rFonts w:ascii="宋体" w:hAnsi="宋体"/>
        </w:rPr>
      </w:pPr>
      <w:r>
        <w:rPr>
          <w:rFonts w:hint="eastAsia" w:ascii="宋体" w:hAnsi="宋体"/>
        </w:rPr>
        <w:t xml:space="preserve">受扬州市市政建设处的委托，江苏苏维工程管理有限公司就江平东路东延工程非涉铁西段（一期）工程一切险进行公开招标采购，欢迎符合条件的供应商投标。</w:t>
      </w:r>
      <w:r/>
    </w:p>
    <w:p>
      <w:pPr>
        <w:spacing w:line="360" w:lineRule="auto"/>
        <w:rPr>
          <w:rFonts w:ascii="宋体" w:hAnsi="宋体"/>
          <w:b/>
          <w:bCs/>
        </w:rPr>
        <w:pBdr>
          <w:top w:val="single" w:color="auto" w:sz="4" w:space="1"/>
          <w:left w:val="single" w:color="auto" w:sz="4" w:space="4"/>
          <w:bottom w:val="single" w:color="auto" w:sz="4" w:space="1"/>
          <w:right w:val="single" w:color="auto" w:sz="4" w:space="4"/>
        </w:pBdr>
      </w:pPr>
      <w:r>
        <w:rPr>
          <w:rFonts w:hint="eastAsia" w:ascii="宋体" w:hAnsi="宋体"/>
          <w:b/>
          <w:bCs/>
        </w:rPr>
        <w:t xml:space="preserve">项目概况：</w:t>
      </w:r>
      <w:r/>
    </w:p>
    <w:p>
      <w:pPr>
        <w:ind w:firstLine="420"/>
        <w:spacing w:line="360" w:lineRule="auto"/>
        <w:rPr>
          <w:rFonts w:ascii="宋体" w:hAnsi="宋体"/>
          <w:szCs w:val="21"/>
        </w:rPr>
        <w:pBdr>
          <w:top w:val="single" w:color="auto" w:sz="4" w:space="1"/>
          <w:left w:val="single" w:color="auto" w:sz="4" w:space="4"/>
          <w:bottom w:val="single" w:color="auto" w:sz="4" w:space="1"/>
          <w:right w:val="single" w:color="auto" w:sz="4" w:space="4"/>
        </w:pBdr>
      </w:pPr>
      <w:r>
        <w:rPr>
          <w:rFonts w:hint="eastAsia" w:ascii="宋体" w:hAnsi="宋体"/>
          <w:szCs w:val="21"/>
        </w:rPr>
        <w:t xml:space="preserve">江平东路东延工程非涉铁西段（一期）工程一切险，</w:t>
      </w:r>
      <w:r>
        <w:rPr>
          <w:rFonts w:hint="eastAsia" w:ascii="宋体" w:hAnsi="宋体"/>
        </w:rPr>
        <w:t xml:space="preserve">具体内容详见第四章。</w:t>
      </w:r>
      <w:r/>
    </w:p>
    <w:p>
      <w:pPr>
        <w:ind w:firstLine="420"/>
        <w:spacing w:line="360" w:lineRule="auto"/>
        <w:rPr>
          <w:rFonts w:ascii="宋体" w:hAnsi="宋体"/>
          <w:u w:val="single"/>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江平东路东延工程非涉铁西段（一期）工程一切险</w:t>
      </w:r>
      <w:r>
        <w:rPr>
          <w:rFonts w:hint="eastAsia" w:ascii="宋体" w:hAnsi="宋体"/>
        </w:rPr>
        <w:t xml:space="preserve">潜在投标人可在</w:t>
      </w:r>
      <w:r>
        <w:rPr>
          <w:rFonts w:hint="eastAsia" w:ascii="宋体" w:hAnsi="宋体"/>
          <w:u w:val="single"/>
        </w:rPr>
        <w:t xml:space="preserve">“扬州市政府采购网”、“江苏省政府采购网”和“中国政府采购网”自行免费下载</w:t>
      </w:r>
      <w:r>
        <w:rPr>
          <w:rFonts w:hint="eastAsia" w:ascii="宋体" w:hAnsi="宋体"/>
        </w:rPr>
        <w:t xml:space="preserve">招标文件，并于</w:t>
      </w:r>
      <w:r>
        <w:rPr>
          <w:rFonts w:hint="eastAsia" w:ascii="宋体" w:hAnsi="宋体"/>
          <w:bCs/>
          <w:u w:val="single"/>
        </w:rPr>
        <w:t xml:space="preserve">202</w:t>
      </w:r>
      <w:r>
        <w:rPr>
          <w:rFonts w:hint="eastAsia" w:ascii="宋体" w:hAnsi="宋体"/>
          <w:bCs/>
          <w:u w:val="single"/>
          <w:lang w:val="en-US" w:eastAsia="zh-CN"/>
        </w:rPr>
        <w:t xml:space="preserve">6</w:t>
      </w:r>
      <w:r>
        <w:rPr>
          <w:rFonts w:hint="eastAsia" w:ascii="宋体" w:hAnsi="宋体"/>
          <w:bCs/>
          <w:u w:val="single"/>
        </w:rPr>
        <w:t xml:space="preserve">年</w:t>
      </w:r>
      <w:r>
        <w:rPr>
          <w:rFonts w:hint="eastAsia" w:ascii="宋体" w:hAnsi="宋体"/>
          <w:bCs/>
          <w:u w:val="single"/>
          <w:lang w:val="en-US" w:eastAsia="zh-CN"/>
        </w:rPr>
        <w:t xml:space="preserve">03</w:t>
      </w:r>
      <w:r>
        <w:rPr>
          <w:rFonts w:hint="eastAsia" w:ascii="宋体" w:hAnsi="宋体"/>
          <w:bCs/>
          <w:u w:val="single"/>
        </w:rPr>
        <w:t xml:space="preserve">月</w:t>
      </w:r>
      <w:r>
        <w:rPr>
          <w:rFonts w:hint="eastAsia" w:ascii="宋体" w:hAnsi="宋体"/>
          <w:bCs/>
          <w:u w:val="single"/>
          <w:lang w:val="en-US" w:eastAsia="zh-CN"/>
        </w:rPr>
        <w:t xml:space="preserve">09</w:t>
      </w:r>
      <w:r>
        <w:rPr>
          <w:rFonts w:hint="eastAsia" w:ascii="宋体" w:hAnsi="宋体"/>
          <w:bCs/>
          <w:u w:val="single"/>
        </w:rPr>
        <w:t xml:space="preserve">日上午9:30</w:t>
      </w:r>
      <w:r>
        <w:rPr>
          <w:rFonts w:hint="eastAsia" w:ascii="宋体" w:hAnsi="宋体"/>
          <w:bCs/>
        </w:rPr>
        <w:t xml:space="preserve">（北京时间）前递交投标文件</w:t>
      </w:r>
      <w:r>
        <w:rPr>
          <w:rFonts w:hint="eastAsia" w:ascii="宋体" w:hAnsi="宋体"/>
        </w:rPr>
        <w:t xml:space="preserve">。</w:t>
      </w:r>
      <w:r/>
    </w:p>
    <w:p>
      <w:pPr>
        <w:spacing w:line="360" w:lineRule="auto"/>
        <w:tabs>
          <w:tab w:val="left" w:pos="266" w:leader="none"/>
        </w:tabs>
        <w:rPr>
          <w:rFonts w:ascii="宋体" w:hAnsi="宋体"/>
          <w:b/>
          <w:bCs/>
        </w:rPr>
      </w:pPr>
      <w:r/>
      <w:bookmarkStart w:id="0" w:name="_Toc28359079"/>
      <w:r/>
      <w:bookmarkStart w:id="1" w:name="_Toc35393621"/>
      <w:r/>
      <w:bookmarkStart w:id="2" w:name="_Toc28359002"/>
      <w:r/>
      <w:bookmarkStart w:id="3" w:name="_Toc35393790"/>
      <w:r/>
      <w:bookmarkStart w:id="4" w:name="_Toc38985263"/>
      <w:r>
        <w:rPr>
          <w:rFonts w:hint="eastAsia" w:ascii="宋体" w:hAnsi="宋体"/>
          <w:b/>
          <w:bCs/>
        </w:rPr>
        <w:t xml:space="preserve">一、项目基本情况</w:t>
      </w:r>
      <w:bookmarkEnd w:id="0"/>
      <w:r/>
      <w:bookmarkEnd w:id="1"/>
      <w:r/>
      <w:bookmarkEnd w:id="2"/>
      <w:r/>
      <w:bookmarkEnd w:id="3"/>
      <w:r/>
      <w:bookmarkEnd w:id="4"/>
      <w:r/>
      <w:r/>
    </w:p>
    <w:p>
      <w:pPr>
        <w:ind w:firstLine="420"/>
        <w:spacing w:line="360" w:lineRule="auto"/>
        <w:rPr>
          <w:rFonts w:hint="eastAsia" w:ascii="宋体" w:hAnsi="宋体" w:eastAsia="宋体"/>
          <w:lang w:eastAsia="zh-CN"/>
        </w:rPr>
      </w:pPr>
      <w:r>
        <w:rPr>
          <w:rFonts w:hint="eastAsia" w:ascii="宋体" w:hAnsi="宋体"/>
        </w:rPr>
        <w:t xml:space="preserve">1.项目编号：</w:t>
      </w:r>
      <w:r>
        <w:rPr>
          <w:rFonts w:hint="eastAsia" w:ascii="宋体" w:hAnsi="宋体"/>
          <w:lang w:eastAsia="zh-CN"/>
        </w:rPr>
        <w:t xml:space="preserve">JSZC-321000-SWGC-G2026-0018号</w:t>
      </w:r>
      <w:r/>
    </w:p>
    <w:p>
      <w:pPr>
        <w:ind w:firstLine="420"/>
        <w:spacing w:line="360" w:lineRule="auto"/>
        <w:rPr>
          <w:rFonts w:ascii="宋体" w:hAnsi="宋体"/>
        </w:rPr>
      </w:pPr>
      <w:r>
        <w:rPr>
          <w:rFonts w:hint="eastAsia" w:ascii="宋体" w:hAnsi="宋体"/>
        </w:rPr>
        <w:t xml:space="preserve">2.项目名称：江平东路东延工程非涉铁西段（一期）工程一切险</w:t>
      </w:r>
      <w:r/>
    </w:p>
    <w:p>
      <w:pPr>
        <w:ind w:firstLine="420"/>
        <w:spacing w:line="360" w:lineRule="auto"/>
        <w:rPr>
          <w:rFonts w:hint="default" w:ascii="宋体" w:hAnsi="宋体" w:eastAsia="宋体"/>
          <w:lang w:val="en-US" w:eastAsia="zh-CN"/>
        </w:rPr>
      </w:pPr>
      <w:r>
        <w:rPr>
          <w:rFonts w:hint="eastAsia" w:ascii="宋体" w:hAnsi="宋体"/>
        </w:rPr>
        <w:t xml:space="preserve">3.预算金额：</w:t>
      </w:r>
      <w:r>
        <w:rPr>
          <w:rFonts w:hint="eastAsia" w:ascii="宋体" w:hAnsi="宋体"/>
          <w:lang w:val="en-US" w:eastAsia="zh-CN"/>
        </w:rPr>
        <w:t xml:space="preserve">182万元</w:t>
      </w:r>
      <w:r/>
    </w:p>
    <w:p>
      <w:pPr>
        <w:ind w:firstLine="420"/>
        <w:spacing w:line="360" w:lineRule="auto"/>
        <w:rPr>
          <w:rFonts w:hint="eastAsia" w:ascii="宋体" w:hAnsi="宋体"/>
        </w:rPr>
      </w:pPr>
      <w:r>
        <w:rPr>
          <w:rFonts w:hint="eastAsia" w:ascii="宋体" w:hAnsi="宋体"/>
        </w:rPr>
        <w:t xml:space="preserve">4.本项目设置最高限价：最高限价为</w:t>
      </w:r>
      <w:r>
        <w:rPr>
          <w:rFonts w:hint="eastAsia" w:ascii="宋体" w:hAnsi="宋体"/>
          <w:lang w:val="en-US" w:eastAsia="zh-CN"/>
        </w:rPr>
        <w:t xml:space="preserve">182</w:t>
      </w:r>
      <w:r>
        <w:rPr>
          <w:rFonts w:hint="eastAsia" w:ascii="宋体" w:hAnsi="宋体"/>
        </w:rPr>
        <w:t xml:space="preserve">万元，超过最高限价作无效投标处理；</w:t>
      </w:r>
      <w:r/>
    </w:p>
    <w:p>
      <w:pPr>
        <w:ind w:firstLine="420"/>
        <w:spacing w:line="360" w:lineRule="auto"/>
        <w:rPr>
          <w:rFonts w:ascii="宋体" w:hAnsi="宋体"/>
        </w:rPr>
      </w:pPr>
      <w:r>
        <w:rPr>
          <w:rFonts w:hint="eastAsia" w:ascii="宋体" w:hAnsi="宋体"/>
        </w:rPr>
        <w:t xml:space="preserve">5.采购需求：见招标文件第四章。</w:t>
      </w:r>
      <w:r/>
    </w:p>
    <w:p>
      <w:pPr>
        <w:ind w:firstLine="420"/>
        <w:jc w:val="left"/>
        <w:spacing w:line="360" w:lineRule="auto"/>
        <w:rPr>
          <w:rFonts w:ascii="宋体" w:hAnsi="宋体"/>
        </w:rPr>
      </w:pPr>
      <w:r>
        <w:rPr>
          <w:rFonts w:hint="eastAsia" w:ascii="宋体" w:hAnsi="宋体"/>
        </w:rPr>
        <w:t xml:space="preserve">6.合同履行期限：</w:t>
      </w:r>
      <w:r>
        <w:rPr>
          <w:rFonts w:hint="eastAsia" w:ascii="宋体" w:hAnsi="宋体"/>
          <w:szCs w:val="21"/>
        </w:rPr>
        <w:t xml:space="preserve">保险期限：自保单出具时间起至2028年10月10日（合同签订后10个日历天内中标人出具保单）。保证期1年（竣工验收合格起算）。</w:t>
      </w:r>
      <w:r/>
    </w:p>
    <w:p>
      <w:pPr>
        <w:ind w:firstLine="420"/>
        <w:spacing w:line="360" w:lineRule="auto"/>
        <w:rPr>
          <w:rFonts w:ascii="宋体" w:hAnsi="宋体"/>
        </w:rPr>
      </w:pPr>
      <w:r>
        <w:rPr>
          <w:rFonts w:hint="eastAsia" w:ascii="宋体" w:hAnsi="宋体"/>
        </w:rPr>
        <w:t xml:space="preserve">7.本项目</w:t>
      </w:r>
      <w:r>
        <w:rPr>
          <w:rFonts w:hint="eastAsia" w:ascii="宋体" w:hAnsi="宋体"/>
          <w:u w:val="single"/>
        </w:rPr>
        <w:t xml:space="preserve">不接受</w:t>
      </w:r>
      <w:r>
        <w:rPr>
          <w:rFonts w:hint="eastAsia" w:ascii="宋体" w:hAnsi="宋体"/>
        </w:rPr>
        <w:t xml:space="preserve">联合体投标。</w:t>
      </w:r>
      <w:r/>
    </w:p>
    <w:p>
      <w:pPr>
        <w:ind w:firstLine="420"/>
        <w:spacing w:line="360" w:lineRule="auto"/>
        <w:rPr>
          <w:rFonts w:ascii="宋体" w:hAnsi="宋体"/>
        </w:rPr>
      </w:pPr>
      <w:r>
        <w:rPr>
          <w:rFonts w:hint="eastAsia" w:ascii="宋体" w:hAnsi="宋体"/>
        </w:rPr>
        <w:t xml:space="preserve">8.本项目</w:t>
      </w:r>
      <w:r>
        <w:rPr>
          <w:rFonts w:hint="eastAsia" w:ascii="宋体" w:hAnsi="宋体"/>
          <w:u w:val="single"/>
        </w:rPr>
        <w:t xml:space="preserve">不接受</w:t>
      </w:r>
      <w:r>
        <w:rPr>
          <w:rFonts w:hint="eastAsia" w:ascii="宋体" w:hAnsi="宋体"/>
        </w:rPr>
        <w:t xml:space="preserve">进口产品投标。</w:t>
      </w:r>
      <w:r/>
    </w:p>
    <w:p>
      <w:pPr>
        <w:spacing w:line="360" w:lineRule="auto"/>
        <w:tabs>
          <w:tab w:val="left" w:pos="266" w:leader="none"/>
        </w:tabs>
        <w:rPr>
          <w:rFonts w:hint="eastAsia" w:ascii="宋体" w:hAnsi="宋体"/>
          <w:b/>
          <w:bCs/>
        </w:rPr>
      </w:pPr>
      <w:r/>
      <w:bookmarkStart w:id="5" w:name="_Toc35393622"/>
      <w:r/>
      <w:bookmarkStart w:id="6" w:name="_Toc35393791"/>
      <w:r/>
      <w:bookmarkStart w:id="7" w:name="_Toc38985264"/>
      <w:r/>
      <w:bookmarkStart w:id="8" w:name="_Toc28359080"/>
      <w:r/>
      <w:bookmarkStart w:id="9" w:name="_Toc28359003"/>
      <w:r>
        <w:rPr>
          <w:rFonts w:hint="eastAsia" w:ascii="宋体" w:hAnsi="宋体"/>
          <w:b/>
          <w:bCs/>
        </w:rPr>
        <w:t xml:space="preserve">二、申请人的资格要求：</w:t>
      </w:r>
      <w:bookmarkEnd w:id="5"/>
      <w:r/>
      <w:bookmarkEnd w:id="6"/>
      <w:r/>
      <w:bookmarkEnd w:id="7"/>
      <w:r/>
      <w:bookmarkEnd w:id="8"/>
      <w:r/>
      <w:bookmarkEnd w:id="9"/>
      <w:r/>
      <w:r/>
    </w:p>
    <w:p>
      <w:pPr>
        <w:ind w:firstLine="420"/>
        <w:spacing w:line="360" w:lineRule="auto"/>
        <w:rPr>
          <w:rFonts w:ascii="宋体" w:hAnsi="宋体"/>
          <w:szCs w:val="21"/>
        </w:rPr>
      </w:pPr>
      <w:r>
        <w:rPr>
          <w:rFonts w:hint="eastAsia" w:ascii="宋体" w:hAnsi="宋体"/>
          <w:szCs w:val="21"/>
        </w:rPr>
        <w:t xml:space="preserve">1.满足《中华人民共和国政府采购法》第二十二条规定： </w:t>
      </w:r>
      <w:r/>
    </w:p>
    <w:p>
      <w:pPr>
        <w:ind w:firstLine="420"/>
        <w:spacing w:line="360" w:lineRule="auto"/>
        <w:rPr>
          <w:rFonts w:ascii="宋体" w:hAnsi="宋体"/>
          <w:i/>
          <w:iCs/>
          <w:szCs w:val="21"/>
          <w:u w:val="single"/>
        </w:rPr>
      </w:pPr>
      <w:r>
        <w:rPr>
          <w:rFonts w:hint="eastAsia" w:ascii="宋体" w:hAnsi="宋体"/>
          <w:i/>
          <w:iCs/>
          <w:szCs w:val="21"/>
          <w:u w:val="single"/>
        </w:rPr>
        <w:t xml:space="preserve">1.1 法人或者其他组织的营业执照等证明文件，自然人的身份证明</w:t>
      </w:r>
      <w:r/>
    </w:p>
    <w:p>
      <w:pPr>
        <w:ind w:firstLine="420"/>
        <w:spacing w:line="360" w:lineRule="auto"/>
        <w:rPr>
          <w:rFonts w:ascii="宋体" w:hAnsi="宋体"/>
          <w:i/>
          <w:iCs/>
          <w:szCs w:val="21"/>
          <w:u w:val="single"/>
        </w:rPr>
      </w:pPr>
      <w:r>
        <w:rPr>
          <w:rFonts w:hint="eastAsia" w:ascii="宋体" w:hAnsi="宋体"/>
          <w:i/>
          <w:iCs/>
          <w:szCs w:val="21"/>
          <w:u w:val="single"/>
        </w:rPr>
        <w:t xml:space="preserve">1.2</w:t>
      </w:r>
      <w:r>
        <w:rPr>
          <w:rFonts w:hint="eastAsia" w:ascii="宋体" w:hAnsi="宋体"/>
          <w:i/>
          <w:iCs/>
          <w:szCs w:val="21"/>
          <w:u w:val="single"/>
          <w:lang w:val="en-US" w:eastAsia="zh-CN"/>
        </w:rPr>
        <w:t xml:space="preserve"> 2024或2025年度</w:t>
      </w:r>
      <w:r>
        <w:rPr>
          <w:rFonts w:hint="eastAsia" w:ascii="宋体" w:hAnsi="宋体"/>
          <w:i/>
          <w:iCs/>
          <w:szCs w:val="21"/>
          <w:u w:val="single"/>
        </w:rPr>
        <w:t xml:space="preserve">的财务状况报告（成立不满一年无需提供）</w:t>
      </w:r>
      <w:r/>
    </w:p>
    <w:p>
      <w:pPr>
        <w:ind w:firstLine="420"/>
        <w:spacing w:line="360" w:lineRule="auto"/>
        <w:rPr>
          <w:rFonts w:ascii="宋体" w:hAnsi="宋体"/>
          <w:i/>
          <w:iCs/>
          <w:szCs w:val="21"/>
          <w:u w:val="single"/>
        </w:rPr>
      </w:pPr>
      <w:r>
        <w:rPr>
          <w:rFonts w:hint="eastAsia" w:ascii="宋体" w:hAnsi="宋体"/>
          <w:i/>
          <w:iCs/>
          <w:szCs w:val="21"/>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i/>
          <w:iCs/>
          <w:szCs w:val="21"/>
          <w:u w:val="single"/>
        </w:rPr>
      </w:pPr>
      <w:r>
        <w:rPr>
          <w:rFonts w:hint="eastAsia" w:ascii="宋体" w:hAnsi="宋体"/>
          <w:i/>
          <w:iCs/>
          <w:szCs w:val="21"/>
          <w:u w:val="single"/>
        </w:rPr>
        <w:t xml:space="preserve">1.4具备履行合同所必需的设备和专业技术能力的书面声明</w:t>
      </w:r>
      <w:r/>
    </w:p>
    <w:p>
      <w:pPr>
        <w:ind w:firstLine="420"/>
        <w:spacing w:line="360" w:lineRule="auto"/>
        <w:rPr>
          <w:rFonts w:ascii="宋体" w:hAnsi="宋体"/>
          <w:i/>
          <w:iCs/>
          <w:szCs w:val="21"/>
          <w:u w:val="single"/>
        </w:rPr>
      </w:pPr>
      <w:r>
        <w:rPr>
          <w:rFonts w:hint="eastAsia" w:ascii="宋体" w:hAnsi="宋体"/>
          <w:i/>
          <w:iCs/>
          <w:szCs w:val="21"/>
          <w:u w:val="single"/>
        </w:rPr>
        <w:t xml:space="preserve">1.5参加政府采购活动前3年内在经营活动中没有重大违法记录的书面声明</w:t>
      </w:r>
      <w:r/>
    </w:p>
    <w:p>
      <w:pPr>
        <w:ind w:firstLine="420"/>
        <w:spacing w:line="360" w:lineRule="auto"/>
        <w:rPr>
          <w:rFonts w:ascii="宋体" w:hAnsi="宋体"/>
          <w:i/>
          <w:iCs/>
          <w:szCs w:val="21"/>
          <w:u w:val="single"/>
        </w:rPr>
      </w:pPr>
      <w:r>
        <w:rPr>
          <w:rFonts w:hint="eastAsia" w:ascii="宋体" w:hAnsi="宋体"/>
          <w:i/>
          <w:iCs/>
          <w:szCs w:val="21"/>
          <w:u w:val="single"/>
        </w:rPr>
        <w:t xml:space="preserve">1.6供应商信用承诺函</w:t>
      </w:r>
      <w:r/>
    </w:p>
    <w:p>
      <w:pPr>
        <w:ind w:firstLine="420"/>
        <w:spacing w:line="360" w:lineRule="auto"/>
        <w:rPr>
          <w:rFonts w:ascii="宋体" w:hAnsi="宋体"/>
          <w:i/>
          <w:iCs/>
          <w:szCs w:val="21"/>
          <w:u w:val="single"/>
        </w:rPr>
      </w:pPr>
      <w:r>
        <w:rPr>
          <w:rFonts w:hint="eastAsia" w:ascii="宋体" w:hAnsi="宋体"/>
          <w:i/>
          <w:iCs/>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szCs w:val="21"/>
        </w:rPr>
      </w:pPr>
      <w:r>
        <w:rPr>
          <w:rFonts w:hint="eastAsia" w:ascii="宋体" w:hAnsi="宋体"/>
          <w:szCs w:val="21"/>
        </w:rPr>
        <w:t xml:space="preserve">2.落实政府采购政策需满足的资格要求：无。</w:t>
      </w:r>
      <w:r/>
    </w:p>
    <w:p>
      <w:pPr>
        <w:ind w:firstLine="420"/>
        <w:spacing w:line="360" w:lineRule="auto"/>
        <w:rPr>
          <w:rFonts w:hint="eastAsia" w:ascii="宋体" w:hAnsi="宋体"/>
          <w:szCs w:val="21"/>
        </w:rPr>
      </w:pPr>
      <w:r>
        <w:rPr>
          <w:rFonts w:hint="eastAsia" w:ascii="宋体" w:hAnsi="宋体"/>
          <w:szCs w:val="21"/>
          <w:lang w:val="en-US" w:eastAsia="zh-CN"/>
        </w:rPr>
        <w:t xml:space="preserve">3.</w:t>
      </w:r>
      <w:r>
        <w:rPr>
          <w:rFonts w:hint="eastAsia" w:ascii="宋体" w:hAnsi="宋体"/>
          <w:szCs w:val="21"/>
        </w:rPr>
        <w:t xml:space="preserve">本项目的特定资格要求：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3.1投标人具有《保险许可证》（材料扫描件上传系统）</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3.2投标人具有经过国家金融监督管理总局(原中国银行保险监督管理委员会)备案的本次采购相关保险条款（材料扫描件上传系统）</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3.3本项目仅接受具有独立法人资格的公司或其下属分公司/支公司参与投标（总公司及其各分公司/支公司视为同一家公司，不得同时作为供应商参与本项目的投标，投标人需提供“自身是独立法人或是其总公司下属唯一参与本项目投标的分支机构，否则自动放弃投标资格”的承诺函，格式自拟，材料扫描件上传系统）</w:t>
      </w:r>
      <w:r/>
    </w:p>
    <w:p>
      <w:pPr>
        <w:numPr>
          <w:ilvl w:val="0"/>
          <w:numId w:val="0"/>
        </w:numPr>
        <w:ind w:firstLine="420"/>
        <w:keepLines w:val="0"/>
        <w:keepNext w:val="0"/>
        <w:pageBreakBefore w:val="0"/>
        <w:spacing w:line="360" w:lineRule="auto"/>
        <w:rPr>
          <w:color w:val="0000ff"/>
        </w:rPr>
      </w:pPr>
      <w:r>
        <w:rPr>
          <w:rFonts w:hint="eastAsia" w:ascii="Times New Roman" w:hAnsi="Times New Roman"/>
          <w:b/>
          <w:bCs/>
          <w:szCs w:val="21"/>
        </w:rPr>
        <w:t xml:space="preserve">注：银行、保险、石油石化、电力、电信等因有行业特殊情况，可以分支机构身份参加采购。</w:t>
      </w:r>
      <w:r>
        <w:rPr>
          <w:rFonts w:hint="eastAsia" w:ascii="Times New Roman" w:hAnsi="Times New Roman"/>
          <w:b/>
          <w:szCs w:val="21"/>
        </w:rPr>
        <w:t xml:space="preserve">本文件中所需法定代表人相关材料、盖章及签字等可用分支机构负责人的相应材料代替。</w:t>
      </w:r>
      <w:r/>
    </w:p>
    <w:p>
      <w:pPr>
        <w:spacing w:line="360" w:lineRule="auto"/>
        <w:tabs>
          <w:tab w:val="left" w:pos="266" w:leader="none"/>
        </w:tabs>
        <w:rPr>
          <w:rFonts w:ascii="宋体" w:hAnsi="宋体"/>
          <w:b/>
          <w:bCs/>
        </w:rPr>
      </w:pPr>
      <w:r>
        <w:rPr>
          <w:rFonts w:hint="eastAsia" w:ascii="宋体" w:hAnsi="宋体"/>
          <w:b/>
          <w:bCs/>
        </w:rPr>
        <w:t xml:space="preserve">三、获取招标文件</w:t>
      </w:r>
      <w:r/>
    </w:p>
    <w:p>
      <w:pPr>
        <w:ind w:firstLine="540"/>
        <w:spacing w:line="360" w:lineRule="auto"/>
        <w:rPr>
          <w:rFonts w:ascii="宋体" w:hAnsi="宋体"/>
        </w:rPr>
      </w:pPr>
      <w:r>
        <w:rPr>
          <w:rFonts w:hint="eastAsia" w:ascii="宋体" w:hAnsi="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rPr>
      </w:pPr>
      <w:r>
        <w:rPr>
          <w:rFonts w:hint="eastAsia" w:ascii="宋体" w:hAnsi="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b/>
          <w:bCs/>
          <w:szCs w:val="21"/>
        </w:rPr>
      </w:pPr>
      <w:r>
        <w:rPr>
          <w:rFonts w:hint="eastAsia" w:ascii="宋体" w:hAnsi="宋体"/>
          <w:b/>
          <w:bCs/>
          <w:szCs w:val="21"/>
        </w:rPr>
        <w:t xml:space="preserve">3.潜在供应商访问政府采购管理交易系统（苏采云）的网络地址和方法：</w:t>
      </w:r>
      <w:r/>
    </w:p>
    <w:p>
      <w:pPr>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p>
    <w:p>
      <w:pPr>
        <w:spacing w:line="360" w:lineRule="auto"/>
        <w:rPr>
          <w:rFonts w:ascii="宋体" w:hAnsi="宋体"/>
          <w:b/>
          <w:bCs/>
          <w:szCs w:val="21"/>
        </w:rPr>
      </w:pPr>
      <w:r>
        <w:rPr>
          <w:rFonts w:hint="eastAsia" w:ascii="宋体" w:hAnsi="宋体"/>
          <w:b/>
          <w:bCs/>
          <w:szCs w:val="21"/>
        </w:rPr>
        <w:t xml:space="preserve">http://zfcg.yangzhou.gov.cn/xzzx/art/2023/art_4d7de1f7865f4a2894fc22bc452f94d8.html。</w:t>
      </w:r>
      <w:r/>
    </w:p>
    <w:p>
      <w:pPr>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
          <w:bCs/>
          <w:szCs w:val="21"/>
        </w:rPr>
      </w:pPr>
      <w:r>
        <w:rPr>
          <w:rFonts w:hint="eastAsia" w:ascii="宋体" w:hAnsi="宋体"/>
          <w:b/>
          <w:bCs/>
          <w:szCs w:val="21"/>
        </w:rPr>
        <w:t xml:space="preserve">（7）苏采云系统使用谷歌浏览器参与不见面开标。</w:t>
      </w:r>
      <w:r/>
    </w:p>
    <w:p>
      <w:pPr>
        <w:spacing w:line="360" w:lineRule="auto"/>
        <w:tabs>
          <w:tab w:val="left" w:pos="266" w:leader="none"/>
        </w:tabs>
        <w:rPr>
          <w:rFonts w:ascii="宋体" w:hAnsi="宋体"/>
          <w:b/>
          <w:bCs/>
        </w:rPr>
      </w:pPr>
      <w:r>
        <w:rPr>
          <w:rFonts w:hint="eastAsia" w:ascii="宋体" w:hAnsi="宋体"/>
          <w:b/>
          <w:bCs/>
        </w:rPr>
        <w:t xml:space="preserve">四、提交投标文件截止时间、开标时间和地点</w:t>
      </w:r>
      <w:r/>
    </w:p>
    <w:p>
      <w:pPr>
        <w:ind w:firstLine="420"/>
        <w:spacing w:line="360" w:lineRule="auto"/>
        <w:rPr>
          <w:rFonts w:ascii="宋体" w:hAnsi="宋体"/>
        </w:rPr>
      </w:pPr>
      <w:r>
        <w:rPr>
          <w:rFonts w:hint="eastAsia" w:ascii="宋体" w:hAnsi="宋体"/>
        </w:rPr>
        <w:t xml:space="preserve">1.时间：</w:t>
      </w:r>
      <w:r>
        <w:rPr>
          <w:rFonts w:hint="eastAsia" w:ascii="宋体" w:hAnsi="宋体"/>
          <w:bCs/>
          <w:u w:val="single"/>
        </w:rPr>
        <w:t xml:space="preserve">202</w:t>
      </w:r>
      <w:r>
        <w:rPr>
          <w:rFonts w:hint="eastAsia" w:ascii="宋体" w:hAnsi="宋体"/>
          <w:bCs/>
          <w:u w:val="single"/>
          <w:lang w:val="en-US" w:eastAsia="zh-CN"/>
        </w:rPr>
        <w:t xml:space="preserve">6</w:t>
      </w:r>
      <w:r>
        <w:rPr>
          <w:rFonts w:hint="eastAsia" w:ascii="宋体" w:hAnsi="宋体"/>
          <w:bCs/>
          <w:u w:val="single"/>
        </w:rPr>
        <w:t xml:space="preserve">年</w:t>
      </w:r>
      <w:r>
        <w:rPr>
          <w:rFonts w:hint="eastAsia" w:ascii="宋体" w:hAnsi="宋体"/>
          <w:bCs/>
          <w:u w:val="single"/>
          <w:lang w:val="en-US" w:eastAsia="zh-CN"/>
        </w:rPr>
        <w:t xml:space="preserve">03</w:t>
      </w:r>
      <w:r>
        <w:rPr>
          <w:rFonts w:hint="eastAsia" w:ascii="宋体" w:hAnsi="宋体"/>
          <w:bCs/>
          <w:u w:val="single"/>
        </w:rPr>
        <w:t xml:space="preserve">月</w:t>
      </w:r>
      <w:r>
        <w:rPr>
          <w:rFonts w:hint="eastAsia" w:ascii="宋体" w:hAnsi="宋体"/>
          <w:bCs/>
          <w:u w:val="single"/>
          <w:lang w:val="en-US" w:eastAsia="zh-CN"/>
        </w:rPr>
        <w:t xml:space="preserve">09</w:t>
      </w:r>
      <w:r>
        <w:rPr>
          <w:rFonts w:hint="eastAsia" w:ascii="宋体" w:hAnsi="宋体"/>
          <w:bCs/>
          <w:u w:val="single"/>
        </w:rPr>
        <w:t xml:space="preserve">日上午9:30</w:t>
      </w:r>
      <w:r>
        <w:rPr>
          <w:rFonts w:hint="eastAsia" w:ascii="宋体" w:hAnsi="宋体"/>
          <w:bCs/>
        </w:rPr>
        <w:t xml:space="preserve">（北京时间）</w:t>
      </w:r>
      <w:r/>
    </w:p>
    <w:p>
      <w:pPr>
        <w:ind w:firstLine="420"/>
        <w:spacing w:line="360" w:lineRule="auto"/>
        <w:rPr>
          <w:rFonts w:ascii="宋体" w:hAnsi="宋体"/>
        </w:rPr>
      </w:pPr>
      <w:r>
        <w:rPr>
          <w:rFonts w:hint="eastAsia" w:ascii="宋体" w:hAnsi="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r/>
    </w:p>
    <w:p>
      <w:pPr>
        <w:pStyle w:val="1134"/>
        <w:spacing w:before="0" w:after="0" w:line="360" w:lineRule="auto"/>
        <w:rPr>
          <w:rFonts w:ascii="宋体" w:hAnsi="宋体"/>
          <w:bCs w:val="0"/>
          <w:sz w:val="21"/>
          <w:szCs w:val="21"/>
        </w:rPr>
      </w:pPr>
      <w:r/>
      <w:bookmarkStart w:id="10" w:name="_Toc12476"/>
      <w:r/>
      <w:bookmarkStart w:id="11" w:name="_Toc109304967"/>
      <w:r>
        <w:rPr>
          <w:rFonts w:hint="eastAsia" w:ascii="宋体" w:hAnsi="宋体"/>
          <w:bCs w:val="0"/>
          <w:sz w:val="21"/>
          <w:szCs w:val="21"/>
        </w:rPr>
        <w:t xml:space="preserve">五、开启</w:t>
      </w:r>
      <w:bookmarkEnd w:id="10"/>
      <w:r/>
      <w:bookmarkEnd w:id="11"/>
      <w:r/>
      <w:r/>
    </w:p>
    <w:p>
      <w:pPr>
        <w:pStyle w:val="1098"/>
        <w:spacing w:line="360" w:lineRule="auto"/>
        <w:rPr>
          <w:rFonts w:ascii="宋体" w:hAnsi="宋体"/>
          <w:szCs w:val="21"/>
        </w:rPr>
      </w:pPr>
      <w:r>
        <w:rPr>
          <w:rFonts w:hint="eastAsia" w:ascii="宋体" w:hAnsi="宋体"/>
          <w:szCs w:val="21"/>
        </w:rPr>
        <w:t xml:space="preserve">1.时间：</w:t>
      </w:r>
      <w:r>
        <w:rPr>
          <w:rFonts w:hint="eastAsia" w:ascii="宋体" w:hAnsi="宋体"/>
          <w:bCs/>
          <w:u w:val="single"/>
        </w:rPr>
        <w:t xml:space="preserve">202</w:t>
      </w:r>
      <w:r>
        <w:rPr>
          <w:rFonts w:hint="eastAsia" w:ascii="宋体" w:hAnsi="宋体"/>
          <w:bCs/>
          <w:u w:val="single"/>
          <w:lang w:val="en-US" w:eastAsia="zh-CN"/>
        </w:rPr>
        <w:t xml:space="preserve">6</w:t>
      </w:r>
      <w:r>
        <w:rPr>
          <w:rFonts w:hint="eastAsia" w:ascii="宋体" w:hAnsi="宋体"/>
          <w:bCs/>
          <w:u w:val="single"/>
        </w:rPr>
        <w:t xml:space="preserve">年</w:t>
      </w:r>
      <w:r>
        <w:rPr>
          <w:rFonts w:hint="eastAsia" w:ascii="宋体" w:hAnsi="宋体"/>
          <w:bCs/>
          <w:u w:val="single"/>
          <w:lang w:val="en-US" w:eastAsia="zh-CN"/>
        </w:rPr>
        <w:t xml:space="preserve">03</w:t>
      </w:r>
      <w:r>
        <w:rPr>
          <w:rFonts w:hint="eastAsia" w:ascii="宋体" w:hAnsi="宋体"/>
          <w:bCs/>
          <w:u w:val="single"/>
        </w:rPr>
        <w:t xml:space="preserve">月</w:t>
      </w:r>
      <w:r>
        <w:rPr>
          <w:rFonts w:hint="eastAsia" w:ascii="宋体" w:hAnsi="宋体"/>
          <w:bCs/>
          <w:u w:val="single"/>
          <w:lang w:val="en-US" w:eastAsia="zh-CN"/>
        </w:rPr>
        <w:t xml:space="preserve">09</w:t>
      </w:r>
      <w:r>
        <w:rPr>
          <w:rFonts w:hint="eastAsia" w:ascii="宋体" w:hAnsi="宋体"/>
          <w:bCs/>
          <w:u w:val="single"/>
        </w:rPr>
        <w:t xml:space="preserve">日上午9:30</w:t>
      </w:r>
      <w:r>
        <w:rPr>
          <w:rFonts w:hint="eastAsia" w:ascii="宋体" w:hAnsi="宋体"/>
          <w:bCs/>
        </w:rPr>
        <w:t xml:space="preserve">（北京时间）</w:t>
      </w:r>
      <w:r/>
    </w:p>
    <w:p>
      <w:pPr>
        <w:spacing w:line="360" w:lineRule="auto"/>
        <w:tabs>
          <w:tab w:val="left" w:pos="266" w:leader="none"/>
        </w:tabs>
        <w:rPr>
          <w:rFonts w:ascii="宋体" w:hAnsi="宋体"/>
          <w:b/>
          <w:bCs/>
        </w:rPr>
      </w:pPr>
      <w:r>
        <w:rPr>
          <w:rFonts w:hint="eastAsia" w:ascii="宋体" w:hAnsi="宋体"/>
          <w:b/>
          <w:bCs/>
        </w:rPr>
        <w:t xml:space="preserve">六、公告期限</w:t>
      </w:r>
      <w:r/>
    </w:p>
    <w:p>
      <w:pPr>
        <w:ind w:firstLine="420"/>
        <w:spacing w:line="360" w:lineRule="auto"/>
        <w:rPr>
          <w:rFonts w:ascii="宋体" w:hAnsi="宋体"/>
        </w:rPr>
      </w:pPr>
      <w:r>
        <w:rPr>
          <w:rFonts w:hint="eastAsia" w:ascii="宋体" w:hAnsi="宋体"/>
        </w:rPr>
        <w:t xml:space="preserve">招标公告及招标文件公告期限为自本公告发布之日起5个工作日。</w:t>
      </w:r>
      <w:r/>
    </w:p>
    <w:p>
      <w:pPr>
        <w:spacing w:line="360" w:lineRule="auto"/>
        <w:tabs>
          <w:tab w:val="left" w:pos="266" w:leader="none"/>
        </w:tabs>
        <w:rPr>
          <w:rFonts w:ascii="宋体" w:hAnsi="宋体"/>
          <w:b/>
          <w:bCs/>
        </w:rPr>
      </w:pPr>
      <w:r>
        <w:rPr>
          <w:rFonts w:hint="eastAsia" w:ascii="宋体" w:hAnsi="宋体"/>
          <w:b/>
          <w:bCs/>
        </w:rPr>
        <w:t xml:space="preserve">七、其他补充事宜</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0"/>
        <w:spacing w:line="360" w:lineRule="auto"/>
        <w:rPr>
          <w:rFonts w:ascii="宋体" w:hAnsi="宋体"/>
          <w:b/>
          <w:szCs w:val="21"/>
        </w:rPr>
      </w:pPr>
      <w:r>
        <w:rPr>
          <w:rFonts w:hint="eastAsia" w:ascii="宋体" w:hAnsi="宋体" w:cs="宋体"/>
          <w:bCs/>
          <w:color w:val="auto"/>
          <w:highlight w:val="none"/>
          <w:lang w:val="en-US" w:eastAsia="zh-CN"/>
        </w:rPr>
        <w:t xml:space="preserve">11.因春节假期收发不及时，建议投标人如有异议或疑问先以邮件形式发送给经办人而后电话联系确认。联系邮箱：291581649@qq.com</w:t>
      </w:r>
      <w:r/>
    </w:p>
    <w:p>
      <w:pPr>
        <w:spacing w:line="360" w:lineRule="auto"/>
        <w:tabs>
          <w:tab w:val="left" w:pos="266" w:leader="none"/>
        </w:tabs>
        <w:rPr>
          <w:rFonts w:ascii="宋体" w:hAnsi="宋体"/>
          <w:b/>
          <w:bCs/>
        </w:rPr>
      </w:pPr>
      <w:r>
        <w:rPr>
          <w:rFonts w:hint="eastAsia" w:ascii="宋体" w:hAnsi="宋体"/>
          <w:b/>
          <w:bCs/>
        </w:rPr>
        <w:t xml:space="preserve">八、本次招标联系方式</w:t>
      </w:r>
      <w:r/>
    </w:p>
    <w:p>
      <w:pPr>
        <w:ind w:firstLine="420"/>
        <w:jc w:val="left"/>
        <w:spacing w:line="360" w:lineRule="auto"/>
        <w:widowControl/>
        <w:rPr>
          <w:rFonts w:ascii="宋体" w:hAnsi="宋体"/>
        </w:rPr>
      </w:pPr>
      <w:r>
        <w:rPr>
          <w:rFonts w:hint="eastAsia" w:ascii="宋体" w:hAnsi="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名 称：扬州市市政建设处</w:t>
      </w:r>
      <w:r/>
    </w:p>
    <w:p>
      <w:pPr>
        <w:ind w:firstLine="420"/>
        <w:jc w:val="left"/>
        <w:spacing w:line="360" w:lineRule="auto"/>
        <w:rPr>
          <w:rFonts w:ascii="宋体" w:hAnsi="宋体"/>
          <w:szCs w:val="21"/>
        </w:rPr>
      </w:pPr>
      <w:r>
        <w:rPr>
          <w:rFonts w:hint="eastAsia" w:ascii="宋体" w:hAnsi="宋体"/>
          <w:szCs w:val="21"/>
        </w:rPr>
        <w:t xml:space="preserve">地 址： 扬州市史可法路37号</w:t>
      </w:r>
      <w:r/>
    </w:p>
    <w:p>
      <w:pPr>
        <w:ind w:firstLine="420"/>
        <w:jc w:val="left"/>
        <w:spacing w:line="360" w:lineRule="auto"/>
        <w:rPr>
          <w:rFonts w:ascii="宋体" w:hAnsi="宋体"/>
          <w:szCs w:val="21"/>
        </w:rPr>
      </w:pPr>
      <w:r>
        <w:rPr>
          <w:rFonts w:hint="eastAsia" w:ascii="宋体" w:hAnsi="宋体"/>
          <w:szCs w:val="21"/>
        </w:rPr>
        <w:t xml:space="preserve">联系人：王宁宾</w:t>
      </w:r>
      <w:r/>
    </w:p>
    <w:p>
      <w:pPr>
        <w:ind w:firstLine="420"/>
        <w:jc w:val="left"/>
        <w:spacing w:line="360" w:lineRule="auto"/>
        <w:rPr>
          <w:rFonts w:ascii="宋体" w:hAnsi="宋体"/>
          <w:szCs w:val="21"/>
        </w:rPr>
      </w:pPr>
      <w:r>
        <w:rPr>
          <w:rFonts w:hint="eastAsia" w:ascii="宋体" w:hAnsi="宋体"/>
          <w:szCs w:val="21"/>
        </w:rPr>
        <w:t xml:space="preserve">联系方式：0514-87363092</w:t>
      </w:r>
      <w:r/>
    </w:p>
    <w:p>
      <w:pPr>
        <w:ind w:firstLine="420"/>
        <w:jc w:val="left"/>
        <w:spacing w:line="360" w:lineRule="auto"/>
        <w:rPr>
          <w:rFonts w:ascii="宋体" w:hAnsi="宋体"/>
          <w:szCs w:val="21"/>
        </w:rPr>
      </w:pPr>
      <w:r>
        <w:rPr>
          <w:rFonts w:hint="eastAsia" w:ascii="宋体" w:hAnsi="宋体"/>
          <w:szCs w:val="21"/>
        </w:rPr>
        <w:t xml:space="preserve">2.代理机构信息</w:t>
      </w:r>
      <w:r/>
    </w:p>
    <w:p>
      <w:pPr>
        <w:ind w:firstLine="420"/>
        <w:jc w:val="left"/>
        <w:spacing w:line="360" w:lineRule="auto"/>
        <w:rPr>
          <w:rFonts w:ascii="宋体" w:hAnsi="宋体"/>
        </w:rPr>
      </w:pPr>
      <w:r>
        <w:rPr>
          <w:rFonts w:hint="eastAsia" w:ascii="宋体" w:hAnsi="宋体"/>
        </w:rPr>
        <w:t xml:space="preserve">名 称：</w:t>
      </w:r>
      <w:r>
        <w:rPr>
          <w:rFonts w:hint="eastAsia" w:ascii="宋体" w:hAnsi="宋体"/>
          <w:szCs w:val="21"/>
        </w:rPr>
        <w:t xml:space="preserve">江苏苏维工程管理有限公司</w:t>
      </w:r>
      <w:r/>
    </w:p>
    <w:p>
      <w:pPr>
        <w:ind w:firstLine="420"/>
        <w:spacing w:line="360" w:lineRule="auto"/>
        <w:rPr>
          <w:rFonts w:ascii="宋体" w:hAnsi="宋体"/>
        </w:rPr>
      </w:pPr>
      <w:r>
        <w:rPr>
          <w:rFonts w:hint="eastAsia" w:ascii="宋体" w:hAnsi="宋体"/>
        </w:rPr>
        <w:t xml:space="preserve">地　址：</w:t>
      </w:r>
      <w:r>
        <w:rPr>
          <w:rFonts w:hint="eastAsia" w:ascii="宋体" w:hAnsi="宋体"/>
          <w:szCs w:val="21"/>
        </w:rPr>
        <w:t xml:space="preserve">扬州市邗江区翠岗路48号</w:t>
      </w:r>
      <w:r/>
    </w:p>
    <w:p>
      <w:pPr>
        <w:ind w:firstLine="420"/>
        <w:spacing w:line="360" w:lineRule="auto"/>
        <w:rPr>
          <w:rFonts w:ascii="宋体" w:hAnsi="宋体"/>
        </w:rPr>
      </w:pPr>
      <w:r>
        <w:rPr>
          <w:rFonts w:hint="eastAsia" w:ascii="宋体" w:hAnsi="宋体"/>
        </w:rPr>
        <w:t xml:space="preserve">联系人：</w:t>
      </w:r>
      <w:r>
        <w:rPr>
          <w:rFonts w:hint="eastAsia" w:ascii="宋体" w:hAnsi="宋体"/>
          <w:szCs w:val="21"/>
        </w:rPr>
        <w:t xml:space="preserve">李俊</w:t>
      </w:r>
      <w:r/>
    </w:p>
    <w:p>
      <w:pPr>
        <w:ind w:firstLine="420"/>
        <w:spacing w:line="360" w:lineRule="auto"/>
        <w:rPr>
          <w:rFonts w:ascii="宋体" w:hAnsi="宋体"/>
        </w:rPr>
      </w:pPr>
      <w:r>
        <w:rPr>
          <w:rFonts w:hint="eastAsia" w:ascii="宋体" w:hAnsi="宋体"/>
        </w:rPr>
        <w:t xml:space="preserve">联系方式：</w:t>
      </w:r>
      <w:r>
        <w:rPr>
          <w:rFonts w:hint="eastAsia" w:ascii="宋体" w:hAnsi="宋体"/>
          <w:szCs w:val="21"/>
        </w:rPr>
        <w:t xml:space="preserve">0514-82129122</w:t>
      </w:r>
      <w:r/>
    </w:p>
    <w:p>
      <w:pPr>
        <w:ind w:firstLine="420"/>
        <w:spacing w:line="360" w:lineRule="auto"/>
        <w:rPr>
          <w:rFonts w:ascii="宋体" w:hAnsi="宋体"/>
          <w:szCs w:val="21"/>
        </w:rPr>
      </w:pPr>
      <w:r>
        <w:rPr>
          <w:rFonts w:hint="eastAsia" w:ascii="宋体" w:hAnsi="宋体"/>
          <w:szCs w:val="21"/>
        </w:rPr>
        <w:t xml:space="preserve">3.项目联系方式</w:t>
      </w:r>
      <w:r/>
    </w:p>
    <w:p>
      <w:pPr>
        <w:ind w:firstLine="420"/>
        <w:spacing w:line="360" w:lineRule="auto"/>
        <w:rPr>
          <w:rFonts w:ascii="宋体" w:hAnsi="宋体"/>
          <w:szCs w:val="21"/>
        </w:rPr>
      </w:pPr>
      <w:r>
        <w:rPr>
          <w:rFonts w:hint="eastAsia" w:ascii="宋体" w:hAnsi="宋体"/>
          <w:szCs w:val="21"/>
        </w:rPr>
        <w:t xml:space="preserve">联系人：李俊</w:t>
      </w:r>
      <w:r/>
    </w:p>
    <w:p>
      <w:pPr>
        <w:ind w:firstLine="420"/>
        <w:spacing w:line="360" w:lineRule="auto"/>
        <w:rPr>
          <w:rFonts w:ascii="宋体" w:hAnsi="宋体"/>
          <w:szCs w:val="21"/>
        </w:rPr>
      </w:pPr>
      <w:r>
        <w:rPr>
          <w:rFonts w:hint="eastAsia" w:ascii="宋体" w:hAnsi="宋体"/>
          <w:szCs w:val="21"/>
        </w:rPr>
        <w:t xml:space="preserve">联系方式：0514-82129122</w:t>
      </w:r>
      <w:r/>
    </w:p>
    <w:p>
      <w:pPr>
        <w:pStyle w:val="1093"/>
        <w:jc w:val="center"/>
        <w:rPr>
          <w:rFonts w:ascii="宋体" w:hAnsi="宋体"/>
          <w:szCs w:val="36"/>
        </w:rPr>
      </w:pPr>
      <w:r>
        <w:rPr>
          <w:rFonts w:hint="eastAsia" w:ascii="宋体" w:hAnsi="宋体"/>
          <w:szCs w:val="36"/>
        </w:rPr>
        <w:br w:type="page" w:clear="all"/>
      </w:r>
      <w:r>
        <w:rPr>
          <w:rFonts w:hint="eastAsia" w:ascii="宋体" w:hAnsi="宋体"/>
          <w:szCs w:val="36"/>
        </w:rPr>
        <w:t xml:space="preserve">第二章 投标人须知</w:t>
      </w:r>
      <w:r/>
    </w:p>
    <w:p>
      <w:pPr>
        <w:ind w:firstLine="422"/>
        <w:spacing w:line="460" w:lineRule="exact"/>
        <w:rPr>
          <w:rFonts w:ascii="宋体" w:hAnsi="宋体"/>
          <w:b/>
          <w:szCs w:val="21"/>
        </w:rPr>
      </w:pPr>
      <w:r>
        <w:rPr>
          <w:rFonts w:hint="eastAsia" w:ascii="宋体" w:hAnsi="宋体"/>
          <w:b/>
          <w:szCs w:val="21"/>
        </w:rPr>
        <w:t xml:space="preserve">1、招标方式</w:t>
      </w:r>
      <w:r/>
    </w:p>
    <w:p>
      <w:pPr>
        <w:ind w:firstLine="420"/>
        <w:spacing w:line="46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JSZC-321000-SWGC-G2026-0018号</w:t>
      </w:r>
      <w:r>
        <w:rPr>
          <w:rFonts w:hint="eastAsia" w:ascii="宋体" w:hAnsi="宋体"/>
          <w:bCs/>
          <w:szCs w:val="21"/>
        </w:rPr>
        <w:t xml:space="preserve">项目。</w:t>
      </w:r>
      <w:r/>
    </w:p>
    <w:p>
      <w:pPr>
        <w:ind w:firstLine="422"/>
        <w:spacing w:line="460" w:lineRule="exact"/>
        <w:rPr>
          <w:rFonts w:ascii="宋体" w:hAnsi="宋体"/>
          <w:b/>
          <w:szCs w:val="21"/>
        </w:rPr>
      </w:pPr>
      <w:r>
        <w:rPr>
          <w:rFonts w:hint="eastAsia" w:ascii="宋体" w:hAnsi="宋体"/>
          <w:b/>
          <w:szCs w:val="21"/>
        </w:rPr>
        <w:t xml:space="preserve">2、投标人</w:t>
      </w:r>
      <w:r/>
    </w:p>
    <w:p>
      <w:pPr>
        <w:ind w:firstLine="420"/>
        <w:spacing w:line="46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60" w:lineRule="exact"/>
        <w:rPr>
          <w:rFonts w:ascii="宋体" w:hAnsi="宋体"/>
          <w:bCs/>
          <w:szCs w:val="21"/>
        </w:rPr>
      </w:pPr>
      <w:r>
        <w:rPr>
          <w:rFonts w:hint="eastAsia" w:ascii="宋体" w:hAnsi="宋体"/>
          <w:bCs/>
          <w:szCs w:val="21"/>
        </w:rPr>
        <w:t xml:space="preserve">2.2合格的投标人</w:t>
      </w:r>
      <w:r/>
    </w:p>
    <w:p>
      <w:pPr>
        <w:ind w:firstLine="420"/>
        <w:spacing w:line="46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60" w:lineRule="exact"/>
        <w:rPr>
          <w:rFonts w:ascii="宋体" w:hAnsi="宋体"/>
          <w:bCs/>
          <w:szCs w:val="21"/>
        </w:rPr>
      </w:pPr>
      <w:r>
        <w:rPr>
          <w:rFonts w:hint="eastAsia" w:ascii="宋体" w:hAnsi="宋体"/>
          <w:bCs/>
          <w:szCs w:val="21"/>
        </w:rPr>
        <w:t xml:space="preserve">2.2.2 满足本文件实质性条款的规定。</w:t>
      </w:r>
      <w:r/>
    </w:p>
    <w:p>
      <w:pPr>
        <w:ind w:firstLine="422"/>
        <w:spacing w:line="460" w:lineRule="exact"/>
        <w:rPr>
          <w:rFonts w:ascii="宋体" w:hAnsi="宋体"/>
          <w:b/>
          <w:szCs w:val="21"/>
        </w:rPr>
      </w:pPr>
      <w:r>
        <w:rPr>
          <w:rFonts w:hint="eastAsia" w:ascii="宋体" w:hAnsi="宋体"/>
          <w:b/>
          <w:szCs w:val="21"/>
        </w:rPr>
        <w:t xml:space="preserve">3、适用法律</w:t>
      </w:r>
      <w:r/>
    </w:p>
    <w:p>
      <w:pPr>
        <w:ind w:firstLine="420"/>
        <w:spacing w:line="46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60" w:lineRule="exact"/>
        <w:rPr>
          <w:rFonts w:ascii="宋体" w:hAnsi="宋体"/>
          <w:b/>
          <w:szCs w:val="21"/>
        </w:rPr>
      </w:pPr>
      <w:r>
        <w:rPr>
          <w:rFonts w:hint="eastAsia" w:ascii="宋体" w:hAnsi="宋体"/>
          <w:b/>
          <w:szCs w:val="21"/>
        </w:rPr>
        <w:t xml:space="preserve">4、投标费用</w:t>
      </w:r>
      <w:r/>
    </w:p>
    <w:p>
      <w:pPr>
        <w:ind w:firstLine="420"/>
        <w:spacing w:line="460" w:lineRule="exact"/>
      </w:pPr>
      <w:r>
        <w:t xml:space="preserve">4.1 投标人应自行承担所有与参加投标有关的费用，无论投标过程中的做法和结果如何，代理机构在任何情况下均无义务和责任承担这些费用。 </w:t>
      </w:r>
      <w:r/>
    </w:p>
    <w:p>
      <w:pPr>
        <w:ind w:firstLine="420"/>
        <w:spacing w:line="460" w:lineRule="exact"/>
        <w:rPr>
          <w:rFonts w:ascii="宋体" w:hAnsi="宋体"/>
          <w:szCs w:val="21"/>
        </w:rPr>
      </w:pPr>
      <w:r>
        <w:t xml:space="preserve">4.2</w:t>
      </w:r>
      <w:r>
        <w:rPr>
          <w:rFonts w:hint="eastAsia" w:ascii="宋体" w:hAnsi="宋体"/>
          <w:b/>
          <w:bCs/>
          <w:szCs w:val="21"/>
        </w:rPr>
        <w:t xml:space="preserve">本次采购由采购人支付给招标代理机构代理服务费</w:t>
      </w:r>
      <w:r>
        <w:rPr>
          <w:rFonts w:hint="eastAsia" w:ascii="宋体" w:hAnsi="宋体" w:cs="宋体"/>
          <w:b/>
          <w:bCs/>
          <w:szCs w:val="21"/>
        </w:rPr>
        <w:t xml:space="preserve">。</w:t>
      </w:r>
      <w:r/>
    </w:p>
    <w:p>
      <w:pPr>
        <w:ind w:firstLine="422"/>
        <w:spacing w:line="460" w:lineRule="exact"/>
        <w:rPr>
          <w:rFonts w:ascii="宋体" w:hAnsi="宋体"/>
          <w:b/>
          <w:bCs/>
          <w:szCs w:val="21"/>
        </w:rPr>
      </w:pPr>
      <w:r>
        <w:rPr>
          <w:rFonts w:hint="eastAsia" w:ascii="宋体" w:hAnsi="宋体"/>
          <w:b/>
          <w:bCs/>
          <w:szCs w:val="21"/>
        </w:rPr>
        <w:t xml:space="preserve">4.3专家评审费按《扬州市财政局关于进一步规范扬州市政府采购专家评审费标准的通知》（扬财购〔2020〕40号）执行。</w:t>
      </w:r>
      <w:r/>
    </w:p>
    <w:p>
      <w:pPr>
        <w:ind w:firstLine="422"/>
        <w:spacing w:line="460" w:lineRule="exact"/>
        <w:rPr>
          <w:rFonts w:ascii="宋体" w:hAnsi="宋体"/>
          <w:b/>
          <w:szCs w:val="21"/>
        </w:rPr>
      </w:pPr>
      <w:r>
        <w:rPr>
          <w:rFonts w:hint="eastAsia" w:ascii="宋体" w:hAnsi="宋体"/>
          <w:b/>
          <w:szCs w:val="21"/>
        </w:rPr>
        <w:t xml:space="preserve">5、招标文件的约束力</w:t>
      </w:r>
      <w:r/>
    </w:p>
    <w:p>
      <w:pPr>
        <w:ind w:firstLine="420"/>
        <w:spacing w:line="460" w:lineRule="exact"/>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460" w:lineRule="exact"/>
        <w:rPr>
          <w:rFonts w:ascii="宋体" w:hAnsi="宋体"/>
          <w:b/>
          <w:szCs w:val="21"/>
        </w:rPr>
      </w:pPr>
      <w:r>
        <w:rPr>
          <w:rFonts w:hint="eastAsia" w:ascii="宋体" w:hAnsi="宋体"/>
          <w:b/>
          <w:szCs w:val="21"/>
        </w:rPr>
        <w:t xml:space="preserve">6、招标文件构成</w:t>
      </w:r>
      <w:r/>
    </w:p>
    <w:p>
      <w:pPr>
        <w:ind w:firstLine="420"/>
        <w:spacing w:line="460" w:lineRule="exact"/>
        <w:rPr>
          <w:rFonts w:ascii="宋体" w:hAnsi="宋体"/>
          <w:bCs/>
          <w:szCs w:val="21"/>
        </w:rPr>
      </w:pPr>
      <w:r>
        <w:rPr>
          <w:rFonts w:hint="eastAsia" w:ascii="宋体" w:hAnsi="宋体"/>
          <w:bCs/>
          <w:szCs w:val="21"/>
        </w:rPr>
        <w:t xml:space="preserve">6.1 招标文件有以下部分组成：</w:t>
      </w:r>
      <w:r/>
    </w:p>
    <w:p>
      <w:pPr>
        <w:ind w:firstLine="420"/>
        <w:spacing w:line="460" w:lineRule="exact"/>
        <w:rPr>
          <w:rFonts w:ascii="宋体" w:hAnsi="宋体"/>
          <w:bCs/>
          <w:szCs w:val="21"/>
        </w:rPr>
      </w:pPr>
      <w:r>
        <w:rPr>
          <w:rFonts w:hint="eastAsia" w:ascii="宋体" w:hAnsi="宋体"/>
          <w:bCs/>
          <w:szCs w:val="21"/>
        </w:rPr>
        <w:t xml:space="preserve">（1）招标公告</w:t>
      </w:r>
      <w:r/>
    </w:p>
    <w:p>
      <w:pPr>
        <w:ind w:firstLine="420"/>
        <w:spacing w:line="460" w:lineRule="exact"/>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460" w:lineRule="exact"/>
        <w:rPr>
          <w:rFonts w:ascii="宋体" w:hAnsi="宋体"/>
          <w:bCs/>
          <w:szCs w:val="21"/>
        </w:rPr>
      </w:pPr>
      <w:r>
        <w:rPr>
          <w:rFonts w:hint="eastAsia" w:ascii="宋体" w:hAnsi="宋体"/>
          <w:bCs/>
          <w:szCs w:val="21"/>
        </w:rPr>
        <w:t xml:space="preserve">（3）合同条款及格式</w:t>
      </w:r>
      <w:r/>
    </w:p>
    <w:p>
      <w:pPr>
        <w:ind w:firstLine="420"/>
        <w:spacing w:line="460" w:lineRule="exact"/>
        <w:rPr>
          <w:rFonts w:ascii="宋体" w:hAnsi="宋体"/>
          <w:bCs/>
          <w:szCs w:val="21"/>
        </w:rPr>
      </w:pPr>
      <w:r>
        <w:rPr>
          <w:rFonts w:hint="eastAsia" w:ascii="宋体" w:hAnsi="宋体"/>
          <w:bCs/>
          <w:szCs w:val="21"/>
        </w:rPr>
        <w:t xml:space="preserve">（4）项目需求</w:t>
      </w:r>
      <w:r/>
    </w:p>
    <w:p>
      <w:pPr>
        <w:ind w:firstLine="420"/>
        <w:spacing w:line="460" w:lineRule="exact"/>
        <w:rPr>
          <w:rFonts w:ascii="宋体" w:hAnsi="宋体"/>
          <w:bCs/>
          <w:szCs w:val="21"/>
        </w:rPr>
      </w:pPr>
      <w:r>
        <w:rPr>
          <w:rFonts w:hint="eastAsia" w:ascii="宋体" w:hAnsi="宋体"/>
          <w:bCs/>
          <w:szCs w:val="21"/>
        </w:rPr>
        <w:t xml:space="preserve">（5）评标方法与评标标准</w:t>
      </w:r>
      <w:r/>
    </w:p>
    <w:p>
      <w:pPr>
        <w:ind w:firstLine="420"/>
        <w:spacing w:line="460" w:lineRule="exact"/>
        <w:rPr>
          <w:rFonts w:ascii="宋体" w:hAnsi="宋体"/>
          <w:bCs/>
          <w:szCs w:val="21"/>
        </w:rPr>
      </w:pPr>
      <w:r>
        <w:rPr>
          <w:rFonts w:hint="eastAsia" w:ascii="宋体" w:hAnsi="宋体"/>
          <w:bCs/>
          <w:szCs w:val="21"/>
        </w:rPr>
        <w:t xml:space="preserve">（6）投标文件格式</w:t>
      </w:r>
      <w:r/>
    </w:p>
    <w:p>
      <w:pPr>
        <w:ind w:firstLine="420"/>
        <w:spacing w:line="460" w:lineRule="exact"/>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460" w:lineRule="exact"/>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60" w:lineRule="exact"/>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60" w:lineRule="exact"/>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60" w:lineRule="exact"/>
        <w:rPr>
          <w:rFonts w:ascii="宋体" w:hAnsi="宋体"/>
          <w:b/>
          <w:szCs w:val="21"/>
        </w:rPr>
      </w:pPr>
      <w:r>
        <w:rPr>
          <w:rFonts w:hint="eastAsia" w:ascii="宋体" w:hAnsi="宋体"/>
          <w:b/>
          <w:szCs w:val="21"/>
        </w:rPr>
        <w:t xml:space="preserve">7、招标文件的澄清</w:t>
      </w:r>
      <w:r/>
    </w:p>
    <w:p>
      <w:pPr>
        <w:ind w:firstLine="420"/>
        <w:spacing w:line="460" w:lineRule="exact"/>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460" w:lineRule="exact"/>
        <w:rPr>
          <w:rFonts w:ascii="宋体" w:hAnsi="宋体"/>
          <w:b/>
          <w:szCs w:val="21"/>
        </w:rPr>
      </w:pPr>
      <w:r>
        <w:rPr>
          <w:rFonts w:hint="eastAsia" w:ascii="宋体" w:hAnsi="宋体"/>
          <w:b/>
          <w:szCs w:val="21"/>
        </w:rPr>
        <w:t xml:space="preserve">8、招标文件的修改</w:t>
      </w:r>
      <w:r/>
    </w:p>
    <w:p>
      <w:pPr>
        <w:ind w:firstLine="420"/>
        <w:spacing w:line="460" w:lineRule="exact"/>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460" w:lineRule="exact"/>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460" w:lineRule="exact"/>
        <w:rPr>
          <w:rFonts w:ascii="宋体" w:hAnsi="宋体"/>
          <w:bCs/>
          <w:szCs w:val="21"/>
        </w:rPr>
      </w:pPr>
      <w:r>
        <w:rPr>
          <w:rFonts w:hint="eastAsia" w:ascii="宋体" w:hAnsi="宋体"/>
          <w:bCs/>
          <w:szCs w:val="21"/>
        </w:rPr>
        <w:t xml:space="preserve">8.3招标文件的修改将在“扬州市政府采购网”、“江苏省政府采购网”和“中国政府采购网”公布，补充文件将作为招标文件的组成部分，并对投标人具有约束力。</w:t>
      </w:r>
      <w:r/>
    </w:p>
    <w:p>
      <w:pPr>
        <w:ind w:firstLine="422"/>
        <w:spacing w:line="460" w:lineRule="exact"/>
        <w:rPr>
          <w:rFonts w:ascii="宋体" w:hAnsi="宋体"/>
          <w:b/>
          <w:szCs w:val="21"/>
        </w:rPr>
      </w:pPr>
      <w:r>
        <w:rPr>
          <w:rFonts w:hint="eastAsia" w:ascii="宋体" w:hAnsi="宋体"/>
          <w:b/>
          <w:szCs w:val="21"/>
        </w:rPr>
        <w:t xml:space="preserve">9、投标文件的语言、度量衡单位、货币</w:t>
      </w:r>
      <w:r/>
    </w:p>
    <w:p>
      <w:pPr>
        <w:ind w:firstLine="420"/>
        <w:spacing w:line="460" w:lineRule="exact"/>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460" w:lineRule="exact"/>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60" w:lineRule="exact"/>
        <w:rPr>
          <w:rFonts w:ascii="宋体" w:hAnsi="宋体"/>
          <w:bCs/>
          <w:szCs w:val="21"/>
        </w:rPr>
      </w:pPr>
      <w:r>
        <w:rPr>
          <w:rFonts w:hint="eastAsia" w:ascii="宋体" w:hAnsi="宋体"/>
          <w:bCs/>
          <w:szCs w:val="21"/>
        </w:rPr>
        <w:t xml:space="preserve">9.3投标人应使用人民币报价。</w:t>
      </w:r>
      <w:r/>
    </w:p>
    <w:p>
      <w:pPr>
        <w:ind w:firstLine="422"/>
        <w:spacing w:line="460" w:lineRule="exact"/>
        <w:rPr>
          <w:rFonts w:ascii="宋体" w:hAnsi="宋体"/>
          <w:b/>
          <w:szCs w:val="21"/>
        </w:rPr>
      </w:pPr>
      <w:r>
        <w:rPr>
          <w:rFonts w:hint="eastAsia" w:ascii="宋体" w:hAnsi="宋体"/>
          <w:b/>
          <w:szCs w:val="21"/>
        </w:rPr>
        <w:t xml:space="preserve">10、投标文件构成</w:t>
      </w:r>
      <w:r/>
    </w:p>
    <w:p>
      <w:pPr>
        <w:ind w:firstLine="420"/>
        <w:spacing w:line="460" w:lineRule="exact"/>
        <w:rPr>
          <w:rFonts w:ascii="宋体" w:hAnsi="宋体"/>
          <w:bCs/>
          <w:szCs w:val="21"/>
        </w:rPr>
      </w:pPr>
      <w:r>
        <w:rPr>
          <w:rFonts w:hint="eastAsia" w:ascii="宋体" w:hAnsi="宋体"/>
          <w:bCs/>
          <w:szCs w:val="21"/>
        </w:rPr>
        <w:t xml:space="preserve">10.1投标文件由以下部分组成</w:t>
      </w:r>
      <w:r/>
    </w:p>
    <w:p>
      <w:pPr>
        <w:ind w:firstLine="420"/>
        <w:spacing w:line="460" w:lineRule="exact"/>
        <w:rPr>
          <w:rFonts w:ascii="宋体" w:hAnsi="宋体"/>
          <w:bCs/>
          <w:szCs w:val="21"/>
        </w:rPr>
      </w:pPr>
      <w:r>
        <w:rPr>
          <w:rFonts w:hint="eastAsia" w:ascii="宋体" w:hAnsi="宋体"/>
          <w:bCs/>
          <w:szCs w:val="21"/>
        </w:rPr>
        <w:t xml:space="preserve">（1）资格审查响应对照表</w:t>
      </w:r>
      <w:r/>
    </w:p>
    <w:p>
      <w:pPr>
        <w:ind w:firstLine="420"/>
        <w:spacing w:line="460" w:lineRule="exact"/>
        <w:rPr>
          <w:rFonts w:ascii="宋体" w:hAnsi="宋体"/>
          <w:bCs/>
          <w:szCs w:val="21"/>
        </w:rPr>
      </w:pPr>
      <w:r>
        <w:rPr>
          <w:rFonts w:hint="eastAsia" w:ascii="宋体" w:hAnsi="宋体"/>
          <w:bCs/>
          <w:szCs w:val="21"/>
        </w:rPr>
        <w:t xml:space="preserve">（2）符合性审查响应对照表</w:t>
      </w:r>
      <w:r/>
    </w:p>
    <w:p>
      <w:pPr>
        <w:ind w:firstLine="420"/>
        <w:spacing w:line="460" w:lineRule="exact"/>
        <w:rPr>
          <w:rFonts w:ascii="宋体" w:hAnsi="宋体"/>
          <w:bCs/>
          <w:szCs w:val="21"/>
        </w:rPr>
      </w:pPr>
      <w:r>
        <w:rPr>
          <w:rFonts w:hint="eastAsia" w:ascii="宋体" w:hAnsi="宋体"/>
          <w:bCs/>
          <w:szCs w:val="21"/>
        </w:rPr>
        <w:t xml:space="preserve">（3）非实质性响应对照表</w:t>
      </w:r>
      <w:r/>
    </w:p>
    <w:p>
      <w:pPr>
        <w:ind w:firstLine="420"/>
        <w:spacing w:line="460" w:lineRule="exact"/>
        <w:rPr>
          <w:rFonts w:ascii="宋体" w:hAnsi="宋体"/>
          <w:bCs/>
          <w:szCs w:val="21"/>
        </w:rPr>
      </w:pPr>
      <w:r>
        <w:rPr>
          <w:rFonts w:hint="eastAsia" w:ascii="宋体" w:hAnsi="宋体"/>
          <w:bCs/>
          <w:szCs w:val="21"/>
        </w:rPr>
        <w:t xml:space="preserve">（4）开标一览表 </w:t>
      </w:r>
      <w:r/>
    </w:p>
    <w:p>
      <w:pPr>
        <w:ind w:firstLine="420"/>
        <w:spacing w:line="460" w:lineRule="exact"/>
        <w:rPr>
          <w:rFonts w:ascii="宋体" w:hAnsi="宋体"/>
          <w:bCs/>
          <w:szCs w:val="21"/>
        </w:rPr>
      </w:pPr>
      <w:r>
        <w:rPr>
          <w:rFonts w:hint="eastAsia" w:ascii="宋体" w:hAnsi="宋体"/>
          <w:bCs/>
          <w:szCs w:val="21"/>
        </w:rPr>
        <w:t xml:space="preserve">（5）分项报价表 （如有）</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分项报价表（如有）</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开标一览表中的价格应与投标文件中分项报价表（如有）中的价格一致，如不一致，不作为无效投标处理，但评标时按开标一览表中价格为准。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12" w:name="_Toc462564084"/>
      <w:r/>
      <w:bookmarkStart w:id="13" w:name="_Toc513029225"/>
      <w:r/>
      <w:bookmarkStart w:id="14" w:name="_Toc20823297"/>
      <w:r/>
      <w:bookmarkStart w:id="15" w:name="_Toc16938541"/>
      <w:r>
        <w:rPr>
          <w:rFonts w:hint="eastAsia" w:ascii="宋体" w:hAnsi="宋体"/>
          <w:b/>
          <w:szCs w:val="21"/>
        </w:rPr>
        <w:t xml:space="preserve">17、投标文件</w:t>
      </w:r>
      <w:bookmarkEnd w:id="12"/>
      <w:r/>
      <w:bookmarkEnd w:id="13"/>
      <w:r/>
      <w:bookmarkEnd w:id="14"/>
      <w:r/>
      <w:bookmarkEnd w:id="1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b/>
          <w:szCs w:val="21"/>
        </w:rPr>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16" w:name="_Toc513029227"/>
      <w:r/>
      <w:bookmarkStart w:id="17" w:name="_Toc16938543"/>
      <w:r/>
      <w:bookmarkStart w:id="18" w:name="_Toc20823299"/>
      <w:r>
        <w:rPr>
          <w:rFonts w:hint="eastAsia" w:ascii="宋体" w:hAnsi="宋体"/>
          <w:b/>
          <w:szCs w:val="21"/>
        </w:rPr>
        <w:t xml:space="preserve">19、投标文件</w:t>
      </w:r>
      <w:bookmarkEnd w:id="16"/>
      <w:r/>
      <w:bookmarkEnd w:id="17"/>
      <w:r/>
      <w:bookmarkEnd w:id="18"/>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19" w:name="_Toc513029228"/>
      <w:r/>
      <w:bookmarkStart w:id="20" w:name="_Toc20823300"/>
      <w:r/>
      <w:bookmarkStart w:id="21" w:name="_Toc16938544"/>
      <w:r>
        <w:rPr>
          <w:rFonts w:hint="eastAsia" w:ascii="宋体" w:hAnsi="宋体"/>
          <w:b/>
          <w:szCs w:val="21"/>
        </w:rPr>
        <w:t xml:space="preserve">20、投标文件的撤回和修改</w:t>
      </w:r>
      <w:bookmarkEnd w:id="19"/>
      <w:r/>
      <w:bookmarkEnd w:id="20"/>
      <w:r/>
      <w:bookmarkEnd w:id="21"/>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bCs/>
          <w:szCs w:val="21"/>
        </w:rPr>
      </w:pPr>
      <w:r>
        <w:rPr>
          <w:rFonts w:hint="eastAsia" w:ascii="宋体" w:hAnsi="宋体"/>
          <w:bCs/>
          <w:szCs w:val="21"/>
        </w:rPr>
        <w:t xml:space="preserve">参照《中华人民共和国政府采购法》第二十二条规定，下列信用记录属于应依法拒绝供应商参加采购的失信信息：</w:t>
      </w:r>
      <w:r/>
    </w:p>
    <w:p>
      <w:pPr>
        <w:ind w:firstLine="420"/>
        <w:jc w:val="left"/>
        <w:spacing w:line="360" w:lineRule="auto"/>
        <w:rPr>
          <w:rFonts w:ascii="宋体" w:hAnsi="宋体"/>
          <w:bCs/>
          <w:szCs w:val="21"/>
        </w:rPr>
      </w:pPr>
      <w:r>
        <w:rPr>
          <w:rFonts w:hint="eastAsia" w:ascii="宋体" w:hAnsi="宋体"/>
          <w:bCs/>
          <w:szCs w:val="21"/>
        </w:rPr>
        <w:t xml:space="preserve">  （1）政府采购严重违法记录，即供应商被全国各级财政部门列入“政府采购严重违法失信行为记录名单”，且在处罚有效期内的。</w:t>
      </w:r>
      <w:r/>
    </w:p>
    <w:p>
      <w:pPr>
        <w:ind w:firstLine="420"/>
        <w:jc w:val="left"/>
        <w:spacing w:line="360" w:lineRule="auto"/>
        <w:rPr>
          <w:rFonts w:ascii="宋体" w:hAnsi="宋体"/>
          <w:bCs/>
          <w:szCs w:val="21"/>
        </w:rPr>
      </w:pPr>
      <w:r>
        <w:rPr>
          <w:rFonts w:hint="eastAsia" w:ascii="宋体" w:hAnsi="宋体"/>
          <w:bCs/>
          <w:szCs w:val="21"/>
        </w:rPr>
        <w:t xml:space="preserve">  （2）财政部门与法院、工商、税务等部门联合惩戒的失信信息，包括：</w:t>
      </w:r>
      <w:r/>
    </w:p>
    <w:p>
      <w:pPr>
        <w:ind w:firstLine="420"/>
        <w:jc w:val="left"/>
        <w:spacing w:line="360" w:lineRule="auto"/>
        <w:rPr>
          <w:rFonts w:ascii="宋体" w:hAnsi="宋体"/>
          <w:bCs/>
          <w:szCs w:val="21"/>
        </w:rPr>
      </w:pPr>
      <w:r>
        <w:rPr>
          <w:rFonts w:hint="eastAsia" w:ascii="宋体" w:hAnsi="宋体"/>
          <w:bCs/>
          <w:szCs w:val="21"/>
        </w:rPr>
        <w:t xml:space="preserve">  1）被列入失信被执行人名单；</w:t>
      </w:r>
      <w:r/>
    </w:p>
    <w:p>
      <w:pPr>
        <w:ind w:firstLine="420"/>
        <w:jc w:val="left"/>
        <w:spacing w:line="360" w:lineRule="auto"/>
        <w:rPr>
          <w:rFonts w:ascii="宋体" w:hAnsi="宋体"/>
          <w:bCs/>
          <w:szCs w:val="21"/>
        </w:rPr>
      </w:pPr>
      <w:r>
        <w:rPr>
          <w:rFonts w:hint="eastAsia" w:ascii="宋体" w:hAnsi="宋体"/>
          <w:bCs/>
          <w:szCs w:val="21"/>
        </w:rPr>
        <w:t xml:space="preserve">  2）被列入重大税收违法案件当事人名单；</w:t>
      </w:r>
      <w:r/>
    </w:p>
    <w:p>
      <w:pPr>
        <w:ind w:firstLine="420"/>
        <w:jc w:val="left"/>
        <w:spacing w:line="360" w:lineRule="auto"/>
        <w:rPr>
          <w:rFonts w:ascii="宋体" w:hAnsi="宋体"/>
          <w:bCs/>
          <w:szCs w:val="21"/>
        </w:rPr>
      </w:pPr>
      <w:r>
        <w:rPr>
          <w:rFonts w:hint="eastAsia" w:ascii="宋体" w:hAnsi="宋体"/>
          <w:bCs/>
          <w:szCs w:val="21"/>
        </w:rPr>
        <w:t xml:space="preserve">  3）企业经营异常名录中被责令停产停业、暂扣或者吊销许可证或者执照，或者对经营活动中的违法行为处以200万元以上数额罚款的信用记录。处罚生效日至递交投标文件日未满三年的。</w:t>
      </w:r>
      <w:r/>
    </w:p>
    <w:p>
      <w:pPr>
        <w:ind w:firstLine="420"/>
        <w:jc w:val="left"/>
        <w:spacing w:line="360" w:lineRule="auto"/>
        <w:rPr>
          <w:rFonts w:ascii="宋体" w:hAnsi="宋体"/>
          <w:bCs/>
          <w:szCs w:val="21"/>
        </w:rPr>
      </w:pPr>
      <w:r>
        <w:rPr>
          <w:rFonts w:hint="eastAsia" w:ascii="宋体" w:hAnsi="宋体"/>
          <w:bCs/>
          <w:szCs w:val="21"/>
        </w:rPr>
        <w:t xml:space="preserve">    对存在失信信息的供应商，评审小组应填写《扬州市级政府采购供应商失信信息确认函》，由失信供应商应签名确认。同时，采购代理机构工作人员应根据采购人确认的失信信息，登陆到相关来源网站页面进行复核并打印，作为证据留存。</w:t>
      </w:r>
      <w:r/>
    </w:p>
    <w:p>
      <w:pPr>
        <w:ind w:firstLine="420"/>
        <w:jc w:val="left"/>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rPr>
      </w:pPr>
      <w:r>
        <w:rPr>
          <w:rFonts w:hint="eastAsia" w:ascii="宋体" w:hAnsi="宋体"/>
        </w:rPr>
        <w:t xml:space="preserve">25.7 投标人在开、评标全过程中应保持通讯畅通，并安排专人与代理机构及评委会联系。</w:t>
      </w:r>
      <w:r/>
    </w:p>
    <w:p>
      <w:pPr>
        <w:pStyle w:val="816"/>
        <w:ind w:firstLine="420"/>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sz w:val="21"/>
          <w:szCs w:val="22"/>
          <w:lang w:val="en-US" w:eastAsia="zh-CN" w:bidi="ar-SA"/>
        </w:rPr>
        <w:t xml:space="preserve">25.8 </w:t>
      </w:r>
      <w:r>
        <w:rPr>
          <w:rFonts w:hint="eastAsia" w:ascii="宋体" w:hAnsi="宋体" w:eastAsia="宋体" w:cs="Times New Roman"/>
          <w:b/>
          <w:bCs/>
          <w:sz w:val="21"/>
          <w:szCs w:val="22"/>
          <w:lang w:val="en-US" w:eastAsia="zh-CN" w:bidi="ar-SA"/>
        </w:rPr>
        <w:t xml:space="preserve">异常低价投标审查</w:t>
      </w:r>
      <w:r/>
    </w:p>
    <w:p>
      <w:pPr>
        <w:pStyle w:val="816"/>
        <w:ind w:firstLine="422"/>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b/>
          <w:bCs/>
          <w:sz w:val="21"/>
          <w:szCs w:val="22"/>
          <w:lang w:val="en-US" w:eastAsia="zh-CN" w:bidi="ar-SA"/>
        </w:rPr>
        <w:t xml:space="preserve">25.8.1评标过程中出现下列情形之一的，评标委员会应当启动异常低价投标审查程序:</w:t>
      </w:r>
      <w:r/>
    </w:p>
    <w:p>
      <w:pPr>
        <w:pStyle w:val="817"/>
        <w:ind w:firstLine="422"/>
        <w:jc w:val="both"/>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b/>
          <w:bCs/>
          <w:sz w:val="21"/>
          <w:szCs w:val="22"/>
          <w:lang w:val="en-US" w:eastAsia="zh-CN" w:bidi="ar-SA"/>
        </w:rPr>
        <w:t xml:space="preserve">1.投标(响应)报价低于全部通过符合性审查供应商投标(响应)报价平均值50%的，即投标(响应)报价〈全部通过符合性审查供应商投标(响应)报价平均值X50%;</w:t>
      </w:r>
      <w:r/>
    </w:p>
    <w:p>
      <w:pPr>
        <w:pStyle w:val="817"/>
        <w:ind w:firstLine="422"/>
        <w:jc w:val="both"/>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b/>
          <w:bCs/>
          <w:sz w:val="21"/>
          <w:szCs w:val="22"/>
          <w:lang w:val="en-US" w:eastAsia="zh-CN" w:bidi="ar-SA"/>
        </w:rPr>
        <w:t xml:space="preserve">2.投标(响应)报价低于通过符合性审查的次低报价供应商投标(响应)报价50%的，即投标(响应)报价〈通过符合性审查的次低报价供应商投标(响应)报价X50%;</w:t>
      </w:r>
      <w:r/>
    </w:p>
    <w:p>
      <w:pPr>
        <w:pStyle w:val="817"/>
        <w:ind w:firstLine="422"/>
        <w:jc w:val="both"/>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b/>
          <w:bCs/>
          <w:sz w:val="21"/>
          <w:szCs w:val="22"/>
          <w:lang w:val="en-US" w:eastAsia="zh-CN" w:bidi="ar-SA"/>
        </w:rPr>
        <w:t xml:space="preserve">3.投标(响应)报价低于采购项目最高限价45%的，即投标(响应)报价&lt;采购项目最高限价X45%;</w:t>
      </w:r>
      <w:r/>
    </w:p>
    <w:p>
      <w:pPr>
        <w:pStyle w:val="817"/>
        <w:ind w:firstLine="422"/>
        <w:jc w:val="both"/>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b/>
          <w:bCs/>
          <w:sz w:val="21"/>
          <w:szCs w:val="22"/>
          <w:lang w:val="en-US" w:eastAsia="zh-CN" w:bidi="ar-SA"/>
        </w:rPr>
        <w:t xml:space="preserve">4.评审委员会基于专业判断，认为供应商报价过低，有可能影响产品质量或者不能诚信履约的其他情形。</w:t>
      </w:r>
      <w:r/>
    </w:p>
    <w:p>
      <w:pPr>
        <w:pStyle w:val="817"/>
        <w:ind w:firstLine="422"/>
        <w:jc w:val="both"/>
        <w:spacing w:line="360" w:lineRule="auto"/>
        <w:rPr>
          <w:rFonts w:hint="eastAsia" w:ascii="宋体" w:hAnsi="宋体" w:eastAsia="宋体" w:cs="Times New Roman"/>
          <w:b/>
          <w:bCs/>
          <w:sz w:val="21"/>
          <w:szCs w:val="22"/>
          <w:lang w:val="en-US" w:eastAsia="zh-CN" w:bidi="ar-SA"/>
        </w:rPr>
      </w:pPr>
      <w:r>
        <w:rPr>
          <w:rFonts w:hint="eastAsia" w:ascii="宋体" w:hAnsi="宋体" w:eastAsia="宋体" w:cs="Times New Roman"/>
          <w:b/>
          <w:bCs/>
          <w:sz w:val="21"/>
          <w:szCs w:val="22"/>
          <w:lang w:val="en-US" w:eastAsia="zh-CN" w:bidi="ar-SA"/>
        </w:rPr>
        <w:t xml:space="preserve">25.8.2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pStyle w:val="817"/>
        <w:ind w:firstLine="422"/>
        <w:jc w:val="both"/>
        <w:spacing w:line="360" w:lineRule="auto"/>
        <w:rPr>
          <w:rFonts w:hint="eastAsia" w:ascii="宋体" w:hAnsi="宋体" w:eastAsia="宋体" w:cs="Times New Roman"/>
          <w:sz w:val="21"/>
          <w:szCs w:val="22"/>
          <w:lang w:val="en-US" w:eastAsia="zh-CN" w:bidi="ar-SA"/>
        </w:rPr>
      </w:pPr>
      <w:r>
        <w:rPr>
          <w:rFonts w:hint="eastAsia" w:ascii="宋体" w:hAnsi="宋体" w:eastAsia="宋体" w:cs="Times New Roman"/>
          <w:b/>
          <w:bCs/>
          <w:sz w:val="21"/>
          <w:szCs w:val="22"/>
          <w:lang w:val="en-US" w:eastAsia="zh-CN" w:bidi="ar-SA"/>
        </w:rPr>
        <w:t xml:space="preserve">25.8.3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本项目采购产品被财政部、国家发展改革委、生态环境部等列入“节能产品品目清单”、“环境标志产品品目清单”强制采购范围，而投标人所投标产品不在强制采购范围内的。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27.3代理机构将在“扬州市政府采购网”、“江苏省政府采购网”和“中国政府采购网”发布中标公告，公告期限为1个工作日。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0"/>
        <w:spacing w:line="360" w:lineRule="auto"/>
        <w:rPr>
          <w:rFonts w:hint="eastAsia" w:ascii="宋体" w:hAnsi="宋体"/>
          <w:bCs/>
          <w:szCs w:val="21"/>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
          <w:szCs w:val="21"/>
        </w:rPr>
      </w:pPr>
      <w:r>
        <w:rPr>
          <w:rFonts w:hint="eastAsia" w:ascii="宋体" w:hAnsi="宋体"/>
          <w:bCs/>
          <w:szCs w:val="21"/>
        </w:rPr>
        <w:t xml:space="preserve">28.5 代理机构及采购人只接收以纸质原件形式送达的质疑。同时需与采购代理机构经办人确认是否收到《质疑函》，如供应商未按上述要求去做，将自行承担所产生的风险</w:t>
      </w:r>
      <w:r>
        <w:rPr>
          <w:rFonts w:hint="eastAsia" w:ascii="宋体" w:hAnsi="宋体"/>
          <w:b/>
          <w:szCs w:val="21"/>
        </w:rPr>
        <w:t xml:space="preserve">。</w:t>
      </w:r>
      <w:r/>
    </w:p>
    <w:p>
      <w:p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因春节假期收发存在不及时，请供应商在邮寄的同时将扫描件发送至经办人邮箱：291581649@qq.com，同时需电话联系经办人予以确认。</w:t>
      </w:r>
      <w:r/>
    </w:p>
    <w:p>
      <w:pPr>
        <w:ind w:firstLine="420"/>
        <w:spacing w:line="360" w:lineRule="auto"/>
        <w:rPr>
          <w:rFonts w:hint="default" w:ascii="宋体" w:hAnsi="宋体"/>
          <w:b/>
          <w:szCs w:val="21"/>
          <w:lang w:val="en-US"/>
        </w:rPr>
      </w:pPr>
      <w:r>
        <w:rPr>
          <w:rFonts w:hint="eastAsia" w:ascii="宋体" w:hAnsi="宋体" w:cs="宋体"/>
          <w:b/>
          <w:bCs w:val="0"/>
          <w:color w:val="auto"/>
          <w:szCs w:val="21"/>
          <w:highlight w:val="none"/>
          <w:lang w:val="en-US" w:eastAsia="zh-CN"/>
        </w:rPr>
        <w:t xml:space="preserve">联系人：李俊 联系方式：18012138613</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szCs w:val="21"/>
        </w:rPr>
      </w:pPr>
      <w:r>
        <w:rPr>
          <w:rFonts w:hint="eastAsia" w:ascii="宋体" w:hAnsi="宋体"/>
          <w:b/>
          <w:szCs w:val="21"/>
        </w:rPr>
        <w:t xml:space="preserve">31、电子投标文件要求</w:t>
      </w:r>
      <w:r/>
    </w:p>
    <w:p>
      <w:pPr>
        <w:ind w:firstLine="422"/>
        <w:spacing w:line="440" w:lineRule="exact"/>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440" w:lineRule="exact"/>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440" w:lineRule="exact"/>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0"/>
        <w:spacing w:line="360" w:lineRule="auto"/>
        <w:rPr>
          <w:b/>
          <w:bCs/>
        </w:rPr>
      </w:pPr>
      <w:r>
        <w:rPr>
          <w:rFonts w:hint="eastAsia"/>
          <w:b/>
          <w:bCs/>
        </w:rPr>
        <w:t xml:space="preserve">31.4投标人应对要求提供的资格证明文件（如资质证书、资格证书）、技术资料（如白皮书、彩页、手册、检测报告等）扫描上传至投标系统。</w:t>
      </w:r>
      <w:r/>
    </w:p>
    <w:p>
      <w:pPr>
        <w:ind w:firstLine="420"/>
        <w:spacing w:line="360" w:lineRule="auto"/>
        <w:rPr>
          <w:b/>
          <w:bCs/>
        </w:rPr>
      </w:pPr>
      <w:r>
        <w:rPr>
          <w:rFonts w:hint="eastAsia"/>
          <w:b/>
          <w:bCs/>
        </w:rPr>
        <w:t xml:space="preserve">提交投标文件的截止时间（投标截止时间）</w:t>
      </w:r>
      <w:r/>
    </w:p>
    <w:p>
      <w:pPr>
        <w:ind w:firstLine="420"/>
        <w:spacing w:line="360" w:lineRule="auto"/>
        <w:rPr>
          <w:b/>
          <w:bCs/>
        </w:rPr>
      </w:pPr>
      <w:r>
        <w:rPr>
          <w:rFonts w:hint="eastAsia"/>
          <w:b/>
          <w:bCs/>
        </w:rPr>
        <w:t xml:space="preserve">32.1投标人应当在招标文件要求提交投标文件的截止时间前，将投标文件提交至“苏采云”系统，逾期提交的投标文件，“苏采云”系统将自动拒收。</w:t>
      </w:r>
      <w:r/>
    </w:p>
    <w:p>
      <w:pPr>
        <w:ind w:firstLine="420"/>
        <w:spacing w:line="360" w:lineRule="auto"/>
        <w:rPr>
          <w:b/>
          <w:bCs/>
        </w:rPr>
      </w:pPr>
      <w:r>
        <w:rPr>
          <w:rFonts w:hint="eastAsia"/>
          <w:b/>
          <w:bCs/>
        </w:rPr>
        <w:t xml:space="preserve">32.2各投标人应在规定时间内凭CA证书进行网上解密。</w:t>
      </w:r>
      <w:r/>
    </w:p>
    <w:p>
      <w:pPr>
        <w:ind w:firstLine="420"/>
        <w:spacing w:line="360" w:lineRule="auto"/>
        <w:rPr>
          <w:b/>
          <w:bCs/>
        </w:rPr>
      </w:pPr>
      <w:r>
        <w:rPr>
          <w:rFonts w:hint="eastAsia"/>
          <w:b/>
          <w:bCs/>
        </w:rPr>
        <w:t xml:space="preserve">32、其他</w:t>
      </w:r>
      <w:r/>
    </w:p>
    <w:p>
      <w:pPr>
        <w:ind w:firstLine="420"/>
        <w:spacing w:line="360" w:lineRule="auto"/>
      </w:pPr>
      <w:r>
        <w:rPr>
          <w:rFonts w:hint="eastAsia"/>
        </w:rPr>
        <w:t xml:space="preserve">32.1 依据《政府采购促进中小企业发展管理办法》享受扶持政策获得政府采购合同的，小微企业不得将合同分包给大中型企业，中型企业不得将合同分包给大型企业。</w:t>
      </w:r>
      <w:r/>
    </w:p>
    <w:p>
      <w:pPr>
        <w:ind w:firstLine="420"/>
        <w:spacing w:line="360" w:lineRule="auto"/>
        <w:rPr>
          <w:b/>
          <w:bCs/>
        </w:rPr>
      </w:pPr>
      <w:r>
        <w:rPr>
          <w:rFonts w:hint="eastAsia"/>
          <w:b/>
          <w:bCs/>
        </w:rPr>
        <w:t xml:space="preserve">33、联合投标</w:t>
      </w:r>
      <w:r/>
    </w:p>
    <w:p>
      <w:pPr>
        <w:ind w:firstLine="420"/>
        <w:spacing w:line="360" w:lineRule="auto"/>
        <w:rPr>
          <w:b/>
          <w:bCs/>
        </w:rPr>
      </w:pPr>
      <w:r>
        <w:rPr>
          <w:rFonts w:hint="eastAsia"/>
        </w:rPr>
        <w:t xml:space="preserve">本项目不接受联合体投标</w:t>
      </w:r>
      <w:r/>
    </w:p>
    <w:p>
      <w:pPr>
        <w:ind w:firstLine="420"/>
        <w:jc w:val="center"/>
        <w:spacing w:line="360" w:lineRule="auto"/>
      </w:pPr>
      <w:r>
        <w:rPr>
          <w:rFonts w:hint="eastAsia" w:ascii="宋体" w:hAnsi="宋体"/>
          <w:bCs/>
          <w:szCs w:val="21"/>
        </w:rPr>
        <w:br w:type="page" w:clear="all"/>
      </w:r>
      <w:bookmarkStart w:id="22" w:name="_Toc55204179"/>
      <w:r>
        <w:rPr>
          <w:rFonts w:hint="eastAsia" w:ascii="宋体" w:hAnsi="宋体"/>
          <w:b/>
          <w:bCs/>
          <w:sz w:val="44"/>
          <w:szCs w:val="36"/>
        </w:rPr>
        <w:t xml:space="preserve">第三章 合同条款及格式</w:t>
      </w:r>
      <w:bookmarkEnd w:id="22"/>
      <w:r/>
      <w:r/>
    </w:p>
    <w:p>
      <w:pPr>
        <w:ind w:firstLine="1767"/>
        <w:jc w:val="center"/>
        <w:spacing w:line="440" w:lineRule="exact"/>
        <w:rPr>
          <w:rFonts w:ascii="宋体" w:hAnsi="宋体"/>
          <w:b/>
          <w:bCs/>
          <w:sz w:val="44"/>
          <w:szCs w:val="36"/>
        </w:rPr>
      </w:pPr>
      <w:r>
        <w:rPr>
          <w:rFonts w:ascii="宋体" w:hAnsi="宋体"/>
          <w:b/>
          <w:bCs/>
          <w:sz w:val="44"/>
          <w:szCs w:val="36"/>
        </w:rPr>
      </w:r>
      <w:r/>
    </w:p>
    <w:p>
      <w:pPr>
        <w:pStyle w:val="1107"/>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22"/>
        <w:ind w:firstLine="422"/>
        <w:jc w:val="center"/>
        <w:spacing w:line="360" w:lineRule="auto"/>
        <w:rPr>
          <w:rFonts w:ascii="Times New Roman" w:hAnsi="Times New Roman"/>
          <w:b/>
          <w:bCs/>
          <w:sz w:val="21"/>
        </w:rPr>
      </w:pPr>
      <w:r>
        <w:rPr>
          <w:rFonts w:hint="eastAsia" w:ascii="Times New Roman" w:hAnsi="Times New Roman"/>
          <w:b/>
          <w:bCs/>
          <w:sz w:val="21"/>
        </w:rPr>
        <w:t xml:space="preserve">扬州市政府采购合同（服务)（合同编号）</w:t>
      </w:r>
      <w:r/>
    </w:p>
    <w:p>
      <w:pPr>
        <w:pStyle w:val="822"/>
        <w:ind w:firstLine="420"/>
        <w:spacing w:line="360" w:lineRule="auto"/>
        <w:rPr>
          <w:rFonts w:ascii="Times New Roman" w:hAnsi="Times New Roman"/>
          <w:sz w:val="21"/>
        </w:rPr>
      </w:pPr>
      <w:r>
        <w:rPr>
          <w:rFonts w:hint="eastAsia" w:ascii="Times New Roman" w:hAnsi="Times New Roman"/>
          <w:sz w:val="21"/>
        </w:rPr>
        <w:t xml:space="preserve">项目名称：              </w:t>
      </w:r>
      <w:r/>
    </w:p>
    <w:p>
      <w:pPr>
        <w:pStyle w:val="822"/>
        <w:ind w:firstLine="420"/>
        <w:spacing w:line="360" w:lineRule="auto"/>
        <w:rPr>
          <w:rFonts w:ascii="Times New Roman" w:hAnsi="Times New Roman"/>
          <w:sz w:val="21"/>
        </w:rPr>
      </w:pPr>
      <w:r>
        <w:rPr>
          <w:rFonts w:hint="eastAsia" w:ascii="Times New Roman" w:hAnsi="Times New Roman"/>
          <w:sz w:val="21"/>
        </w:rPr>
        <w:t xml:space="preserve">项目编号：</w:t>
      </w:r>
      <w:r/>
    </w:p>
    <w:p>
      <w:pPr>
        <w:pStyle w:val="822"/>
        <w:ind w:firstLine="420"/>
        <w:spacing w:line="360" w:lineRule="auto"/>
        <w:rPr>
          <w:rFonts w:ascii="Times New Roman" w:hAnsi="Times New Roman"/>
          <w:sz w:val="21"/>
        </w:rPr>
      </w:pPr>
      <w:r>
        <w:rPr>
          <w:rFonts w:hint="eastAsia" w:ascii="Times New Roman" w:hAnsi="Times New Roman"/>
          <w:sz w:val="21"/>
        </w:rPr>
        <w:t xml:space="preserve">甲方：（买方）</w:t>
      </w:r>
      <w:r/>
    </w:p>
    <w:p>
      <w:pPr>
        <w:pStyle w:val="822"/>
        <w:ind w:firstLine="420"/>
        <w:spacing w:line="360" w:lineRule="auto"/>
        <w:rPr>
          <w:rFonts w:ascii="Times New Roman" w:hAnsi="Times New Roman"/>
          <w:sz w:val="21"/>
        </w:rPr>
      </w:pPr>
      <w:r>
        <w:rPr>
          <w:rFonts w:hint="eastAsia" w:ascii="Times New Roman" w:hAnsi="Times New Roman"/>
          <w:sz w:val="21"/>
        </w:rPr>
        <w:t xml:space="preserve">乙方：（卖方）_________</w:t>
      </w:r>
      <w:r/>
    </w:p>
    <w:p>
      <w:pPr>
        <w:pStyle w:val="822"/>
        <w:ind w:firstLine="420"/>
        <w:spacing w:line="360" w:lineRule="auto"/>
        <w:rPr>
          <w:rFonts w:ascii="Times New Roman" w:hAnsi="Times New Roman"/>
          <w:sz w:val="21"/>
        </w:rPr>
      </w:pPr>
      <w:r>
        <w:rPr>
          <w:rFonts w:hint="eastAsia" w:ascii="Times New Roman" w:hAnsi="Times New Roman"/>
          <w:sz w:val="21"/>
        </w:rPr>
        <w:t xml:space="preserve">甲、乙双方根据江苏苏维工程管理有限公司</w:t>
      </w:r>
      <w:r>
        <w:rPr>
          <w:rFonts w:hint="eastAsia" w:ascii="Times New Roman" w:hAnsi="Times New Roman"/>
          <w:sz w:val="21"/>
          <w:u w:val="single"/>
        </w:rPr>
        <w:t xml:space="preserve">         </w:t>
      </w:r>
      <w:r>
        <w:rPr>
          <w:rFonts w:hint="eastAsia" w:ascii="Times New Roman" w:hAnsi="Times New Roman"/>
          <w:sz w:val="21"/>
        </w:rPr>
        <w:t xml:space="preserve">项目公开招标的结果，签署本合同。</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一、服务及货物</w:t>
      </w:r>
      <w:r/>
    </w:p>
    <w:p>
      <w:pPr>
        <w:pStyle w:val="822"/>
        <w:ind w:firstLine="420"/>
        <w:spacing w:line="360" w:lineRule="auto"/>
        <w:rPr>
          <w:rFonts w:ascii="Times New Roman" w:hAnsi="Times New Roman"/>
          <w:sz w:val="21"/>
        </w:rPr>
      </w:pPr>
      <w:r>
        <w:rPr>
          <w:rFonts w:hint="eastAsia" w:ascii="Times New Roman" w:hAnsi="Times New Roman"/>
          <w:sz w:val="21"/>
        </w:rPr>
        <w:t xml:space="preserve">1.1 标的名称：</w:t>
      </w:r>
      <w:r/>
    </w:p>
    <w:p>
      <w:pPr>
        <w:pStyle w:val="822"/>
        <w:ind w:firstLine="420"/>
        <w:spacing w:line="360" w:lineRule="auto"/>
        <w:rPr>
          <w:rFonts w:ascii="Times New Roman" w:hAnsi="Times New Roman"/>
          <w:sz w:val="21"/>
        </w:rPr>
      </w:pPr>
      <w:r>
        <w:rPr>
          <w:rFonts w:hint="eastAsia" w:ascii="Times New Roman" w:hAnsi="Times New Roman"/>
          <w:sz w:val="21"/>
        </w:rPr>
        <w:t xml:space="preserve">1.2标的质量：</w:t>
      </w:r>
      <w:r/>
    </w:p>
    <w:p>
      <w:pPr>
        <w:pStyle w:val="822"/>
        <w:ind w:firstLine="420"/>
        <w:spacing w:line="360" w:lineRule="auto"/>
        <w:rPr>
          <w:rFonts w:ascii="Times New Roman" w:hAnsi="Times New Roman"/>
          <w:sz w:val="21"/>
        </w:rPr>
      </w:pPr>
      <w:r>
        <w:rPr>
          <w:rFonts w:hint="eastAsia" w:ascii="Times New Roman" w:hAnsi="Times New Roman"/>
          <w:sz w:val="21"/>
        </w:rPr>
        <w:t xml:space="preserve">1.3 标的数量（规模）：</w:t>
      </w:r>
      <w:r/>
    </w:p>
    <w:p>
      <w:pPr>
        <w:pStyle w:val="822"/>
        <w:ind w:firstLine="420"/>
        <w:spacing w:line="360" w:lineRule="auto"/>
        <w:rPr>
          <w:rFonts w:ascii="Times New Roman" w:hAnsi="Times New Roman"/>
          <w:sz w:val="21"/>
        </w:rPr>
      </w:pPr>
      <w:r>
        <w:rPr>
          <w:rFonts w:hint="eastAsia" w:ascii="Times New Roman" w:hAnsi="Times New Roman"/>
          <w:sz w:val="21"/>
        </w:rPr>
        <w:t xml:space="preserve">1.4 履行时间（期限）：</w:t>
      </w:r>
      <w:r/>
    </w:p>
    <w:p>
      <w:pPr>
        <w:pStyle w:val="822"/>
        <w:ind w:firstLine="420"/>
        <w:spacing w:line="360" w:lineRule="auto"/>
        <w:rPr>
          <w:rFonts w:ascii="Times New Roman" w:hAnsi="Times New Roman"/>
          <w:sz w:val="21"/>
        </w:rPr>
      </w:pPr>
      <w:r>
        <w:rPr>
          <w:rFonts w:hint="eastAsia" w:ascii="Times New Roman" w:hAnsi="Times New Roman"/>
          <w:sz w:val="21"/>
        </w:rPr>
        <w:t xml:space="preserve">1.5 履行地点：</w:t>
      </w:r>
      <w:r/>
    </w:p>
    <w:p>
      <w:pPr>
        <w:pStyle w:val="822"/>
        <w:ind w:firstLine="420"/>
        <w:spacing w:line="360" w:lineRule="auto"/>
        <w:rPr>
          <w:rFonts w:ascii="Times New Roman" w:hAnsi="Times New Roman"/>
          <w:sz w:val="21"/>
        </w:rPr>
      </w:pPr>
      <w:r>
        <w:rPr>
          <w:rFonts w:hint="eastAsia" w:ascii="Times New Roman" w:hAnsi="Times New Roman"/>
          <w:sz w:val="21"/>
        </w:rPr>
        <w:t xml:space="preserve">1.6履行方式：</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二、合同金额</w:t>
      </w:r>
      <w:r/>
    </w:p>
    <w:p>
      <w:pPr>
        <w:pStyle w:val="822"/>
        <w:ind w:firstLine="420"/>
        <w:spacing w:line="360" w:lineRule="auto"/>
        <w:rPr>
          <w:rFonts w:ascii="Times New Roman" w:hAnsi="Times New Roman"/>
          <w:sz w:val="21"/>
        </w:rPr>
      </w:pPr>
      <w:r>
        <w:rPr>
          <w:rFonts w:hint="eastAsia" w:ascii="Times New Roman" w:hAnsi="Times New Roman"/>
          <w:sz w:val="21"/>
        </w:rPr>
        <w:t xml:space="preserve">2.1 本合同金额为（大写）：____________________________________圆（_______________元）人民币。</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三、技术资料</w:t>
      </w:r>
      <w:r/>
    </w:p>
    <w:p>
      <w:pPr>
        <w:pStyle w:val="822"/>
        <w:ind w:firstLine="420"/>
        <w:spacing w:line="360" w:lineRule="auto"/>
        <w:rPr>
          <w:rFonts w:ascii="Times New Roman" w:hAnsi="Times New Roman"/>
          <w:sz w:val="21"/>
        </w:rPr>
      </w:pPr>
      <w:r>
        <w:rPr>
          <w:rFonts w:hint="eastAsia" w:ascii="Times New Roman" w:hAnsi="Times New Roman"/>
          <w:sz w:val="21"/>
        </w:rPr>
        <w:t xml:space="preserve">3.1乙方应按招标文件规定的时间向甲方提供使用货物及服务的有关技术资料。</w:t>
      </w:r>
      <w:r/>
    </w:p>
    <w:p>
      <w:pPr>
        <w:pStyle w:val="822"/>
        <w:ind w:firstLine="420"/>
        <w:spacing w:line="360" w:lineRule="auto"/>
        <w:rPr>
          <w:rFonts w:ascii="Times New Roman" w:hAnsi="Times New Roman"/>
          <w:sz w:val="21"/>
        </w:rPr>
      </w:pPr>
      <w:r>
        <w:rPr>
          <w:rFonts w:hint="eastAsia" w:ascii="Times New Roman" w:hAnsi="Times New Roman"/>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四、知识产权</w:t>
      </w:r>
      <w:r/>
    </w:p>
    <w:p>
      <w:pPr>
        <w:pStyle w:val="822"/>
        <w:ind w:firstLine="420"/>
        <w:spacing w:line="360" w:lineRule="auto"/>
        <w:rPr>
          <w:rFonts w:ascii="Times New Roman" w:hAnsi="Times New Roman"/>
          <w:sz w:val="21"/>
        </w:rPr>
      </w:pPr>
      <w:r>
        <w:rPr>
          <w:rFonts w:hint="eastAsia" w:ascii="Times New Roman" w:hAnsi="Times New Roman"/>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五、产权担保</w:t>
      </w:r>
      <w:r/>
    </w:p>
    <w:p>
      <w:pPr>
        <w:pStyle w:val="822"/>
        <w:ind w:firstLine="420"/>
        <w:spacing w:line="360" w:lineRule="auto"/>
        <w:rPr>
          <w:rFonts w:ascii="Times New Roman" w:hAnsi="Times New Roman"/>
          <w:sz w:val="21"/>
        </w:rPr>
      </w:pPr>
      <w:r>
        <w:rPr>
          <w:rFonts w:hint="eastAsia" w:ascii="Times New Roman" w:hAnsi="Times New Roman"/>
          <w:sz w:val="21"/>
        </w:rPr>
        <w:t xml:space="preserve">5.1 乙方保证所交付的货物及服务的所有权完全属于乙方且无任何抵押、查封等产权瑕疵。</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六、履约保证金</w:t>
      </w:r>
      <w:r/>
    </w:p>
    <w:p>
      <w:pPr>
        <w:pStyle w:val="822"/>
        <w:ind w:firstLine="420"/>
        <w:spacing w:line="360" w:lineRule="auto"/>
        <w:rPr>
          <w:rFonts w:ascii="Times New Roman" w:hAnsi="Times New Roman"/>
          <w:sz w:val="21"/>
        </w:rPr>
      </w:pPr>
      <w:r>
        <w:rPr>
          <w:rFonts w:hint="eastAsia" w:ascii="Times New Roman" w:hAnsi="Times New Roman"/>
          <w:sz w:val="21"/>
        </w:rPr>
        <w:t xml:space="preserve">6.1 乙方交纳人民币</w:t>
      </w:r>
      <w:r>
        <w:rPr>
          <w:rFonts w:hint="eastAsia" w:ascii="Times New Roman" w:hAnsi="Times New Roman"/>
          <w:sz w:val="21"/>
          <w:u w:val="single"/>
        </w:rPr>
        <w:t xml:space="preserve"> 零  </w:t>
      </w:r>
      <w:r>
        <w:rPr>
          <w:rFonts w:hint="eastAsia" w:ascii="Times New Roman" w:hAnsi="Times New Roman"/>
          <w:sz w:val="21"/>
        </w:rPr>
        <w:t xml:space="preserve">元作为本合同的履约保证金。（不得超过合同金额的10%）</w:t>
      </w:r>
      <w:r/>
    </w:p>
    <w:p>
      <w:pPr>
        <w:pStyle w:val="822"/>
        <w:ind w:firstLine="420"/>
        <w:spacing w:line="360" w:lineRule="auto"/>
        <w:rPr>
          <w:rFonts w:ascii="Times New Roman" w:hAnsi="Times New Roman"/>
          <w:sz w:val="21"/>
        </w:rPr>
      </w:pPr>
      <w:r>
        <w:rPr>
          <w:rFonts w:hint="eastAsia" w:ascii="Times New Roman" w:hAnsi="Times New Roman"/>
          <w:sz w:val="21"/>
        </w:rPr>
        <w:t xml:space="preserve">6.2合同履行结束后，甲方应及时退还交纳的履约保证金。</w:t>
      </w:r>
      <w:r/>
    </w:p>
    <w:p>
      <w:pPr>
        <w:pStyle w:val="822"/>
        <w:ind w:firstLine="420"/>
        <w:spacing w:line="360" w:lineRule="auto"/>
        <w:rPr>
          <w:rFonts w:ascii="Times New Roman" w:hAnsi="Times New Roman"/>
          <w:sz w:val="21"/>
        </w:rPr>
      </w:pPr>
      <w:r>
        <w:rPr>
          <w:rFonts w:hint="eastAsia" w:ascii="Times New Roman" w:hAnsi="Times New Roman"/>
          <w:sz w:val="21"/>
        </w:rPr>
        <w:t xml:space="preserve">6.2.1履约保证金退还方式：无</w:t>
      </w:r>
      <w:r/>
    </w:p>
    <w:p>
      <w:pPr>
        <w:pStyle w:val="822"/>
        <w:ind w:firstLine="420"/>
        <w:spacing w:line="360" w:lineRule="auto"/>
        <w:rPr>
          <w:rFonts w:ascii="Times New Roman" w:hAnsi="Times New Roman"/>
          <w:sz w:val="21"/>
        </w:rPr>
      </w:pPr>
      <w:r>
        <w:rPr>
          <w:rFonts w:hint="eastAsia" w:ascii="Times New Roman" w:hAnsi="Times New Roman"/>
          <w:sz w:val="21"/>
        </w:rPr>
        <w:t xml:space="preserve">6.2.2履约保证金退还时间：无</w:t>
      </w:r>
      <w:r/>
    </w:p>
    <w:p>
      <w:pPr>
        <w:pStyle w:val="822"/>
        <w:ind w:firstLine="420"/>
        <w:spacing w:line="360" w:lineRule="auto"/>
        <w:rPr>
          <w:rFonts w:ascii="Times New Roman" w:hAnsi="Times New Roman"/>
          <w:sz w:val="21"/>
        </w:rPr>
      </w:pPr>
      <w:r>
        <w:rPr>
          <w:rFonts w:hint="eastAsia" w:ascii="Times New Roman" w:hAnsi="Times New Roman"/>
          <w:sz w:val="21"/>
        </w:rPr>
        <w:t xml:space="preserve">6.2.3履约保证金退还条件：无</w:t>
      </w:r>
      <w:r/>
    </w:p>
    <w:p>
      <w:pPr>
        <w:pStyle w:val="822"/>
        <w:ind w:firstLine="420"/>
        <w:spacing w:line="360" w:lineRule="auto"/>
        <w:rPr>
          <w:rFonts w:ascii="Times New Roman" w:hAnsi="Times New Roman"/>
          <w:sz w:val="21"/>
        </w:rPr>
      </w:pPr>
      <w:r>
        <w:rPr>
          <w:rFonts w:hint="eastAsia" w:ascii="Times New Roman" w:hAnsi="Times New Roman"/>
          <w:sz w:val="21"/>
        </w:rPr>
        <w:t xml:space="preserve">6.2.4履约保证金不予退还的情形：无</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七、转包或分包</w:t>
      </w:r>
      <w:r/>
    </w:p>
    <w:p>
      <w:pPr>
        <w:pStyle w:val="822"/>
        <w:ind w:firstLine="420"/>
        <w:spacing w:line="360" w:lineRule="auto"/>
        <w:rPr>
          <w:rFonts w:ascii="Times New Roman" w:hAnsi="Times New Roman"/>
          <w:sz w:val="21"/>
        </w:rPr>
      </w:pPr>
      <w:r>
        <w:rPr>
          <w:rFonts w:hint="eastAsia" w:ascii="Times New Roman" w:hAnsi="Times New Roman"/>
          <w:sz w:val="21"/>
        </w:rPr>
        <w:t xml:space="preserve">7.1乙方不得将合同标的转包给他人履行。</w:t>
      </w:r>
      <w:r/>
    </w:p>
    <w:p>
      <w:pPr>
        <w:pStyle w:val="822"/>
        <w:ind w:firstLine="420"/>
        <w:spacing w:line="360" w:lineRule="auto"/>
        <w:rPr>
          <w:rFonts w:ascii="Times New Roman" w:hAnsi="Times New Roman"/>
          <w:sz w:val="21"/>
        </w:rPr>
      </w:pPr>
      <w:r>
        <w:rPr>
          <w:rFonts w:hint="eastAsia" w:ascii="Times New Roman" w:hAnsi="Times New Roman"/>
          <w:sz w:val="21"/>
        </w:rPr>
        <w:t xml:space="preserve">7.2乙方不得将合同标的分包给他人履行。</w:t>
      </w:r>
      <w:r/>
    </w:p>
    <w:p>
      <w:pPr>
        <w:pStyle w:val="822"/>
        <w:ind w:firstLine="420"/>
        <w:spacing w:line="360" w:lineRule="auto"/>
        <w:rPr>
          <w:rFonts w:ascii="Times New Roman" w:hAnsi="Times New Roman"/>
          <w:sz w:val="21"/>
        </w:rPr>
      </w:pPr>
      <w:r>
        <w:rPr>
          <w:rFonts w:hint="eastAsia" w:ascii="Times New Roman" w:hAnsi="Times New Roman"/>
          <w:sz w:val="21"/>
        </w:rPr>
        <w:t xml:space="preserve">7.3乙方如有转包或未经甲方同意的分包行为，甲方有权解除合同。</w:t>
      </w:r>
      <w:r/>
    </w:p>
    <w:p>
      <w:pPr>
        <w:pStyle w:val="822"/>
        <w:ind w:firstLine="422"/>
        <w:spacing w:line="360" w:lineRule="auto"/>
        <w:rPr>
          <w:rFonts w:ascii="Times New Roman" w:hAnsi="Times New Roman"/>
          <w:b/>
          <w:bCs/>
          <w:sz w:val="21"/>
        </w:rPr>
      </w:pPr>
      <w:r>
        <w:rPr>
          <w:rFonts w:hint="eastAsia" w:ascii="Times New Roman" w:hAnsi="Times New Roman"/>
          <w:b/>
          <w:bCs/>
          <w:sz w:val="21"/>
        </w:rPr>
        <w:t xml:space="preserve">八、合同款项支付</w:t>
      </w:r>
      <w:r/>
    </w:p>
    <w:p>
      <w:pPr>
        <w:pStyle w:val="822"/>
        <w:ind w:firstLine="420"/>
        <w:spacing w:line="360" w:lineRule="auto"/>
        <w:rPr>
          <w:rFonts w:ascii="Times New Roman" w:hAnsi="Times New Roman"/>
          <w:sz w:val="21"/>
        </w:rPr>
      </w:pPr>
      <w:r>
        <w:rPr>
          <w:rFonts w:hint="eastAsia" w:ascii="Times New Roman" w:hAnsi="Times New Roman"/>
          <w:sz w:val="21"/>
        </w:rPr>
        <w:t xml:space="preserve">8.1 合同款项的支付方式及进度安排</w:t>
      </w:r>
      <w:r/>
    </w:p>
    <w:p>
      <w:pPr>
        <w:ind w:firstLine="420"/>
        <w:spacing w:line="360" w:lineRule="auto"/>
        <w:rPr>
          <w:rFonts w:ascii="Times New Roman" w:hAnsi="Times New Roman" w:cs="宋体"/>
          <w:b/>
          <w:szCs w:val="21"/>
        </w:rPr>
      </w:pPr>
      <w:r>
        <w:rPr>
          <w:rFonts w:hint="eastAsia" w:ascii="宋体" w:hAnsi="宋体"/>
          <w:szCs w:val="21"/>
        </w:rPr>
        <w:t xml:space="preserve">合同签订后，乙方向甲方出具正式发票，甲方自收到发票之日起10个工作日内一次性支付保险费的100</w:t>
      </w:r>
      <w:r>
        <w:rPr>
          <w:rFonts w:hint="eastAsia"/>
        </w:rPr>
        <w:t xml:space="preserve">%。（如因资金拨付原因导致甲方未能按期付费，则上述付费时间增加两个月宽限期）</w:t>
      </w:r>
      <w:r/>
    </w:p>
    <w:p>
      <w:pPr>
        <w:ind w:firstLine="422"/>
        <w:spacing w:line="360" w:lineRule="auto"/>
        <w:rPr>
          <w:rFonts w:ascii="Times New Roman" w:hAnsi="Times New Roman" w:cs="宋体"/>
          <w:b/>
          <w:szCs w:val="21"/>
        </w:rPr>
      </w:pPr>
      <w:r>
        <w:rPr>
          <w:rFonts w:hint="eastAsia" w:ascii="Times New Roman" w:hAnsi="Times New Roman" w:cs="宋体"/>
          <w:b/>
          <w:szCs w:val="21"/>
        </w:rPr>
        <w:t xml:space="preserve">九、税费</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9.1本合同执行中相关的一切税费均由乙方负担。</w:t>
      </w:r>
      <w:r/>
    </w:p>
    <w:p>
      <w:pPr>
        <w:pStyle w:val="1107"/>
        <w:numPr>
          <w:ilvl w:val="0"/>
          <w:numId w:val="3"/>
        </w:numPr>
        <w:ind w:firstLine="422"/>
        <w:spacing w:line="360" w:lineRule="auto"/>
        <w:rPr>
          <w:rFonts w:ascii="Times New Roman" w:hAnsi="Times New Roman" w:cs="宋体"/>
          <w:b/>
          <w:sz w:val="21"/>
        </w:rPr>
      </w:pPr>
      <w:r>
        <w:rPr>
          <w:rFonts w:hint="eastAsia" w:ascii="Times New Roman" w:hAnsi="Times New Roman" w:cs="宋体"/>
          <w:b/>
          <w:sz w:val="21"/>
        </w:rPr>
        <w:t xml:space="preserve">项目验收</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10.1 甲方依法组织履约验收工作。</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10.3 对于实际使用人和甲方分离的项目，甲方邀请实际使用人参与验收。</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10.4 如有必要，甲方邀请参加本项目的其他供应商或第三方专业机构及专家参与验收，相关意见将作为验收书的参考资料。</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07"/>
        <w:ind w:firstLine="422"/>
        <w:spacing w:line="360" w:lineRule="auto"/>
        <w:rPr>
          <w:rFonts w:ascii="Times New Roman" w:hAnsi="Times New Roman" w:cs="宋体"/>
          <w:sz w:val="21"/>
        </w:rPr>
      </w:pPr>
      <w:r>
        <w:rPr>
          <w:rFonts w:hint="eastAsia" w:ascii="Times New Roman" w:hAnsi="Times New Roman" w:cs="宋体"/>
          <w:b/>
          <w:sz w:val="21"/>
        </w:rPr>
        <w:t xml:space="preserve">十一、违约责任</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11.1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sz w:val="21"/>
          <w:u w:val="single"/>
        </w:rPr>
        <w:t xml:space="preserve">     </w:t>
      </w:r>
      <w:r>
        <w:rPr>
          <w:rFonts w:hint="eastAsia" w:ascii="Times New Roman" w:hAnsi="Times New Roman" w:cs="宋体"/>
          <w:sz w:val="21"/>
        </w:rPr>
        <w:t xml:space="preserve">的违约金，如造成甲方损失超过违约金的，超出部分由乙方继续承担赔偿责任。 </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11.2 乙方所提供服务的标准不符合合同规定及招标文件规定标准的，甲方有权拒绝接受服务，并可单方面解除合同。</w:t>
      </w:r>
      <w:r/>
    </w:p>
    <w:p>
      <w:pPr>
        <w:pStyle w:val="1107"/>
        <w:ind w:firstLine="422"/>
        <w:spacing w:line="360" w:lineRule="auto"/>
        <w:rPr>
          <w:rFonts w:ascii="Times New Roman" w:hAnsi="Times New Roman" w:cs="宋体"/>
          <w:b/>
          <w:sz w:val="21"/>
        </w:rPr>
      </w:pPr>
      <w:r>
        <w:rPr>
          <w:rFonts w:hint="eastAsia" w:ascii="Times New Roman" w:hAnsi="Times New Roman" w:cs="宋体"/>
          <w:b/>
          <w:sz w:val="21"/>
        </w:rPr>
        <w:t xml:space="preserve">十二、不可抗力事件处理</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12.1 在合同有效期内，任何一方因不可抗力事件导致不能履行合同，则合同履行期可延长，其延长期与不可抗力影响 期相同。</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12.2 不可抗力事件发生后，应立即通知对方，并寄送有关权威机构出具的证明。</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12.3 不可抗力事件延续120天以上，双方应通过友好协商，确定是否继续履行合同。</w:t>
      </w:r>
      <w:r/>
    </w:p>
    <w:p>
      <w:pPr>
        <w:pStyle w:val="1107"/>
        <w:ind w:firstLine="422"/>
        <w:spacing w:line="360" w:lineRule="auto"/>
        <w:rPr>
          <w:rFonts w:ascii="Times New Roman" w:hAnsi="Times New Roman" w:cs="宋体"/>
          <w:b/>
          <w:sz w:val="21"/>
        </w:rPr>
      </w:pPr>
      <w:r>
        <w:rPr>
          <w:rFonts w:hint="eastAsia" w:ascii="Times New Roman" w:hAnsi="Times New Roman" w:cs="宋体"/>
          <w:b/>
          <w:sz w:val="21"/>
        </w:rPr>
        <w:t xml:space="preserve">十三、解决争议的方法</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13.1双方在签订、履行合同中所发生的一切争议，应通过友好协商解决。如协商不成，由甲方住所地人民法院管辖。</w:t>
      </w:r>
      <w:r/>
    </w:p>
    <w:p>
      <w:pPr>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十四、为落实好政府采购履约资金扶持政策，乙方可凭政府采购合同办理融资贷款，详见江苏政府采购网“政采贷”专栏。</w:t>
      </w:r>
      <w:r/>
    </w:p>
    <w:p>
      <w:pPr>
        <w:pStyle w:val="822"/>
        <w:ind w:firstLine="422"/>
        <w:spacing w:line="360" w:lineRule="auto"/>
        <w:rPr>
          <w:rFonts w:ascii="Times New Roman" w:hAnsi="Times New Roman" w:cs="宋体"/>
          <w:b/>
          <w:bCs/>
          <w:sz w:val="21"/>
        </w:rPr>
      </w:pPr>
      <w:r>
        <w:rPr>
          <w:rFonts w:hint="eastAsia" w:ascii="Times New Roman" w:hAnsi="Times New Roman" w:cs="宋体"/>
          <w:b/>
          <w:bCs/>
          <w:sz w:val="21"/>
        </w:rPr>
        <w:t xml:space="preserve">十五、合同生效及其它</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15.1 合同经双方法定代表人或授权委托代表人签字并加盖单位公章后生效。</w:t>
      </w:r>
      <w:r/>
    </w:p>
    <w:p>
      <w:pPr>
        <w:pStyle w:val="1107"/>
        <w:ind w:firstLine="420"/>
        <w:spacing w:line="360" w:lineRule="auto"/>
        <w:rPr>
          <w:rFonts w:ascii="Times New Roman" w:hAnsi="Times New Roman" w:cs="宋体"/>
          <w:sz w:val="21"/>
        </w:rPr>
      </w:pPr>
      <w:r>
        <w:rPr>
          <w:rFonts w:hint="eastAsia" w:ascii="Times New Roman" w:hAnsi="Times New Roman" w:cs="宋体"/>
          <w:sz w:val="21"/>
        </w:rPr>
        <w:t xml:space="preserve">15.2本合同未尽事宜，遵照《中华人民共和国民法典》、《中华人民共和国政府采购法》有关条文执行。</w:t>
      </w:r>
      <w:r/>
    </w:p>
    <w:p>
      <w:pPr>
        <w:pStyle w:val="1107"/>
        <w:ind w:firstLine="420"/>
        <w:spacing w:line="360" w:lineRule="auto"/>
        <w:rPr>
          <w:rFonts w:ascii="Times New Roman" w:hAnsi="Times New Roman"/>
          <w:sz w:val="21"/>
        </w:rPr>
      </w:pPr>
      <w:r>
        <w:rPr>
          <w:rFonts w:hint="eastAsia" w:ascii="Times New Roman" w:hAnsi="Times New Roman" w:cs="宋体"/>
          <w:sz w:val="21"/>
        </w:rPr>
        <w:t xml:space="preserve">15.3 本合同正本一式肆份，具有同等法律效力，甲方、乙方各执贰份。</w:t>
      </w:r>
      <w:r>
        <w:rPr>
          <w:rFonts w:hint="eastAsia" w:ascii="Times New Roman" w:hAnsi="Times New Roman"/>
          <w:sz w:val="21"/>
        </w:rPr>
        <w:t xml:space="preserve"> </w:t>
      </w:r>
      <w:r/>
    </w:p>
    <w:tbl>
      <w:tblPr>
        <w:tblStyle w:val="812"/>
        <w:tblpPr w:horzAnchor="page" w:tblpX="2000" w:vertAnchor="text" w:tblpY="53" w:leftFromText="180" w:topFromText="0" w:rightFromText="180" w:bottomFromText="0"/>
        <w:tblW w:w="8094" w:type="dxa"/>
        <w:tblInd w:w="0"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甲方：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乙方： </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地址： </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联系电话：</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日期：      年    月    日</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
          </w:p>
        </w:tc>
      </w:tr>
    </w:tbl>
    <w:p>
      <w:pPr>
        <w:pStyle w:val="1098"/>
        <w:numPr>
          <w:ilvl w:val="0"/>
          <w:numId w:val="4"/>
        </w:numPr>
        <w:ind w:firstLine="0"/>
        <w:jc w:val="center"/>
        <w:spacing w:line="360" w:lineRule="auto"/>
        <w:rPr>
          <w:rFonts w:ascii="宋体" w:hAnsi="宋体" w:cs="宋体"/>
          <w:b/>
          <w:bCs/>
          <w:sz w:val="44"/>
          <w:szCs w:val="44"/>
        </w:rPr>
      </w:pPr>
      <w:r>
        <w:rPr>
          <w:rFonts w:hint="eastAsia" w:ascii="宋体" w:hAnsi="宋体"/>
          <w:sz w:val="32"/>
          <w:szCs w:val="32"/>
        </w:rPr>
        <w:br w:type="page" w:clear="all"/>
      </w:r>
      <w:r>
        <w:rPr>
          <w:rFonts w:hint="eastAsia" w:ascii="宋体" w:hAnsi="宋体" w:cs="宋体"/>
          <w:b/>
          <w:bCs/>
          <w:sz w:val="44"/>
          <w:szCs w:val="44"/>
        </w:rPr>
        <w:t xml:space="preserve">项目需求</w:t>
      </w:r>
      <w:r/>
    </w:p>
    <w:p>
      <w:pPr>
        <w:ind w:firstLine="422"/>
        <w:spacing w:line="360" w:lineRule="auto"/>
        <w:rPr>
          <w:rFonts w:ascii="宋体" w:hAnsi="宋体" w:cs="宋体"/>
          <w:b/>
          <w:bCs/>
          <w:sz w:val="44"/>
          <w:szCs w:val="44"/>
        </w:rPr>
      </w:pPr>
      <w:r>
        <w:rPr>
          <w:rFonts w:hint="eastAsia" w:ascii="宋体" w:hAnsi="宋体"/>
          <w:b/>
          <w:bCs/>
          <w:szCs w:val="21"/>
        </w:rPr>
        <w:t xml:space="preserve">注：本章内容里斜体且有下划线部分为实质性要求和条件，投标文件不满足的，视为无效投标处理。请各投标人制作电子投标文件时，将实质性响应的内容在政府采购交易系统“符合证明文件格式”中准确填写或上传。</w:t>
      </w:r>
      <w:r/>
    </w:p>
    <w:p>
      <w:pPr>
        <w:ind w:firstLine="422"/>
        <w:spacing w:line="360" w:lineRule="auto"/>
        <w:rPr>
          <w:rFonts w:ascii="宋体" w:hAnsi="宋体" w:cs="宋体"/>
          <w:b/>
          <w:bCs/>
          <w:szCs w:val="21"/>
        </w:rPr>
      </w:pPr>
      <w:r>
        <w:rPr>
          <w:rFonts w:hint="eastAsia" w:ascii="宋体" w:hAnsi="宋体" w:cs="宋体"/>
          <w:b/>
          <w:bCs/>
          <w:szCs w:val="21"/>
        </w:rPr>
        <w:t xml:space="preserve">一、项目简介</w:t>
      </w:r>
      <w:r/>
    </w:p>
    <w:p>
      <w:pPr>
        <w:ind w:firstLine="420"/>
        <w:spacing w:line="360" w:lineRule="auto"/>
        <w:rPr>
          <w:rFonts w:ascii="宋体" w:hAnsi="宋体" w:cs="宋体"/>
          <w:shd w:val="clear" w:color="auto" w:fill="ffffff"/>
        </w:rPr>
      </w:pPr>
      <w:r>
        <w:rPr>
          <w:rFonts w:hint="eastAsia" w:ascii="宋体" w:hAnsi="宋体" w:cs="宋体"/>
          <w:szCs w:val="21"/>
        </w:rPr>
        <w:t xml:space="preserve">江平东路东延工程非涉铁西段（一期）</w:t>
      </w:r>
      <w:r>
        <w:rPr>
          <w:rFonts w:hint="eastAsia" w:ascii="宋体" w:hAnsi="宋体" w:cs="宋体"/>
          <w:shd w:val="clear" w:color="auto" w:fill="ffffff"/>
        </w:rPr>
        <w:t xml:space="preserve">起于江运互通主线预留跳台，向东上跨京杭运河、新河、凤凰河后落地，终于凤凰河东岸接江平东路东延工程涉铁段。</w:t>
      </w:r>
      <w:r/>
    </w:p>
    <w:p>
      <w:pPr>
        <w:ind w:firstLine="420"/>
        <w:spacing w:line="360" w:lineRule="auto"/>
        <w:rPr>
          <w:rFonts w:ascii="宋体" w:hAnsi="宋体" w:cs="宋体"/>
          <w:szCs w:val="21"/>
        </w:rPr>
      </w:pPr>
      <w:r>
        <w:rPr>
          <w:rFonts w:hint="eastAsia" w:ascii="宋体" w:hAnsi="宋体" w:cs="宋体"/>
          <w:szCs w:val="21"/>
        </w:rPr>
        <w:t xml:space="preserve">本次采购内容为江平东路东延工程非涉铁西段（一期）一切险（含物质损失及第三者责任保障）。</w:t>
      </w:r>
      <w:r/>
    </w:p>
    <w:p>
      <w:pPr>
        <w:ind w:firstLine="422"/>
        <w:spacing w:line="360" w:lineRule="auto"/>
        <w:tabs>
          <w:tab w:val="left" w:pos="3041" w:leader="none"/>
        </w:tabs>
        <w:rPr>
          <w:rFonts w:ascii="宋体" w:hAnsi="宋体" w:cs="宋体"/>
          <w:b/>
          <w:bCs/>
          <w:szCs w:val="21"/>
        </w:rPr>
      </w:pPr>
      <w:r>
        <w:rPr>
          <w:rFonts w:hint="eastAsia" w:ascii="宋体" w:hAnsi="宋体" w:cs="宋体"/>
          <w:b/>
          <w:bCs/>
          <w:szCs w:val="21"/>
        </w:rPr>
        <w:t xml:space="preserve">二、有关要求</w:t>
      </w:r>
      <w:r>
        <w:rPr>
          <w:rFonts w:hint="eastAsia" w:ascii="宋体" w:hAnsi="宋体" w:cs="宋体"/>
          <w:b/>
          <w:bCs/>
          <w:szCs w:val="21"/>
        </w:rPr>
        <w:tab/>
      </w:r>
      <w:r/>
    </w:p>
    <w:p>
      <w:pPr>
        <w:ind w:firstLine="422"/>
        <w:spacing w:line="360" w:lineRule="auto"/>
        <w:rPr>
          <w:rFonts w:ascii="宋体" w:hAnsi="宋体" w:cs="宋体"/>
          <w:b/>
          <w:bCs/>
          <w:szCs w:val="21"/>
        </w:rPr>
      </w:pPr>
      <w:r>
        <w:rPr>
          <w:rFonts w:hint="eastAsia" w:ascii="宋体" w:hAnsi="宋体" w:cs="宋体"/>
          <w:b/>
          <w:bCs/>
          <w:szCs w:val="21"/>
        </w:rPr>
        <w:t xml:space="preserve">1、标的及保额要求</w:t>
      </w:r>
      <w:r/>
    </w:p>
    <w:p>
      <w:pPr>
        <w:ind w:firstLine="420"/>
        <w:spacing w:line="360" w:lineRule="auto"/>
        <w:rPr>
          <w:rFonts w:ascii="宋体" w:hAnsi="宋体" w:cs="宋体"/>
          <w:szCs w:val="21"/>
        </w:rPr>
      </w:pPr>
      <w:r>
        <w:rPr>
          <w:rFonts w:hint="eastAsia" w:ascii="宋体" w:hAnsi="宋体" w:cs="宋体"/>
          <w:szCs w:val="21"/>
        </w:rPr>
        <w:t xml:space="preserve">（1）保险标的</w:t>
      </w:r>
      <w:r/>
    </w:p>
    <w:p>
      <w:pPr>
        <w:ind w:firstLine="420"/>
        <w:spacing w:line="360" w:lineRule="auto"/>
        <w:rPr>
          <w:rFonts w:ascii="宋体" w:hAnsi="宋体" w:cs="宋体"/>
          <w:szCs w:val="21"/>
        </w:rPr>
      </w:pPr>
      <w:r>
        <w:rPr>
          <w:rFonts w:hint="eastAsia" w:ascii="宋体" w:hAnsi="宋体" w:cs="宋体"/>
          <w:szCs w:val="21"/>
        </w:rPr>
        <w:t xml:space="preserve">江平东路东延工程非涉铁西段（一期）项目</w:t>
      </w:r>
      <w:r>
        <w:rPr>
          <w:rFonts w:hint="eastAsia" w:ascii="宋体" w:hAnsi="宋体" w:cs="宋体"/>
          <w:shd w:val="clear" w:color="auto" w:fill="ffffff"/>
        </w:rPr>
        <w:t xml:space="preserve">起于江运互通主线预留跳台，向东上跨京杭运河、新河、凤凰河后落地，终于凤凰河东岸接江平东路东延工程涉铁段</w:t>
      </w:r>
      <w:r>
        <w:rPr>
          <w:rFonts w:hint="eastAsia" w:ascii="宋体" w:hAnsi="宋体" w:cs="宋体"/>
          <w:szCs w:val="21"/>
        </w:rPr>
        <w:t xml:space="preserve">施工图纸及工程量清单范围内道路工程、桥涵工程、排水工程、照明工程、亮化工程、交通工程、景观工程、监控工程、海绵城市及消除和减轻影响河道防洪措施工程等内容施工</w:t>
      </w:r>
      <w:r>
        <w:rPr>
          <w:rFonts w:hint="eastAsia"/>
          <w:szCs w:val="21"/>
        </w:rPr>
        <w:t xml:space="preserve">的建筑工程一切险（含物质损失及第三者责任保障）</w:t>
      </w:r>
      <w:r>
        <w:rPr>
          <w:rFonts w:hint="eastAsia" w:ascii="宋体" w:hAnsi="宋体" w:cs="宋体"/>
          <w:szCs w:val="21"/>
        </w:rPr>
        <w:t xml:space="preserve">，项目具体投保范围见承保合同。</w:t>
      </w:r>
      <w:r/>
    </w:p>
    <w:p>
      <w:pPr>
        <w:pStyle w:val="839"/>
        <w:spacing w:line="360" w:lineRule="auto"/>
        <w:rPr>
          <w:rFonts w:ascii="宋体" w:hAnsi="宋体" w:cs="宋体"/>
          <w:sz w:val="21"/>
          <w:szCs w:val="21"/>
        </w:rPr>
      </w:pPr>
      <w:r>
        <w:rPr>
          <w:rFonts w:hint="eastAsia" w:ascii="宋体" w:hAnsi="宋体" w:cs="宋体"/>
          <w:sz w:val="21"/>
          <w:szCs w:val="21"/>
        </w:rPr>
        <w:t xml:space="preserve">（2）保险金额/赔偿限额</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 物质损失</w:t>
      </w:r>
      <w:r/>
    </w:p>
    <w:p>
      <w:pPr>
        <w:ind w:firstLine="420"/>
        <w:spacing w:line="360" w:lineRule="auto"/>
        <w:rPr>
          <w:rFonts w:ascii="宋体" w:hAnsi="宋体" w:cs="宋体"/>
          <w:szCs w:val="21"/>
        </w:rPr>
      </w:pPr>
      <w:r>
        <w:rPr>
          <w:rFonts w:hint="eastAsia" w:ascii="宋体" w:hAnsi="宋体" w:cs="宋体"/>
          <w:szCs w:val="21"/>
        </w:rPr>
        <w:t xml:space="preserve">保险金额：103119.910803万元</w:t>
      </w:r>
      <w:r/>
    </w:p>
    <w:tbl>
      <w:tblPr>
        <w:tblStyle w:val="812"/>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3827"/>
        <w:gridCol w:w="3686"/>
      </w:tblGrid>
      <w:tr>
        <w:trPr>
          <w:jc w:val="center"/>
        </w:trPr>
        <w:tc>
          <w:tcPr>
            <w:tcW w:w="1117" w:type="dxa"/>
            <w:vAlign w:val="center"/>
            <w:textDirection w:val="lrTb"/>
            <w:noWrap w:val="false"/>
          </w:tcPr>
          <w:p>
            <w:pPr>
              <w:pStyle w:val="839"/>
              <w:ind w:firstLine="0"/>
              <w:jc w:val="center"/>
              <w:spacing w:line="360" w:lineRule="auto"/>
              <w:widowControl/>
              <w:rPr>
                <w:rFonts w:ascii="宋体" w:hAnsi="宋体" w:cs="宋体"/>
                <w:b/>
                <w:bCs/>
                <w:sz w:val="21"/>
                <w:szCs w:val="21"/>
              </w:rPr>
            </w:pPr>
            <w:r>
              <w:rPr>
                <w:rFonts w:hint="eastAsia" w:ascii="宋体" w:hAnsi="宋体" w:cs="宋体"/>
                <w:b/>
                <w:bCs/>
                <w:sz w:val="21"/>
                <w:szCs w:val="21"/>
              </w:rPr>
              <w:t xml:space="preserve">序号</w:t>
            </w:r>
            <w:r/>
          </w:p>
        </w:tc>
        <w:tc>
          <w:tcPr>
            <w:tcW w:w="3827" w:type="dxa"/>
            <w:vAlign w:val="center"/>
            <w:textDirection w:val="lrTb"/>
            <w:noWrap w:val="false"/>
          </w:tcPr>
          <w:p>
            <w:pPr>
              <w:pStyle w:val="839"/>
              <w:ind w:firstLine="0"/>
              <w:jc w:val="center"/>
              <w:spacing w:line="360" w:lineRule="auto"/>
              <w:widowControl/>
              <w:rPr>
                <w:rFonts w:ascii="宋体" w:hAnsi="宋体" w:cs="宋体"/>
                <w:b/>
                <w:bCs/>
                <w:sz w:val="21"/>
                <w:szCs w:val="21"/>
              </w:rPr>
            </w:pPr>
            <w:r>
              <w:rPr>
                <w:rFonts w:hint="eastAsia" w:ascii="宋体" w:hAnsi="宋体" w:cs="宋体"/>
                <w:b/>
                <w:bCs/>
                <w:sz w:val="21"/>
                <w:szCs w:val="21"/>
              </w:rPr>
              <w:t xml:space="preserve">工程名称</w:t>
            </w:r>
            <w:r/>
          </w:p>
        </w:tc>
        <w:tc>
          <w:tcPr>
            <w:tcW w:w="3686" w:type="dxa"/>
            <w:vAlign w:val="center"/>
            <w:textDirection w:val="lrTb"/>
            <w:noWrap w:val="false"/>
          </w:tcPr>
          <w:p>
            <w:pPr>
              <w:pStyle w:val="839"/>
              <w:ind w:firstLine="0"/>
              <w:jc w:val="center"/>
              <w:spacing w:line="360" w:lineRule="auto"/>
              <w:widowControl/>
              <w:rPr>
                <w:rFonts w:ascii="宋体" w:hAnsi="宋体" w:cs="宋体"/>
                <w:b/>
                <w:bCs/>
                <w:sz w:val="21"/>
                <w:szCs w:val="21"/>
              </w:rPr>
            </w:pPr>
            <w:r>
              <w:rPr>
                <w:rFonts w:hint="eastAsia" w:ascii="宋体" w:hAnsi="宋体" w:cs="宋体"/>
                <w:b/>
                <w:bCs/>
                <w:sz w:val="21"/>
                <w:szCs w:val="21"/>
              </w:rPr>
              <w:t xml:space="preserve">施工合同承包价（万元）</w:t>
            </w:r>
            <w:r/>
          </w:p>
        </w:tc>
      </w:tr>
      <w:tr>
        <w:trPr>
          <w:jc w:val="center"/>
        </w:trPr>
        <w:tc>
          <w:tcPr>
            <w:tcW w:w="1117" w:type="dxa"/>
            <w:vAlign w:val="center"/>
            <w:textDirection w:val="lrTb"/>
            <w:noWrap w:val="false"/>
          </w:tcPr>
          <w:p>
            <w:pPr>
              <w:pStyle w:val="839"/>
              <w:ind w:firstLine="0"/>
              <w:jc w:val="center"/>
              <w:spacing w:line="360" w:lineRule="auto"/>
              <w:widowControl/>
              <w:rPr>
                <w:rFonts w:ascii="宋体" w:hAnsi="宋体" w:cs="宋体"/>
                <w:sz w:val="21"/>
                <w:szCs w:val="21"/>
              </w:rPr>
            </w:pPr>
            <w:r>
              <w:rPr>
                <w:rFonts w:hint="eastAsia" w:ascii="宋体" w:hAnsi="宋体" w:cs="宋体"/>
                <w:sz w:val="21"/>
                <w:szCs w:val="21"/>
              </w:rPr>
              <w:t xml:space="preserve">1</w:t>
            </w:r>
            <w:r/>
          </w:p>
        </w:tc>
        <w:tc>
          <w:tcPr>
            <w:tcW w:w="3827" w:type="dxa"/>
            <w:vAlign w:val="center"/>
            <w:textDirection w:val="lrTb"/>
            <w:noWrap w:val="false"/>
          </w:tcPr>
          <w:p>
            <w:pPr>
              <w:pStyle w:val="839"/>
              <w:ind w:firstLine="0"/>
              <w:jc w:val="center"/>
              <w:spacing w:line="360" w:lineRule="auto"/>
              <w:widowControl/>
              <w:rPr>
                <w:rFonts w:ascii="宋体" w:hAnsi="宋体" w:cs="宋体"/>
                <w:sz w:val="21"/>
                <w:szCs w:val="21"/>
              </w:rPr>
            </w:pPr>
            <w:r>
              <w:rPr>
                <w:rFonts w:hint="eastAsia" w:ascii="宋体" w:hAnsi="宋体" w:cs="宋体"/>
                <w:sz w:val="21"/>
                <w:szCs w:val="21"/>
              </w:rPr>
              <w:t xml:space="preserve">江平东路东延工程非涉铁西段（一期）</w:t>
            </w:r>
            <w:r/>
          </w:p>
        </w:tc>
        <w:tc>
          <w:tcPr>
            <w:tcW w:w="3686" w:type="dxa"/>
            <w:vAlign w:val="center"/>
            <w:textDirection w:val="lrTb"/>
            <w:noWrap w:val="false"/>
          </w:tcPr>
          <w:p>
            <w:pPr>
              <w:pStyle w:val="839"/>
              <w:ind w:firstLine="0"/>
              <w:jc w:val="center"/>
              <w:spacing w:line="360" w:lineRule="exact"/>
              <w:widowControl/>
              <w:rPr>
                <w:rFonts w:ascii="宋体" w:hAnsi="宋体" w:cs="宋体"/>
                <w:sz w:val="21"/>
                <w:szCs w:val="21"/>
              </w:rPr>
            </w:pPr>
            <w:r>
              <w:rPr>
                <w:rFonts w:ascii="宋体" w:hAnsi="宋体" w:cs="宋体"/>
                <w:sz w:val="21"/>
                <w:szCs w:val="21"/>
              </w:rPr>
              <w:t xml:space="preserve">103119.910803</w:t>
            </w:r>
            <w:r>
              <w:rPr>
                <w:rFonts w:hint="eastAsia" w:ascii="宋体" w:hAnsi="宋体" w:cs="宋体"/>
                <w:sz w:val="21"/>
                <w:szCs w:val="21"/>
              </w:rPr>
              <w:t xml:space="preserve">万元（已扣除暂列金10143.83万元）</w:t>
            </w:r>
            <w:r/>
          </w:p>
        </w:tc>
      </w:tr>
    </w:tbl>
    <w:p>
      <w:pPr>
        <w:numPr>
          <w:ilvl w:val="0"/>
          <w:numId w:val="5"/>
        </w:numPr>
        <w:ind w:firstLine="420"/>
        <w:spacing w:line="360" w:lineRule="auto"/>
        <w:rPr>
          <w:rFonts w:ascii="宋体" w:hAnsi="宋体" w:cs="宋体"/>
          <w:szCs w:val="21"/>
        </w:rPr>
      </w:pPr>
      <w:r>
        <w:rPr>
          <w:rFonts w:hint="eastAsia" w:ascii="宋体" w:hAnsi="宋体" w:cs="宋体"/>
          <w:szCs w:val="21"/>
        </w:rPr>
        <w:t xml:space="preserve">  第三者责任</w:t>
      </w:r>
      <w:r/>
    </w:p>
    <w:p>
      <w:pPr>
        <w:ind w:firstLine="420"/>
        <w:spacing w:line="360" w:lineRule="auto"/>
        <w:rPr>
          <w:rFonts w:ascii="宋体" w:hAnsi="宋体" w:cs="宋体"/>
          <w:szCs w:val="21"/>
        </w:rPr>
      </w:pPr>
      <w:r>
        <w:rPr>
          <w:rFonts w:hint="eastAsia" w:ascii="宋体" w:hAnsi="宋体" w:cs="宋体"/>
          <w:szCs w:val="21"/>
        </w:rPr>
        <w:t xml:space="preserve">第三者人身伤害每人每次事故赔偿限额       RMB500，000.00</w:t>
      </w:r>
      <w:r/>
    </w:p>
    <w:p>
      <w:pPr>
        <w:ind w:firstLine="420"/>
        <w:spacing w:line="360" w:lineRule="auto"/>
        <w:rPr>
          <w:rFonts w:ascii="宋体" w:hAnsi="宋体" w:cs="宋体"/>
          <w:szCs w:val="21"/>
        </w:rPr>
      </w:pPr>
      <w:r>
        <w:rPr>
          <w:rFonts w:hint="eastAsia" w:ascii="宋体" w:hAnsi="宋体" w:cs="宋体"/>
          <w:szCs w:val="21"/>
        </w:rPr>
        <w:t xml:space="preserve">第三者人身伤害每次事故赔偿限额           RMB5,000,000.00</w:t>
      </w:r>
      <w:r/>
    </w:p>
    <w:p>
      <w:pPr>
        <w:ind w:firstLine="420"/>
        <w:spacing w:line="360" w:lineRule="auto"/>
        <w:rPr>
          <w:rFonts w:ascii="宋体" w:hAnsi="宋体" w:cs="宋体"/>
          <w:szCs w:val="21"/>
        </w:rPr>
      </w:pPr>
      <w:r>
        <w:rPr>
          <w:rFonts w:hint="eastAsia" w:ascii="宋体" w:hAnsi="宋体" w:cs="宋体"/>
          <w:szCs w:val="21"/>
        </w:rPr>
        <w:t xml:space="preserve">第三者人身伤害累计赔偿限额               RMB10,000,000.00</w:t>
      </w:r>
      <w:r/>
    </w:p>
    <w:p>
      <w:pPr>
        <w:ind w:firstLine="420"/>
        <w:spacing w:line="360" w:lineRule="auto"/>
        <w:rPr>
          <w:rFonts w:ascii="宋体" w:hAnsi="宋体" w:cs="宋体"/>
          <w:szCs w:val="21"/>
        </w:rPr>
      </w:pPr>
      <w:r>
        <w:rPr>
          <w:rFonts w:hint="eastAsia" w:ascii="宋体" w:hAnsi="宋体" w:cs="宋体"/>
          <w:szCs w:val="21"/>
        </w:rPr>
        <w:t xml:space="preserve">第三者责任每次事故赔偿限额               RMB5,000,000.00</w:t>
      </w:r>
      <w:r/>
    </w:p>
    <w:p>
      <w:pPr>
        <w:ind w:firstLine="420"/>
        <w:spacing w:line="360" w:lineRule="auto"/>
        <w:rPr>
          <w:rFonts w:ascii="宋体" w:hAnsi="宋体" w:cs="宋体"/>
          <w:szCs w:val="21"/>
        </w:rPr>
      </w:pPr>
      <w:r>
        <w:rPr>
          <w:rFonts w:hint="eastAsia" w:ascii="宋体" w:hAnsi="宋体" w:cs="宋体"/>
          <w:szCs w:val="21"/>
        </w:rPr>
        <w:t xml:space="preserve">第三者责任总赔偿限额                     RMB10,000,000.00</w:t>
      </w:r>
      <w:r/>
    </w:p>
    <w:p>
      <w:pPr>
        <w:ind w:firstLine="420"/>
        <w:spacing w:line="360" w:lineRule="auto"/>
        <w:rPr>
          <w:rFonts w:ascii="宋体" w:hAnsi="宋体" w:cs="宋体"/>
          <w:szCs w:val="21"/>
        </w:rPr>
      </w:pPr>
      <w:r>
        <w:rPr>
          <w:rFonts w:hint="eastAsia" w:ascii="宋体" w:hAnsi="宋体" w:cs="宋体"/>
          <w:szCs w:val="21"/>
        </w:rPr>
        <w:t xml:space="preserve">（3）特种风险赔偿限额</w:t>
      </w:r>
      <w:r/>
    </w:p>
    <w:p>
      <w:pPr>
        <w:ind w:firstLine="420"/>
        <w:spacing w:line="360" w:lineRule="auto"/>
        <w:rPr>
          <w:rFonts w:ascii="宋体" w:hAnsi="宋体" w:cs="宋体"/>
          <w:szCs w:val="21"/>
        </w:rPr>
      </w:pPr>
      <w:r>
        <w:rPr>
          <w:rFonts w:hint="eastAsia" w:ascii="宋体" w:hAnsi="宋体" w:cs="宋体"/>
          <w:szCs w:val="21"/>
        </w:rPr>
        <w:t xml:space="preserve">地震：第一部分总保险额金额的80.00%；</w:t>
      </w:r>
      <w:r/>
    </w:p>
    <w:p>
      <w:pPr>
        <w:ind w:firstLine="420"/>
        <w:spacing w:line="360" w:lineRule="auto"/>
        <w:rPr>
          <w:rFonts w:ascii="宋体" w:hAnsi="宋体" w:cs="宋体"/>
          <w:szCs w:val="21"/>
        </w:rPr>
      </w:pPr>
      <w:r>
        <w:rPr>
          <w:rFonts w:hint="eastAsia" w:ascii="宋体" w:hAnsi="宋体" w:cs="宋体"/>
          <w:szCs w:val="21"/>
        </w:rPr>
        <w:t xml:space="preserve">洪水、暴雨、风暴、台风：第一部分总保险金额的80.00%</w:t>
      </w:r>
      <w:r/>
    </w:p>
    <w:p>
      <w:pPr>
        <w:ind w:firstLine="420"/>
        <w:spacing w:line="360" w:lineRule="auto"/>
        <w:rPr>
          <w:rFonts w:ascii="宋体" w:hAnsi="宋体" w:cs="宋体"/>
          <w:szCs w:val="21"/>
        </w:rPr>
      </w:pPr>
      <w:r>
        <w:rPr>
          <w:rFonts w:hint="eastAsia" w:ascii="宋体" w:hAnsi="宋体" w:cs="宋体"/>
          <w:szCs w:val="21"/>
        </w:rPr>
        <w:t xml:space="preserve">（4）每次事故免赔额</w:t>
      </w:r>
      <w:r/>
    </w:p>
    <w:p>
      <w:pPr>
        <w:ind w:firstLine="420"/>
        <w:spacing w:line="360" w:lineRule="auto"/>
        <w:rPr>
          <w:rFonts w:ascii="宋体" w:hAnsi="宋体" w:cs="宋体"/>
          <w:szCs w:val="21"/>
        </w:rPr>
      </w:pPr>
      <w:r>
        <w:rPr>
          <w:rFonts w:hint="eastAsia" w:ascii="宋体" w:hAnsi="宋体" w:cs="宋体"/>
          <w:szCs w:val="21"/>
        </w:rPr>
        <w:t xml:space="preserve">适用于第一部分项下的财产损失：</w:t>
      </w:r>
      <w:r/>
    </w:p>
    <w:p>
      <w:pPr>
        <w:ind w:firstLine="420"/>
        <w:spacing w:line="360" w:lineRule="auto"/>
        <w:rPr>
          <w:rFonts w:ascii="宋体" w:hAnsi="宋体" w:cs="宋体"/>
          <w:szCs w:val="21"/>
        </w:rPr>
      </w:pPr>
      <w:r>
        <w:rPr>
          <w:rFonts w:hint="eastAsia" w:ascii="宋体" w:hAnsi="宋体" w:cs="宋体"/>
          <w:szCs w:val="21"/>
        </w:rPr>
        <w:t xml:space="preserve">第一部分财产损失：地震：每次事故绝对免赔额为RMB300,000.00。</w:t>
      </w:r>
      <w:r/>
    </w:p>
    <w:p>
      <w:pPr>
        <w:ind w:firstLine="420"/>
        <w:spacing w:line="360" w:lineRule="auto"/>
        <w:rPr>
          <w:rFonts w:ascii="宋体" w:hAnsi="宋体" w:cs="宋体"/>
          <w:szCs w:val="21"/>
        </w:rPr>
      </w:pPr>
      <w:r>
        <w:rPr>
          <w:rFonts w:hint="eastAsia" w:ascii="宋体" w:hAnsi="宋体" w:cs="宋体"/>
          <w:szCs w:val="21"/>
        </w:rPr>
        <w:t xml:space="preserve">第一部分财产损失：洪水、暴雨、风暴、台风：每次事故绝对免赔额为RMB100,000.00。</w:t>
      </w:r>
      <w:r/>
    </w:p>
    <w:p>
      <w:pPr>
        <w:ind w:firstLine="420"/>
        <w:spacing w:line="360" w:lineRule="auto"/>
        <w:rPr>
          <w:rFonts w:ascii="宋体" w:hAnsi="宋体" w:cs="宋体"/>
          <w:szCs w:val="21"/>
        </w:rPr>
      </w:pPr>
      <w:r>
        <w:rPr>
          <w:rFonts w:hint="eastAsia" w:ascii="宋体" w:hAnsi="宋体" w:cs="宋体"/>
          <w:szCs w:val="21"/>
        </w:rPr>
        <w:t xml:space="preserve">第一部分财产损失：其他：每次事故绝对免赔额为RMB10,000.00。</w:t>
      </w:r>
      <w:r/>
    </w:p>
    <w:p>
      <w:pPr>
        <w:ind w:firstLine="420"/>
        <w:spacing w:line="360" w:lineRule="auto"/>
        <w:rPr>
          <w:rFonts w:ascii="宋体" w:hAnsi="宋体" w:cs="宋体"/>
          <w:b/>
          <w:bCs/>
          <w:szCs w:val="21"/>
        </w:rPr>
      </w:pPr>
      <w:r>
        <w:rPr>
          <w:rFonts w:hint="eastAsia" w:ascii="宋体" w:hAnsi="宋体" w:cs="宋体"/>
          <w:szCs w:val="21"/>
        </w:rPr>
        <w:t xml:space="preserve">第二部分第三者责任：财产损失：每次事故绝对免赔额为RMB5,000.00。</w:t>
      </w:r>
      <w:r/>
    </w:p>
    <w:p>
      <w:pPr>
        <w:ind w:firstLine="422"/>
        <w:spacing w:line="360" w:lineRule="auto"/>
        <w:rPr>
          <w:rFonts w:ascii="宋体" w:hAnsi="宋体" w:cs="宋体"/>
          <w:b/>
          <w:bCs/>
          <w:szCs w:val="21"/>
        </w:rPr>
      </w:pPr>
      <w:r>
        <w:rPr>
          <w:rFonts w:hint="eastAsia" w:ascii="宋体" w:hAnsi="宋体" w:cs="宋体"/>
          <w:b/>
          <w:bCs/>
          <w:szCs w:val="21"/>
        </w:rPr>
        <w:t xml:space="preserve">2、保险方案要求</w:t>
      </w:r>
      <w:r/>
    </w:p>
    <w:p>
      <w:pPr>
        <w:ind w:firstLine="420"/>
        <w:jc w:val="center"/>
        <w:spacing w:line="360" w:lineRule="auto"/>
        <w:rPr>
          <w:rFonts w:ascii="宋体" w:hAnsi="宋体" w:cs="宋体"/>
          <w:szCs w:val="21"/>
        </w:rPr>
      </w:pPr>
      <w:r>
        <w:rPr>
          <w:rFonts w:hint="eastAsia" w:ascii="宋体" w:hAnsi="宋体" w:cs="宋体"/>
          <w:szCs w:val="21"/>
        </w:rPr>
        <w:t xml:space="preserve">江平东路东延工程非涉铁西段（一期）一切险保险方案     单位：人民币</w:t>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7184"/>
      </w:tblGrid>
      <w:tr>
        <w:trPr>
          <w:jc w:val="center"/>
          <w:trHeight w:val="38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险种</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建筑工程一切险（含物质损失及第三者责任保障）</w:t>
            </w:r>
            <w:r/>
          </w:p>
        </w:tc>
      </w:tr>
      <w:tr>
        <w:trPr>
          <w:jc w:val="center"/>
          <w:trHeight w:val="38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被保险人名称、地址</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扬州市市政建设处</w:t>
            </w:r>
            <w:r/>
          </w:p>
        </w:tc>
      </w:tr>
      <w:tr>
        <w:trPr>
          <w:jc w:val="center"/>
          <w:trHeight w:val="38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投保期限</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spacing w:line="360" w:lineRule="auto"/>
              <w:widowControl/>
              <w:rPr>
                <w:rFonts w:ascii="宋体" w:hAnsi="宋体" w:cs="宋体"/>
                <w:szCs w:val="21"/>
              </w:rPr>
            </w:pPr>
            <w:r>
              <w:rPr>
                <w:rFonts w:hint="eastAsia" w:ascii="宋体" w:hAnsi="宋体"/>
                <w:szCs w:val="21"/>
              </w:rPr>
              <w:t xml:space="preserve">保险期限：自保单出具时间起至2028年10月10日（合同签订后10个日历天内中标人出具保单）。保证期1年（竣工验收合格起算）</w:t>
            </w:r>
            <w:r>
              <w:rPr>
                <w:rFonts w:hint="eastAsia" w:ascii="宋体" w:hAnsi="宋体" w:cs="宋体"/>
                <w:szCs w:val="21"/>
              </w:rPr>
              <w:t xml:space="preserve">。</w:t>
            </w:r>
            <w:r/>
          </w:p>
          <w:p>
            <w:pPr>
              <w:spacing w:line="360" w:lineRule="auto"/>
              <w:widowControl/>
              <w:rPr>
                <w:rFonts w:ascii="宋体" w:hAnsi="宋体" w:cs="宋体"/>
                <w:szCs w:val="21"/>
              </w:rPr>
            </w:pPr>
            <w:r>
              <w:rPr>
                <w:rFonts w:hint="eastAsia" w:ascii="宋体" w:hAnsi="宋体" w:cs="宋体"/>
                <w:szCs w:val="21"/>
              </w:rPr>
              <w:t xml:space="preserve">如果需要继续延期，甲乙双方将在《保险合同》的基础上按天加收保费。</w:t>
            </w:r>
            <w:r/>
          </w:p>
        </w:tc>
      </w:tr>
      <w:tr>
        <w:trPr>
          <w:jc w:val="center"/>
          <w:trHeight w:val="38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保险标的</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ind w:firstLine="420"/>
              <w:spacing w:line="360" w:lineRule="auto"/>
              <w:widowControl/>
              <w:rPr>
                <w:rFonts w:ascii="宋体" w:hAnsi="宋体" w:cs="宋体"/>
                <w:szCs w:val="21"/>
              </w:rPr>
            </w:pPr>
            <w:r>
              <w:rPr>
                <w:rFonts w:hint="eastAsia" w:ascii="宋体" w:hAnsi="宋体" w:cs="宋体"/>
                <w:szCs w:val="21"/>
              </w:rPr>
              <w:t xml:space="preserve">江平东路东延工程非涉铁西段（一期）项目</w:t>
            </w:r>
            <w:r>
              <w:rPr>
                <w:rFonts w:hint="eastAsia" w:ascii="宋体" w:hAnsi="宋体" w:cs="宋体"/>
                <w:shd w:val="clear" w:color="auto" w:fill="ffffff"/>
              </w:rPr>
              <w:t xml:space="preserve">起于江运互通主线预留跳台，向东上跨京杭运河、新河、凤凰河后落地，终于凤凰河东岸接江平东路东延工程涉铁段。</w:t>
            </w:r>
            <w:r>
              <w:rPr>
                <w:rFonts w:hint="eastAsia" w:ascii="宋体" w:hAnsi="宋体" w:cs="宋体"/>
                <w:szCs w:val="21"/>
              </w:rPr>
              <w:t xml:space="preserve">施工图纸及工程量清单范围内道路工程、桥涵工程、排水工程、照明工程、亮化工程、交通工程、景观工程、监控工程、海绵城市及消除和减轻影响河道防洪措施工程等内容的施工</w:t>
            </w:r>
            <w:r>
              <w:rPr>
                <w:rFonts w:hint="eastAsia"/>
                <w:szCs w:val="21"/>
              </w:rPr>
              <w:t xml:space="preserve">的建筑工程一切险（含物质损失及第三者责任保障）</w:t>
            </w:r>
            <w:r>
              <w:rPr>
                <w:rFonts w:hint="eastAsia" w:ascii="宋体" w:hAnsi="宋体" w:cs="宋体"/>
                <w:szCs w:val="21"/>
              </w:rPr>
              <w:t xml:space="preserve">，项目具体投保范围见承保合同。</w:t>
            </w:r>
            <w:r/>
          </w:p>
        </w:tc>
      </w:tr>
      <w:tr>
        <w:trPr>
          <w:jc w:val="center"/>
          <w:trHeight w:val="118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保额/责任限额</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（一） 财产损失</w:t>
            </w:r>
            <w:r/>
          </w:p>
          <w:p>
            <w:pPr>
              <w:spacing w:line="360" w:lineRule="auto"/>
              <w:widowControl/>
              <w:rPr>
                <w:rFonts w:ascii="宋体" w:hAnsi="宋体" w:cs="宋体"/>
                <w:szCs w:val="21"/>
              </w:rPr>
            </w:pPr>
            <w:r>
              <w:rPr>
                <w:rFonts w:hint="eastAsia" w:ascii="宋体" w:hAnsi="宋体" w:cs="宋体"/>
                <w:szCs w:val="21"/>
              </w:rPr>
              <w:t xml:space="preserve">保险金额：103119.910803万元</w:t>
            </w:r>
            <w:r/>
          </w:p>
          <w:p>
            <w:pPr>
              <w:spacing w:line="360" w:lineRule="auto"/>
              <w:widowControl/>
              <w:rPr>
                <w:rFonts w:ascii="宋体" w:hAnsi="宋体" w:cs="宋体"/>
                <w:szCs w:val="21"/>
              </w:rPr>
            </w:pPr>
            <w:r>
              <w:rPr>
                <w:rFonts w:hint="eastAsia" w:ascii="宋体" w:hAnsi="宋体" w:cs="宋体"/>
                <w:szCs w:val="21"/>
              </w:rPr>
              <w:t xml:space="preserve">（二） 第三者责任</w:t>
            </w:r>
            <w:r/>
          </w:p>
          <w:p>
            <w:pPr>
              <w:spacing w:line="360" w:lineRule="auto"/>
              <w:widowControl/>
              <w:rPr>
                <w:rFonts w:ascii="宋体" w:hAnsi="宋体" w:cs="宋体"/>
                <w:szCs w:val="21"/>
              </w:rPr>
            </w:pPr>
            <w:r>
              <w:rPr>
                <w:rFonts w:hint="eastAsia" w:ascii="宋体" w:hAnsi="宋体" w:cs="宋体"/>
                <w:szCs w:val="21"/>
              </w:rPr>
              <w:t xml:space="preserve">第三者人身伤害每人每次事故赔偿限额       RMB500，000.00</w:t>
            </w:r>
            <w:r/>
          </w:p>
          <w:p>
            <w:pPr>
              <w:spacing w:line="360" w:lineRule="auto"/>
              <w:widowControl/>
              <w:rPr>
                <w:rFonts w:ascii="宋体" w:hAnsi="宋体" w:cs="宋体"/>
                <w:szCs w:val="21"/>
              </w:rPr>
            </w:pPr>
            <w:r>
              <w:rPr>
                <w:rFonts w:hint="eastAsia" w:ascii="宋体" w:hAnsi="宋体" w:cs="宋体"/>
                <w:szCs w:val="21"/>
              </w:rPr>
              <w:t xml:space="preserve">第三者人身伤害每次事故赔偿限额           RMB5,000,000.00</w:t>
            </w:r>
            <w:r/>
          </w:p>
          <w:p>
            <w:pPr>
              <w:spacing w:line="360" w:lineRule="auto"/>
              <w:widowControl/>
              <w:rPr>
                <w:rFonts w:ascii="宋体" w:hAnsi="宋体" w:cs="宋体"/>
                <w:szCs w:val="21"/>
              </w:rPr>
            </w:pPr>
            <w:r>
              <w:rPr>
                <w:rFonts w:hint="eastAsia" w:ascii="宋体" w:hAnsi="宋体" w:cs="宋体"/>
                <w:szCs w:val="21"/>
              </w:rPr>
              <w:t xml:space="preserve">第三者人身伤害累计赔偿限额               RMB10,000,000.00</w:t>
            </w:r>
            <w:r/>
          </w:p>
          <w:p>
            <w:pPr>
              <w:spacing w:line="360" w:lineRule="auto"/>
              <w:widowControl/>
              <w:rPr>
                <w:rFonts w:ascii="宋体" w:hAnsi="宋体" w:cs="宋体"/>
                <w:szCs w:val="21"/>
              </w:rPr>
            </w:pPr>
            <w:r>
              <w:rPr>
                <w:rFonts w:hint="eastAsia" w:ascii="宋体" w:hAnsi="宋体" w:cs="宋体"/>
                <w:szCs w:val="21"/>
              </w:rPr>
              <w:t xml:space="preserve">第三者责任每次事故赔偿限额               RMB5,000,000.00</w:t>
            </w:r>
            <w:r/>
          </w:p>
          <w:p>
            <w:pPr>
              <w:spacing w:line="360" w:lineRule="auto"/>
              <w:widowControl/>
              <w:rPr>
                <w:rFonts w:ascii="宋体" w:hAnsi="宋体" w:cs="宋体"/>
                <w:szCs w:val="21"/>
              </w:rPr>
            </w:pPr>
            <w:r>
              <w:rPr>
                <w:rFonts w:hint="eastAsia" w:ascii="宋体" w:hAnsi="宋体" w:cs="宋体"/>
                <w:szCs w:val="21"/>
              </w:rPr>
              <w:t xml:space="preserve">第三者责任总赔偿限额                     RMB10,000,000.00</w:t>
            </w:r>
            <w:r/>
          </w:p>
          <w:p>
            <w:pPr>
              <w:spacing w:line="360" w:lineRule="auto"/>
              <w:widowControl/>
              <w:rPr>
                <w:rFonts w:ascii="宋体" w:hAnsi="宋体" w:cs="宋体"/>
                <w:szCs w:val="21"/>
              </w:rPr>
            </w:pPr>
            <w:r>
              <w:rPr>
                <w:rFonts w:hint="eastAsia" w:ascii="宋体" w:hAnsi="宋体" w:cs="宋体"/>
                <w:szCs w:val="21"/>
              </w:rPr>
              <w:t xml:space="preserve">（三）特种风险赔偿限额</w:t>
            </w:r>
            <w:r/>
          </w:p>
          <w:p>
            <w:pPr>
              <w:spacing w:line="360" w:lineRule="auto"/>
              <w:widowControl/>
              <w:rPr>
                <w:rFonts w:ascii="宋体" w:hAnsi="宋体" w:cs="宋体"/>
                <w:szCs w:val="21"/>
              </w:rPr>
            </w:pPr>
            <w:r>
              <w:rPr>
                <w:rFonts w:hint="eastAsia" w:ascii="宋体" w:hAnsi="宋体" w:cs="宋体"/>
                <w:szCs w:val="21"/>
              </w:rPr>
              <w:t xml:space="preserve">地震：第一部分总保险额金额的80.00%；</w:t>
            </w:r>
            <w:r/>
          </w:p>
          <w:p>
            <w:pPr>
              <w:spacing w:line="360" w:lineRule="auto"/>
              <w:widowControl/>
              <w:rPr>
                <w:rFonts w:ascii="宋体" w:hAnsi="宋体" w:cs="宋体"/>
                <w:szCs w:val="21"/>
              </w:rPr>
            </w:pPr>
            <w:r>
              <w:rPr>
                <w:rFonts w:hint="eastAsia" w:ascii="宋体" w:hAnsi="宋体" w:cs="宋体"/>
                <w:szCs w:val="21"/>
              </w:rPr>
              <w:t xml:space="preserve">洪水、暴雨、风暴、台风：第一部分总保险金额的80.00%</w:t>
            </w:r>
            <w:r/>
          </w:p>
          <w:p>
            <w:pPr>
              <w:spacing w:line="360" w:lineRule="auto"/>
              <w:widowControl/>
              <w:rPr>
                <w:rFonts w:ascii="宋体" w:hAnsi="宋体" w:cs="宋体"/>
                <w:szCs w:val="21"/>
              </w:rPr>
            </w:pPr>
            <w:r>
              <w:rPr>
                <w:rFonts w:hint="eastAsia" w:ascii="宋体" w:hAnsi="宋体" w:cs="宋体"/>
                <w:szCs w:val="21"/>
              </w:rPr>
              <w:t xml:space="preserve">（四）每次事故免赔额</w:t>
            </w:r>
            <w:r/>
          </w:p>
          <w:p>
            <w:pPr>
              <w:spacing w:line="360" w:lineRule="auto"/>
              <w:widowControl/>
              <w:rPr>
                <w:rFonts w:ascii="宋体" w:hAnsi="宋体" w:cs="宋体"/>
                <w:szCs w:val="21"/>
              </w:rPr>
            </w:pPr>
            <w:r>
              <w:rPr>
                <w:rFonts w:hint="eastAsia" w:ascii="宋体" w:hAnsi="宋体" w:cs="宋体"/>
                <w:szCs w:val="21"/>
              </w:rPr>
              <w:t xml:space="preserve">适用于第一部分项下的财产损失：</w:t>
            </w:r>
            <w:r/>
          </w:p>
          <w:p>
            <w:pPr>
              <w:spacing w:line="360" w:lineRule="auto"/>
              <w:widowControl/>
              <w:rPr>
                <w:rFonts w:ascii="宋体" w:hAnsi="宋体" w:cs="宋体"/>
                <w:szCs w:val="21"/>
              </w:rPr>
            </w:pPr>
            <w:r>
              <w:rPr>
                <w:rFonts w:hint="eastAsia" w:ascii="宋体" w:hAnsi="宋体" w:cs="宋体"/>
                <w:szCs w:val="21"/>
              </w:rPr>
              <w:t xml:space="preserve">第一部分财产损失：地震：每次事故绝对免赔额为RMB300,000.00。</w:t>
            </w:r>
            <w:r/>
          </w:p>
          <w:p>
            <w:pPr>
              <w:spacing w:line="360" w:lineRule="auto"/>
              <w:widowControl/>
              <w:rPr>
                <w:rFonts w:ascii="宋体" w:hAnsi="宋体" w:cs="宋体"/>
                <w:szCs w:val="21"/>
              </w:rPr>
            </w:pPr>
            <w:r>
              <w:rPr>
                <w:rFonts w:hint="eastAsia" w:ascii="宋体" w:hAnsi="宋体" w:cs="宋体"/>
                <w:szCs w:val="21"/>
              </w:rPr>
              <w:t xml:space="preserve">第一部分财产损失：洪水、暴雨、风暴、台风：每次事故绝对免赔额为RMB100,000.00。</w:t>
            </w:r>
            <w:r/>
          </w:p>
          <w:p>
            <w:pPr>
              <w:spacing w:line="360" w:lineRule="auto"/>
              <w:widowControl/>
              <w:rPr>
                <w:rFonts w:ascii="宋体" w:hAnsi="宋体" w:cs="宋体"/>
                <w:szCs w:val="21"/>
              </w:rPr>
            </w:pPr>
            <w:r>
              <w:rPr>
                <w:rFonts w:hint="eastAsia" w:ascii="宋体" w:hAnsi="宋体" w:cs="宋体"/>
                <w:szCs w:val="21"/>
              </w:rPr>
              <w:t xml:space="preserve">第一部分财产损失：其他：每次事故绝对免赔额为RMB10,000.00。</w:t>
            </w:r>
            <w:r/>
          </w:p>
          <w:p>
            <w:pPr>
              <w:spacing w:line="360" w:lineRule="auto"/>
              <w:widowControl/>
              <w:rPr>
                <w:rFonts w:ascii="宋体" w:hAnsi="宋体" w:cs="宋体"/>
                <w:szCs w:val="21"/>
              </w:rPr>
            </w:pPr>
            <w:r>
              <w:rPr>
                <w:rFonts w:hint="eastAsia" w:ascii="宋体" w:hAnsi="宋体" w:cs="宋体"/>
                <w:szCs w:val="21"/>
              </w:rPr>
              <w:t xml:space="preserve">第二部分第三者责任：财产损失：每次事故绝对免赔额为RMB5,000.00。</w:t>
            </w:r>
            <w:r/>
          </w:p>
        </w:tc>
      </w:tr>
      <w:tr>
        <w:trPr>
          <w:jc w:val="center"/>
          <w:trHeight w:val="510"/>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b/>
                <w:bCs/>
              </w:rPr>
              <w:t xml:space="preserve">保费最高限价</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spacing w:line="360" w:lineRule="auto"/>
              <w:widowControl/>
              <w:rPr>
                <w:rFonts w:ascii="宋体" w:hAnsi="宋体" w:cs="宋体"/>
                <w:b/>
                <w:bCs/>
                <w:szCs w:val="21"/>
              </w:rPr>
            </w:pPr>
            <w:r>
              <w:rPr>
                <w:rFonts w:hint="eastAsia" w:ascii="宋体" w:hAnsi="宋体" w:cs="宋体"/>
                <w:szCs w:val="21"/>
                <w:u w:val="single"/>
              </w:rPr>
              <w:t xml:space="preserve"> </w:t>
            </w:r>
            <w:r>
              <w:rPr>
                <w:rFonts w:hint="eastAsia" w:ascii="宋体" w:hAnsi="宋体" w:cs="宋体"/>
                <w:szCs w:val="21"/>
                <w:u w:val="single"/>
                <w:lang w:val="en-US" w:eastAsia="zh-CN"/>
              </w:rPr>
              <w:t xml:space="preserve">182</w:t>
            </w:r>
            <w:r>
              <w:rPr>
                <w:rFonts w:hint="eastAsia" w:ascii="宋体" w:hAnsi="宋体" w:cs="宋体"/>
                <w:szCs w:val="21"/>
                <w:u w:val="single"/>
              </w:rPr>
              <w:t xml:space="preserve"> </w:t>
            </w:r>
            <w:r>
              <w:rPr>
                <w:rFonts w:hint="eastAsia" w:ascii="宋体" w:hAnsi="宋体" w:cs="宋体"/>
                <w:szCs w:val="21"/>
              </w:rPr>
              <w:t xml:space="preserve">万元</w:t>
            </w:r>
            <w:r/>
          </w:p>
        </w:tc>
      </w:tr>
      <w:tr>
        <w:trPr>
          <w:jc w:val="center"/>
          <w:trHeight w:val="61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责任范围</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物质损失部分责任范围：</w:t>
            </w:r>
            <w:r/>
          </w:p>
          <w:p>
            <w:pPr>
              <w:numPr>
                <w:ilvl w:val="0"/>
                <w:numId w:val="6"/>
              </w:numPr>
              <w:spacing w:line="360" w:lineRule="auto"/>
              <w:widowControl/>
              <w:rPr>
                <w:rFonts w:ascii="宋体" w:hAnsi="宋体" w:cs="宋体"/>
                <w:szCs w:val="21"/>
              </w:rPr>
            </w:pPr>
            <w:r>
              <w:rPr>
                <w:rFonts w:hint="eastAsia" w:ascii="宋体" w:hAnsi="宋体" w:cs="宋体"/>
                <w:szCs w:val="21"/>
              </w:rPr>
              <w:t xml:space="preserve">在保险期间内，本保险合同分项列明的保险财产在列明的工地范围内，因本保险合同责任免除以外的任何自然灾害或意外事故造成的物质损坏或灭失</w:t>
            </w:r>
            <w:r/>
          </w:p>
          <w:p>
            <w:pPr>
              <w:numPr>
                <w:ilvl w:val="0"/>
                <w:numId w:val="6"/>
              </w:numPr>
              <w:spacing w:line="360" w:lineRule="auto"/>
              <w:widowControl/>
              <w:rPr>
                <w:rFonts w:ascii="宋体" w:hAnsi="宋体" w:cs="宋体"/>
                <w:szCs w:val="21"/>
              </w:rPr>
            </w:pPr>
            <w:r>
              <w:rPr>
                <w:rFonts w:hint="eastAsia" w:ascii="宋体" w:hAnsi="宋体" w:cs="宋体"/>
                <w:szCs w:val="21"/>
              </w:rPr>
              <w:t xml:space="preserve">保险事故发生后，被保险人为防止或减少保险标的的损失所支付的必要的、合理的费用经本保险合同列明的因发生上述损失所产生的其他有关费用（例如清理残骸费用、专业费用、特别费用等）</w:t>
            </w:r>
            <w:r/>
          </w:p>
          <w:p>
            <w:pPr>
              <w:spacing w:line="360" w:lineRule="auto"/>
              <w:widowControl/>
              <w:rPr>
                <w:rFonts w:ascii="宋体" w:hAnsi="宋体" w:cs="宋体"/>
                <w:b/>
                <w:bCs/>
                <w:szCs w:val="21"/>
              </w:rPr>
            </w:pPr>
            <w:r>
              <w:rPr>
                <w:rFonts w:hint="eastAsia" w:ascii="宋体" w:hAnsi="宋体" w:cs="宋体"/>
                <w:b/>
                <w:bCs/>
                <w:szCs w:val="21"/>
              </w:rPr>
              <w:t xml:space="preserve">第三者责任部分责任范围：</w:t>
            </w:r>
            <w:r/>
          </w:p>
          <w:p>
            <w:pPr>
              <w:numPr>
                <w:ilvl w:val="0"/>
                <w:numId w:val="7"/>
              </w:numPr>
              <w:spacing w:line="360" w:lineRule="auto"/>
              <w:widowControl/>
              <w:rPr>
                <w:rFonts w:ascii="宋体" w:hAnsi="宋体" w:cs="宋体"/>
                <w:szCs w:val="21"/>
              </w:rPr>
            </w:pPr>
            <w:r>
              <w:rPr>
                <w:rFonts w:hint="eastAsia" w:ascii="宋体" w:hAnsi="宋体" w:cs="宋体"/>
                <w:szCs w:val="21"/>
              </w:rPr>
              <w:t xml:space="preserve">在保险期间内，因发生与本保险合同所承保工程直接相关的意外事故引起工地内及邻近区域的第三者人身伤亡、疾病或财产损失,依法应由被保险人承担的经济赔偿责任。</w:t>
            </w:r>
            <w:r/>
          </w:p>
          <w:p>
            <w:pPr>
              <w:spacing w:line="360" w:lineRule="auto"/>
              <w:widowControl/>
              <w:rPr>
                <w:rFonts w:ascii="宋体" w:hAnsi="宋体" w:cs="宋体"/>
                <w:szCs w:val="21"/>
              </w:rPr>
            </w:pPr>
            <w:r>
              <w:rPr>
                <w:rFonts w:hint="eastAsia" w:ascii="宋体" w:hAnsi="宋体" w:cs="宋体"/>
                <w:szCs w:val="21"/>
              </w:rPr>
              <w:t xml:space="preserve">2、本项保险事故发生后，被保险人因保险事故而被提起仲裁或者诉讼的，对应由被保险人支付的仲裁或诉讼费用以及其他必要的、合理的费用。</w:t>
            </w:r>
            <w:r/>
          </w:p>
        </w:tc>
      </w:tr>
      <w:tr>
        <w:trPr>
          <w:jc w:val="center"/>
          <w:trHeight w:val="613"/>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附加条款</w:t>
            </w:r>
            <w:r/>
          </w:p>
        </w:tc>
        <w:tc>
          <w:tcPr>
            <w:tcBorders>
              <w:top w:val="single" w:color="auto" w:sz="4" w:space="0"/>
              <w:left w:val="none" w:color="000000" w:sz="4" w:space="0"/>
              <w:bottom w:val="single" w:color="auto" w:sz="4" w:space="0"/>
              <w:right w:val="single" w:color="auto" w:sz="4" w:space="0"/>
            </w:tcBorders>
            <w:tcW w:w="7184"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1、预付赔款条款：估损超过RMB500,000.00的损失预先支付估损金额50%的赔款；</w:t>
            </w:r>
            <w:r/>
          </w:p>
          <w:p>
            <w:pPr>
              <w:spacing w:line="360" w:lineRule="auto"/>
              <w:widowControl/>
              <w:rPr>
                <w:rFonts w:ascii="宋体" w:hAnsi="宋体" w:cs="宋体"/>
                <w:szCs w:val="21"/>
              </w:rPr>
            </w:pPr>
            <w:r>
              <w:rPr>
                <w:rFonts w:hint="eastAsia" w:ascii="宋体" w:hAnsi="宋体" w:cs="宋体"/>
                <w:szCs w:val="21"/>
              </w:rPr>
              <w:t xml:space="preserve">2、滑坡责任特别条款：赔偿限额RMB500,000.00；</w:t>
            </w:r>
            <w:r/>
          </w:p>
          <w:p>
            <w:pPr>
              <w:spacing w:line="360" w:lineRule="auto"/>
              <w:widowControl/>
              <w:rPr>
                <w:rFonts w:ascii="宋体" w:hAnsi="宋体" w:cs="宋体"/>
                <w:szCs w:val="21"/>
              </w:rPr>
            </w:pPr>
            <w:r>
              <w:rPr>
                <w:rFonts w:hint="eastAsia" w:ascii="宋体" w:hAnsi="宋体" w:cs="宋体"/>
                <w:szCs w:val="21"/>
              </w:rPr>
              <w:t xml:space="preserve">3、清除残骸费用扩展条款A：赔偿限额损失金额的20%；</w:t>
            </w:r>
            <w:r/>
          </w:p>
          <w:p>
            <w:pPr>
              <w:spacing w:line="360" w:lineRule="auto"/>
              <w:widowControl/>
              <w:rPr>
                <w:rFonts w:ascii="宋体" w:hAnsi="宋体" w:cs="宋体"/>
                <w:szCs w:val="21"/>
              </w:rPr>
            </w:pPr>
            <w:r>
              <w:rPr>
                <w:rFonts w:hint="eastAsia" w:ascii="宋体" w:hAnsi="宋体" w:cs="宋体"/>
                <w:szCs w:val="21"/>
              </w:rPr>
              <w:t xml:space="preserve">4、专业费用特别条款：赔偿限额RMB3000,000.00；</w:t>
            </w:r>
            <w:r/>
          </w:p>
        </w:tc>
      </w:tr>
    </w:tbl>
    <w:p>
      <w:pPr>
        <w:ind w:firstLine="422"/>
        <w:spacing w:line="360" w:lineRule="auto"/>
        <w:rPr>
          <w:rFonts w:ascii="宋体" w:hAnsi="宋体" w:cs="宋体"/>
          <w:b/>
          <w:bCs/>
          <w:szCs w:val="21"/>
        </w:rPr>
      </w:pPr>
      <w:r>
        <w:rPr>
          <w:rFonts w:hint="eastAsia" w:ascii="宋体" w:hAnsi="宋体" w:cs="宋体"/>
          <w:b/>
          <w:bCs/>
          <w:szCs w:val="21"/>
        </w:rPr>
        <w:t xml:space="preserve">3、其他要求</w:t>
      </w:r>
      <w:r/>
    </w:p>
    <w:p>
      <w:pPr>
        <w:ind w:firstLine="420"/>
        <w:spacing w:line="360" w:lineRule="auto"/>
        <w:rPr>
          <w:rFonts w:ascii="宋体" w:hAnsi="宋体" w:cs="宋体"/>
          <w:szCs w:val="21"/>
        </w:rPr>
      </w:pPr>
      <w:r>
        <w:rPr>
          <w:rFonts w:hint="eastAsia" w:ascii="宋体" w:hAnsi="宋体" w:cs="宋体"/>
          <w:szCs w:val="21"/>
        </w:rPr>
        <w:t xml:space="preserve">为使被保险人获得完善的保险服务，供应商同意以下各项补充约定并将其视为未来保险合同的一部分，由保险双方共同遵守。</w:t>
      </w:r>
      <w:r/>
    </w:p>
    <w:p>
      <w:pPr>
        <w:ind w:firstLine="420"/>
        <w:spacing w:line="360" w:lineRule="auto"/>
        <w:rPr>
          <w:rFonts w:ascii="宋体" w:hAnsi="宋体" w:cs="宋体"/>
          <w:szCs w:val="21"/>
        </w:rPr>
      </w:pPr>
      <w:r>
        <w:rPr>
          <w:rFonts w:hint="eastAsia" w:ascii="宋体" w:hAnsi="宋体" w:cs="宋体"/>
          <w:szCs w:val="21"/>
        </w:rPr>
        <w:t xml:space="preserve">3.1 关于对承保人的监督 </w:t>
      </w:r>
      <w:r/>
    </w:p>
    <w:p>
      <w:pPr>
        <w:ind w:firstLine="420"/>
        <w:spacing w:line="360" w:lineRule="auto"/>
        <w:rPr>
          <w:rFonts w:ascii="宋体" w:hAnsi="宋体" w:cs="宋体"/>
          <w:szCs w:val="21"/>
        </w:rPr>
      </w:pPr>
      <w:r>
        <w:rPr>
          <w:rFonts w:hint="eastAsia" w:ascii="宋体" w:hAnsi="宋体" w:cs="宋体"/>
          <w:szCs w:val="21"/>
        </w:rPr>
        <w:t xml:space="preserve">承保人在合同有效期内，应接受采购人的监督。如一年内发生有效投诉超过 3 起（含），一经查实，立即终止其承保人的资格，并不予返还履约保证金，情节严重的，取消中标资格，如有违规违纪行为的，按有关规定严肃查处。</w:t>
      </w:r>
      <w:r/>
    </w:p>
    <w:p>
      <w:pPr>
        <w:ind w:firstLine="420"/>
        <w:spacing w:line="360" w:lineRule="auto"/>
        <w:rPr>
          <w:rFonts w:ascii="宋体" w:hAnsi="宋体" w:cs="宋体"/>
          <w:szCs w:val="21"/>
        </w:rPr>
      </w:pPr>
      <w:r>
        <w:rPr>
          <w:rFonts w:hint="eastAsia" w:ascii="宋体" w:hAnsi="宋体" w:cs="宋体"/>
          <w:szCs w:val="21"/>
        </w:rPr>
        <w:t xml:space="preserve">3.2 防灾减损</w:t>
      </w:r>
      <w:r/>
    </w:p>
    <w:p>
      <w:pPr>
        <w:ind w:firstLine="420"/>
        <w:spacing w:line="360" w:lineRule="auto"/>
        <w:rPr>
          <w:rFonts w:ascii="宋体" w:hAnsi="宋体" w:cs="宋体"/>
          <w:szCs w:val="21"/>
        </w:rPr>
      </w:pPr>
      <w:r>
        <w:rPr>
          <w:rFonts w:hint="eastAsia" w:ascii="宋体" w:hAnsi="宋体" w:cs="宋体"/>
          <w:szCs w:val="21"/>
        </w:rPr>
        <w:t xml:space="preserve">为加强突发事故的应急处理，以及共同防范风险、降低赔付，成交供应商应积极协助采购人进行风险防范、培训以及突发事故的应急处理。</w:t>
      </w:r>
      <w:r/>
    </w:p>
    <w:p>
      <w:pPr>
        <w:ind w:firstLine="420"/>
        <w:spacing w:line="360" w:lineRule="auto"/>
        <w:rPr>
          <w:rFonts w:ascii="宋体" w:hAnsi="宋体" w:cs="宋体"/>
          <w:szCs w:val="21"/>
        </w:rPr>
      </w:pPr>
      <w:r>
        <w:rPr>
          <w:rFonts w:hint="eastAsia" w:ascii="宋体" w:hAnsi="宋体" w:cs="宋体"/>
          <w:szCs w:val="21"/>
        </w:rPr>
        <w:t xml:space="preserve">3.3 赔偿处理 </w:t>
      </w:r>
      <w:r/>
    </w:p>
    <w:p>
      <w:pPr>
        <w:ind w:firstLine="420"/>
        <w:spacing w:line="360" w:lineRule="auto"/>
        <w:rPr>
          <w:rFonts w:ascii="宋体" w:hAnsi="宋体" w:cs="宋体"/>
          <w:szCs w:val="21"/>
        </w:rPr>
      </w:pPr>
      <w:r>
        <w:rPr>
          <w:rFonts w:hint="eastAsia" w:ascii="宋体" w:hAnsi="宋体" w:cs="宋体"/>
          <w:szCs w:val="21"/>
        </w:rPr>
        <w:t xml:space="preserve">（1）基本原则：保险人不得以任何理由推卸、拖延和拒绝被保险人索赔要求，除非有合理和足够的证据证明，否则其行为构成违约并须承担违约责任；</w:t>
      </w:r>
      <w:r/>
    </w:p>
    <w:p>
      <w:pPr>
        <w:ind w:firstLine="420"/>
        <w:spacing w:line="360" w:lineRule="auto"/>
        <w:rPr>
          <w:rFonts w:ascii="宋体" w:hAnsi="宋体" w:cs="宋体"/>
          <w:szCs w:val="21"/>
        </w:rPr>
      </w:pPr>
      <w:r>
        <w:rPr>
          <w:rFonts w:hint="eastAsia" w:ascii="宋体" w:hAnsi="宋体" w:cs="宋体"/>
          <w:szCs w:val="21"/>
        </w:rPr>
        <w:t xml:space="preserve">（2）一旦接到被保险人通知，保险人代表应尽早赶赴事故现场开始初步调查并提出止损建议，被保险人应予以配合；</w:t>
      </w:r>
      <w:r/>
    </w:p>
    <w:p>
      <w:pPr>
        <w:ind w:firstLine="420"/>
        <w:spacing w:line="360" w:lineRule="auto"/>
        <w:rPr>
          <w:rFonts w:ascii="宋体" w:hAnsi="宋体" w:cs="宋体"/>
          <w:szCs w:val="21"/>
        </w:rPr>
      </w:pPr>
      <w:r>
        <w:rPr>
          <w:rFonts w:hint="eastAsia" w:ascii="宋体" w:hAnsi="宋体" w:cs="宋体"/>
          <w:szCs w:val="21"/>
        </w:rPr>
        <w:t xml:space="preserve">（3）被保险人应尽可能为保险人、公估人调查和取证工作保留事故现场；对确因运行需要而无法留待保险人/公估人查勘的事故现场，被保险人应尽可能留下照片、录像、文字记录供保险人审核之用；</w:t>
      </w:r>
      <w:r/>
    </w:p>
    <w:p>
      <w:pPr>
        <w:ind w:firstLine="420"/>
        <w:spacing w:line="360" w:lineRule="auto"/>
        <w:rPr>
          <w:rFonts w:ascii="宋体" w:hAnsi="宋体" w:cs="宋体"/>
          <w:szCs w:val="21"/>
        </w:rPr>
      </w:pPr>
      <w:r>
        <w:rPr>
          <w:rFonts w:hint="eastAsia" w:ascii="宋体" w:hAnsi="宋体" w:cs="宋体"/>
          <w:szCs w:val="21"/>
        </w:rPr>
        <w:t xml:space="preserve">（4）涉及有责任的第三方事故时，被保险人不能在获得保险人书面同意以前放弃向其追索的权利；</w:t>
      </w:r>
      <w:r/>
    </w:p>
    <w:p>
      <w:pPr>
        <w:ind w:firstLine="420"/>
        <w:spacing w:line="360" w:lineRule="auto"/>
        <w:rPr>
          <w:rFonts w:ascii="宋体" w:hAnsi="宋体" w:cs="宋体"/>
          <w:szCs w:val="21"/>
        </w:rPr>
      </w:pPr>
      <w:r>
        <w:rPr>
          <w:rFonts w:hint="eastAsia" w:ascii="宋体" w:hAnsi="宋体" w:cs="宋体"/>
          <w:szCs w:val="21"/>
        </w:rPr>
        <w:t xml:space="preserve">（5）发生事故后，保险人应于三个工作日内向被保险人提交一份针对本次事故完成理赔工作所需经过的程序及需要的事故/损失证明材料；                                                                                                                  </w:t>
      </w:r>
      <w:r/>
    </w:p>
    <w:p>
      <w:pPr>
        <w:ind w:firstLine="420"/>
        <w:spacing w:line="360" w:lineRule="auto"/>
        <w:rPr>
          <w:rFonts w:ascii="宋体" w:hAnsi="宋体" w:cs="宋体"/>
          <w:szCs w:val="21"/>
        </w:rPr>
      </w:pPr>
      <w:r>
        <w:rPr>
          <w:rFonts w:hint="eastAsia" w:ascii="宋体" w:hAnsi="宋体" w:cs="宋体"/>
          <w:szCs w:val="21"/>
        </w:rPr>
        <w:t xml:space="preserve">（6）对于虽经被保险人努力仍无法完成的证据/证明材料提交工作，保险人须予以帮助并不得以此为由推卸、拖延和拒绝履行合同责任；</w:t>
      </w:r>
      <w:r/>
    </w:p>
    <w:p>
      <w:pPr>
        <w:ind w:firstLine="420"/>
        <w:spacing w:line="360" w:lineRule="auto"/>
        <w:rPr>
          <w:rFonts w:ascii="宋体" w:hAnsi="宋体" w:cs="宋体"/>
          <w:szCs w:val="21"/>
        </w:rPr>
      </w:pPr>
      <w:r>
        <w:rPr>
          <w:rFonts w:hint="eastAsia" w:ascii="宋体" w:hAnsi="宋体" w:cs="宋体"/>
          <w:szCs w:val="21"/>
        </w:rPr>
        <w:t xml:space="preserve">（7）当确定事故责任属于赔偿范围，且可以估计损失金额，保险人应在七个工作日内完成不低于50%（含）的预付赔款。</w:t>
      </w:r>
      <w:r/>
    </w:p>
    <w:p>
      <w:pPr>
        <w:ind w:firstLine="420"/>
        <w:spacing w:line="360" w:lineRule="auto"/>
        <w:rPr>
          <w:rFonts w:ascii="宋体" w:hAnsi="宋体" w:cs="宋体"/>
          <w:szCs w:val="21"/>
        </w:rPr>
      </w:pPr>
      <w:r>
        <w:rPr>
          <w:rFonts w:hint="eastAsia" w:ascii="宋体" w:hAnsi="宋体" w:cs="宋体"/>
          <w:szCs w:val="21"/>
        </w:rPr>
        <w:t xml:space="preserve">3.4 保险合同</w:t>
      </w:r>
      <w:r/>
    </w:p>
    <w:p>
      <w:pPr>
        <w:ind w:firstLine="420"/>
        <w:spacing w:line="360" w:lineRule="auto"/>
        <w:rPr>
          <w:rFonts w:ascii="宋体" w:hAnsi="宋体" w:cs="宋体"/>
          <w:szCs w:val="21"/>
        </w:rPr>
      </w:pPr>
      <w:r>
        <w:rPr>
          <w:rFonts w:hint="eastAsia" w:ascii="宋体" w:hAnsi="宋体" w:cs="宋体"/>
          <w:szCs w:val="21"/>
        </w:rPr>
        <w:t xml:space="preserve">（1）本项目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文件及最终协议为准；</w:t>
      </w:r>
      <w:r/>
    </w:p>
    <w:p>
      <w:pPr>
        <w:ind w:firstLine="420"/>
        <w:spacing w:line="360" w:lineRule="auto"/>
        <w:rPr>
          <w:rFonts w:ascii="宋体" w:hAnsi="宋体" w:cs="宋体"/>
          <w:szCs w:val="21"/>
        </w:rPr>
      </w:pPr>
      <w:r>
        <w:rPr>
          <w:rFonts w:hint="eastAsia" w:ascii="宋体" w:hAnsi="宋体" w:cs="宋体"/>
          <w:szCs w:val="21"/>
        </w:rPr>
        <w:t xml:space="preserve">（2）供应商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spacing w:line="360" w:lineRule="auto"/>
        <w:rPr>
          <w:rFonts w:ascii="宋体" w:hAnsi="宋体" w:cs="宋体"/>
          <w:szCs w:val="21"/>
        </w:rPr>
      </w:pPr>
      <w:r>
        <w:rPr>
          <w:rFonts w:hint="eastAsia" w:ascii="宋体" w:hAnsi="宋体" w:cs="宋体"/>
          <w:szCs w:val="21"/>
        </w:rPr>
        <w:t xml:space="preserve">3.5 本次招标活动依照中华人民共和国相关法律法规进行。</w:t>
      </w:r>
      <w:r/>
    </w:p>
    <w:p>
      <w:pPr>
        <w:pStyle w:val="1126"/>
        <w:ind w:firstLine="420"/>
        <w:spacing w:line="360" w:lineRule="auto"/>
        <w:rPr>
          <w:rFonts w:ascii="宋体" w:hAnsi="宋体" w:cs="宋体"/>
          <w:szCs w:val="21"/>
        </w:rPr>
      </w:pPr>
      <w:r>
        <w:rPr>
          <w:rFonts w:hint="eastAsia" w:ascii="宋体" w:hAnsi="宋体" w:cs="宋体"/>
          <w:szCs w:val="21"/>
        </w:rPr>
        <w:t xml:space="preserve">3.6本招标文件的保险条款仅供参考，供应商所提供保险条款只要在保险标的、保险责任、责任免除等实质性内容上与本保险条款无重大偏差即可。</w:t>
      </w:r>
      <w:r/>
    </w:p>
    <w:p>
      <w:pPr>
        <w:pStyle w:val="1125"/>
      </w:pPr>
      <w:r/>
      <w:r/>
    </w:p>
    <w:p>
      <w:pPr>
        <w:pStyle w:val="1125"/>
        <w:rPr>
          <w:rFonts w:hAnsi="宋体" w:cs="宋体"/>
          <w:sz w:val="21"/>
          <w:szCs w:val="21"/>
        </w:rPr>
      </w:pPr>
      <w:r>
        <w:rPr>
          <w:rFonts w:hAnsi="宋体" w:cs="宋体"/>
          <w:sz w:val="21"/>
          <w:szCs w:val="21"/>
        </w:rPr>
      </w:r>
      <w:r/>
    </w:p>
    <w:tbl>
      <w:tblPr>
        <w:tblStyle w:val="812"/>
        <w:tblW w:w="0" w:type="auto"/>
        <w:jc w:val="center"/>
        <w:tblLayout w:type="fixed"/>
        <w:tblCellMar>
          <w:left w:w="45" w:type="dxa"/>
          <w:top w:w="45" w:type="dxa"/>
          <w:right w:w="45" w:type="dxa"/>
          <w:bottom w:w="45" w:type="dxa"/>
        </w:tblCellMar>
        <w:tblLook w:val="04A0" w:firstRow="1" w:lastRow="0" w:firstColumn="1" w:lastColumn="0" w:noHBand="0" w:noVBand="1"/>
      </w:tblPr>
      <w:tblGrid>
        <w:gridCol w:w="8396"/>
      </w:tblGrid>
      <w:tr>
        <w:trPr>
          <w:jc w:val="center"/>
        </w:trPr>
        <w:tc>
          <w:tcPr>
            <w:tcW w:w="8396" w:type="dxa"/>
            <w:vAlign w:val="center"/>
            <w:textDirection w:val="lrTb"/>
            <w:noWrap w:val="false"/>
          </w:tcPr>
          <w:p>
            <w:pPr>
              <w:jc w:val="center"/>
              <w:spacing w:line="870" w:lineRule="atLeast"/>
              <w:widowControl/>
              <w:rPr>
                <w:rFonts w:hint="eastAsia" w:ascii="ˎ̥" w:hAnsi="ˎ̥" w:cs="宋体"/>
                <w:b/>
                <w:bCs/>
                <w:sz w:val="27"/>
                <w:szCs w:val="27"/>
              </w:rPr>
              <w:outlineLvl w:val="0"/>
            </w:pPr>
            <w:r>
              <w:rPr>
                <w:rFonts w:ascii="ˎ̥" w:hAnsi="ˎ̥" w:cs="宋体"/>
                <w:b/>
                <w:bCs/>
                <w:sz w:val="27"/>
                <w:szCs w:val="27"/>
              </w:rPr>
              <w:t xml:space="preserve">建筑工程一切险条款</w:t>
            </w:r>
            <w:r/>
          </w:p>
        </w:tc>
      </w:tr>
      <w:tr>
        <w:trPr>
          <w:jc w:val="center"/>
        </w:trPr>
        <w:tc>
          <w:tcPr>
            <w:tcW w:w="8396" w:type="dxa"/>
            <w:vAlign w:val="center"/>
            <w:textDirection w:val="lrTb"/>
            <w:noWrap w:val="false"/>
          </w:tcPr>
          <w:p>
            <w:pPr>
              <w:jc w:val="center"/>
              <w:spacing w:line="360" w:lineRule="auto"/>
              <w:widowControl/>
              <w:rPr>
                <w:rFonts w:ascii="宋体" w:hAnsi="宋体" w:cs="宋体"/>
                <w:szCs w:val="21"/>
              </w:rPr>
            </w:pPr>
            <w:r/>
            <w:bookmarkStart w:id="23" w:name="总则"/>
            <w:r>
              <w:rPr>
                <w:rFonts w:hint="eastAsia" w:ascii="宋体" w:hAnsi="宋体" w:cs="宋体"/>
                <w:b/>
                <w:bCs/>
                <w:szCs w:val="21"/>
              </w:rPr>
              <w:t xml:space="preserve">总则</w:t>
            </w:r>
            <w:bookmarkEnd w:id="23"/>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第一条 </w:t>
            </w:r>
            <w:r>
              <w:rPr>
                <w:rFonts w:hint="eastAsia" w:ascii="宋体" w:hAnsi="宋体" w:cs="宋体"/>
                <w:szCs w:val="21"/>
              </w:rPr>
              <w:t xml:space="preserve">本保险合同由保险条款、投保单、保险单以及批单组成。凡涉及本保险合同的约定，均应采用书面形式。</w:t>
            </w:r>
            <w:r>
              <w:rPr>
                <w:rFonts w:hint="eastAsia" w:ascii="宋体" w:hAnsi="宋体" w:cs="宋体"/>
                <w:b/>
                <w:bCs/>
                <w:szCs w:val="21"/>
              </w:rPr>
              <w:t xml:space="preserve"> </w:t>
            </w:r>
            <w:r/>
          </w:p>
          <w:p>
            <w:pPr>
              <w:jc w:val="center"/>
              <w:spacing w:line="360" w:lineRule="auto"/>
              <w:widowControl/>
              <w:rPr>
                <w:rFonts w:ascii="宋体" w:hAnsi="宋体" w:cs="宋体"/>
                <w:szCs w:val="21"/>
              </w:rPr>
            </w:pPr>
            <w:r>
              <w:rPr>
                <w:rFonts w:hint="eastAsia" w:ascii="宋体" w:hAnsi="宋体" w:cs="宋体"/>
                <w:b/>
                <w:bCs/>
                <w:szCs w:val="21"/>
              </w:rPr>
              <w:t xml:space="preserve">第一部分  物质损失保险部分</w:t>
            </w:r>
            <w:r/>
          </w:p>
          <w:p>
            <w:pPr>
              <w:jc w:val="center"/>
              <w:spacing w:line="360" w:lineRule="auto"/>
              <w:widowControl/>
              <w:rPr>
                <w:rFonts w:ascii="宋体" w:hAnsi="宋体" w:cs="宋体"/>
                <w:szCs w:val="21"/>
              </w:rPr>
            </w:pPr>
            <w:r>
              <w:rPr>
                <w:rFonts w:hint="eastAsia" w:ascii="宋体" w:hAnsi="宋体" w:cs="宋体"/>
                <w:b/>
                <w:bCs/>
                <w:szCs w:val="21"/>
              </w:rPr>
              <w:t xml:space="preserve">保险标的</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第二条 </w:t>
            </w:r>
            <w:r>
              <w:rPr>
                <w:rFonts w:hint="eastAsia" w:ascii="宋体" w:hAnsi="宋体" w:cs="宋体"/>
                <w:szCs w:val="21"/>
              </w:rPr>
              <w:t xml:space="preserve">本保险合同的保险标的为：</w:t>
            </w:r>
            <w:r/>
          </w:p>
          <w:p>
            <w:pPr>
              <w:ind w:firstLine="313"/>
              <w:jc w:val="left"/>
              <w:spacing w:line="360" w:lineRule="auto"/>
              <w:widowControl/>
              <w:rPr>
                <w:rFonts w:ascii="宋体" w:hAnsi="宋体" w:cs="宋体"/>
                <w:szCs w:val="21"/>
              </w:rPr>
            </w:pPr>
            <w:r>
              <w:rPr>
                <w:rFonts w:hint="eastAsia" w:ascii="宋体" w:hAnsi="宋体" w:cs="宋体"/>
                <w:szCs w:val="21"/>
              </w:rPr>
              <w:t xml:space="preserve">本保险合同明细表中分项列明的在列明工地范围内的与实施工程合同相关的财产或费用，属于本保险合同的保险标的。</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第三条 </w:t>
            </w:r>
            <w:r>
              <w:rPr>
                <w:rFonts w:hint="eastAsia" w:ascii="宋体" w:hAnsi="宋体" w:cs="宋体"/>
                <w:szCs w:val="21"/>
              </w:rPr>
              <w:t xml:space="preserve">下列财产未经保险合同双方特别约定并在保险合同中载明保险金额的，不属于本保险合同的保险标的：</w:t>
            </w:r>
            <w:r/>
          </w:p>
          <w:p>
            <w:pPr>
              <w:ind w:firstLine="444"/>
              <w:jc w:val="left"/>
              <w:spacing w:line="360" w:lineRule="auto"/>
              <w:widowControl/>
              <w:rPr>
                <w:rFonts w:ascii="宋体" w:hAnsi="宋体" w:cs="宋体"/>
                <w:szCs w:val="21"/>
              </w:rPr>
            </w:pPr>
            <w:r>
              <w:rPr>
                <w:rFonts w:hint="eastAsia" w:ascii="宋体" w:hAnsi="宋体" w:cs="宋体"/>
                <w:szCs w:val="21"/>
              </w:rPr>
              <w:t xml:space="preserve">（一）施工用机具、设备、机械装置；</w:t>
            </w:r>
            <w:r/>
          </w:p>
          <w:p>
            <w:pPr>
              <w:ind w:firstLine="444"/>
              <w:jc w:val="left"/>
              <w:spacing w:line="360" w:lineRule="auto"/>
              <w:widowControl/>
              <w:rPr>
                <w:rFonts w:ascii="宋体" w:hAnsi="宋体" w:cs="宋体"/>
                <w:szCs w:val="21"/>
              </w:rPr>
            </w:pPr>
            <w:r>
              <w:rPr>
                <w:rFonts w:hint="eastAsia" w:ascii="宋体" w:hAnsi="宋体" w:cs="宋体"/>
                <w:szCs w:val="21"/>
              </w:rPr>
              <w:t xml:space="preserve">（二）在保险工程开始以前已经存在或形成的位于工地范围内或其周围的属于被保险人的财产；</w:t>
            </w:r>
            <w:r/>
          </w:p>
          <w:p>
            <w:pPr>
              <w:ind w:firstLine="444"/>
              <w:jc w:val="left"/>
              <w:spacing w:line="360" w:lineRule="auto"/>
              <w:widowControl/>
              <w:rPr>
                <w:rFonts w:ascii="宋体" w:hAnsi="宋体" w:cs="宋体"/>
                <w:szCs w:val="21"/>
              </w:rPr>
            </w:pPr>
            <w:r>
              <w:rPr>
                <w:rFonts w:hint="eastAsia" w:ascii="宋体" w:hAnsi="宋体" w:cs="宋体"/>
                <w:szCs w:val="21"/>
              </w:rPr>
              <w:t xml:space="preserve">（三）在本保险合同保险期间终止前，已经投入商业运行或业主已经接受、实际占有的财产或其中的任何一部分财产，或已经签发工程竣工证书或工程承包人已经正式提出申请验收并经业主代表验收合格的财产或其中任何一部分财产；</w:t>
            </w:r>
            <w:r/>
          </w:p>
          <w:p>
            <w:pPr>
              <w:ind w:firstLine="444"/>
              <w:jc w:val="left"/>
              <w:spacing w:line="360" w:lineRule="auto"/>
              <w:widowControl/>
              <w:rPr>
                <w:rFonts w:ascii="宋体" w:hAnsi="宋体" w:cs="宋体"/>
                <w:szCs w:val="21"/>
              </w:rPr>
            </w:pPr>
            <w:r>
              <w:rPr>
                <w:rFonts w:hint="eastAsia" w:ascii="宋体" w:hAnsi="宋体" w:cs="宋体"/>
                <w:szCs w:val="21"/>
              </w:rPr>
              <w:t xml:space="preserve">（四）清除残骸费用。 该费用指发生保险事故后，被保险人为修复保险标的而清理施工现场所发生的必要、合理的费用。</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第四条 </w:t>
            </w:r>
            <w:r>
              <w:rPr>
                <w:rFonts w:hint="eastAsia" w:ascii="宋体" w:hAnsi="宋体" w:cs="宋体"/>
                <w:szCs w:val="21"/>
              </w:rPr>
              <w:t xml:space="preserve">下列财产不属于本保险合同的保险标的：</w:t>
            </w:r>
            <w:r/>
          </w:p>
          <w:p>
            <w:pPr>
              <w:ind w:firstLine="444"/>
              <w:jc w:val="left"/>
              <w:spacing w:line="360" w:lineRule="auto"/>
              <w:widowControl/>
              <w:rPr>
                <w:rFonts w:ascii="宋体" w:hAnsi="宋体" w:cs="宋体"/>
                <w:szCs w:val="21"/>
              </w:rPr>
            </w:pPr>
            <w:r>
              <w:rPr>
                <w:rFonts w:hint="eastAsia" w:ascii="宋体" w:hAnsi="宋体" w:cs="宋体"/>
                <w:szCs w:val="21"/>
              </w:rPr>
              <w:t xml:space="preserve">（一）文件、账册、图表、技术资料、计算机软件、计算机数据资料等无法鉴定价值的财产；</w:t>
            </w:r>
            <w:r/>
          </w:p>
          <w:p>
            <w:pPr>
              <w:ind w:firstLine="444"/>
              <w:jc w:val="left"/>
              <w:spacing w:line="360" w:lineRule="auto"/>
              <w:widowControl/>
              <w:rPr>
                <w:rFonts w:ascii="宋体" w:hAnsi="宋体" w:cs="宋体"/>
                <w:szCs w:val="21"/>
              </w:rPr>
            </w:pPr>
            <w:r>
              <w:rPr>
                <w:rFonts w:hint="eastAsia" w:ascii="宋体" w:hAnsi="宋体" w:cs="宋体"/>
                <w:szCs w:val="21"/>
              </w:rPr>
              <w:t xml:space="preserve">（二）便携式通讯装置、便携式计算机设备、便携式照相摄像器材以及其他便携式装置、设备；</w:t>
            </w:r>
            <w:r/>
          </w:p>
          <w:p>
            <w:pPr>
              <w:ind w:firstLine="444"/>
              <w:jc w:val="left"/>
              <w:spacing w:line="360" w:lineRule="auto"/>
              <w:widowControl/>
              <w:rPr>
                <w:rFonts w:ascii="宋体" w:hAnsi="宋体" w:cs="宋体"/>
                <w:szCs w:val="21"/>
              </w:rPr>
            </w:pPr>
            <w:r>
              <w:rPr>
                <w:rFonts w:hint="eastAsia" w:ascii="宋体" w:hAnsi="宋体" w:cs="宋体"/>
                <w:szCs w:val="21"/>
              </w:rPr>
              <w:t xml:space="preserve">（三）土地、海床、矿藏、水资源、动物、植物、农作物；</w:t>
            </w:r>
            <w:r/>
          </w:p>
          <w:p>
            <w:pPr>
              <w:ind w:firstLine="444"/>
              <w:jc w:val="left"/>
              <w:spacing w:line="360" w:lineRule="auto"/>
              <w:widowControl/>
              <w:rPr>
                <w:rFonts w:ascii="宋体" w:hAnsi="宋体" w:cs="宋体"/>
                <w:szCs w:val="21"/>
              </w:rPr>
            </w:pPr>
            <w:r>
              <w:rPr>
                <w:rFonts w:hint="eastAsia" w:ascii="宋体" w:hAnsi="宋体" w:cs="宋体"/>
                <w:szCs w:val="21"/>
              </w:rPr>
              <w:t xml:space="preserve">（四）领有公共运输行驶执照的，或已由其他保险予以保障的车辆、船舶、航空器；</w:t>
            </w:r>
            <w:r/>
          </w:p>
          <w:p>
            <w:pPr>
              <w:ind w:firstLine="444"/>
              <w:jc w:val="left"/>
              <w:spacing w:line="360" w:lineRule="auto"/>
              <w:widowControl/>
              <w:rPr>
                <w:rFonts w:ascii="宋体" w:hAnsi="宋体" w:cs="宋体"/>
                <w:szCs w:val="21"/>
              </w:rPr>
            </w:pPr>
            <w:r>
              <w:rPr>
                <w:rFonts w:hint="eastAsia" w:ascii="宋体" w:hAnsi="宋体" w:cs="宋体"/>
                <w:szCs w:val="21"/>
              </w:rPr>
              <w:t xml:space="preserve">（五）违章建筑、危险建筑、非法占用的财产。</w:t>
            </w:r>
            <w:r/>
          </w:p>
          <w:p>
            <w:pPr>
              <w:jc w:val="center"/>
              <w:spacing w:line="360" w:lineRule="auto"/>
              <w:widowControl/>
              <w:rPr>
                <w:rFonts w:ascii="宋体" w:hAnsi="宋体" w:cs="宋体"/>
                <w:szCs w:val="21"/>
              </w:rPr>
            </w:pPr>
            <w:r>
              <w:rPr>
                <w:rFonts w:hint="eastAsia" w:ascii="宋体" w:hAnsi="宋体" w:cs="宋体"/>
                <w:b/>
                <w:bCs/>
                <w:szCs w:val="21"/>
              </w:rPr>
              <w:t xml:space="preserve">保险责任</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第五条 </w:t>
            </w:r>
            <w:r>
              <w:rPr>
                <w:rFonts w:hint="eastAsia" w:ascii="宋体" w:hAnsi="宋体" w:cs="宋体"/>
                <w:szCs w:val="21"/>
              </w:rPr>
              <w:t xml:space="preserve">在保险期间内，本保险合同分项列明的保险财产在列明的工地范围内，因本保险合同责任免除以外的任何自然灾害或意外事故造成的物质损坏或灭失(以下简称“损失”)，保险人按本保险合同的约定负责赔偿。</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第六条</w:t>
            </w:r>
            <w:r>
              <w:rPr>
                <w:rFonts w:hint="eastAsia" w:ascii="宋体" w:hAnsi="宋体" w:cs="宋体"/>
                <w:szCs w:val="21"/>
              </w:rPr>
              <w:t xml:space="preserve"> 在保险期间内，由于第五条保险责任事故发生造成保险标的的损失所产生的以下费用，保险人按照本保险合同的约定负责赔偿：</w:t>
            </w:r>
            <w:r/>
          </w:p>
          <w:p>
            <w:pPr>
              <w:ind w:firstLine="480"/>
              <w:jc w:val="left"/>
              <w:spacing w:line="360" w:lineRule="auto"/>
              <w:widowControl/>
              <w:rPr>
                <w:rFonts w:ascii="宋体" w:hAnsi="宋体" w:cs="宋体"/>
                <w:szCs w:val="21"/>
              </w:rPr>
            </w:pPr>
            <w:r>
              <w:rPr>
                <w:rFonts w:hint="eastAsia" w:ascii="宋体" w:hAnsi="宋体" w:cs="宋体"/>
                <w:szCs w:val="21"/>
              </w:rPr>
              <w:t xml:space="preserve">（一）保险事故发生后，被保险人为防止或减少保险标的的损失所支付的必要的、合理的费用，保险人按照本保险合同的约定也负责赔偿。</w:t>
            </w:r>
            <w:r/>
          </w:p>
          <w:p>
            <w:pPr>
              <w:ind w:firstLine="480"/>
              <w:jc w:val="left"/>
              <w:spacing w:line="360" w:lineRule="auto"/>
              <w:widowControl/>
              <w:rPr>
                <w:rFonts w:ascii="宋体" w:hAnsi="宋体" w:cs="宋体"/>
                <w:szCs w:val="21"/>
              </w:rPr>
            </w:pPr>
            <w:r>
              <w:rPr>
                <w:rFonts w:hint="eastAsia" w:ascii="宋体" w:hAnsi="宋体" w:cs="宋体"/>
                <w:szCs w:val="21"/>
              </w:rPr>
              <w:t xml:space="preserve">（二）对经本保险合同列明的因发生上述损失所产生的其他有关费用，保险人按本保险合同约定负责赔偿。</w:t>
            </w:r>
            <w:r/>
          </w:p>
          <w:p>
            <w:pPr>
              <w:jc w:val="center"/>
              <w:spacing w:line="360" w:lineRule="auto"/>
              <w:widowControl/>
              <w:rPr>
                <w:rFonts w:ascii="宋体" w:hAnsi="宋体" w:cs="宋体"/>
                <w:szCs w:val="21"/>
              </w:rPr>
            </w:pPr>
            <w:r>
              <w:rPr>
                <w:rFonts w:hint="eastAsia" w:ascii="宋体" w:hAnsi="宋体" w:cs="宋体"/>
                <w:b/>
                <w:bCs/>
                <w:szCs w:val="21"/>
              </w:rPr>
              <w:t xml:space="preserve">责任免除</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第七条 下列原因造成的损失、费用，保险人不负责赔偿：</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（一）设计错误引起的损失和费用；</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（二）自然磨损、内在或潜在缺陷、物质本身变化、自燃、自热、氧化、锈蚀、渗漏、鼠咬、虫蛀、大气(气候或气温)变化、正常水位变化或其他渐变原因造成的保险财产自身的损失和费用；</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（三）因原材料缺陷或工艺不善引起的保险财产本身的损失以及为换置、修理或矫正这些缺点错误所支付的费用；</w:t>
            </w:r>
            <w:r/>
          </w:p>
          <w:p>
            <w:pPr>
              <w:jc w:val="left"/>
              <w:spacing w:line="360" w:lineRule="auto"/>
              <w:widowControl/>
              <w:rPr>
                <w:rFonts w:ascii="宋体" w:hAnsi="宋体" w:cs="宋体"/>
                <w:szCs w:val="21"/>
              </w:rPr>
            </w:pPr>
            <w:r>
              <w:rPr>
                <w:rFonts w:hint="eastAsia" w:ascii="宋体" w:hAnsi="宋体" w:cs="宋体"/>
                <w:b/>
                <w:bCs/>
                <w:szCs w:val="21"/>
              </w:rPr>
              <w:t xml:space="preserve">      （四）非外力引起的机械或电气装置的本身损失，或施工用机具、设备、机械装置失灵造成的本身损失。</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第八条 下列损失、费用，保险人也不负责赔偿：</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（一）维修保养或正常检修的费用；</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（二）档案、文件、账簿、票据、现金、各种有价证券、图表资料及包装物料的损失；</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（三）盘点时发现的短缺； </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（四）领有公共运输行驶执照的，或已由其他保险予以保障的车辆、船舶和飞机的损失；</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（五）除非另有约定，在保险工程开始以前已经存在或形成的位于工地范围内或其周围的属于被保险人的财产的损失；</w:t>
            </w:r>
            <w:r/>
          </w:p>
          <w:p>
            <w:pPr>
              <w:jc w:val="left"/>
              <w:spacing w:line="360" w:lineRule="auto"/>
              <w:widowControl/>
              <w:rPr>
                <w:rFonts w:ascii="宋体" w:hAnsi="宋体" w:cs="宋体"/>
                <w:szCs w:val="21"/>
              </w:rPr>
            </w:pPr>
            <w:r>
              <w:rPr>
                <w:rFonts w:hint="eastAsia" w:ascii="宋体" w:hAnsi="宋体" w:cs="宋体"/>
                <w:b/>
                <w:bCs/>
                <w:szCs w:val="21"/>
              </w:rPr>
              <w:t xml:space="preserve">      （六）除非另有约定，在本保险合同保险期间终止以前，保险财产中已由工程所有人签发完工验收证书或验收合格或实际占有或使用或接收部分的损失。</w:t>
            </w:r>
            <w:r/>
          </w:p>
          <w:p>
            <w:pPr>
              <w:jc w:val="center"/>
              <w:spacing w:line="360" w:lineRule="auto"/>
              <w:widowControl/>
              <w:rPr>
                <w:rFonts w:ascii="宋体" w:hAnsi="宋体" w:cs="宋体"/>
                <w:szCs w:val="21"/>
              </w:rPr>
            </w:pPr>
            <w:r>
              <w:rPr>
                <w:rFonts w:hint="eastAsia" w:ascii="宋体" w:hAnsi="宋体" w:cs="宋体"/>
                <w:b/>
                <w:bCs/>
                <w:szCs w:val="21"/>
              </w:rPr>
              <w:t xml:space="preserve">保险金额与免赔额（率）</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第九条</w:t>
            </w:r>
            <w:r>
              <w:rPr>
                <w:rFonts w:hint="eastAsia" w:ascii="宋体" w:hAnsi="宋体" w:cs="宋体"/>
                <w:szCs w:val="21"/>
              </w:rPr>
              <w:t xml:space="preserve"> (一) 本保险合同中列明的保险金额应不低于：</w:t>
            </w:r>
            <w:r/>
          </w:p>
          <w:p>
            <w:pPr>
              <w:jc w:val="left"/>
              <w:spacing w:line="360" w:lineRule="auto"/>
              <w:widowControl/>
              <w:rPr>
                <w:rFonts w:ascii="宋体" w:hAnsi="宋体" w:cs="宋体"/>
                <w:szCs w:val="21"/>
              </w:rPr>
            </w:pPr>
            <w:r>
              <w:rPr>
                <w:rFonts w:hint="eastAsia" w:ascii="宋体" w:hAnsi="宋体" w:cs="宋体"/>
                <w:szCs w:val="21"/>
              </w:rPr>
              <w:t xml:space="preserve">      1、建筑工程：保险工程建筑完成时的总价值，包括原材料费用、设备费用、建造费、安装费、运保费、关税、其他税项和费用，以及由工程所有人提供的原材料和设备的费用；</w:t>
            </w:r>
            <w:r/>
          </w:p>
          <w:p>
            <w:pPr>
              <w:jc w:val="left"/>
              <w:spacing w:line="360" w:lineRule="auto"/>
              <w:widowControl/>
              <w:rPr>
                <w:rFonts w:ascii="宋体" w:hAnsi="宋体" w:cs="宋体"/>
                <w:szCs w:val="21"/>
              </w:rPr>
            </w:pPr>
            <w:r>
              <w:rPr>
                <w:rFonts w:hint="eastAsia" w:ascii="宋体" w:hAnsi="宋体" w:cs="宋体"/>
                <w:szCs w:val="21"/>
              </w:rPr>
              <w:t xml:space="preserve">      2、其他保险项目： 由投保人与保险人商定的金额。</w:t>
            </w:r>
            <w:r/>
          </w:p>
          <w:p>
            <w:pPr>
              <w:jc w:val="left"/>
              <w:spacing w:line="360" w:lineRule="auto"/>
              <w:widowControl/>
              <w:rPr>
                <w:rFonts w:ascii="宋体" w:hAnsi="宋体" w:cs="宋体"/>
                <w:szCs w:val="21"/>
              </w:rPr>
            </w:pPr>
            <w:r>
              <w:rPr>
                <w:rFonts w:hint="eastAsia" w:ascii="宋体" w:hAnsi="宋体" w:cs="宋体"/>
                <w:szCs w:val="21"/>
              </w:rPr>
              <w:t xml:space="preserve">     （二）若投保人是以保险工程合同规定的工程概算总造价投保，投保人或被保险人应：</w:t>
            </w:r>
            <w:r/>
          </w:p>
          <w:p>
            <w:pPr>
              <w:jc w:val="left"/>
              <w:spacing w:line="360" w:lineRule="auto"/>
              <w:widowControl/>
              <w:rPr>
                <w:rFonts w:ascii="宋体" w:hAnsi="宋体" w:cs="宋体"/>
                <w:szCs w:val="21"/>
              </w:rPr>
            </w:pPr>
            <w:r>
              <w:rPr>
                <w:rFonts w:hint="eastAsia" w:ascii="宋体" w:hAnsi="宋体" w:cs="宋体"/>
                <w:szCs w:val="21"/>
              </w:rPr>
              <w:t xml:space="preserve">      1、在本保险项下工程造价中包括的各项费用因涨价或升值原因而超出保险工程造价时，必须尽快以书面通知保险人，保险人据此调整保险金额；</w:t>
            </w:r>
            <w:r/>
          </w:p>
          <w:p>
            <w:pPr>
              <w:jc w:val="left"/>
              <w:spacing w:line="360" w:lineRule="auto"/>
              <w:widowControl/>
              <w:rPr>
                <w:rFonts w:ascii="宋体" w:hAnsi="宋体" w:cs="宋体"/>
                <w:szCs w:val="21"/>
              </w:rPr>
            </w:pPr>
            <w:r>
              <w:rPr>
                <w:rFonts w:hint="eastAsia" w:ascii="宋体" w:hAnsi="宋体" w:cs="宋体"/>
                <w:szCs w:val="21"/>
              </w:rPr>
              <w:t xml:space="preserve">      2、在保险期间内对相应的工程细节作出精确记录，并允许保险人在合理的时候对该项记录进行查验；</w:t>
            </w:r>
            <w:r/>
          </w:p>
          <w:p>
            <w:pPr>
              <w:jc w:val="left"/>
              <w:spacing w:line="360" w:lineRule="auto"/>
              <w:widowControl/>
              <w:rPr>
                <w:rFonts w:ascii="宋体" w:hAnsi="宋体" w:cs="宋体"/>
                <w:szCs w:val="21"/>
              </w:rPr>
            </w:pPr>
            <w:r>
              <w:rPr>
                <w:rFonts w:hint="eastAsia" w:ascii="宋体" w:hAnsi="宋体" w:cs="宋体"/>
                <w:szCs w:val="21"/>
              </w:rPr>
              <w:t xml:space="preserve">      3、若保险工程的建造期超过三年，必须从本保险合同生效日起每隔十二个月向保险人申报当时的工程实际投入金额及调整后的工程总造价，保险人将据此调整保险费；</w:t>
            </w:r>
            <w:r/>
          </w:p>
          <w:p>
            <w:pPr>
              <w:ind w:firstLine="420"/>
              <w:jc w:val="left"/>
              <w:spacing w:line="360" w:lineRule="auto"/>
              <w:widowControl/>
              <w:rPr>
                <w:rFonts w:ascii="宋体" w:hAnsi="宋体" w:cs="宋体"/>
                <w:szCs w:val="21"/>
              </w:rPr>
            </w:pPr>
            <w:r>
              <w:rPr>
                <w:rFonts w:hint="eastAsia" w:ascii="宋体" w:hAnsi="宋体" w:cs="宋体"/>
                <w:szCs w:val="21"/>
              </w:rPr>
              <w:t xml:space="preserve">4、在本保险合同列明的保险期间届满后三个月内向保险人申报最终的工程总价值，保险人据此以多退少补的方式对预收保险费进行调整。</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第十条 </w:t>
            </w:r>
            <w:r>
              <w:rPr>
                <w:rFonts w:hint="eastAsia" w:ascii="宋体" w:hAnsi="宋体" w:cs="宋体"/>
                <w:szCs w:val="21"/>
              </w:rPr>
              <w:t xml:space="preserve">免赔额（率）由投保人与保险人在订立保险合同时协商确定，并在保险合同中载明。</w:t>
            </w:r>
            <w:r/>
          </w:p>
          <w:p>
            <w:pPr>
              <w:jc w:val="center"/>
              <w:spacing w:line="360" w:lineRule="auto"/>
              <w:widowControl/>
              <w:rPr>
                <w:rFonts w:ascii="宋体" w:hAnsi="宋体" w:cs="宋体"/>
                <w:szCs w:val="21"/>
              </w:rPr>
            </w:pPr>
            <w:r>
              <w:rPr>
                <w:rFonts w:hint="eastAsia" w:ascii="宋体" w:hAnsi="宋体" w:cs="宋体"/>
                <w:b/>
                <w:bCs/>
                <w:szCs w:val="21"/>
              </w:rPr>
              <w:t xml:space="preserve">赔偿处理</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第十一条 </w:t>
            </w:r>
            <w:r>
              <w:rPr>
                <w:rFonts w:hint="eastAsia" w:ascii="宋体" w:hAnsi="宋体" w:cs="宋体"/>
                <w:szCs w:val="21"/>
              </w:rPr>
              <w:t xml:space="preserve">对保险标的遭受的损失，保险人可选择以支付赔款或以修复、重置受损项目的方式予以赔偿，</w:t>
            </w:r>
            <w:r>
              <w:rPr>
                <w:rFonts w:hint="eastAsia" w:ascii="宋体" w:hAnsi="宋体" w:cs="宋体"/>
                <w:b/>
                <w:bCs/>
                <w:szCs w:val="21"/>
              </w:rPr>
              <w:t xml:space="preserve">对保险标的在修复或替换过程中，被保险人进行的任何变更、性能增加或改进所产生的额外费用，保险人不负责赔偿。</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第十二条 </w:t>
            </w:r>
            <w:r>
              <w:rPr>
                <w:rFonts w:hint="eastAsia" w:ascii="宋体" w:hAnsi="宋体" w:cs="宋体"/>
                <w:szCs w:val="21"/>
              </w:rPr>
              <w:t xml:space="preserve">在发生本保险单项下的损失后，保险人按下列方式确定损失金额：</w:t>
            </w:r>
            <w:r/>
          </w:p>
          <w:p>
            <w:pPr>
              <w:ind w:firstLine="420"/>
              <w:jc w:val="left"/>
              <w:spacing w:line="360" w:lineRule="auto"/>
              <w:widowControl/>
              <w:rPr>
                <w:rFonts w:ascii="宋体" w:hAnsi="宋体" w:cs="宋体"/>
                <w:szCs w:val="21"/>
              </w:rPr>
            </w:pPr>
            <w:r>
              <w:rPr>
                <w:rFonts w:hint="eastAsia" w:ascii="宋体" w:hAnsi="宋体" w:cs="宋体"/>
                <w:szCs w:val="21"/>
              </w:rPr>
              <w:t xml:space="preserve">（一）可以修复的部分损失：以将保险财产修复至其基本恢复受损前状态的费用考虑本保险合同第四十六条约定的残值处理方式后确定的赔偿金额为准。但若修复费用等于或超过保险财产损失前的价值时，则按下列第（二）款的规定处理；</w:t>
            </w:r>
            <w:r/>
          </w:p>
          <w:p>
            <w:pPr>
              <w:ind w:firstLine="420"/>
              <w:jc w:val="left"/>
              <w:spacing w:line="360" w:lineRule="auto"/>
              <w:widowControl/>
              <w:rPr>
                <w:rFonts w:ascii="宋体" w:hAnsi="宋体" w:cs="宋体"/>
                <w:szCs w:val="21"/>
              </w:rPr>
            </w:pPr>
            <w:r>
              <w:rPr>
                <w:rFonts w:hint="eastAsia" w:ascii="宋体" w:hAnsi="宋体" w:cs="宋体"/>
                <w:szCs w:val="21"/>
              </w:rPr>
              <w:t xml:space="preserve">（二）全部损失或推定全损：以保险财产损失前的实际价值考虑本保险合同第四十六条约定的残值处理方式后确定的赔偿金额为准。</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第十三条 </w:t>
            </w:r>
            <w:r>
              <w:rPr>
                <w:rFonts w:hint="eastAsia" w:ascii="宋体" w:hAnsi="宋体" w:cs="宋体"/>
                <w:szCs w:val="21"/>
              </w:rPr>
              <w:t xml:space="preserve">保险标的发生保险责任范围内的损失，保险人按以下方式计算赔偿：</w:t>
            </w:r>
            <w:r/>
          </w:p>
          <w:p>
            <w:pPr>
              <w:ind w:firstLine="420"/>
              <w:jc w:val="left"/>
              <w:spacing w:line="360" w:lineRule="auto"/>
              <w:widowControl/>
              <w:rPr>
                <w:rFonts w:ascii="宋体" w:hAnsi="宋体" w:cs="宋体"/>
                <w:szCs w:val="21"/>
              </w:rPr>
            </w:pPr>
            <w:r>
              <w:rPr>
                <w:rFonts w:hint="eastAsia" w:ascii="宋体" w:hAnsi="宋体" w:cs="宋体"/>
                <w:szCs w:val="21"/>
              </w:rPr>
              <w:t xml:space="preserve">（一）保险金额等于或高于应保险金额时，按实际损失计算赔偿，最高不超过应保险金额；</w:t>
            </w:r>
            <w:r/>
          </w:p>
          <w:p>
            <w:pPr>
              <w:ind w:firstLine="420"/>
              <w:jc w:val="left"/>
              <w:spacing w:line="360" w:lineRule="auto"/>
              <w:widowControl/>
              <w:rPr>
                <w:rFonts w:ascii="宋体" w:hAnsi="宋体" w:cs="宋体"/>
                <w:szCs w:val="21"/>
              </w:rPr>
            </w:pPr>
            <w:r>
              <w:rPr>
                <w:rFonts w:hint="eastAsia" w:ascii="宋体" w:hAnsi="宋体" w:cs="宋体"/>
                <w:szCs w:val="21"/>
              </w:rPr>
              <w:t xml:space="preserve">（二）保险金额低于应保险金额时，按保险金额与应保险金额的比例乘以实际损失计算赔偿，最高不超过保险金额。</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第十四条   </w:t>
            </w:r>
            <w:r>
              <w:rPr>
                <w:rFonts w:hint="eastAsia" w:ascii="宋体" w:hAnsi="宋体" w:cs="宋体"/>
                <w:szCs w:val="21"/>
              </w:rPr>
              <w:t xml:space="preserve">每次事故保险人的赔偿金额为根据第十三条约定计算的金额扣除每次事故免赔额后的金额，或者为根据第十三条约定计算的金额扣除该金额与免赔率乘积后的金额。</w:t>
            </w:r>
            <w:r/>
          </w:p>
          <w:p>
            <w:pPr>
              <w:ind w:firstLine="420"/>
              <w:jc w:val="left"/>
              <w:spacing w:line="360" w:lineRule="auto"/>
              <w:widowControl/>
              <w:rPr>
                <w:rFonts w:ascii="宋体" w:hAnsi="宋体" w:cs="宋体"/>
                <w:szCs w:val="21"/>
              </w:rPr>
            </w:pPr>
            <w:r>
              <w:rPr>
                <w:rFonts w:hint="eastAsia" w:ascii="宋体" w:hAnsi="宋体" w:cs="宋体"/>
                <w:szCs w:val="21"/>
              </w:rPr>
              <w:t xml:space="preserve">保险标的在连续72小时内遭受暴雨、台风、洪水或其它连续发生的自然灾害所致损失视为一次单独事件，在计算赔偿时视为一次保险事故，并扣减一个相应的免赔额（率）。被保险人可自行决定72小时的起始时间，但若在连续数个72小时时间内发生损失，任何两个或两个以上72小时期限不得重叠。</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第十五条 </w:t>
            </w:r>
            <w:r>
              <w:rPr>
                <w:rFonts w:hint="eastAsia" w:ascii="宋体" w:hAnsi="宋体" w:cs="宋体"/>
                <w:szCs w:val="21"/>
              </w:rPr>
              <w:t xml:space="preserve">若本保险合同所列标的不止一项时，应分项计算赔偿，保险人对每一保险项目的赔偿责任均不得超过本保险合同明细表对应列明的分项保险金额，以及本保险合同特别条款或批单中规定的其他适用的赔偿限额。在任何情况下，保险人在本保险合同下承担的对物质损失的最高赔偿金额不得超过保险合同明细表中列明的总保险金额。</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第十六条 </w:t>
            </w:r>
            <w:r>
              <w:rPr>
                <w:rFonts w:hint="eastAsia" w:ascii="宋体" w:hAnsi="宋体" w:cs="宋体"/>
                <w:szCs w:val="21"/>
              </w:rPr>
              <w:t xml:space="preserve">保险标的的保险金额大于或等于其应保险金额时，被保险人为防止或减少保险标的的损失所支付的必要的、合理的费用，在保险标的损失赔偿金额之外另行计算，最高不超过被施救标的的应保险金额。</w:t>
            </w:r>
            <w:r/>
          </w:p>
          <w:p>
            <w:pPr>
              <w:jc w:val="left"/>
              <w:spacing w:line="360" w:lineRule="auto"/>
              <w:widowControl/>
              <w:rPr>
                <w:rFonts w:ascii="宋体" w:hAnsi="宋体" w:cs="宋体"/>
                <w:szCs w:val="21"/>
              </w:rPr>
            </w:pPr>
            <w:r>
              <w:rPr>
                <w:rFonts w:hint="eastAsia" w:ascii="宋体" w:hAnsi="宋体" w:cs="宋体"/>
                <w:szCs w:val="21"/>
              </w:rPr>
              <w:t xml:space="preserve">保险标的的保险金额小于其应保险金额时，上述费用按被施救标的的保险金额与其应保险金额的比例在保险标的损失赔偿金额之外另行计算，最高不超过被施救标的的保险金额。</w:t>
            </w:r>
            <w:r/>
          </w:p>
          <w:p>
            <w:pPr>
              <w:ind w:firstLine="420"/>
              <w:jc w:val="left"/>
              <w:spacing w:line="360" w:lineRule="auto"/>
              <w:widowControl/>
              <w:rPr>
                <w:rFonts w:ascii="宋体" w:hAnsi="宋体" w:cs="宋体"/>
                <w:szCs w:val="21"/>
              </w:rPr>
            </w:pPr>
            <w:r>
              <w:rPr>
                <w:rFonts w:hint="eastAsia" w:ascii="宋体" w:hAnsi="宋体" w:cs="宋体"/>
                <w:szCs w:val="21"/>
              </w:rPr>
              <w:t xml:space="preserve">被施救的财产中，含有本保险合同未承保财产的，按被施救保险标的的应保险金额与全部被施救财产价值的比例分摊施救费用。</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第十七条 </w:t>
            </w:r>
            <w:r>
              <w:rPr>
                <w:rFonts w:hint="eastAsia" w:ascii="宋体" w:hAnsi="宋体" w:cs="宋体"/>
                <w:szCs w:val="21"/>
              </w:rPr>
              <w:t xml:space="preserve">保险标的发生部分损失，保险人履行赔偿义务后，本保险合同的保险金额自损失发生之日起按保险人的赔偿金额相应减少，保险人不退还保险金额减少部分的保险费。如投保人请求恢复至原保险金额，应按原约定的保险费率另行支付恢复部分从投保人请求的恢复日期起至保险期间届满之日止按日比例计算的保险费。</w:t>
            </w:r>
            <w:r/>
          </w:p>
          <w:p>
            <w:pPr>
              <w:jc w:val="center"/>
              <w:spacing w:line="360" w:lineRule="auto"/>
              <w:widowControl/>
              <w:rPr>
                <w:rFonts w:ascii="宋体" w:hAnsi="宋体" w:cs="宋体"/>
                <w:szCs w:val="21"/>
              </w:rPr>
            </w:pPr>
            <w:r>
              <w:rPr>
                <w:rFonts w:hint="eastAsia" w:ascii="宋体" w:hAnsi="宋体" w:cs="宋体"/>
                <w:b/>
                <w:bCs/>
                <w:szCs w:val="21"/>
              </w:rPr>
              <w:t xml:space="preserve"> </w:t>
            </w:r>
            <w:r/>
          </w:p>
          <w:p>
            <w:pPr>
              <w:jc w:val="center"/>
              <w:spacing w:line="360" w:lineRule="auto"/>
              <w:widowControl/>
              <w:rPr>
                <w:rFonts w:ascii="宋体" w:hAnsi="宋体" w:cs="宋体"/>
                <w:szCs w:val="21"/>
              </w:rPr>
            </w:pPr>
            <w:r>
              <w:rPr>
                <w:rFonts w:hint="eastAsia" w:ascii="宋体" w:hAnsi="宋体" w:cs="宋体"/>
                <w:b/>
                <w:bCs/>
                <w:szCs w:val="21"/>
              </w:rPr>
              <w:t xml:space="preserve">第二部分  第三者责任保险部分</w:t>
            </w:r>
            <w:r/>
          </w:p>
          <w:p>
            <w:pPr>
              <w:jc w:val="center"/>
              <w:spacing w:line="360" w:lineRule="auto"/>
              <w:widowControl/>
              <w:rPr>
                <w:rFonts w:ascii="宋体" w:hAnsi="宋体" w:cs="宋体"/>
                <w:szCs w:val="21"/>
              </w:rPr>
            </w:pPr>
            <w:r>
              <w:rPr>
                <w:rFonts w:hint="eastAsia" w:ascii="宋体" w:hAnsi="宋体" w:cs="宋体"/>
                <w:b/>
                <w:bCs/>
                <w:szCs w:val="21"/>
              </w:rPr>
              <w:t xml:space="preserve">保险责任</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第十八条 </w:t>
            </w:r>
            <w:r>
              <w:rPr>
                <w:rFonts w:hint="eastAsia" w:ascii="宋体" w:hAnsi="宋体" w:cs="宋体"/>
                <w:szCs w:val="21"/>
              </w:rPr>
              <w:t xml:space="preserve">在保险期间内，因发生与本保险合同所承保工程直接相关的意外事故引起工地内及邻近区域的第三者人身伤亡、疾病或财产损失,依法应由被保险人承担的经济赔偿责任，保险人按照本保险合同约定负责赔偿。</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第十九条 </w:t>
            </w:r>
            <w:r>
              <w:rPr>
                <w:rFonts w:hint="eastAsia" w:ascii="宋体" w:hAnsi="宋体" w:cs="宋体"/>
                <w:szCs w:val="21"/>
              </w:rPr>
              <w:t xml:space="preserve">本项保险事故发生后，被保险人因保险事故而被提起仲裁或者诉讼的，对应由被保险人支付的仲裁或诉讼费用以及其他必要的、合理的费用（以下简称“法律费用”），经保险人书面同意，保险人按照本保险合同约定也负责赔偿。</w:t>
            </w:r>
            <w:r/>
          </w:p>
          <w:p>
            <w:pPr>
              <w:jc w:val="center"/>
              <w:spacing w:line="360" w:lineRule="auto"/>
              <w:widowControl/>
              <w:rPr>
                <w:rFonts w:ascii="宋体" w:hAnsi="宋体" w:cs="宋体"/>
                <w:szCs w:val="21"/>
              </w:rPr>
            </w:pPr>
            <w:r>
              <w:rPr>
                <w:rFonts w:hint="eastAsia" w:ascii="宋体" w:hAnsi="宋体" w:cs="宋体"/>
                <w:b/>
                <w:bCs/>
                <w:szCs w:val="21"/>
              </w:rPr>
              <w:t xml:space="preserve">责任免除</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第二十条 下列原因造成的损失、费用，保险人不负责赔偿：</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（一）由于震动、移动或减弱支撑而造成的任何财产、土地、建筑物的损失及由此造成的任何人身伤害和物质损失；</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（二）领有公共运输行驶执照的车辆、船舶、航空器造成的事故。</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第二十一条 下列损失、费用，保险人也不负责赔偿：</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（一）本保险合同物质损失项下或本应在该项下予以负责的损失及各种费用；</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（二）工程所有人、承包人或其他关系方或其所雇用的在工地现场从事与工程有关工作的职员、工人及上述人员的家庭成员的人身伤亡或疾病；</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（三）工程所有人、承包人或其他关系方或其所雇用的职员、工人所有的或由上述人员所照管、控制的财产发生的损失；</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（四）被保险人应该承担的合同责任，但无合同存在时仍然应由被保险人承担的法律责任不在此限。</w:t>
            </w:r>
            <w:r/>
          </w:p>
          <w:p>
            <w:pPr>
              <w:ind w:firstLine="435"/>
              <w:jc w:val="center"/>
              <w:spacing w:line="360" w:lineRule="auto"/>
              <w:widowControl/>
              <w:rPr>
                <w:rFonts w:ascii="宋体" w:hAnsi="宋体" w:cs="宋体"/>
                <w:szCs w:val="21"/>
              </w:rPr>
            </w:pPr>
            <w:r>
              <w:rPr>
                <w:rFonts w:hint="eastAsia" w:ascii="宋体" w:hAnsi="宋体" w:cs="宋体"/>
                <w:b/>
                <w:bCs/>
                <w:szCs w:val="21"/>
              </w:rPr>
              <w:t xml:space="preserve">责任限额与免赔额（率）</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第二十二条 </w:t>
            </w:r>
            <w:r>
              <w:rPr>
                <w:rFonts w:hint="eastAsia" w:ascii="宋体" w:hAnsi="宋体" w:cs="宋体"/>
                <w:szCs w:val="21"/>
              </w:rPr>
              <w:t xml:space="preserve">责任限额包括每次事故责任限额、每人人身伤亡责任限额、累计责任限额，由投保人与保险人协商确定，并在保险合同中载明。</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第二十三条 </w:t>
            </w:r>
            <w:r>
              <w:rPr>
                <w:rFonts w:hint="eastAsia" w:ascii="宋体" w:hAnsi="宋体" w:cs="宋体"/>
                <w:szCs w:val="21"/>
              </w:rPr>
              <w:t xml:space="preserve">每次事故免赔额（率）由投保人与保险人在订立保险合同时协商确定，并在保险合同中载明。</w:t>
            </w:r>
            <w:r/>
          </w:p>
          <w:p>
            <w:pPr>
              <w:jc w:val="center"/>
              <w:spacing w:line="360" w:lineRule="auto"/>
              <w:widowControl/>
              <w:rPr>
                <w:rFonts w:ascii="宋体" w:hAnsi="宋体" w:cs="宋体"/>
                <w:szCs w:val="21"/>
              </w:rPr>
            </w:pPr>
            <w:r>
              <w:rPr>
                <w:rFonts w:hint="eastAsia" w:ascii="宋体" w:hAnsi="宋体" w:cs="宋体"/>
                <w:b/>
                <w:bCs/>
                <w:szCs w:val="21"/>
              </w:rPr>
              <w:t xml:space="preserve">赔偿处理</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第二十四条 </w:t>
            </w:r>
            <w:r>
              <w:rPr>
                <w:rFonts w:hint="eastAsia" w:ascii="宋体" w:hAnsi="宋体" w:cs="宋体"/>
                <w:szCs w:val="21"/>
              </w:rPr>
              <w:t xml:space="preserve">保险人的赔偿以下列方式之一确定的被保险人的赔偿责任为基础：</w:t>
            </w:r>
            <w:r/>
          </w:p>
          <w:p>
            <w:pPr>
              <w:ind w:firstLine="420"/>
              <w:jc w:val="left"/>
              <w:spacing w:line="360" w:lineRule="auto"/>
              <w:widowControl/>
              <w:rPr>
                <w:rFonts w:ascii="宋体" w:hAnsi="宋体" w:cs="宋体"/>
                <w:szCs w:val="21"/>
              </w:rPr>
            </w:pPr>
            <w:r>
              <w:rPr>
                <w:rFonts w:hint="eastAsia" w:ascii="宋体" w:hAnsi="宋体" w:cs="宋体"/>
                <w:szCs w:val="21"/>
              </w:rPr>
              <w:t xml:space="preserve">（一）被保险人和向其提出损害赔偿请求的索赔方协商并经保险人确认；</w:t>
            </w:r>
            <w:r/>
          </w:p>
          <w:p>
            <w:pPr>
              <w:ind w:firstLine="420"/>
              <w:jc w:val="left"/>
              <w:spacing w:line="360" w:lineRule="auto"/>
              <w:widowControl/>
              <w:rPr>
                <w:rFonts w:ascii="宋体" w:hAnsi="宋体" w:cs="宋体"/>
                <w:szCs w:val="21"/>
              </w:rPr>
            </w:pPr>
            <w:r>
              <w:rPr>
                <w:rFonts w:hint="eastAsia" w:ascii="宋体" w:hAnsi="宋体" w:cs="宋体"/>
                <w:szCs w:val="21"/>
              </w:rPr>
              <w:t xml:space="preserve">（二）仲裁机构裁决；</w:t>
            </w:r>
            <w:r/>
          </w:p>
          <w:p>
            <w:pPr>
              <w:ind w:firstLine="420"/>
              <w:jc w:val="left"/>
              <w:spacing w:line="360" w:lineRule="auto"/>
              <w:widowControl/>
              <w:rPr>
                <w:rFonts w:ascii="宋体" w:hAnsi="宋体" w:cs="宋体"/>
                <w:szCs w:val="21"/>
              </w:rPr>
            </w:pPr>
            <w:r>
              <w:rPr>
                <w:rFonts w:hint="eastAsia" w:ascii="宋体" w:hAnsi="宋体" w:cs="宋体"/>
                <w:szCs w:val="21"/>
              </w:rPr>
              <w:t xml:space="preserve">（三）人民法院判决；</w:t>
            </w:r>
            <w:r/>
          </w:p>
          <w:p>
            <w:pPr>
              <w:ind w:firstLine="420"/>
              <w:jc w:val="left"/>
              <w:spacing w:line="360" w:lineRule="auto"/>
              <w:widowControl/>
              <w:rPr>
                <w:rFonts w:ascii="宋体" w:hAnsi="宋体" w:cs="宋体"/>
                <w:szCs w:val="21"/>
              </w:rPr>
            </w:pPr>
            <w:r>
              <w:rPr>
                <w:rFonts w:hint="eastAsia" w:ascii="宋体" w:hAnsi="宋体" w:cs="宋体"/>
                <w:szCs w:val="21"/>
              </w:rPr>
              <w:t xml:space="preserve">（四）保险人认可的其他方式。</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第二十五条 </w:t>
            </w:r>
            <w:r>
              <w:rPr>
                <w:rFonts w:hint="eastAsia" w:ascii="宋体" w:hAnsi="宋体" w:cs="宋体"/>
                <w:szCs w:val="21"/>
              </w:rPr>
              <w:t xml:space="preserve"> 在保险期间内发生保险责任范围内的损失，保险人按以下方式计算赔偿：</w:t>
            </w:r>
            <w:r/>
          </w:p>
          <w:p>
            <w:pPr>
              <w:ind w:firstLine="420"/>
              <w:jc w:val="left"/>
              <w:spacing w:line="360" w:lineRule="auto"/>
              <w:widowControl/>
              <w:rPr>
                <w:rFonts w:ascii="宋体" w:hAnsi="宋体" w:cs="宋体"/>
                <w:szCs w:val="21"/>
              </w:rPr>
            </w:pPr>
            <w:r>
              <w:rPr>
                <w:rFonts w:hint="eastAsia" w:ascii="宋体" w:hAnsi="宋体" w:cs="宋体"/>
                <w:szCs w:val="21"/>
              </w:rPr>
              <w:t xml:space="preserve">（一）对于每次事故造成的损失，保险人在每次事故责任限额内计算赔偿，其中对每人人身伤亡的赔偿金额不得超过每人人身伤亡责任限额</w:t>
            </w:r>
            <w:r>
              <w:rPr>
                <w:rFonts w:hint="eastAsia" w:ascii="宋体" w:hAnsi="宋体" w:cs="宋体"/>
                <w:b/>
                <w:bCs/>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（二）1、在依据本条第（一）项计算的基础上，保险人在扣除本保险合同载明的每次事故免赔额后进行赔偿，但对于人身伤亡的赔偿不扣除每次事故免赔额；</w:t>
            </w:r>
            <w:r/>
          </w:p>
          <w:p>
            <w:pPr>
              <w:jc w:val="left"/>
              <w:spacing w:line="360" w:lineRule="auto"/>
              <w:widowControl/>
              <w:rPr>
                <w:rFonts w:ascii="宋体" w:hAnsi="宋体" w:cs="宋体"/>
                <w:szCs w:val="21"/>
              </w:rPr>
            </w:pPr>
            <w:r>
              <w:rPr>
                <w:rFonts w:hint="eastAsia" w:ascii="宋体" w:hAnsi="宋体" w:cs="宋体"/>
                <w:szCs w:val="21"/>
              </w:rPr>
              <w:t xml:space="preserve">      2、在依据本条第（一）项计算的基础上，保险人在扣除按本保险合同载明的每次事故免赔率计算的每次事故免赔额后进行赔偿，但对于人身伤亡的赔偿不扣除每次事故免赔额；</w:t>
            </w:r>
            <w:r/>
          </w:p>
          <w:p>
            <w:pPr>
              <w:ind w:firstLine="420"/>
              <w:jc w:val="left"/>
              <w:spacing w:line="360" w:lineRule="auto"/>
              <w:widowControl/>
              <w:rPr>
                <w:rFonts w:ascii="宋体" w:hAnsi="宋体" w:cs="宋体"/>
                <w:szCs w:val="21"/>
              </w:rPr>
            </w:pPr>
            <w:r>
              <w:rPr>
                <w:rFonts w:hint="eastAsia" w:ascii="宋体" w:hAnsi="宋体" w:cs="宋体"/>
                <w:szCs w:val="21"/>
              </w:rPr>
              <w:t xml:space="preserve">（三）保险人对多次事故损失的累计赔偿金额不超过本保险合同列明的累计赔偿限额。</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第二十六条 </w:t>
            </w:r>
            <w:r>
              <w:rPr>
                <w:rFonts w:hint="eastAsia" w:ascii="宋体" w:hAnsi="宋体" w:cs="宋体"/>
                <w:szCs w:val="21"/>
              </w:rPr>
              <w:t xml:space="preserve">对每次事故法律费用的赔偿金额，保险人在第二十五条计算的赔偿金额以外按本保险合同的约定另行计算。</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第二十七条  </w:t>
            </w:r>
            <w:r>
              <w:rPr>
                <w:rFonts w:hint="eastAsia" w:ascii="宋体" w:hAnsi="宋体" w:cs="宋体"/>
                <w:szCs w:val="21"/>
              </w:rPr>
              <w:t xml:space="preserve">保险人对被保险人给第三者造成的损害，可以依照法律的规定或者本保险合同的约定，直接向该第三者赔偿保险金。</w:t>
            </w:r>
            <w:r/>
          </w:p>
          <w:p>
            <w:pPr>
              <w:jc w:val="left"/>
              <w:spacing w:line="360" w:lineRule="auto"/>
              <w:widowControl/>
              <w:rPr>
                <w:rFonts w:ascii="宋体" w:hAnsi="宋体" w:cs="宋体"/>
                <w:szCs w:val="21"/>
              </w:rPr>
            </w:pPr>
            <w:r>
              <w:rPr>
                <w:rFonts w:hint="eastAsia" w:ascii="宋体" w:hAnsi="宋体" w:cs="宋体"/>
                <w:szCs w:val="21"/>
              </w:rPr>
              <w:t xml:space="preserve">      被保险人给第三者造成损害，被保险人对第三者应负的赔偿责任确定的，根据被保险人的请求，保险人应当直接向该第三者赔偿保险金。被保险人怠于请求的，第三者有权就其应获赔偿部分直接向保险人请求赔偿保险金。被保险人给第三者造成损害，被保险人未向该第三者赔偿的，保险人不得向被保险人赔偿保险金。</w:t>
            </w:r>
            <w:r/>
          </w:p>
          <w:p>
            <w:pPr>
              <w:jc w:val="center"/>
              <w:spacing w:line="360" w:lineRule="auto"/>
              <w:widowControl/>
              <w:rPr>
                <w:rFonts w:ascii="宋体" w:hAnsi="宋体" w:cs="宋体"/>
                <w:szCs w:val="21"/>
              </w:rPr>
            </w:pPr>
            <w:r>
              <w:rPr>
                <w:rFonts w:hint="eastAsia" w:ascii="宋体" w:hAnsi="宋体" w:cs="宋体"/>
                <w:b/>
                <w:bCs/>
                <w:szCs w:val="21"/>
              </w:rPr>
              <w:t xml:space="preserve"> </w:t>
            </w:r>
            <w:r/>
          </w:p>
          <w:p>
            <w:pPr>
              <w:jc w:val="center"/>
              <w:spacing w:line="360" w:lineRule="auto"/>
              <w:widowControl/>
              <w:rPr>
                <w:rFonts w:ascii="宋体" w:hAnsi="宋体" w:cs="宋体"/>
                <w:szCs w:val="21"/>
              </w:rPr>
            </w:pPr>
            <w:r>
              <w:rPr>
                <w:rFonts w:hint="eastAsia" w:ascii="宋体" w:hAnsi="宋体" w:cs="宋体"/>
                <w:b/>
                <w:bCs/>
                <w:szCs w:val="21"/>
              </w:rPr>
              <w:t xml:space="preserve">第三部分 通用条款</w:t>
            </w:r>
            <w:r/>
          </w:p>
          <w:p>
            <w:pPr>
              <w:jc w:val="center"/>
              <w:spacing w:line="360" w:lineRule="auto"/>
              <w:widowControl/>
              <w:rPr>
                <w:rFonts w:ascii="宋体" w:hAnsi="宋体" w:cs="宋体"/>
                <w:szCs w:val="21"/>
              </w:rPr>
            </w:pPr>
            <w:r>
              <w:rPr>
                <w:rFonts w:hint="eastAsia" w:ascii="宋体" w:hAnsi="宋体" w:cs="宋体"/>
                <w:b/>
                <w:bCs/>
                <w:szCs w:val="21"/>
              </w:rPr>
              <w:t xml:space="preserve">责任免除</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第二十八条 下列原因造成的损失、费用和责任，保险人不负责赔偿：</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（一）战争、类似战争行为、敌对行为、武装冲突、恐怖活动、谋反、政变；</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（二）行政行为或司法行为；</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（三）罢工、暴动、民众骚乱；</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（四）被保险人及其代表的故意行为或重大过失行为；</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（五）核裂变、核聚变、核武器、核材料、核辐射、核爆炸、核污染及其他放射性污染；</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（六）大气污染、土地污染、水污染及其他各种污染。</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第二十九条  下列损失、费用，保险人也不负责赔偿：</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（一）工程部分停工或全部停工引起的任何损失、费用和责任。</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（二）罚金、延误、丧失合同及其他后果损失；</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（三）1.本保险合同中载明的免赔额；</w:t>
            </w:r>
            <w:r/>
          </w:p>
          <w:p>
            <w:pPr>
              <w:ind w:firstLine="1054"/>
              <w:jc w:val="left"/>
              <w:spacing w:line="360" w:lineRule="auto"/>
              <w:widowControl/>
              <w:rPr>
                <w:rFonts w:ascii="宋体" w:hAnsi="宋体" w:cs="宋体"/>
                <w:szCs w:val="21"/>
              </w:rPr>
            </w:pPr>
            <w:r>
              <w:rPr>
                <w:rFonts w:hint="eastAsia" w:ascii="宋体" w:hAnsi="宋体" w:cs="宋体"/>
                <w:b/>
                <w:bCs/>
                <w:szCs w:val="21"/>
              </w:rPr>
              <w:t xml:space="preserve">2.按本保险合同中载明的免赔率计算的免赔额。</w:t>
            </w:r>
            <w:r/>
          </w:p>
          <w:p>
            <w:pPr>
              <w:jc w:val="center"/>
              <w:spacing w:line="360" w:lineRule="auto"/>
              <w:widowControl/>
              <w:rPr>
                <w:rFonts w:ascii="宋体" w:hAnsi="宋体" w:cs="宋体"/>
                <w:szCs w:val="21"/>
              </w:rPr>
            </w:pPr>
            <w:r>
              <w:rPr>
                <w:rFonts w:hint="eastAsia" w:ascii="宋体" w:hAnsi="宋体" w:cs="宋体"/>
                <w:b/>
                <w:bCs/>
                <w:szCs w:val="21"/>
              </w:rPr>
              <w:t xml:space="preserve">保险期间</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第三十条 </w:t>
            </w:r>
            <w:r>
              <w:rPr>
                <w:rFonts w:hint="eastAsia" w:ascii="宋体" w:hAnsi="宋体" w:cs="宋体"/>
                <w:szCs w:val="21"/>
              </w:rPr>
              <w:t xml:space="preserve">本保险合同保险期间遵循如下约定：</w:t>
            </w:r>
            <w:r/>
          </w:p>
          <w:p>
            <w:pPr>
              <w:jc w:val="left"/>
              <w:spacing w:line="360" w:lineRule="auto"/>
              <w:widowControl/>
              <w:rPr>
                <w:rFonts w:ascii="宋体" w:hAnsi="宋体" w:cs="宋体"/>
                <w:szCs w:val="21"/>
              </w:rPr>
            </w:pPr>
            <w:r>
              <w:rPr>
                <w:rFonts w:hint="eastAsia" w:ascii="宋体" w:hAnsi="宋体" w:cs="宋体"/>
                <w:szCs w:val="21"/>
              </w:rPr>
              <w:t xml:space="preserve">      （一）保险人的保险责任自保险工程在工地动工或用于保险工程的材料、设备运抵工地之时起始，至工程所有人对部分或全部工程签发完工验收证书或验收合格，或工程所有人实际占有或使用或接收该部分或全部工程之时终止，以先发生者为准。但在任何情况下，建筑期保险责任的起始或终止不得超出本保险单载明的建筑保险期间范围。</w:t>
            </w:r>
            <w:r/>
          </w:p>
          <w:p>
            <w:pPr>
              <w:ind w:firstLine="420"/>
              <w:jc w:val="left"/>
              <w:spacing w:line="360" w:lineRule="auto"/>
              <w:widowControl/>
              <w:rPr>
                <w:rFonts w:ascii="宋体" w:hAnsi="宋体" w:cs="宋体"/>
                <w:szCs w:val="21"/>
              </w:rPr>
            </w:pPr>
            <w:r>
              <w:rPr>
                <w:rFonts w:hint="eastAsia" w:ascii="宋体" w:hAnsi="宋体" w:cs="宋体"/>
                <w:szCs w:val="21"/>
              </w:rPr>
              <w:t xml:space="preserve">（二）不论有关合同中对试车和考核期如何规定，保险人仅在本保险合同明细表中列明的试车和考核期间内对试车和考核所引发的损失、费用和责任负责赔偿；若保险设备本身是在本次安装前已被使用过的设备或转手设备，则自其试车之时起，保险人对该项设备的保险责任即行终止。</w:t>
            </w:r>
            <w:r/>
          </w:p>
          <w:p>
            <w:pPr>
              <w:ind w:firstLine="420"/>
              <w:jc w:val="left"/>
              <w:spacing w:line="360" w:lineRule="auto"/>
              <w:widowControl/>
              <w:rPr>
                <w:rFonts w:ascii="宋体" w:hAnsi="宋体" w:cs="宋体"/>
                <w:szCs w:val="21"/>
              </w:rPr>
            </w:pPr>
            <w:r>
              <w:rPr>
                <w:rFonts w:hint="eastAsia" w:ascii="宋体" w:hAnsi="宋体" w:cs="宋体"/>
                <w:szCs w:val="21"/>
              </w:rPr>
              <w:t xml:space="preserve">（三）上述保险期间的展延，投保人须事先获得保险人的书面同意，否则，从本保险合同明细表中列明的建筑期保险期间终止日之后发生的任何损失、费用和责任，保险人不负责赔偿。</w:t>
            </w:r>
            <w:r>
              <w:rPr>
                <w:rFonts w:hint="eastAsia" w:ascii="宋体" w:hAnsi="宋体" w:cs="宋体"/>
                <w:i/>
                <w:iCs/>
                <w:szCs w:val="21"/>
              </w:rPr>
              <w:t xml:space="preserve"> </w:t>
            </w:r>
            <w:r/>
          </w:p>
          <w:p>
            <w:pPr>
              <w:jc w:val="center"/>
              <w:spacing w:line="360" w:lineRule="auto"/>
              <w:widowControl/>
              <w:rPr>
                <w:rFonts w:ascii="宋体" w:hAnsi="宋体" w:cs="宋体"/>
                <w:szCs w:val="21"/>
              </w:rPr>
            </w:pPr>
            <w:r>
              <w:rPr>
                <w:rFonts w:hint="eastAsia" w:ascii="宋体" w:hAnsi="宋体" w:cs="宋体"/>
                <w:b/>
                <w:bCs/>
                <w:szCs w:val="21"/>
              </w:rPr>
              <w:t xml:space="preserve">保险人义务</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第三十一条 </w:t>
            </w:r>
            <w:r>
              <w:rPr>
                <w:rFonts w:hint="eastAsia" w:ascii="宋体" w:hAnsi="宋体" w:cs="宋体"/>
                <w:szCs w:val="21"/>
              </w:rPr>
              <w:t xml:space="preserve">订立保险合同时，采用保险人提供的格式条款的，保险人向投保人提供的投保单应当附格式条款，保险人应当向投保人说明保险合同的内容。对保险合同中免除保险人责任的条款，保险人在订立合同时应当在投保单、保险单或者批单上作出足以引起投保人注意的提示，并对该条款的内容以书面或者口头形式向投保人作出明确说明；未作提示或者明确说明的，该条款不产生效力。</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第三十二条 </w:t>
            </w:r>
            <w:r>
              <w:rPr>
                <w:rFonts w:hint="eastAsia" w:ascii="宋体" w:hAnsi="宋体" w:cs="宋体"/>
                <w:szCs w:val="21"/>
              </w:rPr>
              <w:t xml:space="preserve">本保险合同成立后，保险人应当及时向投保人签发保险单或批单。</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第三十三条 </w:t>
            </w:r>
            <w:r>
              <w:rPr>
                <w:rFonts w:hint="eastAsia" w:ascii="宋体" w:hAnsi="宋体" w:cs="宋体"/>
                <w:szCs w:val="21"/>
              </w:rPr>
              <w:t xml:space="preserve">保险人依据第三十七条所取得的保险合同解除权，自保险人知道有解除事由之日起，超过三十日不行使而消灭。自保险合同成立之日起超过二年的，保险人不得解除合同；发生保险事故的，保险人承担赔偿责任。</w:t>
            </w:r>
            <w:r/>
          </w:p>
          <w:p>
            <w:pPr>
              <w:ind w:firstLine="420"/>
              <w:jc w:val="left"/>
              <w:spacing w:line="360" w:lineRule="auto"/>
              <w:widowControl/>
              <w:rPr>
                <w:rFonts w:ascii="宋体" w:hAnsi="宋体" w:cs="宋体"/>
                <w:szCs w:val="21"/>
              </w:rPr>
            </w:pPr>
            <w:r>
              <w:rPr>
                <w:rFonts w:hint="eastAsia" w:ascii="宋体" w:hAnsi="宋体" w:cs="宋体"/>
                <w:szCs w:val="21"/>
              </w:rPr>
              <w:t xml:space="preserve">保险人在合同订立时已经知道投保人未如实告知的情况的，保险人不得解除合同；发生保险事故的，保险人应当承担赔偿责任。</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第三十四条 </w:t>
            </w:r>
            <w:r>
              <w:rPr>
                <w:rFonts w:hint="eastAsia" w:ascii="宋体" w:hAnsi="宋体" w:cs="宋体"/>
                <w:szCs w:val="21"/>
              </w:rPr>
              <w:t xml:space="preserve">保险人按照第四十三条的约定，认为被保险人提供的有关索赔的证明和资料不完整的，应当及时一次性通知投保人、被保险人补充提供。</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第三十五条 </w:t>
            </w:r>
            <w:r>
              <w:rPr>
                <w:rFonts w:hint="eastAsia" w:ascii="宋体" w:hAnsi="宋体" w:cs="宋体"/>
                <w:szCs w:val="21"/>
              </w:rPr>
              <w:t xml:space="preserve">保险人收到被保险人的赔偿保险金的请求后，应当及时作出是否属于保险责任的核定；情形复杂的，应当在三十日内作出核定，但保险合同另有约定的除外。</w:t>
            </w:r>
            <w:r/>
          </w:p>
          <w:p>
            <w:pPr>
              <w:ind w:firstLine="412"/>
              <w:jc w:val="left"/>
              <w:spacing w:line="360" w:lineRule="auto"/>
              <w:widowControl/>
              <w:rPr>
                <w:rFonts w:ascii="宋体" w:hAnsi="宋体" w:cs="宋体"/>
                <w:szCs w:val="21"/>
              </w:rPr>
            </w:pPr>
            <w:r>
              <w:rPr>
                <w:rFonts w:hint="eastAsia" w:ascii="宋体" w:hAnsi="宋体" w:cs="宋体"/>
                <w:szCs w:val="21"/>
              </w:rPr>
              <w:t xml:space="preserve">保险人应当将核定结果通知被保险人；对属于保险责任的，在与被保险人达成赔偿保险金的协议后十日内，履行赔偿保险金义务。保险合同对赔偿保险金的期限有约定的，保险人应当按照约定履行赔偿保险金的义务。保险人依照前款约定作出核定后，对不属于保险责任的，应当自作出核定之日起三日内向被保险人发出拒绝赔偿保险金通知书，并说明理由。</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第三十六条 </w:t>
            </w:r>
            <w:r>
              <w:rPr>
                <w:rFonts w:hint="eastAsia" w:ascii="宋体" w:hAnsi="宋体" w:cs="宋体"/>
                <w:szCs w:val="21"/>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 </w:t>
            </w:r>
            <w:r/>
          </w:p>
          <w:p>
            <w:pPr>
              <w:jc w:val="center"/>
              <w:spacing w:line="360" w:lineRule="auto"/>
              <w:widowControl/>
              <w:rPr>
                <w:rFonts w:ascii="宋体" w:hAnsi="宋体" w:cs="宋体"/>
                <w:szCs w:val="21"/>
              </w:rPr>
            </w:pPr>
            <w:r>
              <w:rPr>
                <w:rFonts w:hint="eastAsia" w:ascii="宋体" w:hAnsi="宋体" w:cs="宋体"/>
                <w:b/>
                <w:bCs/>
                <w:szCs w:val="21"/>
              </w:rPr>
              <w:t xml:space="preserve">投保人、被保险人义务</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第三十七条 </w:t>
            </w:r>
            <w:r>
              <w:rPr>
                <w:rFonts w:hint="eastAsia" w:ascii="宋体" w:hAnsi="宋体" w:cs="宋体"/>
                <w:szCs w:val="21"/>
              </w:rPr>
              <w:t xml:space="preserve">订立保险合同，保险人就保险标的或者被保险人的有关情况提出询问的，投保人应当如实告知。</w:t>
            </w:r>
            <w:r/>
          </w:p>
          <w:p>
            <w:pPr>
              <w:ind w:firstLine="420"/>
              <w:jc w:val="left"/>
              <w:spacing w:line="360" w:lineRule="auto"/>
              <w:widowControl/>
              <w:rPr>
                <w:rFonts w:ascii="宋体" w:hAnsi="宋体" w:cs="宋体"/>
                <w:szCs w:val="21"/>
              </w:rPr>
            </w:pPr>
            <w:r>
              <w:rPr>
                <w:rFonts w:hint="eastAsia" w:ascii="宋体" w:hAnsi="宋体" w:cs="宋体"/>
                <w:szCs w:val="21"/>
              </w:rPr>
              <w:t xml:space="preserve">投保人故意或者因重大过失未履行前款规定的如实告知义务，足以影响保险人决定是否同意承保或者提高保险费率的，保险人有权解除保险合同。</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投保人故意不履行如实告知义务的，保险人对于合同解除前发生的保险事故，不承担赔偿责任，并不退还保险费。</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投保人因重大过失未履行如实告知义务，对保险事故的发生有严重影响的，保险人对于合同解除前发生的保险事故，不承担赔偿责任，但应当退还保险费。</w:t>
            </w:r>
            <w:r/>
          </w:p>
          <w:p>
            <w:pPr>
              <w:ind w:firstLine="420"/>
              <w:jc w:val="left"/>
              <w:spacing w:line="360" w:lineRule="auto"/>
              <w:widowControl/>
              <w:rPr>
                <w:rFonts w:ascii="宋体" w:hAnsi="宋体" w:cs="宋体"/>
                <w:szCs w:val="21"/>
              </w:rPr>
            </w:pPr>
            <w:r>
              <w:rPr>
                <w:rFonts w:hint="eastAsia" w:ascii="宋体" w:hAnsi="宋体" w:cs="宋体"/>
                <w:b/>
                <w:bCs/>
                <w:szCs w:val="21"/>
              </w:rPr>
              <w:t xml:space="preserve">第三十八条 </w:t>
            </w:r>
            <w:r>
              <w:rPr>
                <w:rFonts w:hint="eastAsia" w:ascii="宋体" w:hAnsi="宋体" w:cs="宋体"/>
                <w:szCs w:val="21"/>
              </w:rPr>
              <w:t xml:space="preserve">投保人应按约定交付保险费。</w:t>
            </w:r>
            <w:r/>
          </w:p>
          <w:p>
            <w:pPr>
              <w:ind w:firstLine="420"/>
              <w:jc w:val="left"/>
              <w:spacing w:line="360" w:lineRule="auto"/>
              <w:widowControl/>
              <w:rPr>
                <w:rFonts w:ascii="宋体" w:hAnsi="宋体" w:cs="宋体"/>
                <w:szCs w:val="21"/>
              </w:rPr>
            </w:pPr>
            <w:r>
              <w:rPr>
                <w:rFonts w:hint="eastAsia" w:ascii="宋体" w:hAnsi="宋体" w:cs="宋体"/>
                <w:szCs w:val="21"/>
              </w:rPr>
              <w:t xml:space="preserve">约定一次性交付保险费的，</w:t>
            </w:r>
            <w:r>
              <w:rPr>
                <w:rFonts w:hint="eastAsia" w:ascii="宋体" w:hAnsi="宋体" w:cs="宋体"/>
                <w:b/>
                <w:bCs/>
                <w:szCs w:val="21"/>
              </w:rPr>
              <w:t xml:space="preserve">投保人在约定交费日后交付保险费的，保险人对交费之前发生的保险事故不承担保险责任。</w:t>
            </w:r>
            <w:r/>
          </w:p>
          <w:p>
            <w:pPr>
              <w:jc w:val="left"/>
              <w:spacing w:line="360" w:lineRule="auto"/>
              <w:widowControl/>
              <w:rPr>
                <w:rFonts w:ascii="宋体" w:hAnsi="宋体" w:cs="宋体"/>
                <w:szCs w:val="21"/>
              </w:rPr>
            </w:pPr>
            <w:r>
              <w:rPr>
                <w:rFonts w:hint="eastAsia" w:ascii="宋体" w:hAnsi="宋体" w:cs="宋体"/>
                <w:szCs w:val="21"/>
              </w:rPr>
              <w:t xml:space="preserve">    约定分期交付保险费的，</w:t>
            </w:r>
            <w:r>
              <w:rPr>
                <w:rFonts w:hint="eastAsia" w:ascii="宋体" w:hAnsi="宋体" w:cs="宋体"/>
                <w:b/>
                <w:bCs/>
                <w:szCs w:val="21"/>
              </w:rPr>
              <w:t xml:space="preserve">保险人按照保险事故发生前保险人实际收取保险费总额与投保人应当交付的保险费的比例承担保险责任，</w:t>
            </w:r>
            <w:r>
              <w:rPr>
                <w:rFonts w:hint="eastAsia" w:ascii="宋体" w:hAnsi="宋体" w:cs="宋体"/>
                <w:szCs w:val="21"/>
              </w:rPr>
              <w:t xml:space="preserve">投保人应当交付的保险费是指截至保险事故发生时投保人按约定分期应该缴纳的保费总额。</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第三十九条 </w:t>
            </w:r>
            <w:r>
              <w:rPr>
                <w:rFonts w:hint="eastAsia" w:ascii="宋体" w:hAnsi="宋体" w:cs="宋体"/>
                <w:szCs w:val="21"/>
              </w:rPr>
              <w:t xml:space="preserve">被保险人应当遵守国家有关消防、安全、生产操作等方面的相关法律、法规及规定，谨慎选用施工人员，遵守一切与施工有关的法规、技术规程和安全操作规程，维护保险标的的安全。</w:t>
            </w:r>
            <w:r/>
          </w:p>
          <w:p>
            <w:pPr>
              <w:jc w:val="left"/>
              <w:spacing w:line="360" w:lineRule="auto"/>
              <w:widowControl/>
              <w:rPr>
                <w:rFonts w:ascii="宋体" w:hAnsi="宋体" w:cs="宋体"/>
                <w:szCs w:val="21"/>
              </w:rPr>
            </w:pPr>
            <w:r>
              <w:rPr>
                <w:rFonts w:hint="eastAsia" w:ascii="宋体" w:hAnsi="宋体" w:cs="宋体"/>
                <w:szCs w:val="21"/>
              </w:rPr>
              <w:t xml:space="preserve">保险人及其代表有权在适当的时候对保险标的的风险情况进行现场查验。被保险人应提供一切便利及保险人要求的用以评估有关风险的详情和资料，但上述查验并不构成保险人对被保险人的任何承诺。保险人向投保人、被保险人提出消除不安全因素和隐患的书面建议，投保人、被保险人应该认真付诸实施。</w:t>
            </w:r>
            <w:r/>
          </w:p>
          <w:p>
            <w:pPr>
              <w:ind w:firstLine="420"/>
              <w:jc w:val="left"/>
              <w:spacing w:line="360" w:lineRule="auto"/>
              <w:widowControl/>
              <w:rPr>
                <w:rFonts w:ascii="宋体" w:hAnsi="宋体" w:cs="宋体"/>
                <w:szCs w:val="21"/>
              </w:rPr>
            </w:pPr>
            <w:r>
              <w:rPr>
                <w:rFonts w:hint="eastAsia" w:ascii="宋体" w:hAnsi="宋体" w:cs="宋体"/>
                <w:szCs w:val="21"/>
              </w:rPr>
              <w:t xml:space="preserve">投保人、被保险人未按照约定履行其对保险标的的安全应尽责任的，保险人有权要求增加保险费或者解除合同。</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第四十条 </w:t>
            </w:r>
            <w:r>
              <w:rPr>
                <w:rFonts w:hint="eastAsia" w:ascii="宋体" w:hAnsi="宋体" w:cs="宋体"/>
                <w:szCs w:val="21"/>
              </w:rPr>
              <w:t xml:space="preserve">保险标的转让的，被保险人或者受让人应当及时通知保险人。</w:t>
            </w:r>
            <w:r/>
          </w:p>
          <w:p>
            <w:pPr>
              <w:jc w:val="left"/>
              <w:spacing w:line="360" w:lineRule="auto"/>
              <w:widowControl/>
              <w:rPr>
                <w:rFonts w:ascii="宋体" w:hAnsi="宋体" w:cs="宋体"/>
                <w:szCs w:val="21"/>
              </w:rPr>
            </w:pPr>
            <w:r>
              <w:rPr>
                <w:rFonts w:hint="eastAsia" w:ascii="宋体" w:hAnsi="宋体" w:cs="宋体"/>
                <w:szCs w:val="21"/>
              </w:rPr>
              <w:t xml:space="preserve">    因保险标的转让导致危险程度显著增加的，保险人自收到前款规定的通知之日起三十日内，可以按照合同约定增加保险费或者解除合同。保险人解除合同的，应当将已收取的保险费，按照合同约定扣除自保险责任开始之日起至合同解除之日止应收的部分后，退还投保人。</w:t>
            </w:r>
            <w:r/>
          </w:p>
          <w:p>
            <w:pPr>
              <w:jc w:val="lef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b/>
                <w:bCs/>
                <w:szCs w:val="21"/>
              </w:rPr>
              <w:t xml:space="preserve"> 被保险人、受让人未履行本条规定的通知义务的，因转让导致保险标的危险程度显著增加而发生的保险事故，保险人不承担赔偿责任。</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第四十一条  </w:t>
            </w:r>
            <w:r>
              <w:rPr>
                <w:rFonts w:hint="eastAsia" w:ascii="宋体" w:hAnsi="宋体" w:cs="宋体"/>
                <w:szCs w:val="21"/>
              </w:rPr>
              <w:t xml:space="preserve">在保险期间内，被保险人在工程设计、施工方式、工艺、技术手段等方面发生改变致使保险工程风险程度显著增加或其他足以影响保险人决定是否继续承保或是否增加保险费的保险合同重要事项变更，被保险人应及时书面通知保险人，保险人有权要求增加保险费或者解除合同。保险人解除合同的，应当将已收取的保险费，按照合同约定扣除自保险责任开始之日起至合同解除之日止应收的部分后，退还投保人。</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被保险人未履行通知义务，因上述保险合同重要事项变更而导致保险事故发生的，保险人不承担赔偿责任。</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第四十二条 </w:t>
            </w:r>
            <w:r>
              <w:rPr>
                <w:rFonts w:hint="eastAsia" w:ascii="宋体" w:hAnsi="宋体" w:cs="宋体"/>
                <w:szCs w:val="21"/>
              </w:rPr>
              <w:t xml:space="preserve">投保人、被保险人知道保险事故发生后，被保险人应该：</w:t>
            </w:r>
            <w:r/>
          </w:p>
          <w:p>
            <w:pPr>
              <w:ind w:firstLine="420"/>
              <w:jc w:val="left"/>
              <w:spacing w:line="360" w:lineRule="auto"/>
              <w:widowControl/>
              <w:rPr>
                <w:rFonts w:ascii="宋体" w:hAnsi="宋体" w:cs="宋体"/>
                <w:szCs w:val="21"/>
              </w:rPr>
            </w:pPr>
            <w:r>
              <w:rPr>
                <w:rFonts w:hint="eastAsia" w:ascii="宋体" w:hAnsi="宋体" w:cs="宋体"/>
                <w:szCs w:val="21"/>
              </w:rPr>
              <w:t xml:space="preserve">（一）尽力采取必要、合理的措施，防止或减少损失，</w:t>
            </w:r>
            <w:r>
              <w:rPr>
                <w:rFonts w:hint="eastAsia" w:ascii="宋体" w:hAnsi="宋体" w:cs="宋体"/>
                <w:b/>
                <w:bCs/>
                <w:szCs w:val="21"/>
              </w:rPr>
              <w:t xml:space="preserve">否则，对因此扩大的损失，保险人不承担赔偿责任；</w:t>
            </w:r>
            <w:r/>
          </w:p>
          <w:p>
            <w:pPr>
              <w:ind w:firstLine="420"/>
              <w:jc w:val="left"/>
              <w:spacing w:line="360" w:lineRule="auto"/>
              <w:widowControl/>
              <w:rPr>
                <w:rFonts w:ascii="宋体" w:hAnsi="宋体" w:cs="宋体"/>
                <w:szCs w:val="21"/>
              </w:rPr>
            </w:pPr>
            <w:r>
              <w:rPr>
                <w:rFonts w:hint="eastAsia" w:ascii="宋体" w:hAnsi="宋体" w:cs="宋体"/>
                <w:szCs w:val="21"/>
              </w:rPr>
              <w:t xml:space="preserve">（二）立即通知保险人，并书面说明事故发生的原因、经过和损失情况；</w:t>
            </w:r>
            <w:r>
              <w:rPr>
                <w:rFonts w:hint="eastAsia" w:ascii="宋体" w:hAnsi="宋体" w:cs="宋体"/>
                <w:b/>
                <w:bCs/>
                <w:szCs w:val="21"/>
              </w:rPr>
              <w:t xml:space="preserve">故意或者因重大过失未及时通知，致使保险事故的性质、原因、损失程度等难以确定的，保险人对无法确定的部分，不承担赔偿责任，</w:t>
            </w:r>
            <w:r>
              <w:rPr>
                <w:rFonts w:hint="eastAsia" w:ascii="宋体" w:hAnsi="宋体" w:cs="宋体"/>
                <w:szCs w:val="21"/>
              </w:rPr>
              <w:t xml:space="preserve">但保险人通过其他途径已经及时知道或者应当及时知道保险事故发生的除外；</w:t>
            </w:r>
            <w:r/>
          </w:p>
          <w:p>
            <w:pPr>
              <w:ind w:firstLine="420"/>
              <w:jc w:val="left"/>
              <w:spacing w:line="360" w:lineRule="auto"/>
              <w:widowControl/>
              <w:rPr>
                <w:rFonts w:ascii="宋体" w:hAnsi="宋体" w:cs="宋体"/>
                <w:szCs w:val="21"/>
              </w:rPr>
            </w:pPr>
            <w:r>
              <w:rPr>
                <w:rFonts w:hint="eastAsia" w:ascii="宋体" w:hAnsi="宋体" w:cs="宋体"/>
                <w:szCs w:val="21"/>
              </w:rPr>
              <w:t xml:space="preserve">（三）保护事故现场，允许并且协助保险人进行事故调查，</w:t>
            </w:r>
            <w:r>
              <w:rPr>
                <w:rFonts w:hint="eastAsia" w:ascii="宋体" w:hAnsi="宋体" w:cs="宋体"/>
                <w:b/>
                <w:bCs/>
                <w:szCs w:val="21"/>
              </w:rPr>
              <w:t xml:space="preserve">对于拒绝或者妨碍保险人进行事故调查导致无法认定事故原因或核实损失情况的，保险人对无法核实的部分不承担赔偿责任；</w:t>
            </w:r>
            <w:r/>
          </w:p>
          <w:p>
            <w:pPr>
              <w:ind w:firstLine="420"/>
              <w:jc w:val="left"/>
              <w:spacing w:line="360" w:lineRule="auto"/>
              <w:widowControl/>
              <w:rPr>
                <w:rFonts w:ascii="宋体" w:hAnsi="宋体" w:cs="宋体"/>
                <w:szCs w:val="21"/>
              </w:rPr>
            </w:pPr>
            <w:r>
              <w:rPr>
                <w:rFonts w:hint="eastAsia" w:ascii="宋体" w:hAnsi="宋体" w:cs="宋体"/>
                <w:szCs w:val="21"/>
              </w:rPr>
              <w:t xml:space="preserve">（四）在保险财产遭受盗窃或恶意破坏时，立即向公安部门报案；</w:t>
            </w:r>
            <w:r/>
          </w:p>
          <w:p>
            <w:pPr>
              <w:ind w:firstLine="420"/>
              <w:jc w:val="left"/>
              <w:spacing w:line="360" w:lineRule="auto"/>
              <w:widowControl/>
              <w:rPr>
                <w:rFonts w:ascii="宋体" w:hAnsi="宋体" w:cs="宋体"/>
                <w:szCs w:val="21"/>
              </w:rPr>
            </w:pPr>
            <w:r>
              <w:rPr>
                <w:rFonts w:hint="eastAsia" w:ascii="宋体" w:hAnsi="宋体" w:cs="宋体"/>
                <w:szCs w:val="21"/>
              </w:rPr>
              <w:t xml:space="preserve">（五）在预知可能引起第三者责任险项下的诉讼时，立即以书面形式通知保险人，并在接到法院传票或其他法律文件后，立即将其送交保险人。</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第四十三条 </w:t>
            </w:r>
            <w:r>
              <w:rPr>
                <w:rFonts w:hint="eastAsia" w:ascii="宋体" w:hAnsi="宋体" w:cs="宋体"/>
                <w:szCs w:val="21"/>
              </w:rPr>
              <w:t xml:space="preserve">被保险人向保险人请求赔偿时，应向保险人提交保险单、索赔申请、财产损失清单、有关部门的损失证明以及其他投保人、被保险人所能提供的与确认保险事故的性质、原因、损失程度等有关的证明和资料。</w:t>
            </w:r>
            <w:r/>
          </w:p>
          <w:p>
            <w:pPr>
              <w:ind w:firstLine="480"/>
              <w:jc w:val="left"/>
              <w:spacing w:line="360" w:lineRule="auto"/>
              <w:widowControl/>
              <w:rPr>
                <w:rFonts w:ascii="宋体" w:hAnsi="宋体" w:cs="宋体"/>
                <w:szCs w:val="21"/>
              </w:rPr>
            </w:pPr>
            <w:r>
              <w:rPr>
                <w:rFonts w:hint="eastAsia" w:ascii="宋体" w:hAnsi="宋体" w:cs="宋体"/>
                <w:b/>
                <w:bCs/>
                <w:szCs w:val="21"/>
              </w:rPr>
              <w:t xml:space="preserve">投保人、被保险人未履行前款约定的索赔材料提供义务，导致保险人无法核实损失情况的，保险人对无法核实的部分不承担赔偿责任。</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第四十四条 </w:t>
            </w:r>
            <w:r>
              <w:rPr>
                <w:rFonts w:hint="eastAsia" w:ascii="宋体" w:hAnsi="宋体" w:cs="宋体"/>
                <w:szCs w:val="21"/>
              </w:rPr>
              <w:t xml:space="preserve">若在某一保险财产中发现的缺陷表明或预示类似缺陷亦存在于其他保险财产中时，被保险人应立即自付费用进行调查并纠正该缺陷。</w:t>
            </w:r>
            <w:r>
              <w:rPr>
                <w:rFonts w:hint="eastAsia" w:ascii="宋体" w:hAnsi="宋体" w:cs="宋体"/>
                <w:b/>
                <w:bCs/>
                <w:szCs w:val="21"/>
              </w:rPr>
              <w:t xml:space="preserve">否则，由该缺陷或类似缺陷造成的损失保险人不承担赔偿责任。</w:t>
            </w:r>
            <w:r/>
          </w:p>
          <w:p>
            <w:pPr>
              <w:jc w:val="center"/>
              <w:spacing w:line="360" w:lineRule="auto"/>
              <w:widowControl/>
              <w:rPr>
                <w:rFonts w:ascii="宋体" w:hAnsi="宋体" w:cs="宋体"/>
                <w:szCs w:val="21"/>
              </w:rPr>
            </w:pPr>
            <w:r>
              <w:rPr>
                <w:rFonts w:hint="eastAsia" w:ascii="宋体" w:hAnsi="宋体" w:cs="宋体"/>
                <w:b/>
                <w:bCs/>
                <w:szCs w:val="21"/>
              </w:rPr>
              <w:t xml:space="preserve">赔偿处理</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第四十五条 保险事故发生时，被保险人对保险标的不具有保险利益的，不得向保险人请求赔偿保险金。</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第四十六条 </w:t>
            </w:r>
            <w:r>
              <w:rPr>
                <w:rFonts w:hint="eastAsia" w:ascii="宋体" w:hAnsi="宋体" w:cs="宋体"/>
                <w:szCs w:val="21"/>
              </w:rPr>
              <w:t xml:space="preserve">保险标的遭受损失后，如果有残余价值，应由双方协商处理。若协商残值归被保险人所有，应在赔偿金额中扣减残值。</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第四十七条 </w:t>
            </w:r>
            <w:r>
              <w:rPr>
                <w:rFonts w:hint="eastAsia" w:ascii="宋体" w:hAnsi="宋体" w:cs="宋体"/>
                <w:szCs w:val="21"/>
              </w:rPr>
              <w:t xml:space="preserve">保险事故发生时，如果存在重复保险，保险人按照本保险合同的相应保险金额与其他保险合同及本保险合同相应保险金额总和的比例承担赔偿责任。</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其他保险人应承担的赔偿金额，本保险人不负责垫付。</w:t>
            </w:r>
            <w:r>
              <w:rPr>
                <w:rFonts w:hint="eastAsia" w:ascii="宋体" w:hAnsi="宋体" w:cs="宋体"/>
                <w:szCs w:val="21"/>
              </w:rPr>
              <w:t xml:space="preserve">若被保险人未如实告知导致保险人多支付赔偿金的，保险人有权向被保险人追回多支付的部分。</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第四十八条 </w:t>
            </w:r>
            <w:r>
              <w:rPr>
                <w:rFonts w:hint="eastAsia" w:ascii="宋体" w:hAnsi="宋体" w:cs="宋体"/>
                <w:szCs w:val="21"/>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20"/>
              <w:jc w:val="left"/>
              <w:spacing w:line="360" w:lineRule="auto"/>
              <w:widowControl/>
              <w:rPr>
                <w:rFonts w:ascii="宋体" w:hAnsi="宋体" w:cs="宋体"/>
                <w:szCs w:val="21"/>
              </w:rPr>
            </w:pPr>
            <w:r>
              <w:rPr>
                <w:rFonts w:hint="eastAsia" w:ascii="宋体" w:hAnsi="宋体" w:cs="宋体"/>
                <w:szCs w:val="21"/>
              </w:rPr>
              <w:t xml:space="preserve">被保险人已经从有关责任方取得赔偿的，保险人赔偿保险金时，可以相应扣减被保险人已从有关责任方取得的赔偿金额。</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保险事故发生后，在保险人未赔偿保险金之前，被保险人放弃对有关责任方请求赔偿权利的，保险人不承担赔偿责任；</w:t>
            </w:r>
            <w:r>
              <w:rPr>
                <w:rFonts w:hint="eastAsia" w:ascii="宋体" w:hAnsi="宋体" w:cs="宋体"/>
                <w:szCs w:val="21"/>
              </w:rPr>
              <w:t xml:space="preserve">保险人向被保险人赔偿保险金后，被保险人未经保险人同意放弃对有关责任方请求赔偿权利的，该行为无效；</w:t>
            </w:r>
            <w:r>
              <w:rPr>
                <w:rFonts w:hint="eastAsia" w:ascii="宋体" w:hAnsi="宋体" w:cs="宋体"/>
                <w:b/>
                <w:bCs/>
                <w:szCs w:val="21"/>
              </w:rPr>
              <w:t xml:space="preserve">由于被保险人故意或者因重大过失致使保险人不能行使代位请求赔偿的权利的，保险人可以扣减或者要求返还相应的保险金。</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第四十九条 </w:t>
            </w:r>
            <w:r>
              <w:rPr>
                <w:rFonts w:hint="eastAsia" w:ascii="宋体" w:hAnsi="宋体" w:cs="宋体"/>
                <w:szCs w:val="21"/>
              </w:rPr>
              <w:t xml:space="preserve">被保险人向保险人请求赔偿的诉讼时效期间为二年，自其知道或者应当知道保险事故发生之日起计算。 </w:t>
            </w:r>
            <w:r/>
          </w:p>
          <w:p>
            <w:pPr>
              <w:jc w:val="center"/>
              <w:spacing w:line="360" w:lineRule="auto"/>
              <w:widowControl/>
              <w:rPr>
                <w:rFonts w:ascii="宋体" w:hAnsi="宋体" w:cs="宋体"/>
                <w:szCs w:val="21"/>
              </w:rPr>
            </w:pPr>
            <w:r>
              <w:rPr>
                <w:rFonts w:hint="eastAsia" w:ascii="宋体" w:hAnsi="宋体" w:cs="宋体"/>
                <w:b/>
                <w:bCs/>
                <w:szCs w:val="21"/>
              </w:rPr>
              <w:t xml:space="preserve">争议处理</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第五十条 </w:t>
            </w:r>
            <w:r>
              <w:rPr>
                <w:rFonts w:hint="eastAsia" w:ascii="宋体" w:hAnsi="宋体" w:cs="宋体"/>
                <w:szCs w:val="21"/>
              </w:rPr>
              <w:t xml:space="preserve">因履行本保险合同发生的争议，由当事人协商解决。协商不成的，提交保险单载明的仲裁机构仲裁；保险单未载明仲裁机构且争议发生后未达成仲裁协议的，依法向人民法院起诉。</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第五十一条 </w:t>
            </w:r>
            <w:r>
              <w:rPr>
                <w:rFonts w:hint="eastAsia" w:ascii="宋体" w:hAnsi="宋体" w:cs="宋体"/>
                <w:szCs w:val="21"/>
              </w:rPr>
              <w:t xml:space="preserve">与本保险合同有关的以及履行本保险合同产生的一切争议，适用中华人民共和国法律（不包括港澳台地区法律）。</w:t>
            </w:r>
            <w:r/>
          </w:p>
          <w:p>
            <w:pPr>
              <w:jc w:val="center"/>
              <w:spacing w:line="360" w:lineRule="auto"/>
              <w:widowControl/>
              <w:rPr>
                <w:rFonts w:ascii="宋体" w:hAnsi="宋体" w:cs="宋体"/>
                <w:szCs w:val="21"/>
              </w:rPr>
            </w:pPr>
            <w:r>
              <w:rPr>
                <w:rFonts w:hint="eastAsia" w:ascii="宋体" w:hAnsi="宋体" w:cs="宋体"/>
                <w:b/>
                <w:bCs/>
                <w:szCs w:val="21"/>
              </w:rPr>
              <w:t xml:space="preserve">其他事项</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第五十二条 保险标的发生部分损失的，自保险人赔偿之日起三十日内，投保人可以解除合同；除合同另有约定外，保险人也可以解除合同，但应当提前十五日通知投保人。</w:t>
            </w:r>
            <w:r/>
          </w:p>
          <w:p>
            <w:pPr>
              <w:ind w:firstLine="420"/>
              <w:jc w:val="left"/>
              <w:spacing w:line="360" w:lineRule="auto"/>
              <w:widowControl/>
              <w:rPr>
                <w:rFonts w:ascii="宋体" w:hAnsi="宋体" w:cs="宋体"/>
                <w:szCs w:val="21"/>
              </w:rPr>
            </w:pPr>
            <w:r>
              <w:rPr>
                <w:rFonts w:hint="eastAsia" w:ascii="宋体" w:hAnsi="宋体" w:cs="宋体"/>
                <w:szCs w:val="21"/>
              </w:rPr>
              <w:t xml:space="preserve">保险合同依据前款规定解除的，保险人应当将保险标的未受损失部分的保险费，按照合同约定扣除自保险责任开始之日起至合同解除之日止应收的部分后，退还投保人。</w:t>
            </w:r>
            <w:r/>
          </w:p>
          <w:p>
            <w:pPr>
              <w:ind w:firstLine="420"/>
              <w:jc w:val="left"/>
              <w:spacing w:line="360" w:lineRule="auto"/>
              <w:widowControl/>
              <w:rPr>
                <w:rFonts w:ascii="宋体" w:hAnsi="宋体" w:cs="宋体"/>
                <w:szCs w:val="21"/>
              </w:rPr>
            </w:pPr>
            <w:r>
              <w:rPr>
                <w:rFonts w:hint="eastAsia" w:ascii="宋体" w:hAnsi="宋体" w:cs="宋体"/>
                <w:b/>
                <w:bCs/>
                <w:szCs w:val="21"/>
              </w:rPr>
              <w:t xml:space="preserve">第五十三条 保险责任开始前，投保人要求解除保险合同的，应当按本保险合同的约定向保险人支付手续费，保险人应当退还保险费。保险人要求解除保险合同的，不得向投保人收取手续费并应退还已收取的保险费。</w:t>
            </w:r>
            <w:r/>
          </w:p>
          <w:p>
            <w:pPr>
              <w:ind w:firstLine="420"/>
              <w:jc w:val="left"/>
              <w:spacing w:line="360" w:lineRule="auto"/>
              <w:widowControl/>
              <w:rPr>
                <w:rFonts w:ascii="宋体" w:hAnsi="宋体" w:cs="宋体"/>
                <w:szCs w:val="21"/>
              </w:rPr>
            </w:pPr>
            <w:r>
              <w:rPr>
                <w:rFonts w:hint="eastAsia" w:ascii="宋体" w:hAnsi="宋体" w:cs="宋体"/>
                <w:szCs w:val="21"/>
              </w:rPr>
              <w:t xml:space="preserve">保险责任开始后，投保人要求解除保险合同的，自通知保险人之日起，保险合同解除，保险人按照保险责任开始之日起至合同解除之日止期间与保险期间的日比例计收保险费，并退还剩余部分保险费；保险人要求解除保险合同的，应提前十五日向投保人发出解约通知书，保险人按照保险责任开始之日起至合同解除之日止期间与保险期间的日比例计收保险费，并退还剩余部分保险费。</w:t>
            </w:r>
            <w:r/>
          </w:p>
          <w:p>
            <w:pPr>
              <w:ind w:firstLine="567"/>
              <w:jc w:val="left"/>
              <w:spacing w:line="360" w:lineRule="auto"/>
              <w:widowControl/>
              <w:rPr>
                <w:rFonts w:ascii="宋体" w:hAnsi="宋体" w:cs="宋体"/>
                <w:szCs w:val="21"/>
              </w:rPr>
            </w:pPr>
            <w:r>
              <w:rPr>
                <w:rFonts w:hint="eastAsia" w:ascii="宋体" w:hAnsi="宋体" w:cs="宋体"/>
                <w:b/>
                <w:bCs/>
                <w:szCs w:val="21"/>
              </w:rPr>
              <w:t xml:space="preserve">第五十四条 </w:t>
            </w:r>
            <w:r>
              <w:rPr>
                <w:rFonts w:hint="eastAsia" w:ascii="宋体" w:hAnsi="宋体" w:cs="宋体"/>
                <w:szCs w:val="21"/>
              </w:rPr>
              <w:t xml:space="preserve">保险标的发生全部损失，属于保险责任的，保险人在履行赔偿义务后，本保险合同终止；不属于保险责任的，本保险合同终止，保险人按照保险责任开始之日起至合同解除之日止期间与保险期间的日比例计收保险费，并退还剩余部分保险费。</w:t>
            </w:r>
            <w:r/>
          </w:p>
          <w:p>
            <w:pPr>
              <w:ind w:firstLine="567"/>
              <w:jc w:val="left"/>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szCs w:val="21"/>
              </w:rPr>
            </w:pPr>
            <w:r>
              <w:rPr>
                <w:rFonts w:hint="eastAsia" w:ascii="宋体" w:hAnsi="宋体" w:cs="宋体"/>
                <w:b/>
                <w:bCs/>
                <w:szCs w:val="21"/>
              </w:rPr>
              <w:t xml:space="preserve">释义</w:t>
            </w:r>
            <w:r/>
          </w:p>
          <w:p>
            <w:pPr>
              <w:ind w:firstLine="640"/>
              <w:jc w:val="left"/>
              <w:spacing w:line="360" w:lineRule="auto"/>
              <w:widowControl/>
              <w:rPr>
                <w:rFonts w:ascii="宋体" w:hAnsi="宋体" w:cs="宋体"/>
                <w:szCs w:val="21"/>
              </w:rPr>
            </w:pPr>
            <w:r>
              <w:rPr>
                <w:rFonts w:hint="eastAsia" w:ascii="宋体" w:hAnsi="宋体" w:cs="宋体"/>
                <w:b/>
                <w:bCs/>
                <w:szCs w:val="21"/>
              </w:rPr>
              <w:t xml:space="preserve"> </w:t>
            </w:r>
            <w:r>
              <w:rPr>
                <w:rFonts w:hint="eastAsia" w:ascii="宋体" w:hAnsi="宋体" w:cs="宋体"/>
                <w:szCs w:val="21"/>
              </w:rPr>
              <w:t xml:space="preserve">本保险合同涉及下列术语时，适用下列释义：</w:t>
            </w:r>
            <w:r/>
          </w:p>
          <w:p>
            <w:pPr>
              <w:ind w:firstLine="420"/>
              <w:jc w:val="left"/>
              <w:spacing w:line="360" w:lineRule="auto"/>
              <w:widowControl/>
              <w:rPr>
                <w:rFonts w:ascii="宋体" w:hAnsi="宋体" w:cs="宋体"/>
                <w:szCs w:val="21"/>
              </w:rPr>
            </w:pPr>
            <w:r>
              <w:rPr>
                <w:rFonts w:hint="eastAsia" w:ascii="宋体" w:hAnsi="宋体" w:cs="宋体"/>
                <w:szCs w:val="21"/>
              </w:rPr>
              <w:t xml:space="preserve">（一）自然灾害：指地震、海啸、雷击、暴雨、洪水、暴风、龙卷风、冰雹、台风、飓风、沙尘暴、暴雪、冰凌、突发性滑坡、崩塌、泥石流、地面突然下陷下沉及其他人力不可抗拒的破坏力强大的自然现象。</w:t>
            </w:r>
            <w:r/>
          </w:p>
          <w:p>
            <w:pPr>
              <w:ind w:firstLine="420"/>
              <w:jc w:val="left"/>
              <w:spacing w:line="360" w:lineRule="auto"/>
              <w:widowControl/>
              <w:rPr>
                <w:rFonts w:ascii="宋体" w:hAnsi="宋体" w:cs="宋体"/>
                <w:szCs w:val="21"/>
              </w:rPr>
            </w:pPr>
            <w:r>
              <w:rPr>
                <w:rFonts w:hint="eastAsia" w:ascii="宋体" w:hAnsi="宋体" w:cs="宋体"/>
                <w:szCs w:val="21"/>
              </w:rPr>
              <w:t xml:space="preserve">1、地震：指地下岩石的构造活动或火山爆发产生的地面震动。由于地震的强度不同，其破坏力也存在很大的区别，一般保险针对的是破坏性地震，根据国家地震局的有关规定，震级在4.75级以上且烈度在6级以上的地震为破坏性地震。</w:t>
            </w:r>
            <w:r/>
          </w:p>
          <w:p>
            <w:pPr>
              <w:ind w:firstLine="420"/>
              <w:jc w:val="left"/>
              <w:spacing w:line="360" w:lineRule="auto"/>
              <w:widowControl/>
              <w:rPr>
                <w:rFonts w:ascii="宋体" w:hAnsi="宋体" w:cs="宋体"/>
                <w:szCs w:val="21"/>
              </w:rPr>
            </w:pPr>
            <w:r>
              <w:rPr>
                <w:rFonts w:hint="eastAsia" w:ascii="宋体" w:hAnsi="宋体" w:cs="宋体"/>
                <w:szCs w:val="21"/>
              </w:rPr>
              <w:t xml:space="preserve">2、海啸：指由于地震或风暴而造成的海面巨大涨落现象，按成因分为地震海啸和风暴海啸两种。地震海啸是伴随地震而形成的，即海底地壳发生断裂，引起剧烈的震动，产生巨大的波浪。风暴海啸是强大低气压在通过时，海面异常升起的现象。</w:t>
            </w:r>
            <w:r/>
          </w:p>
          <w:p>
            <w:pPr>
              <w:ind w:firstLine="420"/>
              <w:jc w:val="left"/>
              <w:spacing w:line="360" w:lineRule="auto"/>
              <w:widowControl/>
              <w:rPr>
                <w:rFonts w:ascii="宋体" w:hAnsi="宋体" w:cs="宋体"/>
                <w:szCs w:val="21"/>
              </w:rPr>
            </w:pPr>
            <w:r>
              <w:rPr>
                <w:rFonts w:hint="eastAsia" w:ascii="宋体" w:hAnsi="宋体" w:cs="宋体"/>
                <w:szCs w:val="21"/>
              </w:rPr>
              <w:t xml:space="preserve">3、雷击指由雷电造成的灾害。雷电为积雨云中、云间或云地之间产生的放电现象。雷击的破坏形式分直接雷击与感应雷击两种。</w:t>
            </w:r>
            <w:r/>
          </w:p>
          <w:p>
            <w:pPr>
              <w:ind w:firstLine="420"/>
              <w:jc w:val="left"/>
              <w:spacing w:line="360" w:lineRule="auto"/>
              <w:widowControl/>
              <w:rPr>
                <w:rFonts w:ascii="宋体" w:hAnsi="宋体" w:cs="宋体"/>
                <w:szCs w:val="21"/>
              </w:rPr>
            </w:pPr>
            <w:r>
              <w:rPr>
                <w:rFonts w:hint="eastAsia" w:ascii="宋体" w:hAnsi="宋体" w:cs="宋体"/>
                <w:szCs w:val="21"/>
              </w:rPr>
              <w:t xml:space="preserve">（1）直接雷击：由于雷电直接击中保险标的造成损失，属直接雷击责任。</w:t>
            </w:r>
            <w:r/>
          </w:p>
          <w:p>
            <w:pPr>
              <w:ind w:firstLine="420"/>
              <w:jc w:val="left"/>
              <w:spacing w:line="360" w:lineRule="auto"/>
              <w:widowControl/>
              <w:rPr>
                <w:rFonts w:ascii="宋体" w:hAnsi="宋体" w:cs="宋体"/>
                <w:szCs w:val="21"/>
              </w:rPr>
            </w:pPr>
            <w:r>
              <w:rPr>
                <w:rFonts w:hint="eastAsia" w:ascii="宋体" w:hAnsi="宋体" w:cs="宋体"/>
                <w:szCs w:val="21"/>
              </w:rPr>
              <w:t xml:space="preserve">（2）感应雷击：由于雷击产生的静电感应或电磁感应使屋内对地绝缘金属物体产生高电位放出火花引起的火灾，导致电器本身的损毁，或因雷电的高电压感应，致使电器部件的损毁，属感应雷击责任。    </w:t>
            </w:r>
            <w:r/>
          </w:p>
          <w:p>
            <w:pPr>
              <w:ind w:firstLine="420"/>
              <w:jc w:val="left"/>
              <w:spacing w:line="360" w:lineRule="auto"/>
              <w:widowControl/>
              <w:rPr>
                <w:rFonts w:ascii="宋体" w:hAnsi="宋体" w:cs="宋体"/>
                <w:szCs w:val="21"/>
              </w:rPr>
            </w:pPr>
            <w:r>
              <w:rPr>
                <w:rFonts w:hint="eastAsia" w:ascii="宋体" w:hAnsi="宋体" w:cs="宋体"/>
                <w:szCs w:val="21"/>
              </w:rPr>
              <w:t xml:space="preserve">4、暴雨：指每小时降雨量达16毫米以上，或连续12小时降雨量达30毫米以上，或连续24小时降雨量达50毫米以上的降雨。</w:t>
            </w:r>
            <w:r/>
          </w:p>
          <w:p>
            <w:pPr>
              <w:pStyle w:val="815"/>
              <w:rPr>
                <w:rFonts w:ascii="宋体" w:hAnsi="宋体" w:cs="宋体"/>
                <w:szCs w:val="21"/>
              </w:rPr>
            </w:pPr>
            <w:r>
              <w:rPr>
                <w:rFonts w:hint="eastAsia" w:ascii="宋体" w:hAnsi="宋体" w:cs="宋体"/>
                <w:szCs w:val="21"/>
              </w:rPr>
              <w:t xml:space="preserve">5、洪水：指山洪暴发、江河泛滥、潮水上岸及倒灌。但规律性的涨潮、自动灭火设施漏水以及在常年水位以下或地下渗水、水管</w:t>
            </w:r>
            <w:r>
              <w:rPr>
                <w:rFonts w:hint="eastAsia"/>
              </w:rPr>
              <w:t xml:space="preserve">爆裂</w:t>
            </w:r>
            <w:r>
              <w:rPr>
                <w:rFonts w:hint="eastAsia" w:ascii="宋体" w:hAnsi="宋体" w:cs="宋体"/>
                <w:szCs w:val="21"/>
              </w:rPr>
              <w:t xml:space="preserve">不属于洪水责任。</w:t>
            </w:r>
            <w:r/>
          </w:p>
          <w:p>
            <w:pPr>
              <w:ind w:firstLine="420"/>
              <w:jc w:val="left"/>
              <w:spacing w:line="360" w:lineRule="auto"/>
              <w:widowControl/>
              <w:rPr>
                <w:rFonts w:ascii="宋体" w:hAnsi="宋体" w:cs="宋体"/>
                <w:szCs w:val="21"/>
              </w:rPr>
            </w:pPr>
            <w:r>
              <w:rPr>
                <w:rFonts w:hint="eastAsia" w:ascii="宋体" w:hAnsi="宋体" w:cs="宋体"/>
                <w:szCs w:val="21"/>
              </w:rPr>
              <w:t xml:space="preserve">6、暴风：指风力达8级、风速在17.2米/秒以上的自然风。</w:t>
            </w:r>
            <w:r/>
          </w:p>
          <w:p>
            <w:pPr>
              <w:ind w:firstLine="420"/>
              <w:jc w:val="left"/>
              <w:spacing w:line="360" w:lineRule="auto"/>
              <w:widowControl/>
              <w:rPr>
                <w:rFonts w:ascii="宋体" w:hAnsi="宋体" w:cs="宋体"/>
                <w:szCs w:val="21"/>
              </w:rPr>
            </w:pPr>
            <w:r>
              <w:rPr>
                <w:rFonts w:hint="eastAsia" w:ascii="宋体" w:hAnsi="宋体" w:cs="宋体"/>
                <w:szCs w:val="21"/>
              </w:rPr>
              <w:t xml:space="preserve">7、龙卷风：指一种范围小而时间短的猛烈旋风，陆地上平均最大风速在79米/秒-103米/秒，极端最大风速在100米/秒以上。</w:t>
            </w:r>
            <w:r/>
          </w:p>
          <w:p>
            <w:pPr>
              <w:ind w:firstLine="420"/>
              <w:jc w:val="left"/>
              <w:spacing w:line="360" w:lineRule="auto"/>
              <w:widowControl/>
              <w:rPr>
                <w:rFonts w:ascii="宋体" w:hAnsi="宋体" w:cs="宋体"/>
                <w:szCs w:val="21"/>
              </w:rPr>
            </w:pPr>
            <w:r>
              <w:rPr>
                <w:rFonts w:hint="eastAsia" w:ascii="宋体" w:hAnsi="宋体" w:cs="宋体"/>
                <w:szCs w:val="21"/>
              </w:rPr>
              <w:t xml:space="preserve">8、冰雹：指从强烈对流的积雨云中降落到地面的冰块或冰球，直径大于5毫米，核心坚硬的固体降水。</w:t>
            </w:r>
            <w:r/>
          </w:p>
          <w:p>
            <w:pPr>
              <w:ind w:firstLine="420"/>
              <w:jc w:val="left"/>
              <w:spacing w:line="360" w:lineRule="auto"/>
              <w:widowControl/>
              <w:rPr>
                <w:rFonts w:ascii="宋体" w:hAnsi="宋体" w:cs="宋体"/>
                <w:szCs w:val="21"/>
              </w:rPr>
            </w:pPr>
            <w:r>
              <w:rPr>
                <w:rFonts w:hint="eastAsia" w:ascii="宋体" w:hAnsi="宋体" w:cs="宋体"/>
                <w:szCs w:val="21"/>
              </w:rPr>
              <w:t xml:space="preserve">9、台风、飓风：台风指中心附近最大平均风力12级或以上，即风速在32.6米/秒以上的热带气旋；飓风是一种与台风性质相同、但出现的位置区域不同的热带气旋，台风出现在西北太平洋海域，而飓风出现在印度洋、大西洋海域。</w:t>
            </w:r>
            <w:r/>
          </w:p>
          <w:p>
            <w:pPr>
              <w:ind w:firstLine="420"/>
              <w:jc w:val="left"/>
              <w:spacing w:line="360" w:lineRule="auto"/>
              <w:widowControl/>
              <w:rPr>
                <w:rFonts w:ascii="宋体" w:hAnsi="宋体" w:cs="宋体"/>
                <w:szCs w:val="21"/>
              </w:rPr>
            </w:pPr>
            <w:r>
              <w:rPr>
                <w:rFonts w:hint="eastAsia" w:ascii="宋体" w:hAnsi="宋体" w:cs="宋体"/>
                <w:szCs w:val="21"/>
              </w:rPr>
              <w:t xml:space="preserve">10、沙尘暴：指强风将地面大量尘沙吹起，使空气很浑浊，水平能见度小于1公里的天气现象。</w:t>
            </w:r>
            <w:r/>
          </w:p>
          <w:p>
            <w:pPr>
              <w:ind w:firstLine="420"/>
              <w:jc w:val="left"/>
              <w:spacing w:line="360" w:lineRule="auto"/>
              <w:widowControl/>
              <w:rPr>
                <w:rFonts w:ascii="宋体" w:hAnsi="宋体" w:cs="宋体"/>
                <w:szCs w:val="21"/>
              </w:rPr>
            </w:pPr>
            <w:r>
              <w:rPr>
                <w:rFonts w:hint="eastAsia" w:ascii="宋体" w:hAnsi="宋体" w:cs="宋体"/>
                <w:szCs w:val="21"/>
              </w:rPr>
              <w:t xml:space="preserve">11、暴雪：指连续12小时的降雪量大于或等于10毫米的降雪现象。</w:t>
            </w:r>
            <w:r/>
          </w:p>
          <w:p>
            <w:pPr>
              <w:ind w:firstLine="420"/>
              <w:jc w:val="left"/>
              <w:spacing w:line="360" w:lineRule="auto"/>
              <w:widowControl/>
              <w:rPr>
                <w:rFonts w:ascii="宋体" w:hAnsi="宋体" w:cs="宋体"/>
                <w:szCs w:val="21"/>
              </w:rPr>
            </w:pPr>
            <w:r>
              <w:rPr>
                <w:rFonts w:hint="eastAsia" w:ascii="宋体" w:hAnsi="宋体" w:cs="宋体"/>
                <w:szCs w:val="21"/>
              </w:rPr>
              <w:t xml:space="preserve">12、冰凌：指春季江河解冻期时冰块飘浮遇阻，堆积成坝，堵塞江道，造成水位急剧上升，以致江水溢出江道，</w:t>
            </w:r>
            <w:r>
              <w:rPr>
                <w:rFonts w:hint="eastAsia"/>
              </w:rPr>
              <w:t xml:space="preserve">蔓延</w:t>
            </w:r>
            <w:r>
              <w:rPr>
                <w:rFonts w:hint="eastAsia" w:ascii="宋体" w:hAnsi="宋体" w:cs="宋体"/>
                <w:szCs w:val="21"/>
              </w:rPr>
              <w:t xml:space="preserve">成灾。</w:t>
            </w:r>
            <w:r/>
          </w:p>
          <w:p>
            <w:pPr>
              <w:ind w:firstLine="420"/>
              <w:jc w:val="left"/>
              <w:spacing w:line="360" w:lineRule="auto"/>
              <w:widowControl/>
              <w:rPr>
                <w:rFonts w:ascii="宋体" w:hAnsi="宋体" w:cs="宋体"/>
                <w:szCs w:val="21"/>
              </w:rPr>
            </w:pPr>
            <w:r>
              <w:rPr>
                <w:rFonts w:hint="eastAsia" w:ascii="宋体" w:hAnsi="宋体" w:cs="宋体"/>
                <w:szCs w:val="21"/>
              </w:rPr>
              <w:t xml:space="preserve">陆上有些地区，如山谷风口或酷寒致使雨雪在物体上结成冰块，成下垂形状，越结越厚，重量增加，由于下垂的拉力致使物体毁坏，也属冰凌责任。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13、突发性滑坡：斜坡上不稳的岩土体或人为堆积物在重力作用下突然整体向下滑动的现象。</w:t>
            </w:r>
            <w:r/>
          </w:p>
          <w:p>
            <w:pPr>
              <w:ind w:firstLine="420"/>
              <w:jc w:val="left"/>
              <w:spacing w:line="360" w:lineRule="auto"/>
              <w:widowControl/>
              <w:rPr>
                <w:rFonts w:ascii="宋体" w:hAnsi="宋体" w:cs="宋体"/>
                <w:szCs w:val="21"/>
              </w:rPr>
            </w:pPr>
            <w:r>
              <w:rPr>
                <w:rFonts w:hint="eastAsia" w:ascii="宋体" w:hAnsi="宋体" w:cs="宋体"/>
                <w:szCs w:val="21"/>
              </w:rPr>
              <w:t xml:space="preserve">14、崩塌：石崖、土崖、岩石受自然风化、雨蚀造成崩溃下塌，以及大量积雪在重力作用下从高处突然崩塌滚落。</w:t>
            </w:r>
            <w:r/>
          </w:p>
          <w:p>
            <w:pPr>
              <w:ind w:firstLine="420"/>
              <w:jc w:val="left"/>
              <w:spacing w:line="360" w:lineRule="auto"/>
              <w:widowControl/>
              <w:rPr>
                <w:rFonts w:ascii="宋体" w:hAnsi="宋体" w:cs="宋体"/>
                <w:szCs w:val="21"/>
              </w:rPr>
            </w:pPr>
            <w:r>
              <w:rPr>
                <w:rFonts w:hint="eastAsia" w:ascii="宋体" w:hAnsi="宋体" w:cs="宋体"/>
                <w:szCs w:val="21"/>
              </w:rPr>
              <w:t xml:space="preserve">15、泥石流：由于雨水、冰雪融化等水源激发的、含有大量泥沙石块的特殊洪流。</w:t>
            </w:r>
            <w:r/>
          </w:p>
          <w:p>
            <w:pPr>
              <w:ind w:firstLine="378"/>
              <w:jc w:val="left"/>
              <w:spacing w:line="360" w:lineRule="auto"/>
              <w:widowControl/>
              <w:rPr>
                <w:rFonts w:ascii="宋体" w:hAnsi="宋体" w:cs="宋体"/>
                <w:szCs w:val="21"/>
              </w:rPr>
            </w:pPr>
            <w:r>
              <w:rPr>
                <w:rFonts w:hint="eastAsia" w:ascii="宋体" w:hAnsi="宋体" w:cs="宋体"/>
                <w:szCs w:val="21"/>
              </w:rPr>
              <w:t xml:space="preserve">16、地面突然下陷下沉：地壳因为自然变异，地层收缩而发生突然塌陷。对于因海潮、河流、大雨侵蚀或在建筑房屋前没有掌握地层情况，地下有孔穴、矿穴，以致地面突然塌陷，也属地面突然下陷下沉。但未按建筑施工要求导致建筑地基下沉、裂缝、倒塌等，不在此列。</w:t>
            </w:r>
            <w:r/>
          </w:p>
          <w:p>
            <w:pPr>
              <w:ind w:firstLine="420"/>
              <w:jc w:val="left"/>
              <w:spacing w:line="360" w:lineRule="auto"/>
              <w:widowControl/>
              <w:rPr>
                <w:rFonts w:ascii="宋体" w:hAnsi="宋体" w:cs="宋体"/>
                <w:szCs w:val="21"/>
              </w:rPr>
            </w:pPr>
            <w:r>
              <w:rPr>
                <w:rFonts w:hint="eastAsia" w:ascii="宋体" w:hAnsi="宋体" w:cs="宋体"/>
                <w:szCs w:val="21"/>
              </w:rPr>
              <w:t xml:space="preserve">（二）意外事故：指不可预料的以及被保险人无法控制并造成物质损失或人身伤亡的突发性事件，包括火灾和爆炸。</w:t>
            </w:r>
            <w:r/>
          </w:p>
          <w:p>
            <w:pPr>
              <w:ind w:firstLine="380"/>
              <w:jc w:val="left"/>
              <w:spacing w:line="360" w:lineRule="auto"/>
              <w:widowControl/>
              <w:rPr>
                <w:rFonts w:ascii="宋体" w:hAnsi="宋体" w:cs="宋体"/>
                <w:szCs w:val="21"/>
              </w:rPr>
            </w:pPr>
            <w:r>
              <w:rPr>
                <w:rFonts w:hint="eastAsia" w:ascii="宋体" w:hAnsi="宋体" w:cs="宋体"/>
                <w:szCs w:val="21"/>
              </w:rPr>
              <w:t xml:space="preserve">1、火灾</w:t>
            </w:r>
            <w:r/>
          </w:p>
          <w:p>
            <w:pPr>
              <w:ind w:firstLine="420"/>
              <w:jc w:val="left"/>
              <w:spacing w:line="360" w:lineRule="auto"/>
              <w:widowControl/>
              <w:rPr>
                <w:rFonts w:ascii="宋体" w:hAnsi="宋体" w:cs="宋体"/>
                <w:szCs w:val="21"/>
              </w:rPr>
            </w:pPr>
            <w:r>
              <w:rPr>
                <w:rFonts w:hint="eastAsia" w:ascii="宋体" w:hAnsi="宋体" w:cs="宋体"/>
                <w:szCs w:val="21"/>
              </w:rPr>
              <w:t xml:space="preserve"> 在时间或空间上失去控制的燃烧所造成的灾害。构成本保险的火灾责任必须同时具备以下三个条件：</w:t>
            </w:r>
            <w:r/>
          </w:p>
          <w:p>
            <w:pPr>
              <w:ind w:firstLine="420"/>
              <w:jc w:val="left"/>
              <w:spacing w:line="360" w:lineRule="auto"/>
              <w:widowControl/>
              <w:rPr>
                <w:rFonts w:ascii="宋体" w:hAnsi="宋体" w:cs="宋体"/>
                <w:szCs w:val="21"/>
              </w:rPr>
            </w:pPr>
            <w:r>
              <w:rPr>
                <w:rFonts w:hint="eastAsia" w:ascii="宋体" w:hAnsi="宋体" w:cs="宋体"/>
                <w:szCs w:val="21"/>
              </w:rPr>
              <w:t xml:space="preserve"> （1）有燃烧现象，即有热有光有火焰；</w:t>
            </w:r>
            <w:r/>
          </w:p>
          <w:p>
            <w:pPr>
              <w:ind w:firstLine="420"/>
              <w:jc w:val="left"/>
              <w:spacing w:line="360" w:lineRule="auto"/>
              <w:widowControl/>
              <w:rPr>
                <w:rFonts w:ascii="宋体" w:hAnsi="宋体" w:cs="宋体"/>
                <w:szCs w:val="21"/>
              </w:rPr>
            </w:pPr>
            <w:r>
              <w:rPr>
                <w:rFonts w:hint="eastAsia" w:ascii="宋体" w:hAnsi="宋体" w:cs="宋体"/>
                <w:szCs w:val="21"/>
              </w:rPr>
              <w:t xml:space="preserve"> （2）偶然、意外发生的燃烧；</w:t>
            </w:r>
            <w:r/>
          </w:p>
          <w:p>
            <w:pPr>
              <w:ind w:firstLine="420"/>
              <w:jc w:val="left"/>
              <w:spacing w:line="360" w:lineRule="auto"/>
              <w:widowControl/>
              <w:rPr>
                <w:rFonts w:ascii="宋体" w:hAnsi="宋体" w:cs="宋体"/>
                <w:szCs w:val="21"/>
              </w:rPr>
            </w:pPr>
            <w:r>
              <w:rPr>
                <w:rFonts w:hint="eastAsia" w:ascii="宋体" w:hAnsi="宋体" w:cs="宋体"/>
                <w:szCs w:val="21"/>
              </w:rPr>
              <w:t xml:space="preserve"> （3）燃烧失去控制并有蔓延扩大的趋势。</w:t>
            </w:r>
            <w:r/>
          </w:p>
          <w:p>
            <w:pPr>
              <w:ind w:firstLine="420"/>
              <w:jc w:val="left"/>
              <w:spacing w:line="360" w:lineRule="auto"/>
              <w:widowControl/>
              <w:rPr>
                <w:rFonts w:ascii="宋体" w:hAnsi="宋体" w:cs="宋体"/>
                <w:szCs w:val="21"/>
              </w:rPr>
            </w:pPr>
            <w:r>
              <w:rPr>
                <w:rFonts w:hint="eastAsia" w:ascii="宋体" w:hAnsi="宋体" w:cs="宋体"/>
                <w:szCs w:val="21"/>
              </w:rPr>
              <w:t xml:space="preserve"> 因此，仅有燃烧现象并不等于构成本保险中的火灾责任。在生产、生活中有目的用火，如为了防疫而焚毁玷污的衣物，点火烧荒等属正常燃烧，不同于火灾责任。</w:t>
            </w:r>
            <w:r/>
          </w:p>
          <w:p>
            <w:pPr>
              <w:ind w:firstLine="420"/>
              <w:jc w:val="left"/>
              <w:spacing w:line="360" w:lineRule="auto"/>
              <w:widowControl/>
              <w:rPr>
                <w:rFonts w:ascii="宋体" w:hAnsi="宋体" w:cs="宋体"/>
                <w:szCs w:val="21"/>
              </w:rPr>
            </w:pPr>
            <w:r>
              <w:rPr>
                <w:rFonts w:hint="eastAsia" w:ascii="宋体" w:hAnsi="宋体" w:cs="宋体"/>
                <w:szCs w:val="21"/>
              </w:rPr>
              <w:t xml:space="preserve"> 因烘、烤、烫、烙造成焦糊变质等损失，既无燃烧现象，又无蔓延扩大趋势，也不属于火灾责任。</w:t>
            </w:r>
            <w:r/>
          </w:p>
          <w:p>
            <w:pPr>
              <w:ind w:firstLine="420"/>
              <w:jc w:val="left"/>
              <w:spacing w:line="360" w:lineRule="auto"/>
              <w:widowControl/>
              <w:rPr>
                <w:rFonts w:ascii="宋体" w:hAnsi="宋体" w:cs="宋体"/>
                <w:szCs w:val="21"/>
              </w:rPr>
            </w:pPr>
            <w:r>
              <w:rPr>
                <w:rFonts w:hint="eastAsia" w:ascii="宋体" w:hAnsi="宋体" w:cs="宋体"/>
                <w:szCs w:val="21"/>
              </w:rPr>
              <w:t xml:space="preserve"> 电机、电器、电气设备因使用过度、超电压、碰线、孤花、漏电、自身发热所造成的本身损毁，不属于火灾责任。但如果发生了燃烧并失去控制蔓延扩大，才构成火灾责任，并对电机、电器、电气设备本身的损失负责赔偿。</w:t>
            </w:r>
            <w:r/>
          </w:p>
          <w:p>
            <w:pPr>
              <w:ind w:firstLine="420"/>
              <w:jc w:val="left"/>
              <w:spacing w:line="360" w:lineRule="auto"/>
              <w:widowControl/>
              <w:rPr>
                <w:rFonts w:ascii="宋体" w:hAnsi="宋体" w:cs="宋体"/>
                <w:szCs w:val="21"/>
              </w:rPr>
            </w:pPr>
            <w:r>
              <w:rPr>
                <w:rFonts w:hint="eastAsia" w:ascii="宋体" w:hAnsi="宋体" w:cs="宋体"/>
                <w:szCs w:val="21"/>
              </w:rPr>
              <w:t xml:space="preserve">2、爆炸</w:t>
            </w:r>
            <w:r/>
          </w:p>
          <w:p>
            <w:pPr>
              <w:ind w:firstLine="420"/>
              <w:jc w:val="left"/>
              <w:spacing w:line="360" w:lineRule="auto"/>
              <w:widowControl/>
              <w:rPr>
                <w:rFonts w:ascii="宋体" w:hAnsi="宋体" w:cs="宋体"/>
                <w:szCs w:val="21"/>
              </w:rPr>
            </w:pPr>
            <w:r>
              <w:rPr>
                <w:rFonts w:hint="eastAsia" w:ascii="宋体" w:hAnsi="宋体" w:cs="宋体"/>
                <w:szCs w:val="21"/>
              </w:rPr>
              <w:t xml:space="preserve">爆炸分物理性爆炸和化学性爆炸。</w:t>
            </w:r>
            <w:r/>
          </w:p>
          <w:p>
            <w:pPr>
              <w:ind w:firstLine="420"/>
              <w:jc w:val="left"/>
              <w:spacing w:line="360" w:lineRule="auto"/>
              <w:widowControl/>
              <w:rPr>
                <w:rFonts w:ascii="宋体" w:hAnsi="宋体" w:cs="宋体"/>
                <w:szCs w:val="21"/>
              </w:rPr>
            </w:pPr>
            <w:r>
              <w:rPr>
                <w:rFonts w:hint="eastAsia" w:ascii="宋体" w:hAnsi="宋体" w:cs="宋体"/>
                <w:szCs w:val="21"/>
              </w:rPr>
              <w:t xml:space="preserve">（1）物理性爆炸：由于液体变为蒸汽或气体膨胀，压力急剧增加并大大超过容器所能承受的极限压力，因而发生爆炸。如锅炉、空气压缩机、压缩气体钢瓶、液化气罐爆炸等。关于锅炉、压力容器爆炸的定义是：锅炉或压力容器在使用中或试压时发生破裂，使压力瞬时降到等于外界大气压力的事故，称为“爆炸事故”。</w:t>
            </w:r>
            <w:r/>
          </w:p>
          <w:p>
            <w:pPr>
              <w:ind w:firstLine="380"/>
              <w:jc w:val="left"/>
              <w:spacing w:line="360" w:lineRule="auto"/>
              <w:widowControl/>
              <w:rPr>
                <w:rFonts w:ascii="宋体" w:hAnsi="宋体" w:cs="宋体"/>
                <w:szCs w:val="21"/>
              </w:rPr>
            </w:pPr>
            <w:r>
              <w:rPr>
                <w:rFonts w:hint="eastAsia" w:ascii="宋体" w:hAnsi="宋体" w:cs="宋体"/>
                <w:szCs w:val="21"/>
              </w:rPr>
              <w:t xml:space="preserve"> （2）化学性爆炸：物体在瞬息分解或燃烧时放出大量的热和气体，并以很大的压力向四周扩散的现象。如火药爆炸、可燃性粉尘纤维爆炸、可燃气体爆炸及各种化学物品的爆炸等。</w:t>
            </w:r>
            <w:r/>
          </w:p>
          <w:p>
            <w:pPr>
              <w:ind w:firstLine="420"/>
              <w:jc w:val="left"/>
              <w:spacing w:line="360" w:lineRule="auto"/>
              <w:widowControl/>
              <w:rPr>
                <w:rFonts w:ascii="宋体" w:hAnsi="宋体" w:cs="宋体"/>
                <w:szCs w:val="21"/>
              </w:rPr>
            </w:pPr>
            <w:r>
              <w:rPr>
                <w:rFonts w:hint="eastAsia" w:ascii="宋体" w:hAnsi="宋体" w:cs="宋体"/>
                <w:szCs w:val="21"/>
              </w:rPr>
              <w:t xml:space="preserve">因物体本身的瑕疵，使用损耗或产品质量低劣以及由于容器内部承受“负压”（内压比外压小）造成的损失，不属于爆炸责任。</w:t>
            </w:r>
            <w:r/>
          </w:p>
          <w:p>
            <w:pPr>
              <w:ind w:firstLine="420"/>
              <w:jc w:val="left"/>
              <w:spacing w:line="360" w:lineRule="auto"/>
              <w:widowControl/>
              <w:rPr>
                <w:rFonts w:hint="eastAsia" w:ascii="ˎ̥" w:hAnsi="ˎ̥" w:cs="宋体"/>
                <w:sz w:val="20"/>
                <w:szCs w:val="20"/>
              </w:rPr>
            </w:pPr>
            <w:r>
              <w:rPr>
                <w:rFonts w:hint="eastAsia" w:ascii="宋体" w:hAnsi="宋体" w:cs="宋体"/>
                <w:szCs w:val="21"/>
              </w:rPr>
              <w:t xml:space="preserve">（三）应保险金额：根据本保险合同第九条（一）、（二）款确定的保险金额。</w:t>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三、节能产品要求</w:t>
      </w:r>
      <w:r/>
    </w:p>
    <w:p>
      <w:pPr>
        <w:ind w:firstLine="420"/>
        <w:spacing w:line="360" w:lineRule="auto"/>
        <w:rPr>
          <w:rFonts w:ascii="宋体" w:hAnsi="宋体"/>
          <w:iCs/>
          <w:szCs w:val="21"/>
        </w:rPr>
        <w:sectPr>
          <w:headerReference w:type="default" r:id="rId10"/>
          <w:footerReference w:type="default" r:id="rId14"/>
          <w:footnotePr/>
          <w:endnotePr/>
          <w:type w:val="nextPage"/>
          <w:pgSz w:w="11910" w:h="16840" w:orient="portrait"/>
          <w:pgMar w:top="1440" w:right="1077" w:bottom="1440" w:left="1797" w:header="850" w:footer="981" w:gutter="0"/>
          <w:cols w:num="1" w:sep="0" w:space="720" w:equalWidth="1"/>
          <w:docGrid w:linePitch="360"/>
        </w:sectPr>
      </w:pPr>
      <w:r>
        <w:rPr>
          <w:rFonts w:hint="eastAsia" w:ascii="宋体" w:hAnsi="宋体"/>
          <w:iCs/>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i/>
          <w:iCs/>
          <w:szCs w:val="21"/>
          <w:u w:val="single"/>
        </w:rPr>
        <w:t xml:space="preserve">并在投标文件内提供由国家确定的认证机构出具的、处于有效期之内的节能产品认证证书原件，扫描上传，否则视为无效投标。</w:t>
      </w:r>
      <w:r>
        <w:rPr>
          <w:rFonts w:hint="eastAsia" w:ascii="宋体" w:hAnsi="宋体"/>
          <w:b/>
          <w:bCs/>
          <w:i/>
          <w:iCs/>
          <w:szCs w:val="21"/>
          <w:u w:val="single"/>
        </w:rPr>
        <w:t xml:space="preserve">（本项目涉及强制采购范围内产品有：无）</w:t>
      </w:r>
      <w:r/>
    </w:p>
    <w:p>
      <w:pPr>
        <w:spacing w:line="360" w:lineRule="auto"/>
        <w:rPr>
          <w:rFonts w:ascii="宋体" w:hAnsi="宋体"/>
          <w:szCs w:val="21"/>
        </w:rPr>
      </w:pPr>
      <w:r>
        <w:rPr>
          <w:rFonts w:ascii="宋体" w:hAnsi="宋体"/>
          <w:szCs w:val="21"/>
        </w:rPr>
      </w:r>
      <w:r/>
    </w:p>
    <w:p>
      <w:pPr>
        <w:pStyle w:val="1097"/>
        <w:jc w:val="center"/>
        <w:spacing w:before="0" w:after="0" w:line="240" w:lineRule="auto"/>
        <w:rPr>
          <w:rFonts w:ascii="宋体" w:hAnsi="宋体" w:eastAsia="宋体"/>
          <w:sz w:val="44"/>
          <w:szCs w:val="44"/>
        </w:rPr>
      </w:pPr>
      <w:r>
        <w:rPr>
          <w:rFonts w:hint="eastAsia" w:ascii="宋体" w:hAnsi="宋体" w:eastAsia="宋体"/>
          <w:sz w:val="44"/>
          <w:szCs w:val="44"/>
        </w:rPr>
        <w:t xml:space="preserve">第五章 评标方法及评标标准</w:t>
      </w:r>
      <w:r/>
    </w:p>
    <w:p>
      <w:r/>
      <w:r/>
    </w:p>
    <w:p>
      <w:pPr>
        <w:numPr>
          <w:ilvl w:val="0"/>
          <w:numId w:val="8"/>
        </w:numPr>
        <w:ind w:firstLine="422"/>
        <w:spacing w:line="400" w:lineRule="exact"/>
        <w:rPr>
          <w:b/>
          <w:bCs/>
        </w:rPr>
      </w:pPr>
      <w:r>
        <w:rPr>
          <w:rFonts w:hint="eastAsia"/>
          <w:b/>
          <w:bCs/>
        </w:rPr>
        <w:t xml:space="preserve">评标方法</w:t>
      </w:r>
      <w:r/>
    </w:p>
    <w:p>
      <w:pPr>
        <w:ind w:firstLine="420"/>
        <w:spacing w:line="360" w:lineRule="auto"/>
      </w:pPr>
      <w:r>
        <w:rPr>
          <w:rFonts w:hint="eastAsi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b/>
          <w:bCs/>
        </w:rPr>
      </w:pPr>
      <w:r/>
      <w:bookmarkStart w:id="24" w:name="_Toc449017024"/>
      <w:r/>
      <w:bookmarkStart w:id="25" w:name="_Toc449016388"/>
      <w:r>
        <w:rPr>
          <w:rFonts w:hint="eastAsia"/>
          <w:b/>
          <w:bCs/>
        </w:rPr>
        <w:t xml:space="preserve">二、政府采购政策功能落实</w:t>
      </w:r>
      <w:bookmarkEnd w:id="24"/>
      <w:r/>
      <w:bookmarkEnd w:id="25"/>
      <w:r/>
      <w:r/>
    </w:p>
    <w:p>
      <w:pPr>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31"/>
        <w:ind w:left="315" w:firstLine="105"/>
        <w:rPr>
          <w:rFonts w:ascii="Times New Roman" w:hAnsi="Times New Roman"/>
          <w:sz w:val="21"/>
          <w:szCs w:val="21"/>
        </w:rPr>
      </w:pPr>
      <w:r>
        <w:rPr>
          <w:rFonts w:ascii="Times New Roman" w:hAnsi="Times New Roman"/>
          <w:sz w:val="21"/>
          <w:szCs w:val="21"/>
        </w:rPr>
        <w:t xml:space="preserve">1、小微型企业价格扣除</w:t>
      </w:r>
      <w:r/>
    </w:p>
    <w:p>
      <w:pPr>
        <w:pStyle w:val="1131"/>
        <w:ind w:firstLine="42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p>
    <w:p>
      <w:pPr>
        <w:pStyle w:val="1131"/>
        <w:ind w:firstLine="42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p>
    <w:p>
      <w:pPr>
        <w:pStyle w:val="1131"/>
        <w:ind w:left="420" w:firstLine="0"/>
        <w:rPr>
          <w:rFonts w:ascii="Times New Roman" w:hAnsi="Times New Roman"/>
          <w:sz w:val="21"/>
          <w:szCs w:val="21"/>
        </w:rPr>
      </w:pPr>
      <w:r>
        <w:rPr>
          <w:rFonts w:ascii="Times New Roman" w:hAnsi="Times New Roman"/>
          <w:sz w:val="21"/>
          <w:szCs w:val="21"/>
        </w:rPr>
        <w:t xml:space="preserve">2、残疾人福利单位价格扣除</w:t>
      </w:r>
      <w:r/>
    </w:p>
    <w:p>
      <w:pPr>
        <w:pStyle w:val="1131"/>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1131"/>
        <w:ind w:left="420" w:firstLine="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131"/>
        <w:ind w:firstLine="42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131"/>
        <w:ind w:left="420" w:firstLine="0"/>
        <w:rPr>
          <w:rFonts w:ascii="Times New Roman" w:hAnsi="Times New Roman"/>
          <w:sz w:val="21"/>
          <w:szCs w:val="21"/>
        </w:rPr>
      </w:pPr>
      <w:r>
        <w:rPr>
          <w:rFonts w:ascii="Times New Roman" w:hAnsi="Times New Roman"/>
          <w:sz w:val="21"/>
          <w:szCs w:val="21"/>
        </w:rPr>
        <w:t xml:space="preserve">3、监狱和戒毒企业价格扣除</w:t>
      </w:r>
      <w:r/>
    </w:p>
    <w:p>
      <w:pPr>
        <w:pStyle w:val="1131"/>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1131"/>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131"/>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131"/>
        <w:ind w:firstLine="42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131"/>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p>
    <w:p>
      <w:pPr>
        <w:pStyle w:val="1131"/>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p>
    <w:p>
      <w:pPr>
        <w:ind w:firstLine="422"/>
        <w:spacing w:line="360" w:lineRule="auto"/>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ascii="宋体" w:hAnsi="宋体"/>
          <w:b/>
          <w:szCs w:val="21"/>
        </w:rPr>
      </w:pPr>
      <w:r>
        <w:rPr>
          <w:rFonts w:hint="eastAsia" w:ascii="宋体" w:hAnsi="宋体"/>
          <w:b/>
          <w:szCs w:val="21"/>
        </w:rPr>
        <w:t xml:space="preserve">三、评标标准</w:t>
      </w:r>
      <w:r/>
    </w:p>
    <w:tbl>
      <w:tblPr>
        <w:tblStyle w:val="812"/>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8"/>
        <w:gridCol w:w="5622"/>
      </w:tblGrid>
      <w:tr>
        <w:trPr>
          <w:jc w:val="center"/>
          <w:trHeight w:val="460"/>
        </w:trPr>
        <w:tc>
          <w:tcPr>
            <w:gridSpan w:val="2"/>
            <w:tcW w:w="8540" w:type="dxa"/>
            <w:vAlign w:val="center"/>
            <w:textDirection w:val="lrTb"/>
            <w:noWrap w:val="false"/>
          </w:tcPr>
          <w:p>
            <w:pPr>
              <w:jc w:val="center"/>
              <w:rPr>
                <w:rFonts w:ascii="宋体" w:hAnsi="宋体" w:cs="宋体"/>
                <w:szCs w:val="21"/>
              </w:rPr>
            </w:pPr>
            <w:r>
              <w:rPr>
                <w:rFonts w:hint="eastAsia" w:ascii="宋体" w:hAnsi="宋体" w:cs="宋体"/>
                <w:b/>
                <w:szCs w:val="21"/>
              </w:rPr>
              <w:t xml:space="preserve">评分细则</w:t>
            </w:r>
            <w:r/>
          </w:p>
        </w:tc>
      </w:tr>
      <w:tr>
        <w:trPr>
          <w:jc w:val="center"/>
          <w:trHeight w:val="460"/>
        </w:trPr>
        <w:tc>
          <w:tcPr>
            <w:gridSpan w:val="2"/>
            <w:tcW w:w="8540" w:type="dxa"/>
            <w:vAlign w:val="center"/>
            <w:textDirection w:val="lrTb"/>
            <w:noWrap w:val="false"/>
          </w:tcPr>
          <w:p>
            <w:pPr>
              <w:jc w:val="left"/>
              <w:rPr>
                <w:rFonts w:ascii="宋体" w:hAnsi="宋体" w:cs="宋体"/>
                <w:b/>
                <w:szCs w:val="21"/>
              </w:rPr>
            </w:pPr>
            <w:r>
              <w:rPr>
                <w:rFonts w:hint="eastAsia" w:ascii="宋体" w:hAnsi="宋体" w:cs="宋体"/>
                <w:b/>
                <w:szCs w:val="21"/>
              </w:rPr>
              <w:t xml:space="preserve">一、报价(</w:t>
            </w:r>
            <w:r>
              <w:rPr>
                <w:rFonts w:hint="eastAsia" w:ascii="宋体" w:hAnsi="宋体" w:cs="宋体"/>
                <w:b/>
                <w:szCs w:val="21"/>
                <w:lang w:val="en-US" w:eastAsia="zh-CN"/>
              </w:rPr>
              <w:t xml:space="preserve">3</w:t>
            </w:r>
            <w:r>
              <w:rPr>
                <w:rFonts w:hint="eastAsia" w:ascii="宋体" w:hAnsi="宋体" w:cs="宋体"/>
                <w:b/>
                <w:szCs w:val="21"/>
              </w:rPr>
              <w:t xml:space="preserve">0分)</w:t>
            </w:r>
            <w:r/>
          </w:p>
        </w:tc>
      </w:tr>
      <w:tr>
        <w:trPr>
          <w:jc w:val="center"/>
          <w:trHeight w:val="1067"/>
        </w:trPr>
        <w:tc>
          <w:tcPr>
            <w:gridSpan w:val="2"/>
            <w:tcW w:w="8540" w:type="dxa"/>
            <w:vAlign w:val="center"/>
            <w:textDirection w:val="lrTb"/>
            <w:noWrap w:val="false"/>
          </w:tcPr>
          <w:p>
            <w:pPr>
              <w:spacing w:line="360" w:lineRule="auto"/>
              <w:rPr>
                <w:rFonts w:ascii="宋体" w:hAnsi="宋体" w:cs="宋体"/>
                <w:b/>
                <w:szCs w:val="21"/>
              </w:rPr>
              <w:outlineLvl w:val="0"/>
            </w:pPr>
            <w:r>
              <w:rPr>
                <w:rFonts w:hint="eastAsia" w:ascii="宋体" w:hAnsi="宋体" w:cs="宋体"/>
                <w:bCs/>
                <w:color w:val="000000"/>
                <w:szCs w:val="21"/>
              </w:rPr>
              <w:t xml:space="preserve">以满足招标文件要求最低报价为评标基准价，得满分</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0分。其他投标报价得分＝（评标基准价/投标报价）×</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0</w:t>
            </w:r>
            <w:r>
              <w:rPr>
                <w:rFonts w:hint="eastAsia" w:ascii="宋体" w:hAnsi="宋体" w:cs="宋体"/>
                <w:bCs/>
                <w:szCs w:val="21"/>
              </w:rPr>
              <w:t xml:space="preserve">×100%</w:t>
            </w:r>
            <w:r>
              <w:rPr>
                <w:rFonts w:hint="eastAsia" w:ascii="宋体" w:hAnsi="宋体" w:cs="宋体"/>
                <w:bCs/>
                <w:color w:val="000000"/>
                <w:szCs w:val="21"/>
              </w:rPr>
              <w:t xml:space="preserve">，结果保留至小数点后两位。</w:t>
            </w:r>
            <w:r/>
          </w:p>
        </w:tc>
      </w:tr>
      <w:tr>
        <w:trPr>
          <w:jc w:val="center"/>
          <w:trHeight w:val="455"/>
        </w:trPr>
        <w:tc>
          <w:tcPr>
            <w:gridSpan w:val="2"/>
            <w:tcW w:w="8540" w:type="dxa"/>
            <w:vAlign w:val="center"/>
            <w:textDirection w:val="lrTb"/>
            <w:noWrap w:val="false"/>
          </w:tcPr>
          <w:p>
            <w:pPr>
              <w:jc w:val="left"/>
              <w:rPr>
                <w:rFonts w:ascii="宋体" w:hAnsi="宋体" w:cs="宋体"/>
                <w:szCs w:val="21"/>
              </w:rPr>
            </w:pPr>
            <w:r>
              <w:rPr>
                <w:rFonts w:hint="eastAsia" w:ascii="宋体" w:hAnsi="宋体" w:cs="宋体"/>
                <w:b/>
                <w:szCs w:val="21"/>
              </w:rPr>
              <w:t xml:space="preserve">二、公司实力(38分)</w:t>
            </w:r>
            <w:r/>
          </w:p>
        </w:tc>
      </w:tr>
      <w:tr>
        <w:trPr>
          <w:jc w:val="center"/>
          <w:trHeight w:val="1478"/>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1、总公司</w:t>
            </w:r>
            <w:r>
              <w:rPr>
                <w:rFonts w:hint="eastAsia" w:ascii="宋体" w:hAnsi="宋体" w:cs="宋体"/>
                <w:szCs w:val="21"/>
                <w:lang w:eastAsia="zh-CN"/>
              </w:rPr>
              <w:t xml:space="preserve">2024或2025</w:t>
            </w:r>
            <w:r>
              <w:rPr>
                <w:rFonts w:hint="eastAsia" w:ascii="宋体" w:hAnsi="宋体" w:cs="宋体"/>
                <w:szCs w:val="21"/>
              </w:rPr>
              <w:t xml:space="preserve">年第四季度核心偿付能力充足率（12分）</w:t>
            </w:r>
            <w:r/>
          </w:p>
        </w:tc>
        <w:tc>
          <w:tcPr>
            <w:tcW w:w="562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偿付能力充足率2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0%以上的，得12分；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偿付能力充足率</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0%—2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0%（含）的，得9分；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偿付能力充足率1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0%（含）的，得6分；</w:t>
            </w:r>
            <w:r/>
          </w:p>
          <w:p>
            <w:pPr>
              <w:pStyle w:val="81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偿付能力充足率1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0%（含）的，得3分；</w:t>
            </w:r>
            <w:r/>
          </w:p>
          <w:p>
            <w:pPr>
              <w:rPr>
                <w:rFonts w:ascii="宋体" w:hAnsi="宋体" w:cs="宋体"/>
                <w:color w:val="auto"/>
                <w:szCs w:val="21"/>
                <w:highlight w:val="none"/>
              </w:rPr>
            </w:pPr>
            <w:r>
              <w:rPr>
                <w:rFonts w:hint="eastAsia" w:ascii="宋体" w:hAnsi="宋体" w:cs="宋体"/>
                <w:color w:val="auto"/>
                <w:szCs w:val="21"/>
                <w:highlight w:val="none"/>
              </w:rPr>
              <w:t xml:space="preserve">偿付能力充足率1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0%（含）以下的，不得分。</w:t>
            </w:r>
            <w:r/>
          </w:p>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（须提供供应商总公司</w:t>
            </w:r>
            <w:r>
              <w:rPr>
                <w:rFonts w:hint="eastAsia" w:ascii="宋体" w:hAnsi="宋体" w:cs="宋体"/>
                <w:color w:val="auto"/>
                <w:szCs w:val="21"/>
                <w:highlight w:val="none"/>
                <w:lang w:eastAsia="zh-CN"/>
              </w:rPr>
              <w:t xml:space="preserve">2024或2025</w:t>
            </w:r>
            <w:r>
              <w:rPr>
                <w:rFonts w:hint="eastAsia" w:ascii="宋体" w:hAnsi="宋体" w:cs="宋体"/>
                <w:color w:val="auto"/>
                <w:szCs w:val="21"/>
                <w:highlight w:val="none"/>
              </w:rPr>
              <w:t xml:space="preserve">年第四季度经第三方审计机构审计的偿付能力报表，扫描上传系统）</w:t>
            </w:r>
            <w:r>
              <w:rPr>
                <w:rFonts w:hint="eastAsia" w:ascii="宋体" w:hAnsi="宋体" w:cs="宋体"/>
                <w:b/>
                <w:bCs/>
                <w:color w:val="auto"/>
                <w:szCs w:val="21"/>
                <w:highlight w:val="none"/>
                <w:lang w:eastAsia="zh-CN"/>
              </w:rPr>
              <w:t xml:space="preserve">注：须提供</w:t>
            </w:r>
            <w:r>
              <w:rPr>
                <w:rFonts w:hint="eastAsia" w:ascii="宋体" w:hAnsi="宋体" w:cs="宋体"/>
                <w:b/>
                <w:color w:val="000000" w:themeColor="text1"/>
                <w:szCs w:val="21"/>
                <w14:textFill>
                  <w14:solidFill>
                    <w14:schemeClr w14:val="tx1"/>
                  </w14:solidFill>
                </w14:textFill>
              </w:rPr>
              <w:t xml:space="preserve">投标截止时间前</w:t>
            </w:r>
            <w:r>
              <w:rPr>
                <w:rFonts w:hint="eastAsia" w:ascii="宋体" w:hAnsi="宋体" w:cs="宋体"/>
                <w:b/>
                <w:bCs/>
                <w:color w:val="auto"/>
                <w:szCs w:val="21"/>
                <w:highlight w:val="none"/>
                <w:lang w:eastAsia="zh-CN"/>
              </w:rPr>
              <w:t xml:space="preserve">最新</w:t>
            </w:r>
            <w:r>
              <w:rPr>
                <w:rFonts w:hint="eastAsia" w:ascii="宋体" w:hAnsi="宋体" w:cs="宋体"/>
                <w:b/>
                <w:bCs/>
                <w:color w:val="auto"/>
                <w:szCs w:val="21"/>
                <w:highlight w:val="none"/>
              </w:rPr>
              <w:t xml:space="preserve">经第三方审计机构审计的偿付能力报表</w:t>
            </w:r>
            <w:r>
              <w:rPr>
                <w:rFonts w:hint="eastAsia" w:ascii="宋体" w:hAnsi="宋体" w:cs="宋体"/>
                <w:b/>
                <w:bCs/>
                <w:color w:val="auto"/>
                <w:szCs w:val="21"/>
                <w:highlight w:val="none"/>
                <w:lang w:eastAsia="zh-CN"/>
              </w:rPr>
              <w:t xml:space="preserve">。</w:t>
            </w:r>
            <w:r/>
          </w:p>
        </w:tc>
      </w:tr>
      <w:tr>
        <w:trPr>
          <w:jc w:val="center"/>
          <w:trHeight w:val="2266"/>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2、风险综合评级（12分）</w:t>
            </w:r>
            <w:r/>
          </w:p>
        </w:tc>
        <w:tc>
          <w:tcPr>
            <w:tcW w:w="562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供应商所属总公司</w:t>
            </w:r>
            <w:r>
              <w:rPr>
                <w:rFonts w:hint="eastAsia" w:ascii="宋体" w:hAnsi="宋体" w:cs="宋体"/>
                <w:color w:val="auto"/>
                <w:szCs w:val="21"/>
                <w:highlight w:val="none"/>
                <w:lang w:eastAsia="zh-CN"/>
              </w:rPr>
              <w:t xml:space="preserve">2024年第四季度以及</w:t>
            </w:r>
            <w:r>
              <w:rPr>
                <w:rFonts w:hint="eastAsia" w:ascii="宋体" w:hAnsi="宋体" w:cs="宋体"/>
                <w:color w:val="auto"/>
                <w:szCs w:val="21"/>
                <w:highlight w:val="none"/>
                <w:lang w:val="en-US" w:eastAsia="zh-CN"/>
              </w:rPr>
              <w:t xml:space="preserve">2025年第一季度至第三季度</w:t>
            </w:r>
            <w:r>
              <w:rPr>
                <w:rFonts w:hint="eastAsia" w:ascii="宋体" w:hAnsi="宋体" w:cs="宋体"/>
                <w:b w:val="0"/>
                <w:bCs w:val="0"/>
                <w:color w:val="auto"/>
                <w:szCs w:val="21"/>
                <w:highlight w:val="none"/>
                <w:lang w:eastAsia="zh-CN"/>
              </w:rPr>
              <w:t xml:space="preserve">的</w:t>
            </w:r>
            <w:r>
              <w:rPr>
                <w:rFonts w:hint="eastAsia" w:ascii="宋体" w:hAnsi="宋体" w:cs="宋体"/>
                <w:color w:val="auto"/>
                <w:szCs w:val="21"/>
                <w:highlight w:val="none"/>
              </w:rPr>
              <w:t xml:space="preserve">风险综合评级，每一季度获得一个A级及以上得3分，每获得一个B级（包括B级、BB级、BBB级）得2分，其他不得分。</w:t>
            </w:r>
            <w:r/>
          </w:p>
          <w:p>
            <w:pPr>
              <w:pStyle w:val="839"/>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（须提供中国保险监督部门文件或系统截图或行业协会网站下载的或其他可以体现风险综合评级的证明材料，扫描上传系统）</w:t>
            </w:r>
            <w:r/>
          </w:p>
          <w:p>
            <w:pPr>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注：</w:t>
            </w:r>
            <w:r/>
          </w:p>
          <w:p>
            <w:pPr>
              <w:pStyle w:val="815"/>
              <w:spacing w:line="240" w:lineRule="auto"/>
              <w:rPr>
                <w:rFonts w:hint="eastAsia" w:ascii="宋体" w:hAnsi="宋体" w:eastAsia="宋体" w:cs="宋体"/>
                <w:b/>
                <w:color w:val="000000" w:themeColor="text1"/>
                <w:sz w:val="21"/>
                <w:szCs w:val="21"/>
                <w:lang w:val="en-US" w:eastAsia="zh-CN" w:bidi="ar-SA"/>
                <w14:textFill>
                  <w14:solidFill>
                    <w14:schemeClr w14:val="tx1"/>
                  </w14:solidFill>
                </w14:textFill>
              </w:rPr>
            </w:pPr>
            <w:r>
              <w:rPr>
                <w:rFonts w:hint="eastAsia" w:ascii="宋体" w:hAnsi="宋体" w:eastAsia="宋体" w:cs="宋体"/>
                <w:b/>
                <w:color w:val="000000" w:themeColor="text1"/>
                <w:sz w:val="21"/>
                <w:szCs w:val="21"/>
                <w:lang w:val="en-US" w:eastAsia="zh-CN" w:bidi="ar-SA"/>
                <w14:textFill>
                  <w14:solidFill>
                    <w14:schemeClr w14:val="tx1"/>
                  </w14:solidFill>
                </w14:textFill>
              </w:rPr>
              <w:t xml:space="preserve">（1）如投标截止时间前，2025年度第三季度风险综合评级尚未公布，则以2024年第三季度至第四季度以及2025年第一季度至第二季度的结果为准，进行风险综合评级评审。</w:t>
            </w:r>
            <w:r/>
          </w:p>
          <w:p>
            <w:pPr>
              <w:rPr>
                <w:rFonts w:hint="eastAsia" w:ascii="宋体" w:hAnsi="宋体" w:cs="宋体"/>
                <w:b/>
                <w:bCs w:val="0"/>
                <w:color w:val="auto"/>
                <w:sz w:val="21"/>
                <w:szCs w:val="21"/>
                <w:highlight w:val="none"/>
              </w:rPr>
            </w:pPr>
            <w:r>
              <w:rPr>
                <w:rFonts w:hint="eastAsia" w:ascii="宋体" w:hAnsi="宋体" w:cs="宋体"/>
                <w:b/>
                <w:color w:val="000000" w:themeColor="text1"/>
                <w:szCs w:val="21"/>
                <w14:textFill>
                  <w14:solidFill>
                    <w14:schemeClr w14:val="tx1"/>
                  </w14:solidFill>
                </w14:textFill>
              </w:rPr>
              <w:t xml:space="preserve">（2）如投标截止时间前，202</w:t>
            </w:r>
            <w:r>
              <w:rPr>
                <w:rFonts w:hint="eastAsia" w:ascii="宋体" w:hAnsi="宋体" w:cs="宋体"/>
                <w:b/>
                <w:color w:val="000000" w:themeColor="text1"/>
                <w:szCs w:val="21"/>
                <w:lang w:val="en-US" w:eastAsia="zh-CN"/>
                <w14:textFill>
                  <w14:solidFill>
                    <w14:schemeClr w14:val="tx1"/>
                  </w14:solidFill>
                </w14:textFill>
              </w:rPr>
              <w:t xml:space="preserve">5</w:t>
            </w:r>
            <w:r>
              <w:rPr>
                <w:rFonts w:hint="eastAsia" w:ascii="宋体" w:hAnsi="宋体" w:cs="宋体"/>
                <w:b/>
                <w:color w:val="000000" w:themeColor="text1"/>
                <w:szCs w:val="21"/>
                <w14:textFill>
                  <w14:solidFill>
                    <w14:schemeClr w14:val="tx1"/>
                  </w14:solidFill>
                </w14:textFill>
              </w:rPr>
              <w:t xml:space="preserve">年度第</w:t>
            </w:r>
            <w:r>
              <w:rPr>
                <w:rFonts w:hint="eastAsia" w:ascii="宋体" w:hAnsi="宋体" w:cs="宋体"/>
                <w:b/>
                <w:color w:val="000000" w:themeColor="text1"/>
                <w:szCs w:val="21"/>
                <w:lang w:eastAsia="zh-CN"/>
                <w14:textFill>
                  <w14:solidFill>
                    <w14:schemeClr w14:val="tx1"/>
                  </w14:solidFill>
                </w14:textFill>
              </w:rPr>
              <w:t xml:space="preserve">四</w:t>
            </w:r>
            <w:r>
              <w:rPr>
                <w:rFonts w:hint="eastAsia" w:ascii="宋体" w:hAnsi="宋体" w:cs="宋体"/>
                <w:b/>
                <w:color w:val="000000" w:themeColor="text1"/>
                <w:szCs w:val="21"/>
                <w14:textFill>
                  <w14:solidFill>
                    <w14:schemeClr w14:val="tx1"/>
                  </w14:solidFill>
                </w14:textFill>
              </w:rPr>
              <w:t xml:space="preserve">季度风险综合评级公布，则以</w:t>
            </w:r>
            <w:r>
              <w:rPr>
                <w:rFonts w:hint="eastAsia" w:ascii="宋体" w:hAnsi="宋体" w:cs="宋体"/>
                <w:b/>
                <w:bCs w:val="0"/>
                <w:color w:val="auto"/>
                <w:szCs w:val="21"/>
                <w:highlight w:val="none"/>
                <w:lang w:eastAsia="zh-CN"/>
              </w:rPr>
              <w:t xml:space="preserve">202</w:t>
            </w:r>
            <w:r>
              <w:rPr>
                <w:rFonts w:hint="eastAsia" w:ascii="宋体" w:hAnsi="宋体" w:cs="宋体"/>
                <w:b/>
                <w:bCs w:val="0"/>
                <w:color w:val="auto"/>
                <w:szCs w:val="21"/>
                <w:highlight w:val="none"/>
                <w:lang w:val="en-US" w:eastAsia="zh-CN"/>
              </w:rPr>
              <w:t xml:space="preserve">5</w:t>
            </w:r>
            <w:r>
              <w:rPr>
                <w:rFonts w:hint="eastAsia" w:ascii="宋体" w:hAnsi="宋体" w:cs="宋体"/>
                <w:b/>
                <w:bCs w:val="0"/>
                <w:color w:val="auto"/>
                <w:szCs w:val="21"/>
                <w:highlight w:val="none"/>
                <w:lang w:eastAsia="zh-CN"/>
              </w:rPr>
              <w:t xml:space="preserve">年第一季度</w:t>
            </w:r>
            <w:r>
              <w:rPr>
                <w:rFonts w:hint="eastAsia" w:ascii="宋体" w:hAnsi="宋体" w:cs="宋体"/>
                <w:b/>
                <w:bCs w:val="0"/>
                <w:color w:val="auto"/>
                <w:szCs w:val="21"/>
                <w:highlight w:val="none"/>
                <w:lang w:val="en-US" w:eastAsia="zh-CN"/>
              </w:rPr>
              <w:t xml:space="preserve">至第四季度</w:t>
            </w:r>
            <w:r>
              <w:rPr>
                <w:rFonts w:hint="eastAsia" w:ascii="宋体" w:hAnsi="宋体" w:cs="宋体"/>
                <w:b/>
                <w:bCs w:val="0"/>
                <w:color w:val="auto"/>
                <w:szCs w:val="21"/>
                <w:highlight w:val="none"/>
                <w:lang w:eastAsia="zh-CN"/>
              </w:rPr>
              <w:t xml:space="preserve">的</w:t>
            </w:r>
            <w:r>
              <w:rPr>
                <w:rFonts w:hint="eastAsia" w:ascii="宋体" w:hAnsi="宋体" w:cs="宋体"/>
                <w:b/>
                <w:bCs w:val="0"/>
                <w:color w:val="auto"/>
                <w:sz w:val="21"/>
                <w:szCs w:val="21"/>
                <w:highlight w:val="none"/>
              </w:rPr>
              <w:t xml:space="preserve">结果为准，</w:t>
            </w:r>
            <w:r>
              <w:rPr>
                <w:rFonts w:hint="eastAsia" w:ascii="宋体" w:hAnsi="宋体" w:cs="宋体"/>
                <w:b/>
                <w:color w:val="000000" w:themeColor="text1"/>
                <w:szCs w:val="21"/>
                <w14:textFill>
                  <w14:solidFill>
                    <w14:schemeClr w14:val="tx1"/>
                  </w14:solidFill>
                </w14:textFill>
              </w:rPr>
              <w:t xml:space="preserve">进行风险综合评级评审。</w:t>
            </w:r>
            <w:r/>
          </w:p>
        </w:tc>
      </w:tr>
      <w:tr>
        <w:trPr>
          <w:jc w:val="center"/>
          <w:trHeight w:val="936"/>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3.合规经营情况（6分）</w:t>
            </w:r>
            <w:r/>
          </w:p>
        </w:tc>
        <w:tc>
          <w:tcPr>
            <w:tcW w:w="562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月1日至今，供应商及下辖机构未被中国保险监督部门处罚的，得6分；有被处罚情况的，不得分。（</w:t>
            </w:r>
            <w:r>
              <w:rPr>
                <w:rFonts w:hint="eastAsia" w:ascii="宋体" w:hAnsi="宋体" w:cs="宋体"/>
                <w:b/>
                <w:bCs/>
                <w:color w:val="auto"/>
                <w:szCs w:val="21"/>
                <w:highlight w:val="none"/>
              </w:rPr>
              <w:t xml:space="preserve">供应商需提供《未被保险监督部门处罚的书面声明》格式自拟，并提供国家金融监督管理总局相关网站截图，扫描上传系统。</w:t>
            </w:r>
            <w:r>
              <w:rPr>
                <w:rFonts w:hint="eastAsia" w:ascii="宋体" w:hAnsi="宋体" w:cs="宋体"/>
                <w:color w:val="auto"/>
                <w:szCs w:val="21"/>
                <w:highlight w:val="none"/>
              </w:rPr>
              <w:t xml:space="preserve">网址：国家金融监督管理总局  https://www.nfra.gov.cn/cn/view/pages/index/index.html</w:t>
            </w:r>
            <w:r/>
          </w:p>
          <w:p>
            <w:pPr>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（注：供应商自行提供相关资料，如事后发现提供虚假响应取消中标单位中标资格）</w:t>
            </w:r>
            <w:r/>
          </w:p>
        </w:tc>
      </w:tr>
      <w:tr>
        <w:trPr>
          <w:jc w:val="center"/>
          <w:trHeight w:val="1183"/>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4、业绩（8分）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供应商在</w:t>
            </w:r>
            <w:r>
              <w:rPr>
                <w:rFonts w:hint="eastAsia" w:ascii="宋体" w:hAnsi="宋体" w:cs="宋体"/>
                <w:color w:val="auto"/>
                <w:szCs w:val="21"/>
                <w:highlight w:val="none"/>
                <w:lang w:val="en-US" w:eastAsia="zh-CN"/>
              </w:rPr>
              <w:t xml:space="preserve">2021</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szCs w:val="21"/>
              </w:rPr>
              <w:t xml:space="preserve">1日至今承保类似的项目，每承保一个得2分，满分8分</w:t>
            </w:r>
            <w:r>
              <w:rPr>
                <w:rFonts w:hint="eastAsia"/>
              </w:rPr>
              <w:t xml:space="preserve">，</w:t>
            </w:r>
            <w:r>
              <w:rPr>
                <w:rFonts w:hint="eastAsia" w:ascii="宋体" w:hAnsi="宋体" w:cs="宋体"/>
                <w:szCs w:val="21"/>
              </w:rPr>
              <w:t xml:space="preserve">从共保的不得分。</w:t>
            </w:r>
            <w:r/>
          </w:p>
          <w:p>
            <w:pPr>
              <w:pStyle w:val="839"/>
              <w:ind w:firstLine="0"/>
              <w:rPr>
                <w:rFonts w:ascii="宋体" w:hAnsi="宋体" w:cs="宋体"/>
                <w:sz w:val="21"/>
                <w:szCs w:val="21"/>
              </w:rPr>
            </w:pPr>
            <w:r>
              <w:rPr>
                <w:rFonts w:hint="eastAsia" w:ascii="宋体" w:hAnsi="宋体" w:cs="宋体"/>
                <w:sz w:val="21"/>
                <w:szCs w:val="21"/>
              </w:rPr>
              <w:t xml:space="preserve">（以保单签订时间为准，须提供保单扫描上传系统）</w:t>
            </w:r>
            <w:r/>
          </w:p>
        </w:tc>
      </w:tr>
      <w:tr>
        <w:trPr>
          <w:jc w:val="center"/>
          <w:trHeight w:val="500"/>
        </w:trPr>
        <w:tc>
          <w:tcPr>
            <w:gridSpan w:val="2"/>
            <w:tcW w:w="8540" w:type="dxa"/>
            <w:vAlign w:val="center"/>
            <w:textDirection w:val="lrTb"/>
            <w:noWrap w:val="false"/>
          </w:tcPr>
          <w:p>
            <w:pPr>
              <w:jc w:val="left"/>
              <w:rPr>
                <w:rFonts w:ascii="宋体" w:hAnsi="宋体" w:cs="宋体"/>
                <w:szCs w:val="21"/>
              </w:rPr>
            </w:pPr>
            <w:r>
              <w:rPr>
                <w:rFonts w:hint="eastAsia" w:ascii="宋体" w:hAnsi="宋体" w:cs="宋体"/>
                <w:b/>
                <w:szCs w:val="21"/>
              </w:rPr>
              <w:t xml:space="preserve">三、保险服务方案（</w:t>
            </w:r>
            <w:r>
              <w:rPr>
                <w:rFonts w:hint="eastAsia" w:ascii="宋体" w:hAnsi="宋体" w:cs="宋体"/>
                <w:b/>
                <w:szCs w:val="21"/>
                <w:lang w:val="en-US" w:eastAsia="zh-CN"/>
              </w:rPr>
              <w:t xml:space="preserve">3</w:t>
            </w:r>
            <w:r>
              <w:rPr>
                <w:rFonts w:hint="eastAsia" w:ascii="宋体" w:hAnsi="宋体" w:cs="宋体"/>
                <w:b/>
                <w:szCs w:val="21"/>
              </w:rPr>
              <w:t xml:space="preserve">2分）</w:t>
            </w:r>
            <w:r/>
          </w:p>
        </w:tc>
      </w:tr>
      <w:tr>
        <w:trPr>
          <w:jc w:val="center"/>
          <w:trHeight w:val="500"/>
        </w:trPr>
        <w:tc>
          <w:tcPr>
            <w:gridSpan w:val="2"/>
            <w:tcW w:w="8540" w:type="dxa"/>
            <w:vAlign w:val="center"/>
            <w:textDirection w:val="lrTb"/>
            <w:noWrap w:val="false"/>
          </w:tcPr>
          <w:p>
            <w:pPr>
              <w:jc w:val="left"/>
              <w:rPr>
                <w:rFonts w:ascii="宋体" w:hAnsi="宋体" w:cs="宋体"/>
                <w:szCs w:val="21"/>
              </w:rPr>
            </w:pPr>
            <w:r>
              <w:rPr>
                <w:rFonts w:hint="eastAsia" w:ascii="宋体" w:hAnsi="宋体" w:cs="宋体"/>
                <w:b/>
                <w:szCs w:val="21"/>
              </w:rPr>
              <w:t xml:space="preserve">1、承保服务（</w:t>
            </w:r>
            <w:r>
              <w:rPr>
                <w:rFonts w:hint="eastAsia" w:ascii="宋体" w:hAnsi="宋体" w:cs="宋体"/>
                <w:b/>
                <w:szCs w:val="21"/>
                <w:lang w:val="en-US" w:eastAsia="zh-CN"/>
              </w:rPr>
              <w:t xml:space="preserve">6</w:t>
            </w:r>
            <w:r>
              <w:rPr>
                <w:rFonts w:hint="eastAsia" w:ascii="宋体" w:hAnsi="宋体" w:cs="宋体"/>
                <w:b/>
                <w:szCs w:val="21"/>
              </w:rPr>
              <w:t xml:space="preserve">分）</w:t>
            </w:r>
            <w:r/>
          </w:p>
        </w:tc>
      </w:tr>
      <w:tr>
        <w:trPr>
          <w:jc w:val="center"/>
          <w:trHeight w:val="667"/>
        </w:trPr>
        <w:tc>
          <w:tcPr>
            <w:gridSpan w:val="2"/>
            <w:tcW w:w="8540" w:type="dxa"/>
            <w:vAlign w:val="center"/>
            <w:textDirection w:val="lrTb"/>
            <w:noWrap w:val="false"/>
          </w:tcPr>
          <w:p>
            <w:pPr>
              <w:jc w:val="left"/>
              <w:rPr>
                <w:rFonts w:ascii="宋体" w:hAnsi="宋体" w:cs="宋体"/>
                <w:szCs w:val="21"/>
              </w:rPr>
            </w:pPr>
            <w:r>
              <w:rPr>
                <w:rFonts w:hint="eastAsia" w:ascii="宋体" w:hAnsi="宋体" w:cs="宋体"/>
                <w:szCs w:val="21"/>
              </w:rPr>
              <w:t xml:space="preserve">(1）成立专项服务小组，得</w:t>
            </w:r>
            <w:r>
              <w:rPr>
                <w:rFonts w:hint="eastAsia" w:ascii="宋体" w:hAnsi="宋体" w:cs="宋体"/>
                <w:szCs w:val="21"/>
                <w:lang w:val="en-US" w:eastAsia="zh-CN"/>
              </w:rPr>
              <w:t xml:space="preserve">1</w:t>
            </w:r>
            <w:r>
              <w:rPr>
                <w:rFonts w:hint="eastAsia" w:ascii="宋体" w:hAnsi="宋体" w:cs="宋体"/>
                <w:szCs w:val="21"/>
              </w:rPr>
              <w:t xml:space="preserve">分。</w:t>
            </w:r>
            <w:r/>
          </w:p>
        </w:tc>
      </w:tr>
      <w:tr>
        <w:trPr>
          <w:jc w:val="center"/>
          <w:trHeight w:val="763"/>
        </w:trPr>
        <w:tc>
          <w:tcPr>
            <w:gridSpan w:val="2"/>
            <w:tcW w:w="8540" w:type="dxa"/>
            <w:vAlign w:val="center"/>
            <w:textDirection w:val="lrTb"/>
            <w:noWrap w:val="false"/>
          </w:tcPr>
          <w:p>
            <w:pPr>
              <w:jc w:val="left"/>
              <w:rPr>
                <w:rFonts w:ascii="宋体" w:hAnsi="宋体" w:cs="宋体"/>
                <w:szCs w:val="21"/>
              </w:rPr>
            </w:pPr>
            <w:r>
              <w:rPr>
                <w:rFonts w:hint="eastAsia" w:ascii="宋体" w:hAnsi="宋体" w:cs="宋体"/>
                <w:szCs w:val="21"/>
              </w:rPr>
              <w:t xml:space="preserve">(2）小组成员配置满足本项目需求，得2分；服务小组由公司副总及以上领导担任组长，得1分，其他不得分。满分3分。</w:t>
            </w:r>
            <w:r/>
          </w:p>
        </w:tc>
      </w:tr>
      <w:tr>
        <w:trPr>
          <w:jc w:val="center"/>
          <w:trHeight w:val="837"/>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(3）指定专人提供上门服务，承保服务工作具体、明确，</w:t>
            </w:r>
            <w:r>
              <w:rPr>
                <w:rFonts w:hint="eastAsia" w:ascii="宋体" w:hAnsi="宋体" w:cs="宋体"/>
                <w:szCs w:val="21"/>
                <w:lang w:val="en-US" w:eastAsia="zh-CN"/>
              </w:rPr>
              <w:t xml:space="preserve">2</w:t>
            </w:r>
            <w:r>
              <w:rPr>
                <w:rFonts w:hint="eastAsia" w:ascii="宋体" w:hAnsi="宋体" w:cs="宋体"/>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承保服务工作具体、明确的得</w:t>
            </w:r>
            <w:r>
              <w:rPr>
                <w:rFonts w:hint="eastAsia" w:ascii="宋体" w:hAnsi="宋体" w:cs="宋体"/>
                <w:szCs w:val="21"/>
                <w:lang w:val="en-US" w:eastAsia="zh-CN"/>
              </w:rPr>
              <w:t xml:space="preserve">2</w:t>
            </w:r>
            <w:r>
              <w:rPr>
                <w:rFonts w:hint="eastAsia" w:ascii="宋体" w:hAnsi="宋体" w:cs="宋体"/>
                <w:szCs w:val="21"/>
              </w:rPr>
              <w:t xml:space="preserve">分，承保服务工作不够具体、明确的得1分，承保服务工作模糊、不明确，不得分。</w:t>
            </w:r>
            <w:r/>
          </w:p>
        </w:tc>
      </w:tr>
      <w:tr>
        <w:trPr>
          <w:jc w:val="center"/>
          <w:trHeight w:val="500"/>
        </w:trPr>
        <w:tc>
          <w:tcPr>
            <w:gridSpan w:val="2"/>
            <w:tcW w:w="8540" w:type="dxa"/>
            <w:vAlign w:val="center"/>
            <w:textDirection w:val="lrTb"/>
            <w:noWrap w:val="false"/>
          </w:tcPr>
          <w:p>
            <w:pPr>
              <w:rPr>
                <w:rFonts w:ascii="宋体" w:hAnsi="宋体" w:cs="宋体"/>
                <w:szCs w:val="21"/>
              </w:rPr>
            </w:pPr>
            <w:r>
              <w:rPr>
                <w:rFonts w:hint="eastAsia" w:ascii="宋体" w:hAnsi="宋体" w:cs="宋体"/>
                <w:b/>
                <w:szCs w:val="21"/>
              </w:rPr>
              <w:t xml:space="preserve">2、理赔服务（</w:t>
            </w:r>
            <w:r>
              <w:rPr>
                <w:rFonts w:hint="eastAsia" w:ascii="宋体" w:hAnsi="宋体" w:cs="宋体"/>
                <w:b/>
                <w:szCs w:val="21"/>
                <w:lang w:val="en-US" w:eastAsia="zh-CN"/>
              </w:rPr>
              <w:t xml:space="preserve">8</w:t>
            </w:r>
            <w:r>
              <w:rPr>
                <w:rFonts w:hint="eastAsia" w:ascii="宋体" w:hAnsi="宋体" w:cs="宋体"/>
                <w:b/>
                <w:szCs w:val="21"/>
              </w:rPr>
              <w:t xml:space="preserve">分）</w:t>
            </w:r>
            <w:r/>
          </w:p>
        </w:tc>
      </w:tr>
      <w:tr>
        <w:trPr>
          <w:jc w:val="center"/>
          <w:trHeight w:val="756"/>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（1）具有24小时报案热线，建立理赔绿色通道，1分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具有24小时报案热线，建立理赔绿色通道得1分，没有的不得分。</w:t>
            </w:r>
            <w:r/>
          </w:p>
        </w:tc>
      </w:tr>
      <w:tr>
        <w:trPr>
          <w:jc w:val="center"/>
          <w:trHeight w:val="694"/>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（2）承诺赶赴事故现场时间，2分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承诺赶赴事故现场时间1小时内得2分，1小时以上得1分，没有的不得分。</w:t>
            </w:r>
            <w:r/>
          </w:p>
        </w:tc>
      </w:tr>
      <w:tr>
        <w:trPr>
          <w:jc w:val="center"/>
          <w:trHeight w:val="703"/>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（3）具体赔款时限，2分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承诺具体赔款时限3个工作日内得2 分，3个工作日以上得1分，没有的不得分。</w:t>
            </w:r>
            <w:r/>
          </w:p>
        </w:tc>
      </w:tr>
      <w:tr>
        <w:trPr>
          <w:jc w:val="center"/>
          <w:trHeight w:val="699"/>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（4）预付赔款制度，2分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预付赔款制度科学、合理、具有针对性得2分，预付赔款制度较科学、合理、不存在实施难度得1分，预付赔款制度具有不合理项、描述略欠缺、存在一定的实施难度的不得分。</w:t>
            </w:r>
            <w:r/>
          </w:p>
        </w:tc>
      </w:tr>
      <w:tr>
        <w:trPr>
          <w:jc w:val="center"/>
          <w:trHeight w:val="696"/>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（5）常发案件、重大案件及纠纷案件理赔承诺，</w:t>
            </w:r>
            <w:r>
              <w:rPr>
                <w:rFonts w:hint="eastAsia" w:ascii="宋体" w:hAnsi="宋体" w:cs="宋体"/>
                <w:szCs w:val="21"/>
                <w:lang w:val="en-US" w:eastAsia="zh-CN"/>
              </w:rPr>
              <w:t xml:space="preserve">1</w:t>
            </w:r>
            <w:r>
              <w:rPr>
                <w:rFonts w:hint="eastAsia" w:ascii="宋体" w:hAnsi="宋体" w:cs="宋体"/>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常发案件、重大案件及纠纷案件理赔承诺（提供承诺函，扫描上传系统） 得</w:t>
            </w:r>
            <w:r>
              <w:rPr>
                <w:rFonts w:hint="eastAsia" w:ascii="宋体" w:hAnsi="宋体" w:cs="宋体"/>
                <w:szCs w:val="21"/>
                <w:lang w:val="en-US" w:eastAsia="zh-CN"/>
              </w:rPr>
              <w:t xml:space="preserve">1</w:t>
            </w:r>
            <w:r>
              <w:rPr>
                <w:rFonts w:hint="eastAsia" w:ascii="宋体" w:hAnsi="宋体" w:cs="宋体"/>
                <w:szCs w:val="21"/>
              </w:rPr>
              <w:t xml:space="preserve">分，没有的不得分。</w:t>
            </w:r>
            <w:r/>
          </w:p>
        </w:tc>
      </w:tr>
      <w:tr>
        <w:trPr>
          <w:jc w:val="center"/>
          <w:trHeight w:val="498"/>
        </w:trPr>
        <w:tc>
          <w:tcPr>
            <w:gridSpan w:val="2"/>
            <w:tcW w:w="8540" w:type="dxa"/>
            <w:vAlign w:val="center"/>
            <w:textDirection w:val="lrTb"/>
            <w:noWrap w:val="false"/>
          </w:tcPr>
          <w:p>
            <w:pPr>
              <w:rPr>
                <w:rFonts w:ascii="宋体" w:hAnsi="宋体" w:cs="宋体"/>
                <w:szCs w:val="21"/>
              </w:rPr>
            </w:pPr>
            <w:r>
              <w:rPr>
                <w:rFonts w:hint="eastAsia" w:ascii="宋体" w:hAnsi="宋体" w:cs="宋体"/>
                <w:b/>
                <w:szCs w:val="21"/>
              </w:rPr>
              <w:t xml:space="preserve">3、培训宣传服务（1</w:t>
            </w:r>
            <w:r>
              <w:rPr>
                <w:rFonts w:hint="eastAsia" w:ascii="宋体" w:hAnsi="宋体" w:cs="宋体"/>
                <w:b/>
                <w:szCs w:val="21"/>
                <w:lang w:val="en-US" w:eastAsia="zh-CN"/>
              </w:rPr>
              <w:t xml:space="preserve">0</w:t>
            </w:r>
            <w:r>
              <w:rPr>
                <w:rFonts w:hint="eastAsia" w:ascii="宋体" w:hAnsi="宋体" w:cs="宋体"/>
                <w:b/>
                <w:szCs w:val="21"/>
              </w:rPr>
              <w:t xml:space="preserve">分）</w:t>
            </w:r>
            <w:r/>
          </w:p>
        </w:tc>
      </w:tr>
      <w:tr>
        <w:trPr>
          <w:jc w:val="center"/>
          <w:trHeight w:val="615"/>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（1）提供相关保险知识方面的培训，</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培训内容科学、合理、具有针对性得</w:t>
            </w:r>
            <w:r>
              <w:rPr>
                <w:rFonts w:hint="eastAsia" w:ascii="宋体" w:hAnsi="宋体" w:cs="宋体"/>
                <w:szCs w:val="21"/>
                <w:lang w:val="en-US" w:eastAsia="zh-CN"/>
              </w:rPr>
              <w:t xml:space="preserve">5</w:t>
            </w:r>
            <w:r>
              <w:rPr>
                <w:rFonts w:hint="eastAsia" w:ascii="宋体" w:hAnsi="宋体" w:cs="宋体"/>
                <w:szCs w:val="21"/>
              </w:rPr>
              <w:t xml:space="preserve">分，培训内容较科学、合理、不存在实施难度得3分，培训内容具有不合理项、描述略欠缺、存在一定的实施难度得的得1分，未提供不得分。</w:t>
            </w:r>
            <w:r/>
          </w:p>
        </w:tc>
      </w:tr>
      <w:tr>
        <w:trPr>
          <w:jc w:val="center"/>
          <w:trHeight w:val="709"/>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（2）向建筑施工企业安全责任人提供安全培训，</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培训内容科学、合理、具有针对性得</w:t>
            </w:r>
            <w:r>
              <w:rPr>
                <w:rFonts w:hint="eastAsia" w:ascii="宋体" w:hAnsi="宋体" w:cs="宋体"/>
                <w:szCs w:val="21"/>
                <w:lang w:val="en-US" w:eastAsia="zh-CN"/>
              </w:rPr>
              <w:t xml:space="preserve">5</w:t>
            </w:r>
            <w:r>
              <w:rPr>
                <w:rFonts w:hint="eastAsia" w:ascii="宋体" w:hAnsi="宋体" w:cs="宋体"/>
                <w:szCs w:val="21"/>
              </w:rPr>
              <w:t xml:space="preserve">分，培训内容较科学、合理、不存在实施难度得3分，培训内容具有不合理项、描述略欠缺、存在一定的实施难度得的1分，未提供不得分。</w:t>
            </w:r>
            <w:r/>
          </w:p>
        </w:tc>
      </w:tr>
      <w:tr>
        <w:trPr>
          <w:jc w:val="center"/>
          <w:trHeight w:val="406"/>
        </w:trPr>
        <w:tc>
          <w:tcPr>
            <w:gridSpan w:val="2"/>
            <w:tcW w:w="8540" w:type="dxa"/>
            <w:vAlign w:val="center"/>
            <w:textDirection w:val="lrTb"/>
            <w:noWrap w:val="false"/>
          </w:tcPr>
          <w:p>
            <w:pPr>
              <w:rPr>
                <w:rFonts w:ascii="宋体" w:hAnsi="宋体" w:cs="宋体"/>
                <w:szCs w:val="21"/>
              </w:rPr>
            </w:pPr>
            <w:r>
              <w:rPr>
                <w:rFonts w:hint="eastAsia" w:ascii="宋体" w:hAnsi="宋体" w:cs="宋体"/>
                <w:b/>
                <w:szCs w:val="21"/>
              </w:rPr>
              <w:t xml:space="preserve">4、信息归集与反馈（</w:t>
            </w:r>
            <w:r>
              <w:rPr>
                <w:rFonts w:hint="eastAsia" w:ascii="宋体" w:hAnsi="宋体" w:cs="宋体"/>
                <w:b/>
                <w:szCs w:val="21"/>
                <w:lang w:val="en-US" w:eastAsia="zh-CN"/>
              </w:rPr>
              <w:t xml:space="preserve">2</w:t>
            </w:r>
            <w:r>
              <w:rPr>
                <w:rFonts w:hint="eastAsia" w:ascii="宋体" w:hAnsi="宋体" w:cs="宋体"/>
                <w:b/>
                <w:szCs w:val="21"/>
              </w:rPr>
              <w:t xml:space="preserve">分）</w:t>
            </w:r>
            <w:r/>
          </w:p>
        </w:tc>
      </w:tr>
      <w:tr>
        <w:trPr>
          <w:jc w:val="center"/>
          <w:trHeight w:val="440"/>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(1）建立专项服务档案，</w:t>
            </w:r>
            <w:r>
              <w:rPr>
                <w:rFonts w:hint="eastAsia" w:ascii="宋体" w:hAnsi="宋体" w:cs="宋体"/>
                <w:szCs w:val="21"/>
                <w:lang w:val="en-US" w:eastAsia="zh-CN"/>
              </w:rPr>
              <w:t xml:space="preserve">1</w:t>
            </w:r>
            <w:r>
              <w:rPr>
                <w:rFonts w:hint="eastAsia" w:ascii="宋体" w:hAnsi="宋体" w:cs="宋体"/>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建立专项服务档案的得</w:t>
            </w:r>
            <w:r>
              <w:rPr>
                <w:rFonts w:hint="eastAsia" w:ascii="宋体" w:hAnsi="宋体" w:cs="宋体"/>
                <w:szCs w:val="21"/>
                <w:lang w:val="en-US" w:eastAsia="zh-CN"/>
              </w:rPr>
              <w:t xml:space="preserve">1</w:t>
            </w:r>
            <w:r>
              <w:rPr>
                <w:rFonts w:hint="eastAsia" w:ascii="宋体" w:hAnsi="宋体" w:cs="宋体"/>
                <w:szCs w:val="21"/>
              </w:rPr>
              <w:t xml:space="preserve">分，没有的不得分。</w:t>
            </w:r>
            <w:r/>
          </w:p>
        </w:tc>
      </w:tr>
      <w:tr>
        <w:trPr>
          <w:jc w:val="center"/>
          <w:trHeight w:val="707"/>
        </w:trPr>
        <w:tc>
          <w:tcPr>
            <w:tcW w:w="2918" w:type="dxa"/>
            <w:vAlign w:val="center"/>
            <w:textDirection w:val="lrTb"/>
            <w:noWrap w:val="false"/>
          </w:tcPr>
          <w:p>
            <w:pPr>
              <w:jc w:val="left"/>
              <w:rPr>
                <w:rFonts w:ascii="宋体" w:hAnsi="宋体" w:cs="宋体"/>
                <w:szCs w:val="21"/>
              </w:rPr>
            </w:pPr>
            <w:r>
              <w:rPr>
                <w:rFonts w:hint="eastAsia" w:ascii="宋体" w:hAnsi="宋体" w:cs="宋体"/>
                <w:szCs w:val="21"/>
              </w:rPr>
              <w:t xml:space="preserve">(2)承诺按期汇总承保及理赔数据，提交理赔数据报表，</w:t>
            </w:r>
            <w:r>
              <w:rPr>
                <w:rFonts w:hint="eastAsia" w:ascii="宋体" w:hAnsi="宋体" w:cs="宋体"/>
                <w:szCs w:val="21"/>
                <w:lang w:val="en-US" w:eastAsia="zh-CN"/>
              </w:rPr>
              <w:t xml:space="preserve">1</w:t>
            </w:r>
            <w:r>
              <w:rPr>
                <w:rFonts w:hint="eastAsia" w:ascii="宋体" w:hAnsi="宋体" w:cs="宋体"/>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承诺按期提交报表的得</w:t>
            </w:r>
            <w:r>
              <w:rPr>
                <w:rFonts w:hint="eastAsia" w:ascii="宋体" w:hAnsi="宋体" w:cs="宋体"/>
                <w:szCs w:val="21"/>
                <w:lang w:val="en-US" w:eastAsia="zh-CN"/>
              </w:rPr>
              <w:t xml:space="preserve">1</w:t>
            </w:r>
            <w:r>
              <w:rPr>
                <w:rFonts w:hint="eastAsia" w:ascii="宋体" w:hAnsi="宋体" w:cs="宋体"/>
                <w:szCs w:val="21"/>
              </w:rPr>
              <w:t xml:space="preserve">分，其它未承诺、一般的不得分。</w:t>
            </w:r>
            <w:r/>
          </w:p>
        </w:tc>
      </w:tr>
      <w:tr>
        <w:trPr>
          <w:jc w:val="center"/>
          <w:trHeight w:val="694"/>
        </w:trPr>
        <w:tc>
          <w:tcPr>
            <w:tcW w:w="2918" w:type="dxa"/>
            <w:vAlign w:val="center"/>
            <w:textDirection w:val="lrTb"/>
            <w:noWrap w:val="false"/>
          </w:tcPr>
          <w:p>
            <w:pPr>
              <w:jc w:val="left"/>
              <w:rPr>
                <w:rFonts w:ascii="宋体" w:hAnsi="宋体" w:cs="宋体"/>
                <w:szCs w:val="21"/>
              </w:rPr>
            </w:pPr>
            <w:r>
              <w:rPr>
                <w:rFonts w:hint="eastAsia" w:ascii="宋体" w:hAnsi="宋体" w:cs="宋体"/>
                <w:b/>
                <w:szCs w:val="21"/>
              </w:rPr>
              <w:t xml:space="preserve">5、本项目风险分析及保险建议（</w:t>
            </w:r>
            <w:r>
              <w:rPr>
                <w:rFonts w:hint="eastAsia" w:ascii="宋体" w:hAnsi="宋体" w:cs="宋体"/>
                <w:b/>
                <w:szCs w:val="21"/>
                <w:lang w:val="en-US" w:eastAsia="zh-CN"/>
              </w:rPr>
              <w:t xml:space="preserve">3</w:t>
            </w:r>
            <w:r>
              <w:rPr>
                <w:rFonts w:hint="eastAsia" w:ascii="宋体" w:hAnsi="宋体" w:cs="宋体"/>
                <w:b/>
                <w:szCs w:val="21"/>
              </w:rPr>
              <w:t xml:space="preserve">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供应商根据建筑施工企业在施工过程中可能面临的风险进行分析，制定相关的防范措施，对可转移的风险制定相应的保险方案，方案措施科学、严密、合理，描述详细且具有针对性的得</w:t>
            </w:r>
            <w:r>
              <w:rPr>
                <w:rFonts w:hint="eastAsia" w:ascii="宋体" w:hAnsi="宋体" w:cs="宋体"/>
                <w:szCs w:val="21"/>
                <w:lang w:val="en-US" w:eastAsia="zh-CN"/>
              </w:rPr>
              <w:t xml:space="preserve">3</w:t>
            </w:r>
            <w:r>
              <w:rPr>
                <w:rFonts w:hint="eastAsia" w:ascii="宋体" w:hAnsi="宋体" w:cs="宋体"/>
                <w:szCs w:val="21"/>
              </w:rPr>
              <w:t xml:space="preserve">分，方案措施较合理、严密、描述较为详细，不存在实施难度的得</w:t>
            </w:r>
            <w:r>
              <w:rPr>
                <w:rFonts w:hint="eastAsia" w:ascii="宋体" w:hAnsi="宋体" w:cs="宋体"/>
                <w:szCs w:val="21"/>
                <w:lang w:val="en-US" w:eastAsia="zh-CN"/>
              </w:rPr>
              <w:t xml:space="preserve">2</w:t>
            </w:r>
            <w:r>
              <w:rPr>
                <w:rFonts w:hint="eastAsia" w:ascii="宋体" w:hAnsi="宋体" w:cs="宋体"/>
                <w:szCs w:val="21"/>
              </w:rPr>
              <w:t xml:space="preserve">分，方案措施具有不合理项、描述略欠缺、存在一定的实施难度得1分，没有的不得分。</w:t>
            </w:r>
            <w:r/>
          </w:p>
        </w:tc>
      </w:tr>
      <w:tr>
        <w:trPr>
          <w:jc w:val="center"/>
          <w:trHeight w:val="707"/>
        </w:trPr>
        <w:tc>
          <w:tcPr>
            <w:tcW w:w="2918" w:type="dxa"/>
            <w:vAlign w:val="center"/>
            <w:textDirection w:val="lrTb"/>
            <w:noWrap w:val="false"/>
          </w:tcPr>
          <w:p>
            <w:pPr>
              <w:jc w:val="left"/>
              <w:rPr>
                <w:rFonts w:ascii="宋体" w:hAnsi="宋体" w:cs="宋体"/>
                <w:b/>
                <w:szCs w:val="21"/>
              </w:rPr>
            </w:pPr>
            <w:r>
              <w:rPr>
                <w:rFonts w:hint="eastAsia" w:ascii="宋体" w:hAnsi="宋体" w:cs="宋体"/>
                <w:b/>
                <w:szCs w:val="21"/>
              </w:rPr>
              <w:t xml:space="preserve">6、其他增值优惠服务（3分）</w:t>
            </w:r>
            <w:r/>
          </w:p>
        </w:tc>
        <w:tc>
          <w:tcPr>
            <w:tcW w:w="5622" w:type="dxa"/>
            <w:vAlign w:val="center"/>
            <w:textDirection w:val="lrTb"/>
            <w:noWrap w:val="false"/>
          </w:tcPr>
          <w:p>
            <w:pPr>
              <w:jc w:val="left"/>
              <w:rPr>
                <w:rFonts w:ascii="宋体" w:hAnsi="宋体" w:cs="宋体"/>
                <w:szCs w:val="21"/>
              </w:rPr>
            </w:pPr>
            <w:r>
              <w:rPr>
                <w:rFonts w:hint="eastAsia" w:ascii="宋体" w:hAnsi="宋体" w:cs="宋体"/>
                <w:szCs w:val="21"/>
              </w:rPr>
              <w:t xml:space="preserve">有利于被保险人的且与本项目相关的增值优惠服务，每列明一项优惠服务得0.6分，最高3分。</w:t>
            </w:r>
            <w:r/>
          </w:p>
        </w:tc>
      </w:tr>
    </w:tbl>
    <w:p>
      <w:pPr>
        <w:pStyle w:val="1095"/>
        <w:ind w:firstLine="0"/>
        <w:spacing w:line="360" w:lineRule="auto"/>
        <w:rPr>
          <w:rFonts w:ascii="宋体" w:hAnsi="宋体" w:cs="宋体"/>
          <w:lang w:val="zh-TW" w:eastAsia="zh-TW"/>
        </w:rPr>
      </w:pPr>
      <w:r>
        <w:rPr>
          <w:rFonts w:hint="eastAsia" w:ascii="宋体" w:hAnsi="宋体" w:cs="宋体"/>
          <w:lang w:val="zh-TW" w:eastAsia="zh-TW"/>
        </w:rPr>
        <w:br w:type="page" w:clear="all"/>
      </w:r>
      <w:r/>
    </w:p>
    <w:p>
      <w:pPr>
        <w:pStyle w:val="1093"/>
        <w:jc w:val="center"/>
        <w:rPr>
          <w:rFonts w:ascii="宋体" w:hAnsi="宋体"/>
        </w:rPr>
      </w:pPr>
      <w:r>
        <w:rPr>
          <w:rFonts w:hint="eastAsia" w:ascii="宋体" w:hAnsi="宋体"/>
        </w:rPr>
        <w:t xml:space="preserve">第六章 投标文件格式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807"/>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807"/>
        <w:rPr>
          <w:rFonts w:ascii="宋体" w:hAnsi="宋体"/>
          <w:b/>
          <w:sz w:val="36"/>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ind w:firstLine="1807"/>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1119"/>
        <w:ind w:firstLine="643"/>
        <w:rPr>
          <w:rFonts w:ascii="宋体" w:hAnsi="宋体"/>
          <w:b/>
          <w:bCs/>
          <w:sz w:val="32"/>
          <w:szCs w:val="32"/>
        </w:rPr>
      </w:pPr>
      <w:r>
        <w:rPr>
          <w:rFonts w:ascii="宋体" w:hAnsi="宋体"/>
          <w:b/>
          <w:bCs/>
          <w:sz w:val="32"/>
          <w:szCs w:val="32"/>
        </w:rPr>
      </w:r>
      <w:r/>
    </w:p>
    <w:p>
      <w:pPr>
        <w:pStyle w:val="1119"/>
        <w:ind w:firstLine="643"/>
        <w:rPr>
          <w:rFonts w:ascii="宋体" w:hAnsi="宋体"/>
          <w:b/>
          <w:bCs/>
          <w:sz w:val="32"/>
          <w:szCs w:val="32"/>
        </w:rPr>
      </w:pPr>
      <w:r>
        <w:rPr>
          <w:rFonts w:ascii="宋体" w:hAnsi="宋体"/>
          <w:b/>
          <w:bCs/>
          <w:sz w:val="32"/>
          <w:szCs w:val="32"/>
        </w:rPr>
      </w:r>
      <w:r/>
    </w:p>
    <w:p>
      <w:pPr>
        <w:pStyle w:val="1119"/>
        <w:ind w:firstLine="643"/>
        <w:rPr>
          <w:rFonts w:ascii="宋体" w:hAnsi="宋体"/>
          <w:b/>
          <w:bCs/>
          <w:sz w:val="32"/>
          <w:szCs w:val="32"/>
        </w:rPr>
      </w:pPr>
      <w:r>
        <w:rPr>
          <w:rFonts w:ascii="宋体" w:hAnsi="宋体"/>
          <w:b/>
          <w:bCs/>
          <w:sz w:val="32"/>
          <w:szCs w:val="32"/>
        </w:rPr>
      </w:r>
      <w:r/>
    </w:p>
    <w:p>
      <w:pPr>
        <w:pStyle w:val="1119"/>
        <w:ind w:firstLine="643"/>
        <w:rPr>
          <w:rFonts w:ascii="宋体" w:hAnsi="宋体"/>
          <w:b/>
          <w:bCs/>
          <w:sz w:val="32"/>
          <w:szCs w:val="32"/>
        </w:rPr>
      </w:pPr>
      <w:r>
        <w:rPr>
          <w:rFonts w:ascii="宋体" w:hAnsi="宋体"/>
          <w:b/>
          <w:bCs/>
          <w:sz w:val="32"/>
          <w:szCs w:val="32"/>
        </w:rPr>
      </w:r>
      <w:r/>
    </w:p>
    <w:p>
      <w:pPr>
        <w:pStyle w:val="1119"/>
        <w:ind w:firstLine="643"/>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sz w:val="24"/>
        </w:rPr>
      </w:pPr>
      <w:r>
        <w:rPr>
          <w:rFonts w:hint="eastAsia" w:ascii="宋体" w:hAnsi="宋体"/>
          <w:sz w:val="24"/>
        </w:rPr>
        <w:t xml:space="preserve">四、开标一览表</w:t>
      </w:r>
      <w:r/>
    </w:p>
    <w:p>
      <w:pPr>
        <w:ind w:firstLine="480"/>
        <w:spacing w:line="360" w:lineRule="auto"/>
        <w:rPr>
          <w:rFonts w:ascii="宋体" w:hAnsi="宋体"/>
          <w:sz w:val="24"/>
        </w:rPr>
      </w:pPr>
      <w:r>
        <w:rPr>
          <w:rFonts w:hint="eastAsia" w:ascii="宋体" w:hAnsi="宋体"/>
          <w:sz w:val="24"/>
        </w:rPr>
        <w:t xml:space="preserve">五、分项报价表（如有）</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rFonts w:ascii="宋体" w:hAnsi="宋体"/>
          <w:sz w:val="24"/>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rPr>
          <w:rFonts w:ascii="宋体" w:hAnsi="宋体"/>
          <w:b/>
          <w:sz w:val="32"/>
          <w:szCs w:val="32"/>
        </w:rPr>
      </w:pPr>
      <w:r>
        <w:rPr>
          <w:rFonts w:ascii="宋体" w:hAnsi="宋体"/>
          <w:b/>
          <w:sz w:val="32"/>
          <w:szCs w:val="32"/>
        </w:rPr>
      </w:r>
      <w:r/>
    </w:p>
    <w:p>
      <w:pPr>
        <w:pStyle w:val="1094"/>
        <w:rPr>
          <w:rFonts w:ascii="宋体" w:hAnsi="宋体"/>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p>
    <w:tbl>
      <w:tblPr>
        <w:tblStyle w:val="812"/>
        <w:tblW w:w="91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311"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20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58"/>
        </w:trPr>
        <w:tc>
          <w:tcPr>
            <w:gridSpan w:val="3"/>
            <w:tcW w:w="9178"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492"/>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6311" w:type="dxa"/>
            <w:vAlign w:val="center"/>
            <w:textDirection w:val="lrTb"/>
            <w:noWrap w:val="false"/>
          </w:tcPr>
          <w:p>
            <w:pPr>
              <w:spacing w:line="400" w:lineRule="exact"/>
              <w:rPr>
                <w:rFonts w:ascii="宋体" w:hAnsi="宋体"/>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val="false"/>
          </w:tcPr>
          <w:p>
            <w:pPr>
              <w:spacing w:line="400" w:lineRule="exact"/>
              <w:rPr>
                <w:rFonts w:ascii="宋体" w:hAnsi="宋体"/>
                <w:b/>
                <w:szCs w:val="21"/>
              </w:rPr>
            </w:pPr>
            <w:r>
              <w:rPr>
                <w:rFonts w:ascii="宋体" w:hAnsi="宋体"/>
                <w:b/>
                <w:szCs w:val="21"/>
              </w:rPr>
            </w:r>
            <w:r/>
          </w:p>
        </w:tc>
      </w:tr>
      <w:tr>
        <w:trPr>
          <w:trHeight w:val="492"/>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6311" w:type="dxa"/>
            <w:vAlign w:val="center"/>
            <w:textDirection w:val="lrTb"/>
            <w:noWrap w:val="false"/>
          </w:tcPr>
          <w:p>
            <w:pPr>
              <w:spacing w:line="400" w:lineRule="exact"/>
              <w:rPr>
                <w:rFonts w:ascii="宋体" w:hAnsi="宋体"/>
                <w:szCs w:val="21"/>
              </w:rPr>
            </w:pPr>
            <w:r>
              <w:rPr>
                <w:rFonts w:hint="eastAsia" w:ascii="宋体" w:hAnsi="宋体"/>
                <w:szCs w:val="21"/>
                <w:lang w:val="en-US" w:eastAsia="zh-CN"/>
              </w:rPr>
              <w:t xml:space="preserve">2024或2025年度</w:t>
            </w:r>
            <w:r>
              <w:rPr>
                <w:rFonts w:hint="eastAsia" w:ascii="宋体" w:hAnsi="宋体"/>
                <w:szCs w:val="21"/>
              </w:rPr>
              <w:t xml:space="preserve">的财务状况报告（成立不满一年无需提供）</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1395"/>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1.3</w:t>
            </w:r>
            <w:r/>
          </w:p>
        </w:tc>
        <w:tc>
          <w:tcPr>
            <w:tcW w:w="6311" w:type="dxa"/>
            <w:vAlign w:val="center"/>
            <w:textDirection w:val="lrTb"/>
            <w:noWrap w:val="false"/>
          </w:tcPr>
          <w:p>
            <w:pPr>
              <w:spacing w:line="340" w:lineRule="exact"/>
              <w:rPr>
                <w:rFonts w:ascii="宋体" w:hAnsi="宋体"/>
                <w:szCs w:val="21"/>
              </w:rPr>
            </w:pPr>
            <w:r>
              <w:rPr>
                <w:rFonts w:hint="eastAsia" w:ascii="宋体" w:hAnsi="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43"/>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1.4</w:t>
            </w:r>
            <w:r/>
          </w:p>
        </w:tc>
        <w:tc>
          <w:tcPr>
            <w:tcW w:w="6311" w:type="dxa"/>
            <w:vAlign w:val="center"/>
            <w:textDirection w:val="lrTb"/>
            <w:noWrap w:val="false"/>
          </w:tcPr>
          <w:p>
            <w:pPr>
              <w:spacing w:line="400" w:lineRule="exact"/>
              <w:rPr>
                <w:rFonts w:ascii="宋体" w:hAnsi="宋体"/>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661"/>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1.5</w:t>
            </w:r>
            <w:r/>
          </w:p>
        </w:tc>
        <w:tc>
          <w:tcPr>
            <w:tcW w:w="6311" w:type="dxa"/>
            <w:vAlign w:val="center"/>
            <w:textDirection w:val="lrTb"/>
            <w:noWrap w:val="false"/>
          </w:tcPr>
          <w:p>
            <w:pPr>
              <w:spacing w:line="400" w:lineRule="exact"/>
              <w:rPr>
                <w:rFonts w:ascii="宋体" w:hAnsi="宋体"/>
                <w:szCs w:val="21"/>
              </w:rPr>
            </w:pPr>
            <w:r>
              <w:rPr>
                <w:rFonts w:hint="eastAsia" w:ascii="宋体" w:hAnsi="宋体"/>
                <w:szCs w:val="21"/>
              </w:rPr>
              <w:t xml:space="preserve">参加政府采购活动前3年内在经营活动中没有重大违法记录的书面声明</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72"/>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1.6</w:t>
            </w:r>
            <w:r/>
          </w:p>
        </w:tc>
        <w:tc>
          <w:tcPr>
            <w:tcW w:w="6311" w:type="dxa"/>
            <w:vAlign w:val="center"/>
            <w:textDirection w:val="lrTb"/>
            <w:noWrap w:val="false"/>
          </w:tcPr>
          <w:p>
            <w:pPr>
              <w:spacing w:line="400" w:lineRule="exact"/>
              <w:rPr>
                <w:rFonts w:ascii="宋体" w:hAnsi="宋体"/>
                <w:szCs w:val="21"/>
              </w:rPr>
            </w:pPr>
            <w:r>
              <w:rPr>
                <w:rFonts w:hint="eastAsia" w:ascii="宋体" w:hAnsi="宋体"/>
                <w:szCs w:val="21"/>
              </w:rPr>
              <w:t xml:space="preserve">供应商信用承诺函</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1257"/>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1.7</w:t>
            </w:r>
            <w:r/>
          </w:p>
        </w:tc>
        <w:tc>
          <w:tcPr>
            <w:tcW w:w="6311" w:type="dxa"/>
            <w:vAlign w:val="center"/>
            <w:textDirection w:val="lrTb"/>
            <w:noWrap w:val="false"/>
          </w:tcPr>
          <w:p>
            <w:pPr>
              <w:spacing w:line="340" w:lineRule="exact"/>
              <w:rPr>
                <w:rFonts w:ascii="宋体" w:hAnsi="宋体"/>
                <w:szCs w:val="21"/>
              </w:rPr>
            </w:pPr>
            <w:r>
              <w:rPr>
                <w:rFonts w:hint="eastAsia" w:ascii="宋体" w:hAnsi="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400" w:lineRule="exact"/>
              <w:rPr>
                <w:rFonts w:ascii="宋体" w:hAnsi="宋体"/>
                <w:b/>
                <w:bCs/>
                <w:szCs w:val="21"/>
              </w:rPr>
            </w:pPr>
            <w:r>
              <w:rPr>
                <w:rFonts w:hint="eastAsia" w:ascii="宋体" w:hAnsi="宋体"/>
                <w:b/>
                <w:bCs/>
                <w:szCs w:val="21"/>
              </w:rPr>
              <w:t xml:space="preserve">落实政府采购政策需满足的资格要求</w:t>
            </w:r>
            <w:r/>
          </w:p>
        </w:tc>
      </w:tr>
      <w:tr>
        <w:trPr>
          <w:trHeight w:val="374"/>
        </w:trPr>
        <w:tc>
          <w:tcPr>
            <w:tcW w:w="660" w:type="dxa"/>
            <w:vAlign w:val="center"/>
            <w:textDirection w:val="lrTb"/>
            <w:noWrap w:val="false"/>
          </w:tcPr>
          <w:p>
            <w:pPr>
              <w:spacing w:line="400" w:lineRule="exact"/>
              <w:rPr>
                <w:rFonts w:ascii="宋体" w:hAnsi="宋体"/>
                <w:szCs w:val="21"/>
              </w:rPr>
            </w:pPr>
            <w:r>
              <w:rPr>
                <w:rFonts w:hint="eastAsia" w:ascii="宋体" w:hAnsi="宋体"/>
                <w:szCs w:val="21"/>
              </w:rPr>
              <w:t xml:space="preserve">2</w:t>
            </w:r>
            <w:r/>
          </w:p>
        </w:tc>
        <w:tc>
          <w:tcPr>
            <w:tcW w:w="6311" w:type="dxa"/>
            <w:vAlign w:val="center"/>
            <w:textDirection w:val="lrTb"/>
            <w:noWrap w:val="false"/>
          </w:tcPr>
          <w:p>
            <w:pPr>
              <w:spacing w:line="360" w:lineRule="auto"/>
              <w:rPr>
                <w:rFonts w:ascii="宋体" w:hAnsi="宋体"/>
                <w:szCs w:val="21"/>
              </w:rPr>
            </w:pPr>
            <w:r>
              <w:rPr>
                <w:rFonts w:hint="eastAsia" w:ascii="宋体" w:hAnsi="宋体"/>
                <w:szCs w:val="21"/>
              </w:rPr>
              <w:t xml:space="preserve">无</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400" w:lineRule="exact"/>
              <w:rPr>
                <w:rFonts w:ascii="宋体" w:hAnsi="宋体"/>
                <w:b/>
                <w:szCs w:val="21"/>
              </w:rPr>
            </w:pPr>
            <w:r>
              <w:rPr>
                <w:rFonts w:hint="eastAsia" w:ascii="宋体" w:hAnsi="宋体"/>
                <w:b/>
                <w:szCs w:val="21"/>
              </w:rPr>
              <w:t xml:space="preserve">特定资格条件</w:t>
            </w:r>
            <w:r/>
          </w:p>
        </w:tc>
      </w:tr>
      <w:tr>
        <w:trPr>
          <w:trHeight w:val="426"/>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3.1</w:t>
            </w:r>
            <w:r/>
          </w:p>
        </w:tc>
        <w:tc>
          <w:tcPr>
            <w:tcW w:w="6311"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投标人具有《保险许可证》（材料扫描件上传系统）</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26"/>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3.2</w:t>
            </w:r>
            <w:r/>
          </w:p>
        </w:tc>
        <w:tc>
          <w:tcPr>
            <w:tcW w:w="6311" w:type="dxa"/>
            <w:vAlign w:val="center"/>
            <w:textDirection w:val="lrTb"/>
            <w:noWrap w:val="false"/>
          </w:tcPr>
          <w:p>
            <w:pPr>
              <w:spacing w:line="340" w:lineRule="exact"/>
              <w:rPr>
                <w:rFonts w:ascii="宋体" w:hAnsi="宋体"/>
                <w:szCs w:val="21"/>
              </w:rPr>
            </w:pPr>
            <w:r>
              <w:rPr>
                <w:rFonts w:hint="eastAsia" w:ascii="宋体" w:hAnsi="宋体" w:cs="宋体"/>
                <w:szCs w:val="21"/>
              </w:rPr>
              <w:t xml:space="preserve">投标人具有经过国家金融监督管理总局(原中国银行保险监督管理委员会)备案的本次采购相关保险条款（材料扫描件上传系统）</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26"/>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3.3</w:t>
            </w:r>
            <w:r/>
          </w:p>
        </w:tc>
        <w:tc>
          <w:tcPr>
            <w:tcW w:w="6311" w:type="dxa"/>
            <w:vAlign w:val="center"/>
            <w:textDirection w:val="lrTb"/>
            <w:noWrap w:val="false"/>
          </w:tcPr>
          <w:p>
            <w:pPr>
              <w:spacing w:line="340" w:lineRule="exact"/>
              <w:rPr>
                <w:rFonts w:ascii="宋体" w:hAnsi="宋体"/>
                <w:szCs w:val="21"/>
              </w:rPr>
            </w:pPr>
            <w:r>
              <w:rPr>
                <w:rFonts w:hint="eastAsia" w:ascii="宋体" w:hAnsi="宋体" w:cs="宋体"/>
                <w:szCs w:val="21"/>
              </w:rPr>
              <w:t xml:space="preserve">本项目仅接受具有独立法人资格的公司或其下属分公司/支公司参与投标（总公司及其各分公司/支公司视为同一家公司，不得同时作为供应商参与本项目的投标，投标人需提供“自身是独立法人或是其总公司下属唯一参与本项目投标的分支机构，否则自动放弃投标资格”的承诺函，格式自拟，材料扫描件上传系统）</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400" w:lineRule="exact"/>
              <w:rPr>
                <w:rFonts w:ascii="宋体" w:hAnsi="宋体"/>
                <w:b/>
                <w:szCs w:val="21"/>
              </w:rPr>
            </w:pPr>
            <w:r>
              <w:rPr>
                <w:rFonts w:hint="eastAsia" w:ascii="宋体" w:hAnsi="宋体"/>
                <w:b/>
                <w:szCs w:val="21"/>
              </w:rPr>
              <w:t xml:space="preserve">其他资格条件</w:t>
            </w:r>
            <w:r/>
          </w:p>
        </w:tc>
      </w:tr>
      <w:tr>
        <w:trPr>
          <w:trHeight w:val="426"/>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311" w:type="dxa"/>
            <w:vAlign w:val="center"/>
            <w:textDirection w:val="lrTb"/>
            <w:noWrap w:val="false"/>
          </w:tcPr>
          <w:p>
            <w:pPr>
              <w:jc w:val="left"/>
              <w:spacing w:line="400" w:lineRule="exact"/>
              <w:rPr>
                <w:rFonts w:ascii="宋体" w:hAnsi="宋体"/>
                <w:iCs/>
                <w:szCs w:val="21"/>
              </w:rPr>
            </w:pPr>
            <w:r>
              <w:rPr>
                <w:rFonts w:hint="eastAsia" w:ascii="宋体" w:hAnsi="宋体"/>
                <w:iCs/>
                <w:szCs w:val="21"/>
              </w:rPr>
              <w:t xml:space="preserve">投标函</w:t>
            </w:r>
            <w:r/>
          </w:p>
        </w:tc>
        <w:tc>
          <w:tcPr>
            <w:tcW w:w="2207" w:type="dxa"/>
            <w:vAlign w:val="center"/>
            <w:textDirection w:val="lrTb"/>
            <w:noWrap w:val="false"/>
          </w:tcPr>
          <w:p>
            <w:pPr>
              <w:spacing w:line="400" w:lineRule="exact"/>
              <w:rPr>
                <w:rFonts w:ascii="宋体" w:hAnsi="宋体"/>
                <w:szCs w:val="21"/>
              </w:rPr>
            </w:pPr>
            <w:r>
              <w:rPr>
                <w:rFonts w:ascii="宋体" w:hAnsi="宋体"/>
                <w:szCs w:val="21"/>
              </w:rPr>
            </w:r>
            <w:r/>
          </w:p>
        </w:tc>
      </w:tr>
      <w:tr>
        <w:trPr>
          <w:trHeight w:val="436"/>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311"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207" w:type="dxa"/>
            <w:vAlign w:val="center"/>
            <w:textDirection w:val="lrTb"/>
            <w:noWrap w:val="false"/>
          </w:tcPr>
          <w:p>
            <w:pPr>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jc w:val="center"/>
        <w:spacing w:before="156" w:after="156" w:line="360" w:lineRule="auto"/>
        <w:rPr>
          <w:rFonts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sz w:val="36"/>
        </w:rPr>
      </w:pPr>
      <w:r>
        <w:rPr>
          <w:rFonts w:ascii="宋体" w:hAnsi="宋体"/>
          <w:b/>
          <w:sz w:val="36"/>
        </w:rPr>
      </w:r>
      <w:r/>
    </w:p>
    <w:p>
      <w:pPr>
        <w:pStyle w:val="1119"/>
        <w:ind w:firstLine="723"/>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pStyle w:val="1119"/>
        <w:ind w:firstLine="723"/>
        <w:jc w:val="righ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jc w:val="left"/>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sz w:val="28"/>
          <w:szCs w:val="28"/>
        </w:rPr>
      </w:pPr>
      <w:r>
        <w:rPr>
          <w:rFonts w:hint="eastAsia" w:ascii="宋体" w:hAnsi="宋体"/>
          <w:b/>
          <w:bCs/>
          <w:sz w:val="28"/>
          <w:szCs w:val="28"/>
        </w:rPr>
        <w:t xml:space="preserve">声  明</w:t>
      </w:r>
      <w:r/>
    </w:p>
    <w:p>
      <w:pPr>
        <w:spacing w:line="360" w:lineRule="auto"/>
        <w:rPr>
          <w:rFonts w:ascii="宋体" w:hAnsi="宋体"/>
          <w:b/>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400" w:lineRule="exact"/>
        <w:rPr>
          <w:rFonts w:ascii="宋体" w:hAnsi="宋体"/>
          <w:b/>
          <w:bCs/>
        </w:rPr>
      </w:pPr>
      <w:r>
        <w:rPr>
          <w:rFonts w:hint="eastAsia" w:ascii="宋体" w:hAnsi="宋体"/>
          <w:b/>
          <w:bCs/>
        </w:rPr>
        <w:br w:type="page" w:clear="all"/>
      </w:r>
      <w:r>
        <w:rPr>
          <w:rFonts w:hint="eastAsia" w:ascii="宋体" w:hAnsi="宋体"/>
          <w:b/>
          <w:szCs w:val="21"/>
        </w:rPr>
        <w:t xml:space="preserve">供应商信用承诺书</w:t>
      </w:r>
      <w:r/>
    </w:p>
    <w:p>
      <w:pPr>
        <w:spacing w:line="400" w:lineRule="exact"/>
        <w:rPr>
          <w:rFonts w:ascii="宋体" w:hAnsi="宋体"/>
          <w:szCs w:val="21"/>
        </w:rPr>
      </w:pPr>
      <w:r>
        <w:rPr>
          <w:rFonts w:hint="eastAsia" w:ascii="宋体" w:hAnsi="宋体"/>
          <w:szCs w:val="21"/>
        </w:rPr>
        <w:t xml:space="preserve">承诺主体名称：</w:t>
      </w:r>
      <w:r/>
    </w:p>
    <w:p>
      <w:pPr>
        <w:spacing w:line="400" w:lineRule="exact"/>
        <w:rPr>
          <w:rFonts w:ascii="宋体" w:hAnsi="宋体"/>
          <w:szCs w:val="21"/>
        </w:rPr>
      </w:pPr>
      <w:r>
        <w:rPr>
          <w:rFonts w:hint="eastAsia" w:ascii="宋体" w:hAnsi="宋体"/>
          <w:szCs w:val="21"/>
        </w:rPr>
        <w:t xml:space="preserve">统一社会信用代码：</w:t>
      </w:r>
      <w:r/>
    </w:p>
    <w:p>
      <w:pPr>
        <w:ind w:firstLine="420"/>
        <w:spacing w:line="40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0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0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0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0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0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0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0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0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00" w:lineRule="exact"/>
        <w:rPr>
          <w:rFonts w:ascii="宋体" w:hAnsi="宋体"/>
          <w:szCs w:val="21"/>
        </w:rPr>
      </w:pPr>
      <w:r>
        <w:rPr>
          <w:rFonts w:hint="eastAsia" w:ascii="宋体" w:hAnsi="宋体"/>
          <w:szCs w:val="21"/>
        </w:rPr>
        <w:t xml:space="preserve">十、本承诺书自签订之日起生效。</w:t>
      </w:r>
      <w:r/>
    </w:p>
    <w:p>
      <w:pPr>
        <w:ind w:firstLine="420"/>
        <w:spacing w:line="400" w:lineRule="exact"/>
        <w:rPr>
          <w:rFonts w:ascii="宋体" w:hAnsi="宋体"/>
          <w:szCs w:val="21"/>
        </w:rPr>
      </w:pPr>
      <w:r>
        <w:rPr>
          <w:rFonts w:hint="eastAsia" w:ascii="宋体" w:hAnsi="宋体"/>
          <w:szCs w:val="21"/>
        </w:rPr>
        <w:t xml:space="preserve"> （注：法定代表人或负责人、主体名称发生变更的应当重新做出承诺。）</w:t>
      </w:r>
      <w:r/>
    </w:p>
    <w:p>
      <w:pPr>
        <w:ind w:firstLine="420"/>
        <w:spacing w:line="400" w:lineRule="exact"/>
        <w:rPr>
          <w:rFonts w:ascii="宋体" w:hAnsi="宋体"/>
          <w:szCs w:val="21"/>
        </w:rPr>
      </w:pPr>
      <w:r>
        <w:rPr>
          <w:rFonts w:hint="eastAsia" w:ascii="宋体" w:hAnsi="宋体"/>
          <w:szCs w:val="21"/>
        </w:rPr>
        <w:t xml:space="preserve">承诺单位（签章）：            法定代表人（负责人）：</w:t>
      </w:r>
      <w:r/>
    </w:p>
    <w:p>
      <w:pPr>
        <w:jc w:val="center"/>
        <w:spacing w:line="400" w:lineRule="exact"/>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投标函格式</w:t>
      </w:r>
      <w:r/>
    </w:p>
    <w:p>
      <w:pPr>
        <w:pStyle w:val="1131"/>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p>
    <w:p>
      <w:pPr>
        <w:pStyle w:val="1131"/>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1131"/>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13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13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13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13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13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13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131"/>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1131"/>
        <w:ind w:firstLine="478"/>
        <w:spacing w:before="0" w:after="0"/>
        <w:rPr>
          <w:rFonts w:ascii="宋体" w:hAnsi="宋体"/>
          <w:sz w:val="21"/>
          <w:szCs w:val="21"/>
        </w:rPr>
      </w:pPr>
      <w:r>
        <w:rPr>
          <w:rFonts w:hint="eastAsia" w:ascii="宋体" w:hAnsi="宋体"/>
          <w:sz w:val="21"/>
          <w:szCs w:val="21"/>
        </w:rPr>
        <w:t xml:space="preserve">地 址：</w:t>
      </w:r>
      <w:r/>
    </w:p>
    <w:p>
      <w:pPr>
        <w:pStyle w:val="1131"/>
        <w:ind w:firstLine="478"/>
        <w:spacing w:before="0" w:after="0"/>
        <w:rPr>
          <w:rFonts w:ascii="宋体" w:hAnsi="宋体"/>
          <w:sz w:val="21"/>
          <w:szCs w:val="21"/>
        </w:rPr>
      </w:pPr>
      <w:r>
        <w:rPr>
          <w:rFonts w:hint="eastAsia" w:ascii="宋体" w:hAnsi="宋体"/>
          <w:sz w:val="21"/>
          <w:szCs w:val="21"/>
        </w:rPr>
        <w:t xml:space="preserve">邮 编：</w:t>
      </w:r>
      <w:r/>
    </w:p>
    <w:p>
      <w:pPr>
        <w:pStyle w:val="1131"/>
        <w:ind w:firstLine="478"/>
        <w:spacing w:before="0" w:after="0"/>
        <w:rPr>
          <w:rFonts w:ascii="宋体" w:hAnsi="宋体"/>
          <w:sz w:val="21"/>
          <w:szCs w:val="21"/>
        </w:rPr>
      </w:pPr>
      <w:r>
        <w:rPr>
          <w:rFonts w:hint="eastAsia" w:ascii="宋体" w:hAnsi="宋体"/>
          <w:sz w:val="21"/>
          <w:szCs w:val="21"/>
        </w:rPr>
        <w:t xml:space="preserve">电 话： </w:t>
      </w:r>
      <w:r/>
    </w:p>
    <w:p>
      <w:pPr>
        <w:pStyle w:val="1131"/>
        <w:ind w:firstLine="478"/>
        <w:spacing w:before="0" w:after="0"/>
        <w:rPr>
          <w:rFonts w:ascii="宋体" w:hAnsi="宋体"/>
          <w:sz w:val="21"/>
          <w:szCs w:val="21"/>
        </w:rPr>
      </w:pPr>
      <w:r>
        <w:rPr>
          <w:rFonts w:hint="eastAsia" w:ascii="宋体" w:hAnsi="宋体"/>
          <w:sz w:val="21"/>
          <w:szCs w:val="21"/>
        </w:rPr>
        <w:t xml:space="preserve">传 真： </w:t>
      </w:r>
      <w:r/>
    </w:p>
    <w:p>
      <w:pPr>
        <w:pStyle w:val="1131"/>
        <w:ind w:firstLine="478"/>
        <w:spacing w:before="0" w:after="0"/>
        <w:rPr>
          <w:rFonts w:ascii="宋体" w:hAnsi="宋体"/>
          <w:sz w:val="21"/>
          <w:szCs w:val="21"/>
        </w:rPr>
      </w:pPr>
      <w:r>
        <w:rPr>
          <w:rFonts w:hint="eastAsia" w:ascii="宋体" w:hAnsi="宋体"/>
          <w:sz w:val="21"/>
          <w:szCs w:val="21"/>
        </w:rPr>
        <w:t xml:space="preserve">投标人开户行：</w:t>
      </w:r>
      <w:r/>
    </w:p>
    <w:p>
      <w:pPr>
        <w:pStyle w:val="1131"/>
        <w:ind w:firstLine="478"/>
        <w:spacing w:before="0" w:after="0"/>
        <w:rPr>
          <w:rFonts w:ascii="宋体" w:hAnsi="宋体"/>
          <w:sz w:val="21"/>
          <w:szCs w:val="21"/>
        </w:rPr>
      </w:pPr>
      <w:r>
        <w:rPr>
          <w:rFonts w:hint="eastAsia" w:ascii="宋体" w:hAnsi="宋体"/>
          <w:sz w:val="21"/>
          <w:szCs w:val="21"/>
        </w:rPr>
        <w:t xml:space="preserve">账 户： </w:t>
      </w:r>
      <w:r/>
    </w:p>
    <w:p>
      <w:pPr>
        <w:pStyle w:val="1131"/>
        <w:ind w:firstLine="478"/>
        <w:spacing w:before="0" w:after="0"/>
        <w:rPr>
          <w:rFonts w:ascii="宋体" w:hAnsi="宋体"/>
          <w:sz w:val="21"/>
          <w:szCs w:val="21"/>
        </w:rPr>
      </w:pPr>
      <w:r>
        <w:rPr>
          <w:rFonts w:hint="eastAsia" w:ascii="宋体" w:hAnsi="宋体"/>
          <w:sz w:val="21"/>
          <w:szCs w:val="21"/>
        </w:rPr>
        <w:t xml:space="preserve">行 号：</w:t>
      </w:r>
      <w:r/>
    </w:p>
    <w:p>
      <w:pPr>
        <w:pStyle w:val="1131"/>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sz w:val="32"/>
          <w:szCs w:val="32"/>
        </w:rPr>
      </w:pPr>
      <w:r>
        <w:rPr>
          <w:rFonts w:ascii="宋体" w:hAnsi="宋体"/>
          <w:b/>
          <w:bCs/>
          <w:sz w:val="32"/>
          <w:szCs w:val="32"/>
        </w:rPr>
      </w:r>
      <w:r/>
    </w:p>
    <w:p>
      <w:pPr>
        <w:jc w:val="center"/>
        <w:rPr>
          <w:rFonts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法人授权书</w:t>
      </w:r>
      <w:r/>
    </w:p>
    <w:p>
      <w:pPr>
        <w:pStyle w:val="1132"/>
        <w:ind w:firstLine="420"/>
        <w:spacing w:line="360" w:lineRule="auto"/>
        <w:tabs>
          <w:tab w:val="clear"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1132"/>
        <w:ind w:firstLine="420"/>
        <w:spacing w:line="360" w:lineRule="auto"/>
        <w:tabs>
          <w:tab w:val="clear"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132"/>
        <w:ind w:firstLine="0"/>
        <w:spacing w:line="360" w:lineRule="auto"/>
        <w:tabs>
          <w:tab w:val="clear" w:pos="360" w:leader="none"/>
        </w:tabs>
        <w:rPr>
          <w:rFonts w:ascii="宋体" w:hAnsi="宋体"/>
          <w:sz w:val="21"/>
          <w:szCs w:val="21"/>
        </w:rPr>
      </w:pPr>
      <w:r>
        <w:rPr>
          <w:rFonts w:ascii="宋体" w:hAnsi="宋体"/>
          <w:sz w:val="21"/>
          <w:szCs w:val="21"/>
        </w:rPr>
        <w:t xml:space="preserve">    </w:t>
      </w:r>
      <w:r/>
    </w:p>
    <w:p>
      <w:pPr>
        <w:pStyle w:val="1132"/>
        <w:ind w:firstLine="420"/>
        <w:spacing w:line="360" w:lineRule="auto"/>
        <w:tabs>
          <w:tab w:val="clear" w:pos="360" w:leader="none"/>
        </w:tabs>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132"/>
        <w:ind w:firstLine="420"/>
        <w:spacing w:line="360" w:lineRule="auto"/>
        <w:tabs>
          <w:tab w:val="clear" w:pos="360" w:leader="none"/>
        </w:tabs>
        <w:rPr>
          <w:rFonts w:ascii="宋体" w:hAnsi="宋体"/>
          <w:sz w:val="21"/>
          <w:szCs w:val="21"/>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32"/>
        <w:ind w:firstLine="0"/>
        <w:spacing w:line="360" w:lineRule="auto"/>
        <w:tabs>
          <w:tab w:val="clear"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132"/>
        <w:ind w:firstLine="420"/>
        <w:spacing w:line="360" w:lineRule="auto"/>
        <w:tabs>
          <w:tab w:val="clear" w:pos="360" w:leader="none"/>
        </w:tabs>
        <w:rPr>
          <w:sz w:val="21"/>
          <w:szCs w:val="21"/>
        </w:rPr>
      </w:pPr>
      <w:r>
        <w:rPr>
          <w:rFonts w:hint="eastAsia"/>
          <w:sz w:val="21"/>
          <w:szCs w:val="21"/>
        </w:rPr>
        <w:t xml:space="preserve">单位地址：</w:t>
      </w:r>
      <w:r>
        <w:rPr>
          <w:sz w:val="21"/>
          <w:szCs w:val="21"/>
          <w:u w:val="single"/>
        </w:rPr>
        <w:t xml:space="preserve">                                     </w:t>
      </w:r>
      <w:r/>
    </w:p>
    <w:p>
      <w:pPr>
        <w:pStyle w:val="1132"/>
        <w:ind w:firstLine="420"/>
        <w:spacing w:line="360" w:lineRule="auto"/>
        <w:tabs>
          <w:tab w:val="clear"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ind w:firstLine="420"/>
        <w:spacing w:line="460" w:lineRule="exact"/>
      </w:pPr>
      <w:r>
        <w:rPr>
          <w:rFonts w:hint="eastAsia"/>
        </w:rPr>
        <w:t xml:space="preserve">法定代表人身份证复印件</w:t>
      </w:r>
      <w:r/>
    </w:p>
    <w:p>
      <w:pPr>
        <w:pStyle w:val="816"/>
      </w:pPr>
      <w:r/>
      <w:r/>
    </w:p>
    <w:p>
      <w:pPr>
        <w:pStyle w:val="817"/>
      </w:pPr>
      <w:r/>
      <w:r/>
    </w:p>
    <w:p>
      <w:pPr>
        <w:pStyle w:val="817"/>
      </w:pPr>
      <w:r/>
      <w:r/>
    </w:p>
    <w:p>
      <w:pPr>
        <w:ind w:firstLine="420"/>
        <w:spacing w:line="460" w:lineRule="exact"/>
        <w:rPr>
          <w:rFonts w:ascii="宋体" w:hAnsi="宋体"/>
          <w:bCs/>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  </w:t>
      </w:r>
      <w:r/>
    </w:p>
    <w:p>
      <w:pPr>
        <w:pStyle w:val="1094"/>
        <w:rPr>
          <w:rFonts w:ascii="宋体" w:hAnsi="宋体" w:eastAsia="宋体"/>
          <w:sz w:val="28"/>
          <w:szCs w:val="28"/>
        </w:rPr>
      </w:pPr>
      <w:r>
        <w:rPr>
          <w:rFonts w:hint="eastAsia" w:ascii="宋体" w:hAnsi="宋体" w:eastAsia="宋体"/>
          <w:sz w:val="28"/>
          <w:szCs w:val="28"/>
        </w:rPr>
        <w:t xml:space="preserve">二、符合性审查响应对照表</w:t>
      </w:r>
      <w:r/>
    </w:p>
    <w:tbl>
      <w:tblPr>
        <w:tblStyle w:val="812"/>
        <w:tblW w:w="83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4889"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符合性审查响应内容</w:t>
            </w:r>
            <w:r/>
          </w:p>
        </w:tc>
        <w:tc>
          <w:tcPr>
            <w:tcW w:w="1661"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c>
          <w:tcPr>
            <w:tcW w:w="1189"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4889"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szCs w:val="21"/>
              </w:rPr>
            </w:pPr>
            <w:r>
              <w:rPr>
                <w:rFonts w:ascii="宋体" w:hAnsi="宋体"/>
                <w:b/>
                <w:szCs w:val="21"/>
              </w:rPr>
            </w:r>
            <w:r/>
          </w:p>
        </w:tc>
        <w:tc>
          <w:tcPr>
            <w:tcW w:w="1189"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889"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61" w:type="dxa"/>
            <w:vAlign w:val="center"/>
            <w:textDirection w:val="lrTb"/>
            <w:noWrap w:val="false"/>
          </w:tcPr>
          <w:p>
            <w:pPr>
              <w:rPr>
                <w:rFonts w:ascii="宋体" w:hAnsi="宋体"/>
                <w:szCs w:val="21"/>
              </w:rPr>
            </w:pPr>
            <w:r>
              <w:rPr>
                <w:rFonts w:ascii="宋体" w:hAnsi="宋体"/>
                <w:szCs w:val="21"/>
              </w:rPr>
            </w:r>
            <w:r/>
          </w:p>
        </w:tc>
        <w:tc>
          <w:tcPr>
            <w:tcW w:w="1189"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4889"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61" w:type="dxa"/>
            <w:vAlign w:val="center"/>
            <w:textDirection w:val="lrTb"/>
            <w:noWrap w:val="false"/>
          </w:tcPr>
          <w:p>
            <w:pPr>
              <w:rPr>
                <w:rFonts w:ascii="宋体" w:hAnsi="宋体"/>
                <w:szCs w:val="21"/>
              </w:rPr>
            </w:pPr>
            <w:r>
              <w:rPr>
                <w:rFonts w:ascii="宋体" w:hAnsi="宋体"/>
                <w:szCs w:val="21"/>
              </w:rPr>
            </w:r>
            <w:r/>
          </w:p>
        </w:tc>
        <w:tc>
          <w:tcPr>
            <w:tcW w:w="1189"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4889"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61" w:type="dxa"/>
            <w:vAlign w:val="center"/>
            <w:textDirection w:val="lrTb"/>
            <w:noWrap w:val="false"/>
          </w:tcPr>
          <w:p>
            <w:pPr>
              <w:rPr>
                <w:rFonts w:ascii="宋体" w:hAnsi="宋体"/>
                <w:szCs w:val="21"/>
              </w:rPr>
            </w:pPr>
            <w:r>
              <w:rPr>
                <w:rFonts w:ascii="宋体" w:hAnsi="宋体"/>
                <w:szCs w:val="21"/>
              </w:rPr>
            </w:r>
            <w:r/>
          </w:p>
        </w:tc>
        <w:tc>
          <w:tcPr>
            <w:tcW w:w="1189"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4889"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61" w:type="dxa"/>
            <w:vAlign w:val="center"/>
            <w:textDirection w:val="lrTb"/>
            <w:noWrap w:val="false"/>
          </w:tcPr>
          <w:p>
            <w:pPr>
              <w:rPr>
                <w:rFonts w:ascii="宋体" w:hAnsi="宋体"/>
                <w:szCs w:val="21"/>
              </w:rPr>
            </w:pPr>
            <w:r>
              <w:rPr>
                <w:rFonts w:ascii="宋体" w:hAnsi="宋体"/>
                <w:szCs w:val="21"/>
              </w:rPr>
            </w:r>
            <w:r/>
          </w:p>
        </w:tc>
        <w:tc>
          <w:tcPr>
            <w:tcW w:w="1189"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spacing w:line="600" w:lineRule="exact"/>
        <w:rPr>
          <w:rFonts w:ascii="宋体" w:hAnsi="宋体"/>
          <w:b/>
          <w:bCs/>
          <w:sz w:val="32"/>
          <w:szCs w:val="32"/>
        </w:rPr>
      </w:pPr>
      <w:r>
        <w:rPr>
          <w:rFonts w:ascii="宋体" w:hAnsi="宋体"/>
          <w:b/>
          <w:bCs/>
          <w:sz w:val="32"/>
          <w:szCs w:val="32"/>
        </w:rPr>
      </w:r>
      <w:r/>
    </w:p>
    <w:p>
      <w:pPr>
        <w:pStyle w:val="1094"/>
        <w:rPr>
          <w:rFonts w:ascii="宋体" w:hAnsi="宋体" w:eastAsia="宋体"/>
          <w:sz w:val="28"/>
          <w:szCs w:val="28"/>
        </w:rPr>
      </w:pPr>
      <w:r>
        <w:rPr>
          <w:rFonts w:hint="eastAsia" w:ascii="宋体" w:hAnsi="宋体" w:eastAsia="宋体"/>
          <w:sz w:val="28"/>
          <w:szCs w:val="28"/>
        </w:rPr>
        <w:t xml:space="preserve">三、非实质性响应对照表</w:t>
      </w:r>
      <w:r/>
    </w:p>
    <w:p>
      <w:pPr>
        <w:rPr>
          <w:rFonts w:ascii="宋体" w:hAnsi="宋体"/>
          <w:b/>
          <w:sz w:val="32"/>
          <w:szCs w:val="32"/>
        </w:rPr>
      </w:pPr>
      <w:r>
        <w:rPr>
          <w:rFonts w:ascii="宋体" w:hAnsi="宋体"/>
          <w:b/>
          <w:sz w:val="32"/>
          <w:szCs w:val="32"/>
        </w:rPr>
      </w:r>
      <w:r/>
    </w:p>
    <w:tbl>
      <w:tblPr>
        <w:tblStyle w:val="812"/>
        <w:tblW w:w="83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4485"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非实质性响应内容</w:t>
            </w:r>
            <w:r/>
          </w:p>
        </w:tc>
        <w:tc>
          <w:tcPr>
            <w:tcW w:w="1800"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c>
          <w:tcPr>
            <w:tcW w:w="1454"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485" w:type="dxa"/>
            <w:vAlign w:val="center"/>
            <w:textDirection w:val="lrTb"/>
            <w:noWrap w:val="false"/>
          </w:tcPr>
          <w:p>
            <w:pPr>
              <w:spacing w:line="0" w:lineRule="atLeast"/>
              <w:rPr>
                <w:rFonts w:ascii="宋体" w:hAnsi="宋体"/>
                <w:szCs w:val="21"/>
              </w:rPr>
            </w:pPr>
            <w:r>
              <w:rPr>
                <w:rFonts w:hint="eastAsia" w:ascii="宋体" w:hAnsi="宋体"/>
                <w:szCs w:val="21"/>
              </w:rPr>
              <w:t xml:space="preserve">《残疾人福利性单位声明函》</w:t>
            </w:r>
            <w:r/>
          </w:p>
        </w:tc>
        <w:tc>
          <w:tcPr>
            <w:tcW w:w="1800" w:type="dxa"/>
            <w:vAlign w:val="center"/>
            <w:textDirection w:val="lrTb"/>
            <w:noWrap w:val="false"/>
          </w:tcPr>
          <w:p>
            <w:pPr>
              <w:rPr>
                <w:rFonts w:ascii="宋体" w:hAnsi="宋体"/>
                <w:b/>
                <w:szCs w:val="21"/>
              </w:rPr>
            </w:pPr>
            <w:r>
              <w:rPr>
                <w:rFonts w:ascii="宋体" w:hAnsi="宋体"/>
                <w:b/>
                <w:szCs w:val="21"/>
              </w:rPr>
            </w:r>
            <w:r/>
          </w:p>
        </w:tc>
        <w:tc>
          <w:tcPr>
            <w:tcW w:w="14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485" w:type="dxa"/>
            <w:vAlign w:val="center"/>
            <w:textDirection w:val="lrTb"/>
            <w:noWrap w:val="false"/>
          </w:tcPr>
          <w:p>
            <w:pPr>
              <w:spacing w:line="0" w:lineRule="atLeast"/>
              <w:rPr>
                <w:rFonts w:ascii="宋体" w:hAnsi="宋体"/>
                <w:iCs/>
                <w:szCs w:val="21"/>
              </w:rPr>
            </w:pPr>
            <w:r>
              <w:rPr>
                <w:rFonts w:hint="eastAsia" w:ascii="宋体" w:hAnsi="宋体"/>
              </w:rPr>
              <w:t xml:space="preserve">《中小企业声明函》</w:t>
            </w:r>
            <w:r/>
          </w:p>
        </w:tc>
        <w:tc>
          <w:tcPr>
            <w:tcW w:w="1800" w:type="dxa"/>
            <w:vAlign w:val="center"/>
            <w:textDirection w:val="lrTb"/>
            <w:noWrap w:val="false"/>
          </w:tcPr>
          <w:p>
            <w:pPr>
              <w:rPr>
                <w:rFonts w:ascii="宋体" w:hAnsi="宋体"/>
                <w:szCs w:val="21"/>
              </w:rPr>
            </w:pPr>
            <w:r>
              <w:rPr>
                <w:rFonts w:ascii="宋体" w:hAnsi="宋体"/>
                <w:szCs w:val="21"/>
              </w:rPr>
            </w:r>
            <w:r/>
          </w:p>
        </w:tc>
        <w:tc>
          <w:tcPr>
            <w:tcW w:w="14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4485"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800" w:type="dxa"/>
            <w:vAlign w:val="center"/>
            <w:textDirection w:val="lrTb"/>
            <w:noWrap w:val="false"/>
          </w:tcPr>
          <w:p>
            <w:pPr>
              <w:rPr>
                <w:rFonts w:ascii="宋体" w:hAnsi="宋体"/>
                <w:szCs w:val="21"/>
              </w:rPr>
            </w:pPr>
            <w:r>
              <w:rPr>
                <w:rFonts w:ascii="宋体" w:hAnsi="宋体"/>
                <w:szCs w:val="21"/>
              </w:rPr>
            </w:r>
            <w:r/>
          </w:p>
        </w:tc>
        <w:tc>
          <w:tcPr>
            <w:tcW w:w="14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center"/>
        <w:spacing w:before="312" w:after="312" w:line="360" w:lineRule="auto"/>
        <w:rPr>
          <w:b/>
          <w:bCs/>
          <w:sz w:val="28"/>
          <w:szCs w:val="28"/>
        </w:rPr>
      </w:pPr>
      <w:r>
        <w:rPr>
          <w:b/>
          <w:bCs/>
          <w:sz w:val="28"/>
          <w:szCs w:val="28"/>
        </w:rPr>
      </w:r>
      <w:r/>
    </w:p>
    <w:p>
      <w:pPr>
        <w:jc w:val="center"/>
        <w:spacing w:before="312" w:after="312" w:line="360" w:lineRule="auto"/>
        <w:rPr>
          <w:b/>
          <w:bCs/>
          <w:sz w:val="28"/>
          <w:szCs w:val="28"/>
        </w:rPr>
      </w:pPr>
      <w:r>
        <w:rPr>
          <w:b/>
          <w:bCs/>
          <w:sz w:val="28"/>
          <w:szCs w:val="28"/>
        </w:rPr>
      </w:r>
      <w:r/>
    </w:p>
    <w:p>
      <w:pPr>
        <w:jc w:val="center"/>
        <w:spacing w:before="312" w:after="312" w:line="360" w:lineRule="auto"/>
        <w:rPr>
          <w:b/>
          <w:bCs/>
          <w:sz w:val="28"/>
          <w:szCs w:val="28"/>
        </w:rPr>
      </w:pPr>
      <w:r>
        <w:rPr>
          <w:b/>
          <w:bCs/>
          <w:sz w:val="28"/>
          <w:szCs w:val="28"/>
        </w:rPr>
      </w:r>
      <w:r/>
    </w:p>
    <w:p>
      <w:pPr>
        <w:jc w:val="center"/>
        <w:spacing w:line="360" w:lineRule="auto"/>
        <w:rPr>
          <w:b/>
          <w:bCs/>
          <w:sz w:val="28"/>
          <w:szCs w:val="28"/>
        </w:rPr>
      </w:pPr>
      <w:r>
        <w:rPr>
          <w:rFonts w:hint="eastAsia"/>
          <w:b/>
          <w:bCs/>
          <w:sz w:val="28"/>
          <w:szCs w:val="28"/>
        </w:rPr>
        <w:t xml:space="preserve">中小企业声明函（工程、服务）</w:t>
      </w:r>
      <w:r/>
    </w:p>
    <w:p>
      <w:pPr>
        <w:ind w:firstLine="420"/>
        <w:jc w:val="left"/>
        <w:spacing w:line="40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pPr>
      <w:r>
        <w:rPr>
          <w:rFonts w:hint="eastAsia"/>
        </w:rPr>
        <w:t xml:space="preserve">1. </w:t>
      </w:r>
      <w:r>
        <w:rPr>
          <w:rFonts w:hint="eastAsia"/>
          <w:u w:val="single"/>
        </w:rPr>
        <w:t xml:space="preserve">（标的名称） </w:t>
      </w:r>
      <w:r>
        <w:rPr>
          <w:rFonts w:hint="eastAsia"/>
        </w:rPr>
        <w:t xml:space="preserve">，属于</w:t>
      </w:r>
      <w:r>
        <w:rPr>
          <w:u w:val="single"/>
        </w:rPr>
        <w:t xml:space="preserve">【</w:t>
      </w:r>
      <w:r>
        <w:rPr>
          <w:rFonts w:hint="eastAsia"/>
          <w:u w:val="single"/>
        </w:rPr>
        <w:t xml:space="preserve">其他未列明行业</w:t>
      </w:r>
      <w:r>
        <w:rPr>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00" w:lineRule="exact"/>
      </w:pPr>
      <w:r>
        <w:rPr>
          <w:rFonts w:hint="eastAsia"/>
        </w:rPr>
        <w:t xml:space="preserve">2. </w:t>
      </w:r>
      <w:r>
        <w:rPr>
          <w:rFonts w:hint="eastAsia"/>
          <w:u w:val="single"/>
        </w:rPr>
        <w:t xml:space="preserve">（标的名称）</w:t>
      </w:r>
      <w:r>
        <w:rPr>
          <w:rFonts w:hint="eastAsia"/>
        </w:rPr>
        <w:t xml:space="preserve"> ，属于</w:t>
      </w:r>
      <w:r>
        <w:rPr>
          <w:u w:val="single"/>
        </w:rPr>
        <w:t xml:space="preserve">【</w:t>
      </w:r>
      <w:r>
        <w:rPr>
          <w:rFonts w:hint="eastAsia"/>
          <w:u w:val="single"/>
        </w:rPr>
        <w:t xml:space="preserve">其他未列明行业</w:t>
      </w:r>
      <w:r>
        <w:rPr>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00" w:lineRule="exact"/>
      </w:pPr>
      <w:r>
        <w:rPr>
          <w:rFonts w:hint="eastAsia"/>
        </w:rPr>
        <w:t xml:space="preserve">……</w:t>
      </w:r>
      <w:r/>
    </w:p>
    <w:p>
      <w:pPr>
        <w:ind w:firstLine="420"/>
        <w:jc w:val="left"/>
        <w:spacing w:line="400" w:lineRule="exact"/>
      </w:pPr>
      <w:r>
        <w:rPr>
          <w:rFonts w:hint="eastAsia"/>
        </w:rPr>
        <w:t xml:space="preserve">以上企业，不属于大企业的分支机构，不存在控股股东为大企业的情形，也不存在与大企业的负责人为同一人的情形。</w:t>
      </w:r>
      <w:r>
        <w:rPr>
          <w:rFonts w:hint="eastAsia"/>
        </w:rPr>
        <w:tab/>
      </w:r>
      <w:r/>
    </w:p>
    <w:p>
      <w:pPr>
        <w:ind w:firstLine="420"/>
        <w:jc w:val="left"/>
        <w:spacing w:line="400" w:lineRule="exact"/>
      </w:pPr>
      <w:r>
        <w:rPr>
          <w:rFonts w:hint="eastAsia"/>
        </w:rPr>
        <w:t xml:space="preserve">本企业对上述声明内容的真实性负责。如有虚假，将依法承担相应责任。</w:t>
      </w:r>
      <w:r/>
    </w:p>
    <w:p>
      <w:pPr>
        <w:ind w:firstLine="420"/>
        <w:jc w:val="left"/>
        <w:spacing w:line="400" w:lineRule="exact"/>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jc w:val="left"/>
        <w:spacing w:line="360" w:lineRule="auto"/>
        <w:rPr>
          <w:rFonts w:ascii="宋体" w:hAnsi="宋体"/>
        </w:rPr>
      </w:pPr>
      <w:r>
        <w:rPr>
          <w:rFonts w:hint="eastAsia" w:ascii="宋体" w:hAnsi="宋体"/>
        </w:rPr>
        <w:t xml:space="preserve">2、《中小企业声明函》不符合要求或未提供的，作如下处理：①如本项目专门面向中小企业采购，则投标（响应）文件无效；②如本项目不专门面向中小企业采购，则价格将不做相应扣除。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1094"/>
        <w:spacing w:before="300" w:after="300" w:line="360" w:lineRule="auto"/>
        <w:widowControl/>
        <w:rPr>
          <w:rFonts w:ascii="宋体" w:hAnsi="宋体" w:eastAsia="宋体"/>
          <w:bCs w:val="0"/>
          <w:sz w:val="28"/>
          <w:szCs w:val="28"/>
        </w:rPr>
      </w:pPr>
      <w:r>
        <w:rPr>
          <w:rFonts w:hint="eastAsia" w:ascii="宋体" w:hAnsi="宋体" w:eastAsia="宋体"/>
          <w:bCs w:val="0"/>
          <w:sz w:val="28"/>
          <w:szCs w:val="28"/>
        </w:rPr>
        <w:t xml:space="preserve">中小微企业划型标准 </w:t>
      </w:r>
      <w:r/>
    </w:p>
    <w:p>
      <w:pPr>
        <w:pStyle w:val="1116"/>
        <w:ind w:firstLine="420"/>
        <w:spacing w:before="300" w:after="452" w:line="360" w:lineRule="auto"/>
        <w:widowControl/>
        <w:rPr>
          <w:rFonts w:ascii="宋体" w:hAnsi="宋体"/>
          <w:sz w:val="21"/>
          <w:szCs w:val="21"/>
        </w:rPr>
      </w:pPr>
      <w:r>
        <w:rPr>
          <w:rFonts w:hint="eastAsia" w:ascii="宋体" w:hAnsi="宋体"/>
          <w:sz w:val="21"/>
          <w:szCs w:val="21"/>
        </w:rPr>
        <w:t xml:space="preserve">    </w:t>
      </w:r>
      <w:r>
        <w:rPr>
          <w:rStyle w:val="1121"/>
          <w:rFonts w:hint="eastAsia" w:ascii="宋体" w:hAnsi="宋体"/>
          <w:sz w:val="21"/>
          <w:szCs w:val="21"/>
        </w:rPr>
        <w:t xml:space="preserve">中小微企业划型标准如下：</w:t>
      </w:r>
      <w:r/>
    </w:p>
    <w:tbl>
      <w:tblPr>
        <w:tblStyle w:val="812"/>
        <w:tblW w:w="8781"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jc w:val="center"/>
          <w:tblCellSpacing w:w="15" w:type="dxa"/>
          <w:trHeight w:val="285"/>
        </w:trPr>
        <w:tc>
          <w:tcPr>
            <w:tcMar>
              <w:left w:w="105" w:type="dxa"/>
              <w:top w:w="0" w:type="dxa"/>
              <w:right w:w="105" w:type="dxa"/>
              <w:bottom w:w="0" w:type="dxa"/>
            </w:tcMar>
            <w:tcW w:w="1766"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行业名称</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指标名称</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计量单位</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中型</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小型</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微型</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农、林、牧、渔</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500≤Y＜20000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50≤Y＜500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工业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2000≤Y＜40000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300≤Y＜2000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建筑业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6000≤Y＜80000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300≤Y＜6000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Y＜300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5000≤Z＜80000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300≤Z＜5000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Z＜300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批发业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20≤X＜200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5≤X＜20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X＜5</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5000≤Y＜40000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1000≤Y＜5000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零售业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50≤X＜300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10≤X＜50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500≤Y＜20000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100≤Y＜500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交通运输业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3000≤Y＜30000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200≤Y＜3000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Y＜200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仓储业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100≤X＜200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1000≤Y＜30000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邮政业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X＜20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2000≤Y＜30000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住宿业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116"/>
              <w:ind w:firstLine="420"/>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餐饮业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信息传输业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100≤X＜2000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1000≤Y＜100000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1000≤Y＜10000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50≤Y＜1000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房地产开发经营</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1000≤Y＜200000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100≤X＜1000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5000≤Z＜10000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2000≤Y＜5000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Y＜2000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物业管理</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100≤X＜300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1000≤Y＜5000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500≤Y＜1000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Y＜500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r>
        <w:trPr>
          <w:jc w:val="cente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8000≤Z＜120000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100≤Z＜8000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Y＜100</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其他未列明行业</w:t>
            </w:r>
            <w:r/>
          </w:p>
        </w:tc>
        <w:tc>
          <w:tcPr>
            <w:tcMar>
              <w:left w:w="105" w:type="dxa"/>
              <w:top w:w="0" w:type="dxa"/>
              <w:right w:w="105" w:type="dxa"/>
              <w:bottom w:w="0" w:type="dxa"/>
            </w:tcMar>
            <w:tcW w:w="155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116"/>
              <w:jc w:val="center"/>
              <w:spacing w:after="150" w:line="300" w:lineRule="exact"/>
              <w:widowControl/>
              <w:rPr>
                <w:rStyle w:val="1121"/>
                <w:rFonts w:ascii="宋体" w:hAnsi="宋体"/>
                <w:sz w:val="21"/>
                <w:szCs w:val="21"/>
              </w:rPr>
            </w:pPr>
            <w:r>
              <w:rPr>
                <w:rStyle w:val="1121"/>
                <w:rFonts w:hint="eastAsia" w:ascii="宋体" w:hAnsi="宋体"/>
                <w:sz w:val="21"/>
                <w:szCs w:val="21"/>
              </w:rPr>
              <w:t xml:space="preserve">X＜10</w:t>
            </w:r>
            <w:r/>
          </w:p>
        </w:tc>
      </w:tr>
    </w:tbl>
    <w:p>
      <w:pPr>
        <w:pStyle w:val="1116"/>
        <w:ind w:firstLine="422"/>
        <w:jc w:val="center"/>
        <w:spacing w:before="300" w:after="452" w:line="360" w:lineRule="auto"/>
        <w:widowControl/>
        <w:rPr>
          <w:rStyle w:val="1121"/>
          <w:rFonts w:ascii="宋体" w:hAnsi="宋体"/>
          <w:sz w:val="21"/>
          <w:szCs w:val="21"/>
        </w:rPr>
      </w:pPr>
      <w:r>
        <w:rPr>
          <w:rStyle w:val="1121"/>
          <w:rFonts w:hint="eastAsia" w:ascii="宋体" w:hAnsi="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21"/>
          <w:rFonts w:ascii="宋体" w:hAnsi="宋体"/>
          <w:b w:val="0"/>
          <w:sz w:val="21"/>
          <w:szCs w:val="21"/>
        </w:rPr>
        <w:br w:type="page" w:clear="all"/>
      </w:r>
      <w:r>
        <w:rPr>
          <w:rFonts w:hint="eastAsia" w:ascii="宋体" w:hAnsi="宋体"/>
          <w:sz w:val="28"/>
          <w:szCs w:val="28"/>
        </w:rPr>
        <w:t xml:space="preserve">残疾人福利性单位声明函</w:t>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仿宋_GB2312" w:eastAsia="仿宋_GB2312"/>
          <w:spacing w:val="6"/>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jc w:val="left"/>
        <w:widowControl/>
        <w:rPr>
          <w:rFonts w:ascii="宋体" w:hAnsi="宋体"/>
          <w:b/>
          <w:bCs/>
        </w:rPr>
      </w:pPr>
      <w:r>
        <w:rPr>
          <w:rFonts w:ascii="宋体" w:hAnsi="宋体"/>
          <w:b/>
          <w:bCs/>
        </w:rPr>
      </w:r>
      <w:r/>
    </w:p>
    <w:p>
      <w:pPr>
        <w:rPr>
          <w:rFonts w:ascii="宋体" w:hAnsi="宋体"/>
          <w:sz w:val="32"/>
          <w:szCs w:val="32"/>
        </w:rPr>
      </w:pPr>
      <w:r>
        <w:rPr>
          <w:rFonts w:ascii="宋体" w:hAnsi="宋体"/>
          <w:sz w:val="32"/>
          <w:szCs w:val="32"/>
        </w:rPr>
      </w:r>
      <w:r/>
    </w:p>
    <w:p>
      <w:pPr>
        <w:pStyle w:val="1094"/>
        <w:ind w:firstLine="3213"/>
        <w:jc w:val="both"/>
        <w:spacing w:line="360" w:lineRule="auto"/>
        <w:rPr>
          <w:rFonts w:ascii="宋体" w:hAnsi="宋体" w:eastAsia="宋体"/>
          <w:bCs w:val="0"/>
          <w:sz w:val="32"/>
          <w:szCs w:val="32"/>
        </w:rPr>
      </w:pPr>
      <w:r>
        <w:rPr>
          <w:rFonts w:hint="eastAsia" w:ascii="宋体" w:hAnsi="宋体" w:eastAsia="宋体"/>
          <w:bCs w:val="0"/>
          <w:sz w:val="32"/>
          <w:szCs w:val="32"/>
        </w:rPr>
        <w:t xml:space="preserve">四、</w:t>
      </w:r>
      <w:r>
        <w:rPr>
          <w:rFonts w:hint="eastAsia" w:ascii="宋体" w:hAnsi="宋体" w:eastAsia="宋体"/>
          <w:sz w:val="32"/>
          <w:szCs w:val="32"/>
        </w:rPr>
        <w:t xml:space="preserve">开标一览表</w:t>
      </w:r>
      <w:r/>
    </w:p>
    <w:p>
      <w:pPr>
        <w:ind w:firstLine="480"/>
        <w:spacing w:line="360" w:lineRule="auto"/>
        <w:rPr>
          <w:rFonts w:ascii="宋体" w:hAnsi="宋体"/>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12"/>
        <w:tblW w:w="7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jc w:val="center"/>
          <w:trHeight w:val="1098"/>
        </w:trPr>
        <w:tc>
          <w:tcPr>
            <w:tcW w:w="1468" w:type="dxa"/>
            <w:vAlign w:val="center"/>
            <w:textDirection w:val="lrTb"/>
            <w:noWrap w:val="false"/>
          </w:tcPr>
          <w:p>
            <w:pPr>
              <w:pStyle w:val="1104"/>
              <w:spacing w:line="300" w:lineRule="auto"/>
              <w:rPr>
                <w:rFonts w:ascii="宋体" w:hAnsi="宋体" w:eastAsia="宋体"/>
                <w:sz w:val="21"/>
                <w:szCs w:val="21"/>
              </w:rPr>
            </w:pPr>
            <w:r>
              <w:rPr>
                <w:rFonts w:hint="eastAsia" w:ascii="宋体" w:hAnsi="宋体" w:eastAsia="宋体"/>
                <w:sz w:val="21"/>
                <w:szCs w:val="21"/>
              </w:rPr>
              <w:t xml:space="preserve"> 投标服务</w:t>
            </w:r>
            <w:r/>
          </w:p>
        </w:tc>
        <w:tc>
          <w:tcPr>
            <w:tcW w:w="6045" w:type="dxa"/>
            <w:vAlign w:val="center"/>
            <w:textDirection w:val="lrTb"/>
            <w:noWrap w:val="false"/>
          </w:tcPr>
          <w:p>
            <w:pPr>
              <w:jc w:val="center"/>
              <w:rPr>
                <w:rFonts w:ascii="宋体" w:hAnsi="宋体"/>
                <w:szCs w:val="21"/>
              </w:rPr>
            </w:pPr>
            <w:r>
              <w:rPr>
                <w:rFonts w:hint="eastAsia" w:ascii="宋体" w:hAnsi="宋体"/>
                <w:szCs w:val="21"/>
              </w:rPr>
              <w:t xml:space="preserve">投标报价（元）</w:t>
            </w:r>
            <w:r/>
          </w:p>
        </w:tc>
      </w:tr>
      <w:tr>
        <w:trPr>
          <w:cantSplit/>
          <w:jc w:val="center"/>
          <w:trHeight w:val="1697"/>
        </w:trPr>
        <w:tc>
          <w:tcPr>
            <w:tcW w:w="1468" w:type="dxa"/>
            <w:vAlign w:val="center"/>
            <w:textDirection w:val="lrTb"/>
            <w:noWrap w:val="false"/>
          </w:tcPr>
          <w:p>
            <w:pPr>
              <w:pStyle w:val="1104"/>
              <w:spacing w:line="300" w:lineRule="auto"/>
              <w:rPr>
                <w:rFonts w:ascii="宋体" w:hAnsi="宋体" w:eastAsia="宋体"/>
                <w:sz w:val="21"/>
                <w:szCs w:val="21"/>
              </w:rPr>
            </w:pPr>
            <w:r>
              <w:rPr>
                <w:rFonts w:ascii="宋体" w:hAnsi="宋体" w:eastAsia="宋体"/>
                <w:sz w:val="21"/>
                <w:szCs w:val="21"/>
              </w:rPr>
            </w:r>
            <w:r/>
          </w:p>
        </w:tc>
        <w:tc>
          <w:tcPr>
            <w:tcW w:w="6045" w:type="dxa"/>
            <w:vAlign w:val="center"/>
            <w:textDirection w:val="lrTb"/>
            <w:noWrap w:val="false"/>
          </w:tcPr>
          <w:p>
            <w:pPr>
              <w:pStyle w:val="1131"/>
              <w:ind w:firstLine="0"/>
              <w:spacing w:before="0" w:after="0" w:line="500" w:lineRule="exact"/>
              <w:rPr>
                <w:rFonts w:ascii="宋体" w:hAnsi="宋体"/>
                <w:sz w:val="21"/>
                <w:szCs w:val="21"/>
              </w:rPr>
            </w:pPr>
            <w:r>
              <w:rPr>
                <w:rFonts w:hint="eastAsia" w:ascii="宋体" w:hAnsi="宋体"/>
                <w:sz w:val="21"/>
                <w:szCs w:val="21"/>
              </w:rPr>
              <w:t xml:space="preserve">大写：                   </w:t>
            </w:r>
            <w:r/>
          </w:p>
          <w:p>
            <w:pPr>
              <w:pStyle w:val="1131"/>
              <w:ind w:firstLine="0"/>
              <w:spacing w:before="0" w:after="0" w:line="500" w:lineRule="exact"/>
              <w:rPr>
                <w:rFonts w:ascii="宋体" w:hAnsi="宋体"/>
                <w:sz w:val="21"/>
                <w:szCs w:val="21"/>
              </w:rPr>
            </w:pPr>
            <w:r>
              <w:rPr>
                <w:rFonts w:hint="eastAsia" w:ascii="宋体" w:hAnsi="宋体"/>
                <w:sz w:val="21"/>
                <w:szCs w:val="21"/>
              </w:rPr>
              <w:t xml:space="preserve">小写：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094"/>
        <w:ind w:firstLine="2108"/>
        <w:jc w:val="both"/>
        <w:rPr>
          <w:rFonts w:ascii="宋体" w:hAnsi="宋体" w:eastAsia="宋体"/>
          <w:bCs w:val="0"/>
          <w:sz w:val="21"/>
          <w:szCs w:val="21"/>
        </w:rPr>
      </w:pPr>
      <w:r>
        <w:rPr>
          <w:rFonts w:ascii="宋体" w:hAnsi="宋体" w:eastAsia="宋体"/>
          <w:bCs w:val="0"/>
          <w:sz w:val="21"/>
          <w:szCs w:val="21"/>
        </w:rPr>
      </w:r>
      <w:r/>
    </w:p>
    <w:p>
      <w:pPr>
        <w:pStyle w:val="1094"/>
        <w:numPr>
          <w:ilvl w:val="0"/>
          <w:numId w:val="9"/>
        </w:numPr>
        <w:rPr>
          <w:rFonts w:ascii="宋体" w:hAnsi="宋体"/>
          <w:sz w:val="32"/>
          <w:szCs w:val="32"/>
        </w:rPr>
      </w:pPr>
      <w:r>
        <w:rPr>
          <w:rFonts w:hint="eastAsia" w:ascii="宋体" w:hAnsi="宋体" w:eastAsia="宋体"/>
          <w:sz w:val="28"/>
          <w:szCs w:val="28"/>
        </w:rPr>
        <w:t xml:space="preserve">分项报价表（如有）</w:t>
      </w:r>
      <w:r/>
    </w:p>
    <w:p>
      <w:pPr>
        <w:ind w:firstLine="480"/>
        <w:spacing w:line="360" w:lineRule="auto"/>
        <w:rPr>
          <w:rFonts w:ascii="宋体" w:hAnsi="宋体"/>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12"/>
        <w:tblW w:w="8626" w:type="dxa"/>
        <w:tblInd w:w="-358"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1530"/>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ascii="宋体" w:hAnsi="宋体"/>
              </w:rPr>
            </w:pPr>
            <w:r>
              <w:rPr>
                <w:rFonts w:hint="eastAsia"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auto"/>
              <w:widowControl/>
              <w:rPr>
                <w:rFonts w:ascii="宋体" w:hAnsi="宋体"/>
              </w:rPr>
            </w:pPr>
            <w:r>
              <w:rPr>
                <w:rFonts w:hint="eastAsia" w:ascii="宋体" w:hAnsi="宋体"/>
              </w:rPr>
              <w:t xml:space="preserve">项目</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rPr>
            </w:pPr>
            <w:r>
              <w:rPr>
                <w:rFonts w:hint="eastAsia" w:ascii="宋体" w:hAnsi="宋体"/>
              </w:rPr>
              <w:t xml:space="preserve">数量</w:t>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auto"/>
              <w:widowControl/>
              <w:rPr>
                <w:rFonts w:ascii="宋体" w:hAnsi="宋体"/>
              </w:rPr>
            </w:pPr>
            <w:r>
              <w:rPr>
                <w:rFonts w:hint="eastAsia" w:ascii="宋体" w:hAnsi="宋体"/>
              </w:rPr>
              <w:t xml:space="preserve">单价</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rPr>
            </w:pPr>
            <w:r>
              <w:rPr>
                <w:rFonts w:hint="eastAsia" w:ascii="宋体" w:hAnsi="宋体"/>
              </w:rPr>
              <w:t xml:space="preserve">总价</w:t>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备注</w:t>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rPr>
            </w:pPr>
            <w:r>
              <w:rPr>
                <w:rFonts w:hint="eastAsia" w:ascii="宋体" w:hAnsi="宋体"/>
              </w:rPr>
              <w:t xml:space="preserve">　</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jc w:val="left"/>
              <w:spacing w:line="280" w:lineRule="exact"/>
              <w:widowControl/>
              <w:rPr>
                <w:rFonts w:ascii="宋体" w:hAnsi="宋体"/>
                <w:szCs w:val="21"/>
              </w:rPr>
            </w:pPr>
            <w:r>
              <w:rPr>
                <w:rFonts w:ascii="宋体" w:hAnsi="宋体"/>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rPr>
            </w:pPr>
            <w:r>
              <w:rPr>
                <w:rFonts w:hint="eastAsia" w:ascii="宋体" w:hAnsi="宋体"/>
              </w:rPr>
              <w:t xml:space="preserve">2</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szCs w:val="24"/>
              </w:rPr>
            </w:pP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exact"/>
              <w:widowControl/>
              <w:rPr>
                <w:rFonts w:ascii="宋体" w:hAnsi="宋体"/>
                <w:szCs w:val="24"/>
              </w:rPr>
            </w:pPr>
            <w:r>
              <w:rPr>
                <w:rFonts w:ascii="宋体" w:hAnsi="宋体"/>
                <w:szCs w:val="24"/>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rPr>
            </w:pPr>
            <w:r>
              <w:rPr>
                <w:rFonts w:hint="eastAsia" w:ascii="宋体" w:hAnsi="宋体"/>
              </w:rPr>
              <w:t xml:space="preserve">3</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szCs w:val="24"/>
              </w:rPr>
            </w:pP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exact"/>
              <w:widowControl/>
              <w:rPr>
                <w:rFonts w:ascii="宋体" w:hAnsi="宋体"/>
                <w:szCs w:val="24"/>
              </w:rPr>
            </w:pPr>
            <w:r>
              <w:rPr>
                <w:rFonts w:ascii="宋体" w:hAnsi="宋体"/>
                <w:szCs w:val="24"/>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rPr>
            </w:pPr>
            <w:r>
              <w:rPr>
                <w:rFonts w:hint="eastAsia" w:ascii="宋体" w:hAnsi="宋体"/>
              </w:rPr>
              <w:t xml:space="preserve">4</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szCs w:val="24"/>
              </w:rPr>
            </w:pP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exact"/>
              <w:widowControl/>
              <w:rPr>
                <w:rFonts w:ascii="宋体" w:hAnsi="宋体"/>
                <w:szCs w:val="24"/>
              </w:rPr>
            </w:pPr>
            <w:r>
              <w:rPr>
                <w:rFonts w:ascii="宋体" w:hAnsi="宋体"/>
                <w:szCs w:val="24"/>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280" w:lineRule="exact"/>
              <w:widowControl/>
              <w:rPr>
                <w:rFonts w:ascii="宋体" w:hAnsi="宋体"/>
              </w:rPr>
            </w:pPr>
            <w:r>
              <w:rPr>
                <w:rFonts w:hint="eastAsia" w:ascii="宋体" w:hAnsi="宋体"/>
              </w:rPr>
              <w:t xml:space="preserve">合计</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left"/>
              <w:spacing w:line="280" w:lineRule="exact"/>
              <w:widowControl/>
              <w:rPr>
                <w:rFonts w:ascii="宋体" w:hAnsi="宋体"/>
                <w:szCs w:val="21"/>
              </w:rPr>
            </w:pPr>
            <w:r>
              <w:rPr>
                <w:rFonts w:ascii="宋体" w:hAnsi="宋体"/>
                <w:szCs w:val="21"/>
              </w:rPr>
            </w:r>
            <w:r/>
          </w:p>
        </w:tc>
      </w:tr>
    </w:tbl>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095"/>
      </w:pPr>
      <w:r>
        <w:rPr>
          <w:rFonts w:hint="eastAsia"/>
        </w:rPr>
        <w:br w:type="page" w:clear="all"/>
      </w:r>
      <w:r/>
    </w:p>
    <w:p>
      <w:pPr>
        <w:pStyle w:val="1094"/>
        <w:numPr>
          <w:ilvl w:val="0"/>
          <w:numId w:val="9"/>
        </w:numPr>
        <w:rPr>
          <w:rFonts w:ascii="宋体" w:hAnsi="宋体" w:eastAsia="宋体"/>
          <w:sz w:val="28"/>
          <w:szCs w:val="28"/>
        </w:rPr>
      </w:pPr>
      <w:r>
        <w:rPr>
          <w:rFonts w:hint="eastAsia" w:ascii="宋体" w:hAnsi="宋体" w:eastAsia="宋体"/>
          <w:sz w:val="28"/>
          <w:szCs w:val="28"/>
        </w:rPr>
        <w:t xml:space="preserve">技术参数响应及偏离表</w:t>
      </w:r>
      <w:r/>
    </w:p>
    <w:tbl>
      <w:tblPr>
        <w:tblStyle w:val="812"/>
        <w:tblW w:w="84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147"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330"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2031"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08"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rPr>
                <w:rFonts w:ascii="宋体" w:hAnsi="宋体"/>
                <w:szCs w:val="21"/>
              </w:rPr>
            </w:pPr>
            <w:r>
              <w:rPr>
                <w:rFonts w:ascii="宋体" w:hAnsi="宋体"/>
                <w:szCs w:val="21"/>
              </w:rPr>
            </w:r>
            <w:r/>
          </w:p>
        </w:tc>
        <w:tc>
          <w:tcPr>
            <w:tcW w:w="2147" w:type="dxa"/>
            <w:textDirection w:val="lrTb"/>
            <w:noWrap w:val="false"/>
          </w:tcPr>
          <w:p>
            <w:pPr>
              <w:jc w:val="center"/>
              <w:rPr>
                <w:rFonts w:ascii="宋体" w:hAnsi="宋体"/>
                <w:szCs w:val="21"/>
              </w:rPr>
            </w:pPr>
            <w:r>
              <w:rPr>
                <w:rFonts w:ascii="宋体" w:hAnsi="宋体"/>
                <w:szCs w:val="21"/>
              </w:rPr>
            </w:r>
            <w:r/>
          </w:p>
        </w:tc>
        <w:tc>
          <w:tcPr>
            <w:tcW w:w="2330" w:type="dxa"/>
            <w:textDirection w:val="lrTb"/>
            <w:noWrap w:val="false"/>
          </w:tcPr>
          <w:p>
            <w:pPr>
              <w:jc w:val="center"/>
              <w:rPr>
                <w:rFonts w:ascii="宋体" w:hAnsi="宋体"/>
                <w:szCs w:val="21"/>
              </w:rPr>
            </w:pPr>
            <w:r>
              <w:rPr>
                <w:rFonts w:ascii="宋体" w:hAnsi="宋体"/>
                <w:szCs w:val="21"/>
              </w:rPr>
            </w:r>
            <w:r/>
          </w:p>
        </w:tc>
        <w:tc>
          <w:tcPr>
            <w:tcW w:w="2031" w:type="dxa"/>
            <w:textDirection w:val="lrTb"/>
            <w:noWrap w:val="false"/>
          </w:tcPr>
          <w:p>
            <w:pPr>
              <w:jc w:val="center"/>
              <w:rPr>
                <w:rFonts w:ascii="宋体" w:hAnsi="宋体"/>
                <w:szCs w:val="21"/>
              </w:rPr>
            </w:pPr>
            <w:r>
              <w:rPr>
                <w:rFonts w:ascii="宋体" w:hAnsi="宋体"/>
                <w:szCs w:val="21"/>
              </w:rPr>
            </w:r>
            <w:r/>
          </w:p>
        </w:tc>
        <w:tc>
          <w:tcPr>
            <w:tcW w:w="1108" w:type="dxa"/>
            <w:textDirection w:val="lrTb"/>
            <w:noWrap w:val="false"/>
          </w:tcPr>
          <w:p>
            <w:pPr>
              <w:jc w:val="center"/>
              <w:rPr>
                <w:rFonts w:ascii="宋体" w:hAnsi="宋体"/>
                <w:szCs w:val="21"/>
              </w:rPr>
            </w:pPr>
            <w:r>
              <w:rPr>
                <w:rFonts w:ascii="宋体" w:hAnsi="宋体"/>
                <w:szCs w:val="21"/>
              </w:rPr>
            </w:r>
            <w:r/>
          </w:p>
        </w:tc>
      </w:tr>
    </w:tbl>
    <w:p>
      <w:pPr>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rPr>
          <w:rFonts w:ascii="黑体" w:hAnsi="Arial" w:eastAsia="黑体"/>
          <w:b/>
          <w:sz w:val="36"/>
        </w:rPr>
      </w:pPr>
      <w:r>
        <w:rPr>
          <w:rFonts w:ascii="黑体" w:hAnsi="Arial" w:eastAsia="黑体"/>
          <w:b/>
          <w:sz w:val="36"/>
        </w:rPr>
      </w:r>
      <w:r/>
    </w:p>
    <w:p>
      <w:pPr>
        <w:pStyle w:val="817"/>
      </w:pPr>
      <w:r/>
      <w:r/>
    </w:p>
    <w:p>
      <w:pPr>
        <w:jc w:val="center"/>
        <w:rPr>
          <w:rFonts w:ascii="黑体" w:hAnsi="Arial" w:eastAsia="黑体"/>
          <w:sz w:val="32"/>
        </w:rPr>
      </w:pPr>
      <w:r/>
      <w:bookmarkStart w:id="26" w:name="_Hlt26955054"/>
      <w:r/>
      <w:bookmarkEnd w:id="26"/>
      <w:r/>
      <w:bookmarkStart w:id="27" w:name="_Toc113352363"/>
      <w:r>
        <w:rPr>
          <w:rFonts w:hint="eastAsia" w:ascii="宋体" w:hAnsi="宋体"/>
          <w:b/>
          <w:bCs/>
          <w:sz w:val="28"/>
          <w:szCs w:val="28"/>
        </w:rPr>
        <w:t xml:space="preserve">七、商务条款响应及偏离表</w:t>
      </w:r>
      <w:bookmarkEnd w:id="27"/>
      <w:r/>
      <w:r/>
    </w:p>
    <w:tbl>
      <w:tblPr>
        <w:tblStyle w:val="812"/>
        <w:tblW w:w="8301"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项目</w:t>
            </w:r>
            <w:r/>
          </w:p>
        </w:tc>
        <w:tc>
          <w:tcPr>
            <w:tcW w:w="2502"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采购文件要求</w:t>
            </w:r>
            <w:r/>
          </w:p>
        </w:tc>
        <w:tc>
          <w:tcPr>
            <w:tcW w:w="1837"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是否响应</w:t>
            </w:r>
            <w:r/>
          </w:p>
        </w:tc>
        <w:tc>
          <w:tcPr>
            <w:tcW w:w="2324"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付款方式</w:t>
            </w:r>
            <w:r/>
          </w:p>
        </w:tc>
        <w:tc>
          <w:tcPr>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其他</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817"/>
      </w:pPr>
      <w:r/>
      <w:r/>
    </w:p>
    <w:p>
      <w:pPr>
        <w:pStyle w:val="817"/>
      </w:pPr>
      <w:r/>
      <w:r/>
    </w:p>
    <w:p>
      <w:pPr>
        <w:pStyle w:val="817"/>
      </w:pPr>
      <w:r/>
      <w:r/>
    </w:p>
    <w:p>
      <w:pPr>
        <w:jc w:val="center"/>
        <w:widowControl/>
        <w:rPr>
          <w:rFonts w:ascii="宋体" w:hAnsi="宋体"/>
          <w:b/>
        </w:rPr>
      </w:pPr>
      <w:r/>
      <w:bookmarkStart w:id="28" w:name="_Hlt26609389"/>
      <w:r/>
      <w:bookmarkEnd w:id="28"/>
      <w:r/>
      <w:bookmarkStart w:id="29" w:name="_Hlt26955066"/>
      <w:r/>
      <w:bookmarkEnd w:id="29"/>
      <w:r/>
      <w:bookmarkStart w:id="30" w:name="_Hlt26671374"/>
      <w:r/>
      <w:bookmarkEnd w:id="30"/>
      <w:r>
        <w:rPr>
          <w:rFonts w:hint="eastAsia" w:ascii="宋体" w:hAnsi="宋体"/>
          <w:b/>
          <w:sz w:val="28"/>
          <w:szCs w:val="28"/>
        </w:rPr>
        <w:t xml:space="preserve">主要标的信息（中标后将公示）</w:t>
      </w:r>
      <w:r/>
    </w:p>
    <w:p>
      <w:pPr>
        <w:spacing w:after="312" w:line="360" w:lineRule="auto"/>
        <w:rPr>
          <w:rFonts w:ascii="宋体" w:hAnsi="宋体"/>
        </w:rPr>
      </w:pPr>
      <w:r>
        <w:rPr>
          <w:rFonts w:hint="eastAsia" w:ascii="宋体" w:hAnsi="宋体"/>
        </w:rPr>
        <w:t xml:space="preserve">投标人全称：</w:t>
      </w:r>
      <w:r/>
    </w:p>
    <w:tbl>
      <w:tblPr>
        <w:tblStyle w:val="812"/>
        <w:tblW w:w="81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5"/>
      </w:tblGrid>
      <w:tr>
        <w:trPr/>
        <w:tc>
          <w:tcPr>
            <w:tcW w:w="8165" w:type="dxa"/>
            <w:textDirection w:val="lrTb"/>
            <w:noWrap w:val="false"/>
          </w:tcPr>
          <w:p>
            <w:pPr>
              <w:jc w:val="center"/>
              <w:rPr>
                <w:rFonts w:ascii="宋体" w:hAnsi="宋体"/>
              </w:rPr>
            </w:pPr>
            <w:r>
              <w:rPr>
                <w:rFonts w:hint="eastAsia" w:ascii="宋体" w:hAnsi="宋体"/>
              </w:rPr>
              <w:t xml:space="preserve">服务类</w:t>
            </w:r>
            <w:r/>
          </w:p>
        </w:tc>
      </w:tr>
      <w:tr>
        <w:trPr>
          <w:trHeight w:val="4810"/>
        </w:trPr>
        <w:tc>
          <w:tcPr>
            <w:tcW w:w="8165" w:type="dxa"/>
            <w:textDirection w:val="lrTb"/>
            <w:noWrap w:val="false"/>
          </w:tcPr>
          <w:p>
            <w:pPr>
              <w:spacing w:line="360" w:lineRule="auto"/>
              <w:rPr>
                <w:rFonts w:ascii="宋体" w:hAnsi="宋体"/>
              </w:rPr>
            </w:pPr>
            <w:r>
              <w:rPr>
                <w:rFonts w:hint="eastAsia" w:ascii="宋体" w:hAnsi="宋体"/>
              </w:rPr>
              <w:t xml:space="preserve">名称：</w:t>
            </w:r>
            <w:r/>
          </w:p>
          <w:p>
            <w:pPr>
              <w:spacing w:line="360" w:lineRule="auto"/>
              <w:rPr>
                <w:rFonts w:ascii="宋体" w:hAnsi="宋体"/>
              </w:rPr>
            </w:pPr>
            <w:r>
              <w:rPr>
                <w:rFonts w:hint="eastAsia" w:ascii="宋体" w:hAnsi="宋体"/>
              </w:rPr>
              <w:t xml:space="preserve">服务范围：</w:t>
            </w:r>
            <w:r/>
          </w:p>
          <w:p>
            <w:pPr>
              <w:spacing w:line="360" w:lineRule="auto"/>
              <w:rPr>
                <w:rFonts w:ascii="宋体" w:hAnsi="宋体"/>
              </w:rPr>
            </w:pPr>
            <w:r>
              <w:rPr>
                <w:rFonts w:hint="eastAsia" w:ascii="宋体" w:hAnsi="宋体"/>
              </w:rPr>
              <w:t xml:space="preserve">服务要求：</w:t>
            </w:r>
            <w:r/>
          </w:p>
          <w:p>
            <w:pPr>
              <w:spacing w:line="360" w:lineRule="auto"/>
              <w:rPr>
                <w:rFonts w:ascii="宋体" w:hAnsi="宋体"/>
              </w:rPr>
            </w:pPr>
            <w:r>
              <w:rPr>
                <w:rFonts w:hint="eastAsia" w:ascii="宋体" w:hAnsi="宋体"/>
              </w:rPr>
              <w:t xml:space="preserve">服务时间：</w:t>
            </w:r>
            <w:r/>
          </w:p>
          <w:p>
            <w:pPr>
              <w:spacing w:line="360" w:lineRule="auto"/>
              <w:rPr>
                <w:rFonts w:ascii="宋体" w:hAnsi="宋体"/>
              </w:rPr>
            </w:pPr>
            <w:r>
              <w:rPr>
                <w:rFonts w:hint="eastAsia" w:ascii="宋体" w:hAnsi="宋体"/>
              </w:rPr>
              <w:t xml:space="preserve">服务标准：</w:t>
            </w:r>
            <w:r/>
          </w:p>
        </w:tc>
      </w:tr>
    </w:tbl>
    <w:p>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ˎ̥">
    <w:panose1 w:val="020B05030202020202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2416529"/>
      <w:rPr/>
    </w:sdtPr>
    <w:sdtContent>
      <w:p>
        <w:pPr>
          <w:pStyle w:val="826"/>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31882779"/>
      <w:rPr/>
    </w:sdtPr>
    <w:sdtContent>
      <w:p>
        <w:pPr>
          <w:pStyle w:val="826"/>
          <w:jc w:val="center"/>
        </w:pPr>
        <w:r>
          <w:fldChar w:fldCharType="begin"/>
        </w:r>
        <w:r>
          <w:instrText xml:space="preserve">PAGE   \* MERGEFORMAT</w:instrText>
        </w:r>
        <w:r>
          <w:fldChar w:fldCharType="separate"/>
        </w:r>
        <w:r>
          <w:rPr>
            <w:lang w:val="zh-CN"/>
          </w:rPr>
          <w:t xml:space="preserve">3</w:t>
        </w:r>
        <w:r>
          <w:fldChar w:fldCharType="end"/>
        </w:r>
        <w:r/>
      </w:p>
    </w:sdtContent>
  </w:sdt>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4430603"/>
      <w:rPr/>
    </w:sdtPr>
    <w:sdtContent>
      <w:p>
        <w:pPr>
          <w:pStyle w:val="826"/>
          <w:jc w:val="center"/>
        </w:pPr>
        <w:r>
          <w:fldChar w:fldCharType="begin"/>
        </w:r>
        <w:r>
          <w:instrText xml:space="preserve">PAGE   \* MERGEFORMAT</w:instrText>
        </w:r>
        <w:r>
          <w:fldChar w:fldCharType="separate"/>
        </w:r>
        <w:r>
          <w:rPr>
            <w:lang w:val="zh-CN"/>
          </w:rPr>
          <w:t xml:space="preserve">43</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97410801"/>
      <w:rPr/>
    </w:sdtPr>
    <w:sdtContent>
      <w:p>
        <w:pPr>
          <w:pStyle w:val="826"/>
          <w:jc w:val="center"/>
        </w:pPr>
        <w:r>
          <w:fldChar w:fldCharType="begin"/>
        </w:r>
        <w:r>
          <w:instrText xml:space="preserve">PAGE   \* MERGEFORMAT</w:instrText>
        </w:r>
        <w:r>
          <w:fldChar w:fldCharType="separate"/>
        </w:r>
        <w:r>
          <w:rPr>
            <w:lang w:val="zh-CN"/>
          </w:rPr>
          <w:t xml:space="preserve">47</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6194709"/>
      <w:rPr/>
    </w:sdtPr>
    <w:sdtContent>
      <w:p>
        <w:pPr>
          <w:pStyle w:val="826"/>
          <w:jc w:val="center"/>
        </w:pPr>
        <w:r>
          <w:fldChar w:fldCharType="begin"/>
        </w:r>
        <w:r>
          <w:instrText xml:space="preserve">PAGE   \* MERGEFORMAT</w:instrText>
        </w:r>
        <w:r>
          <w:fldChar w:fldCharType="separate"/>
        </w:r>
        <w:r>
          <w:rPr>
            <w:lang w:val="zh-CN"/>
          </w:rPr>
          <w:t xml:space="preserve">56</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lear" w:pos="4153" w:leader="none"/>
        <w:tab w:val="clear" w:pos="8306" w:leader="none"/>
      </w:tabs>
    </w:pPr>
    <w:r>
      <w:rPr>
        <w:rFonts w:hint="eastAsia"/>
        <w:lang w:eastAsia="zh-CN"/>
      </w:rPr>
      <w:t xml:space="preserve">JSZC-321000-SWGC-G2026-0018号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lear" w:pos="4153" w:leader="none"/>
        <w:tab w:val="clear" w:pos="8306" w:leader="none"/>
      </w:tabs>
    </w:pPr>
    <w:r>
      <w:rPr>
        <w:rFonts w:hint="eastAsia"/>
        <w:lang w:eastAsia="zh-CN"/>
      </w:rPr>
      <w:t xml:space="preserve">JSZC-321000-SWGC-G2026-0018号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lear" w:pos="4153" w:leader="none"/>
        <w:tab w:val="clear" w:pos="8306" w:leader="none"/>
      </w:tabs>
    </w:pPr>
    <w:r>
      <w:rPr>
        <w:rFonts w:hint="eastAsia"/>
        <w:lang w:eastAsia="zh-CN"/>
      </w:rPr>
      <w:t xml:space="preserve">JSZC-321000-SWGC-G2026-0018号</w:t>
    </w:r>
    <w:r>
      <w:rPr>
        <w:rFonts w:hint="eastAsia"/>
      </w:rPr>
      <w:t xml:space="preserve">                                      江苏苏维工程管理有限公司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lear" w:pos="4153" w:leader="none"/>
        <w:tab w:val="clear" w:pos="8306" w:leader="none"/>
      </w:tabs>
    </w:pPr>
    <w:r>
      <w:rPr>
        <w:rFonts w:hint="eastAsia"/>
        <w:lang w:eastAsia="zh-CN"/>
      </w:rPr>
      <w:t xml:space="preserve">JSZC-321000-SWGC-G2026-0018号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4"/>
  </w:num>
  <w:num w:numId="5">
    <w:abstractNumId w:val="5"/>
  </w:num>
  <w:num w:numId="6">
    <w:abstractNumId w:val="3"/>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2">
    <w:name w:val="Heading 1"/>
    <w:basedOn w:val="801"/>
    <w:next w:val="801"/>
    <w:link w:val="860"/>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61"/>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62"/>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63"/>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64"/>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65"/>
    <w:uiPriority w:val="9"/>
    <w:unhideWhenUsed/>
    <w:qFormat/>
    <w:pPr>
      <w:keepLines/>
      <w:keepNext/>
      <w:spacing w:before="320" w:after="200"/>
      <w:outlineLvl w:val="5"/>
    </w:pPr>
    <w:rPr>
      <w:rFonts w:ascii="Arial" w:hAnsi="Arial" w:eastAsia="Arial" w:cs="Arial"/>
      <w:b/>
      <w:bCs/>
      <w:sz w:val="22"/>
    </w:rPr>
  </w:style>
  <w:style w:type="paragraph" w:styleId="808">
    <w:name w:val="Heading 7"/>
    <w:basedOn w:val="801"/>
    <w:next w:val="801"/>
    <w:link w:val="866"/>
    <w:uiPriority w:val="9"/>
    <w:unhideWhenUsed/>
    <w:qFormat/>
    <w:pPr>
      <w:keepLines/>
      <w:keepNext/>
      <w:spacing w:before="320" w:after="200"/>
      <w:outlineLvl w:val="6"/>
    </w:pPr>
    <w:rPr>
      <w:rFonts w:ascii="Arial" w:hAnsi="Arial" w:eastAsia="Arial" w:cs="Arial"/>
      <w:b/>
      <w:bCs/>
      <w:i/>
      <w:iCs/>
      <w:sz w:val="22"/>
    </w:rPr>
  </w:style>
  <w:style w:type="paragraph" w:styleId="809">
    <w:name w:val="Heading 8"/>
    <w:basedOn w:val="801"/>
    <w:next w:val="801"/>
    <w:link w:val="867"/>
    <w:uiPriority w:val="9"/>
    <w:unhideWhenUsed/>
    <w:qFormat/>
    <w:pPr>
      <w:keepLines/>
      <w:keepNext/>
      <w:spacing w:before="320" w:after="200"/>
      <w:outlineLvl w:val="7"/>
    </w:pPr>
    <w:rPr>
      <w:rFonts w:ascii="Arial" w:hAnsi="Arial" w:eastAsia="Arial" w:cs="Arial"/>
      <w:i/>
      <w:iCs/>
      <w:sz w:val="22"/>
    </w:rPr>
  </w:style>
  <w:style w:type="paragraph" w:styleId="810">
    <w:name w:val="Heading 9"/>
    <w:basedOn w:val="801"/>
    <w:next w:val="801"/>
    <w:link w:val="868"/>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annotation text"/>
    <w:basedOn w:val="801"/>
    <w:link w:val="1146"/>
    <w:uiPriority w:val="0"/>
    <w:qFormat/>
    <w:pPr>
      <w:jc w:val="left"/>
    </w:pPr>
  </w:style>
  <w:style w:type="paragraph" w:styleId="816">
    <w:name w:val="Body Text"/>
    <w:basedOn w:val="801"/>
    <w:next w:val="817"/>
    <w:uiPriority w:val="0"/>
    <w:qFormat/>
    <w:rPr>
      <w:rFonts w:ascii="楷体_GB2312" w:hAnsi="Arial" w:eastAsia="楷体_GB2312"/>
      <w:sz w:val="28"/>
      <w:szCs w:val="20"/>
    </w:rPr>
  </w:style>
  <w:style w:type="paragraph" w:styleId="817">
    <w:name w:val="Body Text 2"/>
    <w:basedOn w:val="801"/>
    <w:uiPriority w:val="0"/>
    <w:qFormat/>
    <w:pPr>
      <w:jc w:val="center"/>
    </w:pPr>
    <w:rPr>
      <w:rFonts w:ascii="仿宋_GB2312" w:eastAsia="仿宋_GB2312"/>
      <w:sz w:val="44"/>
    </w:rPr>
  </w:style>
  <w:style w:type="paragraph" w:styleId="818">
    <w:name w:val="Body Text Indent"/>
    <w:basedOn w:val="801"/>
    <w:next w:val="819"/>
    <w:uiPriority w:val="99"/>
    <w:unhideWhenUsed/>
    <w:qFormat/>
    <w:pPr>
      <w:ind w:firstLine="540"/>
      <w:spacing w:line="400" w:lineRule="exact"/>
    </w:pPr>
    <w:rPr>
      <w:sz w:val="24"/>
    </w:rPr>
  </w:style>
  <w:style w:type="paragraph" w:styleId="819">
    <w:name w:val="envelope return"/>
    <w:basedOn w:val="801"/>
    <w:uiPriority w:val="0"/>
    <w:qFormat/>
    <w:rPr>
      <w:rFonts w:ascii="Arial" w:hAnsi="Arial"/>
    </w:rPr>
  </w:style>
  <w:style w:type="paragraph" w:styleId="820">
    <w:name w:val="toc 5"/>
    <w:basedOn w:val="801"/>
    <w:next w:val="801"/>
    <w:uiPriority w:val="39"/>
    <w:unhideWhenUsed/>
    <w:qFormat/>
    <w:pPr>
      <w:ind w:left="1134"/>
      <w:spacing w:after="57"/>
    </w:pPr>
  </w:style>
  <w:style w:type="paragraph" w:styleId="821">
    <w:name w:val="toc 3"/>
    <w:basedOn w:val="801"/>
    <w:next w:val="801"/>
    <w:uiPriority w:val="39"/>
    <w:unhideWhenUsed/>
    <w:qFormat/>
    <w:pPr>
      <w:ind w:left="567"/>
      <w:spacing w:after="57"/>
    </w:pPr>
  </w:style>
  <w:style w:type="paragraph" w:styleId="822">
    <w:name w:val="Plain Text"/>
    <w:basedOn w:val="801"/>
    <w:uiPriority w:val="0"/>
    <w:qFormat/>
    <w:rPr>
      <w:rFonts w:ascii="宋体" w:hAnsi="Courier New"/>
      <w:sz w:val="20"/>
      <w:szCs w:val="21"/>
    </w:rPr>
  </w:style>
  <w:style w:type="paragraph" w:styleId="823">
    <w:name w:val="toc 8"/>
    <w:basedOn w:val="801"/>
    <w:next w:val="801"/>
    <w:uiPriority w:val="39"/>
    <w:unhideWhenUsed/>
    <w:qFormat/>
    <w:pPr>
      <w:ind w:left="1984"/>
      <w:spacing w:after="57"/>
    </w:pPr>
  </w:style>
  <w:style w:type="paragraph" w:styleId="824">
    <w:name w:val="endnote text"/>
    <w:basedOn w:val="801"/>
    <w:link w:val="895"/>
    <w:uiPriority w:val="99"/>
    <w:semiHidden/>
    <w:unhideWhenUsed/>
    <w:qFormat/>
    <w:rPr>
      <w:sz w:val="20"/>
    </w:rPr>
  </w:style>
  <w:style w:type="paragraph" w:styleId="825">
    <w:name w:val="Balloon Text"/>
    <w:basedOn w:val="801"/>
    <w:link w:val="1145"/>
    <w:uiPriority w:val="99"/>
    <w:semiHidden/>
    <w:unhideWhenUsed/>
    <w:qFormat/>
    <w:rPr>
      <w:sz w:val="18"/>
      <w:szCs w:val="18"/>
    </w:rPr>
  </w:style>
  <w:style w:type="paragraph" w:styleId="826">
    <w:name w:val="Footer"/>
    <w:basedOn w:val="801"/>
    <w:link w:val="874"/>
    <w:uiPriority w:val="99"/>
    <w:unhideWhenUsed/>
    <w:qFormat/>
    <w:pPr>
      <w:tabs>
        <w:tab w:val="center" w:pos="7143" w:leader="none"/>
        <w:tab w:val="right" w:pos="14287" w:leader="none"/>
      </w:tabs>
    </w:pPr>
  </w:style>
  <w:style w:type="paragraph" w:styleId="827">
    <w:name w:val="Header"/>
    <w:basedOn w:val="80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8">
    <w:name w:val="toc 1"/>
    <w:basedOn w:val="801"/>
    <w:next w:val="801"/>
    <w:uiPriority w:val="39"/>
    <w:unhideWhenUsed/>
    <w:qFormat/>
    <w:pPr>
      <w:spacing w:after="57"/>
    </w:pPr>
  </w:style>
  <w:style w:type="paragraph" w:styleId="829">
    <w:name w:val="toc 4"/>
    <w:basedOn w:val="801"/>
    <w:next w:val="801"/>
    <w:uiPriority w:val="39"/>
    <w:unhideWhenUsed/>
    <w:qFormat/>
    <w:pPr>
      <w:ind w:left="850"/>
      <w:spacing w:after="57"/>
    </w:pPr>
  </w:style>
  <w:style w:type="paragraph" w:styleId="830">
    <w:name w:val="Subtitle"/>
    <w:basedOn w:val="801"/>
    <w:next w:val="801"/>
    <w:link w:val="870"/>
    <w:uiPriority w:val="11"/>
    <w:qFormat/>
    <w:pPr>
      <w:spacing w:before="200" w:after="200"/>
    </w:pPr>
    <w:rPr>
      <w:sz w:val="24"/>
      <w:szCs w:val="24"/>
    </w:rPr>
  </w:style>
  <w:style w:type="paragraph" w:styleId="831">
    <w:name w:val="footnote text"/>
    <w:basedOn w:val="801"/>
    <w:link w:val="894"/>
    <w:uiPriority w:val="99"/>
    <w:semiHidden/>
    <w:unhideWhenUsed/>
    <w:qFormat/>
    <w:pPr>
      <w:spacing w:after="40"/>
    </w:pPr>
    <w:rPr>
      <w:sz w:val="18"/>
    </w:rPr>
  </w:style>
  <w:style w:type="paragraph" w:styleId="832">
    <w:name w:val="toc 6"/>
    <w:basedOn w:val="801"/>
    <w:next w:val="801"/>
    <w:uiPriority w:val="39"/>
    <w:unhideWhenUsed/>
    <w:qFormat/>
    <w:pPr>
      <w:ind w:left="1417"/>
      <w:spacing w:after="57"/>
    </w:pPr>
  </w:style>
  <w:style w:type="paragraph" w:styleId="833">
    <w:name w:val="table of figures"/>
    <w:basedOn w:val="801"/>
    <w:next w:val="801"/>
    <w:uiPriority w:val="99"/>
    <w:unhideWhenUsed/>
    <w:qFormat/>
  </w:style>
  <w:style w:type="paragraph" w:styleId="834">
    <w:name w:val="toc 2"/>
    <w:basedOn w:val="801"/>
    <w:next w:val="801"/>
    <w:uiPriority w:val="39"/>
    <w:unhideWhenUsed/>
    <w:qFormat/>
    <w:pPr>
      <w:ind w:left="283"/>
      <w:spacing w:after="57"/>
    </w:pPr>
  </w:style>
  <w:style w:type="paragraph" w:styleId="835">
    <w:name w:val="toc 9"/>
    <w:basedOn w:val="801"/>
    <w:next w:val="801"/>
    <w:uiPriority w:val="39"/>
    <w:unhideWhenUsed/>
    <w:qFormat/>
    <w:pPr>
      <w:ind w:left="2268"/>
      <w:spacing w:after="57"/>
    </w:pPr>
  </w:style>
  <w:style w:type="paragraph" w:styleId="836">
    <w:name w:val="Normal (Web)"/>
    <w:basedOn w:val="801"/>
    <w:uiPriority w:val="99"/>
    <w:semiHidden/>
    <w:unhideWhenUsed/>
    <w:qFormat/>
    <w:pPr>
      <w:jc w:val="left"/>
      <w:spacing w:beforeAutospacing="1" w:afterAutospacing="1"/>
    </w:pPr>
    <w:rPr>
      <w:sz w:val="24"/>
    </w:rPr>
  </w:style>
  <w:style w:type="paragraph" w:styleId="837">
    <w:name w:val="Title"/>
    <w:basedOn w:val="801"/>
    <w:next w:val="801"/>
    <w:link w:val="869"/>
    <w:uiPriority w:val="10"/>
    <w:qFormat/>
    <w:pPr>
      <w:contextualSpacing/>
      <w:spacing w:before="300" w:after="200"/>
    </w:pPr>
    <w:rPr>
      <w:sz w:val="48"/>
      <w:szCs w:val="48"/>
    </w:rPr>
  </w:style>
  <w:style w:type="paragraph" w:styleId="838">
    <w:name w:val="annotation subject"/>
    <w:basedOn w:val="815"/>
    <w:next w:val="815"/>
    <w:link w:val="1147"/>
    <w:uiPriority w:val="99"/>
    <w:semiHidden/>
    <w:unhideWhenUsed/>
    <w:qFormat/>
    <w:rPr>
      <w:b/>
      <w:bCs/>
    </w:rPr>
  </w:style>
  <w:style w:type="paragraph" w:styleId="839">
    <w:name w:val="Body Text First Indent 2"/>
    <w:basedOn w:val="818"/>
    <w:next w:val="801"/>
    <w:uiPriority w:val="0"/>
    <w:qFormat/>
    <w:pPr>
      <w:ind w:firstLine="420"/>
    </w:pPr>
  </w:style>
  <w:style w:type="table" w:styleId="840">
    <w:name w:val="Table Grid"/>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basedOn w:val="811"/>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annotation reference"/>
    <w:basedOn w:val="811"/>
    <w:uiPriority w:val="99"/>
    <w:semiHidden/>
    <w:unhideWhenUsed/>
    <w:qFormat/>
    <w:rPr>
      <w:sz w:val="21"/>
      <w:szCs w:val="21"/>
    </w:rPr>
  </w:style>
  <w:style w:type="character" w:styleId="844">
    <w:name w:val="footnote reference"/>
    <w:basedOn w:val="811"/>
    <w:uiPriority w:val="99"/>
    <w:unhideWhenUsed/>
    <w:qFormat/>
    <w:rPr>
      <w:vertAlign w:val="superscript"/>
    </w:rPr>
  </w:style>
  <w:style w:type="character" w:styleId="845" w:customStyle="1">
    <w:name w:val="Heading 1 Char"/>
    <w:basedOn w:val="811"/>
    <w:uiPriority w:val="9"/>
    <w:qFormat/>
    <w:rPr>
      <w:rFonts w:ascii="Arial" w:hAnsi="Arial" w:eastAsia="Arial" w:cs="Arial"/>
      <w:sz w:val="40"/>
      <w:szCs w:val="40"/>
    </w:rPr>
  </w:style>
  <w:style w:type="character" w:styleId="846" w:customStyle="1">
    <w:name w:val="Heading 2 Char"/>
    <w:basedOn w:val="811"/>
    <w:uiPriority w:val="9"/>
    <w:qFormat/>
    <w:rPr>
      <w:rFonts w:ascii="Arial" w:hAnsi="Arial" w:eastAsia="Arial" w:cs="Arial"/>
      <w:sz w:val="34"/>
    </w:rPr>
  </w:style>
  <w:style w:type="character" w:styleId="847" w:customStyle="1">
    <w:name w:val="Heading 3 Char"/>
    <w:basedOn w:val="811"/>
    <w:uiPriority w:val="9"/>
    <w:qFormat/>
    <w:rPr>
      <w:rFonts w:ascii="Arial" w:hAnsi="Arial" w:eastAsia="Arial" w:cs="Arial"/>
      <w:sz w:val="30"/>
      <w:szCs w:val="30"/>
    </w:rPr>
  </w:style>
  <w:style w:type="character" w:styleId="848" w:customStyle="1">
    <w:name w:val="Heading 4 Char"/>
    <w:basedOn w:val="811"/>
    <w:uiPriority w:val="9"/>
    <w:qFormat/>
    <w:rPr>
      <w:rFonts w:ascii="Arial" w:hAnsi="Arial" w:eastAsia="Arial" w:cs="Arial"/>
      <w:b/>
      <w:bCs/>
      <w:sz w:val="26"/>
      <w:szCs w:val="26"/>
    </w:rPr>
  </w:style>
  <w:style w:type="character" w:styleId="849" w:customStyle="1">
    <w:name w:val="Heading 5 Char"/>
    <w:basedOn w:val="811"/>
    <w:uiPriority w:val="9"/>
    <w:qFormat/>
    <w:rPr>
      <w:rFonts w:ascii="Arial" w:hAnsi="Arial" w:eastAsia="Arial" w:cs="Arial"/>
      <w:b/>
      <w:bCs/>
      <w:sz w:val="24"/>
      <w:szCs w:val="24"/>
    </w:rPr>
  </w:style>
  <w:style w:type="character" w:styleId="850" w:customStyle="1">
    <w:name w:val="Heading 6 Char"/>
    <w:basedOn w:val="811"/>
    <w:uiPriority w:val="9"/>
    <w:qFormat/>
    <w:rPr>
      <w:rFonts w:ascii="Arial" w:hAnsi="Arial" w:eastAsia="Arial" w:cs="Arial"/>
      <w:b/>
      <w:bCs/>
      <w:sz w:val="22"/>
      <w:szCs w:val="22"/>
    </w:rPr>
  </w:style>
  <w:style w:type="character" w:styleId="851" w:customStyle="1">
    <w:name w:val="Heading 7 Char"/>
    <w:basedOn w:val="811"/>
    <w:uiPriority w:val="9"/>
    <w:qFormat/>
    <w:rPr>
      <w:rFonts w:ascii="Arial" w:hAnsi="Arial" w:eastAsia="Arial" w:cs="Arial"/>
      <w:b/>
      <w:bCs/>
      <w:i/>
      <w:iCs/>
      <w:sz w:val="22"/>
      <w:szCs w:val="22"/>
    </w:rPr>
  </w:style>
  <w:style w:type="character" w:styleId="852" w:customStyle="1">
    <w:name w:val="Heading 8 Char"/>
    <w:basedOn w:val="811"/>
    <w:uiPriority w:val="9"/>
    <w:qFormat/>
    <w:rPr>
      <w:rFonts w:ascii="Arial" w:hAnsi="Arial" w:eastAsia="Arial" w:cs="Arial"/>
      <w:i/>
      <w:iCs/>
      <w:sz w:val="22"/>
      <w:szCs w:val="22"/>
    </w:rPr>
  </w:style>
  <w:style w:type="character" w:styleId="853" w:customStyle="1">
    <w:name w:val="Heading 9 Char"/>
    <w:basedOn w:val="811"/>
    <w:uiPriority w:val="9"/>
    <w:qFormat/>
    <w:rPr>
      <w:rFonts w:ascii="Arial" w:hAnsi="Arial" w:eastAsia="Arial" w:cs="Arial"/>
      <w:i/>
      <w:iCs/>
      <w:sz w:val="21"/>
      <w:szCs w:val="21"/>
    </w:rPr>
  </w:style>
  <w:style w:type="character" w:styleId="854" w:customStyle="1">
    <w:name w:val="Title Char"/>
    <w:basedOn w:val="811"/>
    <w:uiPriority w:val="10"/>
    <w:qFormat/>
    <w:rPr>
      <w:sz w:val="48"/>
      <w:szCs w:val="48"/>
    </w:rPr>
  </w:style>
  <w:style w:type="character" w:styleId="855" w:customStyle="1">
    <w:name w:val="Subtitle Char"/>
    <w:basedOn w:val="811"/>
    <w:uiPriority w:val="11"/>
    <w:qFormat/>
    <w:rPr>
      <w:sz w:val="24"/>
      <w:szCs w:val="24"/>
    </w:rPr>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Heading"/>
    <w:uiPriority w:val="39"/>
    <w:unhideWhenUsed/>
    <w:qFormat/>
    <w:rPr>
      <w:rFonts w:ascii="Times New Roman" w:hAnsi="Times New Roman" w:eastAsia="宋体" w:cs="Times New Roman"/>
      <w:lang w:val="en-US" w:eastAsia="zh-CN" w:bidi="ar-SA"/>
    </w:rPr>
  </w:style>
  <w:style w:type="character" w:styleId="860" w:customStyle="1">
    <w:name w:val="标题 1 Char"/>
    <w:basedOn w:val="811"/>
    <w:link w:val="802"/>
    <w:uiPriority w:val="9"/>
    <w:qFormat/>
    <w:rPr>
      <w:rFonts w:ascii="Arial" w:hAnsi="Arial" w:eastAsia="Arial" w:cs="Arial"/>
      <w:sz w:val="40"/>
      <w:szCs w:val="40"/>
    </w:rPr>
  </w:style>
  <w:style w:type="character" w:styleId="861" w:customStyle="1">
    <w:name w:val="标题 2 Char"/>
    <w:basedOn w:val="811"/>
    <w:link w:val="803"/>
    <w:uiPriority w:val="9"/>
    <w:qFormat/>
    <w:rPr>
      <w:rFonts w:ascii="Arial" w:hAnsi="Arial" w:eastAsia="Arial" w:cs="Arial"/>
      <w:sz w:val="34"/>
    </w:rPr>
  </w:style>
  <w:style w:type="character" w:styleId="862" w:customStyle="1">
    <w:name w:val="标题 3 Char"/>
    <w:basedOn w:val="811"/>
    <w:link w:val="804"/>
    <w:uiPriority w:val="9"/>
    <w:qFormat/>
    <w:rPr>
      <w:rFonts w:ascii="Arial" w:hAnsi="Arial" w:eastAsia="Arial" w:cs="Arial"/>
      <w:sz w:val="30"/>
      <w:szCs w:val="30"/>
    </w:rPr>
  </w:style>
  <w:style w:type="character" w:styleId="863" w:customStyle="1">
    <w:name w:val="标题 4 Char"/>
    <w:basedOn w:val="811"/>
    <w:link w:val="805"/>
    <w:uiPriority w:val="9"/>
    <w:qFormat/>
    <w:rPr>
      <w:rFonts w:ascii="Arial" w:hAnsi="Arial" w:eastAsia="Arial" w:cs="Arial"/>
      <w:b/>
      <w:bCs/>
      <w:sz w:val="26"/>
      <w:szCs w:val="26"/>
    </w:rPr>
  </w:style>
  <w:style w:type="character" w:styleId="864" w:customStyle="1">
    <w:name w:val="标题 5 Char"/>
    <w:basedOn w:val="811"/>
    <w:link w:val="806"/>
    <w:uiPriority w:val="9"/>
    <w:qFormat/>
    <w:rPr>
      <w:rFonts w:ascii="Arial" w:hAnsi="Arial" w:eastAsia="Arial" w:cs="Arial"/>
      <w:b/>
      <w:bCs/>
      <w:sz w:val="24"/>
      <w:szCs w:val="24"/>
    </w:rPr>
  </w:style>
  <w:style w:type="character" w:styleId="865" w:customStyle="1">
    <w:name w:val="标题 6 Char"/>
    <w:basedOn w:val="811"/>
    <w:link w:val="807"/>
    <w:uiPriority w:val="9"/>
    <w:qFormat/>
    <w:rPr>
      <w:rFonts w:ascii="Arial" w:hAnsi="Arial" w:eastAsia="Arial" w:cs="Arial"/>
      <w:b/>
      <w:bCs/>
      <w:sz w:val="22"/>
      <w:szCs w:val="22"/>
    </w:rPr>
  </w:style>
  <w:style w:type="character" w:styleId="866" w:customStyle="1">
    <w:name w:val="标题 7 Char"/>
    <w:basedOn w:val="811"/>
    <w:link w:val="808"/>
    <w:uiPriority w:val="9"/>
    <w:qFormat/>
    <w:rPr>
      <w:rFonts w:ascii="Arial" w:hAnsi="Arial" w:eastAsia="Arial" w:cs="Arial"/>
      <w:b/>
      <w:bCs/>
      <w:i/>
      <w:iCs/>
      <w:sz w:val="22"/>
      <w:szCs w:val="22"/>
    </w:rPr>
  </w:style>
  <w:style w:type="character" w:styleId="867" w:customStyle="1">
    <w:name w:val="标题 8 Char"/>
    <w:basedOn w:val="811"/>
    <w:link w:val="809"/>
    <w:uiPriority w:val="9"/>
    <w:qFormat/>
    <w:rPr>
      <w:rFonts w:ascii="Arial" w:hAnsi="Arial" w:eastAsia="Arial" w:cs="Arial"/>
      <w:i/>
      <w:iCs/>
      <w:sz w:val="22"/>
      <w:szCs w:val="22"/>
    </w:rPr>
  </w:style>
  <w:style w:type="character" w:styleId="868" w:customStyle="1">
    <w:name w:val="标题 9 Char"/>
    <w:basedOn w:val="811"/>
    <w:link w:val="810"/>
    <w:uiPriority w:val="9"/>
    <w:qFormat/>
    <w:rPr>
      <w:rFonts w:ascii="Arial" w:hAnsi="Arial" w:eastAsia="Arial" w:cs="Arial"/>
      <w:i/>
      <w:iCs/>
      <w:sz w:val="21"/>
      <w:szCs w:val="21"/>
    </w:rPr>
  </w:style>
  <w:style w:type="character" w:styleId="869" w:customStyle="1">
    <w:name w:val="标题 Char"/>
    <w:basedOn w:val="811"/>
    <w:link w:val="837"/>
    <w:uiPriority w:val="10"/>
    <w:qFormat/>
    <w:rPr>
      <w:sz w:val="48"/>
      <w:szCs w:val="48"/>
    </w:rPr>
  </w:style>
  <w:style w:type="character" w:styleId="870" w:customStyle="1">
    <w:name w:val="副标题 Char"/>
    <w:basedOn w:val="811"/>
    <w:link w:val="830"/>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Header Char"/>
    <w:basedOn w:val="811"/>
    <w:uiPriority w:val="99"/>
    <w:qFormat/>
  </w:style>
  <w:style w:type="character" w:styleId="874" w:customStyle="1">
    <w:name w:val="页脚 Char"/>
    <w:link w:val="826"/>
    <w:uiPriority w:val="99"/>
    <w:qFormat/>
  </w:style>
  <w:style w:type="table" w:styleId="875" w:customStyle="1">
    <w:name w:val="Plain Table 1"/>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3"/>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8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5 Dark"/>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6 Colorful"/>
    <w:basedOn w:val="8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7 Colorful"/>
    <w:basedOn w:val="8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1 Light"/>
    <w:basedOn w:val="8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2"/>
    <w:basedOn w:val="8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3"/>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5 Dark"/>
    <w:basedOn w:val="8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8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7 Colorful"/>
    <w:basedOn w:val="8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脚注文本 Char"/>
    <w:link w:val="831"/>
    <w:uiPriority w:val="99"/>
    <w:qFormat/>
    <w:rPr>
      <w:sz w:val="18"/>
    </w:rPr>
  </w:style>
  <w:style w:type="character" w:styleId="895" w:customStyle="1">
    <w:name w:val="尾注文本 Char"/>
    <w:link w:val="824"/>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1"/>
    <w:basedOn w:val="801"/>
    <w:link w:val="908"/>
    <w:uiPriority w:val="0"/>
    <w:qFormat/>
    <w:pPr>
      <w:keepLines/>
      <w:keepNext/>
      <w:spacing w:before="480" w:after="200"/>
      <w:outlineLvl w:val="0"/>
    </w:pPr>
    <w:rPr>
      <w:rFonts w:ascii="Arial" w:hAnsi="Arial" w:eastAsia="Arial"/>
      <w:sz w:val="40"/>
      <w:szCs w:val="40"/>
    </w:rPr>
  </w:style>
  <w:style w:type="paragraph" w:styleId="898" w:customStyle="1">
    <w:name w:val="标题 212"/>
    <w:basedOn w:val="801"/>
    <w:link w:val="909"/>
    <w:uiPriority w:val="0"/>
    <w:qFormat/>
    <w:pPr>
      <w:keepLines/>
      <w:keepNext/>
      <w:spacing w:before="360" w:after="200"/>
      <w:outlineLvl w:val="1"/>
    </w:pPr>
    <w:rPr>
      <w:rFonts w:ascii="Arial" w:hAnsi="Arial" w:eastAsia="Arial"/>
      <w:sz w:val="34"/>
    </w:rPr>
  </w:style>
  <w:style w:type="paragraph" w:styleId="899" w:customStyle="1">
    <w:name w:val="标题 3111"/>
    <w:basedOn w:val="801"/>
    <w:link w:val="910"/>
    <w:uiPriority w:val="0"/>
    <w:qFormat/>
    <w:pPr>
      <w:keepLines/>
      <w:keepNext/>
      <w:spacing w:before="320" w:after="200"/>
      <w:outlineLvl w:val="2"/>
    </w:pPr>
    <w:rPr>
      <w:rFonts w:ascii="Arial" w:hAnsi="Arial" w:eastAsia="Arial"/>
      <w:sz w:val="30"/>
      <w:szCs w:val="30"/>
    </w:rPr>
  </w:style>
  <w:style w:type="paragraph" w:styleId="900" w:customStyle="1">
    <w:name w:val="标题 411"/>
    <w:basedOn w:val="801"/>
    <w:link w:val="912"/>
    <w:uiPriority w:val="0"/>
    <w:qFormat/>
    <w:pPr>
      <w:keepLines/>
      <w:keepNext/>
      <w:spacing w:before="320" w:after="200"/>
      <w:outlineLvl w:val="3"/>
    </w:pPr>
    <w:rPr>
      <w:rFonts w:ascii="Arial" w:hAnsi="Arial" w:eastAsia="Arial"/>
      <w:b/>
      <w:bCs/>
      <w:sz w:val="26"/>
      <w:szCs w:val="26"/>
    </w:rPr>
  </w:style>
  <w:style w:type="paragraph" w:styleId="901" w:customStyle="1">
    <w:name w:val="标题 51"/>
    <w:basedOn w:val="801"/>
    <w:link w:val="913"/>
    <w:uiPriority w:val="0"/>
    <w:qFormat/>
    <w:pPr>
      <w:keepLines/>
      <w:keepNext/>
      <w:spacing w:before="320" w:after="200"/>
      <w:outlineLvl w:val="4"/>
    </w:pPr>
    <w:rPr>
      <w:rFonts w:ascii="Arial" w:hAnsi="Arial" w:eastAsia="Arial"/>
      <w:b/>
      <w:bCs/>
      <w:sz w:val="24"/>
      <w:szCs w:val="24"/>
    </w:rPr>
  </w:style>
  <w:style w:type="paragraph" w:styleId="902" w:customStyle="1">
    <w:name w:val="标题 61"/>
    <w:basedOn w:val="801"/>
    <w:link w:val="914"/>
    <w:uiPriority w:val="0"/>
    <w:qFormat/>
    <w:pPr>
      <w:keepLines/>
      <w:keepNext/>
      <w:spacing w:before="320" w:after="200"/>
      <w:outlineLvl w:val="5"/>
    </w:pPr>
    <w:rPr>
      <w:rFonts w:ascii="Arial" w:hAnsi="Arial" w:eastAsia="Arial"/>
      <w:b/>
      <w:bCs/>
      <w:sz w:val="22"/>
    </w:rPr>
  </w:style>
  <w:style w:type="paragraph" w:styleId="903" w:customStyle="1">
    <w:name w:val="标题 71"/>
    <w:basedOn w:val="801"/>
    <w:link w:val="915"/>
    <w:uiPriority w:val="0"/>
    <w:qFormat/>
    <w:pPr>
      <w:keepLines/>
      <w:keepNext/>
      <w:spacing w:before="320" w:after="200"/>
      <w:outlineLvl w:val="6"/>
    </w:pPr>
    <w:rPr>
      <w:rFonts w:ascii="Arial" w:hAnsi="Arial" w:eastAsia="Arial"/>
      <w:b/>
      <w:bCs/>
      <w:i/>
      <w:iCs/>
      <w:sz w:val="22"/>
    </w:rPr>
  </w:style>
  <w:style w:type="paragraph" w:styleId="904" w:customStyle="1">
    <w:name w:val="标题 81"/>
    <w:basedOn w:val="801"/>
    <w:link w:val="916"/>
    <w:uiPriority w:val="0"/>
    <w:qFormat/>
    <w:pPr>
      <w:keepLines/>
      <w:keepNext/>
      <w:spacing w:before="320" w:after="200"/>
      <w:outlineLvl w:val="7"/>
    </w:pPr>
    <w:rPr>
      <w:rFonts w:ascii="Arial" w:hAnsi="Arial" w:eastAsia="Arial"/>
      <w:i/>
      <w:iCs/>
      <w:sz w:val="22"/>
    </w:rPr>
  </w:style>
  <w:style w:type="paragraph" w:styleId="905" w:customStyle="1">
    <w:name w:val="标题 91"/>
    <w:basedOn w:val="801"/>
    <w:link w:val="917"/>
    <w:uiPriority w:val="0"/>
    <w:qFormat/>
    <w:pPr>
      <w:keepLines/>
      <w:keepNext/>
      <w:spacing w:before="320" w:after="200"/>
      <w:outlineLvl w:val="8"/>
    </w:pPr>
    <w:rPr>
      <w:rFonts w:ascii="Arial" w:hAnsi="Arial" w:eastAsia="Arial"/>
      <w:i/>
      <w:iCs/>
      <w:szCs w:val="21"/>
    </w:rPr>
  </w:style>
  <w:style w:type="character" w:styleId="906" w:customStyle="1">
    <w:name w:val="默认段落字体11"/>
    <w:uiPriority w:val="0"/>
    <w:qFormat/>
  </w:style>
  <w:style w:type="table" w:styleId="907" w:customStyle="1">
    <w:name w:val="普通表格11"/>
    <w:uiPriority w:val="0"/>
    <w:qFormat/>
    <w:tblPr>
      <w:tblCellMar>
        <w:left w:w="0" w:type="dxa"/>
        <w:top w:w="0" w:type="dxa"/>
        <w:right w:w="0" w:type="dxa"/>
        <w:bottom w:w="0" w:type="dxa"/>
      </w:tblCellMar>
    </w:tblPr>
  </w:style>
  <w:style w:type="character" w:styleId="908" w:customStyle="1">
    <w:name w:val="标题 1 字符"/>
    <w:link w:val="897"/>
    <w:uiPriority w:val="0"/>
    <w:qFormat/>
    <w:rPr>
      <w:rFonts w:ascii="Arial" w:hAnsi="Arial" w:eastAsia="Arial"/>
      <w:sz w:val="40"/>
      <w:szCs w:val="40"/>
    </w:rPr>
  </w:style>
  <w:style w:type="character" w:styleId="909" w:customStyle="1">
    <w:name w:val="标题 2 字符"/>
    <w:link w:val="898"/>
    <w:uiPriority w:val="0"/>
    <w:qFormat/>
    <w:rPr>
      <w:rFonts w:ascii="Arial" w:hAnsi="Arial" w:eastAsia="Arial"/>
      <w:sz w:val="34"/>
    </w:rPr>
  </w:style>
  <w:style w:type="character" w:styleId="910" w:customStyle="1">
    <w:name w:val="标题 3 字符"/>
    <w:link w:val="899"/>
    <w:uiPriority w:val="0"/>
    <w:qFormat/>
    <w:rPr>
      <w:rFonts w:ascii="Arial" w:hAnsi="Arial" w:eastAsia="Arial"/>
      <w:sz w:val="30"/>
      <w:szCs w:val="30"/>
    </w:rPr>
  </w:style>
  <w:style w:type="paragraph" w:styleId="911" w:customStyle="1">
    <w:name w:val="正文缩进12"/>
    <w:basedOn w:val="801"/>
    <w:uiPriority w:val="0"/>
    <w:qFormat/>
    <w:pPr>
      <w:ind w:firstLine="420"/>
      <w:jc w:val="left"/>
    </w:pPr>
    <w:rPr>
      <w:rFonts w:ascii="宋体"/>
      <w:sz w:val="24"/>
    </w:rPr>
  </w:style>
  <w:style w:type="character" w:styleId="912" w:customStyle="1">
    <w:name w:val="标题 4 字符"/>
    <w:link w:val="900"/>
    <w:uiPriority w:val="0"/>
    <w:qFormat/>
    <w:rPr>
      <w:rFonts w:ascii="Arial" w:hAnsi="Arial" w:eastAsia="Arial"/>
      <w:b/>
      <w:bCs/>
      <w:sz w:val="26"/>
      <w:szCs w:val="26"/>
    </w:rPr>
  </w:style>
  <w:style w:type="character" w:styleId="913" w:customStyle="1">
    <w:name w:val="标题 5 字符"/>
    <w:link w:val="901"/>
    <w:uiPriority w:val="0"/>
    <w:qFormat/>
    <w:rPr>
      <w:rFonts w:ascii="Arial" w:hAnsi="Arial" w:eastAsia="Arial"/>
      <w:b/>
      <w:bCs/>
      <w:sz w:val="24"/>
      <w:szCs w:val="24"/>
    </w:rPr>
  </w:style>
  <w:style w:type="character" w:styleId="914" w:customStyle="1">
    <w:name w:val="标题 6 字符"/>
    <w:link w:val="902"/>
    <w:uiPriority w:val="0"/>
    <w:qFormat/>
    <w:rPr>
      <w:rFonts w:ascii="Arial" w:hAnsi="Arial" w:eastAsia="Arial"/>
      <w:b/>
      <w:bCs/>
      <w:sz w:val="22"/>
      <w:szCs w:val="22"/>
    </w:rPr>
  </w:style>
  <w:style w:type="character" w:styleId="915" w:customStyle="1">
    <w:name w:val="标题 7 字符"/>
    <w:link w:val="903"/>
    <w:uiPriority w:val="0"/>
    <w:qFormat/>
    <w:rPr>
      <w:rFonts w:ascii="Arial" w:hAnsi="Arial" w:eastAsia="Arial"/>
      <w:b/>
      <w:bCs/>
      <w:i/>
      <w:iCs/>
      <w:sz w:val="22"/>
      <w:szCs w:val="22"/>
    </w:rPr>
  </w:style>
  <w:style w:type="character" w:styleId="916" w:customStyle="1">
    <w:name w:val="标题 8 字符"/>
    <w:link w:val="904"/>
    <w:uiPriority w:val="0"/>
    <w:qFormat/>
    <w:rPr>
      <w:rFonts w:ascii="Arial" w:hAnsi="Arial" w:eastAsia="Arial"/>
      <w:i/>
      <w:iCs/>
      <w:sz w:val="22"/>
      <w:szCs w:val="22"/>
    </w:rPr>
  </w:style>
  <w:style w:type="character" w:styleId="917" w:customStyle="1">
    <w:name w:val="标题 9 字符"/>
    <w:link w:val="905"/>
    <w:uiPriority w:val="0"/>
    <w:qFormat/>
    <w:rPr>
      <w:rFonts w:ascii="Arial" w:hAnsi="Arial" w:eastAsia="Arial"/>
      <w:i/>
      <w:iCs/>
      <w:sz w:val="21"/>
      <w:szCs w:val="21"/>
    </w:rPr>
  </w:style>
  <w:style w:type="paragraph" w:styleId="918" w:customStyle="1">
    <w:name w:val="目录 71"/>
    <w:basedOn w:val="801"/>
    <w:uiPriority w:val="0"/>
    <w:qFormat/>
    <w:pPr>
      <w:ind w:left="1701"/>
      <w:spacing w:after="57"/>
    </w:pPr>
  </w:style>
  <w:style w:type="paragraph" w:styleId="919" w:customStyle="1">
    <w:name w:val="题注1"/>
    <w:basedOn w:val="801"/>
    <w:uiPriority w:val="0"/>
    <w:qFormat/>
    <w:pPr>
      <w:spacing w:line="276" w:lineRule="auto"/>
    </w:pPr>
    <w:rPr>
      <w:b/>
      <w:bCs/>
      <w:color w:val="4f81bd"/>
      <w:sz w:val="18"/>
      <w:szCs w:val="18"/>
    </w:rPr>
  </w:style>
  <w:style w:type="paragraph" w:styleId="920" w:customStyle="1">
    <w:name w:val="批注文字11"/>
    <w:basedOn w:val="801"/>
    <w:uiPriority w:val="0"/>
    <w:qFormat/>
    <w:pPr>
      <w:jc w:val="left"/>
    </w:pPr>
  </w:style>
  <w:style w:type="paragraph" w:styleId="921" w:customStyle="1">
    <w:name w:val="正文文本112"/>
    <w:basedOn w:val="801"/>
    <w:uiPriority w:val="0"/>
    <w:qFormat/>
    <w:pPr>
      <w:spacing w:after="120"/>
    </w:pPr>
  </w:style>
  <w:style w:type="paragraph" w:styleId="922" w:customStyle="1">
    <w:name w:val="正文文本 2111"/>
    <w:basedOn w:val="801"/>
    <w:uiPriority w:val="0"/>
    <w:qFormat/>
    <w:pPr>
      <w:spacing w:after="120" w:line="480" w:lineRule="auto"/>
    </w:pPr>
  </w:style>
  <w:style w:type="paragraph" w:styleId="923" w:customStyle="1">
    <w:name w:val="目录 51"/>
    <w:basedOn w:val="801"/>
    <w:uiPriority w:val="0"/>
    <w:qFormat/>
    <w:pPr>
      <w:ind w:left="1134"/>
      <w:spacing w:after="57"/>
    </w:pPr>
  </w:style>
  <w:style w:type="paragraph" w:styleId="924" w:customStyle="1">
    <w:name w:val="目录 31"/>
    <w:basedOn w:val="801"/>
    <w:uiPriority w:val="0"/>
    <w:qFormat/>
    <w:pPr>
      <w:ind w:left="567"/>
      <w:spacing w:after="57"/>
    </w:pPr>
  </w:style>
  <w:style w:type="paragraph" w:styleId="925" w:customStyle="1">
    <w:name w:val="纯文本111"/>
    <w:basedOn w:val="801"/>
    <w:uiPriority w:val="0"/>
    <w:qFormat/>
    <w:rPr>
      <w:rFonts w:ascii="宋体" w:hAnsi="Courier New"/>
      <w:sz w:val="20"/>
      <w:szCs w:val="21"/>
    </w:rPr>
  </w:style>
  <w:style w:type="paragraph" w:styleId="926" w:customStyle="1">
    <w:name w:val="目录 81"/>
    <w:basedOn w:val="801"/>
    <w:uiPriority w:val="0"/>
    <w:qFormat/>
    <w:pPr>
      <w:ind w:left="1984"/>
      <w:spacing w:after="57"/>
    </w:pPr>
  </w:style>
  <w:style w:type="paragraph" w:styleId="927" w:customStyle="1">
    <w:name w:val="尾注文本1"/>
    <w:basedOn w:val="801"/>
    <w:link w:val="928"/>
    <w:uiPriority w:val="0"/>
    <w:qFormat/>
    <w:rPr>
      <w:sz w:val="20"/>
    </w:rPr>
  </w:style>
  <w:style w:type="character" w:styleId="928" w:customStyle="1">
    <w:name w:val="尾注文本 字符"/>
    <w:link w:val="927"/>
    <w:uiPriority w:val="0"/>
    <w:qFormat/>
    <w:rPr>
      <w:sz w:val="20"/>
    </w:rPr>
  </w:style>
  <w:style w:type="paragraph" w:styleId="929" w:customStyle="1">
    <w:name w:val="批注框文本11"/>
    <w:basedOn w:val="801"/>
    <w:link w:val="930"/>
    <w:uiPriority w:val="0"/>
    <w:qFormat/>
    <w:rPr>
      <w:sz w:val="18"/>
      <w:szCs w:val="18"/>
    </w:rPr>
  </w:style>
  <w:style w:type="character" w:styleId="930" w:customStyle="1">
    <w:name w:val="批注框文本 字符"/>
    <w:basedOn w:val="906"/>
    <w:link w:val="929"/>
    <w:uiPriority w:val="0"/>
    <w:semiHidden/>
    <w:qFormat/>
    <w:rPr>
      <w:rFonts w:ascii="Calibri" w:hAnsi="Calibri"/>
      <w:sz w:val="18"/>
      <w:szCs w:val="18"/>
    </w:rPr>
  </w:style>
  <w:style w:type="paragraph" w:styleId="931" w:customStyle="1">
    <w:name w:val="页脚11"/>
    <w:basedOn w:val="801"/>
    <w:link w:val="932"/>
    <w:uiPriority w:val="0"/>
    <w:qFormat/>
    <w:pPr>
      <w:tabs>
        <w:tab w:val="center" w:pos="7143" w:leader="none"/>
        <w:tab w:val="right" w:pos="14287" w:leader="none"/>
      </w:tabs>
    </w:pPr>
  </w:style>
  <w:style w:type="character" w:styleId="932" w:customStyle="1">
    <w:name w:val="页脚 字符"/>
    <w:link w:val="931"/>
    <w:uiPriority w:val="0"/>
    <w:qFormat/>
  </w:style>
  <w:style w:type="paragraph" w:styleId="933" w:customStyle="1">
    <w:name w:val="页眉11"/>
    <w:basedOn w:val="801"/>
    <w:link w:val="934"/>
    <w:uiPriority w:val="0"/>
    <w:qFormat/>
    <w:pPr>
      <w:tabs>
        <w:tab w:val="center" w:pos="7143" w:leader="none"/>
        <w:tab w:val="right" w:pos="14287" w:leader="none"/>
      </w:tabs>
    </w:pPr>
  </w:style>
  <w:style w:type="character" w:styleId="934" w:customStyle="1">
    <w:name w:val="页眉 字符"/>
    <w:link w:val="933"/>
    <w:uiPriority w:val="0"/>
    <w:qFormat/>
  </w:style>
  <w:style w:type="paragraph" w:styleId="935" w:customStyle="1">
    <w:name w:val="目录 111"/>
    <w:basedOn w:val="801"/>
    <w:uiPriority w:val="0"/>
    <w:qFormat/>
    <w:pPr>
      <w:spacing w:after="57"/>
    </w:pPr>
  </w:style>
  <w:style w:type="paragraph" w:styleId="936" w:customStyle="1">
    <w:name w:val="目录 41"/>
    <w:basedOn w:val="801"/>
    <w:uiPriority w:val="0"/>
    <w:qFormat/>
    <w:pPr>
      <w:ind w:left="850"/>
      <w:spacing w:after="57"/>
    </w:pPr>
  </w:style>
  <w:style w:type="paragraph" w:styleId="937" w:customStyle="1">
    <w:name w:val="副标题1"/>
    <w:basedOn w:val="801"/>
    <w:link w:val="938"/>
    <w:uiPriority w:val="0"/>
    <w:qFormat/>
    <w:pPr>
      <w:spacing w:before="200" w:after="200"/>
    </w:pPr>
    <w:rPr>
      <w:sz w:val="24"/>
      <w:szCs w:val="24"/>
    </w:rPr>
  </w:style>
  <w:style w:type="character" w:styleId="938" w:customStyle="1">
    <w:name w:val="副标题 字符"/>
    <w:link w:val="937"/>
    <w:uiPriority w:val="0"/>
    <w:qFormat/>
    <w:rPr>
      <w:sz w:val="24"/>
      <w:szCs w:val="24"/>
    </w:rPr>
  </w:style>
  <w:style w:type="paragraph" w:styleId="939" w:customStyle="1">
    <w:name w:val="脚注文本1"/>
    <w:basedOn w:val="801"/>
    <w:link w:val="940"/>
    <w:uiPriority w:val="0"/>
    <w:qFormat/>
    <w:pPr>
      <w:spacing w:after="40"/>
    </w:pPr>
    <w:rPr>
      <w:sz w:val="18"/>
    </w:rPr>
  </w:style>
  <w:style w:type="character" w:styleId="940" w:customStyle="1">
    <w:name w:val="脚注文本 字符"/>
    <w:link w:val="939"/>
    <w:uiPriority w:val="0"/>
    <w:qFormat/>
    <w:rPr>
      <w:sz w:val="18"/>
    </w:rPr>
  </w:style>
  <w:style w:type="paragraph" w:styleId="941" w:customStyle="1">
    <w:name w:val="目录 61"/>
    <w:basedOn w:val="801"/>
    <w:uiPriority w:val="0"/>
    <w:qFormat/>
    <w:pPr>
      <w:ind w:left="1417"/>
      <w:spacing w:after="57"/>
    </w:pPr>
  </w:style>
  <w:style w:type="paragraph" w:styleId="942" w:customStyle="1">
    <w:name w:val="图表目录1"/>
    <w:basedOn w:val="801"/>
    <w:uiPriority w:val="0"/>
    <w:qFormat/>
  </w:style>
  <w:style w:type="paragraph" w:styleId="943" w:customStyle="1">
    <w:name w:val="目录 21"/>
    <w:basedOn w:val="801"/>
    <w:uiPriority w:val="0"/>
    <w:qFormat/>
    <w:pPr>
      <w:ind w:left="283"/>
      <w:spacing w:after="57"/>
    </w:pPr>
  </w:style>
  <w:style w:type="paragraph" w:styleId="944" w:customStyle="1">
    <w:name w:val="目录 9111"/>
    <w:basedOn w:val="801"/>
    <w:uiPriority w:val="0"/>
    <w:qFormat/>
    <w:pPr>
      <w:ind w:left="2268"/>
      <w:spacing w:after="57"/>
    </w:pPr>
  </w:style>
  <w:style w:type="paragraph" w:styleId="945" w:customStyle="1">
    <w:name w:val="标题1"/>
    <w:basedOn w:val="801"/>
    <w:link w:val="946"/>
    <w:uiPriority w:val="0"/>
    <w:qFormat/>
    <w:pPr>
      <w:contextualSpacing/>
      <w:spacing w:before="300" w:after="200"/>
    </w:pPr>
    <w:rPr>
      <w:sz w:val="48"/>
      <w:szCs w:val="48"/>
    </w:rPr>
  </w:style>
  <w:style w:type="character" w:styleId="946" w:customStyle="1">
    <w:name w:val="标题 字符"/>
    <w:link w:val="945"/>
    <w:uiPriority w:val="0"/>
    <w:qFormat/>
    <w:rPr>
      <w:sz w:val="48"/>
      <w:szCs w:val="48"/>
    </w:rPr>
  </w:style>
  <w:style w:type="table" w:styleId="947" w:customStyle="1">
    <w:name w:val="网格型11"/>
    <w:uiPriority w:val="0"/>
    <w:qFormat/>
    <w:tblPr>
      <w:tblCellMar>
        <w:left w:w="0" w:type="dxa"/>
        <w:top w:w="0" w:type="dxa"/>
        <w:right w:w="0" w:type="dxa"/>
        <w:bottom w:w="0" w:type="dxa"/>
      </w:tblCellMar>
    </w:tblPr>
  </w:style>
  <w:style w:type="character" w:styleId="948" w:customStyle="1">
    <w:name w:val="尾注引用1"/>
    <w:uiPriority w:val="0"/>
    <w:qFormat/>
    <w:rPr>
      <w:vertAlign w:val="superscript"/>
    </w:rPr>
  </w:style>
  <w:style w:type="character" w:styleId="949" w:customStyle="1">
    <w:name w:val="超链接11"/>
    <w:uiPriority w:val="0"/>
    <w:qFormat/>
    <w:rPr>
      <w:color w:val="0000ff"/>
      <w:u w:val="single"/>
    </w:rPr>
  </w:style>
  <w:style w:type="character" w:styleId="950" w:customStyle="1">
    <w:name w:val="批注引用11"/>
    <w:basedOn w:val="906"/>
    <w:uiPriority w:val="0"/>
    <w:qFormat/>
    <w:rPr>
      <w:sz w:val="21"/>
      <w:szCs w:val="21"/>
    </w:rPr>
  </w:style>
  <w:style w:type="character" w:styleId="951" w:customStyle="1">
    <w:name w:val="脚注引用1"/>
    <w:uiPriority w:val="0"/>
    <w:qFormat/>
    <w:rPr>
      <w:vertAlign w:val="superscript"/>
    </w:rPr>
  </w:style>
  <w:style w:type="paragraph" w:styleId="952" w:customStyle="1">
    <w:name w:val="正文（缩进）"/>
    <w:basedOn w:val="801"/>
    <w:next w:val="801"/>
    <w:uiPriority w:val="0"/>
    <w:qFormat/>
    <w:pPr>
      <w:ind w:firstLine="480"/>
      <w:spacing w:before="156" w:after="156"/>
    </w:pPr>
  </w:style>
  <w:style w:type="paragraph" w:styleId="953" w:customStyle="1">
    <w:name w:val="Char Char Char Char Char Char Char Char Char"/>
    <w:basedOn w:val="801"/>
    <w:next w:val="954"/>
    <w:uiPriority w:val="0"/>
    <w:qFormat/>
    <w:pPr>
      <w:ind w:left="360" w:hanging="360"/>
      <w:tabs>
        <w:tab w:val="left" w:pos="360" w:leader="none"/>
      </w:tabs>
    </w:pPr>
    <w:rPr>
      <w:rFonts w:eastAsia="Calibri"/>
      <w:sz w:val="24"/>
      <w:szCs w:val="24"/>
      <w:lang w:val="zh-CN"/>
    </w:rPr>
  </w:style>
  <w:style w:type="paragraph" w:styleId="954" w:customStyle="1">
    <w:name w:val="正文文本 21"/>
    <w:basedOn w:val="801"/>
    <w:next w:val="955"/>
    <w:uiPriority w:val="0"/>
    <w:qFormat/>
    <w:pPr>
      <w:spacing w:after="120" w:line="480" w:lineRule="auto"/>
    </w:pPr>
  </w:style>
  <w:style w:type="paragraph" w:styleId="955" w:customStyle="1">
    <w:name w:val="默认段落字体 Para Char Char Char Char Char Char Char"/>
    <w:basedOn w:val="801"/>
    <w:next w:val="801"/>
    <w:uiPriority w:val="0"/>
    <w:qFormat/>
    <w:pPr>
      <w:ind w:firstLine="200"/>
    </w:pPr>
  </w:style>
  <w:style w:type="paragraph" w:styleId="956" w:customStyle="1">
    <w:name w:val="样式 首行缩进:  2 字符"/>
    <w:basedOn w:val="801"/>
    <w:next w:val="957"/>
    <w:uiPriority w:val="0"/>
    <w:qFormat/>
    <w:pPr>
      <w:ind w:firstLine="480"/>
      <w:spacing w:line="360" w:lineRule="auto"/>
    </w:pPr>
    <w:rPr>
      <w:rFonts w:ascii="Times New Roman" w:hAnsi="Times New Roman"/>
      <w:sz w:val="24"/>
      <w:szCs w:val="20"/>
      <w:lang w:val="zh-CN"/>
    </w:rPr>
  </w:style>
  <w:style w:type="paragraph" w:styleId="957" w:customStyle="1">
    <w:name w:val="样式 段后: 0.25 行"/>
    <w:basedOn w:val="801"/>
    <w:next w:val="958"/>
    <w:uiPriority w:val="0"/>
    <w:qFormat/>
    <w:pPr>
      <w:ind w:firstLine="420"/>
      <w:spacing w:line="300" w:lineRule="auto"/>
      <w:widowControl/>
    </w:pPr>
    <w:rPr>
      <w:rFonts w:ascii="Arial" w:hAnsi="Arial" w:eastAsia="Calibri"/>
      <w:sz w:val="22"/>
      <w:szCs w:val="20"/>
      <w:lang w:val="zh-CN" w:eastAsia="en-US" w:bidi="en-US"/>
    </w:rPr>
  </w:style>
  <w:style w:type="paragraph" w:styleId="958" w:customStyle="1">
    <w:name w:val="正文 New New New New New New New New New New New New New New"/>
    <w:next w:val="835"/>
    <w:uiPriority w:val="0"/>
    <w:qFormat/>
    <w:pPr>
      <w:jc w:val="both"/>
      <w:widowControl w:val="off"/>
    </w:pPr>
    <w:rPr>
      <w:rFonts w:hint="eastAsia" w:ascii="Times New Roman" w:hAnsi="Times New Roman" w:eastAsia="宋体" w:cs="Times New Roman"/>
      <w:sz w:val="21"/>
      <w:lang w:val="en-US" w:eastAsia="zh-CN" w:bidi="ar-SA"/>
    </w:rPr>
  </w:style>
  <w:style w:type="paragraph" w:styleId="959" w:customStyle="1">
    <w:name w:val="目录 91"/>
    <w:basedOn w:val="801"/>
    <w:uiPriority w:val="0"/>
    <w:qFormat/>
    <w:pPr>
      <w:ind w:left="3360"/>
    </w:pPr>
  </w:style>
  <w:style w:type="paragraph" w:styleId="960" w:customStyle="1">
    <w:name w:val="文本块11"/>
    <w:basedOn w:val="801"/>
    <w:uiPriority w:val="0"/>
    <w:qFormat/>
    <w:pPr>
      <w:ind w:left="567" w:right="454" w:firstLine="498"/>
      <w:jc w:val="left"/>
    </w:pPr>
    <w:rPr>
      <w:rFonts w:ascii="仿宋_GB2312" w:eastAsia="仿宋_GB2312"/>
      <w:sz w:val="30"/>
      <w:szCs w:val="20"/>
    </w:rPr>
  </w:style>
  <w:style w:type="paragraph" w:styleId="961">
    <w:name w:val="No Spacing"/>
    <w:uiPriority w:val="0"/>
    <w:qFormat/>
    <w:rPr>
      <w:rFonts w:ascii="Times New Roman" w:hAnsi="Times New Roman" w:eastAsia="宋体" w:cs="Times New Roman"/>
      <w:lang w:val="en-US" w:eastAsia="zh-CN" w:bidi="ar-SA"/>
    </w:rPr>
  </w:style>
  <w:style w:type="paragraph" w:styleId="962">
    <w:name w:val="Quote"/>
    <w:basedOn w:val="801"/>
    <w:link w:val="963"/>
    <w:uiPriority w:val="0"/>
    <w:qFormat/>
    <w:pPr>
      <w:ind w:left="720" w:right="720"/>
    </w:pPr>
    <w:rPr>
      <w:i/>
    </w:rPr>
  </w:style>
  <w:style w:type="character" w:styleId="963" w:customStyle="1">
    <w:name w:val="引用 Char"/>
    <w:link w:val="962"/>
    <w:uiPriority w:val="0"/>
    <w:qFormat/>
    <w:rPr>
      <w:i/>
    </w:rPr>
  </w:style>
  <w:style w:type="paragraph" w:styleId="964">
    <w:name w:val="Intense Quote"/>
    <w:basedOn w:val="801"/>
    <w:link w:val="96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Char"/>
    <w:link w:val="964"/>
    <w:uiPriority w:val="0"/>
    <w:qFormat/>
    <w:rPr>
      <w:i/>
    </w:rPr>
  </w:style>
  <w:style w:type="character" w:styleId="966" w:customStyle="1">
    <w:name w:val="Footer Char"/>
    <w:uiPriority w:val="0"/>
    <w:qFormat/>
  </w:style>
  <w:style w:type="table" w:styleId="967" w:customStyle="1">
    <w:name w:val="Table Grid Light"/>
    <w:uiPriority w:val="0"/>
    <w:qFormat/>
    <w:tblPr>
      <w:tblCellMar>
        <w:left w:w="0" w:type="dxa"/>
        <w:top w:w="0" w:type="dxa"/>
        <w:right w:w="0" w:type="dxa"/>
        <w:bottom w:w="0" w:type="dxa"/>
      </w:tblCellMar>
    </w:tblPr>
  </w:style>
  <w:style w:type="table" w:styleId="968" w:customStyle="1">
    <w:name w:val="无格式表格 11"/>
    <w:uiPriority w:val="0"/>
    <w:qFormat/>
    <w:tblPr>
      <w:tblCellMar>
        <w:left w:w="0" w:type="dxa"/>
        <w:top w:w="0" w:type="dxa"/>
        <w:right w:w="0" w:type="dxa"/>
        <w:bottom w:w="0" w:type="dxa"/>
      </w:tblCellMar>
    </w:tblPr>
  </w:style>
  <w:style w:type="table" w:styleId="969" w:customStyle="1">
    <w:name w:val="无格式表格 21"/>
    <w:uiPriority w:val="0"/>
    <w:qFormat/>
    <w:tblPr>
      <w:tblCellMar>
        <w:left w:w="0" w:type="dxa"/>
        <w:top w:w="0" w:type="dxa"/>
        <w:right w:w="0" w:type="dxa"/>
        <w:bottom w:w="0" w:type="dxa"/>
      </w:tblCellMar>
    </w:tblPr>
  </w:style>
  <w:style w:type="table" w:styleId="970" w:customStyle="1">
    <w:name w:val="无格式表格 31"/>
    <w:uiPriority w:val="0"/>
    <w:qFormat/>
    <w:tblPr>
      <w:tblCellMar>
        <w:left w:w="0" w:type="dxa"/>
        <w:top w:w="0" w:type="dxa"/>
        <w:right w:w="0" w:type="dxa"/>
        <w:bottom w:w="0" w:type="dxa"/>
      </w:tblCellMar>
    </w:tblPr>
  </w:style>
  <w:style w:type="table" w:styleId="971" w:customStyle="1">
    <w:name w:val="无格式表格 41"/>
    <w:uiPriority w:val="0"/>
    <w:qFormat/>
    <w:tblPr>
      <w:tblCellMar>
        <w:left w:w="0" w:type="dxa"/>
        <w:top w:w="0" w:type="dxa"/>
        <w:right w:w="0" w:type="dxa"/>
        <w:bottom w:w="0" w:type="dxa"/>
      </w:tblCellMar>
    </w:tblPr>
  </w:style>
  <w:style w:type="table" w:styleId="972" w:customStyle="1">
    <w:name w:val="无格式表格 51"/>
    <w:uiPriority w:val="0"/>
    <w:qFormat/>
    <w:tblPr>
      <w:tblCellMar>
        <w:left w:w="0" w:type="dxa"/>
        <w:top w:w="0" w:type="dxa"/>
        <w:right w:w="0" w:type="dxa"/>
        <w:bottom w:w="0" w:type="dxa"/>
      </w:tblCellMar>
    </w:tblPr>
  </w:style>
  <w:style w:type="table" w:styleId="973" w:customStyle="1">
    <w:name w:val="网格表 1 浅色1"/>
    <w:uiPriority w:val="0"/>
    <w:qFormat/>
    <w:tblPr>
      <w:tblCellMar>
        <w:left w:w="0" w:type="dxa"/>
        <w:top w:w="0" w:type="dxa"/>
        <w:right w:w="0" w:type="dxa"/>
        <w:bottom w:w="0" w:type="dxa"/>
      </w:tblCellMar>
    </w:tblPr>
  </w:style>
  <w:style w:type="table" w:styleId="974" w:customStyle="1">
    <w:name w:val="Grid Table 1 Light - Accent 1"/>
    <w:uiPriority w:val="0"/>
    <w:qFormat/>
    <w:tblPr>
      <w:tblCellMar>
        <w:left w:w="0" w:type="dxa"/>
        <w:top w:w="0" w:type="dxa"/>
        <w:right w:w="0" w:type="dxa"/>
        <w:bottom w:w="0" w:type="dxa"/>
      </w:tblCellMar>
    </w:tblPr>
  </w:style>
  <w:style w:type="table" w:styleId="975" w:customStyle="1">
    <w:name w:val="Grid Table 1 Light - Accent 2"/>
    <w:uiPriority w:val="0"/>
    <w:qFormat/>
    <w:tblPr>
      <w:tblCellMar>
        <w:left w:w="0" w:type="dxa"/>
        <w:top w:w="0" w:type="dxa"/>
        <w:right w:w="0" w:type="dxa"/>
        <w:bottom w:w="0" w:type="dxa"/>
      </w:tblCellMar>
    </w:tblPr>
  </w:style>
  <w:style w:type="table" w:styleId="976" w:customStyle="1">
    <w:name w:val="Grid Table 1 Light - Accent 3"/>
    <w:uiPriority w:val="0"/>
    <w:qFormat/>
    <w:tblPr>
      <w:tblCellMar>
        <w:left w:w="0" w:type="dxa"/>
        <w:top w:w="0" w:type="dxa"/>
        <w:right w:w="0" w:type="dxa"/>
        <w:bottom w:w="0" w:type="dxa"/>
      </w:tblCellMar>
    </w:tblPr>
  </w:style>
  <w:style w:type="table" w:styleId="977" w:customStyle="1">
    <w:name w:val="Grid Table 1 Light - Accent 4"/>
    <w:uiPriority w:val="0"/>
    <w:qFormat/>
    <w:tblPr>
      <w:tblCellMar>
        <w:left w:w="0" w:type="dxa"/>
        <w:top w:w="0" w:type="dxa"/>
        <w:right w:w="0" w:type="dxa"/>
        <w:bottom w:w="0" w:type="dxa"/>
      </w:tblCellMar>
    </w:tblPr>
  </w:style>
  <w:style w:type="table" w:styleId="978" w:customStyle="1">
    <w:name w:val="Grid Table 1 Light - Accent 5"/>
    <w:uiPriority w:val="0"/>
    <w:qFormat/>
    <w:tblPr>
      <w:tblCellMar>
        <w:left w:w="0" w:type="dxa"/>
        <w:top w:w="0" w:type="dxa"/>
        <w:right w:w="0" w:type="dxa"/>
        <w:bottom w:w="0" w:type="dxa"/>
      </w:tblCellMar>
    </w:tblPr>
  </w:style>
  <w:style w:type="table" w:styleId="979" w:customStyle="1">
    <w:name w:val="Grid Table 1 Light - Accent 6"/>
    <w:uiPriority w:val="0"/>
    <w:qFormat/>
    <w:tblPr>
      <w:tblCellMar>
        <w:left w:w="0" w:type="dxa"/>
        <w:top w:w="0" w:type="dxa"/>
        <w:right w:w="0" w:type="dxa"/>
        <w:bottom w:w="0" w:type="dxa"/>
      </w:tblCellMar>
    </w:tblPr>
  </w:style>
  <w:style w:type="table" w:styleId="980" w:customStyle="1">
    <w:name w:val="网格表 21"/>
    <w:uiPriority w:val="0"/>
    <w:qFormat/>
    <w:tblPr>
      <w:tblCellMar>
        <w:left w:w="0" w:type="dxa"/>
        <w:top w:w="0" w:type="dxa"/>
        <w:right w:w="0" w:type="dxa"/>
        <w:bottom w:w="0" w:type="dxa"/>
      </w:tblCellMar>
    </w:tblPr>
  </w:style>
  <w:style w:type="table" w:styleId="981" w:customStyle="1">
    <w:name w:val="Grid Table 2 - Accent 1"/>
    <w:uiPriority w:val="0"/>
    <w:qFormat/>
    <w:tblPr>
      <w:tblCellMar>
        <w:left w:w="0" w:type="dxa"/>
        <w:top w:w="0" w:type="dxa"/>
        <w:right w:w="0" w:type="dxa"/>
        <w:bottom w:w="0" w:type="dxa"/>
      </w:tblCellMar>
    </w:tblPr>
  </w:style>
  <w:style w:type="table" w:styleId="982" w:customStyle="1">
    <w:name w:val="Grid Table 2 - Accent 2"/>
    <w:uiPriority w:val="0"/>
    <w:qFormat/>
    <w:tblPr>
      <w:tblCellMar>
        <w:left w:w="0" w:type="dxa"/>
        <w:top w:w="0" w:type="dxa"/>
        <w:right w:w="0" w:type="dxa"/>
        <w:bottom w:w="0" w:type="dxa"/>
      </w:tblCellMar>
    </w:tblPr>
  </w:style>
  <w:style w:type="table" w:styleId="983" w:customStyle="1">
    <w:name w:val="Grid Table 2 - Accent 3"/>
    <w:uiPriority w:val="0"/>
    <w:qFormat/>
    <w:tblPr>
      <w:tblCellMar>
        <w:left w:w="0" w:type="dxa"/>
        <w:top w:w="0" w:type="dxa"/>
        <w:right w:w="0" w:type="dxa"/>
        <w:bottom w:w="0" w:type="dxa"/>
      </w:tblCellMar>
    </w:tblPr>
  </w:style>
  <w:style w:type="table" w:styleId="984" w:customStyle="1">
    <w:name w:val="Grid Table 2 - Accent 4"/>
    <w:uiPriority w:val="0"/>
    <w:qFormat/>
    <w:tblPr>
      <w:tblCellMar>
        <w:left w:w="0" w:type="dxa"/>
        <w:top w:w="0" w:type="dxa"/>
        <w:right w:w="0" w:type="dxa"/>
        <w:bottom w:w="0" w:type="dxa"/>
      </w:tblCellMar>
    </w:tblPr>
  </w:style>
  <w:style w:type="table" w:styleId="985" w:customStyle="1">
    <w:name w:val="Grid Table 2 - Accent 5"/>
    <w:uiPriority w:val="0"/>
    <w:qFormat/>
    <w:tblPr>
      <w:tblCellMar>
        <w:left w:w="0" w:type="dxa"/>
        <w:top w:w="0" w:type="dxa"/>
        <w:right w:w="0" w:type="dxa"/>
        <w:bottom w:w="0" w:type="dxa"/>
      </w:tblCellMar>
    </w:tblPr>
  </w:style>
  <w:style w:type="table" w:styleId="986" w:customStyle="1">
    <w:name w:val="Grid Table 2 - Accent 6"/>
    <w:uiPriority w:val="0"/>
    <w:qFormat/>
    <w:tblPr>
      <w:tblCellMar>
        <w:left w:w="0" w:type="dxa"/>
        <w:top w:w="0" w:type="dxa"/>
        <w:right w:w="0" w:type="dxa"/>
        <w:bottom w:w="0" w:type="dxa"/>
      </w:tblCellMar>
    </w:tblPr>
  </w:style>
  <w:style w:type="table" w:styleId="987" w:customStyle="1">
    <w:name w:val="网格表 31"/>
    <w:uiPriority w:val="0"/>
    <w:qFormat/>
    <w:tblPr>
      <w:tblCellMar>
        <w:left w:w="0" w:type="dxa"/>
        <w:top w:w="0" w:type="dxa"/>
        <w:right w:w="0" w:type="dxa"/>
        <w:bottom w:w="0" w:type="dxa"/>
      </w:tblCellMar>
    </w:tblPr>
  </w:style>
  <w:style w:type="table" w:styleId="988" w:customStyle="1">
    <w:name w:val="Grid Table 3 - Accent 1"/>
    <w:uiPriority w:val="0"/>
    <w:qFormat/>
    <w:tblPr>
      <w:tblCellMar>
        <w:left w:w="0" w:type="dxa"/>
        <w:top w:w="0" w:type="dxa"/>
        <w:right w:w="0" w:type="dxa"/>
        <w:bottom w:w="0" w:type="dxa"/>
      </w:tblCellMar>
    </w:tblPr>
  </w:style>
  <w:style w:type="table" w:styleId="989" w:customStyle="1">
    <w:name w:val="Grid Table 3 - Accent 2"/>
    <w:uiPriority w:val="0"/>
    <w:qFormat/>
    <w:tblPr>
      <w:tblCellMar>
        <w:left w:w="0" w:type="dxa"/>
        <w:top w:w="0" w:type="dxa"/>
        <w:right w:w="0" w:type="dxa"/>
        <w:bottom w:w="0" w:type="dxa"/>
      </w:tblCellMar>
    </w:tblPr>
  </w:style>
  <w:style w:type="table" w:styleId="990" w:customStyle="1">
    <w:name w:val="Grid Table 3 - Accent 3"/>
    <w:uiPriority w:val="0"/>
    <w:qFormat/>
    <w:tblPr>
      <w:tblCellMar>
        <w:left w:w="0" w:type="dxa"/>
        <w:top w:w="0" w:type="dxa"/>
        <w:right w:w="0" w:type="dxa"/>
        <w:bottom w:w="0" w:type="dxa"/>
      </w:tblCellMar>
    </w:tblPr>
  </w:style>
  <w:style w:type="table" w:styleId="991" w:customStyle="1">
    <w:name w:val="Grid Table 3 - Accent 4"/>
    <w:uiPriority w:val="0"/>
    <w:qFormat/>
    <w:tblPr>
      <w:tblCellMar>
        <w:left w:w="0" w:type="dxa"/>
        <w:top w:w="0" w:type="dxa"/>
        <w:right w:w="0" w:type="dxa"/>
        <w:bottom w:w="0" w:type="dxa"/>
      </w:tblCellMar>
    </w:tblPr>
  </w:style>
  <w:style w:type="table" w:styleId="992" w:customStyle="1">
    <w:name w:val="Grid Table 3 - Accent 5"/>
    <w:uiPriority w:val="0"/>
    <w:qFormat/>
    <w:tblPr>
      <w:tblCellMar>
        <w:left w:w="0" w:type="dxa"/>
        <w:top w:w="0" w:type="dxa"/>
        <w:right w:w="0" w:type="dxa"/>
        <w:bottom w:w="0" w:type="dxa"/>
      </w:tblCellMar>
    </w:tblPr>
  </w:style>
  <w:style w:type="table" w:styleId="993" w:customStyle="1">
    <w:name w:val="Grid Table 3 - Accent 6"/>
    <w:uiPriority w:val="0"/>
    <w:qFormat/>
    <w:tblPr>
      <w:tblCellMar>
        <w:left w:w="0" w:type="dxa"/>
        <w:top w:w="0" w:type="dxa"/>
        <w:right w:w="0" w:type="dxa"/>
        <w:bottom w:w="0" w:type="dxa"/>
      </w:tblCellMar>
    </w:tblPr>
  </w:style>
  <w:style w:type="table" w:styleId="994" w:customStyle="1">
    <w:name w:val="网格表 41"/>
    <w:uiPriority w:val="0"/>
    <w:qFormat/>
    <w:tblPr>
      <w:tblCellMar>
        <w:left w:w="0" w:type="dxa"/>
        <w:top w:w="0" w:type="dxa"/>
        <w:right w:w="0" w:type="dxa"/>
        <w:bottom w:w="0" w:type="dxa"/>
      </w:tblCellMar>
    </w:tblPr>
  </w:style>
  <w:style w:type="table" w:styleId="995" w:customStyle="1">
    <w:name w:val="Grid Table 4 - Accent 1"/>
    <w:uiPriority w:val="0"/>
    <w:qFormat/>
    <w:tblPr>
      <w:tblCellMar>
        <w:left w:w="0" w:type="dxa"/>
        <w:top w:w="0" w:type="dxa"/>
        <w:right w:w="0" w:type="dxa"/>
        <w:bottom w:w="0" w:type="dxa"/>
      </w:tblCellMar>
    </w:tblPr>
  </w:style>
  <w:style w:type="table" w:styleId="996" w:customStyle="1">
    <w:name w:val="Grid Table 4 - Accent 2"/>
    <w:uiPriority w:val="0"/>
    <w:qFormat/>
    <w:tblPr>
      <w:tblCellMar>
        <w:left w:w="0" w:type="dxa"/>
        <w:top w:w="0" w:type="dxa"/>
        <w:right w:w="0" w:type="dxa"/>
        <w:bottom w:w="0" w:type="dxa"/>
      </w:tblCellMar>
    </w:tblPr>
  </w:style>
  <w:style w:type="table" w:styleId="997" w:customStyle="1">
    <w:name w:val="Grid Table 4 - Accent 3"/>
    <w:uiPriority w:val="0"/>
    <w:qFormat/>
    <w:tblPr>
      <w:tblCellMar>
        <w:left w:w="0" w:type="dxa"/>
        <w:top w:w="0" w:type="dxa"/>
        <w:right w:w="0" w:type="dxa"/>
        <w:bottom w:w="0" w:type="dxa"/>
      </w:tblCellMar>
    </w:tblPr>
  </w:style>
  <w:style w:type="table" w:styleId="998" w:customStyle="1">
    <w:name w:val="Grid Table 4 - Accent 4"/>
    <w:uiPriority w:val="0"/>
    <w:qFormat/>
    <w:tblPr>
      <w:tblCellMar>
        <w:left w:w="0" w:type="dxa"/>
        <w:top w:w="0" w:type="dxa"/>
        <w:right w:w="0" w:type="dxa"/>
        <w:bottom w:w="0" w:type="dxa"/>
      </w:tblCellMar>
    </w:tblPr>
  </w:style>
  <w:style w:type="table" w:styleId="999" w:customStyle="1">
    <w:name w:val="Grid Table 4 - Accent 5"/>
    <w:uiPriority w:val="0"/>
    <w:qFormat/>
    <w:tblPr>
      <w:tblCellMar>
        <w:left w:w="0" w:type="dxa"/>
        <w:top w:w="0" w:type="dxa"/>
        <w:right w:w="0" w:type="dxa"/>
        <w:bottom w:w="0" w:type="dxa"/>
      </w:tblCellMar>
    </w:tblPr>
  </w:style>
  <w:style w:type="table" w:styleId="1000" w:customStyle="1">
    <w:name w:val="Grid Table 4 - Accent 6"/>
    <w:uiPriority w:val="0"/>
    <w:qFormat/>
    <w:tblPr>
      <w:tblCellMar>
        <w:left w:w="0" w:type="dxa"/>
        <w:top w:w="0" w:type="dxa"/>
        <w:right w:w="0" w:type="dxa"/>
        <w:bottom w:w="0" w:type="dxa"/>
      </w:tblCellMar>
    </w:tblPr>
  </w:style>
  <w:style w:type="table" w:styleId="1001" w:customStyle="1">
    <w:name w:val="网格表 5 深色1"/>
    <w:uiPriority w:val="0"/>
    <w:qFormat/>
    <w:tblPr>
      <w:tblCellMar>
        <w:left w:w="0" w:type="dxa"/>
        <w:top w:w="0" w:type="dxa"/>
        <w:right w:w="0" w:type="dxa"/>
        <w:bottom w:w="0" w:type="dxa"/>
      </w:tblCellMar>
    </w:tblPr>
  </w:style>
  <w:style w:type="table" w:styleId="1002" w:customStyle="1">
    <w:name w:val="Grid Table 5 Dark- Accent 1"/>
    <w:uiPriority w:val="0"/>
    <w:qFormat/>
    <w:tblPr>
      <w:tblCellMar>
        <w:left w:w="0" w:type="dxa"/>
        <w:top w:w="0" w:type="dxa"/>
        <w:right w:w="0" w:type="dxa"/>
        <w:bottom w:w="0" w:type="dxa"/>
      </w:tblCellMar>
    </w:tblPr>
  </w:style>
  <w:style w:type="table" w:styleId="1003" w:customStyle="1">
    <w:name w:val="Grid Table 5 Dark - Accent 2"/>
    <w:uiPriority w:val="0"/>
    <w:qFormat/>
    <w:tblPr>
      <w:tblCellMar>
        <w:left w:w="0" w:type="dxa"/>
        <w:top w:w="0" w:type="dxa"/>
        <w:right w:w="0" w:type="dxa"/>
        <w:bottom w:w="0" w:type="dxa"/>
      </w:tblCellMar>
    </w:tblPr>
  </w:style>
  <w:style w:type="table" w:styleId="1004" w:customStyle="1">
    <w:name w:val="Grid Table 5 Dark - Accent 3"/>
    <w:uiPriority w:val="0"/>
    <w:qFormat/>
    <w:tblPr>
      <w:tblCellMar>
        <w:left w:w="0" w:type="dxa"/>
        <w:top w:w="0" w:type="dxa"/>
        <w:right w:w="0" w:type="dxa"/>
        <w:bottom w:w="0" w:type="dxa"/>
      </w:tblCellMar>
    </w:tblPr>
  </w:style>
  <w:style w:type="table" w:styleId="1005" w:customStyle="1">
    <w:name w:val="Grid Table 5 Dark- Accent 4"/>
    <w:uiPriority w:val="0"/>
    <w:qFormat/>
    <w:tblPr>
      <w:tblCellMar>
        <w:left w:w="0" w:type="dxa"/>
        <w:top w:w="0" w:type="dxa"/>
        <w:right w:w="0" w:type="dxa"/>
        <w:bottom w:w="0" w:type="dxa"/>
      </w:tblCellMar>
    </w:tblPr>
  </w:style>
  <w:style w:type="table" w:styleId="1006" w:customStyle="1">
    <w:name w:val="Grid Table 5 Dark - Accent 5"/>
    <w:uiPriority w:val="0"/>
    <w:qFormat/>
    <w:tblPr>
      <w:tblCellMar>
        <w:left w:w="0" w:type="dxa"/>
        <w:top w:w="0" w:type="dxa"/>
        <w:right w:w="0" w:type="dxa"/>
        <w:bottom w:w="0" w:type="dxa"/>
      </w:tblCellMar>
    </w:tblPr>
  </w:style>
  <w:style w:type="table" w:styleId="1007" w:customStyle="1">
    <w:name w:val="Grid Table 5 Dark - Accent 6"/>
    <w:uiPriority w:val="0"/>
    <w:qFormat/>
    <w:tblPr>
      <w:tblCellMar>
        <w:left w:w="0" w:type="dxa"/>
        <w:top w:w="0" w:type="dxa"/>
        <w:right w:w="0" w:type="dxa"/>
        <w:bottom w:w="0" w:type="dxa"/>
      </w:tblCellMar>
    </w:tblPr>
  </w:style>
  <w:style w:type="table" w:styleId="1008" w:customStyle="1">
    <w:name w:val="网格表 6 彩色1"/>
    <w:uiPriority w:val="0"/>
    <w:qFormat/>
    <w:tblPr>
      <w:tblCellMar>
        <w:left w:w="0" w:type="dxa"/>
        <w:top w:w="0" w:type="dxa"/>
        <w:right w:w="0" w:type="dxa"/>
        <w:bottom w:w="0" w:type="dxa"/>
      </w:tblCellMar>
    </w:tblPr>
  </w:style>
  <w:style w:type="table" w:styleId="1009" w:customStyle="1">
    <w:name w:val="Grid Table 6 Colorful - Accent 1"/>
    <w:uiPriority w:val="0"/>
    <w:qFormat/>
    <w:tblPr>
      <w:tblCellMar>
        <w:left w:w="0" w:type="dxa"/>
        <w:top w:w="0" w:type="dxa"/>
        <w:right w:w="0" w:type="dxa"/>
        <w:bottom w:w="0" w:type="dxa"/>
      </w:tblCellMar>
    </w:tblPr>
  </w:style>
  <w:style w:type="table" w:styleId="1010" w:customStyle="1">
    <w:name w:val="Grid Table 6 Colorful - Accent 2"/>
    <w:uiPriority w:val="0"/>
    <w:qFormat/>
    <w:tblPr>
      <w:tblCellMar>
        <w:left w:w="0" w:type="dxa"/>
        <w:top w:w="0" w:type="dxa"/>
        <w:right w:w="0" w:type="dxa"/>
        <w:bottom w:w="0" w:type="dxa"/>
      </w:tblCellMar>
    </w:tblPr>
  </w:style>
  <w:style w:type="table" w:styleId="1011" w:customStyle="1">
    <w:name w:val="Grid Table 6 Colorful - Accent 3"/>
    <w:uiPriority w:val="0"/>
    <w:qFormat/>
    <w:tblPr>
      <w:tblCellMar>
        <w:left w:w="0" w:type="dxa"/>
        <w:top w:w="0" w:type="dxa"/>
        <w:right w:w="0" w:type="dxa"/>
        <w:bottom w:w="0" w:type="dxa"/>
      </w:tblCellMar>
    </w:tblPr>
  </w:style>
  <w:style w:type="table" w:styleId="1012" w:customStyle="1">
    <w:name w:val="Grid Table 6 Colorful - Accent 4"/>
    <w:uiPriority w:val="0"/>
    <w:qFormat/>
    <w:tblPr>
      <w:tblCellMar>
        <w:left w:w="0" w:type="dxa"/>
        <w:top w:w="0" w:type="dxa"/>
        <w:right w:w="0" w:type="dxa"/>
        <w:bottom w:w="0" w:type="dxa"/>
      </w:tblCellMar>
    </w:tblPr>
  </w:style>
  <w:style w:type="table" w:styleId="1013" w:customStyle="1">
    <w:name w:val="Grid Table 6 Colorful - Accent 5"/>
    <w:uiPriority w:val="0"/>
    <w:qFormat/>
    <w:tblPr>
      <w:tblCellMar>
        <w:left w:w="0" w:type="dxa"/>
        <w:top w:w="0" w:type="dxa"/>
        <w:right w:w="0" w:type="dxa"/>
        <w:bottom w:w="0" w:type="dxa"/>
      </w:tblCellMar>
    </w:tblPr>
  </w:style>
  <w:style w:type="table" w:styleId="1014" w:customStyle="1">
    <w:name w:val="Grid Table 6 Colorful - Accent 6"/>
    <w:uiPriority w:val="0"/>
    <w:qFormat/>
    <w:tblPr>
      <w:tblCellMar>
        <w:left w:w="0" w:type="dxa"/>
        <w:top w:w="0" w:type="dxa"/>
        <w:right w:w="0" w:type="dxa"/>
        <w:bottom w:w="0" w:type="dxa"/>
      </w:tblCellMar>
    </w:tblPr>
  </w:style>
  <w:style w:type="table" w:styleId="1015" w:customStyle="1">
    <w:name w:val="网格表 7 彩色1"/>
    <w:uiPriority w:val="0"/>
    <w:qFormat/>
    <w:tblPr>
      <w:tblCellMar>
        <w:left w:w="0" w:type="dxa"/>
        <w:top w:w="0" w:type="dxa"/>
        <w:right w:w="0" w:type="dxa"/>
        <w:bottom w:w="0" w:type="dxa"/>
      </w:tblCellMar>
    </w:tblPr>
  </w:style>
  <w:style w:type="table" w:styleId="1016" w:customStyle="1">
    <w:name w:val="Grid Table 7 Colorful - Accent 1"/>
    <w:uiPriority w:val="0"/>
    <w:qFormat/>
    <w:tblPr>
      <w:tblCellMar>
        <w:left w:w="0" w:type="dxa"/>
        <w:top w:w="0" w:type="dxa"/>
        <w:right w:w="0" w:type="dxa"/>
        <w:bottom w:w="0" w:type="dxa"/>
      </w:tblCellMar>
    </w:tblPr>
  </w:style>
  <w:style w:type="table" w:styleId="1017" w:customStyle="1">
    <w:name w:val="Grid Table 7 Colorful - Accent 2"/>
    <w:uiPriority w:val="0"/>
    <w:qFormat/>
    <w:tblPr>
      <w:tblCellMar>
        <w:left w:w="0" w:type="dxa"/>
        <w:top w:w="0" w:type="dxa"/>
        <w:right w:w="0" w:type="dxa"/>
        <w:bottom w:w="0" w:type="dxa"/>
      </w:tblCellMar>
    </w:tblPr>
  </w:style>
  <w:style w:type="table" w:styleId="1018" w:customStyle="1">
    <w:name w:val="Grid Table 7 Colorful - Accent 3"/>
    <w:uiPriority w:val="0"/>
    <w:qFormat/>
    <w:tblPr>
      <w:tblCellMar>
        <w:left w:w="0" w:type="dxa"/>
        <w:top w:w="0" w:type="dxa"/>
        <w:right w:w="0" w:type="dxa"/>
        <w:bottom w:w="0" w:type="dxa"/>
      </w:tblCellMar>
    </w:tblPr>
  </w:style>
  <w:style w:type="table" w:styleId="1019" w:customStyle="1">
    <w:name w:val="Grid Table 7 Colorful - Accent 4"/>
    <w:uiPriority w:val="0"/>
    <w:qFormat/>
    <w:tblPr>
      <w:tblCellMar>
        <w:left w:w="0" w:type="dxa"/>
        <w:top w:w="0" w:type="dxa"/>
        <w:right w:w="0" w:type="dxa"/>
        <w:bottom w:w="0" w:type="dxa"/>
      </w:tblCellMar>
    </w:tblPr>
  </w:style>
  <w:style w:type="table" w:styleId="1020" w:customStyle="1">
    <w:name w:val="Grid Table 7 Colorful - Accent 5"/>
    <w:uiPriority w:val="0"/>
    <w:qFormat/>
    <w:tblPr>
      <w:tblCellMar>
        <w:left w:w="0" w:type="dxa"/>
        <w:top w:w="0" w:type="dxa"/>
        <w:right w:w="0" w:type="dxa"/>
        <w:bottom w:w="0" w:type="dxa"/>
      </w:tblCellMar>
    </w:tblPr>
  </w:style>
  <w:style w:type="table" w:styleId="1021" w:customStyle="1">
    <w:name w:val="Grid Table 7 Colorful - Accent 6"/>
    <w:uiPriority w:val="0"/>
    <w:qFormat/>
    <w:tblPr>
      <w:tblCellMar>
        <w:left w:w="0" w:type="dxa"/>
        <w:top w:w="0" w:type="dxa"/>
        <w:right w:w="0" w:type="dxa"/>
        <w:bottom w:w="0" w:type="dxa"/>
      </w:tblCellMar>
    </w:tblPr>
  </w:style>
  <w:style w:type="table" w:styleId="1022" w:customStyle="1">
    <w:name w:val="清单表 1 浅色1"/>
    <w:uiPriority w:val="0"/>
    <w:qFormat/>
    <w:tblPr>
      <w:tblCellMar>
        <w:left w:w="0" w:type="dxa"/>
        <w:top w:w="0" w:type="dxa"/>
        <w:right w:w="0" w:type="dxa"/>
        <w:bottom w:w="0" w:type="dxa"/>
      </w:tblCellMar>
    </w:tblPr>
  </w:style>
  <w:style w:type="table" w:styleId="1023" w:customStyle="1">
    <w:name w:val="List Table 1 Light - Accent 1"/>
    <w:uiPriority w:val="0"/>
    <w:qFormat/>
    <w:tblPr>
      <w:tblCellMar>
        <w:left w:w="0" w:type="dxa"/>
        <w:top w:w="0" w:type="dxa"/>
        <w:right w:w="0" w:type="dxa"/>
        <w:bottom w:w="0" w:type="dxa"/>
      </w:tblCellMar>
    </w:tblPr>
  </w:style>
  <w:style w:type="table" w:styleId="1024" w:customStyle="1">
    <w:name w:val="List Table 1 Light - Accent 2"/>
    <w:uiPriority w:val="0"/>
    <w:qFormat/>
    <w:tblPr>
      <w:tblCellMar>
        <w:left w:w="0" w:type="dxa"/>
        <w:top w:w="0" w:type="dxa"/>
        <w:right w:w="0" w:type="dxa"/>
        <w:bottom w:w="0" w:type="dxa"/>
      </w:tblCellMar>
    </w:tblPr>
  </w:style>
  <w:style w:type="table" w:styleId="1025" w:customStyle="1">
    <w:name w:val="List Table 1 Light - Accent 3"/>
    <w:uiPriority w:val="0"/>
    <w:qFormat/>
    <w:tblPr>
      <w:tblCellMar>
        <w:left w:w="0" w:type="dxa"/>
        <w:top w:w="0" w:type="dxa"/>
        <w:right w:w="0" w:type="dxa"/>
        <w:bottom w:w="0" w:type="dxa"/>
      </w:tblCellMar>
    </w:tblPr>
  </w:style>
  <w:style w:type="table" w:styleId="1026" w:customStyle="1">
    <w:name w:val="List Table 1 Light - Accent 4"/>
    <w:uiPriority w:val="0"/>
    <w:qFormat/>
    <w:tblPr>
      <w:tblCellMar>
        <w:left w:w="0" w:type="dxa"/>
        <w:top w:w="0" w:type="dxa"/>
        <w:right w:w="0" w:type="dxa"/>
        <w:bottom w:w="0" w:type="dxa"/>
      </w:tblCellMar>
    </w:tblPr>
  </w:style>
  <w:style w:type="table" w:styleId="1027" w:customStyle="1">
    <w:name w:val="List Table 1 Light - Accent 5"/>
    <w:uiPriority w:val="0"/>
    <w:qFormat/>
    <w:tblPr>
      <w:tblCellMar>
        <w:left w:w="0" w:type="dxa"/>
        <w:top w:w="0" w:type="dxa"/>
        <w:right w:w="0" w:type="dxa"/>
        <w:bottom w:w="0" w:type="dxa"/>
      </w:tblCellMar>
    </w:tblPr>
  </w:style>
  <w:style w:type="table" w:styleId="1028" w:customStyle="1">
    <w:name w:val="List Table 1 Light - Accent 6"/>
    <w:uiPriority w:val="0"/>
    <w:qFormat/>
    <w:tblPr>
      <w:tblCellMar>
        <w:left w:w="0" w:type="dxa"/>
        <w:top w:w="0" w:type="dxa"/>
        <w:right w:w="0" w:type="dxa"/>
        <w:bottom w:w="0" w:type="dxa"/>
      </w:tblCellMar>
    </w:tblPr>
  </w:style>
  <w:style w:type="table" w:styleId="1029" w:customStyle="1">
    <w:name w:val="清单表 21"/>
    <w:uiPriority w:val="0"/>
    <w:qFormat/>
    <w:tblPr>
      <w:tblCellMar>
        <w:left w:w="0" w:type="dxa"/>
        <w:top w:w="0" w:type="dxa"/>
        <w:right w:w="0" w:type="dxa"/>
        <w:bottom w:w="0" w:type="dxa"/>
      </w:tblCellMar>
    </w:tblPr>
  </w:style>
  <w:style w:type="table" w:styleId="1030" w:customStyle="1">
    <w:name w:val="List Table 2 - Accent 1"/>
    <w:uiPriority w:val="0"/>
    <w:qFormat/>
    <w:tblPr>
      <w:tblCellMar>
        <w:left w:w="0" w:type="dxa"/>
        <w:top w:w="0" w:type="dxa"/>
        <w:right w:w="0" w:type="dxa"/>
        <w:bottom w:w="0" w:type="dxa"/>
      </w:tblCellMar>
    </w:tblPr>
  </w:style>
  <w:style w:type="table" w:styleId="1031" w:customStyle="1">
    <w:name w:val="List Table 2 - Accent 2"/>
    <w:uiPriority w:val="0"/>
    <w:qFormat/>
    <w:tblPr>
      <w:tblCellMar>
        <w:left w:w="0" w:type="dxa"/>
        <w:top w:w="0" w:type="dxa"/>
        <w:right w:w="0" w:type="dxa"/>
        <w:bottom w:w="0" w:type="dxa"/>
      </w:tblCellMar>
    </w:tblPr>
  </w:style>
  <w:style w:type="table" w:styleId="1032" w:customStyle="1">
    <w:name w:val="List Table 2 - Accent 3"/>
    <w:uiPriority w:val="0"/>
    <w:qFormat/>
    <w:tblPr>
      <w:tblCellMar>
        <w:left w:w="0" w:type="dxa"/>
        <w:top w:w="0" w:type="dxa"/>
        <w:right w:w="0" w:type="dxa"/>
        <w:bottom w:w="0" w:type="dxa"/>
      </w:tblCellMar>
    </w:tblPr>
  </w:style>
  <w:style w:type="table" w:styleId="1033" w:customStyle="1">
    <w:name w:val="List Table 2 - Accent 4"/>
    <w:uiPriority w:val="0"/>
    <w:qFormat/>
    <w:tblPr>
      <w:tblCellMar>
        <w:left w:w="0" w:type="dxa"/>
        <w:top w:w="0" w:type="dxa"/>
        <w:right w:w="0" w:type="dxa"/>
        <w:bottom w:w="0" w:type="dxa"/>
      </w:tblCellMar>
    </w:tblPr>
  </w:style>
  <w:style w:type="table" w:styleId="1034" w:customStyle="1">
    <w:name w:val="List Table 2 - Accent 5"/>
    <w:uiPriority w:val="0"/>
    <w:qFormat/>
    <w:tblPr>
      <w:tblCellMar>
        <w:left w:w="0" w:type="dxa"/>
        <w:top w:w="0" w:type="dxa"/>
        <w:right w:w="0" w:type="dxa"/>
        <w:bottom w:w="0" w:type="dxa"/>
      </w:tblCellMar>
    </w:tblPr>
  </w:style>
  <w:style w:type="table" w:styleId="1035" w:customStyle="1">
    <w:name w:val="List Table 2 - Accent 6"/>
    <w:uiPriority w:val="0"/>
    <w:qFormat/>
    <w:tblPr>
      <w:tblCellMar>
        <w:left w:w="0" w:type="dxa"/>
        <w:top w:w="0" w:type="dxa"/>
        <w:right w:w="0" w:type="dxa"/>
        <w:bottom w:w="0" w:type="dxa"/>
      </w:tblCellMar>
    </w:tblPr>
  </w:style>
  <w:style w:type="table" w:styleId="1036" w:customStyle="1">
    <w:name w:val="清单表 31"/>
    <w:uiPriority w:val="0"/>
    <w:qFormat/>
    <w:tblPr>
      <w:tblCellMar>
        <w:left w:w="0" w:type="dxa"/>
        <w:top w:w="0" w:type="dxa"/>
        <w:right w:w="0" w:type="dxa"/>
        <w:bottom w:w="0" w:type="dxa"/>
      </w:tblCellMar>
    </w:tblPr>
  </w:style>
  <w:style w:type="table" w:styleId="1037" w:customStyle="1">
    <w:name w:val="List Table 3 - Accent 1"/>
    <w:uiPriority w:val="0"/>
    <w:qFormat/>
    <w:tblPr>
      <w:tblCellMar>
        <w:left w:w="0" w:type="dxa"/>
        <w:top w:w="0" w:type="dxa"/>
        <w:right w:w="0" w:type="dxa"/>
        <w:bottom w:w="0" w:type="dxa"/>
      </w:tblCellMar>
    </w:tblPr>
  </w:style>
  <w:style w:type="table" w:styleId="1038" w:customStyle="1">
    <w:name w:val="List Table 3 - Accent 2"/>
    <w:uiPriority w:val="0"/>
    <w:qFormat/>
    <w:tblPr>
      <w:tblCellMar>
        <w:left w:w="0" w:type="dxa"/>
        <w:top w:w="0" w:type="dxa"/>
        <w:right w:w="0" w:type="dxa"/>
        <w:bottom w:w="0" w:type="dxa"/>
      </w:tblCellMar>
    </w:tblPr>
  </w:style>
  <w:style w:type="table" w:styleId="1039" w:customStyle="1">
    <w:name w:val="List Table 3 - Accent 3"/>
    <w:uiPriority w:val="0"/>
    <w:qFormat/>
    <w:tblPr>
      <w:tblCellMar>
        <w:left w:w="0" w:type="dxa"/>
        <w:top w:w="0" w:type="dxa"/>
        <w:right w:w="0" w:type="dxa"/>
        <w:bottom w:w="0" w:type="dxa"/>
      </w:tblCellMar>
    </w:tblPr>
  </w:style>
  <w:style w:type="table" w:styleId="1040" w:customStyle="1">
    <w:name w:val="List Table 3 - Accent 4"/>
    <w:uiPriority w:val="0"/>
    <w:qFormat/>
    <w:tblPr>
      <w:tblCellMar>
        <w:left w:w="0" w:type="dxa"/>
        <w:top w:w="0" w:type="dxa"/>
        <w:right w:w="0" w:type="dxa"/>
        <w:bottom w:w="0" w:type="dxa"/>
      </w:tblCellMar>
    </w:tblPr>
  </w:style>
  <w:style w:type="table" w:styleId="1041" w:customStyle="1">
    <w:name w:val="List Table 3 - Accent 5"/>
    <w:uiPriority w:val="0"/>
    <w:qFormat/>
    <w:tblPr>
      <w:tblCellMar>
        <w:left w:w="0" w:type="dxa"/>
        <w:top w:w="0" w:type="dxa"/>
        <w:right w:w="0" w:type="dxa"/>
        <w:bottom w:w="0" w:type="dxa"/>
      </w:tblCellMar>
    </w:tblPr>
  </w:style>
  <w:style w:type="table" w:styleId="1042" w:customStyle="1">
    <w:name w:val="List Table 3 - Accent 6"/>
    <w:uiPriority w:val="0"/>
    <w:qFormat/>
    <w:tblPr>
      <w:tblCellMar>
        <w:left w:w="0" w:type="dxa"/>
        <w:top w:w="0" w:type="dxa"/>
        <w:right w:w="0" w:type="dxa"/>
        <w:bottom w:w="0" w:type="dxa"/>
      </w:tblCellMar>
    </w:tblPr>
  </w:style>
  <w:style w:type="table" w:styleId="1043" w:customStyle="1">
    <w:name w:val="清单表 41"/>
    <w:uiPriority w:val="0"/>
    <w:qFormat/>
    <w:tblPr>
      <w:tblCellMar>
        <w:left w:w="0" w:type="dxa"/>
        <w:top w:w="0" w:type="dxa"/>
        <w:right w:w="0" w:type="dxa"/>
        <w:bottom w:w="0" w:type="dxa"/>
      </w:tblCellMar>
    </w:tblPr>
  </w:style>
  <w:style w:type="table" w:styleId="1044" w:customStyle="1">
    <w:name w:val="List Table 4 - Accent 1"/>
    <w:uiPriority w:val="0"/>
    <w:qFormat/>
    <w:tblPr>
      <w:tblCellMar>
        <w:left w:w="0" w:type="dxa"/>
        <w:top w:w="0" w:type="dxa"/>
        <w:right w:w="0" w:type="dxa"/>
        <w:bottom w:w="0" w:type="dxa"/>
      </w:tblCellMar>
    </w:tblPr>
  </w:style>
  <w:style w:type="table" w:styleId="1045" w:customStyle="1">
    <w:name w:val="List Table 4 - Accent 2"/>
    <w:uiPriority w:val="0"/>
    <w:qFormat/>
    <w:tblPr>
      <w:tblCellMar>
        <w:left w:w="0" w:type="dxa"/>
        <w:top w:w="0" w:type="dxa"/>
        <w:right w:w="0" w:type="dxa"/>
        <w:bottom w:w="0" w:type="dxa"/>
      </w:tblCellMar>
    </w:tblPr>
  </w:style>
  <w:style w:type="table" w:styleId="1046" w:customStyle="1">
    <w:name w:val="List Table 4 - Accent 3"/>
    <w:uiPriority w:val="0"/>
    <w:qFormat/>
    <w:tblPr>
      <w:tblCellMar>
        <w:left w:w="0" w:type="dxa"/>
        <w:top w:w="0" w:type="dxa"/>
        <w:right w:w="0" w:type="dxa"/>
        <w:bottom w:w="0" w:type="dxa"/>
      </w:tblCellMar>
    </w:tblPr>
  </w:style>
  <w:style w:type="table" w:styleId="1047" w:customStyle="1">
    <w:name w:val="List Table 4 - Accent 4"/>
    <w:uiPriority w:val="0"/>
    <w:qFormat/>
    <w:tblPr>
      <w:tblCellMar>
        <w:left w:w="0" w:type="dxa"/>
        <w:top w:w="0" w:type="dxa"/>
        <w:right w:w="0" w:type="dxa"/>
        <w:bottom w:w="0" w:type="dxa"/>
      </w:tblCellMar>
    </w:tblPr>
  </w:style>
  <w:style w:type="table" w:styleId="1048" w:customStyle="1">
    <w:name w:val="List Table 4 - Accent 5"/>
    <w:uiPriority w:val="0"/>
    <w:qFormat/>
    <w:tblPr>
      <w:tblCellMar>
        <w:left w:w="0" w:type="dxa"/>
        <w:top w:w="0" w:type="dxa"/>
        <w:right w:w="0" w:type="dxa"/>
        <w:bottom w:w="0" w:type="dxa"/>
      </w:tblCellMar>
    </w:tblPr>
  </w:style>
  <w:style w:type="table" w:styleId="1049" w:customStyle="1">
    <w:name w:val="List Table 4 - Accent 6"/>
    <w:uiPriority w:val="0"/>
    <w:qFormat/>
    <w:tblPr>
      <w:tblCellMar>
        <w:left w:w="0" w:type="dxa"/>
        <w:top w:w="0" w:type="dxa"/>
        <w:right w:w="0" w:type="dxa"/>
        <w:bottom w:w="0" w:type="dxa"/>
      </w:tblCellMar>
    </w:tblPr>
  </w:style>
  <w:style w:type="table" w:styleId="1050" w:customStyle="1">
    <w:name w:val="清单表 5 深色1"/>
    <w:uiPriority w:val="0"/>
    <w:qFormat/>
    <w:tblPr>
      <w:tblCellMar>
        <w:left w:w="0" w:type="dxa"/>
        <w:top w:w="0" w:type="dxa"/>
        <w:right w:w="0" w:type="dxa"/>
        <w:bottom w:w="0" w:type="dxa"/>
      </w:tblCellMar>
    </w:tblPr>
  </w:style>
  <w:style w:type="table" w:styleId="1051" w:customStyle="1">
    <w:name w:val="List Table 5 Dark - Accent 1"/>
    <w:uiPriority w:val="0"/>
    <w:qFormat/>
    <w:tblPr>
      <w:tblCellMar>
        <w:left w:w="0" w:type="dxa"/>
        <w:top w:w="0" w:type="dxa"/>
        <w:right w:w="0" w:type="dxa"/>
        <w:bottom w:w="0" w:type="dxa"/>
      </w:tblCellMar>
    </w:tblPr>
  </w:style>
  <w:style w:type="table" w:styleId="1052" w:customStyle="1">
    <w:name w:val="List Table 5 Dark - Accent 2"/>
    <w:uiPriority w:val="0"/>
    <w:qFormat/>
    <w:tblPr>
      <w:tblCellMar>
        <w:left w:w="0" w:type="dxa"/>
        <w:top w:w="0" w:type="dxa"/>
        <w:right w:w="0" w:type="dxa"/>
        <w:bottom w:w="0" w:type="dxa"/>
      </w:tblCellMar>
    </w:tblPr>
  </w:style>
  <w:style w:type="table" w:styleId="1053" w:customStyle="1">
    <w:name w:val="List Table 5 Dark - Accent 3"/>
    <w:uiPriority w:val="0"/>
    <w:qFormat/>
    <w:tblPr>
      <w:tblCellMar>
        <w:left w:w="0" w:type="dxa"/>
        <w:top w:w="0" w:type="dxa"/>
        <w:right w:w="0" w:type="dxa"/>
        <w:bottom w:w="0" w:type="dxa"/>
      </w:tblCellMar>
    </w:tblPr>
  </w:style>
  <w:style w:type="table" w:styleId="1054" w:customStyle="1">
    <w:name w:val="List Table 5 Dark - Accent 4"/>
    <w:uiPriority w:val="0"/>
    <w:qFormat/>
    <w:tblPr>
      <w:tblCellMar>
        <w:left w:w="0" w:type="dxa"/>
        <w:top w:w="0" w:type="dxa"/>
        <w:right w:w="0" w:type="dxa"/>
        <w:bottom w:w="0" w:type="dxa"/>
      </w:tblCellMar>
    </w:tblPr>
  </w:style>
  <w:style w:type="table" w:styleId="1055" w:customStyle="1">
    <w:name w:val="List Table 5 Dark - Accent 5"/>
    <w:uiPriority w:val="0"/>
    <w:qFormat/>
    <w:tblPr>
      <w:tblCellMar>
        <w:left w:w="0" w:type="dxa"/>
        <w:top w:w="0" w:type="dxa"/>
        <w:right w:w="0" w:type="dxa"/>
        <w:bottom w:w="0" w:type="dxa"/>
      </w:tblCellMar>
    </w:tblPr>
  </w:style>
  <w:style w:type="table" w:styleId="1056" w:customStyle="1">
    <w:name w:val="List Table 5 Dark - Accent 6"/>
    <w:uiPriority w:val="0"/>
    <w:qFormat/>
    <w:tblPr>
      <w:tblCellMar>
        <w:left w:w="0" w:type="dxa"/>
        <w:top w:w="0" w:type="dxa"/>
        <w:right w:w="0" w:type="dxa"/>
        <w:bottom w:w="0" w:type="dxa"/>
      </w:tblCellMar>
    </w:tblPr>
  </w:style>
  <w:style w:type="table" w:styleId="1057" w:customStyle="1">
    <w:name w:val="清单表 6 彩色1"/>
    <w:uiPriority w:val="0"/>
    <w:qFormat/>
    <w:tblPr>
      <w:tblCellMar>
        <w:left w:w="0" w:type="dxa"/>
        <w:top w:w="0" w:type="dxa"/>
        <w:right w:w="0" w:type="dxa"/>
        <w:bottom w:w="0" w:type="dxa"/>
      </w:tblCellMar>
    </w:tblPr>
  </w:style>
  <w:style w:type="table" w:styleId="1058" w:customStyle="1">
    <w:name w:val="List Table 6 Colorful - Accent 1"/>
    <w:uiPriority w:val="0"/>
    <w:qFormat/>
    <w:tblPr>
      <w:tblCellMar>
        <w:left w:w="0" w:type="dxa"/>
        <w:top w:w="0" w:type="dxa"/>
        <w:right w:w="0" w:type="dxa"/>
        <w:bottom w:w="0" w:type="dxa"/>
      </w:tblCellMar>
    </w:tblPr>
  </w:style>
  <w:style w:type="table" w:styleId="1059" w:customStyle="1">
    <w:name w:val="List Table 6 Colorful - Accent 2"/>
    <w:uiPriority w:val="0"/>
    <w:qFormat/>
    <w:tblPr>
      <w:tblCellMar>
        <w:left w:w="0" w:type="dxa"/>
        <w:top w:w="0" w:type="dxa"/>
        <w:right w:w="0" w:type="dxa"/>
        <w:bottom w:w="0" w:type="dxa"/>
      </w:tblCellMar>
    </w:tblPr>
  </w:style>
  <w:style w:type="table" w:styleId="1060" w:customStyle="1">
    <w:name w:val="List Table 6 Colorful - Accent 3"/>
    <w:uiPriority w:val="0"/>
    <w:qFormat/>
    <w:tblPr>
      <w:tblCellMar>
        <w:left w:w="0" w:type="dxa"/>
        <w:top w:w="0" w:type="dxa"/>
        <w:right w:w="0" w:type="dxa"/>
        <w:bottom w:w="0" w:type="dxa"/>
      </w:tblCellMar>
    </w:tblPr>
  </w:style>
  <w:style w:type="table" w:styleId="1061" w:customStyle="1">
    <w:name w:val="List Table 6 Colorful - Accent 4"/>
    <w:uiPriority w:val="0"/>
    <w:qFormat/>
    <w:tblPr>
      <w:tblCellMar>
        <w:left w:w="0" w:type="dxa"/>
        <w:top w:w="0" w:type="dxa"/>
        <w:right w:w="0" w:type="dxa"/>
        <w:bottom w:w="0" w:type="dxa"/>
      </w:tblCellMar>
    </w:tblPr>
  </w:style>
  <w:style w:type="table" w:styleId="1062" w:customStyle="1">
    <w:name w:val="List Table 6 Colorful - Accent 5"/>
    <w:uiPriority w:val="0"/>
    <w:qFormat/>
    <w:tblPr>
      <w:tblCellMar>
        <w:left w:w="0" w:type="dxa"/>
        <w:top w:w="0" w:type="dxa"/>
        <w:right w:w="0" w:type="dxa"/>
        <w:bottom w:w="0" w:type="dxa"/>
      </w:tblCellMar>
    </w:tblPr>
  </w:style>
  <w:style w:type="table" w:styleId="1063" w:customStyle="1">
    <w:name w:val="List Table 6 Colorful - Accent 6"/>
    <w:uiPriority w:val="0"/>
    <w:qFormat/>
    <w:tblPr>
      <w:tblCellMar>
        <w:left w:w="0" w:type="dxa"/>
        <w:top w:w="0" w:type="dxa"/>
        <w:right w:w="0" w:type="dxa"/>
        <w:bottom w:w="0" w:type="dxa"/>
      </w:tblCellMar>
    </w:tblPr>
  </w:style>
  <w:style w:type="table" w:styleId="1064" w:customStyle="1">
    <w:name w:val="清单表 7 彩色1"/>
    <w:uiPriority w:val="0"/>
    <w:qFormat/>
    <w:tblPr>
      <w:tblCellMar>
        <w:left w:w="0" w:type="dxa"/>
        <w:top w:w="0" w:type="dxa"/>
        <w:right w:w="0" w:type="dxa"/>
        <w:bottom w:w="0" w:type="dxa"/>
      </w:tblCellMar>
    </w:tblPr>
  </w:style>
  <w:style w:type="table" w:styleId="1065" w:customStyle="1">
    <w:name w:val="List Table 7 Colorful - Accent 1"/>
    <w:uiPriority w:val="0"/>
    <w:qFormat/>
    <w:tblPr>
      <w:tblCellMar>
        <w:left w:w="0" w:type="dxa"/>
        <w:top w:w="0" w:type="dxa"/>
        <w:right w:w="0" w:type="dxa"/>
        <w:bottom w:w="0" w:type="dxa"/>
      </w:tblCellMar>
    </w:tblPr>
  </w:style>
  <w:style w:type="table" w:styleId="1066" w:customStyle="1">
    <w:name w:val="List Table 7 Colorful - Accent 2"/>
    <w:uiPriority w:val="0"/>
    <w:qFormat/>
    <w:tblPr>
      <w:tblCellMar>
        <w:left w:w="0" w:type="dxa"/>
        <w:top w:w="0" w:type="dxa"/>
        <w:right w:w="0" w:type="dxa"/>
        <w:bottom w:w="0" w:type="dxa"/>
      </w:tblCellMar>
    </w:tblPr>
  </w:style>
  <w:style w:type="table" w:styleId="1067" w:customStyle="1">
    <w:name w:val="List Table 7 Colorful - Accent 3"/>
    <w:uiPriority w:val="0"/>
    <w:qFormat/>
    <w:tblPr>
      <w:tblCellMar>
        <w:left w:w="0" w:type="dxa"/>
        <w:top w:w="0" w:type="dxa"/>
        <w:right w:w="0" w:type="dxa"/>
        <w:bottom w:w="0" w:type="dxa"/>
      </w:tblCellMar>
    </w:tblPr>
  </w:style>
  <w:style w:type="table" w:styleId="1068" w:customStyle="1">
    <w:name w:val="List Table 7 Colorful - Accent 4"/>
    <w:uiPriority w:val="0"/>
    <w:qFormat/>
    <w:tblPr>
      <w:tblCellMar>
        <w:left w:w="0" w:type="dxa"/>
        <w:top w:w="0" w:type="dxa"/>
        <w:right w:w="0" w:type="dxa"/>
        <w:bottom w:w="0" w:type="dxa"/>
      </w:tblCellMar>
    </w:tblPr>
  </w:style>
  <w:style w:type="table" w:styleId="1069" w:customStyle="1">
    <w:name w:val="List Table 7 Colorful - Accent 5"/>
    <w:uiPriority w:val="0"/>
    <w:qFormat/>
    <w:tblPr>
      <w:tblCellMar>
        <w:left w:w="0" w:type="dxa"/>
        <w:top w:w="0" w:type="dxa"/>
        <w:right w:w="0" w:type="dxa"/>
        <w:bottom w:w="0" w:type="dxa"/>
      </w:tblCellMar>
    </w:tblPr>
  </w:style>
  <w:style w:type="table" w:styleId="1070" w:customStyle="1">
    <w:name w:val="List Table 7 Colorful - Accent 6"/>
    <w:uiPriority w:val="0"/>
    <w:qFormat/>
    <w:tblPr>
      <w:tblCellMar>
        <w:left w:w="0" w:type="dxa"/>
        <w:top w:w="0" w:type="dxa"/>
        <w:right w:w="0" w:type="dxa"/>
        <w:bottom w:w="0" w:type="dxa"/>
      </w:tblCellMar>
    </w:tblPr>
  </w:style>
  <w:style w:type="table" w:styleId="1071" w:customStyle="1">
    <w:name w:val="Lined - Accent"/>
    <w:uiPriority w:val="0"/>
    <w:qFormat/>
    <w:rPr>
      <w:color w:val="404040"/>
    </w:rPr>
    <w:tblPr>
      <w:tblCellMar>
        <w:left w:w="0" w:type="dxa"/>
        <w:top w:w="0" w:type="dxa"/>
        <w:right w:w="0" w:type="dxa"/>
        <w:bottom w:w="0" w:type="dxa"/>
      </w:tblCellMar>
    </w:tblPr>
  </w:style>
  <w:style w:type="table" w:styleId="1072" w:customStyle="1">
    <w:name w:val="Lined - Accent 1"/>
    <w:uiPriority w:val="0"/>
    <w:qFormat/>
    <w:rPr>
      <w:color w:val="404040"/>
    </w:rPr>
    <w:tblPr>
      <w:tblCellMar>
        <w:left w:w="0" w:type="dxa"/>
        <w:top w:w="0" w:type="dxa"/>
        <w:right w:w="0" w:type="dxa"/>
        <w:bottom w:w="0" w:type="dxa"/>
      </w:tblCellMar>
    </w:tblPr>
  </w:style>
  <w:style w:type="table" w:styleId="1073" w:customStyle="1">
    <w:name w:val="Lined - Accent 2"/>
    <w:uiPriority w:val="0"/>
    <w:qFormat/>
    <w:rPr>
      <w:color w:val="404040"/>
    </w:rPr>
    <w:tblPr>
      <w:tblCellMar>
        <w:left w:w="0" w:type="dxa"/>
        <w:top w:w="0" w:type="dxa"/>
        <w:right w:w="0" w:type="dxa"/>
        <w:bottom w:w="0" w:type="dxa"/>
      </w:tblCellMar>
    </w:tblPr>
  </w:style>
  <w:style w:type="table" w:styleId="1074" w:customStyle="1">
    <w:name w:val="Lined - Accent 3"/>
    <w:uiPriority w:val="0"/>
    <w:qFormat/>
    <w:rPr>
      <w:color w:val="404040"/>
    </w:rPr>
    <w:tblPr>
      <w:tblCellMar>
        <w:left w:w="0" w:type="dxa"/>
        <w:top w:w="0" w:type="dxa"/>
        <w:right w:w="0" w:type="dxa"/>
        <w:bottom w:w="0" w:type="dxa"/>
      </w:tblCellMar>
    </w:tblPr>
  </w:style>
  <w:style w:type="table" w:styleId="1075" w:customStyle="1">
    <w:name w:val="Lined - Accent 4"/>
    <w:uiPriority w:val="0"/>
    <w:qFormat/>
    <w:rPr>
      <w:color w:val="404040"/>
    </w:rPr>
    <w:tblPr>
      <w:tblCellMar>
        <w:left w:w="0" w:type="dxa"/>
        <w:top w:w="0" w:type="dxa"/>
        <w:right w:w="0" w:type="dxa"/>
        <w:bottom w:w="0" w:type="dxa"/>
      </w:tblCellMar>
    </w:tblPr>
  </w:style>
  <w:style w:type="table" w:styleId="1076" w:customStyle="1">
    <w:name w:val="Lined - Accent 5"/>
    <w:uiPriority w:val="0"/>
    <w:qFormat/>
    <w:rPr>
      <w:color w:val="404040"/>
    </w:rPr>
    <w:tblPr>
      <w:tblCellMar>
        <w:left w:w="0" w:type="dxa"/>
        <w:top w:w="0" w:type="dxa"/>
        <w:right w:w="0" w:type="dxa"/>
        <w:bottom w:w="0" w:type="dxa"/>
      </w:tblCellMar>
    </w:tblPr>
  </w:style>
  <w:style w:type="table" w:styleId="1077" w:customStyle="1">
    <w:name w:val="Lined - Accent 6"/>
    <w:uiPriority w:val="0"/>
    <w:qFormat/>
    <w:rPr>
      <w:color w:val="404040"/>
    </w:rPr>
    <w:tblPr>
      <w:tblCellMar>
        <w:left w:w="0" w:type="dxa"/>
        <w:top w:w="0" w:type="dxa"/>
        <w:right w:w="0" w:type="dxa"/>
        <w:bottom w:w="0" w:type="dxa"/>
      </w:tblCellMar>
    </w:tblPr>
  </w:style>
  <w:style w:type="table" w:styleId="1078" w:customStyle="1">
    <w:name w:val="Bordered &amp; Lined - Accent"/>
    <w:uiPriority w:val="0"/>
    <w:qFormat/>
    <w:rPr>
      <w:color w:val="404040"/>
    </w:rPr>
    <w:tblPr>
      <w:tblCellMar>
        <w:left w:w="0" w:type="dxa"/>
        <w:top w:w="0" w:type="dxa"/>
        <w:right w:w="0" w:type="dxa"/>
        <w:bottom w:w="0" w:type="dxa"/>
      </w:tblCellMar>
    </w:tblPr>
  </w:style>
  <w:style w:type="table" w:styleId="1079" w:customStyle="1">
    <w:name w:val="Bordered &amp; Lined - Accent 1"/>
    <w:uiPriority w:val="0"/>
    <w:qFormat/>
    <w:rPr>
      <w:color w:val="404040"/>
    </w:rPr>
    <w:tblPr>
      <w:tblCellMar>
        <w:left w:w="0" w:type="dxa"/>
        <w:top w:w="0" w:type="dxa"/>
        <w:right w:w="0" w:type="dxa"/>
        <w:bottom w:w="0" w:type="dxa"/>
      </w:tblCellMar>
    </w:tblPr>
  </w:style>
  <w:style w:type="table" w:styleId="1080" w:customStyle="1">
    <w:name w:val="Bordered &amp; Lined - Accent 2"/>
    <w:uiPriority w:val="0"/>
    <w:qFormat/>
    <w:rPr>
      <w:color w:val="404040"/>
    </w:rPr>
    <w:tblPr>
      <w:tblCellMar>
        <w:left w:w="0" w:type="dxa"/>
        <w:top w:w="0" w:type="dxa"/>
        <w:right w:w="0" w:type="dxa"/>
        <w:bottom w:w="0" w:type="dxa"/>
      </w:tblCellMar>
    </w:tblPr>
  </w:style>
  <w:style w:type="table" w:styleId="1081" w:customStyle="1">
    <w:name w:val="Bordered &amp; Lined - Accent 3"/>
    <w:uiPriority w:val="0"/>
    <w:qFormat/>
    <w:rPr>
      <w:color w:val="404040"/>
    </w:rPr>
    <w:tblPr>
      <w:tblCellMar>
        <w:left w:w="0" w:type="dxa"/>
        <w:top w:w="0" w:type="dxa"/>
        <w:right w:w="0" w:type="dxa"/>
        <w:bottom w:w="0" w:type="dxa"/>
      </w:tblCellMar>
    </w:tblPr>
  </w:style>
  <w:style w:type="table" w:styleId="1082" w:customStyle="1">
    <w:name w:val="Bordered &amp; Lined - Accent 4"/>
    <w:uiPriority w:val="0"/>
    <w:qFormat/>
    <w:rPr>
      <w:color w:val="404040"/>
    </w:rPr>
    <w:tblPr>
      <w:tblCellMar>
        <w:left w:w="0" w:type="dxa"/>
        <w:top w:w="0" w:type="dxa"/>
        <w:right w:w="0" w:type="dxa"/>
        <w:bottom w:w="0" w:type="dxa"/>
      </w:tblCellMar>
    </w:tblPr>
  </w:style>
  <w:style w:type="table" w:styleId="1083" w:customStyle="1">
    <w:name w:val="Bordered &amp; Lined - Accent 5"/>
    <w:uiPriority w:val="0"/>
    <w:qFormat/>
    <w:rPr>
      <w:color w:val="404040"/>
    </w:rPr>
    <w:tblPr>
      <w:tblCellMar>
        <w:left w:w="0" w:type="dxa"/>
        <w:top w:w="0" w:type="dxa"/>
        <w:right w:w="0" w:type="dxa"/>
        <w:bottom w:w="0" w:type="dxa"/>
      </w:tblCellMar>
    </w:tblPr>
  </w:style>
  <w:style w:type="table" w:styleId="1084" w:customStyle="1">
    <w:name w:val="Bordered &amp; Lined - Accent 6"/>
    <w:uiPriority w:val="0"/>
    <w:qFormat/>
    <w:rPr>
      <w:color w:val="404040"/>
    </w:rPr>
    <w:tblPr>
      <w:tblCellMar>
        <w:left w:w="0" w:type="dxa"/>
        <w:top w:w="0" w:type="dxa"/>
        <w:right w:w="0" w:type="dxa"/>
        <w:bottom w:w="0" w:type="dxa"/>
      </w:tblCellMar>
    </w:tblPr>
  </w:style>
  <w:style w:type="table" w:styleId="1085" w:customStyle="1">
    <w:name w:val="Bordered"/>
    <w:uiPriority w:val="0"/>
    <w:qFormat/>
    <w:tblPr>
      <w:tblCellMar>
        <w:left w:w="0" w:type="dxa"/>
        <w:top w:w="0" w:type="dxa"/>
        <w:right w:w="0" w:type="dxa"/>
        <w:bottom w:w="0" w:type="dxa"/>
      </w:tblCellMar>
    </w:tblPr>
  </w:style>
  <w:style w:type="table" w:styleId="1086" w:customStyle="1">
    <w:name w:val="Bordered - Accent 1"/>
    <w:uiPriority w:val="0"/>
    <w:qFormat/>
    <w:tblPr>
      <w:tblCellMar>
        <w:left w:w="0" w:type="dxa"/>
        <w:top w:w="0" w:type="dxa"/>
        <w:right w:w="0" w:type="dxa"/>
        <w:bottom w:w="0" w:type="dxa"/>
      </w:tblCellMar>
    </w:tblPr>
  </w:style>
  <w:style w:type="table" w:styleId="1087" w:customStyle="1">
    <w:name w:val="Bordered - Accent 2"/>
    <w:uiPriority w:val="0"/>
    <w:qFormat/>
    <w:tblPr>
      <w:tblCellMar>
        <w:left w:w="0" w:type="dxa"/>
        <w:top w:w="0" w:type="dxa"/>
        <w:right w:w="0" w:type="dxa"/>
        <w:bottom w:w="0" w:type="dxa"/>
      </w:tblCellMar>
    </w:tblPr>
  </w:style>
  <w:style w:type="table" w:styleId="1088" w:customStyle="1">
    <w:name w:val="Bordered - Accent 3"/>
    <w:uiPriority w:val="0"/>
    <w:qFormat/>
    <w:tblPr>
      <w:tblCellMar>
        <w:left w:w="0" w:type="dxa"/>
        <w:top w:w="0" w:type="dxa"/>
        <w:right w:w="0" w:type="dxa"/>
        <w:bottom w:w="0" w:type="dxa"/>
      </w:tblCellMar>
    </w:tblPr>
  </w:style>
  <w:style w:type="table" w:styleId="1089" w:customStyle="1">
    <w:name w:val="Bordered - Accent 4"/>
    <w:uiPriority w:val="0"/>
    <w:qFormat/>
    <w:tblPr>
      <w:tblCellMar>
        <w:left w:w="0" w:type="dxa"/>
        <w:top w:w="0" w:type="dxa"/>
        <w:right w:w="0" w:type="dxa"/>
        <w:bottom w:w="0" w:type="dxa"/>
      </w:tblCellMar>
    </w:tblPr>
  </w:style>
  <w:style w:type="table" w:styleId="1090" w:customStyle="1">
    <w:name w:val="Bordered - Accent 5"/>
    <w:uiPriority w:val="0"/>
    <w:qFormat/>
    <w:tblPr>
      <w:tblCellMar>
        <w:left w:w="0" w:type="dxa"/>
        <w:top w:w="0" w:type="dxa"/>
        <w:right w:w="0" w:type="dxa"/>
        <w:bottom w:w="0" w:type="dxa"/>
      </w:tblCellMar>
    </w:tblPr>
  </w:style>
  <w:style w:type="table" w:styleId="1091" w:customStyle="1">
    <w:name w:val="Bordered - Accent 6"/>
    <w:uiPriority w:val="0"/>
    <w:qFormat/>
    <w:tblPr>
      <w:tblCellMar>
        <w:left w:w="0" w:type="dxa"/>
        <w:top w:w="0" w:type="dxa"/>
        <w:right w:w="0" w:type="dxa"/>
        <w:bottom w:w="0" w:type="dxa"/>
      </w:tblCellMar>
    </w:tblPr>
  </w:style>
  <w:style w:type="paragraph" w:styleId="1092" w:customStyle="1">
    <w:name w:val="TOC 标题11"/>
    <w:uiPriority w:val="0"/>
    <w:qFormat/>
    <w:rPr>
      <w:rFonts w:ascii="Times New Roman" w:hAnsi="Times New Roman" w:eastAsia="宋体" w:cs="Times New Roman"/>
      <w:lang w:val="en-US" w:eastAsia="zh-CN" w:bidi="ar-SA"/>
    </w:rPr>
  </w:style>
  <w:style w:type="paragraph" w:styleId="1093" w:customStyle="1">
    <w:name w:val="标题 11"/>
    <w:basedOn w:val="801"/>
    <w:uiPriority w:val="0"/>
    <w:qFormat/>
    <w:pPr>
      <w:keepLines/>
      <w:keepNext/>
      <w:spacing w:before="340" w:after="330" w:line="578" w:lineRule="auto"/>
      <w:outlineLvl w:val="0"/>
    </w:pPr>
    <w:rPr>
      <w:b/>
      <w:bCs/>
      <w:sz w:val="44"/>
      <w:szCs w:val="44"/>
    </w:rPr>
  </w:style>
  <w:style w:type="paragraph" w:styleId="1094" w:customStyle="1">
    <w:name w:val="标题 211"/>
    <w:basedOn w:val="801"/>
    <w:uiPriority w:val="0"/>
    <w:qFormat/>
    <w:pPr>
      <w:jc w:val="center"/>
      <w:keepLines/>
      <w:keepNext/>
      <w:spacing w:before="260" w:after="260" w:line="416" w:lineRule="auto"/>
      <w:outlineLvl w:val="1"/>
    </w:pPr>
    <w:rPr>
      <w:rFonts w:ascii="Arial" w:hAnsi="Arial" w:eastAsia="幼圆"/>
      <w:b/>
      <w:bCs/>
      <w:sz w:val="44"/>
      <w:szCs w:val="44"/>
    </w:rPr>
  </w:style>
  <w:style w:type="paragraph" w:styleId="1095" w:customStyle="1">
    <w:name w:val="正文缩进11"/>
    <w:basedOn w:val="801"/>
    <w:uiPriority w:val="0"/>
    <w:qFormat/>
    <w:pPr>
      <w:ind w:firstLine="420"/>
    </w:pPr>
  </w:style>
  <w:style w:type="paragraph" w:styleId="1096" w:customStyle="1">
    <w:name w:val="标题 31"/>
    <w:basedOn w:val="801"/>
    <w:uiPriority w:val="0"/>
    <w:qFormat/>
    <w:pPr>
      <w:keepLines/>
      <w:keepNext/>
      <w:spacing w:before="260" w:after="260" w:line="416" w:lineRule="auto"/>
      <w:outlineLvl w:val="2"/>
    </w:pPr>
    <w:rPr>
      <w:b/>
      <w:bCs/>
      <w:sz w:val="32"/>
      <w:szCs w:val="32"/>
    </w:rPr>
  </w:style>
  <w:style w:type="paragraph" w:styleId="1097" w:customStyle="1">
    <w:name w:val="标题 41"/>
    <w:basedOn w:val="801"/>
    <w:uiPriority w:val="0"/>
    <w:qFormat/>
    <w:pPr>
      <w:spacing w:before="280" w:after="290" w:line="377" w:lineRule="auto"/>
      <w:outlineLvl w:val="3"/>
    </w:pPr>
    <w:rPr>
      <w:rFonts w:ascii="Arial" w:hAnsi="Arial" w:eastAsia="黑体"/>
      <w:b/>
      <w:bCs/>
      <w:sz w:val="28"/>
      <w:szCs w:val="28"/>
    </w:rPr>
  </w:style>
  <w:style w:type="paragraph" w:styleId="1098" w:customStyle="1">
    <w:name w:val="正文缩进1"/>
    <w:basedOn w:val="801"/>
    <w:uiPriority w:val="0"/>
    <w:qFormat/>
    <w:pPr>
      <w:ind w:firstLine="420"/>
    </w:pPr>
  </w:style>
  <w:style w:type="character" w:styleId="1099" w:customStyle="1">
    <w:name w:val="默认段落字体1"/>
    <w:uiPriority w:val="0"/>
    <w:qFormat/>
  </w:style>
  <w:style w:type="table" w:styleId="1100" w:customStyle="1">
    <w:name w:val="普通表格1"/>
    <w:uiPriority w:val="0"/>
    <w:qFormat/>
    <w:tblPr>
      <w:tblCellMar>
        <w:left w:w="0" w:type="dxa"/>
        <w:top w:w="0" w:type="dxa"/>
        <w:right w:w="0" w:type="dxa"/>
        <w:bottom w:w="0" w:type="dxa"/>
      </w:tblCellMar>
    </w:tblPr>
  </w:style>
  <w:style w:type="paragraph" w:styleId="1101" w:customStyle="1">
    <w:name w:val="引文目录1"/>
    <w:basedOn w:val="801"/>
    <w:uiPriority w:val="0"/>
    <w:qFormat/>
    <w:pPr>
      <w:ind w:left="420"/>
    </w:pPr>
  </w:style>
  <w:style w:type="paragraph" w:styleId="1102" w:customStyle="1">
    <w:name w:val="批注文字1"/>
    <w:basedOn w:val="801"/>
    <w:link w:val="1103"/>
    <w:uiPriority w:val="0"/>
    <w:qFormat/>
    <w:pPr>
      <w:jc w:val="left"/>
    </w:pPr>
  </w:style>
  <w:style w:type="character" w:styleId="1103" w:customStyle="1">
    <w:name w:val="批注文字 Char"/>
    <w:link w:val="1102"/>
    <w:uiPriority w:val="0"/>
    <w:qFormat/>
    <w:rPr>
      <w:rFonts w:ascii="Calibri" w:hAnsi="Calibri"/>
      <w:sz w:val="21"/>
      <w:szCs w:val="22"/>
    </w:rPr>
  </w:style>
  <w:style w:type="paragraph" w:styleId="1104" w:customStyle="1">
    <w:name w:val="正文文本111"/>
    <w:basedOn w:val="801"/>
    <w:uiPriority w:val="0"/>
    <w:qFormat/>
    <w:rPr>
      <w:rFonts w:ascii="楷体_GB2312" w:hAnsi="Arial" w:eastAsia="楷体_GB2312"/>
      <w:sz w:val="28"/>
      <w:szCs w:val="28"/>
    </w:rPr>
  </w:style>
  <w:style w:type="paragraph" w:styleId="1105" w:customStyle="1">
    <w:name w:val="正文文本缩进1"/>
    <w:basedOn w:val="801"/>
    <w:uiPriority w:val="0"/>
    <w:qFormat/>
    <w:pPr>
      <w:ind w:firstLine="540"/>
      <w:spacing w:line="400" w:lineRule="exact"/>
    </w:pPr>
    <w:rPr>
      <w:sz w:val="24"/>
    </w:rPr>
  </w:style>
  <w:style w:type="paragraph" w:styleId="1106" w:customStyle="1">
    <w:name w:val="列表项目符号 21"/>
    <w:basedOn w:val="801"/>
    <w:uiPriority w:val="0"/>
    <w:qFormat/>
    <w:pPr>
      <w:numPr>
        <w:ilvl w:val="0"/>
        <w:numId w:val="1"/>
      </w:numPr>
      <w:tabs>
        <w:tab w:val="clear" w:pos="780" w:leader="none"/>
      </w:tabs>
    </w:pPr>
  </w:style>
  <w:style w:type="paragraph" w:styleId="1107" w:customStyle="1">
    <w:name w:val="纯文本1"/>
    <w:basedOn w:val="801"/>
    <w:uiPriority w:val="0"/>
    <w:qFormat/>
    <w:rPr>
      <w:rFonts w:ascii="宋体" w:hAnsi="Courier New"/>
      <w:sz w:val="20"/>
      <w:szCs w:val="21"/>
    </w:rPr>
  </w:style>
  <w:style w:type="paragraph" w:styleId="1108" w:customStyle="1">
    <w:name w:val="批注框文本1"/>
    <w:basedOn w:val="801"/>
    <w:link w:val="1109"/>
    <w:uiPriority w:val="0"/>
    <w:qFormat/>
    <w:rPr>
      <w:sz w:val="18"/>
      <w:szCs w:val="18"/>
    </w:rPr>
  </w:style>
  <w:style w:type="character" w:styleId="1109" w:customStyle="1">
    <w:name w:val="批注框文本 Char"/>
    <w:link w:val="1108"/>
    <w:uiPriority w:val="0"/>
    <w:qFormat/>
    <w:rPr>
      <w:sz w:val="18"/>
      <w:szCs w:val="18"/>
    </w:rPr>
  </w:style>
  <w:style w:type="paragraph" w:styleId="1110" w:customStyle="1">
    <w:name w:val="页脚1"/>
    <w:basedOn w:val="801"/>
    <w:uiPriority w:val="0"/>
    <w:qFormat/>
    <w:pPr>
      <w:jc w:val="left"/>
      <w:tabs>
        <w:tab w:val="center" w:pos="4153" w:leader="none"/>
        <w:tab w:val="right" w:pos="8306" w:leader="none"/>
      </w:tabs>
    </w:pPr>
    <w:rPr>
      <w:sz w:val="18"/>
      <w:szCs w:val="18"/>
    </w:rPr>
  </w:style>
  <w:style w:type="paragraph" w:styleId="1111" w:customStyle="1">
    <w:name w:val="寄信人地址1"/>
    <w:basedOn w:val="801"/>
    <w:uiPriority w:val="0"/>
    <w:qFormat/>
    <w:rPr>
      <w:rFonts w:ascii="Arial" w:hAnsi="Arial"/>
    </w:rPr>
  </w:style>
  <w:style w:type="paragraph" w:styleId="1112" w:customStyle="1">
    <w:name w:val="页眉1"/>
    <w:basedOn w:val="801"/>
    <w:uiPriority w:val="0"/>
    <w:qFormat/>
    <w:pPr>
      <w:jc w:val="center"/>
      <w:tabs>
        <w:tab w:val="center" w:pos="4153" w:leader="none"/>
        <w:tab w:val="right" w:pos="8306" w:leader="none"/>
      </w:tabs>
      <w:pBdr>
        <w:bottom w:val="single" w:color="auto" w:sz="6" w:space="1"/>
      </w:pBdr>
    </w:pPr>
    <w:rPr>
      <w:sz w:val="18"/>
      <w:szCs w:val="18"/>
    </w:rPr>
  </w:style>
  <w:style w:type="paragraph" w:styleId="1113" w:customStyle="1">
    <w:name w:val="目录 11"/>
    <w:basedOn w:val="801"/>
    <w:uiPriority w:val="0"/>
    <w:qFormat/>
  </w:style>
  <w:style w:type="paragraph" w:styleId="1114" w:customStyle="1">
    <w:name w:val="正文文本 211"/>
    <w:basedOn w:val="801"/>
    <w:uiPriority w:val="0"/>
    <w:qFormat/>
    <w:pPr>
      <w:spacing w:after="120" w:line="480" w:lineRule="auto"/>
    </w:pPr>
  </w:style>
  <w:style w:type="paragraph" w:styleId="1115" w:customStyle="1">
    <w:name w:val="信息标题1"/>
    <w:basedOn w:val="801"/>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116" w:customStyle="1">
    <w:name w:val="普通(网站)1"/>
    <w:basedOn w:val="801"/>
    <w:uiPriority w:val="0"/>
    <w:qFormat/>
    <w:rPr>
      <w:rFonts w:ascii="Times New Roman" w:hAnsi="Times New Roman"/>
      <w:sz w:val="24"/>
    </w:rPr>
  </w:style>
  <w:style w:type="paragraph" w:styleId="1117" w:customStyle="1">
    <w:name w:val="批注主题1"/>
    <w:basedOn w:val="1102"/>
    <w:link w:val="1118"/>
    <w:uiPriority w:val="0"/>
    <w:qFormat/>
    <w:rPr>
      <w:b/>
      <w:bCs/>
    </w:rPr>
  </w:style>
  <w:style w:type="character" w:styleId="1118" w:customStyle="1">
    <w:name w:val="批注主题 Char"/>
    <w:link w:val="1117"/>
    <w:uiPriority w:val="0"/>
    <w:qFormat/>
    <w:rPr>
      <w:rFonts w:ascii="Calibri" w:hAnsi="Calibri"/>
      <w:b/>
      <w:bCs/>
      <w:sz w:val="21"/>
      <w:szCs w:val="22"/>
    </w:rPr>
  </w:style>
  <w:style w:type="paragraph" w:styleId="1119" w:customStyle="1">
    <w:name w:val="正文首行缩进 21"/>
    <w:basedOn w:val="1105"/>
    <w:uiPriority w:val="0"/>
    <w:qFormat/>
    <w:pPr>
      <w:ind w:firstLine="420"/>
      <w:spacing w:before="100" w:beforeAutospacing="1"/>
    </w:pPr>
    <w:rPr>
      <w:rFonts w:ascii="Times New Roman" w:hAnsi="Times New Roman"/>
      <w:sz w:val="20"/>
      <w:szCs w:val="21"/>
    </w:rPr>
  </w:style>
  <w:style w:type="table" w:styleId="1120" w:customStyle="1">
    <w:name w:val="网格型1"/>
    <w:basedOn w:val="1100"/>
    <w:uiPriority w:val="0"/>
    <w:qFormat/>
    <w:tblPr>
      <w:tblCellMar>
        <w:left w:w="0" w:type="dxa"/>
        <w:top w:w="0" w:type="dxa"/>
        <w:right w:w="0" w:type="dxa"/>
        <w:bottom w:w="0" w:type="dxa"/>
      </w:tblCellMar>
    </w:tblPr>
  </w:style>
  <w:style w:type="character" w:styleId="1121" w:customStyle="1">
    <w:name w:val="要点1"/>
    <w:uiPriority w:val="0"/>
    <w:qFormat/>
    <w:rPr>
      <w:b/>
    </w:rPr>
  </w:style>
  <w:style w:type="character" w:styleId="1122" w:customStyle="1">
    <w:name w:val="超链接1"/>
    <w:uiPriority w:val="0"/>
    <w:qFormat/>
    <w:rPr>
      <w:color w:val="0000ff"/>
      <w:u w:val="single"/>
    </w:rPr>
  </w:style>
  <w:style w:type="character" w:styleId="1123" w:customStyle="1">
    <w:name w:val="批注引用1"/>
    <w:uiPriority w:val="0"/>
    <w:qFormat/>
    <w:rPr>
      <w:sz w:val="21"/>
      <w:szCs w:val="21"/>
    </w:rPr>
  </w:style>
  <w:style w:type="paragraph" w:styleId="1124" w:customStyle="1">
    <w:name w:val="目录 911"/>
    <w:basedOn w:val="801"/>
    <w:uiPriority w:val="0"/>
    <w:qFormat/>
    <w:pPr>
      <w:ind w:left="1680"/>
      <w:jc w:val="left"/>
    </w:pPr>
    <w:rPr>
      <w:sz w:val="18"/>
      <w:szCs w:val="18"/>
    </w:rPr>
  </w:style>
  <w:style w:type="paragraph" w:styleId="1125" w:customStyle="1">
    <w:name w:val="正文1"/>
    <w:basedOn w:val="1126"/>
    <w:next w:val="1127"/>
    <w:uiPriority w:val="0"/>
    <w:qFormat/>
    <w:pPr>
      <w:jc w:val="left"/>
      <w:spacing w:line="360" w:lineRule="atLeast"/>
    </w:pPr>
    <w:rPr>
      <w:rFonts w:ascii="宋体" w:hAnsi="Calibri"/>
      <w:sz w:val="24"/>
      <w:szCs w:val="20"/>
    </w:rPr>
  </w:style>
  <w:style w:type="paragraph" w:styleId="1126" w:customStyle="1">
    <w:name w:val="正文11"/>
    <w:next w:val="1125"/>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正文文本1"/>
    <w:basedOn w:val="1125"/>
    <w:next w:val="1128"/>
    <w:uiPriority w:val="0"/>
    <w:qFormat/>
    <w:pPr>
      <w:spacing w:after="120"/>
    </w:pPr>
    <w:rPr>
      <w:lang w:eastAsia="en-US"/>
    </w:rPr>
  </w:style>
  <w:style w:type="paragraph" w:styleId="1128" w:customStyle="1">
    <w:name w:val="一级条标题"/>
    <w:basedOn w:val="1129"/>
    <w:next w:val="1130"/>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1129" w:customStyle="1">
    <w:name w:val="章标题"/>
    <w:next w:val="11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0" w:customStyle="1">
    <w:name w:val="段"/>
    <w:basedOn w:val="1125"/>
    <w:next w:val="1126"/>
    <w:uiPriority w:val="0"/>
    <w:qFormat/>
    <w:pPr>
      <w:ind w:firstLine="200"/>
      <w:widowControl/>
    </w:pPr>
    <w:rPr>
      <w:sz w:val="20"/>
    </w:rPr>
  </w:style>
  <w:style w:type="paragraph" w:styleId="1131"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132" w:customStyle="1">
    <w:name w:val="Char"/>
    <w:basedOn w:val="801"/>
    <w:uiPriority w:val="0"/>
    <w:qFormat/>
    <w:pPr>
      <w:ind w:firstLine="200"/>
      <w:tabs>
        <w:tab w:val="left" w:pos="360" w:leader="none"/>
      </w:tabs>
    </w:pPr>
    <w:rPr>
      <w:rFonts w:ascii="Times New Roman" w:hAnsi="Times New Roman"/>
      <w:sz w:val="28"/>
      <w:szCs w:val="30"/>
    </w:rPr>
  </w:style>
  <w:style w:type="paragraph" w:styleId="1133" w:customStyle="1">
    <w:name w:val="正文空2格  1."/>
    <w:basedOn w:val="801"/>
    <w:uiPriority w:val="0"/>
    <w:qFormat/>
    <w:pPr>
      <w:ind w:firstLine="480"/>
    </w:pPr>
    <w:rPr>
      <w:sz w:val="28"/>
      <w:szCs w:val="20"/>
    </w:rPr>
  </w:style>
  <w:style w:type="paragraph" w:styleId="1134" w:customStyle="1">
    <w:name w:val="标题 21"/>
    <w:basedOn w:val="801"/>
    <w:uiPriority w:val="0"/>
    <w:qFormat/>
    <w:pPr>
      <w:keepLines/>
      <w:keepNext/>
      <w:spacing w:before="260" w:after="260" w:line="416" w:lineRule="auto"/>
      <w:outlineLvl w:val="1"/>
    </w:pPr>
    <w:rPr>
      <w:rFonts w:ascii="Cambria" w:hAnsi="Cambria"/>
      <w:b/>
      <w:bCs/>
      <w:sz w:val="32"/>
      <w:szCs w:val="32"/>
    </w:rPr>
  </w:style>
  <w:style w:type="paragraph" w:styleId="1135" w:customStyle="1">
    <w:name w:val="正文首行缩进1"/>
    <w:basedOn w:val="1136"/>
    <w:uiPriority w:val="0"/>
    <w:qFormat/>
    <w:pPr>
      <w:ind w:firstLine="425"/>
      <w:spacing w:before="100" w:after="100" w:line="360" w:lineRule="atLeast"/>
    </w:pPr>
    <w:rPr>
      <w:rFonts w:ascii="Times New Roman" w:hAnsi="Times New Roman" w:eastAsia="宋体"/>
    </w:rPr>
  </w:style>
  <w:style w:type="paragraph" w:styleId="1136" w:customStyle="1">
    <w:name w:val="正文文本11"/>
    <w:basedOn w:val="801"/>
    <w:uiPriority w:val="0"/>
    <w:qFormat/>
    <w:rPr>
      <w:rFonts w:ascii="楷体_GB2312" w:hAnsi="Arial" w:eastAsia="楷体_GB2312"/>
      <w:sz w:val="28"/>
      <w:szCs w:val="28"/>
    </w:rPr>
  </w:style>
  <w:style w:type="paragraph" w:styleId="1137">
    <w:name w:val="List Paragraph"/>
    <w:basedOn w:val="801"/>
    <w:uiPriority w:val="0"/>
    <w:qFormat/>
    <w:pPr>
      <w:ind w:firstLine="420"/>
    </w:pPr>
    <w:rPr>
      <w:rFonts w:ascii="Times New Roman" w:hAnsi="Times New Roman"/>
      <w:szCs w:val="21"/>
    </w:rPr>
  </w:style>
  <w:style w:type="paragraph" w:styleId="1138" w:customStyle="1">
    <w:name w:val="正文缩进2格"/>
    <w:basedOn w:val="801"/>
    <w:uiPriority w:val="0"/>
    <w:qFormat/>
    <w:pPr>
      <w:ind w:firstLine="206"/>
      <w:spacing w:line="600" w:lineRule="exact"/>
    </w:pPr>
    <w:rPr>
      <w:rFonts w:ascii="仿宋_GB2312" w:eastAsia="仿宋_GB2312"/>
      <w:sz w:val="31"/>
      <w:szCs w:val="24"/>
    </w:rPr>
  </w:style>
  <w:style w:type="paragraph" w:styleId="1139" w:customStyle="1">
    <w:name w:val="footer1"/>
    <w:basedOn w:val="801"/>
    <w:uiPriority w:val="0"/>
    <w:qFormat/>
    <w:pPr>
      <w:tabs>
        <w:tab w:val="center" w:pos="4153" w:leader="none"/>
        <w:tab w:val="right" w:pos="8306" w:leader="none"/>
      </w:tabs>
    </w:pPr>
    <w:rPr>
      <w:sz w:val="18"/>
      <w:szCs w:val="24"/>
    </w:rPr>
  </w:style>
  <w:style w:type="paragraph" w:styleId="1140" w:customStyle="1">
    <w:name w:val="列出段落1"/>
    <w:basedOn w:val="801"/>
    <w:uiPriority w:val="0"/>
    <w:qFormat/>
    <w:pPr>
      <w:contextualSpacing/>
      <w:ind w:left="720"/>
      <w:jc w:val="left"/>
      <w:widowControl/>
    </w:pPr>
    <w:rPr>
      <w:sz w:val="24"/>
      <w:szCs w:val="24"/>
      <w:lang w:eastAsia="en-US" w:bidi="en-US"/>
    </w:rPr>
  </w:style>
  <w:style w:type="paragraph" w:styleId="1141" w:customStyle="1">
    <w:name w:val="Body text|1"/>
    <w:basedOn w:val="801"/>
    <w:uiPriority w:val="0"/>
    <w:qFormat/>
    <w:pPr>
      <w:ind w:firstLine="400"/>
      <w:spacing w:line="353" w:lineRule="auto"/>
    </w:pPr>
    <w:rPr>
      <w:rFonts w:ascii="宋体" w:hAnsi="宋体"/>
      <w:lang w:val="zh-TW" w:eastAsia="zh-TW" w:bidi="zh-TW"/>
    </w:rPr>
  </w:style>
  <w:style w:type="paragraph" w:styleId="1142" w:customStyle="1">
    <w:name w:val="标题 311"/>
    <w:basedOn w:val="801"/>
    <w:uiPriority w:val="0"/>
    <w:qFormat/>
    <w:pPr>
      <w:keepLines/>
      <w:keepNext/>
      <w:spacing w:before="260" w:after="260" w:line="416" w:lineRule="auto"/>
      <w:outlineLvl w:val="2"/>
    </w:pPr>
    <w:rPr>
      <w:b/>
      <w:bCs/>
      <w:sz w:val="32"/>
      <w:szCs w:val="32"/>
    </w:rPr>
  </w:style>
  <w:style w:type="paragraph" w:styleId="1143" w:customStyle="1">
    <w:name w:val="纯文本11"/>
    <w:basedOn w:val="801"/>
    <w:uiPriority w:val="0"/>
    <w:qFormat/>
    <w:rPr>
      <w:rFonts w:ascii="宋体" w:hAnsi="Courier New"/>
      <w:sz w:val="20"/>
      <w:szCs w:val="21"/>
    </w:rPr>
  </w:style>
  <w:style w:type="paragraph" w:styleId="1144" w:customStyle="1">
    <w:name w:val="null3"/>
    <w:hidden/>
    <w:uiPriority w:val="0"/>
    <w:qFormat/>
    <w:rPr>
      <w:rFonts w:hint="eastAsia" w:asciiTheme="minorHAnsi" w:hAnsiTheme="minorHAnsi" w:eastAsiaTheme="minorEastAsia" w:cstheme="minorBidi"/>
      <w:lang w:val="en-US" w:eastAsia="zh-Hans" w:bidi="ar-SA"/>
    </w:rPr>
  </w:style>
  <w:style w:type="character" w:styleId="1145" w:customStyle="1">
    <w:name w:val="批注框文本 Char1"/>
    <w:basedOn w:val="811"/>
    <w:link w:val="825"/>
    <w:uiPriority w:val="99"/>
    <w:semiHidden/>
    <w:qFormat/>
    <w:rPr>
      <w:rFonts w:ascii="Calibri" w:hAnsi="Calibri"/>
      <w:sz w:val="18"/>
      <w:szCs w:val="18"/>
    </w:rPr>
  </w:style>
  <w:style w:type="character" w:styleId="1146" w:customStyle="1">
    <w:name w:val="批注文字 Char1"/>
    <w:basedOn w:val="811"/>
    <w:link w:val="815"/>
    <w:uiPriority w:val="0"/>
    <w:qFormat/>
    <w:rPr>
      <w:rFonts w:ascii="Calibri" w:hAnsi="Calibri"/>
      <w:sz w:val="21"/>
      <w:szCs w:val="22"/>
    </w:rPr>
  </w:style>
  <w:style w:type="character" w:styleId="1147" w:customStyle="1">
    <w:name w:val="批注主题 Char1"/>
    <w:basedOn w:val="1146"/>
    <w:link w:val="838"/>
    <w:uiPriority w:val="99"/>
    <w:semiHidden/>
    <w:qFormat/>
    <w:rPr>
      <w:rFonts w:ascii="Calibri" w:hAnsi="Calibri"/>
      <w:b/>
      <w:bCs/>
      <w:sz w:val="21"/>
      <w:szCs w:val="22"/>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A52DC-5499-4A1A-9004-6335758A7BD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妙</dc:creator>
  <cp:lastModifiedBy>李俊</cp:lastModifiedBy>
  <cp:revision>32</cp:revision>
  <dcterms:created xsi:type="dcterms:W3CDTF">2025-10-28T13:35:00Z</dcterms:created>
  <dcterms:modified xsi:type="dcterms:W3CDTF">2026-02-11T06:41:56Z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eyJoZGlkIjoiYmIxOGNjOWMyZTYwZmY3NzQ1Mjk4NjY2ZTI3ZmJjYTQiLCJ1c2VySWQiOiI1NDAwMzE2NTIifQ==</vt:lpwstr>
  </property>
  <property fmtid="{D5CDD505-2E9C-101B-9397-08002B2CF9AE}" pid="3" name="KSOProductBuildVer">
    <vt:lpwstr>2052-12.1.0.25225</vt:lpwstr>
  </property>
  <property fmtid="{D5CDD505-2E9C-101B-9397-08002B2CF9AE}" pid="4" name="ICV">
    <vt:lpwstr>386CC25633194294BD2F8320971D55E9_13</vt:lpwstr>
  </property>
</Properties>
</file>