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JSZC-321000-HCZX-G2026-0006</w:t>
      </w:r>
      <w:r>
        <w:rPr>
          <w:rFonts w:hint="eastAsia" w:ascii="宋体" w:hAnsi="宋体"/>
          <w:b/>
          <w:bCs/>
          <w:color w:val="auto"/>
          <w:sz w:val="36"/>
          <w:highlight w:val="none"/>
        </w:rPr>
        <w:t xml:space="preserve">号</w:t>
      </w:r>
      <w:r/>
    </w:p>
    <w:p>
      <w:pPr>
        <w:jc w:val="center"/>
        <w:rPr>
          <w:rFonts w:ascii="宋体" w:hAnsi="宋体"/>
          <w:b/>
          <w:bCs/>
          <w:color w:val="auto"/>
          <w:sz w:val="36"/>
          <w:highlight w:val="none"/>
        </w:rPr>
      </w:pPr>
      <w:r/>
      <w:bookmarkStart w:id="67" w:name="_GoBack"/>
      <w:r/>
      <w:bookmarkEnd w:id="67"/>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扬州市市场监督管理局</w:t>
      </w:r>
      <w:r>
        <w:rPr>
          <w:rFonts w:hint="eastAsia" w:ascii="宋体" w:hAnsi="宋体" w:cs="Times New Roman"/>
          <w:b/>
          <w:bCs/>
          <w:color w:val="auto"/>
          <w:sz w:val="36"/>
          <w:highlight w:val="none"/>
          <w:lang w:eastAsia="zh-CN"/>
        </w:rPr>
        <w:t xml:space="preserve">2026年扬州市“一老一小”</w:t>
      </w:r>
      <w:r>
        <w:rPr>
          <w:rFonts w:hint="eastAsia" w:ascii="宋体" w:hAnsi="宋体" w:cs="Times New Roman"/>
          <w:b/>
          <w:bCs/>
          <w:color w:val="auto"/>
          <w:sz w:val="36"/>
          <w:highlight w:val="none"/>
        </w:rPr>
        <w:t xml:space="preserve">食品安全专项抽检项目公开招标文件</w:t>
      </w:r>
      <w:r/>
    </w:p>
    <w:p>
      <w:pPr>
        <w:pStyle w:val="815"/>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6350" b="762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571490" cy="3817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8" o:title=""/>
              </v:shape>
            </w:pict>
          </mc:Fallback>
        </mc:AlternateContent>
      </w:r>
      <w:r/>
    </w:p>
    <w:p>
      <w:pPr>
        <w:pStyle w:val="988"/>
        <w:rPr>
          <w:color w:val="auto"/>
          <w:highlight w:val="none"/>
        </w:rPr>
      </w:pPr>
      <w:r>
        <w:rPr>
          <w:color w:val="auto"/>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w:t>
      </w:r>
      <w:r>
        <w:rPr>
          <w:rFonts w:hint="eastAsia" w:ascii="宋体" w:hAnsi="宋体"/>
          <w:b/>
          <w:bCs/>
          <w:color w:val="auto"/>
          <w:sz w:val="36"/>
          <w:highlight w:val="none"/>
        </w:rPr>
        <w:t xml:space="preserve">日</w:t>
      </w:r>
      <w:r/>
    </w:p>
    <w:p>
      <w:pPr>
        <w:pStyle w:val="988"/>
        <w:rPr>
          <w:color w:val="auto"/>
          <w:highlight w:val="none"/>
        </w:rPr>
      </w:pPr>
      <w:r>
        <w:rPr>
          <w:color w:val="auto"/>
          <w:highlight w:val="none"/>
        </w:rPr>
      </w:r>
      <w:r/>
    </w:p>
    <w:p>
      <w:pPr>
        <w:rPr>
          <w:rFonts w:ascii="宋体" w:hAnsi="宋体"/>
          <w:color w:val="auto"/>
          <w:sz w:val="32"/>
          <w:highlight w:val="none"/>
        </w:rPr>
        <w:sectPr>
          <w:headerReference w:type="default" r:id="rId9"/>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1011"/>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1011"/>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1011"/>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1011"/>
        <w:spacing w:line="480" w:lineRule="auto"/>
        <w:tabs>
          <w:tab w:val="right" w:pos="8296" w:leader="dot"/>
        </w:tabs>
        <w:rPr>
          <w:color w:val="auto"/>
          <w:highlight w:val="none"/>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23</w:t>
      </w:r>
      <w:r/>
    </w:p>
    <w:p>
      <w:pPr>
        <w:pStyle w:val="1011"/>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66</w:t>
      </w:r>
      <w:r/>
    </w:p>
    <w:p>
      <w:pPr>
        <w:pStyle w:val="1011"/>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71</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85"/>
        <w:numPr>
          <w:ilvl w:val="0"/>
          <w:numId w:val="2"/>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rPr>
        <w:t xml:space="preserve">扬州市市场监督管理局</w:t>
      </w:r>
      <w:r>
        <w:rPr>
          <w:rFonts w:hint="eastAsia" w:ascii="宋体" w:hAnsi="宋体"/>
          <w:color w:val="auto"/>
          <w:szCs w:val="36"/>
          <w:highlight w:val="none"/>
          <w:lang w:eastAsia="zh-CN"/>
        </w:rPr>
        <w:t xml:space="preserve">2026年扬州市“一老一小”</w:t>
      </w:r>
      <w:r>
        <w:rPr>
          <w:rFonts w:hint="eastAsia" w:ascii="宋体" w:hAnsi="宋体"/>
          <w:color w:val="auto"/>
          <w:szCs w:val="36"/>
          <w:highlight w:val="none"/>
        </w:rPr>
        <w:t xml:space="preserve">食品安全专项抽检项目采购公告</w:t>
      </w:r>
      <w:bookmarkEnd w:id="0"/>
      <w:r/>
      <w:r/>
    </w:p>
    <w:p>
      <w:pPr>
        <w:ind w:firstLine="420"/>
        <w:spacing w:line="43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受扬州市市场监督管理局的委托，江苏汇诚投资咨询管理有限公司就扬州市市场监督管理局</w:t>
      </w:r>
      <w:r>
        <w:rPr>
          <w:rFonts w:hint="eastAsia" w:ascii="宋体" w:hAnsi="宋体" w:cs="宋体"/>
          <w:color w:val="auto"/>
          <w:szCs w:val="21"/>
          <w:highlight w:val="none"/>
          <w:lang w:eastAsia="zh-CN"/>
        </w:rPr>
        <w:t xml:space="preserve">2026年扬州市“一老一小”</w:t>
      </w:r>
      <w:r>
        <w:rPr>
          <w:rFonts w:hint="eastAsia" w:ascii="宋体" w:hAnsi="宋体" w:cs="宋体"/>
          <w:color w:val="auto"/>
          <w:szCs w:val="21"/>
          <w:highlight w:val="none"/>
        </w:rPr>
        <w:t xml:space="preserve">食品安全专项抽检项目进行公开招标采购，欢迎符合条件的供应商投标。</w:t>
      </w:r>
      <w:r/>
    </w:p>
    <w:p>
      <w:pPr>
        <w:ind w:firstLine="422"/>
        <w:spacing w:line="43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3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扬州市市场监督管理局</w:t>
      </w:r>
      <w:r>
        <w:rPr>
          <w:rFonts w:hint="eastAsia" w:ascii="宋体" w:hAnsi="宋体" w:cs="宋体"/>
          <w:color w:val="auto"/>
          <w:szCs w:val="21"/>
          <w:highlight w:val="none"/>
          <w:u w:val="single"/>
          <w:lang w:eastAsia="zh-CN"/>
        </w:rPr>
        <w:t xml:space="preserve">2026年扬州市“一老一小”</w:t>
      </w:r>
      <w:r>
        <w:rPr>
          <w:rFonts w:hint="eastAsia" w:ascii="宋体" w:hAnsi="宋体" w:cs="宋体"/>
          <w:color w:val="auto"/>
          <w:szCs w:val="21"/>
          <w:highlight w:val="none"/>
          <w:u w:val="single"/>
        </w:rPr>
        <w:t xml:space="preserve">食品安全专项抽检项目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“扬州市政府采购网”、“江苏省政府采购网”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日</w:t>
      </w:r>
      <w:r>
        <w:rPr>
          <w:rFonts w:hint="eastAsia" w:ascii="宋体" w:hAnsi="宋体" w:cs="宋体"/>
          <w:bCs/>
          <w:color w:val="auto"/>
          <w:szCs w:val="21"/>
          <w:highlight w:val="none"/>
          <w:u w:val="single"/>
          <w:lang w:val="en-US" w:eastAsia="zh-CN"/>
        </w:rPr>
        <w:t xml:space="preserve">上午</w:t>
      </w:r>
      <w:r>
        <w:rPr>
          <w:rFonts w:hint="eastAsia" w:ascii="宋体" w:hAnsi="宋体" w:cs="宋体"/>
          <w:bCs/>
          <w:color w:val="auto"/>
          <w:szCs w:val="21"/>
          <w:highlight w:val="none"/>
          <w:u w:val="single"/>
        </w:rPr>
        <w:t xml:space="preserve">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430" w:lineRule="exact"/>
        <w:tabs>
          <w:tab w:val="left" w:pos="266" w:leader="none"/>
        </w:tabs>
        <w:rPr>
          <w:rFonts w:ascii="宋体" w:hAnsi="宋体" w:cs="宋体"/>
          <w:b/>
          <w:bCs/>
          <w:color w:val="auto"/>
          <w:szCs w:val="21"/>
          <w:highlight w:val="none"/>
        </w:rPr>
      </w:pPr>
      <w:r/>
      <w:bookmarkStart w:id="1" w:name="_Toc28359079"/>
      <w:r/>
      <w:bookmarkStart w:id="2" w:name="_Toc35393621"/>
      <w:r/>
      <w:bookmarkStart w:id="3" w:name="_Toc38985263"/>
      <w:r/>
      <w:bookmarkStart w:id="4" w:name="_Toc35393790"/>
      <w:r/>
      <w:bookmarkStart w:id="5" w:name="_Toc28359002"/>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JSZC-321000-HCZX-G2026-0006</w:t>
      </w:r>
      <w:r>
        <w:rPr>
          <w:rFonts w:hint="eastAsia" w:ascii="宋体" w:hAnsi="宋体" w:cs="宋体"/>
          <w:color w:val="auto"/>
          <w:szCs w:val="21"/>
          <w:highlight w:val="none"/>
        </w:rPr>
        <w:t xml:space="preserve">号</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2.项目名称：扬州市市场监督管理局</w:t>
      </w:r>
      <w:r>
        <w:rPr>
          <w:rFonts w:hint="eastAsia" w:ascii="宋体" w:hAnsi="宋体" w:cs="宋体"/>
          <w:color w:val="auto"/>
          <w:szCs w:val="21"/>
          <w:highlight w:val="none"/>
          <w:lang w:eastAsia="zh-CN"/>
        </w:rPr>
        <w:t xml:space="preserve">2026年扬州市“一老一小”</w:t>
      </w:r>
      <w:r>
        <w:rPr>
          <w:rFonts w:hint="eastAsia" w:ascii="宋体" w:hAnsi="宋体" w:cs="宋体"/>
          <w:color w:val="auto"/>
          <w:szCs w:val="21"/>
          <w:highlight w:val="none"/>
        </w:rPr>
        <w:t xml:space="preserve">食品安全专项抽检项目</w:t>
      </w:r>
      <w:bookmarkEnd w:id="6"/>
      <w:r/>
      <w:r/>
    </w:p>
    <w:p>
      <w:pPr>
        <w:ind w:firstLine="420"/>
        <w:spacing w:line="430" w:lineRule="exact"/>
        <w:rPr>
          <w:rFonts w:ascii="宋体" w:hAnsi="宋体" w:cs="宋体"/>
          <w:color w:val="auto"/>
          <w:szCs w:val="21"/>
          <w:highlight w:val="none"/>
        </w:rPr>
      </w:pPr>
      <w:r/>
      <w:bookmarkStart w:id="7" w:name="_Toc28359080"/>
      <w:r/>
      <w:bookmarkStart w:id="8" w:name="_Toc35393622"/>
      <w:r/>
      <w:bookmarkStart w:id="9" w:name="_Toc35393791"/>
      <w:r/>
      <w:bookmarkStart w:id="10" w:name="_Toc38985264"/>
      <w:r/>
      <w:bookmarkStart w:id="11" w:name="_Toc28359003"/>
      <w:r>
        <w:rPr>
          <w:rFonts w:hint="eastAsia" w:ascii="宋体" w:hAnsi="宋体" w:cs="宋体"/>
          <w:color w:val="auto"/>
          <w:szCs w:val="21"/>
          <w:highlight w:val="none"/>
        </w:rPr>
        <w:t xml:space="preserve">3.预算金额： 2300批次，850元/批次，共计195.5万元。</w:t>
      </w:r>
      <w:r/>
    </w:p>
    <w:p>
      <w:pPr>
        <w:ind w:firstLine="420"/>
        <w:spacing w:line="43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4..本项目设置采购最高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限价同预算，最后</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报价超过采购最高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限价的为无效报价，按照无效响应处理。</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5.采购需求：为确保</w:t>
      </w:r>
      <w:r>
        <w:rPr>
          <w:rFonts w:hint="eastAsia" w:ascii="宋体" w:hAnsi="宋体" w:cs="宋体"/>
          <w:color w:val="auto"/>
          <w:szCs w:val="21"/>
          <w:highlight w:val="none"/>
          <w:lang w:eastAsia="zh-CN"/>
        </w:rPr>
        <w:t xml:space="preserve">2026年扬州市“一老一小”</w:t>
      </w:r>
      <w:r>
        <w:rPr>
          <w:rFonts w:hint="eastAsia" w:ascii="宋体" w:hAnsi="宋体" w:cs="宋体"/>
          <w:color w:val="auto"/>
          <w:szCs w:val="21"/>
          <w:highlight w:val="none"/>
        </w:rPr>
        <w:t xml:space="preserve">食品安全专项监督抽检工作顺利开展，现向全国范围内检测机构</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公开招标，入围的检测机构有资格承担</w:t>
      </w:r>
      <w:r>
        <w:rPr>
          <w:rFonts w:hint="eastAsia" w:ascii="宋体" w:hAnsi="宋体" w:cs="宋体"/>
          <w:color w:val="auto"/>
          <w:szCs w:val="21"/>
          <w:highlight w:val="none"/>
          <w:lang w:eastAsia="zh-CN"/>
        </w:rPr>
        <w:t xml:space="preserve">2026年扬州市“一老一小”</w:t>
      </w:r>
      <w:r>
        <w:rPr>
          <w:rFonts w:hint="eastAsia" w:ascii="宋体" w:hAnsi="宋体" w:cs="宋体"/>
          <w:color w:val="auto"/>
          <w:szCs w:val="21"/>
          <w:highlight w:val="none"/>
        </w:rPr>
        <w:t xml:space="preserve">食品安全专项监督抽检工作。本次招标只招承担扬州市市场监督管理局</w:t>
      </w:r>
      <w:r>
        <w:rPr>
          <w:rFonts w:hint="eastAsia" w:ascii="宋体" w:hAnsi="宋体" w:cs="宋体"/>
          <w:color w:val="auto"/>
          <w:szCs w:val="21"/>
          <w:highlight w:val="none"/>
          <w:lang w:val="en-US" w:eastAsia="zh-CN"/>
        </w:rPr>
        <w:t xml:space="preserve">2026</w:t>
      </w:r>
      <w:r>
        <w:rPr>
          <w:rFonts w:hint="eastAsia" w:ascii="宋体" w:hAnsi="宋体" w:cs="宋体"/>
          <w:color w:val="auto"/>
          <w:szCs w:val="21"/>
          <w:highlight w:val="none"/>
        </w:rPr>
        <w:t xml:space="preserve">年扬州市“一老一小”食品安全专项抽检任务的承检机构。抽检</w:t>
      </w:r>
      <w:r>
        <w:rPr>
          <w:rFonts w:hint="eastAsia" w:ascii="宋体" w:hAnsi="宋体" w:cs="宋体"/>
          <w:color w:val="auto"/>
          <w:szCs w:val="21"/>
          <w:highlight w:val="none"/>
          <w:lang w:val="en-US" w:eastAsia="zh-CN"/>
        </w:rPr>
        <w:t xml:space="preserve">机构</w:t>
      </w:r>
      <w:r>
        <w:rPr>
          <w:rFonts w:hint="eastAsia" w:ascii="宋体" w:hAnsi="宋体" w:cs="宋体"/>
          <w:color w:val="auto"/>
          <w:szCs w:val="21"/>
          <w:highlight w:val="none"/>
        </w:rPr>
        <w:t xml:space="preserve">服务内容:负责扬州市市区学校食堂、学校集中用餐配送单位、学校食材供货商以及宝应县、高邮市、仪征市、邗江区部分学校食堂、全市敬老院食堂等场所的</w:t>
      </w:r>
      <w:r>
        <w:rPr>
          <w:rFonts w:hint="eastAsia" w:ascii="宋体" w:hAnsi="宋体" w:cs="宋体"/>
          <w:color w:val="auto"/>
          <w:szCs w:val="21"/>
          <w:highlight w:val="none"/>
          <w:lang w:val="en-US" w:eastAsia="zh-CN"/>
        </w:rPr>
        <w:t xml:space="preserve">食品安全</w:t>
      </w:r>
      <w:r>
        <w:rPr>
          <w:rFonts w:hint="eastAsia" w:ascii="宋体" w:hAnsi="宋体" w:cs="宋体"/>
          <w:color w:val="auto"/>
          <w:szCs w:val="21"/>
          <w:highlight w:val="none"/>
        </w:rPr>
        <w:t xml:space="preserve">抽检，抽检品类依据国家市场监督管理总局核准的粮食及粮食制品、蔬菜及其制品、水果及其制品、水产品及其制品、食用油(油脂)及其制品等37大类产品，具体内容详见招标文件第四章。</w:t>
      </w:r>
      <w:r/>
    </w:p>
    <w:p>
      <w:pPr>
        <w:ind w:firstLine="420"/>
        <w:spacing w:line="43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eastAsia="zh-CN"/>
        </w:rPr>
        <w:t xml:space="preserve">2026年12月20日</w:t>
      </w:r>
      <w:r>
        <w:rPr>
          <w:rFonts w:hint="eastAsia" w:ascii="宋体" w:hAnsi="宋体" w:cs="宋体"/>
          <w:color w:val="auto"/>
          <w:szCs w:val="21"/>
          <w:highlight w:val="none"/>
        </w:rPr>
        <w:t xml:space="preserve">前完成抽检服务。</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spacing w:line="430" w:lineRule="exact"/>
        <w:rPr>
          <w:rFonts w:ascii="宋体" w:hAnsi="宋体" w:cs="宋体"/>
          <w:color w:val="auto"/>
          <w:szCs w:val="21"/>
          <w:highlight w:val="none"/>
        </w:rPr>
      </w:pPr>
      <w:r/>
      <w:bookmarkStart w:id="12" w:name="_Toc35393792"/>
      <w:r/>
      <w:bookmarkStart w:id="13" w:name="_Toc35393623"/>
      <w:r/>
      <w:bookmarkStart w:id="14" w:name="_Toc28359081"/>
      <w:r/>
      <w:bookmarkStart w:id="15" w:name="_Toc28359004"/>
      <w:r/>
      <w:bookmarkStart w:id="16" w:name="_Toc38985265"/>
      <w:r>
        <w:rPr>
          <w:rFonts w:hint="eastAsia" w:ascii="宋体" w:hAnsi="宋体" w:cs="宋体"/>
          <w:color w:val="auto"/>
          <w:szCs w:val="21"/>
          <w:highlight w:val="none"/>
        </w:rPr>
        <w:t xml:space="preserve">1.满足《中华人民共和国政府采购法》第二十二条规定： </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上一年度的财务状况报告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根据《政府采购促进中小企业发展管理办法》（财库〔2020〕46 号），本项目对小型和微型企业、残疾人福利单位、监狱和戒毒企业提供的货物、服务给予20%的价格扣除。</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bidi="ar"/>
        </w:rPr>
        <w:t xml:space="preserve">供应商具有行政主管部门颁发的有效期内食品检验检测机构资质认定证书（提供有效证书原件扫描上传系统）</w:t>
      </w:r>
      <w:r>
        <w:rPr>
          <w:rFonts w:hint="eastAsia" w:ascii="宋体" w:hAnsi="宋体" w:cs="宋体"/>
          <w:bCs/>
          <w:i/>
          <w:color w:val="auto"/>
          <w:szCs w:val="21"/>
          <w:highlight w:val="none"/>
          <w:u w:val="single"/>
          <w:lang w:bidi="ar"/>
        </w:rPr>
        <w:t xml:space="preserve">。</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420"/>
        <w:spacing w:line="430" w:lineRule="exact"/>
        <w:rPr>
          <w:rFonts w:ascii="宋体" w:hAnsi="宋体" w:cs="宋体"/>
          <w:color w:val="auto"/>
          <w:szCs w:val="21"/>
          <w:highlight w:val="none"/>
        </w:rPr>
      </w:pPr>
      <w:r/>
      <w:bookmarkStart w:id="17" w:name="_Toc28359005"/>
      <w:r/>
      <w:bookmarkStart w:id="18" w:name="_Toc28359082"/>
      <w:r/>
      <w:bookmarkStart w:id="19" w:name="_Toc35393793"/>
      <w:r/>
      <w:bookmarkStart w:id="20" w:name="_Toc35393624"/>
      <w:r/>
      <w:bookmarkStart w:id="21" w:name="_Toc38985266"/>
      <w:r>
        <w:rPr>
          <w:rFonts w:hint="eastAsia" w:ascii="宋体" w:hAnsi="宋体" w:cs="宋体"/>
          <w:color w:val="auto"/>
          <w:szCs w:val="21"/>
          <w:highlight w:val="none"/>
        </w:rPr>
        <w:t xml:space="preserve">1.时间：自招标文件公告发布之日起5个工作日。5个工作日后仍可下载招标文件，但不作为供应商权益受到损害的证明材料和依据。</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bookmarkEnd w:id="17"/>
      <w:r/>
      <w:bookmarkEnd w:id="18"/>
      <w:r/>
      <w:bookmarkEnd w:id="19"/>
      <w:r/>
      <w:bookmarkEnd w:id="20"/>
      <w:r/>
      <w:bookmarkEnd w:id="21"/>
      <w:r/>
      <w:r/>
    </w:p>
    <w:p>
      <w:pPr>
        <w:ind w:firstLine="422"/>
        <w:spacing w:line="430" w:lineRule="exact"/>
        <w:rPr>
          <w:rFonts w:ascii="宋体" w:hAnsi="宋体" w:cs="宋体"/>
          <w:b/>
          <w:bCs/>
          <w:color w:val="auto"/>
          <w:szCs w:val="21"/>
          <w:highlight w:val="none"/>
        </w:rPr>
      </w:pPr>
      <w:r/>
      <w:bookmarkStart w:id="22" w:name="_Toc38985267"/>
      <w:r/>
      <w:bookmarkStart w:id="23" w:name="_Toc35393794"/>
      <w:r/>
      <w:bookmarkStart w:id="24" w:name="_Toc28359007"/>
      <w:r/>
      <w:bookmarkStart w:id="25" w:name="_Toc28359084"/>
      <w:r/>
      <w:bookmarkStart w:id="26" w:name="_Toc35393625"/>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43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（4）潜在供应商访问“苏采云”系统的网络地址和方法：“苏采云”系统的网址：http://jszfcg.jsczt.cn/</w:t>
      </w:r>
      <w:r>
        <w:rPr>
          <w:rFonts w:hint="eastAsia" w:ascii="宋体" w:hAnsi="宋体" w:cs="宋体"/>
          <w:b/>
          <w:bCs/>
          <w:color w:val="auto"/>
          <w:szCs w:val="21"/>
          <w:highlight w:val="none"/>
          <w:lang w:eastAsia="zh-CN"/>
        </w:rPr>
        <w:t xml:space="preserve">。</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3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4</w:t>
      </w:r>
      <w:r>
        <w:rPr>
          <w:rFonts w:hint="eastAsia" w:ascii="宋体" w:hAnsi="宋体" w:cs="宋体"/>
          <w:bCs/>
          <w:color w:val="auto"/>
          <w:szCs w:val="21"/>
          <w:highlight w:val="none"/>
          <w:u w:val="single"/>
        </w:rPr>
        <w:t xml:space="preserve">日 上午9:30</w:t>
      </w:r>
      <w:r>
        <w:rPr>
          <w:rFonts w:hint="eastAsia" w:ascii="宋体" w:hAnsi="宋体" w:cs="宋体"/>
          <w:bCs/>
          <w:color w:val="auto"/>
          <w:szCs w:val="21"/>
          <w:highlight w:val="none"/>
        </w:rPr>
        <w:t xml:space="preserve">（北京时间）</w:t>
      </w:r>
      <w:r/>
    </w:p>
    <w:p>
      <w:pPr>
        <w:ind w:firstLine="420"/>
        <w:spacing w:line="430" w:lineRule="exact"/>
        <w:rPr>
          <w:rFonts w:ascii="宋体" w:hAnsi="宋体" w:cs="宋体"/>
          <w:b/>
          <w:color w:val="auto"/>
          <w:szCs w:val="21"/>
          <w:highlight w:val="non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"http://jszfcg.jsczt.cn/）“开标大厅”" </w:instrText>
      </w:r>
      <w:r>
        <w:rPr>
          <w:color w:val="auto"/>
          <w:highlight w:val="none"/>
        </w:rPr>
        <w:fldChar w:fldCharType="separate"/>
      </w:r>
      <w:r>
        <w:rPr>
          <w:rFonts w:hint="eastAsia" w:ascii="宋体" w:hAnsi="宋体" w:cs="宋体"/>
          <w:b/>
          <w:color w:val="auto"/>
          <w:szCs w:val="21"/>
          <w:highlight w:val="none"/>
        </w:rPr>
        <w:t xml:space="preserve">http://jszfcg.jsczt.cn/）“开标大厅”</w:t>
      </w:r>
      <w:r>
        <w:rPr>
          <w:rFonts w:hint="eastAsia" w:ascii="宋体" w:hAnsi="宋体" w:cs="宋体"/>
          <w:b/>
          <w:color w:val="auto"/>
          <w:szCs w:val="21"/>
          <w:highlight w:val="none"/>
        </w:rPr>
        <w:fldChar w:fldCharType="end"/>
      </w:r>
      <w:bookmarkEnd w:id="22"/>
      <w:r/>
      <w:bookmarkEnd w:id="23"/>
      <w:r/>
      <w:bookmarkEnd w:id="24"/>
      <w:r/>
      <w:bookmarkEnd w:id="25"/>
      <w:r/>
      <w:bookmarkEnd w:id="26"/>
      <w:r/>
      <w:r/>
    </w:p>
    <w:p>
      <w:pPr>
        <w:ind w:firstLine="422"/>
        <w:spacing w:line="430" w:lineRule="exact"/>
        <w:tabs>
          <w:tab w:val="left" w:pos="266" w:leader="none"/>
        </w:tabs>
        <w:rPr>
          <w:rFonts w:ascii="宋体" w:hAnsi="宋体" w:cs="宋体"/>
          <w:b/>
          <w:bCs/>
          <w:color w:val="auto"/>
          <w:szCs w:val="21"/>
          <w:highlight w:val="none"/>
        </w:rPr>
      </w:pPr>
      <w:r/>
      <w:bookmarkStart w:id="27" w:name="_Toc35393626"/>
      <w:r/>
      <w:bookmarkStart w:id="28" w:name="_Toc38985268"/>
      <w:r/>
      <w:bookmarkStart w:id="29" w:name="_Toc35393795"/>
      <w:r>
        <w:rPr>
          <w:rFonts w:hint="eastAsia" w:ascii="宋体" w:hAnsi="宋体" w:cs="宋体"/>
          <w:b/>
          <w:bCs/>
          <w:color w:val="auto"/>
          <w:szCs w:val="21"/>
          <w:highlight w:val="none"/>
        </w:rPr>
        <w:t xml:space="preserve">五、公告期限</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bookmarkEnd w:id="27"/>
      <w:r/>
      <w:bookmarkEnd w:id="28"/>
      <w:r/>
      <w:bookmarkEnd w:id="29"/>
      <w:r/>
      <w:r/>
    </w:p>
    <w:p>
      <w:pPr>
        <w:ind w:firstLine="422"/>
        <w:spacing w:line="430" w:lineRule="exact"/>
        <w:rPr>
          <w:rFonts w:ascii="宋体" w:hAnsi="宋体" w:cs="宋体"/>
          <w:b/>
          <w:bCs/>
          <w:color w:val="auto"/>
          <w:szCs w:val="21"/>
          <w:highlight w:val="none"/>
        </w:rPr>
      </w:pPr>
      <w:r/>
      <w:bookmarkStart w:id="30" w:name="_Toc38985269"/>
      <w:r/>
      <w:bookmarkStart w:id="31" w:name="_Toc28359008"/>
      <w:r/>
      <w:bookmarkStart w:id="32" w:name="_Toc35393796"/>
      <w:r/>
      <w:bookmarkStart w:id="33" w:name="_Toc35393627"/>
      <w:r/>
      <w:bookmarkStart w:id="34" w:name="_Toc28359085"/>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3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43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本次招标不收取投标保证金。</w:t>
      </w:r>
      <w:r/>
    </w:p>
    <w:p>
      <w:pPr>
        <w:ind w:firstLine="420"/>
        <w:spacing w:line="430" w:lineRule="exact"/>
        <w:rPr>
          <w:rFonts w:ascii="宋体" w:hAnsi="宋体" w:cs="宋体"/>
          <w:bCs/>
          <w:color w:val="auto"/>
          <w:szCs w:val="21"/>
          <w:highlight w:val="none"/>
        </w:rPr>
      </w:pPr>
      <w:r>
        <w:rPr>
          <w:rFonts w:hint="eastAsia" w:ascii="宋体" w:hAnsi="宋体" w:cs="宋体"/>
          <w:color w:val="auto"/>
          <w:szCs w:val="21"/>
          <w:highlight w:val="none"/>
        </w:rPr>
        <w:t xml:space="preserve">4.</w:t>
      </w:r>
      <w:r>
        <w:rPr>
          <w:rFonts w:hint="eastAsia" w:ascii="宋体" w:hAnsi="宋体" w:cs="宋体"/>
          <w:bCs/>
          <w:color w:val="auto"/>
          <w:szCs w:val="21"/>
          <w:highlight w:val="none"/>
        </w:rPr>
        <w:t xml:space="preserve">有关本次招标的事项若存在变动或修改，敬请及时关注“扬州市政府采购网”、“江苏省政府采购网”发布的信息。</w:t>
      </w:r>
      <w:r/>
    </w:p>
    <w:p>
      <w:pPr>
        <w:ind w:firstLine="422"/>
        <w:spacing w:line="43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5.本项目招标文件中所有斜体下划线部分为实质性条款，如不满足，则为无效投标。</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6.如在开标时间发生系统崩溃等不可预见的情况，造成开评标活动无法正常进行的，将延迟开评标，具体开评标时间另行通知。</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7.为落实好政府采购履约资金扶持政策，中标/成交供应商可凭政府采购合同办理融资贷款，详见江苏政府采购网“政采贷”专栏。</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9.供应商对于所投产品的包装应按照“财办库〔2020〕123号《关于印发《商品包装政府采购需求标准（试行）》、《快递包装政府采购需求标准（试行）》的通知》”执行。</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3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称：扬州市市场监督管理局</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址：扬州市邗江区文昌西路525号 </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联系方式：0514-89332671</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称：江苏汇诚投资咨询管理有限公司</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址：扬州市邗江区邗江北路68号三楼西入口</w:t>
      </w:r>
      <w:r/>
    </w:p>
    <w:p>
      <w:pPr>
        <w:ind w:firstLine="420"/>
        <w:spacing w:line="430" w:lineRule="exact"/>
        <w:rPr>
          <w:rFonts w:ascii="宋体" w:hAnsi="宋体" w:cs="宋体"/>
          <w:color w:val="auto"/>
          <w:szCs w:val="21"/>
          <w:highlight w:val="none"/>
        </w:rPr>
      </w:pPr>
      <w:r/>
      <w:bookmarkStart w:id="35" w:name="_Toc28359010"/>
      <w:r/>
      <w:bookmarkStart w:id="36" w:name="_Toc28359087"/>
      <w:r>
        <w:rPr>
          <w:rFonts w:hint="eastAsia" w:ascii="宋体" w:hAnsi="宋体" w:cs="宋体"/>
          <w:color w:val="auto"/>
          <w:szCs w:val="21"/>
          <w:highlight w:val="none"/>
        </w:rPr>
        <w:t xml:space="preserve">联系人：唐磊</w:t>
      </w:r>
      <w:r/>
    </w:p>
    <w:p>
      <w:pPr>
        <w:ind w:firstLine="420"/>
        <w:spacing w:line="43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联系方式：0514-89787281</w:t>
      </w:r>
      <w:bookmarkEnd w:id="35"/>
      <w:r/>
      <w:bookmarkEnd w:id="36"/>
      <w:r/>
      <w:r/>
    </w:p>
    <w:p>
      <w:pPr>
        <w:ind w:firstLine="422"/>
        <w:spacing w:line="430" w:lineRule="exact"/>
        <w:tabs>
          <w:tab w:val="left" w:pos="266" w:leader="none"/>
        </w:tabs>
        <w:rPr>
          <w:rFonts w:ascii="宋体" w:hAnsi="宋体" w:cs="宋体"/>
          <w:b/>
          <w:bCs/>
          <w:color w:val="auto"/>
          <w:szCs w:val="21"/>
          <w:highlight w:val="none"/>
        </w:rPr>
      </w:pPr>
      <w:r>
        <w:rPr>
          <w:rFonts w:ascii="宋体" w:hAnsi="宋体" w:cs="宋体"/>
          <w:b/>
          <w:bCs/>
          <w:color w:val="auto"/>
          <w:szCs w:val="21"/>
          <w:highlight w:val="none"/>
        </w:rPr>
      </w:r>
      <w:r/>
    </w:p>
    <w:p>
      <w:pPr>
        <w:ind w:firstLine="420"/>
        <w:jc w:val="right"/>
        <w:spacing w:line="430" w:lineRule="exact"/>
        <w:rPr>
          <w:rFonts w:ascii="宋体" w:hAnsi="宋体" w:cs="宋体"/>
          <w:color w:val="auto"/>
          <w:szCs w:val="21"/>
          <w:highlight w:val="none"/>
        </w:rPr>
      </w:pPr>
      <w:r>
        <w:rPr>
          <w:rFonts w:ascii="宋体" w:hAnsi="宋体" w:cs="宋体"/>
          <w:color w:val="auto"/>
          <w:szCs w:val="21"/>
          <w:highlight w:val="none"/>
        </w:rPr>
      </w:r>
      <w:r/>
    </w:p>
    <w:p>
      <w:pPr>
        <w:ind w:firstLine="420"/>
        <w:jc w:val="righ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江苏汇诚投资咨询管理有限公司</w:t>
      </w:r>
      <w:r/>
    </w:p>
    <w:p>
      <w:pPr>
        <w:ind w:firstLine="420"/>
        <w:jc w:val="right"/>
        <w:spacing w:line="430" w:lineRule="exact"/>
        <w:rPr>
          <w:rFonts w:ascii="宋体" w:hAnsi="宋体" w:cs="宋体"/>
          <w:color w:val="auto"/>
          <w:szCs w:val="21"/>
          <w:highlight w:val="none"/>
        </w:rPr>
        <w:sectPr>
          <w:footerReference w:type="default" r:id="rId14"/>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85"/>
        <w:numPr>
          <w:ilvl w:val="0"/>
          <w:numId w:val="2"/>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JSZC-321000-HCZX-G2026-0006</w:t>
      </w:r>
      <w:r>
        <w:rPr>
          <w:rFonts w:hint="eastAsia" w:ascii="宋体" w:hAnsi="宋体" w:cs="宋体"/>
          <w:bCs/>
          <w:color w:val="auto"/>
          <w:szCs w:val="21"/>
          <w:highlight w:val="none"/>
        </w:rPr>
        <w:t xml:space="preserve">号项目。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440" w:lineRule="exact"/>
        <w:rPr>
          <w:rFonts w:ascii="宋体" w:hAnsi="宋体" w:cs="宋体"/>
          <w:b/>
          <w:bCs/>
          <w:color w:val="auto"/>
          <w:szCs w:val="21"/>
          <w:highlight w:val="none"/>
        </w:rPr>
      </w:pPr>
      <w:r>
        <w:rPr>
          <w:rFonts w:hint="eastAsia" w:ascii="宋体" w:hAnsi="宋体" w:cs="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本次采购由中标人在领取中标通知书前按照</w:t>
      </w:r>
      <w:r>
        <w:rPr>
          <w:rFonts w:hint="eastAsia" w:ascii="宋体" w:hAnsi="宋体" w:cs="宋体"/>
          <w:b/>
          <w:bCs/>
          <w:color w:val="auto"/>
          <w:szCs w:val="21"/>
          <w:highlight w:val="none"/>
          <w:lang w:val="en-US" w:eastAsia="zh-CN"/>
        </w:rPr>
        <w:t xml:space="preserve">1350</w:t>
      </w:r>
      <w:r>
        <w:rPr>
          <w:rFonts w:hint="eastAsia" w:ascii="宋体" w:hAnsi="宋体" w:cs="宋体"/>
          <w:b/>
          <w:bCs/>
          <w:color w:val="auto"/>
          <w:szCs w:val="21"/>
          <w:highlight w:val="none"/>
        </w:rPr>
        <w:t xml:space="preserve">元一次性支付给招标代理机构代理服务费。</w:t>
      </w:r>
      <w:r/>
    </w:p>
    <w:p>
      <w:pPr>
        <w:ind w:firstLine="422"/>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0"/>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    招标代理服务费开户银行：中国工商银行扬州雍华府支行</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开户名称：江苏汇诚投资咨询管理有限公司邗江分公司</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开户帐号：1108020809100091782</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513029225"/>
      <w:r/>
      <w:bookmarkStart w:id="39" w:name="_Toc16938541"/>
      <w:r/>
      <w:bookmarkStart w:id="40" w:name="_Toc20823297"/>
      <w:r/>
      <w:bookmarkStart w:id="41" w:name="_Toc462564084"/>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513029226"/>
      <w:r/>
      <w:bookmarkStart w:id="43" w:name="_Toc16938542"/>
      <w:r/>
      <w:bookmarkStart w:id="44" w:name="_Toc20823298"/>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16938543"/>
      <w:r/>
      <w:bookmarkStart w:id="46" w:name="_Toc513029227"/>
      <w:r/>
      <w:bookmarkStart w:id="47" w:name="_Toc20823299"/>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16938544"/>
      <w:r/>
      <w:bookmarkStart w:id="49" w:name="_Toc20823300"/>
      <w:r/>
      <w:bookmarkStart w:id="50" w:name="_Toc513029228"/>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25.8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25.8.1 评标过程中出现下列情形之一的，评标委员会应当启动异常低价投标审查程序：</w:t>
      </w:r>
      <w:r/>
    </w:p>
    <w:p>
      <w:pPr>
        <w:ind w:left="0" w:right="0" w:firstLine="420"/>
        <w:jc w:val="both"/>
        <w:spacing w:before="0" w:after="0" w:line="400" w:lineRule="atLeast"/>
        <w:rPr>
          <w:rFonts w:ascii="SimSun" w:hAnsi="SimSun" w:eastAsia="SimSun" w:cs="SimSun"/>
          <w:b/>
          <w:bCs/>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（1）</w:t>
      </w:r>
      <w:r>
        <w:rPr>
          <w:rFonts w:ascii="SimSun" w:hAnsi="SimSun" w:eastAsia="SimSun" w:cs="SimSun"/>
          <w:b/>
          <w:bCs/>
          <w:color w:val="000000"/>
          <w:sz w:val="21"/>
          <w:szCs w:val="21"/>
        </w:rPr>
        <w:t xml:space="preserve">投标（响应）报价低于全部通过符合性审查供应商投标（响应）报价平均值50%的，即投标（响应）报价&lt;全部通过符合性审查供应商投标（响应）报价平均值×50%；</w:t>
      </w:r>
      <w:r>
        <w:rPr>
          <w:rFonts w:ascii="SimSun" w:hAnsi="SimSun" w:eastAsia="SimSun" w:cs="SimSun"/>
          <w:b/>
          <w:bCs/>
          <w:color w:val="000000"/>
          <w:sz w:val="21"/>
          <w:szCs w:val="21"/>
        </w:rPr>
      </w:r>
      <w:r>
        <w:rPr>
          <w:rFonts w:ascii="SimSun" w:hAnsi="SimSun" w:eastAsia="SimSun" w:cs="SimSun"/>
          <w:b/>
          <w:bCs/>
          <w:color w:val="000000"/>
          <w:sz w:val="21"/>
          <w:szCs w:val="21"/>
        </w:rPr>
      </w:r>
    </w:p>
    <w:p>
      <w:pPr>
        <w:ind w:left="0" w:right="0" w:firstLine="420"/>
        <w:jc w:val="both"/>
        <w:spacing w:before="0" w:after="0" w:line="400" w:lineRule="atLeast"/>
        <w:rPr>
          <w:rFonts w:ascii="SimSun" w:hAnsi="SimSun" w:eastAsia="SimSun" w:cs="SimSun"/>
          <w:b/>
          <w:bCs/>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（2）</w:t>
      </w:r>
      <w:r>
        <w:rPr>
          <w:rFonts w:ascii="SimSun" w:hAnsi="SimSun" w:eastAsia="SimSun" w:cs="SimSun"/>
          <w:b/>
          <w:bCs/>
          <w:color w:val="000000"/>
          <w:sz w:val="21"/>
          <w:szCs w:val="21"/>
        </w:rPr>
        <w:t xml:space="preserve">投标（响应）报价低于通过符合性审查的次低报价供应商投标（响应）报价50%的，即投标（响应）报价&lt;通过符合性审查的次低报价供应商投标（响应）报价×50%；</w:t>
      </w:r>
      <w:r>
        <w:rPr>
          <w:rFonts w:ascii="SimSun" w:hAnsi="SimSun" w:eastAsia="SimSun" w:cs="SimSun"/>
          <w:b/>
          <w:bCs/>
          <w:color w:val="000000"/>
          <w:sz w:val="21"/>
          <w:szCs w:val="21"/>
        </w:rPr>
      </w:r>
      <w:r>
        <w:rPr>
          <w:rFonts w:ascii="SimSun" w:hAnsi="SimSun" w:eastAsia="SimSun" w:cs="SimSun"/>
          <w:b/>
          <w:bCs/>
          <w:color w:val="000000"/>
          <w:sz w:val="21"/>
          <w:szCs w:val="21"/>
        </w:rPr>
      </w:r>
    </w:p>
    <w:p>
      <w:pPr>
        <w:ind w:left="0" w:right="0" w:firstLine="420"/>
        <w:jc w:val="both"/>
        <w:spacing w:before="0" w:after="0" w:line="400" w:lineRule="atLeast"/>
        <w:rPr>
          <w:rFonts w:ascii="SimSun" w:hAnsi="SimSun" w:eastAsia="SimSun" w:cs="SimSun"/>
          <w:b/>
          <w:bCs/>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（3）</w:t>
      </w:r>
      <w:r>
        <w:rPr>
          <w:rFonts w:ascii="SimSun" w:hAnsi="SimSun" w:eastAsia="SimSun" w:cs="SimSun"/>
          <w:b/>
          <w:bCs/>
          <w:color w:val="000000"/>
          <w:sz w:val="21"/>
          <w:szCs w:val="21"/>
        </w:rPr>
        <w:t xml:space="preserve">投标（响应）报价低于采购项目最高限价45%的，即投标（响应）报价&lt;采购项目最高限价×45%； </w:t>
      </w:r>
      <w:r>
        <w:rPr>
          <w:rFonts w:ascii="SimSun" w:hAnsi="SimSun" w:eastAsia="SimSun" w:cs="SimSun"/>
          <w:b/>
          <w:bCs/>
          <w:color w:val="000000"/>
          <w:sz w:val="21"/>
          <w:szCs w:val="21"/>
        </w:rP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（4</w:t>
      </w:r>
      <w:r>
        <w:rPr>
          <w:rFonts w:ascii="SimSun" w:hAnsi="SimSun" w:eastAsia="SimSun" w:cs="SimSun"/>
          <w:b/>
          <w:bCs/>
          <w:color w:val="000000"/>
          <w:sz w:val="21"/>
          <w:szCs w:val="21"/>
        </w:rPr>
        <w:t xml:space="preserve">）</w:t>
      </w:r>
      <w:r>
        <w:rPr>
          <w:rFonts w:ascii="SimSun" w:hAnsi="SimSun" w:eastAsia="SimSun" w:cs="SimSun"/>
          <w:b/>
          <w:bCs/>
          <w:color w:val="000000"/>
          <w:sz w:val="21"/>
          <w:szCs w:val="21"/>
        </w:rPr>
        <w:t xml:space="preserve">评审委员会基于专业判断，认为供应商报价过低，有可能影响产品质量或者不能诚信履约的其他情形。</w:t>
      </w:r>
      <w:r>
        <w:rPr>
          <w:rFonts w:ascii="FangSong" w:hAnsi="FangSong" w:eastAsia="FangSong" w:cs="FangSong"/>
          <w:color w:val="000000"/>
          <w:sz w:val="32"/>
        </w:rPr>
        <w:t xml:space="preserve"> </w:t>
      </w:r>
      <w:r/>
      <w:r>
        <w:rPr>
          <w:rFonts w:ascii="SimSun" w:hAnsi="SimSun" w:eastAsia="SimSun" w:cs="SimSun"/>
          <w:b/>
          <w:color w:val="000000"/>
          <w:sz w:val="21"/>
        </w:rPr>
      </w:r>
      <w:r/>
      <w:r/>
      <w:r>
        <w:rPr>
          <w:sz w:val="21"/>
        </w:rPr>
      </w:r>
    </w:p>
    <w:p>
      <w:pPr>
        <w:ind w:left="0" w:right="0" w:firstLine="420"/>
        <w:jc w:val="both"/>
        <w:spacing w:before="0" w:after="0" w:line="400" w:lineRule="atLeast"/>
        <w:rPr>
          <w:rFonts w:ascii="SimSun" w:hAnsi="SimSun" w:eastAsia="SimSun" w:cs="SimSun"/>
          <w:b/>
          <w:bCs/>
          <w:color w:val="000000"/>
          <w:szCs w:val="21"/>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21"/>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ascii="SimSun" w:hAnsi="SimSun" w:eastAsia="SimSun" w:cs="SimSun"/>
          <w:b/>
          <w:bCs/>
          <w:color w:val="000000"/>
          <w:sz w:val="21"/>
          <w:szCs w:val="21"/>
        </w:rPr>
      </w:r>
      <w:r>
        <w:rPr>
          <w:rFonts w:ascii="SimSun" w:hAnsi="SimSun" w:eastAsia="SimSun" w:cs="SimSun"/>
          <w:b/>
          <w:bCs/>
          <w:color w:val="000000"/>
          <w:sz w:val="21"/>
          <w:szCs w:val="21"/>
        </w:rP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26.2.1符合专业条件的供应商或者对招标文件作实质响应的供应商不足三家的。26.2.2出现影响采购公正的违法、违规行为的。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85"/>
        <w:jc w:val="center"/>
        <w:rPr>
          <w:rFonts w:ascii="宋体" w:hAnsi="宋体"/>
          <w:color w:val="auto"/>
          <w:szCs w:val="36"/>
          <w:highlight w:val="none"/>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85"/>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013"/>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项目名称：扬州市市场监督管理局</w:t>
      </w:r>
      <w:r>
        <w:rPr>
          <w:rFonts w:hint="eastAsia" w:hAnsi="宋体"/>
          <w:color w:val="auto"/>
          <w:sz w:val="21"/>
          <w:highlight w:val="none"/>
          <w:lang w:eastAsia="zh-CN"/>
        </w:rPr>
        <w:t xml:space="preserve">2026年扬州市“一老一小”</w:t>
      </w:r>
      <w:r>
        <w:rPr>
          <w:rFonts w:hint="eastAsia" w:hAnsi="宋体"/>
          <w:color w:val="auto"/>
          <w:sz w:val="21"/>
          <w:highlight w:val="none"/>
        </w:rPr>
        <w:t xml:space="preserve">食品安全专项抽检项目               </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JSZC-321000-HCZX-G2026-0006</w:t>
      </w:r>
      <w:r>
        <w:rPr>
          <w:rFonts w:hint="eastAsia" w:hAnsi="宋体"/>
          <w:color w:val="auto"/>
          <w:sz w:val="21"/>
          <w:highlight w:val="none"/>
        </w:rPr>
        <w:t xml:space="preserve">号</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甲方：（买方）扬州市市场监督管理局</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1013"/>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1013"/>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13"/>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w:t>
      </w:r>
      <w:r>
        <w:rPr>
          <w:rFonts w:hint="eastAsia" w:hAnsi="宋体"/>
          <w:color w:val="auto"/>
          <w:sz w:val="21"/>
          <w:highlight w:val="none"/>
          <w:lang w:val="en-US" w:eastAsia="zh-CN"/>
        </w:rPr>
        <w:t xml:space="preserve">元</w:t>
      </w:r>
      <w:r>
        <w:rPr>
          <w:rFonts w:hint="eastAsia" w:hAnsi="宋体"/>
          <w:color w:val="auto"/>
          <w:sz w:val="21"/>
          <w:highlight w:val="none"/>
        </w:rPr>
        <w:t xml:space="preserve">（__________元）人民币。</w:t>
      </w:r>
      <w:r/>
    </w:p>
    <w:p>
      <w:pPr>
        <w:pStyle w:val="1013"/>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2.2 本合同单价（大写）：________</w:t>
      </w:r>
      <w:r>
        <w:rPr>
          <w:rFonts w:hint="eastAsia" w:hAnsi="宋体"/>
          <w:color w:val="auto"/>
          <w:sz w:val="21"/>
          <w:highlight w:val="none"/>
          <w:lang w:val="en-US" w:eastAsia="zh-CN"/>
        </w:rPr>
        <w:t xml:space="preserve">元/批次</w:t>
      </w:r>
      <w:r>
        <w:rPr>
          <w:rFonts w:hint="eastAsia" w:hAnsi="宋体"/>
          <w:color w:val="auto"/>
          <w:sz w:val="21"/>
          <w:highlight w:val="none"/>
        </w:rPr>
        <w:t xml:space="preserve">（__________元</w:t>
      </w:r>
      <w:r>
        <w:rPr>
          <w:rFonts w:hint="eastAsia" w:hAnsi="宋体"/>
          <w:color w:val="auto"/>
          <w:sz w:val="21"/>
          <w:highlight w:val="none"/>
          <w:lang w:val="en-US" w:eastAsia="zh-CN"/>
        </w:rPr>
        <w:t xml:space="preserve">/批次</w:t>
      </w:r>
      <w:r>
        <w:rPr>
          <w:rFonts w:hint="eastAsia" w:hAnsi="宋体"/>
          <w:color w:val="auto"/>
          <w:sz w:val="21"/>
          <w:highlight w:val="none"/>
        </w:rPr>
        <w:t xml:space="preserve">）人民币。</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13"/>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13"/>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13"/>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13"/>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8.1 服务期：</w:t>
      </w:r>
      <w:r>
        <w:rPr>
          <w:rFonts w:hint="eastAsia" w:hAnsi="宋体"/>
          <w:color w:val="auto"/>
          <w:sz w:val="21"/>
          <w:highlight w:val="none"/>
          <w:u w:val="single"/>
          <w:lang w:eastAsia="zh-CN"/>
        </w:rPr>
        <w:t xml:space="preserve">2026年12月20日</w:t>
      </w:r>
      <w:r>
        <w:rPr>
          <w:rFonts w:hint="eastAsia" w:hAnsi="宋体"/>
          <w:color w:val="auto"/>
          <w:sz w:val="21"/>
          <w:highlight w:val="none"/>
          <w:u w:val="single"/>
        </w:rPr>
        <w:t xml:space="preserve">前完成抽检服务</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olor w:val="auto"/>
          <w:sz w:val="21"/>
          <w:highlight w:val="none"/>
          <w:u w:val="single"/>
        </w:rPr>
        <w:t xml:space="preserve">每份报告20个工作日内出具，所有报告</w:t>
      </w:r>
      <w:r>
        <w:rPr>
          <w:rFonts w:hint="eastAsia" w:hAnsi="宋体"/>
          <w:color w:val="auto"/>
          <w:sz w:val="21"/>
          <w:highlight w:val="none"/>
          <w:u w:val="single"/>
          <w:lang w:eastAsia="zh-CN"/>
        </w:rPr>
        <w:t xml:space="preserve">2026年12月20日</w:t>
      </w:r>
      <w:r>
        <w:rPr>
          <w:rFonts w:hint="eastAsia" w:hAnsi="宋体"/>
          <w:color w:val="auto"/>
          <w:sz w:val="21"/>
          <w:highlight w:val="none"/>
          <w:u w:val="single"/>
        </w:rPr>
        <w:t xml:space="preserve">前出具。</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olor w:val="auto"/>
          <w:sz w:val="21"/>
          <w:highlight w:val="none"/>
          <w:u w:val="single"/>
        </w:rPr>
        <w:t xml:space="preserve">在国家总局食品安全智慧监管系统提交全部检测报告数据，任务完成后三日内报送检测分析报告、全要素汇总表、PDF格式检测报告供存档。</w:t>
      </w:r>
      <w:r/>
    </w:p>
    <w:p>
      <w:pPr>
        <w:pStyle w:val="1013"/>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9.3 交付地点：</w:t>
      </w:r>
      <w:r>
        <w:rPr>
          <w:rFonts w:hint="eastAsia" w:hAnsi="宋体"/>
          <w:color w:val="auto"/>
          <w:sz w:val="21"/>
          <w:highlight w:val="none"/>
          <w:u w:val="single"/>
        </w:rPr>
        <w:t xml:space="preserve">甲方指定地点</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13"/>
        <w:ind w:firstLine="420"/>
        <w:spacing w:line="440" w:lineRule="exact"/>
        <w:rPr>
          <w:rFonts w:hAnsi="宋体" w:cs="宋体"/>
          <w:color w:val="auto"/>
          <w:sz w:val="21"/>
          <w:highlight w:val="none"/>
        </w:rPr>
      </w:pPr>
      <w:r>
        <w:rPr>
          <w:rFonts w:hint="eastAsia" w:hAnsi="宋体" w:cs="宋体"/>
          <w:color w:val="auto"/>
          <w:sz w:val="21"/>
          <w:highlight w:val="none"/>
        </w:rPr>
        <w:t xml:space="preserve">10.3 甲方付款方式：</w:t>
      </w:r>
      <w:r/>
    </w:p>
    <w:p>
      <w:pPr>
        <w:pStyle w:val="1013"/>
        <w:ind w:firstLine="420"/>
        <w:spacing w:line="440" w:lineRule="exact"/>
        <w:rPr>
          <w:rFonts w:hAnsi="宋体" w:cs="宋体"/>
          <w:color w:val="auto"/>
          <w:sz w:val="21"/>
          <w:highlight w:val="none"/>
        </w:rPr>
      </w:pPr>
      <w:r>
        <w:rPr>
          <w:rFonts w:hint="eastAsia" w:hAnsi="宋体" w:cs="宋体"/>
          <w:color w:val="auto"/>
          <w:sz w:val="21"/>
          <w:highlight w:val="none"/>
        </w:rPr>
        <w:t xml:space="preserve">合同签订后（财政资金拨付到位），乙方向甲方开具发票，甲方自收到发票之日起10个工作日内支付合同总价的30%；</w:t>
      </w:r>
      <w:r/>
    </w:p>
    <w:p>
      <w:pPr>
        <w:pStyle w:val="1013"/>
        <w:ind w:firstLine="420"/>
        <w:spacing w:line="440" w:lineRule="exact"/>
        <w:rPr>
          <w:rFonts w:hAnsi="宋体" w:cs="宋体"/>
          <w:color w:val="auto"/>
          <w:sz w:val="21"/>
          <w:highlight w:val="none"/>
        </w:rPr>
      </w:pPr>
      <w:r>
        <w:rPr>
          <w:rFonts w:hint="eastAsia" w:hAnsi="宋体" w:cs="宋体"/>
          <w:color w:val="auto"/>
          <w:sz w:val="21"/>
          <w:highlight w:val="none"/>
        </w:rPr>
        <w:t xml:space="preserve">全部检验任务完成后报送检测分析报告、全要素汇总表、PDF格式检测报告，经检查合格出具项目验收报告后，乙方向甲方开具发票，甲方自收到发票之日起10个工作日内支付合同总价的70%。</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1013"/>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1013"/>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1013"/>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13"/>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13"/>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合同经双方法定代表人签章并加盖单位公章，并经江苏汇诚投资咨询管理有限公司见证盖章后生效。</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13"/>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811"/>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甲方： 扬州市市场监督管理局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地址： 扬州市邗江区文昌西路525号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见证方：江苏汇诚投资咨询管理有限公司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13"/>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13"/>
              <w:spacing w:before="120" w:after="120" w:line="360" w:lineRule="auto"/>
              <w:rPr>
                <w:rFonts w:hAnsi="宋体"/>
                <w:color w:val="auto"/>
                <w:sz w:val="21"/>
                <w:highlight w:val="none"/>
              </w:rPr>
            </w:pPr>
            <w:r>
              <w:rPr>
                <w:rFonts w:hAnsi="宋体"/>
                <w:color w:val="auto"/>
                <w:sz w:val="21"/>
                <w:highlight w:val="none"/>
              </w:rPr>
            </w:r>
            <w:r/>
          </w:p>
        </w:tc>
      </w:tr>
    </w:tbl>
    <w:p>
      <w:pPr>
        <w:pStyle w:val="1013"/>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1013"/>
        <w:spacing w:before="120" w:after="120" w:line="360" w:lineRule="auto"/>
        <w:rPr>
          <w:rFonts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85"/>
        <w:jc w:val="center"/>
        <w:spacing w:line="240" w:lineRule="auto"/>
        <w:rPr>
          <w:color w:val="auto"/>
          <w:highlight w:val="none"/>
        </w:rPr>
      </w:pPr>
      <w:r>
        <w:rPr>
          <w:rFonts w:hint="eastAsia"/>
          <w:color w:val="auto"/>
          <w:highlight w:val="none"/>
        </w:rPr>
        <w:t xml:space="preserve">第四章 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一、项目简介</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为确保2026年扬州市“一老一小”食品安全专项监督抽检工作顺利开</w:t>
      </w:r>
      <w:r>
        <w:rPr>
          <w:rFonts w:hint="eastAsia" w:ascii="宋体" w:hAnsi="宋体" w:cs="宋体"/>
          <w:color w:val="auto"/>
          <w:szCs w:val="21"/>
          <w:highlight w:val="none"/>
        </w:rPr>
        <w:t xml:space="preserve">展，现向全国范围内检测机构进行公开招标，入围的检测机构有资格承担2026年扬州市“一老一小”食品安全专项监督抽检工作。本次招标只招承担扬州市市场监督管理局2026年扬州市“一老一小”食品安全专项抽检任务的承检机构。抽检机构服务内容:负责扬州市市区学校食堂、学校集中用餐配送单位、学校食材供货商以及宝应县、高邮市、仪征市、邗江区部分学校食堂、全市敬老院食堂等场所的食品安全抽检，抽检品类依据国家市场监督管理总局核准的粮食及粮食制品、蔬菜及其制品、水果及其制品、水产品及其制品、食用油(油脂)及其制品等37大类产品。</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二、项目要求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1、基本要求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1.1严格遵守《中华人民共和国食品安全法》、《食品安全抽样检验管理办法》等相关法律、法规、规章的规定。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1.2按照国家法律、法规、国家标准规定和采购人要求开展抽样、检验等各项任务，并根据承担的检验任务出具检验实施方案交采购人审查确定。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2、服务步骤：中标供应商应按以下主要步骤开展相关工作：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2.1由采购方根据对应分包中标供应商确定该承检机构承担的检测范围；</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2.2承检机构负责抽样；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2.3承检机构负责检验、检验报告出具以及检验结果的确认；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2.4承检机构负责通过</w:t>
      </w:r>
      <w:bookmarkStart w:id="53" w:name="_Hlk86768829"/>
      <w:r>
        <w:rPr>
          <w:rFonts w:hint="eastAsia" w:ascii="宋体" w:hAnsi="宋体" w:cs="宋体"/>
          <w:color w:val="auto"/>
          <w:szCs w:val="21"/>
          <w:highlight w:val="none"/>
        </w:rPr>
        <w:t xml:space="preserve">采购人指定系统</w:t>
      </w:r>
      <w:bookmarkEnd w:id="53"/>
      <w:r>
        <w:rPr>
          <w:rFonts w:hint="eastAsia" w:ascii="宋体" w:hAnsi="宋体" w:cs="宋体"/>
          <w:color w:val="auto"/>
          <w:szCs w:val="21"/>
          <w:highlight w:val="none"/>
        </w:rPr>
        <w:t xml:space="preserve">录入上传数据；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2.5承检机构负责协助采购人办理异议处理和复检工作；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2.6承检机构负责汇总材料及上报；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2.7承检机构负责协助拟定、发布公告。</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3、服务内容</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3.3 承检机构应当收集分析抽检监测中遇到的各类问题并加以研究分析，在报告中提出有关制度性建设性的建议，能够有助于食品安全标准、食品补充检验方法或食品快速检测方法等制度修订与研究。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3.4承检机构应建立抽检合格备份样品再利用工作机制，并积极开展抽检合格备份样品再利用管理工作。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3.5承检机构应按照采购方要求及时通过采购人指定系统上传录入数据。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三、服务要求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留样再测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2、投标人应制定明确规范、科学有效的内控制度，明确各岗位业务操作规范和操作流程，涵盖采样、送检、检测、复核、签署报告、录入信息、上报结果、发布公告等业务流程涉及的所有环节。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3、中标供应商按照法律法规和采购人要求抽样并完成检测任务后，所有备样不得自行处置，按采购人有关备样处置的要求处置。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4、投标人对抽检信息、数据等负有保密义务，未经采购人授权，不得向除采购人外的任何单位与个人透露任何信息。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5、检验项目由采购人确定，投标人应按照采购人要求，及时将抽样检验相关资料准确录入采购人指定的信息管理系统。</w:t>
      </w:r>
      <w:r/>
    </w:p>
    <w:p>
      <w:pPr>
        <w:ind w:firstLine="420"/>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6、抽样检验的工作人员必须为投标人在职员工，投标人不得将检验任务转包给其他检验机构，一经发现，立即终止承检任务。</w:t>
      </w:r>
      <w:r>
        <w:rPr>
          <w:rFonts w:hint="eastAsia" w:ascii="宋体" w:hAnsi="宋体" w:cs="宋体"/>
          <w:b/>
          <w:bCs/>
          <w:color w:val="auto"/>
          <w:szCs w:val="21"/>
          <w:highlight w:val="none"/>
        </w:rPr>
        <w:t xml:space="preserve">（供应商提供书面承诺函上传响应并加盖投标人公章，格式自拟，内容应完全响应招标文件要求。）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7、投标人应按照采购人要求，严格遵守抽样工作规范，保证抽样工作有效。样品抽取要由专门人员完成，样品运输要符合样品管理规定，鼓励派专人专车送达。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8、投标人应在规定时间内完成采购人部署的抽样检验工作，必须保证抽检过程公平、公正，依法出具检验报告，汇总样品抽检结果信息，提交抽检工作分析总结报告。出现检验事故的，立即终止承检任务。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为保证抽检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10、若违反抽样、检验、信息披露等相关规定的，采购人有权终止合同，取消中标人承检任务并追究其经济赔偿责任和法律责任。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11、中标人不得拒绝采购人委托的抽检任务，否则视为违约。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12、采购人有权按服务响应、履约情况、考核情况等因素综合评定后调整服务任务。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★13、中标的承检机构有下列情形之一的，采购人有权终止、解除合同，收回按照合同支付的抽样检验费用，供应商还须赔偿采购人因此遭受的损失：</w:t>
      </w:r>
      <w:r/>
    </w:p>
    <w:p>
      <w:pPr>
        <w:ind w:firstLine="420"/>
        <w:spacing w:line="440" w:lineRule="exact"/>
        <w:rPr>
          <w:rFonts w:ascii="宋体" w:hAnsi="宋体" w:cs="宋体"/>
          <w:color w:val="auto"/>
          <w:szCs w:val="21"/>
          <w:highlight w:val="none"/>
        </w:rPr>
      </w:pPr>
      <w:r/>
      <w:bookmarkStart w:id="54" w:name="_Hlk162876826"/>
      <w:r>
        <w:rPr>
          <w:rFonts w:hint="eastAsia" w:ascii="宋体" w:hAnsi="宋体" w:cs="宋体"/>
          <w:color w:val="auto"/>
          <w:szCs w:val="21"/>
          <w:highlight w:val="none"/>
        </w:rPr>
        <w:t xml:space="preserve">13.1出具虚假检验报告、不实检验报告的；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13.2利用抽样检验工作之便牟取不正当利益的；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13.3违反规定事先通知被抽检食品生产经营者的；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13.4谎报、瞒报、擅自发布食品安全抽样检验信息的；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13.5因自身原因，未按照规定的时限和程序报告不合格检验结论，造成严重后果的；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13.6超资质范围出具检验报告的；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13.7存在物料不平衡情况的；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13.8有其他违法违规行为的。</w:t>
      </w:r>
      <w:bookmarkEnd w:id="54"/>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针对上述★终止、解除合同有关情形，供应商提供书面承诺函上传响应并加盖投标人公章，格式自拟，内容应完全响应招标文件要求。</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★四、保密要求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2、服务人员不得以任何形式将档案资料（包括纸质档和电子档）带出指定工作现场，不得以任何形式进行泄漏、传播。</w:t>
      </w:r>
      <w:r/>
    </w:p>
    <w:p>
      <w:pPr>
        <w:ind w:firstLine="420"/>
        <w:spacing w:line="440" w:lineRule="exact"/>
        <w:rPr>
          <w:rFonts w:ascii="宋体" w:hAnsi="宋体" w:cs="宋体"/>
          <w:color w:val="auto"/>
          <w:szCs w:val="21"/>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cs="宋体"/>
          <w:color w:val="auto"/>
          <w:szCs w:val="21"/>
          <w:highlight w:val="none"/>
        </w:rPr>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3、供应商应对其服务人员保密义务承担责任，如因其服务人员违反保密义务导致采购人产生损失或支出费用的，采购人有权要求供应商承担责任。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4、供应商及其服务人员的保密期限为永久，不因本项目所签订的文件或合同的终止而终止。</w:t>
      </w:r>
      <w:r/>
    </w:p>
    <w:p>
      <w:pPr>
        <w:ind w:firstLine="422"/>
        <w:spacing w:line="440" w:lineRule="exact"/>
        <w:rPr>
          <w:rFonts w:ascii="宋体" w:hAnsi="宋体" w:cs="宋体"/>
          <w:b/>
          <w:color w:val="auto"/>
          <w:szCs w:val="21"/>
          <w:highlight w:val="none"/>
        </w:rPr>
      </w:pPr>
      <w:r/>
      <w:bookmarkStart w:id="55" w:name="_Hlk86432632"/>
      <w:r>
        <w:rPr>
          <w:rFonts w:hint="eastAsia" w:ascii="宋体" w:hAnsi="宋体" w:cs="宋体"/>
          <w:b/>
          <w:color w:val="auto"/>
          <w:szCs w:val="21"/>
          <w:highlight w:val="none"/>
        </w:rPr>
        <w:t xml:space="preserve">针对上述保密要求内容，投标人须提供书面承诺函原件并加盖公章，格式自拟，内容应完全响应招标文件要求。</w:t>
      </w:r>
      <w:bookmarkEnd w:id="55"/>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五、服务期限</w:t>
      </w:r>
      <w:r/>
    </w:p>
    <w:p>
      <w:pPr>
        <w:ind w:firstLine="420"/>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服务期限：自合同生效之日起至</w:t>
      </w:r>
      <w:r>
        <w:rPr>
          <w:rFonts w:hint="eastAsia" w:ascii="宋体" w:hAnsi="宋体" w:cs="宋体"/>
          <w:color w:val="auto"/>
          <w:szCs w:val="21"/>
          <w:highlight w:val="none"/>
          <w:lang w:eastAsia="zh-CN"/>
        </w:rPr>
        <w:t xml:space="preserve">2026年12月20日</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六、项目内容</w:t>
      </w:r>
      <w:r/>
    </w:p>
    <w:p>
      <w:pPr>
        <w:pStyle w:val="1031"/>
        <w:ind w:left="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标的物为37个大类、271个食品细类的食品抽检。食品品种抽检基准价格包含了检验费用、抽样费和买样费。（注：抽检品种及项目范围根据国家市场监管总局下发的《2025年食品安全监督抽检实施细则》中规定的2025年食品安全监督抽检品种、项目表全项目检测开展检测工作。如国家市场监管总局或江苏省市场监督管理局下发的抽检计划有更新，招标人有权按照实际情况进行调整。）</w:t>
      </w:r>
      <w:r/>
    </w:p>
    <w:p>
      <w:pPr>
        <w:pStyle w:val="1031"/>
        <w:ind w:left="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801"/>
        <w:jc w:val="center"/>
        <w:spacing w:before="0"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年食品安全监督抽检品种、项目表</w:t>
      </w:r>
      <w:r/>
    </w:p>
    <w:p>
      <w:pPr>
        <w:pStyle w:val="812"/>
        <w:ind w:firstLine="0"/>
        <w:rPr>
          <w:color w:val="auto"/>
          <w:highlight w:val="none"/>
        </w:rPr>
      </w:pPr>
      <w:r>
        <w:rPr>
          <w:color w:val="auto"/>
          <w:highlight w:val="none"/>
        </w:rPr>
      </w:r>
      <w:r/>
    </w:p>
    <w:tbl>
      <w:tblPr>
        <w:tblStyle w:val="81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276"/>
        <w:gridCol w:w="1276"/>
        <w:gridCol w:w="1686"/>
        <w:gridCol w:w="1331"/>
        <w:gridCol w:w="790"/>
        <w:gridCol w:w="7134"/>
      </w:tblGrid>
      <w:tr>
        <w:trPr>
          <w:trHeight w:val="555"/>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食品大类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(一级)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食品亚类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(二级)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食品品种</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(三级)</w:t>
            </w:r>
            <w:r/>
          </w:p>
        </w:tc>
        <w:tc>
          <w:tcPr>
            <w:tcBorders>
              <w:top w:val="single" w:color="auto"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食品细类</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(四级)</w:t>
            </w:r>
            <w:r/>
          </w:p>
        </w:tc>
        <w:tc>
          <w:tcPr>
            <w:tcBorders>
              <w:top w:val="single" w:color="auto"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风险</w:t>
            </w:r>
            <w:r>
              <w:rPr>
                <w:rFonts w:hint="eastAsia" w:ascii="宋体" w:hAnsi="宋体" w:eastAsia="宋体" w:cs="宋体"/>
                <w:b/>
                <w:bCs/>
                <w:color w:val="auto"/>
                <w:sz w:val="21"/>
                <w:szCs w:val="21"/>
                <w:highlight w:val="none"/>
              </w:rPr>
              <w:br/>
            </w:r>
            <w:r>
              <w:rPr>
                <w:rFonts w:hint="eastAsia" w:ascii="宋体" w:hAnsi="宋体" w:eastAsia="宋体" w:cs="宋体"/>
                <w:b/>
                <w:bCs/>
                <w:color w:val="auto"/>
                <w:sz w:val="21"/>
                <w:szCs w:val="21"/>
                <w:highlight w:val="none"/>
              </w:rPr>
              <w:t xml:space="preserve">等级</w:t>
            </w:r>
            <w:r/>
          </w:p>
        </w:tc>
        <w:tc>
          <w:tcPr>
            <w:tcBorders>
              <w:top w:val="single" w:color="auto"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抽检项目</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镉(以Cd计)、苯并[a]芘、玉米赤霉烯酮、脱氧雪腐镰刀菌烯醇、赭曲霉毒素A、黄曲霉毒素B₁ 、偶氮甲酰胺、过氧化苯甲酰</w:t>
            </w:r>
            <w:r/>
          </w:p>
        </w:tc>
      </w:tr>
      <w:tr>
        <w:trPr>
          <w:trHeight w:val="803"/>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铅(以Pb计)、镉(以Cd计)、无机砷(以As计)、苯并[a]芘、黄曲霉毒素B₁ 、赭曲霉毒素A</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挂面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 、脱氢乙酸及其钠盐(以脱氢乙酸计)、合成着色剂(柠檬黄、日落黄)</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铅(以Pb计)、镉(以Cd计)、黄曲霉毒素B₁ 、赭曲霉毒素A</w:t>
            </w:r>
            <w:r/>
          </w:p>
        </w:tc>
      </w:tr>
      <w:tr>
        <w:trPr>
          <w:trHeight w:val="10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谷物碾磨加工品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玉米粉(片、渣)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苯并[a]芘、黄曲霉毒素B₁ 、赭曲霉毒素A、玉米赤霉烯酮、脱氧雪腐镰刀菌烯醇</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铅(以Pb计)、镉(以Cd计)、总汞(以Hg计)、无机砷(以As计)、苯并[a]芘</w:t>
            </w:r>
            <w:r/>
          </w:p>
        </w:tc>
      </w:tr>
      <w:tr>
        <w:trPr>
          <w:trHeight w:val="9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其他谷物碾磨加工品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铅(以Pb计)、铬(以Cr计)、赭曲霉毒素A</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谷物粉类制成品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生湿面制品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铅(以Pb计)、苯甲酸及其钠盐(以苯甲酸计)、山梨酸及其钾盐(以山梨酸计)、脱氢乙酸及其钠盐(以脱氢乙酸计)、二氧化硫残留量、合成着色剂(柠檬黄)</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苯甲酸及其钠盐(以苯甲酸计)、山梨酸及其钾盐(以山梨酸计)、脱氢乙酸及其钠盐(以脱氢乙酸计)、糖精钠(以糖精计)、甜蜜素(以环己基氨基磺酸计)、安赛蜜、合成着色剂(柠檬黄、胭脂红)、菌落总数、大肠菌群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苯甲酸及其钠盐(以苯甲酸计)、山梨酸及其钾盐(以山梨酸计)、脱氢乙酸及其钠盐(以脱氢乙酸计)、二氧化硫残留量、合成着色剂(柠檬黄、日落黄、喹啉黄、亮蓝、靛蓝)、菌落总数、大肠菌群</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其他谷物粉类制成品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黄曲霉毒素B₁、苯甲酸及其钠盐(以苯甲酸计)、山梨酸及其钾盐(以山梨酸计)、脱氢乙酸及其钠盐(以脱氢乙酸计)、菌落总数、大肠菌群</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酸值/酸价、过氧化值、黄曲霉毒素B₁ 、苯并[a]芘、溶剂残留量、特丁基对苯二酚(TBHQ)</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玉米油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酸值/酸价、过氧化值、黄曲霉毒素B₁ 、苯并[a]芘、特丁基对苯二酚(TBHQ)</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芝麻油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酸值/酸价、过氧化值、苯并[a]芘、溶剂残留量、乙基麦芽酚</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橄榄油、油橄榄果渣油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酸值/酸价、过氧化值、溶剂残留量、特丁基对苯二酚(TBHQ)</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酸值/酸价、过氧化值、铅(以Pb计)、苯并[a]芘、溶剂残留量、特丁基对苯二酚(TBHQ)、乙基麦芽酚</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酸值/酸价、过氧化值、苯并[a]芘、溶剂残留量、特丁基对苯二酚(TBHQ)</w:t>
            </w:r>
            <w:r/>
          </w:p>
        </w:tc>
      </w:tr>
      <w:tr>
        <w:trPr>
          <w:trHeight w:val="7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食用植物调和油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酸价、过氧化值、苯并[a]芘、溶剂残留量、特丁基对苯二酚(TBHQ)、乙基麦芽酚</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油茶籽油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酸值/酸价、过氧化值、铅(以Pb计)、苯并[a]芘、溶剂残留量、特丁基对苯二酚(TBHQ)</w:t>
            </w:r>
            <w:r/>
          </w:p>
        </w:tc>
      </w:tr>
      <w:tr>
        <w:trPr>
          <w:trHeight w:val="7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其他食用植物油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酸值/酸价、过氧化值、苯并[a]芘、溶剂残留量、特丁基对苯二酚(TBHQ)</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酸价、过氧化值、丙二醛、苯并[a]芘</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酸价(以脂肪计)、过氧化值(以脂肪计)、大肠菌群、霉菌</w:t>
            </w:r>
            <w:r/>
          </w:p>
        </w:tc>
      </w:tr>
      <w:tr>
        <w:trPr>
          <w:trHeight w:val="16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trHeight w:val="16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总酸(以乙酸计)、不挥发酸(以乳酸计)、苯甲酸及其钠盐(以苯甲酸计)、山梨酸及其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钾盐(以山梨酸计)、脱氢乙酸及其钠盐(以脱氢乙酸计)、对羟基苯甲酸酯类及其钠盐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(以对羟基苯甲酸计)、防腐剂混合使用时各自用量占其最大使用量的比例之和、糖精钠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(以糖精计)、三氯蔗糖、甜蜜素(以环己基氨基磺酸计)、菌落总数</w:t>
            </w:r>
            <w:r/>
          </w:p>
        </w:tc>
      </w:tr>
      <w:tr>
        <w:trPr>
          <w:trHeight w:val="13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酿造酱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黄豆酱、甜面酱等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氨基酸态氮、黄曲霉毒素B₁ 、苯甲酸及其钠盐(以苯甲酸计)、山梨酸及其钾盐(以山梨酸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计)、脱氢乙酸及其钠盐(以脱氢乙酸计)、防腐剂混合使用时各自用量占其最大使用量的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比例之和、糖精钠(以糖精计)、三氯蔗糖、甜蜜素(以环己基氨基磺酸计)、安赛蜜、大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肠菌群</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料酒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氨基酸态氮(以氮计)、苯甲酸及其钠盐(以苯甲酸计)、山梨酸及其钾盐(以山梨酸计)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、脱氢乙酸及其钠盐(以脱氢乙酸计)、甜蜜素(以环己基氨基磺酸计)、三氯蔗糖</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香辛料调味油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酸价/酸值、过氧化值、铅(以Pb计)</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辣椒、花椒、辣椒粉、花椒粉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铅(以Pb计)、罗丹明B、苏丹红I、苏丹红Ⅱ、苏丹红Ⅲ、苏丹红IV、脱氢乙酸及其钠盐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(以脱氢乙酸计)、二氧化硫残留量、合成着色剂(柠檬黄、日落黄、胭脂红)、沙门氏菌</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其他香辛料调味品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铅(以Pb计)、脱氢乙酸及其钠盐(以脱氢乙酸计)、二氧化硫残留量、甜蜜素(以环己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基氨基磺酸计)、合成着色剂(柠檬黄、日落黄、苋菜红、胭脂红、亮蓝)、丙溴磷、氯氰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菊酯和高效氯氰菊酯、多菌灵、毒死蜱、克百威、沙门氏菌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鸡粉、鸡精调味料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谷氨酸钠、呈味核苷酸二钠、铅(以Pb计)、糖精钠(以糖精计)、甜蜜素(以环己基氨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基磺酸计)、安赛蜜、菌落总数、大肠菌群</w:t>
            </w:r>
            <w:r/>
          </w:p>
        </w:tc>
      </w:tr>
      <w:tr>
        <w:trPr>
          <w:trHeight w:val="134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铅(以Pb计)、苏丹红I、苏丹红Ⅱ、苏丹红Ⅲ、苏丹红IV、罂粟碱、吗啡、可待因、那</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可丁、苯甲酸及其钠盐(以苯甲酸计)、山梨酸及其钾盐(以山梨酸计)、脱氢乙酸及其钠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盐(以脱氢乙酸计)、防腐剂混合使用时各自用量占其最大使用量的比例之和、糖精钠(以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糖精计)、甜蜜素(以环己基氨基磺酸计)、安赛蜜、阿斯巴甜、二氧化硫残留量</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半固体复合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蛋黄酱、沙拉酱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二氧化钛</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坚果与籽类的泥(酱)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酸价/酸值、过氧化值、铅(以Pb计)、黄曲霉毒素B₁</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辣椒酱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氨基磺酸计)、二氧化硫残留量</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火锅底料、麻辣烫底料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罂粟碱、吗啡、可待因、那可丁、苯甲酸及其钠盐(以苯甲酸计)、山梨酸及其钾盐(以山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梨酸计)、脱氢乙酸及其钠盐(以脱氢乙酸计)、防腐剂混合使用时各自用量占其最大使用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量的比例之和</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其他半固体调味料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铅(以Pb计)、罗丹明B、罂粟碱、吗啡、可待因、那可丁、苯甲酸及其钠盐(以苯甲酸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计)、山梨酸及其钾盐(以山梨酸计)、脱氢乙酸及其钠盐(以脱氢乙酸计)、防腐剂混合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使用时各自用量占其最大使用量的比例之和、甜蜜素(以环己基氨基磺酸计)、安赛蜜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蚝油、虾油、鱼露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氨基酸态氮、苯甲酸及其钠盐(以苯甲酸计)、山梨酸及其钾盐(以山梨酸计)、脱氢乙酸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及其钠盐(以脱氢乙酸计)、防腐剂混合使用时各自用量占其最大使用量的比例之和、菌落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w:t>
            </w:r>
            <w:r/>
          </w:p>
        </w:tc>
      </w:tr>
      <w:tr>
        <w:trPr>
          <w:trHeight w:val="12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其他液体调味料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trHeight w:val="6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味精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谷氨酸钠</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食盐</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氯化钠、钡(以Ba计)、碘(以I计)、铅(以Pb计)、总砷(以As计)、镉(以Cd计)、总汞(以Hg计)、亚铁氰化钾/亚铁氰化钠(以亚铁氰根计)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低钠食用盐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氯化钾、钡(以Ba计)、碘(以I计)、铅(以Pb计)、总砷(以As计)、镉(以Cd计)、总汞(以Hg计)、亚铁氰化钾/亚铁氰化钠(以亚铁氰根计)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风味食用盐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钡(以Ba计)、铅(以Pb计)、总砷(以As计)、镉(以Cd计)、总汞(以Hg计)、亚铁氰化钾/亚铁氰化钠(以亚铁氰根计)</w:t>
            </w:r>
            <w:r/>
          </w:p>
        </w:tc>
      </w:tr>
      <w:tr>
        <w:trPr>
          <w:trHeight w:val="75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特殊工艺食用盐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氯化钠、钡(以Ba计)、碘(以I计)、铅(以Pb计)、总砷(以As计)、镉(以Cd计)、总汞(以Hg计)、亚铁氰化钾/亚铁氰化钠(以亚铁氰根计)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铅(以Pb计)、总砷(以As计)、镉(以Cd计)、总汞(以Hg计)、亚铁氰化钾/亚铁氰化钠(以亚铁氰根计)、亚硝酸盐(以NaNO₂计)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调理肉制品(非速冻)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苯甲酸及其钠盐(以苯甲酸计)、山梨酸及其钾盐(以山梨酸计)、脱氢乙酸及其钠盐(以脱氢乙酸计)</w:t>
            </w:r>
            <w:r/>
          </w:p>
        </w:tc>
      </w:tr>
      <w:tr>
        <w:trPr>
          <w:trHeight w:val="13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总砷(以As计)、亚硝酸盐(以亚硝酸钠计)、苯甲酸及其钠盐(以苯甲酸计)、山梨酸及其钾盐(以山梨酸计)、脱氢乙酸及其钠盐(以脱氢乙酸计)、合成着色剂(柠檬黄、日落黄、胭脂红、诱惑红、苋菜红、酸性红)、氯霉素</w:t>
            </w:r>
            <w:r/>
          </w:p>
        </w:tc>
      </w:tr>
      <w:tr>
        <w:trPr>
          <w:trHeight w:val="9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亚硝酸盐(以亚硝酸钠计)、纳他霉素、大肠菌群、沙门氏菌、金黄色葡萄球菌、单核细胞增生李斯特氏菌、致泻大肠埃希氏菌</w:t>
            </w:r>
            <w:r/>
          </w:p>
        </w:tc>
      </w:tr>
      <w:tr>
        <w:trPr>
          <w:trHeight w:val="19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镉(以Cd计)、铬(以Cri计)、总砷(以As计)、N-二甲基亚硝胺、亚硝酸盐(以亚硝酸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钠计)、苯甲酸及其钠盐(以苯甲酸计)、山梨酸及其钾盐(以山梨酸计)、脱氢乙酸及其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钠盐(以脱氢乙酸计)、纳他霉素、防腐剂混合使用时各自用量占其最大使用量的比例之和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、糖精钠(以糖精计)、合成着色剂(柠檬黄、日落黄、胭脂红、诱惑红)、氯霉素、菌落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总数、大肠菌群、沙门氏菌、金黄色葡萄球菌、单核细胞增生李斯特氏菌、致泻大肠埃希氏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菌、商业无菌</w:t>
            </w:r>
            <w:r/>
          </w:p>
        </w:tc>
      </w:tr>
      <w:tr>
        <w:trPr>
          <w:trHeight w:val="13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N-二甲基亚硝胺、亚硝酸盐(以亚硝酸钠计)、苯甲酸及其钠盐(以苯甲酸计)、山梨酸及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其钾盐(以山梨酸计)、沙门氏菌、金黄色葡萄球菌、单核细胞增生李斯特氏菌、致泻大肠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埃希氏菌</w:t>
            </w:r>
            <w:r/>
          </w:p>
        </w:tc>
      </w:tr>
      <w:tr>
        <w:trPr>
          <w:trHeight w:val="16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铅(以Pb计)、N-二甲基亚硝胺、苯甲酸及其钠盐(以苯甲酸计)、山梨酸及其钾盐(以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山梨酸计)、脱氢乙酸及其钠盐(以脱氢乙酸计)、防腐剂混合使用时各自用量占其最大使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用量的比例之和、合成着色剂(胭脂红、诱惑红)、氯霉素、菌落总数、大肠菌群、沙门氏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菌、金黄色葡萄球菌、单核细胞增生李斯特氏菌、致泻大肠埃希氏菌</w:t>
            </w:r>
            <w:r/>
          </w:p>
        </w:tc>
      </w:tr>
      <w:tr>
        <w:trPr>
          <w:trHeight w:val="138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苯并[a]芘、N-二甲基亚硝胺、亚硝酸盐(以亚硝酸钠计)、苯甲酸及其钠盐(以苯甲酸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计)、山梨酸及其钾盐(以山梨酸计)、纳他霉素、合成着色剂(柠檬黄、日落黄、胭脂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红)、氯霉素、菌落总数、大肠菌群、沙门氏菌、金黄色葡萄球菌、单核细胞增生李斯特氏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菌、致泻大肠埃希氏菌</w:t>
            </w:r>
            <w:r/>
          </w:p>
        </w:tc>
      </w:tr>
      <w:tr>
        <w:trPr>
          <w:trHeight w:val="15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熏煮香肠火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腿制品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熏煮香肠火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腿制品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亚硝酸盐(以亚硝酸钠计)、苯甲酸及其钠盐(以苯甲酸计)、山梨酸及其钾盐(以山梨酸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计)、脱氢乙酸及其钠盐(以脱氢乙酸计)、纳他霉素、防腐剂混合使用时各自用量占其最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大使用量的比例之和、合成着色剂(胭脂红、诱惑红)、氯霉素、菌落总数、大肠菌群、沙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门氏菌、金黄色葡萄球菌、单核细胞增生李斯特氏菌、致泻大肠埃希氏菌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液体乳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巴氏杀菌乳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蛋白质、酸度、三聚氰胺、铅(以Pb计)、丙二醇、沙门氏菌、金黄色葡萄球菌、菌落总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数、大肠菌群</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灭菌乳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蛋白质、非脂乳固体、酸度、脂肪、三聚氰胺、铅(以Pb计)、丙二醇、商业无菌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高温杀菌乳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蛋白质、酸度、三聚氰胺、铅(以Pb计)、沙门氏菌、菌落总数、大肠菌群、丙二醇</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脂肪、蛋白质、酸度、山梨酸及其钾盐(以山梨酸计)、甜蜜素(以环己基氨基磺酸计)、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阿斯巴甜、安赛蜜、三聚氰胺、铅(以Pb计)、金黄色葡萄球菌、沙门氏菌、大肠菌群、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酵母、霉菌</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调制乳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蛋白质、三聚氰胺、铅(以Pb计)、商业无菌、菌落总数、大肠菌群</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乳粉(全脂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、脱脂、部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分脱脂)和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调制乳粉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蛋白质、脂肪、复原乳酸度、杂质度、水分、三聚氰胺、铅(以Pb计)、菌落总数、大肠菌群</w:t>
            </w:r>
            <w:r/>
          </w:p>
        </w:tc>
      </w:tr>
      <w:tr>
        <w:trPr>
          <w:trHeight w:val="12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乳清粉和乳清蛋白粉 (企业原料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脱盐乳清粉、非脱盐乳清粉、浓缩乳清蛋白粉、分离乳清蛋白粉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浓缩乳制品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蛋白质、三聚氰胺、商业无菌、菌落总数、大肠菌群</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稀奶油、奶油和无水奶油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脂肪、酸度、三聚氰胺、脱氢乙酸及其钠盐(以脱氢乙酸计)、沙门氏菌、商业无菌、菌落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总数、大肠菌群、霉菌</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干酪、再制干酪、干酪制品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三聚氰胺、金黄色葡萄球菌、沙门氏菌、单核细胞增生李斯特氏菌、菌落总数、大肠菌群、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霉菌</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奶片、奶条等固态成型产品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蛋白质、脱氢乙酸及其钠盐(以脱氢乙酸计)、三聚氰胺、沙门氏菌</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包装饮用水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饮用天然矿泉水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界限指标、铅(以Pb计)、总砷(以As计)、镉(以Cd计)、总汞(以Hg计)、镍、溴酸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盐、硝酸盐(以NO₃计)、亚硝酸盐(以NO₂计)、大肠菌群、铜绿假单胞菌</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饮用纯净水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电导率、耗氧量(以O₂计)、铅(以Pb计)、总砷(以As计)、镉(以Cd计)、亚硝酸盐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(以NO₂计)、余氯(游离氯)、溴酸盐、三氯甲烷、大肠菌群、铜绿假单胞菌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其他类饮用水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耗氧量(以O₂计)、铅(以Pb计)、总砷(以As计)、镉(以Cd计)、亚硝酸盐(以NO₂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计)、余氯(游离氯)、溴酸盐、三氯甲烷、大肠菌群、铜绿假单胞菌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果蔬汁类及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果蔬汁类及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铅(以Pb计)、展青霉素、苯甲酸及其钠盐(以苯甲酸计)、山梨酸及其钾盐(以山梨酸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计)、脱氢乙酸及其钠盐(以脱氢乙酸计)、纳他霉素、防腐剂混合使用时各自用量占其最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大使用量的比例之和、安赛蜜、甜蜜素(以环己基氨基磺酸计)、阿斯巴甜、合成着色剂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(柠檬黄、新红、苋菜红、靛蓝、胭脂红、日落黄、诱惑红、亮蓝、酸性红、喹味黄、赤藓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红)、菌落总数、大肠菌群、霉菌、酵母</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蛋白饮料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蛋白质、乳酸菌数、氰化物(以HCN计)、三聚氰胺、脱氢乙酸及其钠盐(以脱氢乙酸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计)、安赛蜜、甜蜜素(以环己基氨基磺酸计)、阿斯巴甜、菌落总数、大肠菌群、霉菌、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酵母、商业无菌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碳酸饮料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(汽水)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碳酸饮料</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(汽水)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二氧化碳气容量、苯甲酸及其钠盐(以苯甲酸计)、山梨酸及其钾盐(以山梨酸计)、防腐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剂混合使用时各自用量占其最大使用量的比例之和、安赛蜜、甜蜜素(以环己基氨基磺酸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计)、阿斯巴甜、菌落总数、霉菌、酵母</w:t>
            </w:r>
            <w:r/>
          </w:p>
        </w:tc>
      </w:tr>
      <w:tr>
        <w:trPr>
          <w:trHeight w:val="10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茶多酚、咖啡因、脱氢乙酸及其钠盐(以脱氢乙酸计)、安赛蜜、甜蜜素(以环己基氨基磺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酸计)、阿斯巴甜、菌落总数</w:t>
            </w:r>
            <w:r/>
          </w:p>
        </w:tc>
      </w:tr>
      <w:tr>
        <w:trPr>
          <w:trHeight w:val="1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固体饮料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蛋白质、乳酸菌数、铅(以Pb计)、氰化物(以HCN计)、苯甲酸及其钠盐(以苯甲酸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计)、山梨酸及其钾盐(以山梨酸计)、防腐剂混合使用时各自用量占其最大使用量的比例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之和、糖精钠(以糖精计)、安赛蜜、甜蜜素(以环己基氨基磺酸计)、阿斯巴甜、合成着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色剂(柠檬黄、新红、苋菜红、靛蓝、胭脂红、日落黄、诱惑红、亮蓝、酸性红、喹啉黄、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赤藓红)、相同色泽着色剂混合使用时各自用量占其最大使用量的比例之和、菌落总数、大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肠菌群、霉菌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脱氢乙酸计)、防腐剂混合使用时各自用量占其最大使用量的比例之和、糖精钠(以糖精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计)、安赛蜜、甜蜜素(以环己基氨基磺酸计)、阿斯巴甜、合成着色剂(柠檬黄、新红、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苋菜红、靛蓝、胭脂红、日落黄、诱惑红、亮蓝、酸性红、喹啉黄、赤藓红)、菌落总数、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大肠菌群、霉菌、酵母</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油炸面、非油炸面、方便米粉(米线)、方便粉丝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水分、酸价(以脂肪计)(KOH)、过氧化值(以脂肪计)、菌落总数、大肠菌群、霉菌</w:t>
            </w:r>
            <w:r/>
          </w:p>
        </w:tc>
      </w:tr>
      <w:tr>
        <w:trPr>
          <w:trHeight w:val="13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山梨酸及其钾盐(以山梨酸计)、脱氢乙酸及其钠盐(以脱氢乙酸计)、糖精钠(以糖精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计)、甜蜜素(以环己基氨基磺酸计)、安赛蜜、三氯蔗糖、合成着色剂(柠檬黄、日落黄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、诱惑红、苋菜红)、菌落总数、大肠菌群、霉菌、沙门氏菌、金黄色葡萄球菌</w:t>
            </w:r>
            <w:r/>
          </w:p>
        </w:tc>
      </w:tr>
      <w:tr>
        <w:trPr>
          <w:trHeight w:val="1253"/>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其他方便食品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方便粥、方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便盒饭、冷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面及其他熟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制方便食品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 、苯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氢乙酸计)、糖精钠(以糖精计)、菌落总数、大肠菌群、霉菌、沙门氏菌、金黄色葡萄球</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w:t>
            </w:r>
            <w:r/>
          </w:p>
        </w:tc>
      </w:tr>
      <w:tr>
        <w:trPr>
          <w:trHeight w:val="146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饼干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铝的残留量(干样品，以Al计)、脱氢乙酸及其钠盐(以脱氢乙酸计)、甜蜜素(以环己基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氨基磺酸计)、糖精钠(以糖精计)、二氧化硫残留量、苯甲酸及其钠盐(以苯甲酸计)、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合成着色剂(柠檬黄、日落黄、胭脂红、苋菜红、亮蓝、靛蓝、诱惑红)、菌落总数、大肠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菌群、金黄色葡萄球菌、沙门氏菌、霉菌</w:t>
            </w:r>
            <w:r/>
          </w:p>
        </w:tc>
      </w:tr>
      <w:tr>
        <w:trPr>
          <w:trHeight w:val="7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畜禽水产罐头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铅(以Pb计)、镉(以Cd计)、脱氢乙酸及其钠盐(以脱氢乙酸计)、苯甲酸及其钠盐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水产动物类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组胺、铅(以Pb计)、无机砷(以As计)、脱氢乙酸及其钠盐(以脱氢乙酸计)、苯甲酸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及其钠盐(以苯甲酸计)、山梨酸及其钾盐(以山梨酸计)、糖精钠(以糖精计)、甜蜜素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(以环己基氨基磺酸计)、商业无菌</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果蔬罐头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铅(以Pb计)、合成着色剂(柠檬黄、日落黄、苋菜红、胭脂红、赤藓红、诱惑红、亮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蓝)、脱氢乙酸及其钠盐(以脱氢乙酸计)、苯甲酸及其钠盐(以苯甲酸计)、山梨酸及其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钾盐(以山梨酸计)、糖精钠(以糖精计)、甜蜜素(以环己基氨基磺酸计)、二氧化硫残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留量、商业无菌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铅(以Pb计)、合成着色剂(柠檬黄、日落黄)、脱氢乙酸及其钠盐(以脱氢乙酸计)、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苯甲酸及其钠盐(以苯甲酸计)、山梨酸及其钾盐(以山梨酸计)、乙二胺四乙酸二钠、二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氧化硫残留量、商业无菌</w:t>
            </w:r>
            <w:r/>
          </w:p>
        </w:tc>
      </w:tr>
      <w:tr>
        <w:trPr>
          <w:trHeight w:val="10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铅(以Pb计)、脱氢乙酸及其钠盐(以脱氢乙酸计)、苯甲酸及其钠盐(以苯甲酸计)、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山梨酸及其钾盐(以山梨酸计)、乙二胺四乙酸二钠、二氧化硫残留量、商业无菌</w:t>
            </w:r>
            <w:r/>
          </w:p>
        </w:tc>
      </w:tr>
      <w:tr>
        <w:trPr>
          <w:trHeight w:val="89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其他罐头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 、脱氢乙酸及其钠盐(以脱氢乙酸计)、苯甲酸及其钠盐(以苯甲酸计)、山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梨酸及其钾盐(以山梨酸计)、乙二胺四乙酸二钠、商业无菌</w:t>
            </w:r>
            <w:r/>
          </w:p>
        </w:tc>
      </w:tr>
      <w:tr>
        <w:trPr>
          <w:trHeight w:val="131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冷冻饮品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冰淇淋、雪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糕、雪泥、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冰棍、食用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冰、甜味冰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蛋白质、甜蜜素(以环己基氨基磺酸计)、糖精钠(以糖精计)、安赛蜜、三氯蔗糖、合成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着色剂(柠檬黄、日落黄)、菌落总数、大肠菌群、沙门氏菌、单核细胞增生李斯特氏菌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过氧化值(以脂肪计)、铅(以Pb计)、糖精钠(以糖精计)、甜蜜素(以环己基氨基磺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酸计)、合成着色剂(柠檬黄、日落黄、苋菜红、亮蓝)</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速冻面米熟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过氧化值(以脂肪计)、铅(以Pb计)、糖精钠(以糖精计)、甜蜜素(以环己基氨基磺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酸计)、合成着色剂(柠檬黄、日落黄、苋菜红、亮蓝)、菌落总数、大肠菌群、沙门氏菌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、金黄色葡萄球菌</w:t>
            </w:r>
            <w:r/>
          </w:p>
        </w:tc>
      </w:tr>
      <w:tr>
        <w:trPr>
          <w:trHeight w:val="9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过氧化值(以脂肪计)、铅(以Pb计)、铬(以Cr计)、氯霉素、合成着色剂(胭脂红、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柠檬黄、日落黄、诱惑红)、亚硝酸盐、菌落总数、大肠菌群、沙门氏菌、金黄色葡萄球菌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、单核细胞增生李斯特氏菌</w:t>
            </w:r>
            <w:r/>
          </w:p>
        </w:tc>
      </w:tr>
      <w:tr>
        <w:trPr>
          <w:trHeight w:val="9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速冻调制水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挥发性盐基氮、苯甲酸及其钠盐(以苯甲酸计)、山梨酸及其钾盐(以山梨酸计)、菌落总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数、大肠菌群、沙门氏菌、副溶血性弧菌、单核细胞增生李斯特氏菌</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速冻其他食品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铅(以Pb计)、镉(以Cd计)、糖精钠(以糖精计)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铅(以Pb计)、镉(以Cd计)、菌落总数、大肠菌群、霉菌、沙门氏菌、金黄色葡萄球菌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薯类和膨化食品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薯类和膨化食品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膨化食品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含油型膨化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食品和非含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油型膨化食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水分、酸价(以脂肪计)(KOH)、过氧化值(以脂肪计)、黄曲霉毒素B₁ 、糖精钠(以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糖精计)、苯甲酸及其钠盐(以苯甲酸计)、山梨酸及其钾盐(以山梨酸计)、甜蜜素(以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环己基氨基磺酸计)、菌落总数、大肠菌群、沙门氏菌、金黄色葡萄球菌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酸价(以脂肪计)(KOH)、过氧化值(以脂肪计)、菌落总数、大肠菌群、铅(以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Pb计)、沙门氏菌、金黄色葡萄球菌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冷冻薯类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薯泥(酱)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铅(以Pb计)、苯甲酸及其钠盐(以苯甲酸计)、山梨酸及其钾盐(以山梨酸计)、商业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无菌、沙门氏菌、金黄色葡萄球菌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薯粉类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其他薯类食品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铅(以Pb计)、沙门氏菌、金黄色葡萄球菌</w:t>
            </w:r>
            <w:r/>
          </w:p>
        </w:tc>
      </w:tr>
      <w:tr>
        <w:trPr>
          <w:trHeight w:val="1060"/>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糖果制品(含巧克力及制品)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trHeight w:val="15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糖果制品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(含巧克力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巧克力及巧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巧克力、巧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代可可脂巧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克力及代可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可脂巧克力</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山梨酸及其钾盐(以山梨酸计)、苯甲酸及其钠盐(以苯甲酸计)、糖精钠(以糖精计)、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甜蜜素(以环己基氨基磺酸计)、安赛蜜、菌落总数、大肠菌群、霉菌、酵母</w:t>
            </w:r>
            <w:r/>
          </w:p>
        </w:tc>
      </w:tr>
      <w:tr>
        <w:trPr>
          <w:trHeight w:val="15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茶叶及相关</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茶叶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绿茶、红茶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、乌龙茶、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黄茶、白茶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、黑茶、花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茶、袋泡茶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、紧压茶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铅(以Pb计)、草甘膦、吡虫啉、乙酰甲胺磷、联苯菊酯、灭多威、三氯杀螨醇、氰戊菊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酯和S-氰戊菊酯、甲拌磷、克百威、水胺硫磷、氧乐果、毒死蜱、啶虫脒、多菌灵、茚虫威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、合成着色剂(柠檬黄、日落黄、胭脂红、亮蓝)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含茶制品和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含茶制品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速溶茶类、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其他含茶制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铅(以Pb计)、菌落总数、霉菌、霉菌及酵母</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代用茶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铅(以Pb计)、二氧化硫残留量、啶虫脒、克百威、毒死蜱、吡虫啉、氯氟氰菊酯和高效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氯氟氰菊酯、三唑磷、霉菌</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蒸馏酒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白酒、白酒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(液态)、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白酒(原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酒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酒精度、铅(以Pb计)、甲醇、氰化物(以HCN计)、糖精钠(以糖精计)、甜蜜素(以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环己基氨基磺酸计)、三氯蔗糖、安赛蜜</w:t>
            </w:r>
            <w:r/>
          </w:p>
        </w:tc>
      </w:tr>
      <w:tr>
        <w:trPr>
          <w:trHeight w:val="108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酒精度、氨基酸态氮、苯甲酸及其钠盐(以苯甲酸计)、山梨酸及其钾盐(以山梨酸计)、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糖精钠(以糖精计)、甜蜜素(以环己基氨基磺酸计)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啤酒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啤酒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酒精度、甲醛</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酒精度、甲醇、苯甲酸及其钠盐(以苯甲酸计)、山梨酸及其钾盐(以山梨酸计)、糖精钠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(以糖精计)、二氧化硫残留量、甜蜜素(以环己基氨基磺酸计)、三氯蔗糖、合成着色剂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(柠檬黄、日落黄、新红、胭脂红、赤藓红、苋菜红、诱惑红、酸性红、亮蓝)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酒精度、展青霉素、糖精钠(以糖精计)、甜蜜素(以环己基氨基磺酸计)、安赛蜜、二氧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化硫残留量、酸性红</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其他酒</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配制酒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以蒸馏酒及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食用酒精为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酒基的配制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酒精度、甲醇、氰化物(以HCN计)、甜蜜素(以环己基氨基磺酸计)、安赛蜜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以发酵酒为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酒基的配制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酒精度、苯甲酸及其钠盐(以苯甲酸计)、山梨酸及其钾盐(以山梨酸计)、甜蜜素(以环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己基氨基磺酸计)、防腐剂混合使用时各自用量占其最大使用量的比例之和、安赛蜜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酒精度、铅(以Pb计)、甲醇、氰化物(以HCN计)、甜蜜素(以环己基氨基磺酸计)、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三氯蔗糖</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酒精度、苯甲酸及其钠盐(以苯甲酸计)、山梨酸及其钾盐(以山梨酸计)、糖精钠(以糖</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精计)、甜蜜素(以环己基氨基磺酸计)、安赛蜜</w:t>
            </w:r>
            <w:r/>
          </w:p>
        </w:tc>
      </w:tr>
      <w:tr>
        <w:trPr>
          <w:trHeight w:val="1315"/>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酱腌菜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酱腌菜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铅(以Pb计)、亚硝酸盐(以NaNO₂计)、苯甲酸及其钠盐(以苯甲酸计)、山梨酸及其钾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盐(以山梨酸计)、脱氢乙酸及其钠盐(以脱氢乙酸计)、糖精钠(以糖精计)、甜蜜素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(以环己基氨基磺酸计)、安赛蜜、二氧化硫残留量、防腐剂混合使用时各自用量占其最大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使用量的比例之和、合成着色剂(柠檬黄、日落黄、诱惑红)、大肠菌群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铅(以Pb计)、苯甲酸及其钠盐(以苯甲酸计)、山梨酸及其钾盐(以山梨酸计)、二氧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化硫残留量、合成着色剂(柠檬黄、日落黄、胭脂红、苋菜红、亮蓝)</w:t>
            </w:r>
            <w:r/>
          </w:p>
        </w:tc>
      </w:tr>
      <w:tr>
        <w:trPr>
          <w:trHeight w:val="8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乙酸及其钠盐(以脱氢乙酸计)、二氧化硫残留量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食用菌制品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铅(以Pb计)、镉(以Cd计)、总汞(以Hg计)、甲基汞(以Hg计)、总砷(以As计)、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无机砷(以As计)</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腌渍食用菌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脱氢乙酸计)、防腐剂混合使用时各自用量占其最大使用量的比例之和</w:t>
            </w:r>
            <w:r/>
          </w:p>
        </w:tc>
      </w:tr>
      <w:tr>
        <w:trPr>
          <w:trHeight w:val="170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蜜饯</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蜜饯类、凉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果类、果脯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类、话化类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、果糕类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糖精钠(以糖精计)、甜蜜素(以环己基氨基磺酸计)、安赛蜜、二氧化硫残留量、合成着</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色剂(亮蓝、柠檬黄、日落黄、苋菜红、胭脂红、诱惑红、喹啉黄)、相同色泽着色剂混合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使用时各自用量占其最大使用量的比例之和、乙二胺四乙酸二钠、菌落总数、大肠菌群、霉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w:t>
            </w:r>
            <w:r/>
          </w:p>
        </w:tc>
      </w:tr>
      <w:tr>
        <w:trPr>
          <w:trHeight w:val="14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水果干制品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(含干枸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杞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铅(以Pb计)、啶虫脒、吡虫啉、克百威、氯氟氰菊酯和高效氯氟氰菊酯、氯氰菊酯和高</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效氯氰菊酯、苯甲酸及其钠盐(以苯甲酸计)、山梨酸及其钾盐(以山梨酸计)、脱氢乙酸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及其钠盐(以脱氢乙酸计)、糖精钠(以糖精计)、二氧化硫残留量、合成着色剂(亮蓝、</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柠檬黄、日落黄、苋菜红、胭脂红、诱惑红、喹啉黄)、菌落总数、大肠菌群、霉菌</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铅(以Pb计)、脱氢乙酸及其钠盐(以脱氢乙酸计)、菌落总数、大肠菌群、霉菌、商业</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无菌</w:t>
            </w:r>
            <w:r/>
          </w:p>
        </w:tc>
      </w:tr>
      <w:tr>
        <w:trPr>
          <w:trHeight w:val="13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炒货食品及</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坚果制品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(烘炒类、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油炸类、其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开心果、杏</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仁、扁桃仁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、松仁、瓜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氢乙酸计)、二氧化硫残留量、糖精钠(以糖精计)、甜蜜素(以环己基氨基磺酸计)、安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赛蜜、大肠菌群、霉菌</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其他炒货食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品及坚果制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酸价(以脂肪计)(KOH)、过氧化值(以脂肪计)、铅(以Pb计)、黄曲霉毒素B₁、苯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甲酸及其钠盐(以苯甲酸计)、山梨酸及其钾盐(以山梨酸计)、脱氢乙酸及其钠盐(以脱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氢乙酸计)、二氧化硫残留量、糖精钠(以糖精计)、甜蜜素(以环己基氨基磺酸计)、安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赛蜜、大肠菌群、霉菌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再制蛋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再制蛋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铅(以Pb计)、苯甲酸及其钠盐(以苯甲酸计)、山梨酸及其钾盐(以山梨酸计)、菌落</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总数、大肠菌群、沙门氏菌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菌落总数、大肠菌群、沙门氏菌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可可及焙烤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咖啡产品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焙炒咖啡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咖啡因、铅(以Pb计)、赭曲霉毒素A</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可可制品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绵白糖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总糖分、还原糖分、色值、干燥失重、二氧化硫残留量、螨</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赤砂糖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总糖分、不溶于水杂质、干燥失重、二氧化硫残留量、螨、合成着色剂(柠檬黄、新红、苋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菜红、胭脂红、日落黄、诱惑红、酸性红、喹啉黄、赤藓红)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总糖分、不溶于水杂质、干燥失重、二氧化硫残留量、螨、合成着色剂(柠檬黄、新红、苋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蔗糖分、还原糖分、色值、干燥失重、二氧化硫残留量、螨、合成着色剂(柠檬黄、新红、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苋菜红、胭脂红、日落黄、诱惑红、酸性红、喹啉黄、赤藓红)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冰片糖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总糖分、还原糖分、干燥失重、二氧化硫残留量、螨、合成着色剂(柠檬黄、新红、苋菜红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、胭脂红、日落黄、诱惑红、酸性红、喹啉黄、赤藓红)</w:t>
            </w:r>
            <w:r/>
          </w:p>
        </w:tc>
      </w:tr>
      <w:tr>
        <w:trPr>
          <w:trHeight w:val="6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蔗糖分、还原糖分、色值、干燥失重、二氧化硫残留量、螨</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蔗糖分、总糖分、色值、还原糖分、干燥失重、二氧化硫残留量、螨、合成着色剂(柠檬黄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、新红、苋菜红、胭脂红、日落黄、诱惑红、酸性红、喹啉黄、赤藓红)、菌落总数、大肠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菌群、霉菌、酵母菌</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干制水产品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藻类干制品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过氧化值(以脂肪计)、镉(以Cd计)、苯甲酸及其钠盐(以苯甲酸计)、山梨酸及其钾</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盐(以山梨酸计)、合成着色剂(柠檬黄、胭脂红、日落黄)</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过氧化值(以脂肪计)、组胺、镉(以Cd计)、苯甲酸及其钠盐(以苯甲酸计)、山梨酸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及其钾盐(以山梨酸计)</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盐渍藻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w:t>
            </w:r>
            <w:r/>
          </w:p>
        </w:tc>
      </w:tr>
      <w:tr>
        <w:trPr>
          <w:trHeight w:val="5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其他盐渍水产品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鱼糜制品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预制鱼糜制品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脱氢乙酸计)、合成着色剂(诱惑红)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熟制动物性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梨酸计)、甜蜜素(以环己基氨基磺酸计)、脱氢乙酸及其钠盐(以脱氢乙酸计)</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挥发性盐基氮、苯甲酸及其钠盐(以苯甲酸计)、山梨酸及其钾盐(以山梨酸计)、铝的残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留量(以即食海蜇中Al计)、菌落总数、大肠菌群、沙门氏菌、副溶血性弧菌、单核细胞增</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生李斯特氏菌</w:t>
            </w:r>
            <w:r/>
          </w:p>
        </w:tc>
      </w:tr>
      <w:tr>
        <w:trPr>
          <w:trHeight w:val="9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乙酸及其钠盐(以脱氢乙酸计)、合成着色剂(柠檬黄)、甜蜜素(以环己基氨基磺酸计)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、防腐剂混合使用时各自用量占其最大使用量的比例之和、菌落总数</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淀粉及淀粉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淀粉及淀粉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铅(以Pb计)、菌落总数、大肠菌群、霉菌和酵母、二氧化硫残留量、脱氢乙酸及其钠盐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(以脱氢乙酸计)、葛根素</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乙酸及其钠盐(以脱氢乙酸计)、铝的残留量(干样品，以Al计)、二氧化硫残留量、合成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着色剂(柠檬黄、新红、苋菜红、靛蓝、胭脂红、日落黄、诱惑红、亮蓝、酸性红、喹啉黄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、赤藓红)</w:t>
            </w:r>
            <w:r/>
          </w:p>
        </w:tc>
      </w:tr>
      <w:tr>
        <w:trPr>
          <w:trHeight w:val="10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其他淀粉制品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苯甲酸及其钠盐(以苯甲酸计)、山梨酸及其钾盐(以山梨酸计)、脱氢乙酸及其钠盐(以</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脱氢乙酸计)、铝的残留量(干样品，以Al计)、二氧化硫残留量、合成着色剂(柠檬黄、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新红、苋菜红、靛蓝、胭脂红、日落黄、诱惑红、亮蓝、酸性红、喹啉黄、赤藓红)、相同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色泽着色剂混合使用时各自用量占其最大使用量的比例之和</w:t>
            </w:r>
            <w:r/>
          </w:p>
        </w:tc>
      </w:tr>
      <w:tr>
        <w:trPr>
          <w:trHeight w:val="130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铅(以Pb计)、总砷(以As计)、葡萄糖含量(以干基计，质量分数)、IMO含量(占干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物质，质量分数)、IG₂+P+IG₃含量(占干物质，质量分数)、果糖(占干基比)、果糖+葡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萄糖(占干基比)、5-羟甲基糠醛(以吸光度计)、果糖+葡萄糖含量(以干物质计)、果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糖含量(以干物质计)、麦芽糖含量(以干物质计，质量分数)、干物质(固形物)、硫酸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灰分</w:t>
            </w:r>
            <w:r/>
          </w:p>
        </w:tc>
      </w:tr>
      <w:tr>
        <w:trPr>
          <w:trHeight w:val="18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面包</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面包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(以苯甲酸计)、山梨酸及其钾盐(以山梨酸计)、糖精钠(以糖精计)、甜蜜素(以环己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基氨基磺酸计)、安赛蜜、铝的残留量(干样品，以Al计)、丙酸及其钠盐、钙盐(以丙酸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计)、脱氢乙酸及其钠盐(以脱氢乙酸计)、三氯蔗糖、合成着色剂(柠檬黄、日落黄、胭</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脂红、苋菜红、亮蓝、诱惑红)、防腐剂混合使用时各自用量占其最大使用量的比例之和、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菌落总数、大肠菌群、金黄色葡萄球菌、沙门氏菌、霉菌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月饼</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月饼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酸价(以脂肪计)(KOH)、过氧化值(以脂肪计)、糖精钠(以糖精计)、苯甲酸及其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钠盐(以苯甲酸计)、山梨酸及其钾盐(以山梨酸计)、铝的残留量(干样品，以Al计)、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丙酸及其钠盐、钙盐(以丙酸计)、脱氢乙酸及其钠盐(以脱氢乙酸计)、纳他霉素、合成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着色剂(柠檬黄、日落黄、胭脂红、苋菜红、亮蓝、赤藓红、诱惑红)、防腐剂混合使用时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各自用量占其最大使用量的比例之和、菌落总数、大肠菌群、金黄色葡萄球菌、沙门氏菌、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霉菌</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粽子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粽子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过氧化值(以脂肪计)、甜蜜素(以环己基氨基磺酸计)、山梨酸及其钾盐(以山梨酸计)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、脱氢乙酸及其钠盐(以脱氢乙酸计)、糖精钠(以糖精计)、安赛蜜、菌落总数、大肠菌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群、金黄色葡萄球菌、沙门氏菌、霉菌、商业无菌</w:t>
            </w:r>
            <w:r/>
          </w:p>
        </w:tc>
      </w:tr>
      <w:tr>
        <w:trPr>
          <w:trHeight w:val="16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酸价(以脂肪计)(KOH)、过氧化值(以脂肪计)、铅(以Pb计)、苯甲酸及其钠盐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(以苯甲酸计)、山梨酸及其钾盐(以山梨酸计)、糖精钠(以糖精计)、甜蜜素(以环己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基氨基磺酸计)、安赛蜜、铝的残留量(干样品，以Al计)、丙酸及其钠盐、钙盐(以丙酸</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计)、脱氢乙酸及其钠盐(以脱氢乙酸计)、纳他霉素、三氯蔗糖、丙二醇、合成着色剂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(柠檬黄、日落黄、胭脂红、苋菜红、亮蓝、赤藓红、诱惑红)、防腐剂混合使用时各自用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量占其最大使用量的比例之和、菌落总数、大肠菌群、金黄色葡萄球菌、沙门氏菌、霉菌</w:t>
            </w:r>
            <w:r/>
          </w:p>
        </w:tc>
      </w:tr>
      <w:tr>
        <w:trPr>
          <w:trHeight w:val="99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腐乳、豆豉</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、纳豆等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铅(以Pb计)、黄曲霉毒素B₁ 、苯甲酸及其钠盐(以苯甲酸计)、山梨酸及其钾盐(以山</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梨酸计)、脱氢乙酸及其钠盐(以脱氢乙酸计)、糖精钠(以糖精计)、甜蜜素(以环己基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氨基磺酸计)、铝的残留量(干样品，以Al计)、大肠菌群</w:t>
            </w:r>
            <w:r/>
          </w:p>
        </w:tc>
      </w:tr>
      <w:tr>
        <w:trPr>
          <w:trHeight w:val="10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腐竹、油皮</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及其再制品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蛋白质、铅(以Pb计)、碱性嫩黄、苯甲酸及其钠盐(以苯甲酸计)、山梨酸及其钾盐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(以山梨酸计)、脱氢乙酸及其钠盐(以脱氢乙酸计)、二氧化硫残留量、铝的残留量(干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样品，以Al计)、合成着色剂(柠檬黄、日落黄)</w:t>
            </w:r>
            <w:r/>
          </w:p>
        </w:tc>
      </w:tr>
      <w:tr>
        <w:trPr>
          <w:trHeight w:val="135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豆干、豆腐</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、豆皮等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乙酸及其钠盐(以脱氢乙酸计)、丙酸及其钠盐、钙盐(以丙酸计)、防腐剂混合使用时各</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自用量占其最大使用量的比例之和、糖精钠(以糖精计)、三氯蔗糖、甜蜜素(以环己基氨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基磺酸计)、铝的残留量(干样品，以Al计)、合成着色剂(柠檬黄、日落黄)、大肠菌群</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、金黄色葡萄球菌</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大豆蛋白类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制品等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铅(以Pb计)、苯甲酸及其钠盐(以苯甲酸计)、山梨酸及其钾盐(以山梨酸计)、脱氢</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乙酸及其钠盐(以脱氢乙酸计)、糖精钠(以糖精计)、三氯蔗糖、铝的残留量(干样品，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以Al计)、大肠菌群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果糖和葡萄糖、蔗糖、铅(以Pb计)、山梨酸及其钾盐(以山梨酸计)、氯霉素、呋喃西</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林代谢物、呋喃唑酮代谢物、甲硝唑、双甲脒、诺氟沙星、氧氟沙星、菌落总数、霉菌计数</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、嗜渗酵母计数</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蜂王浆(含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蜂王浆冻干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蜂王浆(含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蜂王浆冻干</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10-羟基-2-癸烯酸、酸度、蛋白质、呋喃西林代谢物</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蜂花粉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蜂花粉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铅(以Pb计)、菌落总数、大肠菌群、霉菌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山梨酸及其钾盐(以山梨酸计)、合成着色剂(柠檬黄、日落黄)、菌落总数</w:t>
            </w:r>
            <w:r/>
          </w:p>
        </w:tc>
      </w:tr>
      <w:tr>
        <w:trPr>
          <w:trHeight w:val="158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保健食品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氨基酸、10-羟基-2-癸烯酸、蛋白质、二十二碳六烯酸、二十碳五烯酸、泛酸、钙、还原糖、肌醇、赖氨酸、绿原酸、铁、维生素A、维生素B₁ 、维生素B₁₂ 、维生素B₂ 、维生素B₆ 、维生素C、维生素D、维生素D₃ 、维生素E、硒、锌、烟酰胺、叶酸、免疫球蛋白IgG、总黄酮、总皂苷、总蒽醌、吡啶甲酸铬、芦荟苷、总三萜、嗜酸乳杆菌、双歧杆菌、水分、可溶性固形物、酸价、过氧化值、崩解时限、灰分、铅(Pb)、总砷(As)、总汞(Hg)、硬胶囊壳中的铬、菌落总数、大肠菌群、霉菌和酵母、金黄色葡萄球菌、沙门氏菌</w:t>
            </w:r>
            <w:r/>
          </w:p>
        </w:tc>
      </w:tr>
      <w:tr>
        <w:trPr>
          <w:trHeight w:val="26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特殊膳食食品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婴幼儿辅助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婴幼儿谷类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婴幼儿谷物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婴幼儿高蛋</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白谷物辅助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食品、婴幼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儿生制类谷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物辅助食品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、婴幼儿饼</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干或其他婴</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幼儿谷物辅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能量、蛋白质、脂肪、亚油酸、月桂酸占总脂肪的比值、肉豆蔻酸占总脂肪的比值、维生素A、维生素D、维生素B₁ 、钙、铁、锌、钠、维生素E、维生素B₂ 、维生素B₆ 、维生素B1 ₂、烟酸、叶酸、泛酸、维生素C、生物素、磷、碘、钾、水分、不溶性膳食纤维、脲酶活性定性测定、铅(以Pb计)、无机砷(以As计)、锡(以Sn计)、镉(以Cd计)、黄曲霉毒素B₁ 、硝酸盐(以NaNO₃计)、亚硝酸盐(以NaNO₂计)、菌落总数、大肠菌群、沙门氏菌、二十二碳六烯酸、花生四烯酸、金黄色葡萄球菌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婴幼儿罐装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泥 ( 糊 ) 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罐装食品、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颗粒状罐装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食品、汁类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罐装食品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蛋白质、脂肪、总钠、铅(以Pb计)、无机砷(以As计)、总汞(以Hg计)、锡(以Sn计)、硝酸盐(以NaNO₃计)、亚硝酸盐(以NaNO₂计)、商业无菌、霉菌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营养补充品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营养补充品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辅食营养素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补充食品、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辅食营养素</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补充片、辅</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食营养素撒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蛋白质、钙、铁、锌、维生素A、维生素D、维生素B₁ 、维生素B₂ 、维生素K₁ 、烟酸(烟酰胺)、维生素B₆ 、叶酸、维生素B₁₂ 、泛酸、胆碱、生物素、维生素C、二十二碳六烯酸、脲酶活性定性、铅(以Pb计)、总砷(以As计)、黄曲霉毒素M、黄曲霉毒素B₁ 、硝酸盐(以NaNO₃计)、亚硝酸盐(以NaNO₂计)、菌落总数、大肠菌群、沙门氏菌、金黄色葡萄球菌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孕妇及乳母</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营养补充食</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铁、维生素A、维生素D、叶酸、维生素B₁₂ 、钙、镁、锌、硒、维生素E、维生素K、维生素B₁ 、维生素B₂ 、维生素B₆ 、烟酸(烟酰胺)、泛酸、胆碱、生物素、维生素C、二十二碳六烯酸、脲酶活性定性、铅(以Pb计)、总砷(以As计)、硝酸盐(以NaNO₃计)、亚硝酸盐(以NaNO₂计)、黄曲霉毒素M₁ 、黄曲霉毒素B₁ 、大肠菌群、沙门氏菌、金黄色葡萄球菌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运动营养食品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咖啡因、肌酸、肽类、维生素A、维生素D、维生素E、维生素B₁ 、维生素B₂ 、维生素B₆ 、维生素B₁₂、维生素C、叶酸、烟酸、生物素、泛酸、钙、钠、钾、镁、铁、锌、硒、铜、碘、锰、磷、钼、铬、左旋肉碱、牛磺酸、铅(以Pb计)、总砷(以As计)、黄曲霉毒素M₁、黄曲霉毒素B₁ 、沙门氏菌、金黄色葡萄球菌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米面及其制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品(自制)</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小麦粉制品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馒头花卷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苯甲酸及其钠盐(以苯甲酸计)、山梨酸及其钾盐(以山梨酸计)、糖精钠(以糖精计)、脱氢乙酸及其钠盐(以脱氢乙酸计)、甜蜜素(以环己基氨基磺酸计)</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包子(自制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苯甲酸及其钠盐(以苯甲酸计)、山梨酸及其钾盐(以山梨酸计)、糖精钠(以糖精计)、脱氢乙酸及其钠盐(以脱氢乙酸计)、甜蜜素(以环己基氨基磺酸计)</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油饼油条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铝的残留量(干样品，以Al计)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凉皮(自制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肉制品(自制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熟肉制品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肉冻皮冻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铬(以Cr计)</w:t>
            </w:r>
            <w:r/>
          </w:p>
        </w:tc>
      </w:tr>
      <w:tr>
        <w:trPr>
          <w:trHeight w:val="6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熏烧烤肉类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N-二甲基亚硝胺、苯并[a]芘、铅(以Pb计)</w:t>
            </w:r>
            <w:r/>
          </w:p>
        </w:tc>
      </w:tr>
      <w:tr>
        <w:trPr>
          <w:trHeight w:val="85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火锅麻辣烫</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底料(自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罂粟碱、吗啡、可待因、那可丁</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预制水产制</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品(自制)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生食动物性</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水产品(自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铝的残留量(以即食海蜇中Al计)</w:t>
            </w:r>
            <w:r/>
          </w:p>
        </w:tc>
      </w:tr>
      <w:tr>
        <w:trPr>
          <w:trHeight w:val="9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坚果及籽类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坚果及籽类</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食品(自</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花生制品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黄曲霉毒素B₁ 、苯甲酸及其钠盐(以苯甲酸计)、山梨酸及其钾盐(以山梨酸计)、脱氢乙酸及其钠盐(以脱氢乙酸计)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餐饮具</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(餐馆自行</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阴离子合成洗涤剂(以十二烷基苯磺酸钠计)、大肠菌群</w:t>
            </w:r>
            <w:r/>
          </w:p>
        </w:tc>
      </w:tr>
      <w:tr>
        <w:trPr>
          <w:trHeight w:val="11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复用餐饮具</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(集中清洗</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消毒服务单</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位消毒)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阴离子合成洗涤剂(以十二烷基苯磺酸钠计)、大肠菌群</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焙烤食品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焙烤食品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糕点(自制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食用油、油</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脂及其制品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煎炸过程用油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极性组分、酸价(KOH)</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淀粉制品</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粉丝粉条</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铝的残留量(干样品，以Al计)、脱氢乙酸及其钠盐(以脱氢乙酸计)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奶茶(自制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除上述类别的餐饮食品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根据各省实际情况而定</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铅(Pb)、砷(以As计)、致病性微生物</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砷(以As计)含量/无机砷含量、菌落总数</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明胶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铬(Cr)、铅(Pb)、总砷(As)、二氧化硫、过氧化物</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糖精钠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糖精钠含量、干燥失重、总砷(以As计)、铅(Pb)、酸度和碱度、苯甲酸盐和水杨酸盐</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环己基氨基</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磺酸钠(又</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名甜蜜素)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环己基氨基磺酸钠含量(以干基计)、硫酸盐(以SO₄计)、pH(100g/L水溶液)、干燥减量、氨基磺酸、环己胺、双环己胺、吸光值(100g/L溶液)、透明度(以100g/L溶液的透光率表示)、重金属(以Pb计)、砷(As)</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总碱量(以Na₂CO₃计)(以干基计)、总碱量(以Na₂CO₃计)(以湿基计)、水不溶物(以干基计)、氯化物(以NaCl计)(以干基计)、铁(Fe)(以干基计)、铅(Pb)(以干基计)、砷(As)(以干基计)</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碳酸氢钠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总碱量(以NaHCO₃计)、干燥减量、pH(10g/L水溶液)、铵盐、澄清度、氯化物(以Cl计)、白度、砷(As)、重金属(以Pb计)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焦糖色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吸光度E:01%(610nm)、氨氮(以N计)、二氧化硫(以SO₂计)、4-甲基咪唑、总氮(以N计)、总硫(以S计)、总砷(以As计)、铅(Pb)、总汞(以Hg计)</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蜂蜡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过氧化值，酸值(以KOH计),皂化值(以KOH计),熔程，甘油和其他多元醇，铅(Pb),巴西棕榈蜡，纯白地蜡、石蜡及其他蜡，脂肪、日本蜡、松脂和皂质</w:t>
            </w:r>
            <w:r/>
          </w:p>
        </w:tc>
      </w:tr>
      <w:tr>
        <w:trPr>
          <w:trHeight w:val="8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水分、黄曲霉毒素B₁ 、色价、细度150μm(100目)通过率、总砷(以As计)、重金属(以Pb计)、大肠菌群、沙门氏菌、志贺氏菌、金黄色葡萄球菌</w:t>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100330</wp:posOffset>
                      </wp:positionV>
                      <wp:extent cx="647700" cy="161925"/>
                      <wp:effectExtent l="0" t="0" r="0" b="9525"/>
                      <wp:wrapNone/>
                      <wp:docPr id="3" name="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9"/>
                              <pic:cNvPicPr>
                                <a:picLocks noChangeAspect="1"/>
                              </pic:cNvPicPr>
                              <pic:nvPr/>
                            </pic:nvPicPr>
                            <pic:blipFill>
                              <a:blip r:embed="rId19"/>
                              <a:stretch/>
                            </pic:blipFill>
                            <pic:spPr bwMode="auto">
                              <a:xfrm>
                                <a:off x="0" y="0"/>
                                <a:ext cx="647700" cy="16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3.2pt;mso-position-horizontal:absolute;mso-position-vertical-relative:text;margin-top:7.9pt;mso-position-vertical:absolute;width:51.0pt;height:12.8pt;mso-wrap-distance-left:9.0pt;mso-wrap-distance-top:0.0pt;mso-wrap-distance-right:9.0pt;mso-wrap-distance-bottom:0.0pt;" stroked="f">
                      <v:path textboxrect="0,0,0,0"/>
                      <v:imagedata r:id="rId19" o:title=""/>
                    </v:shape>
                  </w:pict>
                </mc:Fallback>
              </mc:AlternateContent>
            </w:r>
            <w:r/>
          </w:p>
          <w:tbl>
            <w:tblPr>
              <w:tblStyle w:val="811"/>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18"/>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色价nm、干燥减量、铅(Pb)、砷(As)</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红曲黄色素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219075</wp:posOffset>
                      </wp:positionH>
                      <wp:positionV relativeFrom="paragraph">
                        <wp:posOffset>104775</wp:posOffset>
                      </wp:positionV>
                      <wp:extent cx="723900" cy="157480"/>
                      <wp:effectExtent l="0" t="0" r="0" b="13970"/>
                      <wp:wrapNone/>
                      <wp:docPr id="4" name="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8"/>
                              <pic:cNvPicPr>
                                <a:picLocks noChangeAspect="1"/>
                              </pic:cNvPicPr>
                              <pic:nvPr/>
                            </pic:nvPicPr>
                            <pic:blipFill>
                              <a:blip r:embed="rId20"/>
                              <a:stretch/>
                            </pic:blipFill>
                            <pic:spPr bwMode="auto">
                              <a:xfrm>
                                <a:off x="0" y="0"/>
                                <a:ext cx="723900" cy="157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7.2pt;mso-position-horizontal:absolute;mso-position-vertical-relative:text;margin-top:8.2pt;mso-position-vertical:absolute;width:57.0pt;height:12.4pt;mso-wrap-distance-left:9.0pt;mso-wrap-distance-top:0.0pt;mso-wrap-distance-right:9.0pt;mso-wrap-distance-bottom:0.0pt;" stroked="f">
                      <v:path textboxrect="0,0,0,0"/>
                      <v:imagedata r:id="rId20" o:title=""/>
                    </v:shape>
                  </w:pict>
                </mc:Fallback>
              </mc:AlternateContent>
            </w:r>
            <w:r/>
          </w:p>
          <w:tbl>
            <w:tblPr>
              <w:tblStyle w:val="811"/>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18"/>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色nm、干燥减量、灼烧残渣、铅(Pb)、总砷(以As计)</w:t>
                  </w:r>
                  <w:r/>
                </w:p>
              </w:tc>
            </w:tr>
          </w:tbl>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胶基</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胶基</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铅(Pb)、总砷(以As计)</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食品工业用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酶制剂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食品工业用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酶制剂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铅(Pb)、总砷(以As计)、菌落总数、大肠菌群、大肠埃希氏菌、沙门氏菌、抗菌活性</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氯霉素、克伦特罗、莱克多巴胺、沙丁胺醇、喹乙醇、恩诺沙星、替米考星、磺胺类(总量)、甲氧苄啶、氟苯尼考、多西环素、地塞米松、甲硝唑、氯丙嗪、林可霉素、土霉素/金霉素/四环素(组合含量)</w:t>
            </w:r>
            <w:r/>
          </w:p>
        </w:tc>
      </w:tr>
      <w:tr>
        <w:trPr>
          <w:trHeight w:val="12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氯霉素、克伦特罗、莱克多巴胺、沙丁胺醇、恩诺沙星、磺胺类(总量)、甲氧苄啶、氟苯尼考、多西环素、地塞米松、林可霉素、倍他米松、土霉素/金霉素/四环素(组合含量)</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呋喃唑酮代谢物、呋喃西林代谢物、氯霉素、克伦特罗、莱克多巴胺、沙丁胺醇、恩诺沙星、磺胺类(总量)、氟苯尼考、林可霉素、环丙氨嗪、土霉素/金霉素/四环素(组合含量)</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其他畜肉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呋喃唑酮代谢物、氯霉素、克伦特罗、莱克多巴胺、沙丁胺醇、氧氟沙星</w:t>
            </w:r>
            <w:r/>
          </w:p>
        </w:tc>
      </w:tr>
      <w:tr>
        <w:trPr>
          <w:trHeight w:val="11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呋喃唑酮代谢物、呋喃西林代谢物、呋喃它酮代谢物、氯霉素、氧氟沙星、培氟沙星、诺氟沙星、恩诺沙星、沙拉沙星、替米考星、磺胺类(总量)、甲氧苄啶、氟苯尼考、多西环素、甲硝唑、尼卡巴嗪、环丙氨嗪、土霉素/金霉素/四环素(组合含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鸭肉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呋喃唑酮代谢物、呋喃妥因代谢物、氯霉素、氧氟沙星、恩诺沙星、磺胺类(总量)、氟苯尼考、多西环素、甲硝唑、环丙氨嗪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呋喃唑酮代谢物、氯霉素、氧氟沙星、恩诺沙星、磺胺类(总量)、多西环素、甲硝唑、环丙氨嗪</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畜副产品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镉(以Cd计)、呋喃唑酮代谢物、呋喃西林代谢物、氯霉素、克伦特罗、莱克多巴胺、沙丁胺醇、恩诺沙星、磺胺类(总量)、甲氧苄啶、氯丙嗪</w:t>
            </w:r>
            <w:r/>
          </w:p>
        </w:tc>
      </w:tr>
      <w:tr>
        <w:trPr>
          <w:trHeight w:val="6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克伦特罗、莱克多巴胺、沙丁胺醇、环丙氨嗪</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猪肾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呋喃西林代谢物、氯霉素、克伦特罗、莱克多巴胺、沙丁胺醇、恩诺沙星、磺胺类(总量)、甲氧苄啶</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牛肾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克伦特罗、莱克多巴胺、沙丁胺醇、恩诺沙星</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羊肾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镉(以Cd计)、克伦特罗、莱克多巴胺、沙丁胺醇、恩诺沙星、环丙氨嗪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其他畜副产品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呋喃唑酮代谢物、呋喃西林代谢物、氯霉素、克伦特罗、莱克多巴胺、沙丁胺醇</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禽副产品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呋喃唑酮代谢物、呋喃西林代谢物、氯霉素、氧氟沙星、恩诺沙星、环丙氨嗪</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呋喃唑酮代谢物、呋喃西林代谢物、氯霉素、诺氟沙星、环丙氨嗪</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豆芽</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豆芽</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铅(以Pb计)、总汞(以Hg计)、4-氯苯氧乙酸钠(以4-氯苯氧乙酸计)、6-苄基腺嘌呤(6-BA)、亚硫酸盐(以SO₂计)</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鲜食用菌</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镉(以Cd计)、无机砷(以As计)、百菌清、除虫脲、氯氟氰菊酯和高效氯氟氰菊酯、氯氰菊酯和高效氯氰菊酯</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鳞茎类蔬菜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韭菜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阿维菌素、敌敌畏、毒死蜱、多菌灵、二甲戊灵、氟虫腈、腐霉利、甲胺磷、甲拌磷、克百威、乐果、六六六、氯氟氰菊酯和高效氯氟氰菊酯、氯氰菊酯和高效氯氰菊酯、三氯杀螨醇、三唑磷、水胺硫磷、辛硫磷、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铅(以Pb计)、镉(以Cd计)、丙环唑、毒死蜱、甲拌磷、甲基异柳磷、克百威、氯氟氰菊酯和高效氯氟氰菊酯、噻虫嗪、三唑磷、水胺硫磷、戊唑醇、氧乐果、乙酰甲胺磷</w:t>
            </w:r>
            <w:r/>
          </w:p>
        </w:tc>
      </w:tr>
      <w:tr>
        <w:trPr>
          <w:trHeight w:val="66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芸薹属类蔬菜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镉(以Cd计)、吡虫啉、啶虫脒、毒死蜱、氟虫腈、联苯菊酯、噻虫胺</w:t>
            </w:r>
            <w:r/>
          </w:p>
        </w:tc>
      </w:tr>
      <w:tr>
        <w:trPr>
          <w:trHeight w:val="11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菠菜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铅(以Pb计)、镉(以Cd计)、铬(以Cr计)、阿维菌素、毒死蜱、氟虫腈、腐霉利、甲氨基阿维菌素苯甲酸盐、甲拌磷、乐果、氯氟氰菊酯和高效氯氟氰菊酯、水胺硫磷、氧乐果、乙酰甲胺磷</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大白菜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镉(以Cd计)、阿维菌素、吡虫啉、毒死蜱、氟虫腈、甲拌磷、乐果、氧乐果、乙酰甲胺磷</w:t>
            </w:r>
            <w:r/>
          </w:p>
        </w:tc>
      </w:tr>
      <w:tr>
        <w:trPr>
          <w:trHeight w:val="13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普通白菜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(小白菜、</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小油菜、青</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菜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吡虫啉、敌敌畏、啶虫脒、毒死蜱、氟虫腈、氟氯氰菊酯和高效氟氯氰菊酯、甲氨基阿维菌素苯甲酸盐、甲拌磷、甲基异柳磷、克百威、氯氟氰菊酯和高效氯氟氰菊酯、氯氰菊酯和高效氯氰菊酯、噻虫胺、水胺硫磷、氧乐果、乙酰甲胺磷</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芹菜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油麦菜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阿维菌素、吡虫啉、啶虫脒、毒死蜱、氟虫腈、甲氨基阿维菌素苯甲酸盐、甲拌磷、腈菌唑、克百威、氯氟氰菊酯和高效氯氟氰菊酯、灭多威、噻虫嗪、三氯杀螨醇、氧乐果、乙酰甲胺磷</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茄果类蔬菜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茄子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铅(以Pb计)、镉(以Cd计)、吡唑醚菌酯、毒死蜱、氟虫腈、甲氨基阿维菌素苯甲酸盐、甲胺磷、甲拌磷、克百威、噻虫胺、噻虫嗪、霜霉威和霜霉威盐酸盐、水胺硫磷、氧乐果、乙酰甲胺磷</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辣椒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倍硫磷、吡虫啉、吡唑醚菌酯、丙溴磷、敌敌畏、啶虫脒、毒死蜱、呋虫胺、氟虫腈、甲氨基阿维菌素苯甲酸盐、甲胺磷、甲拌磷、克百威、乐果、联苯菊酯、氯氟氰菊酯和高效氯氟氰菊酯、噻虫胺、噻虫嗪、三唑磷、杀扑磷、水胺硫磷、氧乐果、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镉(以Cd计)、阿维菌素、倍硫磷、吡虫啉、吡唑醚菌酯、毒死蜱、克百威、噻虫胺、噻虫嗪、氧乐果</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黄瓜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阿维菌素、哒螨灵、敌敌畏、毒死蜱、腐霉利、甲氨基阿维菌素苯甲酸盐、甲拌磷、克百威、乐果、噻虫嗪、氧乐果、乙螨唑、乙酰甲胺磷、异丙威</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豇豆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倍硫磷、啶虫脒、毒死蜱、氟虫腈、甲氨基阿维菌素苯甲酸盐、甲胺磷、甲拌磷、甲基异柳磷、克百威、乐果、氯氟氰菊酯和高效氯氟氰菊酯、氯氰菊酯和高效氯氰菊酯、灭蝇胺、噻虫胺、噻虫嗪、三唑磷、水胺硫磷、氧乐果、乙酰甲胺磷</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菜豆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倍硫磷、吡虫啉、毒死蜱、多菌灵、甲氨基阿维菌素苯甲酸盐、甲胺磷、克百威、氯氟氰菊酯和高效氯氟氰菊酯、灭蝇胺、噻虫胺、水胺硫磷、氧乐果、乙酰甲胺磷</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食荚豌豆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阿维菌素、吡唑醚菌酯、毒死蜱、多菌灵、甲氨基阿维菌素苯甲酸盐、灭蝇胺、噻虫胺、烯酰吗啉、氧乐果、乙酰甲胺磷</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根茎类和薯</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芋类蔬菜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马铃薯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铅(以Pb计)、镉(以Cd计)、毒死蜱、甲拌磷、氯氟氰菊酯和高效氯氟氰菊酯、氯氰菊酯和高效氯氰菊酯、噻虫嗪、杀扑磷、乙酰甲胺磷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甘薯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铅(以Pb计)、毒死蜱、氟虫腈、甲拌磷、氯氟氰菊酯和高效氯氟氰菊酯、氯氰菊酯和高效氯氰菊酯、噻虫嗪、杀扑磷</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山药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铅(以Pb计)、毒死蜱、氯氟氰菊酯和高效氯氟氰菊酯、咪鲜胺和咪鲜胺锰盐、涕灭威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胡萝卜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铅(以Pb计)、毒死蜱、氟虫腈、甲拌磷、氯氟氰菊酯和高效氯氟氰菊酯、噻虫胺</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铅(以Pb计)、毒死蜱、甲胺磷、甲拌磷、氯氟氰菊酯和高效氯氟氰菊酯、噻虫嗪、氧乐果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镉(以Cd计)、吡虫啉、吡唑醚菌酯、敌敌畏、毒死蜱、甲胺磷、甲拌磷、克百威、六六六、氯氟氰菊酯和高效氯氟氰菊酯、氯氰菊酯和高效氯氰菊酯、氯唑磷、咪鲜胺和咪鲜胺锰盐、噻虫胺、噻虫嗪、二氧化硫残留量</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镉(以Cd计)、孔雀石绿、氯霉素、呋喃唑酮代谢物、呋喃西林代谢物、呋喃妥因代谢物、五氯酚酸钠(以五氯酚计)、恩诺沙星、沙拉沙星、磺胺类(总量)、甲氧苄啶、氟苯尼考、甲硝唑、地西泮、氧氟沙星、诺氟沙星、培氟沙星</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镉(以Cd计)、孔雀石绿、氯霉素、呋喃唑酮代谢物、呋喃妥因代谢物、五氯酚酸钠(以五氯酚计)、恩诺沙星、磺胺类(总量)、土霉素/金霉素/四环素(组合含量)、氧氟沙星、诺氟沙星</w:t>
            </w:r>
            <w:r/>
          </w:p>
        </w:tc>
      </w:tr>
      <w:tr>
        <w:trPr>
          <w:trHeight w:val="6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淡水蟹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镉(以Cd计)、孔雀石绿、氯霉素、五氯酚酸钠(以五氯酚计)、呋喃唑酮代谢物</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组胺、镉(以Cd计)、孔雀石绿、氯霉素、呋喃唑酮代谢物、呋喃它酮代谢物、呋喃西林代谢物、五氯酚酸钠(以五氯酚计)、恩诺沙星、磺胺类(总量)、土霉素/金霉素/四环素(组合含量)、甲氧苄啶、甲硝唑、氧氟沙星、培氟沙星、诺氟沙星</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挥发性盐基氮、镉(以Cd计)、二氧化硫残留量、孔雀石绿、氯霉素、呋喃唑酮代谢物、呋喃它酮代谢物、呋喃妥因代谢物、五氯酚酸钠(以五氯酚计)、恩诺沙星、土霉素/金霉素/四环素(组合含量)、磺胺类(总量)、诺氟沙星</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海水蟹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镉(以Cd计)、二氧化硫残留量、氯霉素、呋喃妥因代谢物</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贝类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贝类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镉(以Cd计)、无机砷(以As计)、孔雀石绿、氯霉素、呋喃唑酮代谢物、呋喃西林代谢物、呋喃妥因代谢物、五氯酚酸钠(以五氯酚计)、恩诺沙星、氟苯尼考、磺胺类(总量)</w:t>
            </w:r>
            <w:r/>
          </w:p>
        </w:tc>
      </w:tr>
      <w:tr>
        <w:trPr>
          <w:trHeight w:val="10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镉(以Cd计)、孔雀石绿、氯霉素、呋喃唑酮代谢物、呋喃西林代谢物、呋喃妥因代谢物、五氯酚酸钠(以五氯酚计)、恩诺沙星、磺胺类(总量)、氟苯尼考、甲硝唑、氧氟沙星、诺氟沙星</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仁果类水果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苹果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敌敌畏、啶虫脒、毒死蜱、甲拌磷、克百威、氧乐果、三氯杀螨醇</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梨</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吡虫啉、敌敌畏、毒死蜱、多菌灵、克百威、氯氟氰菊酯和高效氯氟氰菊酯、氧乐果、水胺硫磷、苯醚甲环唑、咪鲜胺和咪鲜胺锰盐、噻虫嗪、乙螨唑、乙酰甲胺磷</w:t>
            </w:r>
            <w:r/>
          </w:p>
        </w:tc>
      </w:tr>
      <w:tr>
        <w:trPr>
          <w:trHeight w:val="7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多菌灵、氟虫腈、氰戊菊酯和S-氰戊菊酯、氧乐果、糖精钠(以糖精计)</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苯醚甲环唑、敌敌畏、多菌灵、氟硅唑、甲胺磷、克百威、氧乐果、溴氰菊酯、吡虫啉、氯氟氰菊酯和高效氯氟氰菊酯、噻虫胺</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甲胺磷、克百威、氧乐果、敌敌畏、苯醚甲环唑、噻虫胺</w:t>
            </w:r>
            <w:r/>
          </w:p>
        </w:tc>
      </w:tr>
      <w:tr>
        <w:trPr>
          <w:trHeight w:val="11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柑橘类水果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柑、橘</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苯醚甲环唑、丙溴磷、克百威、联苯菊酯、氯唑磷、三唑磷、水胺硫磷、氧乐果、氯氟氰菊酯和高效氯氟氰菊酯、甲拌磷、2,4-滴和2,4-滴钠盐、狄氏剂、毒死蜱、杀扑磷、敌敌畏、联苯肼酯</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水胺硫磷、联苯菊酯、氯氟氰菊酯和高效氯氟氰菊酯、氯唑磷、多菌灵、克百威</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柠檬</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多菌灵、克百威、联苯菊酯、水胺硫磷、乙螨唑、氯唑磷、毒死蜱</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丙溴磷、克百威、联苯菊酯、三唑磷、杀扑磷、水胺硫磷、氧乐果、2,4-滴和2,4-滴钠盐、苯醚甲环唑、氯唑磷、敌敌畏、氯氟氰菊酯和高效氯氟氰菊酯、乙酰甲胺磷</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浆果和其他小型水果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葡萄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苯醚甲环唑、己唑醇、克百威、氯氰菊酯和高效氯氰菊酯、霜霉威和霜霉威盐酸盐、氧乐果、氯氟氰菊酯和高效氯氟氰菊酯、氟虫腈、氯吡脲、联苯菊酯、氟唑菌酰胺、戊唑醇、腈苯唑</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草莓</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阿维菌素、敌敌畏、多菌灵、克百威、烯酰吗啉、氧乐果、戊菌唑、吡虫啉、乙酰甲胺磷</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猕猴桃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敌敌畏、多菌灵、氯吡脲、氧乐果</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桑葚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脱氢乙酸及其钠盐(以脱氢乙酸计)、苯甲酸及其钠盐(以苯甲酸计)、山梨酸及其钾盐(以山梨酸计)、糖精钠(以糖精计)、三氯蔗糖、甜蜜素(以环己基氨基磺酸计)、多菌灵</w:t>
            </w:r>
            <w:r/>
          </w:p>
        </w:tc>
      </w:tr>
      <w:tr>
        <w:trPr>
          <w:trHeight w:val="7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热带和亚热带水果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香蕉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苯醚甲环唑、吡唑醚菌酯、多菌灵、氟虫腈、甲拌磷、腈苯唑、吡虫啉、噻虫胺、噻虫嗪、联苯菊酯、烯唑醇、百菌清、噻唑膦、氟唑菌酰胺</w:t>
            </w:r>
            <w:r/>
          </w:p>
        </w:tc>
      </w:tr>
      <w:tr>
        <w:trPr>
          <w:trHeight w:val="8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热带和亚热</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芒果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苯醚甲环唑、戊唑醇、氧乐果、吡唑醚菌酯、噻虫胺、乙酰甲胺磷、吡虫啉、噻虫嗪、噻嗪酮</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火龙果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氟虫腈、甲胺磷、克百威、氧乐果、乙酰甲胺磷、噻虫嗪</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荔枝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多菌灵、氧乐果、毒死蜱、苯醚甲环唑、氯氰菊酯和高效氯氰菊酯、氯氟氰菊酯和高效氯氟氰菊酯、吡唑醚菌酯、除虫脲、氰霜唑、氟吗啉、咪鲜胺和咪鲜胺锰盐、乐果</w:t>
            </w:r>
            <w:r/>
          </w:p>
        </w:tc>
      </w:tr>
      <w:tr>
        <w:trPr>
          <w:trHeight w:val="11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杨梅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脱氢乙酸及其钠盐(以脱氢乙酸计)、苯甲酸及其钠盐(以苯甲酸计)、山梨酸及其钾盐(以山梨酸计)、糖精钠(以糖精计)、三氯蔗糖、甜蜜素(以环己基氨基磺酸计)、敌敌畏、氧乐果、啶虫脒</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龙眼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二氧化硫残留量、克百威、氯氰菊酯和高效氯氰菊酯、氧乐果</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橄榄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三氯蔗糖、糖精钠(以糖精计)、甜蜜素(以环己基氨基磺酸计)、多菌灵、甲胺磷、戊唑醇、乙酰甲胺磷</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番木瓜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噻虫胺、噻虫嗪、乙酰甲胺磷</w:t>
            </w:r>
            <w:r/>
          </w:p>
        </w:tc>
      </w:tr>
      <w:tr>
        <w:trPr>
          <w:trHeight w:val="8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瓜果类水果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西瓜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克百威、噻虫嗪、氧乐果、乙酰甲胺磷、苯醚甲环唑</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甜瓜类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克百威、烯酰吗啉、氧乐果、乙酰甲胺磷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鲜蛋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鸡蛋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甲硝唑、地美硝唑、呋喃唑酮代谢物、氟虫腈、氯霉素、氟苯尼考、甲砜霉素、恩诺沙星、氧氟沙星、沙拉沙星、甲氧苄啶、磺胺类(总量)、多西环素、地克珠利、托曲珠利</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其他禽蛋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呋喃唑酮代谢物、磺胺类(总量)、多西环素</w:t>
            </w:r>
            <w:r/>
          </w:p>
        </w:tc>
      </w:tr>
      <w:tr>
        <w:trPr>
          <w:trHeight w:val="83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豆类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铅(以Pb计)、铬(以Cr计)、赭曲霉毒素A、吡虫啉、环丙唑醇</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生干坚果与</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籽类食品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生干坚果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酸价(以脂肪计)(KOH)、过氧化值(以脂肪计)、二氧化硫残留量、吡虫啉</w:t>
            </w:r>
            <w:r/>
          </w:p>
        </w:tc>
      </w:tr>
      <w:tr>
        <w:trPr>
          <w:trHeight w:val="9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生干籽类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酸价(以脂肪计)(KOH)、过氧化值(以脂肪计)、铅(以Pb计)、镉(以Cd计)、黄曲霉毒素B₁ 、噻虫嗪、噻虫胺</w:t>
            </w:r>
            <w:r/>
          </w:p>
        </w:tc>
      </w:tr>
    </w:tbl>
    <w:p>
      <w:pPr>
        <w:rPr>
          <w:color w:val="auto"/>
          <w:highlight w:val="none"/>
        </w:rPr>
        <w:sectPr>
          <w:headerReference w:type="default" r:id="rId11"/>
          <w:footerReference w:type="default" r:id="rId16"/>
          <w:footnotePr/>
          <w:endnotePr/>
          <w:type w:val="nextPage"/>
          <w:pgSz w:w="16838" w:h="11906" w:orient="landscape"/>
          <w:pgMar w:top="1803" w:right="1440" w:bottom="1803" w:left="1440" w:header="851" w:footer="992" w:gutter="0"/>
          <w:cols w:num="1" w:sep="0" w:space="0" w:equalWidth="1"/>
          <w:docGrid w:linePitch="360"/>
        </w:sectPr>
      </w:pPr>
      <w:r>
        <w:rPr>
          <w:color w:val="auto"/>
          <w:highlight w:val="none"/>
        </w:rPr>
      </w:r>
      <w:r/>
    </w:p>
    <w:p>
      <w:pPr>
        <w:rPr>
          <w:color w:val="auto"/>
          <w:highlight w:val="none"/>
        </w:rPr>
      </w:pPr>
      <w:r>
        <w:rPr>
          <w:color w:val="auto"/>
          <w:highlight w:val="none"/>
        </w:rPr>
      </w:r>
      <w:r/>
    </w:p>
    <w:p>
      <w:pPr>
        <w:pStyle w:val="985"/>
        <w:jc w:val="center"/>
        <w:spacing w:line="240" w:lineRule="auto"/>
        <w:rPr>
          <w:color w:val="auto"/>
          <w:highlight w:val="none"/>
        </w:rPr>
      </w:pPr>
      <w:r/>
      <w:bookmarkStart w:id="56" w:name="_Toc55204181"/>
      <w:r>
        <w:rPr>
          <w:rFonts w:hint="eastAsia"/>
          <w:color w:val="auto"/>
          <w:highlight w:val="none"/>
        </w:rPr>
        <w:t xml:space="preserve">第五章 评标方法及评标标准</w:t>
      </w:r>
      <w:bookmarkEnd w:id="56"/>
      <w:r/>
      <w:r/>
    </w:p>
    <w:p>
      <w:pPr>
        <w:pStyle w:val="1027"/>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27"/>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7" w:name="_Toc449017024"/>
      <w:r/>
      <w:bookmarkStart w:id="58" w:name="_Toc449016388"/>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7"/>
      <w:r/>
      <w:bookmarkEnd w:id="58"/>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27"/>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27"/>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27"/>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27"/>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27"/>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27"/>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27"/>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27"/>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27"/>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811"/>
        <w:tblW w:w="9729" w:type="dxa"/>
        <w:jc w:val="center"/>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1365"/>
        <w:gridCol w:w="8364"/>
      </w:tblGrid>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项  目</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评分标准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报价</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以满足招标文件要求的且投标</w:t>
            </w:r>
            <w:r>
              <w:rPr>
                <w:rFonts w:hint="eastAsia" w:ascii="宋体" w:hAnsi="宋体" w:cs="宋体"/>
                <w:color w:val="auto"/>
                <w:szCs w:val="21"/>
                <w:highlight w:val="none"/>
                <w:lang w:val="en-US" w:eastAsia="zh-CN"/>
              </w:rPr>
              <w:t xml:space="preserve">报价最低</w:t>
            </w:r>
            <w:r>
              <w:rPr>
                <w:rFonts w:hint="eastAsia" w:ascii="宋体" w:hAnsi="宋体" w:cs="宋体"/>
                <w:color w:val="auto"/>
                <w:szCs w:val="21"/>
                <w:highlight w:val="none"/>
              </w:rPr>
              <w:t xml:space="preserve">的投标报价为评标基准价，得满分10分，其他投标报价得分=（评标基准价/其他投标报价）×10×100%。</w:t>
            </w:r>
            <w:r/>
          </w:p>
          <w:p>
            <w:pPr>
              <w:spacing w:line="440" w:lineRule="exact"/>
              <w:widowControl/>
              <w:rPr>
                <w:color w:val="auto"/>
                <w:highlight w:val="none"/>
              </w:rPr>
            </w:pPr>
            <w:r>
              <w:rPr>
                <w:rFonts w:hint="eastAsia" w:ascii="宋体" w:hAnsi="宋体" w:cs="宋体"/>
                <w:color w:val="auto"/>
                <w:sz w:val="21"/>
                <w:szCs w:val="21"/>
                <w:highlight w:val="none"/>
                <w:lang w:val="en-US" w:eastAsia="zh-CN"/>
              </w:rPr>
              <w:t xml:space="preserve">注：投标报价低于最高投标限价的75%</w:t>
            </w:r>
            <w:r>
              <w:rPr>
                <w:rFonts w:hint="eastAsia" w:ascii="宋体" w:hAnsi="宋体" w:cs="宋体"/>
                <w:color w:val="auto"/>
                <w:sz w:val="21"/>
                <w:szCs w:val="21"/>
                <w:highlight w:val="none"/>
              </w:rPr>
              <w:t xml:space="preserve">以下（含</w:t>
            </w:r>
            <w:r>
              <w:rPr>
                <w:rFonts w:hint="eastAsia" w:ascii="宋体" w:hAnsi="宋体" w:cs="宋体"/>
                <w:color w:val="auto"/>
                <w:sz w:val="21"/>
                <w:szCs w:val="21"/>
                <w:highlight w:val="none"/>
                <w:lang w:val="en-US" w:eastAsia="zh-CN"/>
              </w:rPr>
              <w:t xml:space="preserve">75%</w:t>
            </w:r>
            <w:r>
              <w:rPr>
                <w:rFonts w:hint="eastAsia" w:ascii="宋体" w:hAnsi="宋体" w:cs="宋体"/>
                <w:color w:val="auto"/>
                <w:sz w:val="21"/>
                <w:szCs w:val="21"/>
                <w:highlight w:val="none"/>
              </w:rPr>
              <w:t xml:space="preserve">）需提供合理性说明上传系统。</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拟投入本项目人员</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具有与食品抽检工作相匹配的专职抽样人员和检验人员。</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1、人员数量（6分）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其中食品抽样人员10名以上（含）得3分，不足按比例得分；食品检验人员40名以上（含）得3分，不足按比例得分。</w:t>
            </w:r>
            <w:r>
              <w:rPr>
                <w:rFonts w:hint="eastAsia" w:ascii="宋体" w:hAnsi="宋体" w:cs="宋体"/>
                <w:b/>
                <w:bCs/>
                <w:color w:val="auto"/>
                <w:szCs w:val="21"/>
                <w:highlight w:val="none"/>
              </w:rPr>
              <w:t xml:space="preserve">（提供人员食品岗位证明、相关学历证明、职称证明、投标人近三个月任意一个月为其缴纳社保证明、提供承诺函原件，承诺函承诺投标文件中拟投入的所有人员为本次项目服务人员且均为本单位在职成员等加盖投标人公章上传系统，抽样人员和检验人员不能同时申报）</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2、人员实力（4分）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拟投入食品检验人员中具有食品、化学、生物专业的高级及以上职称或博士学位的每有一名得1分，满分4分。</w:t>
            </w:r>
            <w:r>
              <w:rPr>
                <w:rFonts w:hint="eastAsia" w:ascii="宋体" w:hAnsi="宋体" w:cs="宋体"/>
                <w:b/>
                <w:bCs/>
                <w:color w:val="auto"/>
                <w:szCs w:val="21"/>
                <w:highlight w:val="none"/>
              </w:rPr>
              <w:t xml:space="preserve">（须提供职称证书、学位证书、投标人</w:t>
            </w:r>
            <w:r>
              <w:rPr>
                <w:rFonts w:hint="eastAsia" w:ascii="宋体" w:hAnsi="宋体" w:cs="宋体"/>
                <w:color w:val="auto"/>
                <w:szCs w:val="21"/>
                <w:highlight w:val="none"/>
              </w:rPr>
              <w:t xml:space="preserve">近三个月任意一个月</w:t>
            </w:r>
            <w:r>
              <w:rPr>
                <w:rFonts w:hint="eastAsia" w:ascii="宋体" w:hAnsi="宋体" w:cs="宋体"/>
                <w:b/>
                <w:bCs/>
                <w:color w:val="auto"/>
                <w:szCs w:val="21"/>
                <w:highlight w:val="none"/>
              </w:rPr>
              <w:t xml:space="preserve">为其缴纳社保证明等原件扫描上传加盖投标人公章，同一人员的职称和学历不重复计算得分）</w:t>
            </w:r>
            <w:r/>
          </w:p>
        </w:tc>
      </w:tr>
      <w:tr>
        <w:trPr>
          <w:jc w:val="center"/>
          <w:trHeight w:val="689"/>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拟投入本项目设施</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（18分）</w:t>
            </w:r>
            <w:r/>
          </w:p>
          <w:p>
            <w:pPr>
              <w:jc w:val="center"/>
              <w:spacing w:line="44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1、实验室场地（5分）</w:t>
            </w:r>
            <w:r/>
          </w:p>
          <w:p>
            <w:pPr>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根据投标人具备的与食品检测工作相适应的实验场所建筑面积、具体布局等进行评价。食品检测实验室建筑面积，低于3000m²不得分，3000m²得3分，每增加500m²加1分，满分5分。</w:t>
            </w:r>
            <w:r>
              <w:rPr>
                <w:rFonts w:hint="eastAsia" w:ascii="宋体" w:hAnsi="宋体" w:cs="宋体"/>
                <w:b/>
                <w:bCs/>
                <w:color w:val="auto"/>
                <w:szCs w:val="21"/>
                <w:highlight w:val="none"/>
              </w:rPr>
              <w:t xml:space="preserve">（须提供食品实验室平面布局图，并提供各组成部分面积清单上传系统）</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2、实验室设备（5分）</w:t>
            </w:r>
            <w:r/>
          </w:p>
          <w:p>
            <w:pPr>
              <w:spacing w:line="440" w:lineRule="exact"/>
              <w:rPr>
                <w:rFonts w:ascii="宋体" w:hAnsi="宋体" w:cs="宋体"/>
                <w:b/>
                <w:bCs/>
                <w:color w:val="auto"/>
                <w:szCs w:val="21"/>
                <w:highlight w:val="none"/>
              </w:rPr>
            </w:pPr>
            <w:r>
              <w:rPr>
                <w:rFonts w:hint="eastAsia" w:ascii="宋体" w:hAnsi="宋体" w:cs="宋体"/>
                <w:color w:val="auto"/>
                <w:spacing w:val="-2"/>
                <w:szCs w:val="21"/>
                <w:highlight w:val="none"/>
              </w:rPr>
              <w:t xml:space="preserve">投标人具有满足食品安全检测的设施及仪器设备。其中具有液质联用仪2台、液相色谱仪3台、气相色谱仪3台、气质联用仪2台、电感耦合等离子体质谱仪（ICP-MS）1台、原子荧光光谱仪1台及原子吸收分光光度计1台得基本3分，每少1台扣1分，每增加一台加0.5分，满分5分</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（提供以上仪器设备清单、设备原值、购置时间、台套数、计量检定证明、发票、仪器在实验室的照片等其他证明材料上传系统）</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3、实验室运输实力（8分）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投标人具备满足食品抽检工作要求的抽样工具、车辆及特殊贮存条件要求的运输设备情况。</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①投标人自有车辆的，有2辆得0.5分，每增加1辆加0.25分；租赁车辆的，有2辆得0.25分，每增加2辆加0.25分。本项满分2分；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②投标人自有冷藏（冻）车辆的，有1辆得1分；冷藏（冻）车辆租赁的，有1辆得0.25分。本项满分1分；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③投标人具备用于食品保存的车载冷藏箱每有2个得0.25分。本项满分1分；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④投标人具备用于样品保存的车载保温箱每有4个得0.5分。本项满分2分；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⑤投标人具备抽样过程采样影像记录设备，有3台得1分，有6台得2分。本项满分2分。</w:t>
            </w:r>
            <w:r>
              <w:rPr>
                <w:rFonts w:hint="eastAsia" w:ascii="宋体" w:hAnsi="宋体" w:cs="宋体"/>
                <w:b/>
                <w:bCs/>
                <w:color w:val="auto"/>
                <w:szCs w:val="21"/>
                <w:highlight w:val="none"/>
              </w:rPr>
              <w:t xml:space="preserve">（须提供以上车辆行驶证或车辆租赁协议，冷藏或保温设备、影像记录设备发票上传系统）</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技术实施方案和应急方案</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对本项目食品抽检计划实施的保障情况，熟悉扬州地区学校食堂、学校集中用餐配送单位、学校食材供货商以及敬老院食堂等单位分布情况并针对具体情况实施的组织情况、实施方案、质量控制等进行评分。（</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方案细致全面、合理，技术可行性强得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方案较为完整，技术可行性较强得4分；</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方案不完整、技术可行性较低得2分</w:t>
            </w:r>
            <w:r>
              <w:rPr>
                <w:rFonts w:hint="eastAsia" w:ascii="宋体" w:hAnsi="宋体" w:cs="宋体"/>
                <w:color w:val="auto"/>
                <w:szCs w:val="21"/>
                <w:highlight w:val="none"/>
                <w:lang w:eastAsia="zh-CN"/>
              </w:rPr>
              <w:t xml:space="preserve">；</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不提供方案不得分</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2、对本项目食品应急抽检计划方案和快速响应的保障情况，应急响应的组织情况、实施方案、质量控制、应急响应时间以及快速响应保障方案的时效快速性、措施合理性等进行评分。（</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方案细致全面、合理，符合响应需求，技术可行性强得</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方案较为完整，基本符合响应需求得4分；</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方案不完整、响应度低、技术可行性较低得2分</w:t>
            </w:r>
            <w:r>
              <w:rPr>
                <w:rFonts w:hint="eastAsia" w:ascii="宋体" w:hAnsi="宋体" w:cs="宋体"/>
                <w:color w:val="auto"/>
                <w:szCs w:val="21"/>
                <w:highlight w:val="none"/>
                <w:lang w:eastAsia="zh-CN"/>
              </w:rPr>
              <w:t xml:space="preserve">；</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不提供方案不得分</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3、投标人针对抽检数据质量水平的把控能力，如何规范抽检数据，提高抽检工作数据质量等情况进行评分。（5分）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方案要点齐全、条理清晰，可操作性强得5分；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方案要点基本齐全、条理较清晰，可操作性较强得2分；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方案要点不足、条理不清晰，可操作性较低得1分；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其他或未提供的不得分。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4、投标人在实施食品抽检服务之外为采购人提供相关增值服务进行评分。（</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方案细致全面、合理，增值服务好得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方案较为完整，增值服务较好得3分；</w:t>
            </w:r>
            <w:r/>
          </w:p>
          <w:p>
            <w:pP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方案不完整、增值服务一般得1分</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不提供方案不得分。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企业实力</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1、综合覆盖率（6分）</w:t>
            </w:r>
            <w:r/>
          </w:p>
          <w:p>
            <w:pPr>
              <w:spacing w:line="440" w:lineRule="exact"/>
              <w:rPr>
                <w:rFonts w:ascii="宋体" w:hAnsi="宋体" w:cs="宋体"/>
                <w:color w:val="auto"/>
                <w:szCs w:val="21"/>
                <w:highlight w:val="none"/>
              </w:rPr>
            </w:pPr>
            <w:r>
              <w:rPr>
                <w:rFonts w:hint="eastAsia" w:ascii="宋体" w:hAnsi="宋体" w:cs="宋体"/>
                <w:color w:val="auto"/>
                <w:spacing w:val="-6"/>
                <w:szCs w:val="21"/>
                <w:highlight w:val="none"/>
              </w:rPr>
              <w:t xml:space="preserve">投标人对国抽细则2025版中37类食品列出的各产品检验项目表的项目覆盖率在90%（不含）以下的不得分；90%得1分，每增加1%得0.5分，满分6分</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（须提供相关证书、实验室资质及检验项目资质情况表的对照表上传系统）</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2、能力验证（4分）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根据投标人2022-2024年参加的能力验证数量和结果进行评审。参加省级及以上食品检测能力验证且结果满意的数量：平均10次/年（含）以上的得4分，每少1次扣1分，扣完为止。</w:t>
            </w:r>
            <w:r>
              <w:rPr>
                <w:rFonts w:hint="eastAsia" w:ascii="宋体" w:hAnsi="宋体" w:cs="宋体"/>
                <w:b/>
                <w:bCs/>
                <w:color w:val="auto"/>
                <w:szCs w:val="21"/>
                <w:highlight w:val="none"/>
              </w:rPr>
              <w:t xml:space="preserve">（须提供能力验证证书或相关证明文件上传系统）</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企业经验及评价</w:t>
            </w:r>
            <w:r/>
          </w:p>
          <w:p>
            <w:pPr>
              <w:jc w:val="center"/>
              <w:spacing w:line="44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（15分）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Times New Roman" w:hAnsi="Times New Roman" w:cs="Times New Roman"/>
                <w:b/>
                <w:bCs/>
                <w:color w:val="auto"/>
                <w:szCs w:val="21"/>
                <w:highlight w:val="none"/>
              </w:rPr>
            </w:pPr>
            <w:r>
              <w:rPr>
                <w:rFonts w:ascii="Times New Roman" w:hAnsi="Times New Roman" w:cs="Times New Roman"/>
                <w:color w:val="auto"/>
                <w:szCs w:val="21"/>
                <w:highlight w:val="none"/>
              </w:rPr>
              <w:t xml:space="preserve">1、投标人承担过2023年</w:t>
            </w:r>
            <w:r>
              <w:rPr>
                <w:rFonts w:hint="eastAsia" w:ascii="Times New Roman" w:hAnsi="Times New Roman" w:cs="Times New Roman"/>
                <w:color w:val="auto"/>
                <w:szCs w:val="21"/>
                <w:highlight w:val="none"/>
                <w:lang w:eastAsia="zh-CN"/>
              </w:rPr>
              <w:t xml:space="preserve">以来</w:t>
            </w:r>
            <w:r>
              <w:rPr>
                <w:rFonts w:ascii="Times New Roman" w:hAnsi="Times New Roman" w:cs="Times New Roman"/>
                <w:color w:val="auto"/>
                <w:szCs w:val="21"/>
                <w:highlight w:val="none"/>
              </w:rPr>
              <w:t xml:space="preserve">省级及以上市场监管部门食品安全抽检牵头工作</w:t>
            </w:r>
            <w:r>
              <w:rPr>
                <w:rFonts w:hint="eastAsia" w:ascii="Times New Roman" w:hAnsi="Times New Roman" w:cs="Times New Roman"/>
                <w:color w:val="auto"/>
                <w:szCs w:val="21"/>
                <w:highlight w:val="none"/>
              </w:rPr>
              <w:t xml:space="preserve">的</w:t>
            </w:r>
            <w:r>
              <w:rPr>
                <w:rFonts w:ascii="Times New Roman" w:hAnsi="Times New Roman" w:cs="Times New Roman"/>
                <w:color w:val="auto"/>
                <w:szCs w:val="21"/>
                <w:highlight w:val="none"/>
              </w:rPr>
              <w:t xml:space="preserve">得</w:t>
            </w:r>
            <w:r>
              <w:rPr>
                <w:rFonts w:hint="eastAsia" w:ascii="Times New Roman" w:hAnsi="Times New Roman" w:cs="Times New Roman"/>
                <w:color w:val="auto"/>
                <w:szCs w:val="21"/>
                <w:highlight w:val="none"/>
              </w:rPr>
              <w:t xml:space="preserve">4</w:t>
            </w:r>
            <w:r>
              <w:rPr>
                <w:rFonts w:ascii="Times New Roman" w:hAnsi="Times New Roman" w:cs="Times New Roman"/>
                <w:color w:val="auto"/>
                <w:szCs w:val="21"/>
                <w:highlight w:val="none"/>
              </w:rPr>
              <w:t xml:space="preserve">分，满分</w:t>
            </w:r>
            <w:r>
              <w:rPr>
                <w:rFonts w:hint="eastAsia" w:ascii="Times New Roman" w:hAnsi="Times New Roman" w:cs="Times New Roman"/>
                <w:color w:val="auto"/>
                <w:szCs w:val="21"/>
                <w:highlight w:val="none"/>
              </w:rPr>
              <w:t xml:space="preserve">4</w:t>
            </w:r>
            <w:r>
              <w:rPr>
                <w:rFonts w:ascii="Times New Roman" w:hAnsi="Times New Roman" w:cs="Times New Roman"/>
                <w:color w:val="auto"/>
                <w:szCs w:val="21"/>
                <w:highlight w:val="none"/>
              </w:rPr>
              <w:t xml:space="preserve">分。</w:t>
            </w:r>
            <w:r>
              <w:rPr>
                <w:rFonts w:ascii="Times New Roman" w:hAnsi="Times New Roman" w:cs="Times New Roman"/>
                <w:b/>
                <w:bCs/>
                <w:color w:val="auto"/>
                <w:szCs w:val="21"/>
                <w:highlight w:val="none"/>
              </w:rPr>
              <w:t xml:space="preserve">（须提供由市级及以上食品安全监管部门开具的证明文件上传系统。）</w:t>
            </w:r>
            <w:r/>
          </w:p>
          <w:p>
            <w:pPr>
              <w:spacing w:line="440" w:lineRule="exact"/>
              <w:rPr>
                <w:rFonts w:ascii="Times New Roman" w:hAnsi="Times New Roman" w:cs="Times New Roman"/>
                <w:color w:val="auto"/>
                <w:szCs w:val="21"/>
                <w:highlight w:val="none"/>
              </w:rPr>
            </w:pPr>
            <w:r>
              <w:rPr>
                <w:rFonts w:ascii="Times New Roman" w:hAnsi="Times New Roman" w:cs="Times New Roman"/>
                <w:color w:val="auto"/>
                <w:szCs w:val="21"/>
                <w:highlight w:val="none"/>
              </w:rPr>
              <w:t xml:space="preserve">2、</w:t>
            </w:r>
            <w:r>
              <w:rPr>
                <w:rFonts w:hint="eastAsia" w:ascii="宋体" w:hAnsi="宋体" w:cs="宋体"/>
                <w:color w:val="auto"/>
                <w:szCs w:val="21"/>
                <w:highlight w:val="none"/>
              </w:rPr>
              <w:t xml:space="preserve">投标人自2023年以来承担过</w:t>
            </w:r>
            <w:r>
              <w:rPr>
                <w:rFonts w:hint="eastAsia" w:ascii="宋体" w:hAnsi="宋体" w:cs="宋体"/>
                <w:color w:val="auto"/>
                <w:szCs w:val="21"/>
                <w:highlight w:val="none"/>
                <w:lang w:eastAsia="zh-CN"/>
              </w:rPr>
              <w:t xml:space="preserve">市</w:t>
            </w:r>
            <w:r>
              <w:rPr>
                <w:rFonts w:hint="eastAsia" w:ascii="宋体" w:hAnsi="宋体" w:cs="宋体"/>
                <w:color w:val="auto"/>
                <w:szCs w:val="21"/>
                <w:highlight w:val="none"/>
              </w:rPr>
              <w:t xml:space="preserve">级及以上</w:t>
            </w:r>
            <w:r>
              <w:rPr>
                <w:rFonts w:ascii="Times New Roman" w:hAnsi="Times New Roman" w:cs="Times New Roman"/>
                <w:color w:val="auto"/>
                <w:szCs w:val="21"/>
                <w:highlight w:val="none"/>
              </w:rPr>
              <w:t xml:space="preserve">市场监管部门</w:t>
            </w:r>
            <w:r>
              <w:rPr>
                <w:rFonts w:hint="eastAsia" w:ascii="宋体" w:hAnsi="宋体" w:cs="宋体"/>
                <w:color w:val="auto"/>
                <w:szCs w:val="21"/>
                <w:highlight w:val="none"/>
              </w:rPr>
              <w:t xml:space="preserve">食品抽检任务得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分，最高得6分。</w:t>
            </w:r>
            <w:r>
              <w:rPr>
                <w:rFonts w:hint="eastAsia" w:ascii="宋体" w:hAnsi="宋体" w:cs="宋体"/>
                <w:b/>
                <w:bCs/>
                <w:color w:val="auto"/>
                <w:szCs w:val="21"/>
                <w:highlight w:val="none"/>
              </w:rPr>
              <w:t xml:space="preserve">（需同时提供中标通知书、有效合同复印件、经费结算发票、政府采购网站中标公示截图证明四项相关证明材料，缺一不可，承检单位须与投标人一致，同一类型不可重复得分，未按照要求提供的不得分。)</w:t>
            </w:r>
            <w:r/>
          </w:p>
          <w:p>
            <w:pPr>
              <w:spacing w:line="440" w:lineRule="exact"/>
              <w:rPr>
                <w:rFonts w:ascii="Times New Roman" w:hAnsi="Times New Roman" w:cs="Times New Roman"/>
                <w:color w:val="auto"/>
                <w:szCs w:val="21"/>
                <w:highlight w:val="none"/>
              </w:rPr>
            </w:pPr>
            <w:r>
              <w:rPr>
                <w:rFonts w:ascii="Times New Roman" w:hAnsi="Times New Roman" w:cs="Times New Roman"/>
                <w:color w:val="auto"/>
                <w:spacing w:val="-2"/>
                <w:szCs w:val="21"/>
                <w:highlight w:val="none"/>
              </w:rPr>
              <w:t xml:space="preserve">3、投标人提供2023年以来在</w:t>
            </w:r>
            <w:r>
              <w:rPr>
                <w:rFonts w:hint="eastAsia" w:ascii="Times New Roman" w:hAnsi="Times New Roman" w:cs="Times New Roman"/>
                <w:color w:val="auto"/>
                <w:spacing w:val="-2"/>
                <w:szCs w:val="21"/>
                <w:highlight w:val="none"/>
                <w:lang w:eastAsia="zh-CN"/>
              </w:rPr>
              <w:t xml:space="preserve">市</w:t>
            </w:r>
            <w:r>
              <w:rPr>
                <w:rFonts w:ascii="Times New Roman" w:hAnsi="Times New Roman" w:cs="Times New Roman"/>
                <w:color w:val="auto"/>
                <w:spacing w:val="-2"/>
                <w:szCs w:val="21"/>
                <w:highlight w:val="none"/>
              </w:rPr>
              <w:t xml:space="preserve">级及以上</w:t>
            </w:r>
            <w:r>
              <w:rPr>
                <w:rFonts w:ascii="Times New Roman" w:hAnsi="Times New Roman" w:cs="Times New Roman"/>
                <w:color w:val="auto"/>
                <w:szCs w:val="21"/>
                <w:highlight w:val="none"/>
              </w:rPr>
              <w:t xml:space="preserve">市场监管部门</w:t>
            </w:r>
            <w:r>
              <w:rPr>
                <w:rFonts w:ascii="Times New Roman" w:hAnsi="Times New Roman" w:cs="Times New Roman"/>
                <w:color w:val="auto"/>
                <w:spacing w:val="-2"/>
                <w:szCs w:val="21"/>
                <w:highlight w:val="none"/>
              </w:rPr>
              <w:t xml:space="preserve">组织的承检机构综合考核中综合评价优秀（或90分（含）以上</w:t>
            </w:r>
            <w:r>
              <w:rPr>
                <w:rFonts w:hint="eastAsia" w:ascii="Times New Roman" w:hAnsi="Times New Roman" w:cs="Times New Roman"/>
                <w:color w:val="auto"/>
                <w:spacing w:val="-2"/>
                <w:szCs w:val="21"/>
                <w:highlight w:val="none"/>
                <w:lang w:val="en-US" w:eastAsia="zh-CN"/>
              </w:rPr>
              <w:t xml:space="preserve">或</w:t>
            </w:r>
            <w:r>
              <w:rPr>
                <w:rFonts w:ascii="Times New Roman" w:hAnsi="Times New Roman" w:cs="Times New Roman"/>
                <w:color w:val="auto"/>
                <w:spacing w:val="-2"/>
                <w:szCs w:val="21"/>
                <w:highlight w:val="none"/>
              </w:rPr>
              <w:t xml:space="preserve">A等次）的得</w:t>
            </w:r>
            <w:r>
              <w:rPr>
                <w:rFonts w:hint="eastAsia" w:ascii="Times New Roman" w:hAnsi="Times New Roman" w:cs="Times New Roman"/>
                <w:color w:val="auto"/>
                <w:spacing w:val="-2"/>
                <w:szCs w:val="21"/>
                <w:highlight w:val="none"/>
                <w:lang w:val="en-US" w:eastAsia="zh-CN"/>
              </w:rPr>
              <w:t xml:space="preserve">2</w:t>
            </w:r>
            <w:r>
              <w:rPr>
                <w:rFonts w:ascii="Times New Roman" w:hAnsi="Times New Roman" w:cs="Times New Roman"/>
                <w:color w:val="auto"/>
                <w:spacing w:val="-2"/>
                <w:szCs w:val="21"/>
                <w:highlight w:val="none"/>
              </w:rPr>
              <w:t xml:space="preserve">分，良好得</w:t>
            </w:r>
            <w:r>
              <w:rPr>
                <w:rFonts w:hint="eastAsia" w:ascii="Times New Roman" w:hAnsi="Times New Roman" w:cs="Times New Roman"/>
                <w:color w:val="auto"/>
                <w:spacing w:val="-2"/>
                <w:szCs w:val="21"/>
                <w:highlight w:val="none"/>
              </w:rPr>
              <w:t xml:space="preserve">1</w:t>
            </w:r>
            <w:r>
              <w:rPr>
                <w:rFonts w:ascii="Times New Roman" w:hAnsi="Times New Roman" w:cs="Times New Roman"/>
                <w:color w:val="auto"/>
                <w:spacing w:val="-2"/>
                <w:szCs w:val="21"/>
                <w:highlight w:val="none"/>
              </w:rPr>
              <w:t xml:space="preserve">分，其他等次不得分</w:t>
            </w:r>
            <w:r>
              <w:rPr>
                <w:rFonts w:hint="eastAsia" w:ascii="Times New Roman" w:hAnsi="Times New Roman" w:cs="Times New Roman"/>
                <w:color w:val="auto"/>
                <w:spacing w:val="-2"/>
                <w:szCs w:val="21"/>
                <w:highlight w:val="none"/>
                <w:lang w:eastAsia="zh-CN"/>
              </w:rPr>
              <w:t xml:space="preserve">，</w:t>
            </w:r>
            <w:r>
              <w:rPr>
                <w:rFonts w:ascii="Times New Roman" w:hAnsi="Times New Roman" w:cs="Times New Roman"/>
                <w:color w:val="auto"/>
                <w:spacing w:val="-2"/>
                <w:szCs w:val="21"/>
                <w:highlight w:val="none"/>
              </w:rPr>
              <w:t xml:space="preserve">满分5分。</w:t>
            </w:r>
            <w:r>
              <w:rPr>
                <w:rFonts w:ascii="Times New Roman" w:hAnsi="Times New Roman" w:cs="Times New Roman"/>
                <w:b/>
                <w:bCs/>
                <w:color w:val="auto"/>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rPr>
              <w:t xml:space="preserve">分析报告（</w:t>
            </w:r>
            <w:r>
              <w:rPr>
                <w:rFonts w:hint="eastAsia" w:ascii="Times New Roman" w:hAnsi="Times New Roman" w:cs="Times New Roman"/>
                <w:color w:val="auto"/>
                <w:szCs w:val="21"/>
                <w:highlight w:val="none"/>
                <w:lang w:val="en-US" w:eastAsia="zh-CN"/>
              </w:rPr>
              <w:t xml:space="preserve">3</w:t>
            </w:r>
            <w:r>
              <w:rPr>
                <w:rFonts w:hint="eastAsia" w:ascii="Times New Roman" w:hAnsi="Times New Roman" w:cs="Times New Roman"/>
                <w:color w:val="auto"/>
                <w:szCs w:val="21"/>
                <w:highlight w:val="none"/>
              </w:rPr>
              <w:t xml:space="preserve">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根据投标人上一年度（202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年）分析报告进行评分。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分析报告应包括但不限于任务抽检情况、结果分析、风险警示、工作建议等方面内容。</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（1）分析报告内容全面、表述通俗易懂、风险提示清晰明确、建议切实可行，得 </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（2）分析报告内容相对全面、表述较通俗、风险提示较明确、建议较可行，得 </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（3）分析报告内容存在不足、表述难理解、风险提示模糊不明、建议缺乏可行性，得 </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分；</w:t>
            </w:r>
            <w:r/>
          </w:p>
          <w:p>
            <w:pPr>
              <w:keepLines w:val="0"/>
              <w:keepNext w:val="0"/>
              <w:pageBreakBefore w:val="0"/>
              <w:spacing w:line="440" w:lineRule="exact"/>
              <w:widowControl w:val="off"/>
              <w:rPr>
                <w:rFonts w:ascii="Times New Roman" w:hAnsi="Times New Roman" w:cs="Times New Roman"/>
                <w:color w:val="auto"/>
                <w:spacing w:val="-2"/>
                <w:szCs w:val="21"/>
                <w:highlight w:val="none"/>
              </w:rPr>
            </w:pPr>
            <w:r>
              <w:rPr>
                <w:rFonts w:hint="eastAsia" w:ascii="宋体" w:hAnsi="宋体" w:eastAsia="宋体" w:cs="宋体"/>
                <w:color w:val="auto"/>
                <w:sz w:val="21"/>
                <w:szCs w:val="21"/>
                <w:highlight w:val="none"/>
              </w:rPr>
              <w:t xml:space="preserve">（4）其他或未提供的不得分。</w:t>
            </w:r>
            <w:r/>
          </w:p>
        </w:tc>
      </w:tr>
      <w:tr>
        <w:trPr>
          <w:jc w:val="center"/>
          <w:trHeight w:val="20"/>
        </w:trPr>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1365" w:type="dxa"/>
            <w:vAlign w:val="center"/>
            <w:textDirection w:val="lrTb"/>
            <w:noWrap w:val="false"/>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响应时间</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承诺</w:t>
            </w:r>
            <w:r/>
          </w:p>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（10分）</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right w:w="108" w:type="dxa"/>
            </w:tcMar>
            <w:tcW w:w="8364" w:type="dxa"/>
            <w:vAlign w:val="center"/>
            <w:textDirection w:val="lrTb"/>
            <w:noWrap w:val="false"/>
          </w:tcPr>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接到采购人通知后响应时间（到采购单位）</w:t>
            </w:r>
            <w:r>
              <w:rPr>
                <w:rFonts w:hint="eastAsia" w:ascii="宋体" w:hAnsi="宋体" w:cs="宋体"/>
                <w:color w:val="auto"/>
                <w:szCs w:val="21"/>
                <w:highlight w:val="none"/>
                <w:lang w:eastAsia="zh-CN"/>
              </w:rPr>
              <w:t xml:space="preserve">开展应急响应工作</w:t>
            </w:r>
            <w:r>
              <w:rPr>
                <w:rFonts w:hint="eastAsia" w:ascii="宋体" w:hAnsi="宋体" w:cs="宋体"/>
                <w:color w:val="auto"/>
                <w:szCs w:val="21"/>
                <w:highlight w:val="none"/>
              </w:rPr>
              <w:t xml:space="preserve">（10分）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w:t>
            </w:r>
            <w:r>
              <w:rPr>
                <w:rFonts w:hint="eastAsia" w:ascii="宋体" w:hAnsi="宋体" w:cs="宋体"/>
                <w:color w:val="auto"/>
                <w:szCs w:val="21"/>
                <w:highlight w:val="none"/>
                <w:lang w:val="en-US" w:eastAsia="zh-CN"/>
              </w:rPr>
              <w:t xml:space="preserve">40分钟</w:t>
            </w:r>
            <w:r>
              <w:rPr>
                <w:rFonts w:hint="eastAsia" w:ascii="宋体" w:hAnsi="宋体" w:cs="宋体"/>
                <w:color w:val="auto"/>
                <w:szCs w:val="21"/>
                <w:highlight w:val="none"/>
              </w:rPr>
              <w:t xml:space="preserve">（含）以内得10分；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w:t>
            </w:r>
            <w:r>
              <w:rPr>
                <w:rFonts w:hint="eastAsia" w:ascii="宋体" w:hAnsi="宋体" w:cs="宋体"/>
                <w:color w:val="auto"/>
                <w:szCs w:val="21"/>
                <w:highlight w:val="none"/>
                <w:lang w:val="en-US" w:eastAsia="zh-CN"/>
              </w:rPr>
              <w:t xml:space="preserve">40分钟</w:t>
            </w:r>
            <w:r>
              <w:rPr>
                <w:rFonts w:hint="eastAsia" w:ascii="宋体" w:hAnsi="宋体" w:cs="宋体"/>
                <w:color w:val="auto"/>
                <w:szCs w:val="21"/>
                <w:highlight w:val="none"/>
              </w:rPr>
              <w:t xml:space="preserve">（不含）至</w:t>
            </w:r>
            <w:r>
              <w:rPr>
                <w:rFonts w:hint="eastAsia" w:ascii="宋体" w:hAnsi="宋体" w:cs="宋体"/>
                <w:color w:val="auto"/>
                <w:szCs w:val="21"/>
                <w:highlight w:val="none"/>
                <w:lang w:val="en-US" w:eastAsia="zh-CN"/>
              </w:rPr>
              <w:t xml:space="preserve">90分钟</w:t>
            </w:r>
            <w:r>
              <w:rPr>
                <w:rFonts w:hint="eastAsia" w:ascii="宋体" w:hAnsi="宋体" w:cs="宋体"/>
                <w:color w:val="auto"/>
                <w:szCs w:val="21"/>
                <w:highlight w:val="none"/>
              </w:rPr>
              <w:t xml:space="preserve">（含）的得5分；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w:t>
            </w:r>
            <w:r>
              <w:rPr>
                <w:rFonts w:hint="eastAsia" w:ascii="宋体" w:hAnsi="宋体" w:cs="宋体"/>
                <w:color w:val="auto"/>
                <w:szCs w:val="21"/>
                <w:highlight w:val="none"/>
                <w:lang w:val="en-US" w:eastAsia="zh-CN"/>
              </w:rPr>
              <w:t xml:space="preserve">90分钟</w:t>
            </w:r>
            <w:r>
              <w:rPr>
                <w:rFonts w:hint="eastAsia" w:ascii="宋体" w:hAnsi="宋体" w:cs="宋体"/>
                <w:color w:val="auto"/>
                <w:szCs w:val="21"/>
                <w:highlight w:val="none"/>
              </w:rPr>
              <w:t xml:space="preserve">（不含）至</w:t>
            </w:r>
            <w:r>
              <w:rPr>
                <w:rFonts w:hint="eastAsia" w:ascii="宋体" w:hAnsi="宋体" w:cs="宋体"/>
                <w:color w:val="auto"/>
                <w:szCs w:val="21"/>
                <w:highlight w:val="none"/>
                <w:lang w:val="en-US" w:eastAsia="zh-CN"/>
              </w:rPr>
              <w:t xml:space="preserve">210分钟</w:t>
            </w:r>
            <w:r>
              <w:rPr>
                <w:rFonts w:hint="eastAsia" w:ascii="宋体" w:hAnsi="宋体" w:cs="宋体"/>
                <w:color w:val="auto"/>
                <w:szCs w:val="21"/>
                <w:highlight w:val="none"/>
              </w:rPr>
              <w:t xml:space="preserve">（含）的得3分；</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投标人承诺响应时间</w:t>
            </w:r>
            <w:r>
              <w:rPr>
                <w:rFonts w:hint="eastAsia" w:ascii="宋体" w:hAnsi="宋体" w:cs="宋体"/>
                <w:color w:val="auto"/>
                <w:szCs w:val="21"/>
                <w:highlight w:val="none"/>
                <w:lang w:val="en-US" w:eastAsia="zh-CN"/>
              </w:rPr>
              <w:t xml:space="preserve">210分钟</w:t>
            </w:r>
            <w:r>
              <w:rPr>
                <w:rFonts w:hint="eastAsia" w:ascii="宋体" w:hAnsi="宋体" w:cs="宋体"/>
                <w:color w:val="auto"/>
                <w:szCs w:val="21"/>
                <w:highlight w:val="none"/>
              </w:rPr>
              <w:t xml:space="preserve">（不含）以上得1分。</w:t>
            </w:r>
            <w:r/>
          </w:p>
          <w:p>
            <w:pPr>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须提供承诺函原件，以驾车导航距离计算，投标人须提供检验地址、导航电子地图工作时间段（8:00-18:00）从检验地址到采购单位的导航截图作为参考依据，在投标文件中自行标距离，不得以直线距离计算，上传系统）</w:t>
            </w:r>
            <w:r/>
          </w:p>
        </w:tc>
      </w:tr>
    </w:tbl>
    <w:p>
      <w:pPr>
        <w:rPr>
          <w:rFonts w:ascii="黑体" w:eastAsia="黑体"/>
          <w:bCs/>
          <w:color w:val="auto"/>
          <w:sz w:val="44"/>
          <w:highlight w:val="none"/>
        </w:rPr>
      </w:pPr>
      <w:r>
        <w:rPr>
          <w:rFonts w:ascii="黑体" w:eastAsia="黑体"/>
          <w:bCs/>
          <w:color w:val="auto"/>
          <w:sz w:val="44"/>
          <w:highlight w:val="none"/>
        </w:rPr>
      </w:r>
      <w:r/>
    </w:p>
    <w:p>
      <w:pPr>
        <w:jc w:val="left"/>
        <w:spacing w:line="360" w:lineRule="auto"/>
        <w:tabs>
          <w:tab w:val="left" w:pos="3629" w:leader="none"/>
        </w:tabs>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rPr>
          <w:color w:val="auto"/>
          <w:highlight w:val="none"/>
        </w:rPr>
      </w:pPr>
      <w:r>
        <w:rPr>
          <w:color w:val="auto"/>
          <w:highlight w:val="none"/>
        </w:rPr>
      </w:r>
      <w:r/>
    </w:p>
    <w:p>
      <w:pPr>
        <w:pStyle w:val="985"/>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pStyle w:val="812"/>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86"/>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88"/>
              <w:rPr>
                <w:color w:val="auto"/>
                <w:highlight w:val="none"/>
              </w:rPr>
            </w:pPr>
            <w:r>
              <w:rPr>
                <w:rFonts w:hint="eastAsia" w:ascii="宋体" w:hAnsi="宋体" w:cs="宋体"/>
                <w:b w:val="0"/>
                <w:bCs w:val="0"/>
                <w:color w:val="auto"/>
                <w:sz w:val="21"/>
                <w:szCs w:val="21"/>
                <w:highlight w:val="none"/>
              </w:rPr>
              <w:t xml:space="preserve">根据《政府采购促进中小企业发展管理办法》（财库〔2020〕46 号），本项目对小型和微型企业、残疾人福利单位、监狱和戒毒企业提供的货物、服务给予20%的价格扣除。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供应商具有行政主管部门颁发的有效期内食品检验检测机构资质认定证书（提供有效证书原件扫描上传系统）。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88"/>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27"/>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江苏汇诚投资咨询管理有限公司</w:t>
      </w:r>
      <w:r/>
    </w:p>
    <w:p>
      <w:pPr>
        <w:pStyle w:val="10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27"/>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27"/>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27"/>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27"/>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27"/>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27"/>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1007"/>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100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100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100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1007"/>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1007"/>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1007"/>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1007"/>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1007"/>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86"/>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86"/>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86"/>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14"/>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91"/>
          <w:rFonts w:hint="eastAsia" w:ascii="宋体" w:hAnsi="宋体" w:cs="仿宋"/>
          <w:color w:val="auto"/>
          <w:sz w:val="21"/>
          <w:szCs w:val="21"/>
          <w:highlight w:val="none"/>
        </w:rPr>
        <w:t xml:space="preserve">中小微企业划型标准如下：</w:t>
      </w:r>
      <w:r/>
    </w:p>
    <w:tbl>
      <w:tblPr>
        <w:tblStyle w:val="811"/>
        <w:tblW w:w="10385" w:type="dxa"/>
        <w:tblCellSpacing w:w="15" w:type="dxa"/>
        <w:tblInd w:w="-86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14"/>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14"/>
              <w:ind w:firstLine="420"/>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14"/>
              <w:jc w:val="center"/>
              <w:spacing w:after="150" w:line="360" w:lineRule="auto"/>
              <w:widowControl/>
              <w:rPr>
                <w:rFonts w:ascii="宋体" w:hAnsi="宋体"/>
                <w:color w:val="auto"/>
                <w:sz w:val="21"/>
                <w:szCs w:val="21"/>
                <w:highlight w:val="none"/>
              </w:rPr>
            </w:pPr>
            <w:r>
              <w:rPr>
                <w:rStyle w:val="991"/>
                <w:rFonts w:hint="eastAsia" w:ascii="宋体" w:hAnsi="宋体" w:cs="仿宋"/>
                <w:color w:val="auto"/>
                <w:sz w:val="21"/>
                <w:szCs w:val="21"/>
                <w:highlight w:val="none"/>
              </w:rPr>
              <w:t xml:space="preserve">X＜10</w:t>
            </w:r>
            <w:r/>
          </w:p>
        </w:tc>
      </w:tr>
    </w:tbl>
    <w:p>
      <w:pPr>
        <w:pStyle w:val="1014"/>
        <w:ind w:firstLine="810"/>
        <w:spacing w:before="300" w:after="452" w:line="360" w:lineRule="auto"/>
        <w:widowControl/>
        <w:rPr>
          <w:rStyle w:val="991"/>
          <w:rFonts w:ascii="宋体" w:hAnsi="宋体" w:cs="仿宋"/>
          <w:color w:val="auto"/>
          <w:sz w:val="21"/>
          <w:szCs w:val="21"/>
          <w:highlight w:val="none"/>
        </w:rPr>
      </w:pPr>
      <w:r>
        <w:rPr>
          <w:rStyle w:val="99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88"/>
        <w:rPr>
          <w:rStyle w:val="991"/>
          <w:rFonts w:cs="仿宋"/>
          <w:b w:val="0"/>
          <w:color w:val="auto"/>
          <w:sz w:val="21"/>
          <w:szCs w:val="21"/>
          <w:highlight w:val="none"/>
        </w:rPr>
      </w:pPr>
      <w:r>
        <w:rPr>
          <w:rStyle w:val="991"/>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86"/>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8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95"/>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投标总报价</w:t>
            </w:r>
            <w:r/>
          </w:p>
        </w:tc>
      </w:tr>
      <w:tr>
        <w:trPr>
          <w:cantSplit/>
          <w:trHeight w:val="1697"/>
        </w:trPr>
        <w:tc>
          <w:tcPr>
            <w:tcW w:w="2481" w:type="dxa"/>
            <w:vAlign w:val="center"/>
            <w:textDirection w:val="lrTb"/>
            <w:noWrap w:val="false"/>
          </w:tcPr>
          <w:p>
            <w:pPr>
              <w:pStyle w:val="99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27"/>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27"/>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 ）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2"/>
        <w:spacing w:line="360" w:lineRule="auto"/>
        <w:rPr>
          <w:rFonts w:ascii="宋体" w:hAnsi="宋体" w:cs="宋体"/>
          <w:b/>
          <w:bCs/>
          <w:iCs/>
          <w:color w:val="auto"/>
          <w:szCs w:val="21"/>
          <w:highlight w:val="none"/>
        </w:rPr>
      </w:pPr>
      <w:r>
        <w:rPr>
          <w:rFonts w:ascii="宋体" w:hAnsi="宋体" w:cs="宋体"/>
          <w:b/>
          <w:bCs/>
          <w:iCs/>
          <w:color w:val="auto"/>
          <w:szCs w:val="21"/>
          <w:highlight w:val="none"/>
        </w:rPr>
      </w:r>
      <w:r/>
    </w:p>
    <w:p>
      <w:pPr>
        <w:ind w:firstLine="422"/>
        <w:jc w:val="both"/>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1036"/>
        <w:ind w:firstLine="41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3"/>
          <w:sz w:val="21"/>
          <w:szCs w:val="21"/>
          <w:highlight w:val="none"/>
        </w:rPr>
        <w:t xml:space="preserve">如有分包，投标人投任何一个包的标的，都需单独填写开标一览表。</w:t>
      </w:r>
      <w:r/>
    </w:p>
    <w:p>
      <w:pPr>
        <w:pStyle w:val="986"/>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87"/>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86"/>
        <w:numPr>
          <w:ilvl w:val="0"/>
          <w:numId w:val="0"/>
        </w:numPr>
        <w:jc w:val="center"/>
        <w:rPr>
          <w:rFonts w:ascii="宋体" w:hAnsi="宋体" w:eastAsia="宋体" w:cs="Times New Roman"/>
          <w:bCs w:val="0"/>
          <w:color w:val="auto"/>
          <w:sz w:val="32"/>
          <w:szCs w:val="32"/>
          <w:highlight w:val="none"/>
        </w:rPr>
      </w:pPr>
      <w:r/>
      <w:bookmarkStart w:id="59" w:name="_Toc113352361"/>
      <w:r>
        <w:rPr>
          <w:rFonts w:hint="eastAsia" w:ascii="宋体" w:hAnsi="宋体" w:eastAsia="宋体" w:cs="Times New Roman"/>
          <w:bCs w:val="0"/>
          <w:color w:val="auto"/>
          <w:sz w:val="32"/>
          <w:szCs w:val="32"/>
          <w:highlight w:val="none"/>
        </w:rPr>
        <w:t xml:space="preserve">五、分项报价表</w:t>
      </w:r>
      <w:bookmarkEnd w:id="59"/>
      <w:r/>
      <w:r/>
    </w:p>
    <w:tbl>
      <w:tblPr>
        <w:tblStyle w:val="8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87"/>
        <w:ind w:firstLine="0"/>
        <w:rPr>
          <w:rFonts w:ascii="宋体" w:hAnsi="宋体"/>
          <w:color w:val="auto"/>
          <w:sz w:val="32"/>
          <w:highlight w:val="none"/>
        </w:rPr>
        <w:sectPr>
          <w:head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86"/>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87"/>
        <w:ind w:firstLine="0"/>
        <w:rPr>
          <w:color w:val="auto"/>
          <w:highlight w:val="none"/>
        </w:rPr>
      </w:pPr>
      <w:r>
        <w:rPr>
          <w:rFonts w:hint="eastAsia"/>
          <w:color w:val="auto"/>
          <w:highlight w:val="none"/>
        </w:rPr>
        <w:t xml:space="preserve">分包号：</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86"/>
        <w:rPr>
          <w:rFonts w:ascii="宋体" w:hAnsi="宋体" w:eastAsia="宋体" w:cs="Times New Roman"/>
          <w:bCs w:val="0"/>
          <w:color w:val="auto"/>
          <w:sz w:val="32"/>
          <w:szCs w:val="32"/>
          <w:highlight w:val="none"/>
        </w:rPr>
      </w:pPr>
      <w:r/>
      <w:bookmarkStart w:id="60" w:name="_Hlt26955054"/>
      <w:r/>
      <w:bookmarkEnd w:id="60"/>
      <w:r/>
      <w:bookmarkStart w:id="61" w:name="_Toc113352363"/>
      <w:r>
        <w:rPr>
          <w:rFonts w:hint="eastAsia" w:ascii="宋体" w:hAnsi="宋体" w:eastAsia="宋体" w:cs="Times New Roman"/>
          <w:bCs w:val="0"/>
          <w:color w:val="auto"/>
          <w:sz w:val="32"/>
          <w:szCs w:val="32"/>
          <w:highlight w:val="none"/>
        </w:rPr>
        <w:t xml:space="preserve">七、商务条款响应及偏离表</w:t>
      </w:r>
      <w:bookmarkEnd w:id="61"/>
      <w:r/>
      <w:r/>
    </w:p>
    <w:p>
      <w:pPr>
        <w:pStyle w:val="987"/>
        <w:rPr>
          <w:color w:val="auto"/>
          <w:highlight w:val="none"/>
        </w:rPr>
      </w:pPr>
      <w:r>
        <w:rPr>
          <w:rFonts w:hint="eastAsia"/>
          <w:color w:val="auto"/>
          <w:highlight w:val="none"/>
        </w:rPr>
        <w:t xml:space="preserve">分包号：</w:t>
      </w:r>
      <w:r/>
    </w:p>
    <w:tbl>
      <w:tblPr>
        <w:tblStyle w:val="811"/>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87"/>
        <w:ind w:firstLine="480"/>
        <w:rPr>
          <w:rFonts w:ascii="宋体" w:hAnsi="宋体"/>
          <w:color w:val="auto"/>
          <w:sz w:val="24"/>
          <w:highlight w:val="none"/>
        </w:rPr>
      </w:pPr>
      <w:r/>
      <w:bookmarkStart w:id="62" w:name="_Hlt26955066"/>
      <w:r/>
      <w:bookmarkEnd w:id="62"/>
      <w:r/>
      <w:bookmarkStart w:id="63" w:name="_Hlt26671374"/>
      <w:r/>
      <w:bookmarkEnd w:id="63"/>
      <w:r/>
      <w:bookmarkStart w:id="64" w:name="_Hlt26609389"/>
      <w:r/>
      <w:bookmarkEnd w:id="64"/>
      <w:r/>
      <w:bookmarkStart w:id="65" w:name="_Toc462564146"/>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hint="eastAsia" w:ascii="宋体" w:hAnsi="宋体"/>
          <w:color w:val="auto"/>
          <w:sz w:val="24"/>
          <w:highlight w:val="none"/>
        </w:rPr>
        <w:t xml:space="preserve">.</w:t>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bookmarkEnd w:id="65"/>
      <w:r/>
      <w:r/>
    </w:p>
    <w:p>
      <w:pPr>
        <w:pStyle w:val="987"/>
        <w:ind w:firstLine="480"/>
        <w:rPr>
          <w:rFonts w:ascii="宋体" w:hAnsi="宋体"/>
          <w:color w:val="auto"/>
          <w:sz w:val="24"/>
          <w:highlight w:val="none"/>
        </w:rPr>
      </w:pPr>
      <w:r>
        <w:rPr>
          <w:rFonts w:ascii="宋体" w:hAnsi="宋体"/>
          <w:color w:val="auto"/>
          <w:sz w:val="24"/>
          <w:highlight w:val="none"/>
        </w:rPr>
      </w:r>
      <w:r/>
    </w:p>
    <w:p>
      <w:pPr>
        <w:pStyle w:val="987"/>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6" w:name="_格式2__法定代表人授权书"/>
      <w:r/>
      <w:bookmarkEnd w:id="66"/>
      <w:r>
        <w:rPr>
          <w:rFonts w:ascii="宋体" w:hAnsi="宋体"/>
          <w:b/>
          <w:color w:val="auto"/>
          <w:highlight w:val="none"/>
        </w:rPr>
        <w:br w:type="page" w:clear="all"/>
      </w:r>
      <w:r/>
    </w:p>
    <w:p>
      <w:pPr>
        <w:pStyle w:val="986"/>
        <w:rPr>
          <w:rFonts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拟投入项目服务团队人员一览表 </w:t>
      </w:r>
      <w:r/>
    </w:p>
    <w:p>
      <w:pPr>
        <w:pStyle w:val="987"/>
        <w:rPr>
          <w:color w:val="auto"/>
          <w:highlight w:val="none"/>
        </w:rPr>
      </w:pPr>
      <w:r>
        <w:rPr>
          <w:rFonts w:hint="eastAsia"/>
          <w:color w:val="auto"/>
          <w:highlight w:val="none"/>
        </w:rPr>
        <w:t xml:space="preserve">分包号：</w:t>
      </w:r>
      <w:r/>
    </w:p>
    <w:tbl>
      <w:tblPr>
        <w:tblStyle w:val="811"/>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jc w:val="center"/>
          <w:trHeight w:val="880"/>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序号</w:t>
            </w:r>
            <w:r/>
          </w:p>
        </w:tc>
        <w:tc>
          <w:tcPr>
            <w:tcW w:w="1020"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姓名</w:t>
            </w:r>
            <w:r/>
          </w:p>
        </w:tc>
        <w:tc>
          <w:tcPr>
            <w:tcW w:w="1080"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年龄</w:t>
            </w:r>
            <w:r/>
          </w:p>
        </w:tc>
        <w:tc>
          <w:tcPr>
            <w:tcW w:w="888"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学历</w:t>
            </w:r>
            <w:r/>
          </w:p>
        </w:tc>
        <w:tc>
          <w:tcPr>
            <w:tcW w:w="1128"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职称</w:t>
            </w:r>
            <w:r/>
          </w:p>
        </w:tc>
        <w:tc>
          <w:tcPr>
            <w:tcW w:w="1920"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是否具备食品岗位证</w:t>
            </w:r>
            <w:r/>
          </w:p>
        </w:tc>
        <w:tc>
          <w:tcPr>
            <w:tcW w:w="1945"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拟在本项目</w:t>
            </w:r>
            <w:r/>
          </w:p>
          <w:p>
            <w:pPr>
              <w:pStyle w:val="1001"/>
              <w:jc w:val="center"/>
              <w:spacing w:line="440" w:lineRule="exact"/>
              <w:rPr>
                <w:color w:val="auto"/>
                <w:szCs w:val="21"/>
                <w:highlight w:val="none"/>
              </w:rPr>
            </w:pPr>
            <w:r>
              <w:rPr>
                <w:rFonts w:hint="eastAsia"/>
                <w:color w:val="auto"/>
                <w:szCs w:val="21"/>
                <w:highlight w:val="none"/>
              </w:rPr>
              <w:t xml:space="preserve">中担任的职务</w:t>
            </w:r>
            <w:r/>
          </w:p>
        </w:tc>
        <w:tc>
          <w:tcPr>
            <w:tcW w:w="875"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备注</w:t>
            </w:r>
            <w:r/>
          </w:p>
        </w:tc>
      </w:tr>
      <w:tr>
        <w:trPr>
          <w:jc w:val="center"/>
          <w:trHeight w:val="675"/>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1</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2</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3</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3"/>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4</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5</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6</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7</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8</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r>
        <w:trPr>
          <w:jc w:val="center"/>
          <w:trHeight w:val="705"/>
        </w:trPr>
        <w:tc>
          <w:tcPr>
            <w:tcW w:w="874" w:type="dxa"/>
            <w:vAlign w:val="center"/>
            <w:textDirection w:val="lrTb"/>
            <w:noWrap w:val="false"/>
          </w:tcPr>
          <w:p>
            <w:pPr>
              <w:pStyle w:val="1001"/>
              <w:jc w:val="center"/>
              <w:spacing w:line="440" w:lineRule="exact"/>
              <w:rPr>
                <w:color w:val="auto"/>
                <w:szCs w:val="21"/>
                <w:highlight w:val="none"/>
              </w:rPr>
            </w:pPr>
            <w:r>
              <w:rPr>
                <w:rFonts w:hint="eastAsia"/>
                <w:color w:val="auto"/>
                <w:szCs w:val="21"/>
                <w:highlight w:val="none"/>
              </w:rPr>
              <w:t xml:space="preserve">9</w:t>
            </w:r>
            <w:r/>
          </w:p>
        </w:tc>
        <w:tc>
          <w:tcPr>
            <w:tcW w:w="10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1001"/>
              <w:jc w:val="center"/>
              <w:spacing w:line="440" w:lineRule="exact"/>
              <w:rPr>
                <w:color w:val="auto"/>
                <w:szCs w:val="21"/>
                <w:highlight w:val="none"/>
              </w:rPr>
            </w:pPr>
            <w:r>
              <w:rPr>
                <w:color w:val="auto"/>
                <w:szCs w:val="21"/>
                <w:highlight w:val="none"/>
              </w:rPr>
            </w:r>
            <w:r/>
          </w:p>
          <w:p>
            <w:pPr>
              <w:pStyle w:val="1001"/>
              <w:jc w:val="center"/>
              <w:spacing w:line="440" w:lineRule="exact"/>
              <w:rPr>
                <w:color w:val="auto"/>
                <w:szCs w:val="21"/>
                <w:highlight w:val="none"/>
              </w:rPr>
            </w:pPr>
            <w:r>
              <w:rPr>
                <w:color w:val="auto"/>
                <w:szCs w:val="21"/>
                <w:highlight w:val="none"/>
              </w:rPr>
            </w:r>
            <w:r/>
          </w:p>
        </w:tc>
      </w:tr>
    </w:tbl>
    <w:p>
      <w:pPr>
        <w:pStyle w:val="1037"/>
        <w:ind w:firstLine="416"/>
        <w:jc w:val="left"/>
        <w:spacing w:line="440" w:lineRule="exact"/>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r>
      <w:r/>
    </w:p>
    <w:p>
      <w:pPr>
        <w:pStyle w:val="1037"/>
        <w:ind w:firstLine="416"/>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注：</w:t>
      </w:r>
      <w:r>
        <w:rPr>
          <w:rFonts w:hint="eastAsia" w:ascii="宋体" w:hAnsi="宋体" w:eastAsia="宋体" w:cs="宋体"/>
          <w:color w:val="auto"/>
          <w:spacing w:val="-3"/>
          <w:sz w:val="21"/>
          <w:szCs w:val="21"/>
          <w:highlight w:val="none"/>
        </w:rPr>
        <w:t xml:space="preserve">此表为表样，行数可自行添加，但表式不变。</w:t>
      </w:r>
      <w:r/>
    </w:p>
    <w:p>
      <w:pPr>
        <w:pStyle w:val="1037"/>
        <w:ind w:firstLine="811"/>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项目人员资质、本单位员工证明文件等附后。</w:t>
      </w:r>
      <w:r/>
    </w:p>
    <w:p>
      <w:pPr>
        <w:jc w:val="center"/>
        <w:spacing w:before="312" w:line="360" w:lineRule="auto"/>
        <w:rPr>
          <w:rFonts w:ascii="宋体" w:hAnsi="宋体"/>
          <w:b/>
          <w:color w:val="auto"/>
          <w:highlight w:val="none"/>
        </w:rPr>
      </w:pPr>
      <w:r>
        <w:rPr>
          <w:rFonts w:ascii="宋体" w:hAnsi="宋体"/>
          <w:b/>
          <w:color w:val="auto"/>
          <w:highlight w:val="none"/>
        </w:rPr>
      </w:r>
      <w:r/>
    </w:p>
    <w:p>
      <w:pPr>
        <w:pStyle w:val="812"/>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812"/>
        <w:rPr>
          <w:color w:val="auto"/>
          <w:highlight w:val="none"/>
        </w:rPr>
      </w:pPr>
      <w:r>
        <w:rPr>
          <w:color w:val="auto"/>
          <w:highlight w:val="none"/>
        </w:rPr>
      </w:r>
      <w:r/>
    </w:p>
    <w:p>
      <w:pPr>
        <w:pStyle w:val="812"/>
        <w:rPr>
          <w:color w:val="auto"/>
          <w:highlight w:val="none"/>
        </w:rPr>
      </w:pPr>
      <w:r>
        <w:rPr>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8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FangSong">
    <w:panose1 w:val="02010609060101010101"/>
  </w:font>
  <w:font w:name="Symbol">
    <w:panose1 w:val="05050102010706020507"/>
  </w:font>
  <w:font w:name="Wingdings">
    <w:panose1 w:val="05000000000000000000"/>
  </w:font>
  <w:font w:name="Courier New">
    <w:panose1 w:val="02070309020205020404"/>
  </w:font>
  <w:font w:name="Times New Roman">
    <w:panose1 w:val="020206030504050203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SimSun">
    <w:panose1 w:val="02010600030101010101"/>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1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w:fldChar w:fldCharType="begin"/>
    </w:r>
    <w:r>
      <w:instrText xml:space="preserve">PAGE   \* MERGEFORMAT</w:instrText>
    </w:r>
    <w:r>
      <w:fldChar w:fldCharType="separate"/>
    </w:r>
    <w:r>
      <w:rPr>
        <w:lang w:val="zh-CN"/>
      </w:rPr>
      <w:t xml:space="preserve">25</w:t>
    </w:r>
    <w:r>
      <w:rPr>
        <w:lang w:val="zh-CN"/>
      </w:rPr>
      <w:fldChar w:fldCharType="end"/>
    </w:r>
    <w:r/>
  </w:p>
  <w:p>
    <w:pPr>
      <w:pStyle w:val="101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65</w:t>
    </w:r>
    <w:r>
      <w:fldChar w:fldCharType="end"/>
    </w:r>
    <w:r/>
  </w:p>
  <w:p>
    <w:pPr>
      <w:pStyle w:val="822"/>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rFonts w:hint="eastAsia"/>
        <w:lang w:eastAsia="zh-CN"/>
      </w:rPr>
      <w:t xml:space="preserve">JSZC-321000-HCZX-G2026-0006</w:t>
    </w:r>
    <w:r>
      <w:rPr>
        <w:rFonts w:hint="eastAsia"/>
      </w:rPr>
      <w:t xml:space="preserve">号                                   江苏汇诚投资咨询管理有限公司</w:t>
    </w:r>
    <w:r/>
  </w:p>
  <w:p>
    <w:pPr>
      <w:pStyle w:val="823"/>
      <w:jc w:val="cente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rFonts w:hint="eastAsia"/>
        <w:lang w:eastAsia="zh-CN"/>
      </w:rPr>
      <w:t xml:space="preserve">JSZC-321000-HCZX-G2026-0006</w:t>
    </w:r>
    <w:r>
      <w:rPr>
        <w:rFonts w:hint="eastAsia"/>
      </w:rPr>
      <w:t xml:space="preserve">号                                   江苏汇诚投资咨询管理有限公司</w:t>
    </w:r>
    <w:r/>
  </w:p>
  <w:p>
    <w:pPr>
      <w:pStyle w:val="8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rFonts w:hint="eastAsia"/>
        <w:lang w:eastAsia="zh-CN"/>
      </w:rPr>
      <w:t xml:space="preserve">JSZC-321000-HCZX-G2026-0006</w:t>
    </w:r>
    <w:r>
      <w:rPr>
        <w:rFonts w:hint="eastAsia"/>
      </w:rPr>
      <w:t xml:space="preserve">号                                   江苏汇诚投资咨询管理有限公司</w:t>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rFonts w:hint="eastAsia"/>
        <w:color w:val="000000"/>
      </w:rPr>
      <w:t xml:space="preserve">JSZC-321000-HCZX-G2024-00120号</w:t>
    </w:r>
    <w:r>
      <w:rPr>
        <w:color w:val="000000"/>
      </w:rPr>
      <w:tab/>
    </w:r>
    <w:r>
      <w:rPr>
        <w:rFonts w:hint="eastAsia"/>
        <w:color w:val="ff0000"/>
      </w:rPr>
      <w:t xml:space="preserve"> </w:t>
    </w:r>
    <w:r>
      <w:rPr>
        <w:rFonts w:hint="eastAsia"/>
      </w:rPr>
      <w:t xml:space="preserve">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3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10"/>
    <w:link w:val="801"/>
    <w:uiPriority w:val="9"/>
    <w:rPr>
      <w:rFonts w:ascii="Arial" w:hAnsi="Arial" w:eastAsia="Arial" w:cs="Arial"/>
      <w:sz w:val="40"/>
      <w:szCs w:val="40"/>
    </w:rPr>
  </w:style>
  <w:style w:type="character" w:styleId="783">
    <w:name w:val="Heading 2 Char"/>
    <w:basedOn w:val="810"/>
    <w:link w:val="802"/>
    <w:uiPriority w:val="9"/>
    <w:rPr>
      <w:rFonts w:ascii="Arial" w:hAnsi="Arial" w:eastAsia="Arial" w:cs="Arial"/>
      <w:sz w:val="34"/>
    </w:rPr>
  </w:style>
  <w:style w:type="character" w:styleId="784">
    <w:name w:val="Heading 3 Char"/>
    <w:basedOn w:val="810"/>
    <w:link w:val="803"/>
    <w:uiPriority w:val="9"/>
    <w:rPr>
      <w:rFonts w:ascii="Arial" w:hAnsi="Arial" w:eastAsia="Arial" w:cs="Arial"/>
      <w:sz w:val="30"/>
      <w:szCs w:val="30"/>
    </w:rPr>
  </w:style>
  <w:style w:type="character" w:styleId="785">
    <w:name w:val="Heading 4 Char"/>
    <w:basedOn w:val="810"/>
    <w:link w:val="804"/>
    <w:uiPriority w:val="9"/>
    <w:rPr>
      <w:rFonts w:ascii="Arial" w:hAnsi="Arial" w:eastAsia="Arial" w:cs="Arial"/>
      <w:b/>
      <w:bCs/>
      <w:sz w:val="26"/>
      <w:szCs w:val="26"/>
    </w:rPr>
  </w:style>
  <w:style w:type="character" w:styleId="786">
    <w:name w:val="Heading 5 Char"/>
    <w:basedOn w:val="810"/>
    <w:link w:val="805"/>
    <w:uiPriority w:val="9"/>
    <w:rPr>
      <w:rFonts w:ascii="Arial" w:hAnsi="Arial" w:eastAsia="Arial" w:cs="Arial"/>
      <w:b/>
      <w:bCs/>
      <w:sz w:val="24"/>
      <w:szCs w:val="24"/>
    </w:rPr>
  </w:style>
  <w:style w:type="character" w:styleId="787">
    <w:name w:val="Heading 6 Char"/>
    <w:basedOn w:val="810"/>
    <w:link w:val="806"/>
    <w:uiPriority w:val="9"/>
    <w:rPr>
      <w:rFonts w:ascii="Arial" w:hAnsi="Arial" w:eastAsia="Arial" w:cs="Arial"/>
      <w:b/>
      <w:bCs/>
      <w:sz w:val="22"/>
      <w:szCs w:val="22"/>
    </w:rPr>
  </w:style>
  <w:style w:type="character" w:styleId="788">
    <w:name w:val="Heading 7 Char"/>
    <w:basedOn w:val="810"/>
    <w:link w:val="807"/>
    <w:uiPriority w:val="9"/>
    <w:rPr>
      <w:rFonts w:ascii="Arial" w:hAnsi="Arial" w:eastAsia="Arial" w:cs="Arial"/>
      <w:b/>
      <w:bCs/>
      <w:i/>
      <w:iCs/>
      <w:sz w:val="22"/>
      <w:szCs w:val="22"/>
    </w:rPr>
  </w:style>
  <w:style w:type="character" w:styleId="789">
    <w:name w:val="Heading 8 Char"/>
    <w:basedOn w:val="810"/>
    <w:link w:val="808"/>
    <w:uiPriority w:val="9"/>
    <w:rPr>
      <w:rFonts w:ascii="Arial" w:hAnsi="Arial" w:eastAsia="Arial" w:cs="Arial"/>
      <w:i/>
      <w:iCs/>
      <w:sz w:val="22"/>
      <w:szCs w:val="22"/>
    </w:rPr>
  </w:style>
  <w:style w:type="character" w:styleId="790">
    <w:name w:val="Heading 9 Char"/>
    <w:basedOn w:val="810"/>
    <w:link w:val="809"/>
    <w:uiPriority w:val="9"/>
    <w:rPr>
      <w:rFonts w:ascii="Arial" w:hAnsi="Arial" w:eastAsia="Arial" w:cs="Arial"/>
      <w:i/>
      <w:iCs/>
      <w:sz w:val="21"/>
      <w:szCs w:val="21"/>
    </w:rPr>
  </w:style>
  <w:style w:type="character" w:styleId="791">
    <w:name w:val="Title Char"/>
    <w:basedOn w:val="810"/>
    <w:link w:val="832"/>
    <w:uiPriority w:val="10"/>
    <w:rPr>
      <w:sz w:val="48"/>
      <w:szCs w:val="48"/>
    </w:rPr>
  </w:style>
  <w:style w:type="character" w:styleId="792">
    <w:name w:val="Subtitle Char"/>
    <w:basedOn w:val="810"/>
    <w:link w:val="826"/>
    <w:uiPriority w:val="11"/>
    <w:rPr>
      <w:sz w:val="24"/>
      <w:szCs w:val="24"/>
    </w:rPr>
  </w:style>
  <w:style w:type="character" w:styleId="793">
    <w:name w:val="Quote Char"/>
    <w:link w:val="850"/>
    <w:uiPriority w:val="29"/>
    <w:rPr>
      <w:i/>
    </w:rPr>
  </w:style>
  <w:style w:type="character" w:styleId="794">
    <w:name w:val="Intense Quote Char"/>
    <w:link w:val="852"/>
    <w:uiPriority w:val="30"/>
    <w:rPr>
      <w:i/>
    </w:rPr>
  </w:style>
  <w:style w:type="character" w:styleId="795">
    <w:name w:val="Header Char"/>
    <w:basedOn w:val="810"/>
    <w:link w:val="823"/>
    <w:uiPriority w:val="99"/>
  </w:style>
  <w:style w:type="character" w:styleId="796">
    <w:name w:val="Caption Char"/>
    <w:basedOn w:val="814"/>
    <w:link w:val="822"/>
    <w:uiPriority w:val="99"/>
  </w:style>
  <w:style w:type="character" w:styleId="797">
    <w:name w:val="Footnote Text Char"/>
    <w:link w:val="827"/>
    <w:uiPriority w:val="99"/>
    <w:rPr>
      <w:sz w:val="18"/>
    </w:rPr>
  </w:style>
  <w:style w:type="character" w:styleId="798">
    <w:name w:val="Endnote Text Char"/>
    <w:link w:val="820"/>
    <w:uiPriority w:val="99"/>
    <w:rPr>
      <w:sz w:val="20"/>
    </w:rPr>
  </w:style>
  <w:style w:type="paragraph" w:styleId="799">
    <w:name w:val="TOC Heading"/>
    <w:uiPriority w:val="39"/>
    <w:unhideWhenUsed/>
  </w:style>
  <w:style w:type="paragraph" w:styleId="800" w:default="1">
    <w:name w:val="Normal"/>
    <w:next w:val="812"/>
    <w:uiPriority w:val="0"/>
    <w:qFormat/>
    <w:pPr>
      <w:jc w:val="both"/>
      <w:widowControl w:val="off"/>
    </w:pPr>
    <w:rPr>
      <w:rFonts w:ascii="Calibri" w:hAnsi="Calibri" w:eastAsia="宋体" w:cs="Calibri"/>
      <w:sz w:val="21"/>
      <w:szCs w:val="22"/>
      <w:lang w:val="en-US" w:eastAsia="zh-CN" w:bidi="ar-SA"/>
    </w:rPr>
  </w:style>
  <w:style w:type="paragraph" w:styleId="801">
    <w:name w:val="Heading 1"/>
    <w:basedOn w:val="800"/>
    <w:next w:val="800"/>
    <w:link w:val="837"/>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38"/>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39"/>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0"/>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1"/>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2"/>
    <w:uiPriority w:val="9"/>
    <w:unhideWhenUsed/>
    <w:qFormat/>
    <w:pPr>
      <w:keepLines/>
      <w:keepNext/>
      <w:spacing w:before="320" w:after="200"/>
      <w:outlineLvl w:val="5"/>
    </w:pPr>
    <w:rPr>
      <w:rFonts w:ascii="Arial" w:hAnsi="Arial" w:eastAsia="Arial" w:cs="Arial"/>
      <w:b/>
      <w:bCs/>
      <w:sz w:val="22"/>
    </w:rPr>
  </w:style>
  <w:style w:type="paragraph" w:styleId="807">
    <w:name w:val="Heading 7"/>
    <w:basedOn w:val="800"/>
    <w:next w:val="800"/>
    <w:link w:val="843"/>
    <w:uiPriority w:val="9"/>
    <w:unhideWhenUsed/>
    <w:qFormat/>
    <w:pPr>
      <w:keepLines/>
      <w:keepNext/>
      <w:spacing w:before="320" w:after="200"/>
      <w:outlineLvl w:val="6"/>
    </w:pPr>
    <w:rPr>
      <w:rFonts w:ascii="Arial" w:hAnsi="Arial" w:eastAsia="Arial" w:cs="Arial"/>
      <w:b/>
      <w:bCs/>
      <w:i/>
      <w:iCs/>
      <w:sz w:val="22"/>
    </w:rPr>
  </w:style>
  <w:style w:type="paragraph" w:styleId="808">
    <w:name w:val="Heading 8"/>
    <w:basedOn w:val="800"/>
    <w:next w:val="800"/>
    <w:link w:val="844"/>
    <w:uiPriority w:val="9"/>
    <w:unhideWhenUsed/>
    <w:qFormat/>
    <w:pPr>
      <w:keepLines/>
      <w:keepNext/>
      <w:spacing w:before="320" w:after="200"/>
      <w:outlineLvl w:val="7"/>
    </w:pPr>
    <w:rPr>
      <w:rFonts w:ascii="Arial" w:hAnsi="Arial" w:eastAsia="Arial" w:cs="Arial"/>
      <w:i/>
      <w:iCs/>
      <w:sz w:val="22"/>
    </w:rPr>
  </w:style>
  <w:style w:type="paragraph" w:styleId="809">
    <w:name w:val="Heading 9"/>
    <w:basedOn w:val="800"/>
    <w:next w:val="800"/>
    <w:link w:val="845"/>
    <w:uiPriority w:val="9"/>
    <w:unhideWhenUsed/>
    <w:qFormat/>
    <w:pPr>
      <w:keepLines/>
      <w:keepNext/>
      <w:spacing w:before="320" w:after="200"/>
      <w:outlineLvl w:val="8"/>
    </w:pPr>
    <w:rPr>
      <w:rFonts w:ascii="Arial" w:hAnsi="Arial" w:eastAsia="Arial" w:cs="Arial"/>
      <w:i/>
      <w:iCs/>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customStyle="1">
    <w:name w:val="正文文本缩进11"/>
    <w:basedOn w:val="800"/>
    <w:next w:val="800"/>
    <w:uiPriority w:val="99"/>
    <w:unhideWhenUsed/>
    <w:qFormat/>
    <w:pPr>
      <w:ind w:firstLine="540"/>
      <w:spacing w:line="400" w:lineRule="exact"/>
    </w:pPr>
    <w:rPr>
      <w:sz w:val="24"/>
    </w:rPr>
  </w:style>
  <w:style w:type="paragraph" w:styleId="813">
    <w:name w:val="toc 7"/>
    <w:basedOn w:val="800"/>
    <w:next w:val="800"/>
    <w:uiPriority w:val="39"/>
    <w:unhideWhenUsed/>
    <w:qFormat/>
    <w:pPr>
      <w:ind w:left="1701"/>
      <w:spacing w:after="57"/>
    </w:pPr>
  </w:style>
  <w:style w:type="paragraph" w:styleId="814">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5">
    <w:name w:val="Body Text Indent"/>
    <w:basedOn w:val="800"/>
    <w:next w:val="800"/>
    <w:uiPriority w:val="0"/>
    <w:qFormat/>
    <w:pPr>
      <w:ind w:firstLine="314"/>
      <w:jc w:val="left"/>
      <w:spacing w:line="720" w:lineRule="exact"/>
    </w:pPr>
    <w:rPr>
      <w:rFonts w:ascii="楷体_GB2312" w:hAnsi="宋体" w:eastAsia="楷体_GB2312"/>
      <w:sz w:val="28"/>
      <w:szCs w:val="28"/>
    </w:rPr>
  </w:style>
  <w:style w:type="paragraph" w:styleId="816">
    <w:name w:val="index 4"/>
    <w:basedOn w:val="800"/>
    <w:next w:val="800"/>
    <w:uiPriority w:val="99"/>
    <w:unhideWhenUsed/>
    <w:qFormat/>
    <w:pPr>
      <w:ind w:left="600"/>
    </w:pPr>
    <w:rPr>
      <w:rFonts w:ascii="宋体"/>
      <w:b/>
      <w:position w:val="-10"/>
      <w:sz w:val="24"/>
      <w:szCs w:val="20"/>
    </w:rPr>
  </w:style>
  <w:style w:type="paragraph" w:styleId="817">
    <w:name w:val="toc 5"/>
    <w:basedOn w:val="800"/>
    <w:next w:val="800"/>
    <w:uiPriority w:val="39"/>
    <w:unhideWhenUsed/>
    <w:qFormat/>
    <w:pPr>
      <w:ind w:left="1134"/>
      <w:spacing w:after="57"/>
    </w:pPr>
  </w:style>
  <w:style w:type="paragraph" w:styleId="818">
    <w:name w:val="toc 3"/>
    <w:basedOn w:val="800"/>
    <w:next w:val="800"/>
    <w:uiPriority w:val="39"/>
    <w:unhideWhenUsed/>
    <w:qFormat/>
    <w:pPr>
      <w:ind w:left="567"/>
      <w:spacing w:after="57"/>
    </w:pPr>
  </w:style>
  <w:style w:type="paragraph" w:styleId="819">
    <w:name w:val="toc 8"/>
    <w:basedOn w:val="800"/>
    <w:next w:val="800"/>
    <w:uiPriority w:val="39"/>
    <w:unhideWhenUsed/>
    <w:qFormat/>
    <w:pPr>
      <w:ind w:left="1984"/>
      <w:spacing w:after="57"/>
    </w:pPr>
  </w:style>
  <w:style w:type="paragraph" w:styleId="820">
    <w:name w:val="endnote text"/>
    <w:basedOn w:val="800"/>
    <w:link w:val="983"/>
    <w:uiPriority w:val="99"/>
    <w:semiHidden/>
    <w:unhideWhenUsed/>
    <w:qFormat/>
    <w:rPr>
      <w:sz w:val="20"/>
    </w:rPr>
  </w:style>
  <w:style w:type="paragraph" w:styleId="821">
    <w:name w:val="Balloon Text"/>
    <w:basedOn w:val="800"/>
    <w:link w:val="1038"/>
    <w:uiPriority w:val="99"/>
    <w:semiHidden/>
    <w:unhideWhenUsed/>
    <w:qFormat/>
    <w:rPr>
      <w:sz w:val="18"/>
      <w:szCs w:val="18"/>
    </w:rPr>
  </w:style>
  <w:style w:type="paragraph" w:styleId="822">
    <w:name w:val="Footer"/>
    <w:basedOn w:val="800"/>
    <w:link w:val="856"/>
    <w:uiPriority w:val="99"/>
    <w:unhideWhenUsed/>
    <w:qFormat/>
    <w:pPr>
      <w:tabs>
        <w:tab w:val="center" w:pos="7143" w:leader="none"/>
        <w:tab w:val="right" w:pos="14287" w:leader="none"/>
      </w:tabs>
    </w:pPr>
  </w:style>
  <w:style w:type="paragraph" w:styleId="823">
    <w:name w:val="Header"/>
    <w:basedOn w:val="800"/>
    <w:link w:val="854"/>
    <w:uiPriority w:val="99"/>
    <w:unhideWhenUsed/>
    <w:qFormat/>
    <w:pPr>
      <w:tabs>
        <w:tab w:val="center" w:pos="7143" w:leader="none"/>
        <w:tab w:val="right" w:pos="14287" w:leader="none"/>
      </w:tabs>
    </w:pPr>
  </w:style>
  <w:style w:type="paragraph" w:styleId="824">
    <w:name w:val="toc 1"/>
    <w:basedOn w:val="800"/>
    <w:next w:val="800"/>
    <w:uiPriority w:val="39"/>
    <w:unhideWhenUsed/>
    <w:qFormat/>
    <w:pPr>
      <w:spacing w:after="57"/>
    </w:pPr>
  </w:style>
  <w:style w:type="paragraph" w:styleId="825">
    <w:name w:val="toc 4"/>
    <w:basedOn w:val="800"/>
    <w:next w:val="800"/>
    <w:uiPriority w:val="39"/>
    <w:unhideWhenUsed/>
    <w:qFormat/>
    <w:pPr>
      <w:ind w:left="850"/>
      <w:spacing w:after="57"/>
    </w:pPr>
  </w:style>
  <w:style w:type="paragraph" w:styleId="826">
    <w:name w:val="Subtitle"/>
    <w:basedOn w:val="800"/>
    <w:next w:val="800"/>
    <w:link w:val="849"/>
    <w:uiPriority w:val="11"/>
    <w:qFormat/>
    <w:pPr>
      <w:spacing w:before="200" w:after="200"/>
    </w:pPr>
    <w:rPr>
      <w:sz w:val="24"/>
      <w:szCs w:val="24"/>
    </w:rPr>
  </w:style>
  <w:style w:type="paragraph" w:styleId="827">
    <w:name w:val="footnote text"/>
    <w:basedOn w:val="800"/>
    <w:link w:val="982"/>
    <w:uiPriority w:val="99"/>
    <w:semiHidden/>
    <w:unhideWhenUsed/>
    <w:qFormat/>
    <w:pPr>
      <w:spacing w:after="40"/>
    </w:pPr>
    <w:rPr>
      <w:sz w:val="18"/>
    </w:rPr>
  </w:style>
  <w:style w:type="paragraph" w:styleId="828">
    <w:name w:val="toc 6"/>
    <w:basedOn w:val="800"/>
    <w:next w:val="800"/>
    <w:uiPriority w:val="39"/>
    <w:unhideWhenUsed/>
    <w:qFormat/>
    <w:pPr>
      <w:ind w:left="1417"/>
      <w:spacing w:after="57"/>
    </w:pPr>
  </w:style>
  <w:style w:type="paragraph" w:styleId="829">
    <w:name w:val="table of figures"/>
    <w:basedOn w:val="800"/>
    <w:next w:val="800"/>
    <w:uiPriority w:val="99"/>
    <w:unhideWhenUsed/>
    <w:qFormat/>
  </w:style>
  <w:style w:type="paragraph" w:styleId="830">
    <w:name w:val="toc 2"/>
    <w:basedOn w:val="800"/>
    <w:next w:val="800"/>
    <w:uiPriority w:val="39"/>
    <w:unhideWhenUsed/>
    <w:qFormat/>
    <w:pPr>
      <w:ind w:left="283"/>
      <w:spacing w:after="57"/>
    </w:pPr>
  </w:style>
  <w:style w:type="paragraph" w:styleId="831">
    <w:name w:val="toc 9"/>
    <w:basedOn w:val="800"/>
    <w:next w:val="800"/>
    <w:uiPriority w:val="39"/>
    <w:unhideWhenUsed/>
    <w:qFormat/>
    <w:pPr>
      <w:ind w:left="2268"/>
      <w:spacing w:after="57"/>
    </w:pPr>
  </w:style>
  <w:style w:type="paragraph" w:styleId="832">
    <w:name w:val="Title"/>
    <w:basedOn w:val="800"/>
    <w:next w:val="800"/>
    <w:link w:val="848"/>
    <w:uiPriority w:val="10"/>
    <w:qFormat/>
    <w:pPr>
      <w:contextualSpacing/>
      <w:spacing w:before="300" w:after="200"/>
    </w:pPr>
    <w:rPr>
      <w:sz w:val="48"/>
      <w:szCs w:val="48"/>
    </w:rPr>
  </w:style>
  <w:style w:type="table" w:styleId="8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character" w:styleId="837" w:customStyle="1">
    <w:name w:val="标题 1 Char"/>
    <w:link w:val="801"/>
    <w:uiPriority w:val="9"/>
    <w:qFormat/>
    <w:rPr>
      <w:rFonts w:ascii="Arial" w:hAnsi="Arial" w:eastAsia="Arial" w:cs="Arial"/>
      <w:sz w:val="40"/>
      <w:szCs w:val="40"/>
    </w:rPr>
  </w:style>
  <w:style w:type="character" w:styleId="838" w:customStyle="1">
    <w:name w:val="标题 2 Char"/>
    <w:link w:val="802"/>
    <w:uiPriority w:val="9"/>
    <w:qFormat/>
    <w:rPr>
      <w:rFonts w:ascii="Arial" w:hAnsi="Arial" w:eastAsia="Arial" w:cs="Arial"/>
      <w:sz w:val="34"/>
    </w:rPr>
  </w:style>
  <w:style w:type="character" w:styleId="839" w:customStyle="1">
    <w:name w:val="标题 3 Char"/>
    <w:link w:val="803"/>
    <w:uiPriority w:val="9"/>
    <w:qFormat/>
    <w:rPr>
      <w:rFonts w:ascii="Arial" w:hAnsi="Arial" w:eastAsia="Arial" w:cs="Arial"/>
      <w:sz w:val="30"/>
      <w:szCs w:val="30"/>
    </w:rPr>
  </w:style>
  <w:style w:type="character" w:styleId="840" w:customStyle="1">
    <w:name w:val="标题 4 Char"/>
    <w:link w:val="804"/>
    <w:uiPriority w:val="9"/>
    <w:qFormat/>
    <w:rPr>
      <w:rFonts w:ascii="Arial" w:hAnsi="Arial" w:eastAsia="Arial" w:cs="Arial"/>
      <w:b/>
      <w:bCs/>
      <w:sz w:val="26"/>
      <w:szCs w:val="26"/>
    </w:rPr>
  </w:style>
  <w:style w:type="character" w:styleId="841" w:customStyle="1">
    <w:name w:val="标题 5 Char"/>
    <w:link w:val="805"/>
    <w:uiPriority w:val="9"/>
    <w:qFormat/>
    <w:rPr>
      <w:rFonts w:ascii="Arial" w:hAnsi="Arial" w:eastAsia="Arial" w:cs="Arial"/>
      <w:b/>
      <w:bCs/>
      <w:sz w:val="24"/>
      <w:szCs w:val="24"/>
    </w:rPr>
  </w:style>
  <w:style w:type="character" w:styleId="842" w:customStyle="1">
    <w:name w:val="标题 6 Char"/>
    <w:link w:val="806"/>
    <w:uiPriority w:val="9"/>
    <w:qFormat/>
    <w:rPr>
      <w:rFonts w:ascii="Arial" w:hAnsi="Arial" w:eastAsia="Arial" w:cs="Arial"/>
      <w:b/>
      <w:bCs/>
      <w:sz w:val="22"/>
      <w:szCs w:val="22"/>
    </w:rPr>
  </w:style>
  <w:style w:type="character" w:styleId="843" w:customStyle="1">
    <w:name w:val="标题 7 Char"/>
    <w:link w:val="807"/>
    <w:uiPriority w:val="9"/>
    <w:qFormat/>
    <w:rPr>
      <w:rFonts w:ascii="Arial" w:hAnsi="Arial" w:eastAsia="Arial" w:cs="Arial"/>
      <w:b/>
      <w:bCs/>
      <w:i/>
      <w:iCs/>
      <w:sz w:val="22"/>
      <w:szCs w:val="22"/>
    </w:rPr>
  </w:style>
  <w:style w:type="character" w:styleId="844" w:customStyle="1">
    <w:name w:val="标题 8 Char"/>
    <w:link w:val="808"/>
    <w:uiPriority w:val="9"/>
    <w:qFormat/>
    <w:rPr>
      <w:rFonts w:ascii="Arial" w:hAnsi="Arial" w:eastAsia="Arial" w:cs="Arial"/>
      <w:i/>
      <w:iCs/>
      <w:sz w:val="22"/>
      <w:szCs w:val="22"/>
    </w:rPr>
  </w:style>
  <w:style w:type="character" w:styleId="845" w:customStyle="1">
    <w:name w:val="标题 9 Char"/>
    <w:link w:val="809"/>
    <w:uiPriority w:val="9"/>
    <w:qFormat/>
    <w:rPr>
      <w:rFonts w:ascii="Arial" w:hAnsi="Arial" w:eastAsia="Arial" w:cs="Arial"/>
      <w:i/>
      <w:iCs/>
      <w:sz w:val="21"/>
      <w:szCs w:val="21"/>
    </w:rPr>
  </w:style>
  <w:style w:type="paragraph" w:styleId="846">
    <w:name w:val="List Paragraph"/>
    <w:basedOn w:val="800"/>
    <w:uiPriority w:val="34"/>
    <w:qFormat/>
    <w:pPr>
      <w:contextualSpacing/>
      <w:ind w:left="720"/>
    </w:pPr>
  </w:style>
  <w:style w:type="paragraph" w:styleId="847">
    <w:name w:val="No Spacing"/>
    <w:uiPriority w:val="1"/>
    <w:qFormat/>
    <w:rPr>
      <w:rFonts w:ascii="Calibri" w:hAnsi="Calibri" w:eastAsia="宋体" w:cs="Calibri"/>
      <w:lang w:val="en-US" w:eastAsia="zh-CN" w:bidi="ar-SA"/>
    </w:rPr>
  </w:style>
  <w:style w:type="character" w:styleId="848" w:customStyle="1">
    <w:name w:val="标题 Char"/>
    <w:link w:val="832"/>
    <w:uiPriority w:val="10"/>
    <w:qFormat/>
    <w:rPr>
      <w:sz w:val="48"/>
      <w:szCs w:val="48"/>
    </w:rPr>
  </w:style>
  <w:style w:type="character" w:styleId="849" w:customStyle="1">
    <w:name w:val="副标题 Char"/>
    <w:link w:val="826"/>
    <w:uiPriority w:val="11"/>
    <w:qFormat/>
    <w:rPr>
      <w:sz w:val="24"/>
      <w:szCs w:val="24"/>
    </w:rPr>
  </w:style>
  <w:style w:type="paragraph" w:styleId="850">
    <w:name w:val="Quote"/>
    <w:basedOn w:val="800"/>
    <w:next w:val="800"/>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800"/>
    <w:next w:val="800"/>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character" w:styleId="854" w:customStyle="1">
    <w:name w:val="页眉 Char"/>
    <w:link w:val="823"/>
    <w:uiPriority w:val="99"/>
    <w:qFormat/>
  </w:style>
  <w:style w:type="character" w:styleId="855" w:customStyle="1">
    <w:name w:val="Footer Char"/>
    <w:uiPriority w:val="99"/>
    <w:qFormat/>
  </w:style>
  <w:style w:type="character" w:styleId="856" w:customStyle="1">
    <w:name w:val="页脚 Char"/>
    <w:link w:val="822"/>
    <w:uiPriority w:val="99"/>
    <w:qFormat/>
  </w:style>
  <w:style w:type="table" w:styleId="85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2" w:customStyle="1">
    <w:name w:val="脚注文本 Char"/>
    <w:link w:val="827"/>
    <w:uiPriority w:val="99"/>
    <w:qFormat/>
    <w:rPr>
      <w:sz w:val="18"/>
    </w:rPr>
  </w:style>
  <w:style w:type="character" w:styleId="983" w:customStyle="1">
    <w:name w:val="尾注文本 Char"/>
    <w:link w:val="820"/>
    <w:uiPriority w:val="99"/>
    <w:qFormat/>
    <w:rPr>
      <w:sz w:val="20"/>
    </w:rPr>
  </w:style>
  <w:style w:type="paragraph" w:styleId="984" w:customStyle="1">
    <w:name w:val="TOC 标题1"/>
    <w:uiPriority w:val="39"/>
    <w:unhideWhenUsed/>
    <w:qFormat/>
    <w:rPr>
      <w:rFonts w:ascii="Calibri" w:hAnsi="Calibri" w:eastAsia="宋体" w:cs="Calibri"/>
      <w:lang w:val="en-US" w:eastAsia="zh-CN" w:bidi="ar-SA"/>
    </w:rPr>
  </w:style>
  <w:style w:type="paragraph" w:styleId="985" w:customStyle="1">
    <w:name w:val="标题 111"/>
    <w:basedOn w:val="800"/>
    <w:next w:val="800"/>
    <w:uiPriority w:val="9"/>
    <w:qFormat/>
    <w:pPr>
      <w:keepLines/>
      <w:keepNext/>
      <w:spacing w:before="340" w:after="330" w:line="578" w:lineRule="auto"/>
      <w:outlineLvl w:val="0"/>
    </w:pPr>
    <w:rPr>
      <w:b/>
      <w:bCs/>
      <w:sz w:val="44"/>
      <w:szCs w:val="44"/>
    </w:rPr>
  </w:style>
  <w:style w:type="paragraph" w:styleId="986" w:customStyle="1">
    <w:name w:val="标题 21"/>
    <w:basedOn w:val="800"/>
    <w:next w:val="98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87" w:customStyle="1">
    <w:name w:val="正文缩进1"/>
    <w:basedOn w:val="800"/>
    <w:uiPriority w:val="0"/>
    <w:unhideWhenUsed/>
    <w:qFormat/>
    <w:pPr>
      <w:ind w:firstLine="420"/>
    </w:pPr>
  </w:style>
  <w:style w:type="paragraph" w:styleId="988" w:customStyle="1">
    <w:name w:val="标题 31"/>
    <w:basedOn w:val="800"/>
    <w:next w:val="800"/>
    <w:uiPriority w:val="0"/>
    <w:qFormat/>
    <w:pPr>
      <w:keepLines/>
      <w:keepNext/>
      <w:spacing w:before="260" w:after="260" w:line="416" w:lineRule="auto"/>
      <w:outlineLvl w:val="2"/>
    </w:pPr>
    <w:rPr>
      <w:b/>
      <w:bCs/>
      <w:sz w:val="32"/>
      <w:szCs w:val="32"/>
    </w:rPr>
  </w:style>
  <w:style w:type="character" w:styleId="989" w:customStyle="1">
    <w:name w:val="默认段落字体1"/>
    <w:uiPriority w:val="1"/>
    <w:unhideWhenUsed/>
    <w:qFormat/>
  </w:style>
  <w:style w:type="table" w:styleId="990" w:customStyle="1">
    <w:name w:val="普通表格1"/>
    <w:uiPriority w:val="99"/>
    <w:unhideWhenUsed/>
    <w:qFormat/>
    <w:rPr>
      <w:rFonts w:cs="Times New Roman"/>
    </w:rPr>
    <w:tblPr>
      <w:tblCellMar>
        <w:left w:w="0" w:type="dxa"/>
        <w:top w:w="0" w:type="dxa"/>
        <w:right w:w="0" w:type="dxa"/>
        <w:bottom w:w="0" w:type="dxa"/>
      </w:tblCellMar>
    </w:tblPr>
  </w:style>
  <w:style w:type="character" w:styleId="991" w:customStyle="1">
    <w:name w:val="要点1"/>
    <w:uiPriority w:val="0"/>
    <w:qFormat/>
    <w:rPr>
      <w:b/>
    </w:rPr>
  </w:style>
  <w:style w:type="character" w:styleId="992" w:customStyle="1">
    <w:name w:val="超链接1"/>
    <w:uiPriority w:val="0"/>
    <w:qFormat/>
    <w:rPr>
      <w:color w:val="0000ff"/>
      <w:u w:val="single"/>
    </w:rPr>
  </w:style>
  <w:style w:type="character" w:styleId="993" w:customStyle="1">
    <w:name w:val="批注引用1"/>
    <w:uiPriority w:val="0"/>
    <w:qFormat/>
    <w:rPr>
      <w:sz w:val="21"/>
      <w:szCs w:val="21"/>
    </w:rPr>
  </w:style>
  <w:style w:type="character" w:styleId="994" w:customStyle="1">
    <w:name w:val="正文文本 字符"/>
    <w:link w:val="995"/>
    <w:uiPriority w:val="0"/>
    <w:qFormat/>
    <w:rPr>
      <w:rFonts w:ascii="Times New Roman" w:hAnsi="Times New Roman" w:cs="Times New Roman"/>
      <w:sz w:val="21"/>
      <w:szCs w:val="22"/>
    </w:rPr>
  </w:style>
  <w:style w:type="paragraph" w:styleId="995" w:customStyle="1">
    <w:name w:val="正文文本11"/>
    <w:basedOn w:val="800"/>
    <w:next w:val="996"/>
    <w:link w:val="994"/>
    <w:uiPriority w:val="0"/>
    <w:qFormat/>
    <w:rPr>
      <w:rFonts w:ascii="楷体_GB2312" w:hAnsi="Arial" w:eastAsia="楷体_GB2312"/>
      <w:sz w:val="28"/>
      <w:szCs w:val="28"/>
    </w:rPr>
  </w:style>
  <w:style w:type="paragraph" w:styleId="996" w:customStyle="1">
    <w:name w:val="正文文本 211"/>
    <w:basedOn w:val="800"/>
    <w:uiPriority w:val="0"/>
    <w:qFormat/>
    <w:pPr>
      <w:spacing w:after="120" w:line="480" w:lineRule="auto"/>
    </w:pPr>
  </w:style>
  <w:style w:type="character" w:styleId="997" w:customStyle="1">
    <w:name w:val="批注框文本 字符"/>
    <w:link w:val="998"/>
    <w:uiPriority w:val="0"/>
    <w:qFormat/>
    <w:rPr>
      <w:sz w:val="18"/>
      <w:szCs w:val="18"/>
    </w:rPr>
  </w:style>
  <w:style w:type="paragraph" w:styleId="998" w:customStyle="1">
    <w:name w:val="批注框文本1"/>
    <w:basedOn w:val="800"/>
    <w:link w:val="997"/>
    <w:uiPriority w:val="0"/>
    <w:qFormat/>
    <w:rPr>
      <w:sz w:val="18"/>
      <w:szCs w:val="18"/>
    </w:rPr>
  </w:style>
  <w:style w:type="paragraph" w:styleId="999" w:customStyle="1">
    <w:name w:val="目录 91"/>
    <w:basedOn w:val="800"/>
    <w:next w:val="800"/>
    <w:uiPriority w:val="99"/>
    <w:qFormat/>
    <w:pPr>
      <w:ind w:left="3360"/>
    </w:pPr>
  </w:style>
  <w:style w:type="paragraph" w:styleId="1000" w:customStyle="1">
    <w:name w:val="页眉1"/>
    <w:basedOn w:val="80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01" w:customStyle="1">
    <w:name w:val="Table Paragraph"/>
    <w:basedOn w:val="800"/>
    <w:uiPriority w:val="1"/>
    <w:qFormat/>
    <w:rPr>
      <w:rFonts w:ascii="宋体" w:hAnsi="宋体" w:cs="宋体"/>
      <w:lang w:val="zh-CN" w:bidi="zh-CN"/>
    </w:rPr>
  </w:style>
  <w:style w:type="paragraph" w:styleId="1002" w:customStyle="1">
    <w:name w:val="正文 New New New New New New New New New New New New New New"/>
    <w:next w:val="999"/>
    <w:uiPriority w:val="99"/>
    <w:qFormat/>
    <w:pPr>
      <w:ind w:firstLine="2048"/>
      <w:jc w:val="both"/>
      <w:widowControl w:val="off"/>
    </w:pPr>
    <w:rPr>
      <w:rFonts w:ascii="Calibri" w:hAnsi="Calibri" w:eastAsia="宋体" w:cs="Calibri"/>
      <w:lang w:val="en-US" w:eastAsia="zh-CN" w:bidi="ar-SA"/>
    </w:rPr>
  </w:style>
  <w:style w:type="paragraph" w:styleId="1003" w:customStyle="1">
    <w:name w:val="正文文本 21"/>
    <w:basedOn w:val="800"/>
    <w:next w:val="1004"/>
    <w:uiPriority w:val="99"/>
    <w:qFormat/>
    <w:pPr>
      <w:ind w:left="720" w:firstLine="5680"/>
      <w:widowControl/>
    </w:pPr>
  </w:style>
  <w:style w:type="paragraph" w:styleId="1004" w:customStyle="1">
    <w:name w:val="默认段落字体 Para Char Char Char Char Char Char Char"/>
    <w:basedOn w:val="800"/>
    <w:next w:val="1005"/>
    <w:uiPriority w:val="99"/>
    <w:qFormat/>
    <w:pPr>
      <w:ind w:firstLine="200"/>
    </w:pPr>
    <w:rPr>
      <w:rFonts w:cs="Arial"/>
    </w:rPr>
  </w:style>
  <w:style w:type="paragraph" w:styleId="1005" w:customStyle="1">
    <w:name w:val="样式 首行缩进:  2 字符"/>
    <w:basedOn w:val="800"/>
    <w:next w:val="1006"/>
    <w:uiPriority w:val="99"/>
    <w:qFormat/>
    <w:pPr>
      <w:ind w:left="480" w:firstLine="5856"/>
      <w:spacing w:line="360" w:lineRule="auto"/>
    </w:pPr>
  </w:style>
  <w:style w:type="paragraph" w:styleId="1006" w:customStyle="1">
    <w:name w:val="样式 段后: 0.25 行"/>
    <w:basedOn w:val="800"/>
    <w:next w:val="1002"/>
    <w:uiPriority w:val="99"/>
    <w:qFormat/>
    <w:pPr>
      <w:ind w:left="420" w:firstLine="5796"/>
      <w:spacing w:line="300" w:lineRule="auto"/>
      <w:widowControl/>
    </w:pPr>
  </w:style>
  <w:style w:type="paragraph" w:styleId="1007" w:customStyle="1">
    <w:name w:val="Char"/>
    <w:basedOn w:val="800"/>
    <w:uiPriority w:val="0"/>
    <w:qFormat/>
    <w:pPr>
      <w:ind w:firstLine="200"/>
      <w:tabs>
        <w:tab w:val="left" w:pos="360" w:leader="none"/>
      </w:tabs>
    </w:pPr>
    <w:rPr>
      <w:rFonts w:ascii="Times New Roman" w:hAnsi="Times New Roman"/>
      <w:sz w:val="28"/>
      <w:szCs w:val="30"/>
    </w:rPr>
  </w:style>
  <w:style w:type="paragraph" w:styleId="1008" w:customStyle="1">
    <w:name w:val="正文（缩进）"/>
    <w:basedOn w:val="800"/>
    <w:next w:val="1009"/>
    <w:uiPriority w:val="0"/>
    <w:qFormat/>
    <w:pPr>
      <w:ind w:firstLine="480"/>
      <w:spacing w:before="156" w:after="156"/>
    </w:pPr>
  </w:style>
  <w:style w:type="paragraph" w:styleId="1009" w:customStyle="1">
    <w:name w:val="Char Char Char Char Char Char Char Char Char"/>
    <w:basedOn w:val="800"/>
    <w:next w:val="1003"/>
    <w:uiPriority w:val="99"/>
    <w:qFormat/>
    <w:pPr>
      <w:ind w:left="360" w:firstLine="5784"/>
    </w:pPr>
  </w:style>
  <w:style w:type="paragraph" w:styleId="1010" w:customStyle="1">
    <w:name w:val="正文空2格  1."/>
    <w:basedOn w:val="800"/>
    <w:uiPriority w:val="0"/>
    <w:qFormat/>
    <w:pPr>
      <w:ind w:firstLine="480"/>
    </w:pPr>
    <w:rPr>
      <w:rFonts w:cs="宋体"/>
      <w:sz w:val="28"/>
      <w:szCs w:val="20"/>
    </w:rPr>
  </w:style>
  <w:style w:type="paragraph" w:styleId="1011" w:customStyle="1">
    <w:name w:val="目录 11"/>
    <w:basedOn w:val="800"/>
    <w:next w:val="800"/>
    <w:uiPriority w:val="39"/>
    <w:unhideWhenUsed/>
    <w:qFormat/>
  </w:style>
  <w:style w:type="paragraph" w:styleId="1012" w:customStyle="1">
    <w:name w:val="页脚1"/>
    <w:basedOn w:val="800"/>
    <w:uiPriority w:val="99"/>
    <w:unhideWhenUsed/>
    <w:qFormat/>
    <w:pPr>
      <w:jc w:val="left"/>
      <w:tabs>
        <w:tab w:val="center" w:pos="4153" w:leader="none"/>
        <w:tab w:val="right" w:pos="8306" w:leader="none"/>
      </w:tabs>
    </w:pPr>
    <w:rPr>
      <w:sz w:val="18"/>
      <w:szCs w:val="18"/>
    </w:rPr>
  </w:style>
  <w:style w:type="paragraph" w:styleId="1013" w:customStyle="1">
    <w:name w:val="纯文本11"/>
    <w:basedOn w:val="800"/>
    <w:uiPriority w:val="99"/>
    <w:qFormat/>
    <w:rPr>
      <w:rFonts w:ascii="宋体" w:hAnsi="Courier New"/>
      <w:sz w:val="20"/>
      <w:szCs w:val="21"/>
    </w:rPr>
  </w:style>
  <w:style w:type="paragraph" w:styleId="1014" w:customStyle="1">
    <w:name w:val="普通(网站)1"/>
    <w:basedOn w:val="800"/>
    <w:uiPriority w:val="0"/>
    <w:qFormat/>
    <w:rPr>
      <w:rFonts w:ascii="Times New Roman" w:hAnsi="Times New Roman"/>
      <w:sz w:val="24"/>
    </w:rPr>
  </w:style>
  <w:style w:type="paragraph" w:styleId="1015" w:customStyle="1">
    <w:name w:val="正文文本缩进1"/>
    <w:basedOn w:val="800"/>
    <w:next w:val="800"/>
    <w:uiPriority w:val="99"/>
    <w:unhideWhenUsed/>
    <w:qFormat/>
    <w:pPr>
      <w:ind w:firstLine="540"/>
      <w:spacing w:line="400" w:lineRule="exact"/>
    </w:pPr>
    <w:rPr>
      <w:sz w:val="24"/>
    </w:rPr>
  </w:style>
  <w:style w:type="paragraph" w:styleId="1016" w:customStyle="1">
    <w:name w:val="批注文字1"/>
    <w:basedOn w:val="800"/>
    <w:uiPriority w:val="0"/>
    <w:qFormat/>
    <w:pPr>
      <w:jc w:val="left"/>
    </w:pPr>
  </w:style>
  <w:style w:type="paragraph" w:styleId="1017" w:customStyle="1">
    <w:name w:val="寄信人地址1"/>
    <w:basedOn w:val="800"/>
    <w:uiPriority w:val="99"/>
    <w:unhideWhenUsed/>
    <w:qFormat/>
    <w:rPr>
      <w:rFonts w:ascii="Arial" w:hAnsi="Arial"/>
    </w:rPr>
  </w:style>
  <w:style w:type="paragraph" w:styleId="1018" w:customStyle="1">
    <w:name w:val="信息标题1"/>
    <w:basedOn w:val="80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9" w:customStyle="1">
    <w:name w:val="正文首行缩进 21"/>
    <w:basedOn w:val="1015"/>
    <w:next w:val="800"/>
    <w:uiPriority w:val="0"/>
    <w:qFormat/>
    <w:pPr>
      <w:ind w:firstLine="420"/>
      <w:spacing w:before="100" w:beforeAutospacing="1"/>
    </w:pPr>
    <w:rPr>
      <w:rFonts w:ascii="Times New Roman" w:hAnsi="Times New Roman"/>
      <w:sz w:val="20"/>
      <w:szCs w:val="21"/>
    </w:rPr>
  </w:style>
  <w:style w:type="paragraph" w:styleId="1020" w:customStyle="1">
    <w:name w:val="一级条标题"/>
    <w:basedOn w:val="1021"/>
    <w:next w:val="10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21" w:customStyle="1">
    <w:name w:val="章标题"/>
    <w:next w:val="800"/>
    <w:uiPriority w:val="0"/>
    <w:qFormat/>
    <w:pPr>
      <w:ind w:left="810" w:hanging="810"/>
      <w:jc w:val="both"/>
      <w:spacing w:before="50" w:after="50"/>
      <w:tabs>
        <w:tab w:val="left" w:pos="810" w:leader="none"/>
        <w:tab w:val="left" w:pos="1265" w:leader="none"/>
      </w:tabs>
      <w:outlineLvl w:val="1"/>
    </w:pPr>
    <w:rPr>
      <w:rFonts w:ascii="黑体" w:hAnsi="Calibri" w:eastAsia="黑体" w:cs="Calibri"/>
      <w:sz w:val="21"/>
      <w:szCs w:val="22"/>
      <w:lang w:val="en-US" w:eastAsia="zh-CN" w:bidi="ar-SA"/>
    </w:rPr>
  </w:style>
  <w:style w:type="paragraph" w:styleId="1022" w:customStyle="1">
    <w:name w:val="段"/>
    <w:basedOn w:val="1023"/>
    <w:next w:val="800"/>
    <w:uiPriority w:val="0"/>
    <w:qFormat/>
    <w:pPr>
      <w:ind w:firstLine="200"/>
      <w:widowControl/>
    </w:pPr>
    <w:rPr>
      <w:sz w:val="20"/>
    </w:rPr>
  </w:style>
  <w:style w:type="paragraph" w:styleId="1023" w:customStyle="1">
    <w:name w:val="正文1"/>
    <w:basedOn w:val="800"/>
    <w:next w:val="1024"/>
    <w:uiPriority w:val="0"/>
    <w:qFormat/>
    <w:pPr>
      <w:jc w:val="left"/>
      <w:spacing w:line="360" w:lineRule="atLeast"/>
    </w:pPr>
    <w:rPr>
      <w:rFonts w:ascii="宋体" w:cs="Times New Roman"/>
      <w:sz w:val="24"/>
      <w:szCs w:val="20"/>
    </w:rPr>
  </w:style>
  <w:style w:type="paragraph" w:styleId="1024" w:customStyle="1">
    <w:name w:val="正文文本1"/>
    <w:basedOn w:val="1023"/>
    <w:next w:val="1020"/>
    <w:uiPriority w:val="0"/>
    <w:qFormat/>
    <w:pPr>
      <w:spacing w:after="120"/>
    </w:pPr>
    <w:rPr>
      <w:lang w:eastAsia="en-US"/>
    </w:rPr>
  </w:style>
  <w:style w:type="paragraph" w:styleId="1025" w:customStyle="1">
    <w:name w:val="Default"/>
    <w:uiPriority w:val="0"/>
    <w:qFormat/>
    <w:pPr>
      <w:widowControl w:val="off"/>
    </w:pPr>
    <w:rPr>
      <w:rFonts w:ascii="黑体" w:hAnsi="Calibri" w:eastAsia="黑体" w:cs="Calibri"/>
      <w:lang w:val="en-US" w:eastAsia="zh-CN" w:bidi="ar-SA"/>
    </w:rPr>
  </w:style>
  <w:style w:type="paragraph" w:styleId="1026" w:customStyle="1">
    <w:name w:val="列表段落"/>
    <w:basedOn w:val="800"/>
    <w:uiPriority w:val="99"/>
    <w:qFormat/>
    <w:pPr>
      <w:ind w:firstLine="420"/>
    </w:pPr>
    <w:rPr>
      <w:rFonts w:ascii="Times New Roman" w:hAnsi="Times New Roman" w:cs="Times New Roman"/>
      <w:szCs w:val="21"/>
    </w:rPr>
  </w:style>
  <w:style w:type="paragraph" w:styleId="1027" w:customStyle="1">
    <w:name w:val="普通正文"/>
    <w:basedOn w:val="800"/>
    <w:uiPriority w:val="0"/>
    <w:qFormat/>
    <w:pPr>
      <w:ind w:firstLine="480"/>
      <w:jc w:val="left"/>
      <w:spacing w:before="120" w:after="120" w:line="360" w:lineRule="auto"/>
    </w:pPr>
    <w:rPr>
      <w:rFonts w:ascii="Arial" w:hAnsi="Arial"/>
      <w:sz w:val="24"/>
      <w:szCs w:val="24"/>
    </w:rPr>
  </w:style>
  <w:style w:type="paragraph" w:styleId="1028" w:customStyle="1">
    <w:name w:val="标题 11"/>
    <w:basedOn w:val="800"/>
    <w:next w:val="800"/>
    <w:uiPriority w:val="9"/>
    <w:qFormat/>
    <w:pPr>
      <w:keepLines/>
      <w:keepNext/>
      <w:spacing w:before="340" w:after="330" w:line="578" w:lineRule="auto"/>
      <w:outlineLvl w:val="0"/>
    </w:pPr>
    <w:rPr>
      <w:b/>
      <w:bCs/>
      <w:sz w:val="44"/>
      <w:szCs w:val="44"/>
    </w:rPr>
  </w:style>
  <w:style w:type="paragraph" w:styleId="1029" w:customStyle="1">
    <w:name w:val="纯文本1"/>
    <w:basedOn w:val="800"/>
    <w:uiPriority w:val="99"/>
    <w:qFormat/>
    <w:rPr>
      <w:rFonts w:ascii="宋体" w:hAnsi="Courier New"/>
      <w:sz w:val="20"/>
      <w:szCs w:val="21"/>
    </w:rPr>
  </w:style>
  <w:style w:type="table" w:styleId="1030" w:customStyle="1">
    <w:name w:val="网格型1"/>
    <w:basedOn w:val="990"/>
    <w:uiPriority w:val="59"/>
    <w:qFormat/>
    <w:tblPr>
      <w:tblCellMar>
        <w:left w:w="0" w:type="dxa"/>
        <w:top w:w="0" w:type="dxa"/>
        <w:right w:w="0" w:type="dxa"/>
        <w:bottom w:w="0" w:type="dxa"/>
      </w:tblCellMar>
    </w:tblPr>
  </w:style>
  <w:style w:type="paragraph" w:styleId="1031" w:customStyle="1">
    <w:name w:val="Body Text First Indent 21"/>
    <w:basedOn w:val="1032"/>
    <w:uiPriority w:val="0"/>
    <w:qFormat/>
    <w:pPr>
      <w:ind w:firstLine="420"/>
    </w:pPr>
  </w:style>
  <w:style w:type="paragraph" w:styleId="1032" w:customStyle="1">
    <w:name w:val="Body Text Indent1"/>
    <w:basedOn w:val="800"/>
    <w:uiPriority w:val="0"/>
    <w:qFormat/>
    <w:pPr>
      <w:ind w:left="420"/>
    </w:pPr>
  </w:style>
  <w:style w:type="paragraph" w:styleId="1033" w:customStyle="1">
    <w:name w:val="ListBullet2"/>
    <w:basedOn w:val="800"/>
    <w:uiPriority w:val="0"/>
    <w:qFormat/>
    <w:pPr>
      <w:numPr>
        <w:ilvl w:val="0"/>
        <w:numId w:val="1"/>
      </w:numPr>
      <w:tabs>
        <w:tab w:val="decimal" w:pos="780" w:leader="none"/>
      </w:tabs>
    </w:pPr>
  </w:style>
  <w:style w:type="character" w:styleId="1034" w:customStyle="1">
    <w:name w:val="font131"/>
    <w:basedOn w:val="810"/>
    <w:uiPriority w:val="0"/>
    <w:qFormat/>
    <w:rPr>
      <w:rFonts w:hint="eastAsia" w:ascii="宋体" w:hAnsi="宋体" w:eastAsia="宋体" w:cs="宋体"/>
      <w:color w:val="000000"/>
      <w:sz w:val="18"/>
      <w:szCs w:val="18"/>
      <w:u w:val="none"/>
    </w:rPr>
  </w:style>
  <w:style w:type="character" w:styleId="1035" w:customStyle="1">
    <w:name w:val="font141"/>
    <w:basedOn w:val="810"/>
    <w:uiPriority w:val="0"/>
    <w:qFormat/>
    <w:rPr>
      <w:rFonts w:hint="eastAsia" w:ascii="宋体" w:hAnsi="宋体" w:eastAsia="宋体" w:cs="宋体"/>
      <w:color w:val="000000"/>
      <w:sz w:val="18"/>
      <w:szCs w:val="18"/>
      <w:u w:val="none"/>
    </w:rPr>
  </w:style>
  <w:style w:type="paragraph" w:styleId="1036" w:customStyle="1">
    <w:name w:val="正文缩进11"/>
    <w:basedOn w:val="800"/>
    <w:uiPriority w:val="0"/>
    <w:unhideWhenUsed/>
    <w:qFormat/>
    <w:pPr>
      <w:ind w:firstLine="420"/>
    </w:pPr>
  </w:style>
  <w:style w:type="paragraph" w:styleId="1037" w:customStyle="1">
    <w:name w:val="正文文本111"/>
    <w:basedOn w:val="800"/>
    <w:uiPriority w:val="0"/>
    <w:qFormat/>
    <w:rPr>
      <w:rFonts w:ascii="楷体_GB2312" w:hAnsi="Arial" w:eastAsia="楷体_GB2312"/>
      <w:sz w:val="28"/>
      <w:szCs w:val="28"/>
    </w:rPr>
  </w:style>
  <w:style w:type="character" w:styleId="1038" w:customStyle="1">
    <w:name w:val="批注框文本 Char"/>
    <w:basedOn w:val="810"/>
    <w:link w:val="821"/>
    <w:uiPriority w:val="99"/>
    <w:semiHidden/>
    <w:qFormat/>
    <w:rPr>
      <w:sz w:val="18"/>
      <w:szCs w:val="18"/>
    </w:rPr>
  </w:style>
  <w:style w:type="numbering" w:styleId="10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jp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唐磊</cp:lastModifiedBy>
  <cp:revision>5</cp:revision>
  <dcterms:created xsi:type="dcterms:W3CDTF">2026-01-13T01:23:00Z</dcterms:created>
  <dcterms:modified xsi:type="dcterms:W3CDTF">2026-01-30T08:09:40Z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0A2087DF5F4B46C6AF4843ED921D0A5F_13</vt:lpwstr>
  </property>
  <property fmtid="{D5CDD505-2E9C-101B-9397-08002B2CF9AE}" pid="4" name="KSOTemplateDocerSaveRecord">
    <vt:lpwstr>eyJoZGlkIjoiZjgyMDE5YTM0MmM5NTViY2U1ZjNlMTQ3ZjY4ZTY4NjUifQ==</vt:lpwstr>
  </property>
</Properties>
</file>