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jc w:val="left"/>
        <w:spacing w:before="120" w:after="120" w:line="360" w:lineRule="auto"/>
        <w:rPr>
          <w:rFonts w:hint="eastAsia" w:ascii="宋体" w:hAnsi="宋体" w:cs="宋体"/>
          <w:b/>
          <w:bCs/>
          <w:color w:val="auto"/>
          <w:sz w:val="84"/>
          <w:szCs w:val="24"/>
          <w:highlight w:val="none"/>
        </w:rPr>
      </w:pPr>
      <w:r>
        <w:rPr>
          <w:rFonts w:hint="eastAsia" w:ascii="宋体" w:hAnsi="宋体" w:cs="宋体"/>
          <w:b/>
          <w:bCs/>
          <w:color w:val="auto"/>
          <w:sz w:val="84"/>
          <w:szCs w:val="24"/>
          <w:highlight w:val="none"/>
        </w:rPr>
      </w:r>
      <w:r>
        <w:rPr>
          <w:color w:val="auto"/>
          <w:highlight w:val="none"/>
        </w:rPr>
      </w:r>
    </w:p>
    <w:p>
      <w:pPr>
        <w:pStyle w:val="905"/>
        <w:jc w:val="center"/>
        <w:spacing w:before="120" w:after="120" w:line="360" w:lineRule="auto"/>
        <w:rPr>
          <w:rFonts w:hint="eastAsia" w:ascii="宋体" w:hAnsi="宋体" w:cs="宋体"/>
          <w:b/>
          <w:bCs/>
          <w:color w:val="auto"/>
          <w:sz w:val="84"/>
          <w:szCs w:val="24"/>
          <w:highlight w:val="none"/>
        </w:rPr>
      </w:pPr>
      <w:r>
        <w:rPr>
          <w:rFonts w:hint="eastAsia" w:ascii="宋体" w:hAnsi="宋体" w:cs="宋体"/>
          <w:b/>
          <w:bCs/>
          <w:color w:val="auto"/>
          <w:sz w:val="84"/>
          <w:szCs w:val="24"/>
          <w:highlight w:val="none"/>
        </w:rPr>
        <w:t xml:space="preserve">招　标　文　件</w:t>
      </w:r>
      <w:r>
        <w:rPr>
          <w:rFonts w:hint="eastAsia" w:ascii="宋体" w:hAnsi="宋体" w:cs="宋体"/>
          <w:b/>
          <w:bCs/>
          <w:color w:val="auto"/>
          <w:sz w:val="84"/>
          <w:szCs w:val="24"/>
          <w:highlight w:val="none"/>
        </w:rPr>
      </w:r>
      <w:r>
        <w:rPr>
          <w:color w:val="auto"/>
          <w:highlight w:val="none"/>
        </w:rPr>
      </w:r>
    </w:p>
    <w:p>
      <w:pPr>
        <w:pStyle w:val="905"/>
        <w:jc w:val="center"/>
        <w:spacing w:before="120" w:after="120" w:line="360" w:lineRule="auto"/>
        <w:rPr>
          <w:rFonts w:hint="eastAsia" w:ascii="宋体" w:hAnsi="宋体" w:cs="宋体"/>
          <w:b/>
          <w:bCs/>
          <w:color w:val="auto"/>
          <w:sz w:val="84"/>
          <w:szCs w:val="24"/>
          <w:highlight w:val="none"/>
        </w:rPr>
      </w:pPr>
      <w:r>
        <w:rPr>
          <w:rFonts w:hint="eastAsia" w:ascii="宋体" w:hAnsi="宋体" w:cs="宋体"/>
          <w:b/>
          <w:bCs/>
          <w:color w:val="auto"/>
          <w:sz w:val="84"/>
          <w:szCs w:val="24"/>
          <w:highlight w:val="none"/>
        </w:rPr>
      </w:r>
      <w:r>
        <w:rPr>
          <w:color w:val="auto"/>
          <w:highlight w:val="none"/>
        </w:rPr>
      </w:r>
    </w:p>
    <w:p>
      <w:pPr>
        <w:pStyle w:val="905"/>
        <w:ind w:firstLine="482"/>
        <w:jc w:val="left"/>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项目名称：江苏省苏北人民医院</w:t>
      </w:r>
      <w:r>
        <w:rPr>
          <w:rFonts w:hint="eastAsia" w:ascii="宋体" w:hAnsi="宋体" w:cs="宋体"/>
          <w:b/>
          <w:bCs/>
          <w:color w:val="auto"/>
          <w:sz w:val="32"/>
          <w:szCs w:val="24"/>
          <w:highlight w:val="none"/>
        </w:rPr>
        <w:t xml:space="preserve">移动式C形臂X射线机</w:t>
      </w:r>
      <w:r>
        <w:rPr>
          <w:rFonts w:hint="eastAsia" w:ascii="宋体" w:hAnsi="宋体" w:cs="宋体"/>
          <w:b/>
          <w:bCs/>
          <w:color w:val="auto"/>
          <w:sz w:val="32"/>
          <w:szCs w:val="24"/>
          <w:highlight w:val="none"/>
        </w:rPr>
        <w:t xml:space="preserve">采购项目</w:t>
      </w:r>
      <w:r>
        <w:rPr>
          <w:rFonts w:hint="eastAsia" w:ascii="宋体" w:hAnsi="宋体" w:cs="宋体"/>
          <w:b/>
          <w:bCs/>
          <w:color w:val="auto"/>
          <w:sz w:val="32"/>
          <w:szCs w:val="24"/>
          <w:highlight w:val="none"/>
        </w:rPr>
      </w:r>
      <w:r>
        <w:rPr>
          <w:color w:val="auto"/>
          <w:highlight w:val="none"/>
        </w:rPr>
      </w:r>
    </w:p>
    <w:p>
      <w:pPr>
        <w:pStyle w:val="905"/>
        <w:ind w:firstLine="482"/>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项目编号：</w:t>
      </w:r>
      <w:r>
        <w:rPr>
          <w:rFonts w:hint="eastAsia" w:ascii="宋体" w:hAnsi="宋体" w:cs="宋体"/>
          <w:b/>
          <w:bCs/>
          <w:color w:val="auto"/>
          <w:sz w:val="32"/>
          <w:szCs w:val="24"/>
          <w:highlight w:val="none"/>
        </w:rPr>
        <w:t xml:space="preserve">JSZC-321000-SHGK-G2026-0028</w:t>
      </w:r>
      <w:r>
        <w:rPr>
          <w:rFonts w:hint="eastAsia" w:ascii="宋体" w:hAnsi="宋体" w:cs="宋体"/>
          <w:b/>
          <w:bCs/>
          <w:color w:val="auto"/>
          <w:sz w:val="32"/>
          <w:szCs w:val="24"/>
          <w:highlight w:val="none"/>
        </w:rPr>
      </w:r>
      <w:r>
        <w:rPr>
          <w:color w:val="auto"/>
          <w:highlight w:val="none"/>
        </w:rPr>
      </w:r>
    </w:p>
    <w:p>
      <w:pPr>
        <w:pStyle w:val="905"/>
        <w:ind w:firstLine="482"/>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代理机构编号：</w:t>
      </w:r>
      <w:r>
        <w:rPr>
          <w:rFonts w:hint="eastAsia" w:ascii="宋体" w:hAnsi="宋体" w:cs="宋体"/>
          <w:b/>
          <w:bCs/>
          <w:color w:val="auto"/>
          <w:sz w:val="32"/>
          <w:szCs w:val="24"/>
          <w:highlight w:val="none"/>
        </w:rPr>
        <w:t xml:space="preserve">1214-264103072WDX</w:t>
      </w:r>
      <w:r>
        <w:rPr>
          <w:rFonts w:hint="eastAsia" w:ascii="宋体" w:hAnsi="宋体" w:cs="宋体"/>
          <w:b/>
          <w:bCs/>
          <w:color w:val="auto"/>
          <w:sz w:val="32"/>
          <w:szCs w:val="24"/>
          <w:highlight w:val="none"/>
        </w:rPr>
      </w:r>
      <w:r>
        <w:rPr>
          <w:color w:val="auto"/>
          <w:highlight w:val="none"/>
        </w:rPr>
      </w:r>
    </w:p>
    <w:p>
      <w:pPr>
        <w:pStyle w:val="905"/>
        <w:ind w:firstLine="2249"/>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center"/>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江苏苏豪创新科技集团高科有限公司</w:t>
      </w:r>
      <w:r>
        <w:rPr>
          <w:rFonts w:hint="eastAsia" w:ascii="宋体" w:hAnsi="宋体" w:cs="宋体"/>
          <w:b/>
          <w:bCs/>
          <w:color w:val="auto"/>
          <w:sz w:val="32"/>
          <w:szCs w:val="24"/>
          <w:highlight w:val="none"/>
        </w:rPr>
      </w:r>
      <w:r>
        <w:rPr>
          <w:color w:val="auto"/>
          <w:highlight w:val="none"/>
        </w:rPr>
      </w:r>
    </w:p>
    <w:p>
      <w:pPr>
        <w:pStyle w:val="905"/>
        <w:jc w:val="center"/>
        <w:spacing w:before="120" w:after="120" w:line="360" w:lineRule="auto"/>
        <w:rPr>
          <w:rFonts w:hint="eastAsia" w:ascii="宋体" w:hAnsi="宋体" w:cs="宋体"/>
          <w:b/>
          <w:bCs/>
          <w:color w:val="auto"/>
          <w:sz w:val="32"/>
          <w:szCs w:val="24"/>
          <w:highlight w:val="none"/>
        </w:rPr>
      </w:pPr>
      <w:r>
        <w:rPr>
          <w:rFonts w:hint="eastAsia" w:ascii="宋体" w:hAnsi="宋体" w:cs="宋体"/>
          <w:b/>
          <w:bCs/>
          <w:color w:val="auto"/>
          <w:sz w:val="32"/>
          <w:szCs w:val="24"/>
          <w:highlight w:val="none"/>
        </w:rPr>
        <w:t xml:space="preserve">2026年1月</w:t>
      </w:r>
      <w:r>
        <w:rPr>
          <w:rFonts w:hint="eastAsia" w:ascii="宋体" w:hAnsi="宋体" w:cs="宋体"/>
          <w:b/>
          <w:bCs/>
          <w:color w:val="auto"/>
          <w:sz w:val="32"/>
          <w:szCs w:val="24"/>
          <w:highlight w:val="none"/>
        </w:rPr>
      </w:r>
      <w:r>
        <w:rPr>
          <w:color w:val="auto"/>
          <w:highlight w:val="none"/>
        </w:rPr>
      </w:r>
    </w:p>
    <w:p>
      <w:pPr>
        <w:pStyle w:val="905"/>
        <w:jc w:val="left"/>
        <w:spacing w:before="120" w:after="12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rPr>
          <w:color w:val="auto"/>
          <w:highlight w:val="none"/>
        </w:rPr>
      </w:r>
    </w:p>
    <w:p>
      <w:pPr>
        <w:pStyle w:val="905"/>
        <w:jc w:val="center"/>
        <w:spacing w:before="120"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center"/>
        <w:spacing w:line="480" w:lineRule="auto"/>
        <w:rPr>
          <w:rFonts w:hint="eastAsia" w:ascii="宋体" w:hAnsi="宋体" w:cs="宋体"/>
          <w:b/>
          <w:color w:val="auto"/>
          <w:sz w:val="44"/>
          <w:szCs w:val="21"/>
          <w:highlight w:val="none"/>
        </w:rPr>
        <w:outlineLvl w:val="0"/>
      </w:pPr>
      <w:r>
        <w:rPr>
          <w:color w:val="auto"/>
          <w:highlight w:val="none"/>
        </w:rPr>
      </w:r>
      <w:bookmarkStart w:id="0" w:name="_Toc120614210"/>
      <w:r>
        <w:rPr>
          <w:color w:val="auto"/>
          <w:highlight w:val="none"/>
        </w:rPr>
      </w:r>
      <w:bookmarkStart w:id="1" w:name="_Toc16938516"/>
      <w:r>
        <w:rPr>
          <w:color w:val="auto"/>
          <w:highlight w:val="none"/>
        </w:rPr>
      </w:r>
      <w:bookmarkStart w:id="2" w:name="_Toc513029200"/>
      <w:r>
        <w:rPr>
          <w:color w:val="auto"/>
          <w:highlight w:val="none"/>
        </w:rPr>
      </w:r>
      <w:bookmarkStart w:id="3" w:name="_Toc20823272"/>
      <w:r>
        <w:rPr>
          <w:color w:val="auto"/>
          <w:highlight w:val="none"/>
        </w:rPr>
      </w:r>
      <w:bookmarkStart w:id="4" w:name="_Toc523127445"/>
      <w:r>
        <w:rPr>
          <w:color w:val="auto"/>
          <w:highlight w:val="none"/>
        </w:rPr>
      </w:r>
      <w:bookmarkStart w:id="5" w:name="_Toc479757206"/>
      <w:r>
        <w:rPr>
          <w:rFonts w:hint="eastAsia" w:ascii="宋体" w:hAnsi="宋体" w:cs="宋体"/>
          <w:b/>
          <w:color w:val="auto"/>
          <w:sz w:val="44"/>
          <w:szCs w:val="21"/>
          <w:highlight w:val="none"/>
        </w:rPr>
        <w:br w:type="page" w:clear="all"/>
      </w:r>
      <w:bookmarkStart w:id="6" w:name="_Toc20411"/>
      <w:r>
        <w:rPr>
          <w:rFonts w:hint="eastAsia" w:ascii="宋体" w:hAnsi="宋体" w:cs="宋体"/>
          <w:b/>
          <w:color w:val="auto"/>
          <w:sz w:val="44"/>
          <w:szCs w:val="21"/>
          <w:highlight w:val="none"/>
        </w:rPr>
        <w:t xml:space="preserve">总  目  录</w:t>
      </w:r>
      <w:bookmarkEnd w:id="6"/>
      <w:r>
        <w:rPr>
          <w:rFonts w:hint="eastAsia" w:ascii="宋体" w:hAnsi="宋体" w:cs="宋体"/>
          <w:b/>
          <w:color w:val="auto"/>
          <w:sz w:val="44"/>
          <w:szCs w:val="21"/>
          <w:highlight w:val="none"/>
        </w:rPr>
      </w:r>
      <w:r>
        <w:rPr>
          <w:color w:val="auto"/>
          <w:highlight w:val="none"/>
        </w:rPr>
      </w:r>
    </w:p>
    <w:p>
      <w:pPr>
        <w:pStyle w:val="905"/>
        <w:spacing w:line="48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r>
      <w:r>
        <w:rPr>
          <w:color w:val="auto"/>
          <w:highlight w:val="none"/>
        </w:rPr>
      </w:r>
    </w:p>
    <w:p>
      <w:pPr>
        <w:pStyle w:val="905"/>
        <w:jc w:val="center"/>
        <w:rPr>
          <w:rFonts w:hint="eastAsia" w:ascii="宋体" w:hAnsi="宋体" w:cs="宋体"/>
          <w:color w:val="auto"/>
          <w:highlight w:val="none"/>
        </w:rPr>
      </w:pPr>
      <w:r>
        <w:rPr>
          <w:rFonts w:hint="eastAsia" w:ascii="宋体" w:hAnsi="宋体" w:cs="宋体"/>
          <w:color w:val="auto"/>
          <w:highlight w:val="none"/>
        </w:rPr>
        <w:t xml:space="preserve">目录</w:t>
      </w:r>
      <w:r>
        <w:rPr>
          <w:rFonts w:hint="eastAsia" w:ascii="宋体" w:hAnsi="宋体" w:cs="宋体"/>
          <w:color w:val="auto"/>
          <w:highlight w:val="none"/>
        </w:rPr>
      </w:r>
      <w:r>
        <w:rPr>
          <w:color w:val="auto"/>
          <w:highlight w:val="none"/>
        </w:rPr>
      </w:r>
    </w:p>
    <w:p>
      <w:pPr>
        <w:pStyle w:val="960"/>
        <w:tabs>
          <w:tab w:val="clear" w:pos="8720" w:leader="none"/>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TOC \o "1-1" \h \u </w:instrText>
      </w:r>
      <w:r>
        <w:rPr>
          <w:rFonts w:hint="eastAsia" w:cs="宋体"/>
          <w:color w:val="auto"/>
          <w:szCs w:val="21"/>
          <w:highlight w:val="none"/>
        </w:rPr>
        <w:fldChar w:fldCharType="separate"/>
      </w:r>
      <w:r>
        <w:rPr>
          <w:rFonts w:hint="eastAsia" w:cs="宋体"/>
          <w:color w:val="auto"/>
          <w:szCs w:val="21"/>
          <w:highlight w:val="none"/>
        </w:rPr>
        <w:fldChar w:fldCharType="begin"/>
      </w:r>
      <w:r>
        <w:rPr>
          <w:rFonts w:hint="eastAsia" w:cs="宋体"/>
          <w:color w:val="auto"/>
          <w:szCs w:val="21"/>
          <w:highlight w:val="none"/>
        </w:rPr>
        <w:instrText xml:space="preserve"> HYPERLINK \l _Toc20411 </w:instrText>
      </w:r>
      <w:r>
        <w:rPr>
          <w:rFonts w:hint="eastAsia" w:cs="宋体"/>
          <w:color w:val="auto"/>
          <w:szCs w:val="21"/>
          <w:highlight w:val="none"/>
        </w:rPr>
        <w:fldChar w:fldCharType="separate"/>
      </w:r>
      <w:r>
        <w:rPr>
          <w:rFonts w:hint="eastAsia" w:cs="宋体"/>
          <w:color w:val="auto"/>
          <w:szCs w:val="21"/>
          <w:highlight w:val="none"/>
        </w:rPr>
        <w:t xml:space="preserve">总  目  录</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_Toc20411 \h </w:instrText>
      </w:r>
      <w:r>
        <w:rPr>
          <w:rFonts w:hint="eastAsia" w:cs="宋体"/>
          <w:color w:val="auto"/>
          <w:highlight w:val="none"/>
        </w:rPr>
        <w:fldChar w:fldCharType="separate"/>
      </w:r>
      <w:r>
        <w:rPr>
          <w:rFonts w:hint="eastAsia" w:cs="宋体"/>
          <w:color w:val="auto"/>
          <w:highlight w:val="none"/>
        </w:rPr>
        <w:t xml:space="preserve">1</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0"/>
        <w:tabs>
          <w:tab w:val="clear" w:pos="8720" w:leader="none"/>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_Toc24738 </w:instrText>
      </w:r>
      <w:r>
        <w:rPr>
          <w:rFonts w:hint="eastAsia" w:cs="宋体"/>
          <w:color w:val="auto"/>
          <w:szCs w:val="21"/>
          <w:highlight w:val="none"/>
        </w:rPr>
        <w:fldChar w:fldCharType="separate"/>
      </w:r>
      <w:r>
        <w:rPr>
          <w:rFonts w:hint="eastAsia" w:cs="宋体"/>
          <w:color w:val="auto"/>
          <w:szCs w:val="44"/>
          <w:highlight w:val="none"/>
        </w:rPr>
        <w:t xml:space="preserve">第一</w:t>
      </w:r>
      <w:r>
        <w:rPr>
          <w:rFonts w:hint="eastAsia" w:cs="宋体"/>
          <w:color w:val="auto"/>
          <w:szCs w:val="44"/>
          <w:highlight w:val="none"/>
        </w:rPr>
        <w:t xml:space="preserve">章  投标邀请</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_Toc24738 \h </w:instrText>
      </w:r>
      <w:r>
        <w:rPr>
          <w:rFonts w:hint="eastAsia" w:cs="宋体"/>
          <w:color w:val="auto"/>
          <w:highlight w:val="none"/>
        </w:rPr>
        <w:fldChar w:fldCharType="separate"/>
      </w:r>
      <w:r>
        <w:rPr>
          <w:rFonts w:hint="eastAsia" w:cs="宋体"/>
          <w:color w:val="auto"/>
          <w:highlight w:val="none"/>
        </w:rPr>
        <w:t xml:space="preserve">2</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0"/>
        <w:tabs>
          <w:tab w:val="clear" w:pos="8720" w:leader="none"/>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_Toc17820 </w:instrText>
      </w:r>
      <w:r>
        <w:rPr>
          <w:rFonts w:hint="eastAsia" w:cs="宋体"/>
          <w:color w:val="auto"/>
          <w:szCs w:val="21"/>
          <w:highlight w:val="none"/>
        </w:rPr>
        <w:fldChar w:fldCharType="separate"/>
      </w:r>
      <w:r>
        <w:rPr>
          <w:rFonts w:hint="eastAsia" w:cs="宋体"/>
          <w:color w:val="auto"/>
          <w:szCs w:val="44"/>
          <w:highlight w:val="none"/>
        </w:rPr>
        <w:t xml:space="preserve">第二章  投标人须知</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_Toc17820 \h </w:instrText>
      </w:r>
      <w:r>
        <w:rPr>
          <w:rFonts w:hint="eastAsia" w:cs="宋体"/>
          <w:color w:val="auto"/>
          <w:highlight w:val="none"/>
        </w:rPr>
        <w:fldChar w:fldCharType="separate"/>
      </w:r>
      <w:r>
        <w:rPr>
          <w:rFonts w:hint="eastAsia" w:cs="宋体"/>
          <w:color w:val="auto"/>
          <w:highlight w:val="none"/>
        </w:rPr>
        <w:t xml:space="preserve">7</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0"/>
        <w:tabs>
          <w:tab w:val="clear" w:pos="8720" w:leader="none"/>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_Toc6669 </w:instrText>
      </w:r>
      <w:r>
        <w:rPr>
          <w:rFonts w:hint="eastAsia" w:cs="宋体"/>
          <w:color w:val="auto"/>
          <w:szCs w:val="21"/>
          <w:highlight w:val="none"/>
        </w:rPr>
        <w:fldChar w:fldCharType="separate"/>
      </w:r>
      <w:r>
        <w:rPr>
          <w:rFonts w:hint="eastAsia" w:cs="宋体"/>
          <w:color w:val="auto"/>
          <w:szCs w:val="44"/>
          <w:highlight w:val="none"/>
        </w:rPr>
        <w:t xml:space="preserve">第三章  合同文本</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_Toc6669 \h </w:instrText>
      </w:r>
      <w:r>
        <w:rPr>
          <w:rFonts w:hint="eastAsia" w:cs="宋体"/>
          <w:color w:val="auto"/>
          <w:highlight w:val="none"/>
        </w:rPr>
        <w:fldChar w:fldCharType="separate"/>
      </w:r>
      <w:r>
        <w:rPr>
          <w:rFonts w:hint="eastAsia" w:cs="宋体"/>
          <w:color w:val="auto"/>
          <w:highlight w:val="none"/>
        </w:rPr>
        <w:t xml:space="preserve">21</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0"/>
        <w:tabs>
          <w:tab w:val="clear" w:pos="8720" w:leader="none"/>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_Toc29514 </w:instrText>
      </w:r>
      <w:r>
        <w:rPr>
          <w:rFonts w:hint="eastAsia" w:cs="宋体"/>
          <w:color w:val="auto"/>
          <w:szCs w:val="21"/>
          <w:highlight w:val="none"/>
        </w:rPr>
        <w:fldChar w:fldCharType="separate"/>
      </w:r>
      <w:r>
        <w:rPr>
          <w:rFonts w:hint="eastAsia" w:cs="宋体"/>
          <w:color w:val="auto"/>
          <w:szCs w:val="44"/>
          <w:highlight w:val="none"/>
        </w:rPr>
        <w:t xml:space="preserve">第四章  采购需求</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_Toc29514 \h </w:instrText>
      </w:r>
      <w:r>
        <w:rPr>
          <w:rFonts w:hint="eastAsia" w:cs="宋体"/>
          <w:color w:val="auto"/>
          <w:highlight w:val="none"/>
        </w:rPr>
        <w:fldChar w:fldCharType="separate"/>
      </w:r>
      <w:r>
        <w:rPr>
          <w:rFonts w:hint="eastAsia" w:cs="宋体"/>
          <w:color w:val="auto"/>
          <w:highlight w:val="none"/>
        </w:rPr>
        <w:t xml:space="preserve">24</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0"/>
        <w:tabs>
          <w:tab w:val="clear" w:pos="8720" w:leader="none"/>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_Toc470 </w:instrText>
      </w:r>
      <w:r>
        <w:rPr>
          <w:rFonts w:hint="eastAsia" w:cs="宋体"/>
          <w:color w:val="auto"/>
          <w:szCs w:val="21"/>
          <w:highlight w:val="none"/>
        </w:rPr>
        <w:fldChar w:fldCharType="separate"/>
      </w:r>
      <w:r>
        <w:rPr>
          <w:rFonts w:hint="eastAsia" w:cs="宋体"/>
          <w:color w:val="auto"/>
          <w:szCs w:val="44"/>
          <w:highlight w:val="none"/>
        </w:rPr>
        <w:t xml:space="preserve">第五章</w:t>
      </w:r>
      <w:r>
        <w:rPr>
          <w:rFonts w:hint="eastAsia" w:cs="宋体"/>
          <w:color w:val="auto"/>
          <w:szCs w:val="44"/>
          <w:highlight w:val="none"/>
        </w:rPr>
        <w:t xml:space="preserve">  评标方法与评标标准</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_Toc470 \h </w:instrText>
      </w:r>
      <w:r>
        <w:rPr>
          <w:rFonts w:hint="eastAsia" w:cs="宋体"/>
          <w:color w:val="auto"/>
          <w:highlight w:val="none"/>
        </w:rPr>
        <w:fldChar w:fldCharType="separate"/>
      </w:r>
      <w:r>
        <w:rPr>
          <w:rFonts w:hint="eastAsia" w:cs="宋体"/>
          <w:color w:val="auto"/>
          <w:highlight w:val="none"/>
        </w:rPr>
        <w:t xml:space="preserve">29</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60"/>
        <w:tabs>
          <w:tab w:val="clear" w:pos="8720" w:leader="none"/>
          <w:tab w:val="right" w:pos="8732" w:leader="dot"/>
        </w:tabs>
        <w:rPr>
          <w:rFonts w:hint="eastAsia" w:cs="宋体"/>
          <w:color w:val="auto"/>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\l _Toc28055 </w:instrText>
      </w:r>
      <w:r>
        <w:rPr>
          <w:rFonts w:hint="eastAsia" w:cs="宋体"/>
          <w:color w:val="auto"/>
          <w:szCs w:val="21"/>
          <w:highlight w:val="none"/>
        </w:rPr>
        <w:fldChar w:fldCharType="separate"/>
      </w:r>
      <w:r>
        <w:rPr>
          <w:rFonts w:hint="eastAsia" w:cs="宋体"/>
          <w:color w:val="auto"/>
          <w:szCs w:val="44"/>
          <w:highlight w:val="none"/>
        </w:rPr>
        <w:t xml:space="preserve">第六章  投标文件格式</w:t>
      </w:r>
      <w:r>
        <w:rPr>
          <w:rFonts w:hint="eastAsia" w:cs="宋体"/>
          <w:color w:val="auto"/>
          <w:highlight w:val="none"/>
        </w:rPr>
        <w:tab/>
      </w:r>
      <w:r>
        <w:rPr>
          <w:rFonts w:hint="eastAsia" w:cs="宋体"/>
          <w:color w:val="auto"/>
          <w:highlight w:val="none"/>
        </w:rPr>
        <w:fldChar w:fldCharType="begin"/>
      </w:r>
      <w:r>
        <w:rPr>
          <w:rFonts w:hint="eastAsia" w:cs="宋体"/>
          <w:color w:val="auto"/>
          <w:highlight w:val="none"/>
        </w:rPr>
        <w:instrText xml:space="preserve"> PAGEREF _Toc28055 \h </w:instrText>
      </w:r>
      <w:r>
        <w:rPr>
          <w:rFonts w:hint="eastAsia" w:cs="宋体"/>
          <w:color w:val="auto"/>
          <w:highlight w:val="none"/>
        </w:rPr>
        <w:fldChar w:fldCharType="separate"/>
      </w:r>
      <w:r>
        <w:rPr>
          <w:rFonts w:hint="eastAsia" w:cs="宋体"/>
          <w:color w:val="auto"/>
          <w:highlight w:val="none"/>
        </w:rPr>
        <w:t xml:space="preserve">35</w:t>
      </w:r>
      <w:r>
        <w:rPr>
          <w:rFonts w:hint="eastAsia" w:cs="宋体"/>
          <w:color w:val="auto"/>
          <w:highlight w:val="none"/>
        </w:rPr>
        <w:fldChar w:fldCharType="end"/>
      </w:r>
      <w:r>
        <w:rPr>
          <w:rFonts w:hint="eastAsia" w:cs="宋体"/>
          <w:color w:val="auto"/>
          <w:szCs w:val="21"/>
          <w:highlight w:val="none"/>
        </w:rPr>
        <w:fldChar w:fldCharType="end"/>
      </w:r>
      <w:r>
        <w:rPr>
          <w:rFonts w:hint="eastAsia" w:cs="宋体"/>
          <w:color w:val="auto"/>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fldChar w:fldCharType="end"/>
      </w: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jc w:val="center"/>
        <w:keepNext/>
        <w:rPr>
          <w:rFonts w:hint="eastAsia" w:ascii="宋体" w:hAnsi="宋体" w:cs="宋体"/>
          <w:bCs/>
          <w:color w:val="auto"/>
          <w:sz w:val="44"/>
          <w:szCs w:val="44"/>
          <w:highlight w:val="none"/>
        </w:rPr>
        <w:outlineLvl w:val="0"/>
      </w:pPr>
      <w:r>
        <w:rPr>
          <w:rFonts w:hint="eastAsia" w:ascii="宋体" w:hAnsi="宋体" w:cs="宋体"/>
          <w:color w:val="auto"/>
          <w:sz w:val="44"/>
          <w:szCs w:val="44"/>
          <w:highlight w:val="none"/>
        </w:rPr>
        <w:br w:type="page" w:clear="all"/>
      </w:r>
      <w:bookmarkStart w:id="7" w:name="_Toc24738"/>
      <w:r>
        <w:rPr>
          <w:rFonts w:hint="eastAsia" w:ascii="宋体" w:hAnsi="宋体" w:cs="宋体"/>
          <w:color w:val="auto"/>
          <w:sz w:val="44"/>
          <w:szCs w:val="44"/>
          <w:highlight w:val="none"/>
        </w:rPr>
        <w:t xml:space="preserve">第一章  </w:t>
      </w:r>
      <w:bookmarkEnd w:id="0"/>
      <w:r>
        <w:rPr>
          <w:rFonts w:hint="eastAsia" w:ascii="宋体" w:hAnsi="宋体" w:cs="宋体"/>
          <w:color w:val="auto"/>
          <w:sz w:val="44"/>
          <w:szCs w:val="44"/>
          <w:highlight w:val="none"/>
        </w:rPr>
        <w:t xml:space="preserve">投标邀请</w:t>
      </w:r>
      <w:bookmarkEnd w:id="7"/>
      <w:r>
        <w:rPr>
          <w:rFonts w:hint="eastAsia" w:ascii="宋体" w:hAnsi="宋体" w:cs="宋体"/>
          <w:bCs/>
          <w:color w:val="auto"/>
          <w:sz w:val="44"/>
          <w:szCs w:val="4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rPr>
        <w:t xml:space="preserve">江苏省苏北人民医院</w:t>
      </w:r>
      <w:r>
        <w:rPr>
          <w:rFonts w:hint="eastAsia" w:ascii="宋体" w:hAnsi="宋体" w:cs="宋体"/>
          <w:color w:val="auto"/>
          <w:sz w:val="24"/>
          <w:szCs w:val="24"/>
          <w:highlight w:val="none"/>
        </w:rPr>
        <w:t xml:space="preserve">]的委托，</w:t>
      </w:r>
      <w:r>
        <w:rPr>
          <w:rFonts w:hint="eastAsia" w:ascii="宋体" w:hAnsi="宋体" w:cs="宋体"/>
          <w:color w:val="auto"/>
          <w:sz w:val="24"/>
          <w:szCs w:val="24"/>
          <w:highlight w:val="none"/>
        </w:rPr>
        <w:t xml:space="preserve">江苏苏豪创新科技集团高科有限公司</w:t>
      </w:r>
      <w:r>
        <w:rPr>
          <w:rFonts w:hint="eastAsia" w:ascii="宋体" w:hAnsi="宋体" w:cs="宋体"/>
          <w:color w:val="auto"/>
          <w:sz w:val="24"/>
          <w:szCs w:val="24"/>
          <w:highlight w:val="none"/>
        </w:rPr>
        <w:t xml:space="preserve">就[</w:t>
      </w:r>
      <w:r>
        <w:rPr>
          <w:rFonts w:hint="eastAsia" w:ascii="宋体" w:hAnsi="宋体" w:cs="宋体"/>
          <w:color w:val="auto"/>
          <w:sz w:val="24"/>
          <w:szCs w:val="24"/>
          <w:highlight w:val="none"/>
        </w:rPr>
        <w:t xml:space="preserve">移动式C形臂X射线机</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rPr>
        <w:t xml:space="preserve">JSZC-321000-SHGK-G2026-0028</w:t>
      </w:r>
      <w:r>
        <w:rPr>
          <w:rFonts w:hint="eastAsia" w:ascii="宋体" w:hAnsi="宋体" w:cs="宋体"/>
          <w:color w:val="auto"/>
          <w:sz w:val="24"/>
          <w:szCs w:val="24"/>
          <w:highlight w:val="none"/>
        </w:rPr>
        <w:t xml:space="preserve">]）采购项目进行公开招标采购，欢迎符合条件的供应商投标。</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rPr>
        <w:t xml:space="preserve"> （江苏省苏北人民医院</w:t>
      </w:r>
      <w:r>
        <w:rPr>
          <w:rFonts w:hint="eastAsia" w:ascii="宋体" w:hAnsi="宋体" w:cs="宋体"/>
          <w:color w:val="auto"/>
          <w:sz w:val="24"/>
          <w:szCs w:val="24"/>
          <w:highlight w:val="none"/>
          <w:u w:val="single"/>
        </w:rPr>
        <w:t xml:space="preserve">移动式C形臂X射线机</w:t>
      </w:r>
      <w:r>
        <w:rPr>
          <w:rFonts w:hint="eastAsia" w:ascii="宋体" w:hAnsi="宋体" w:cs="宋体"/>
          <w:color w:val="auto"/>
          <w:sz w:val="24"/>
          <w:szCs w:val="24"/>
          <w:highlight w:val="none"/>
          <w:u w:val="single"/>
        </w:rPr>
        <w:t xml:space="preserve">采购）</w:t>
      </w:r>
      <w:r>
        <w:rPr>
          <w:rFonts w:hint="eastAsia" w:ascii="宋体" w:hAnsi="宋体" w:cs="宋体"/>
          <w:color w:val="auto"/>
          <w:sz w:val="24"/>
          <w:szCs w:val="24"/>
          <w:highlight w:val="none"/>
        </w:rPr>
        <w:t xml:space="preserve"> 招标项目的潜在投标人可在</w:t>
      </w:r>
      <w:r>
        <w:rPr>
          <w:rFonts w:hint="eastAsia" w:ascii="宋体" w:hAnsi="宋体" w:cs="宋体"/>
          <w:color w:val="auto"/>
          <w:sz w:val="24"/>
          <w:szCs w:val="24"/>
          <w:highlight w:val="none"/>
          <w:u w:val="single"/>
        </w:rPr>
        <w:t xml:space="preserve">“扬州市政府采购网”</w:t>
      </w:r>
      <w:r>
        <w:rPr>
          <w:rFonts w:hint="eastAsia" w:ascii="宋体" w:hAnsi="宋体" w:cs="宋体"/>
          <w:color w:val="auto"/>
          <w:sz w:val="24"/>
          <w:szCs w:val="24"/>
          <w:highlight w:val="none"/>
          <w:u w:val="single"/>
        </w:rPr>
        <w:t xml:space="preserve">、“江苏政府采购网”</w:t>
      </w:r>
      <w:r>
        <w:rPr>
          <w:rFonts w:hint="eastAsia" w:ascii="宋体" w:hAnsi="宋体" w:cs="宋体"/>
          <w:color w:val="auto"/>
          <w:sz w:val="24"/>
          <w:szCs w:val="24"/>
          <w:highlight w:val="none"/>
          <w:u w:val="single"/>
        </w:rPr>
        <w:t xml:space="preserve">自行免费下载</w:t>
      </w:r>
      <w:r>
        <w:rPr>
          <w:rFonts w:hint="eastAsia" w:ascii="宋体" w:hAnsi="宋体" w:cs="宋体"/>
          <w:color w:val="auto"/>
          <w:sz w:val="24"/>
          <w:szCs w:val="24"/>
          <w:highlight w:val="none"/>
        </w:rPr>
        <w:t xml:space="preserve">招标文件，并于</w:t>
      </w:r>
      <w:r>
        <w:rPr>
          <w:rFonts w:hint="eastAsia" w:ascii="宋体" w:hAnsi="宋体" w:cs="宋体"/>
          <w:color w:val="auto"/>
          <w:sz w:val="24"/>
          <w:szCs w:val="24"/>
          <w:highlight w:val="none"/>
          <w:u w:val="single"/>
        </w:rPr>
        <w:t xml:space="preserve">2026年4月22日10点00分</w:t>
      </w:r>
      <w:r>
        <w:rPr>
          <w:rFonts w:hint="eastAsia" w:ascii="宋体" w:hAnsi="宋体" w:cs="宋体"/>
          <w:bCs/>
          <w:color w:val="auto"/>
          <w:sz w:val="24"/>
          <w:szCs w:val="24"/>
          <w:highlight w:val="none"/>
          <w:u w:val="single"/>
        </w:rPr>
        <w:t xml:space="preserve">（</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color w:val="auto"/>
          <w:highlight w:val="none"/>
        </w:rPr>
      </w:r>
      <w:bookmarkStart w:id="8" w:name="_Toc28359079"/>
      <w:r>
        <w:rPr>
          <w:color w:val="auto"/>
          <w:highlight w:val="none"/>
        </w:rPr>
      </w:r>
      <w:bookmarkStart w:id="9" w:name="_Toc28359002"/>
      <w:r>
        <w:rPr>
          <w:color w:val="auto"/>
          <w:highlight w:val="none"/>
        </w:rPr>
      </w:r>
      <w:bookmarkStart w:id="10" w:name="_Toc35393790"/>
      <w:r>
        <w:rPr>
          <w:color w:val="auto"/>
          <w:highlight w:val="none"/>
        </w:rPr>
      </w:r>
      <w:bookmarkStart w:id="11" w:name="_Toc35393621"/>
      <w:r>
        <w:rPr>
          <w:color w:val="auto"/>
          <w:highlight w:val="none"/>
        </w:rPr>
      </w:r>
      <w:bookmarkStart w:id="12" w:name="_Toc38985263"/>
      <w:r>
        <w:rPr>
          <w:color w:val="auto"/>
          <w:highlight w:val="none"/>
        </w:rPr>
      </w:r>
      <w:bookmarkStart w:id="13" w:name="_Hlk24379207"/>
      <w:r>
        <w:rPr>
          <w:rFonts w:hint="eastAsia" w:ascii="宋体" w:hAnsi="宋体" w:cs="宋体"/>
          <w:b/>
          <w:bCs/>
          <w:color w:val="auto"/>
          <w:sz w:val="28"/>
          <w:szCs w:val="28"/>
          <w:highlight w:val="none"/>
        </w:rPr>
        <w:t xml:space="preserve">一、项目基本情况</w:t>
      </w:r>
      <w:bookmarkEnd w:id="8"/>
      <w:r>
        <w:rPr>
          <w:color w:val="auto"/>
          <w:highlight w:val="none"/>
        </w:rPr>
      </w:r>
      <w:bookmarkEnd w:id="9"/>
      <w:r>
        <w:rPr>
          <w:color w:val="auto"/>
          <w:highlight w:val="none"/>
        </w:rPr>
      </w:r>
      <w:bookmarkEnd w:id="10"/>
      <w:r>
        <w:rPr>
          <w:color w:val="auto"/>
          <w:highlight w:val="none"/>
        </w:rPr>
      </w:r>
      <w:bookmarkEnd w:id="11"/>
      <w:r>
        <w:rPr>
          <w:color w:val="auto"/>
          <w:highlight w:val="none"/>
        </w:rPr>
      </w:r>
      <w:bookmarkEnd w:id="12"/>
      <w:r>
        <w:rPr>
          <w:rFonts w:hint="eastAsia" w:ascii="宋体" w:hAnsi="宋体" w:cs="宋体"/>
          <w:b/>
          <w:bCs/>
          <w:color w:val="auto"/>
          <w:sz w:val="28"/>
          <w:szCs w:val="28"/>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rPr>
        <w:t xml:space="preserve">JSZC-321000-SHGK-G2026-0028</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u w:val="single"/>
        </w:rPr>
        <w:t xml:space="preserve">江苏省苏北人民医院</w:t>
      </w:r>
      <w:r>
        <w:rPr>
          <w:rFonts w:hint="eastAsia" w:ascii="宋体" w:hAnsi="宋体" w:cs="宋体"/>
          <w:color w:val="auto"/>
          <w:sz w:val="24"/>
          <w:szCs w:val="24"/>
          <w:highlight w:val="none"/>
          <w:u w:val="single"/>
        </w:rPr>
        <w:t xml:space="preserve">移动式C形臂X射线机</w:t>
      </w:r>
      <w:r>
        <w:rPr>
          <w:rFonts w:hint="eastAsia" w:ascii="宋体" w:hAnsi="宋体" w:cs="宋体"/>
          <w:color w:val="auto"/>
          <w:sz w:val="24"/>
          <w:szCs w:val="24"/>
          <w:highlight w:val="none"/>
          <w:u w:val="single"/>
        </w:rPr>
        <w:t xml:space="preserve">采购项目</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End w:id="13"/>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rPr>
        <w:t xml:space="preserve">165</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4.本项目设定最高限价，最高限价为</w:t>
      </w:r>
      <w:r>
        <w:rPr>
          <w:rFonts w:hint="eastAsia" w:ascii="宋体" w:hAnsi="宋体" w:cs="宋体"/>
          <w:color w:val="auto"/>
          <w:sz w:val="24"/>
          <w:szCs w:val="24"/>
          <w:highlight w:val="none"/>
          <w:u w:val="single"/>
        </w:rPr>
        <w:t xml:space="preserve">165</w:t>
      </w:r>
      <w:r>
        <w:rPr>
          <w:rFonts w:hint="eastAsia" w:ascii="宋体" w:hAnsi="宋体" w:cs="宋体"/>
          <w:color w:val="auto"/>
          <w:sz w:val="24"/>
          <w:szCs w:val="24"/>
          <w:highlight w:val="none"/>
          <w:u w:val="single"/>
        </w:rPr>
        <w:t xml:space="preserve">万元</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5.采购需求（简介）：</w:t>
      </w:r>
      <w:r>
        <w:rPr>
          <w:rFonts w:hint="eastAsia" w:ascii="宋体" w:hAnsi="宋体" w:cs="宋体"/>
          <w:color w:val="auto"/>
          <w:sz w:val="24"/>
          <w:szCs w:val="24"/>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612"/>
        <w:gridCol w:w="948"/>
        <w:gridCol w:w="2325"/>
        <w:gridCol w:w="2194"/>
      </w:tblGrid>
      <w:tr>
        <w:trPr>
          <w:trHeight w:val="850"/>
        </w:trPr>
        <w:tc>
          <w:tcPr>
            <w:tcW w:w="79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设备名称</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采购预算</w:t>
            </w: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（万元人民币）</w:t>
            </w:r>
            <w:r>
              <w:rPr>
                <w:rFonts w:hint="eastAsia" w:ascii="宋体" w:hAnsi="宋体" w:cs="宋体"/>
                <w:color w:val="auto"/>
                <w:sz w:val="24"/>
                <w:szCs w:val="24"/>
                <w:highlight w:val="none"/>
              </w:rPr>
            </w:r>
            <w:r>
              <w:rPr>
                <w:color w:val="auto"/>
                <w:highlight w:val="none"/>
              </w:rPr>
            </w:r>
          </w:p>
        </w:tc>
        <w:tc>
          <w:tcPr>
            <w:tcW w:w="219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是否接受进口产品投标</w:t>
            </w:r>
            <w:r>
              <w:rPr>
                <w:rFonts w:hint="eastAsia" w:ascii="宋体" w:hAnsi="宋体" w:cs="宋体"/>
                <w:color w:val="auto"/>
                <w:sz w:val="24"/>
                <w:szCs w:val="24"/>
                <w:highlight w:val="none"/>
              </w:rPr>
            </w:r>
            <w:r>
              <w:rPr>
                <w:color w:val="auto"/>
                <w:highlight w:val="none"/>
              </w:rPr>
            </w:r>
          </w:p>
        </w:tc>
      </w:tr>
      <w:tr>
        <w:trPr>
          <w:trHeight w:val="850"/>
        </w:trPr>
        <w:tc>
          <w:tcPr>
            <w:tcW w:w="79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移动式C形臂X射线机</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1套</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05"/>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w:t>
            </w:r>
            <w:r>
              <w:rPr>
                <w:rFonts w:hint="eastAsia" w:ascii="宋体" w:hAnsi="宋体" w:cs="宋体"/>
                <w:color w:val="auto"/>
                <w:sz w:val="24"/>
                <w:szCs w:val="24"/>
                <w:highlight w:val="none"/>
              </w:rPr>
            </w:r>
            <w:r>
              <w:rPr>
                <w:color w:val="auto"/>
                <w:highlight w:val="none"/>
              </w:rPr>
            </w:r>
          </w:p>
        </w:tc>
        <w:tc>
          <w:tcPr>
            <w:tcW w:w="219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w:t>
            </w:r>
            <w:r>
              <w:rPr>
                <w:rFonts w:hint="eastAsia" w:ascii="宋体" w:hAnsi="宋体" w:cs="宋体"/>
                <w:color w:val="auto"/>
                <w:sz w:val="24"/>
                <w:szCs w:val="24"/>
                <w:highlight w:val="none"/>
              </w:rPr>
              <w:t xml:space="preserve">接受</w:t>
            </w:r>
            <w:r>
              <w:rPr>
                <w:rFonts w:hint="eastAsia" w:ascii="宋体" w:hAnsi="宋体" w:cs="宋体"/>
                <w:color w:val="auto"/>
                <w:sz w:val="24"/>
                <w:szCs w:val="24"/>
                <w:highlight w:val="none"/>
              </w:rPr>
            </w:r>
            <w:r>
              <w:rPr>
                <w:color w:val="auto"/>
                <w:highlight w:val="none"/>
              </w:rPr>
            </w:r>
          </w:p>
        </w:tc>
      </w:tr>
    </w:tbl>
    <w:p>
      <w:pPr>
        <w:pStyle w:val="905"/>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6.合同履行期限：</w:t>
      </w:r>
      <w:r>
        <w:rPr>
          <w:rFonts w:hint="eastAsia" w:ascii="宋体" w:hAnsi="宋体" w:cs="宋体"/>
          <w:i/>
          <w:color w:val="auto"/>
          <w:sz w:val="24"/>
          <w:szCs w:val="24"/>
          <w:highlight w:val="none"/>
          <w:u w:val="single"/>
        </w:rPr>
        <w:t xml:space="preserve">合同签订后60天内</w:t>
      </w:r>
      <w:r>
        <w:rPr>
          <w:rFonts w:hint="eastAsia" w:ascii="宋体" w:hAnsi="宋体" w:cs="宋体"/>
          <w:color w:val="auto"/>
          <w:sz w:val="24"/>
          <w:szCs w:val="24"/>
          <w:highlight w:val="none"/>
          <w:u w:val="singl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color w:val="auto"/>
          <w:highlight w:val="none"/>
        </w:rPr>
      </w:r>
      <w:bookmarkStart w:id="14" w:name="_Toc35393622"/>
      <w:r>
        <w:rPr>
          <w:color w:val="auto"/>
          <w:highlight w:val="none"/>
        </w:rPr>
      </w:r>
      <w:bookmarkStart w:id="15" w:name="_Toc28359080"/>
      <w:r>
        <w:rPr>
          <w:color w:val="auto"/>
          <w:highlight w:val="none"/>
        </w:rPr>
      </w:r>
      <w:bookmarkStart w:id="16" w:name="_Toc38985264"/>
      <w:r>
        <w:rPr>
          <w:color w:val="auto"/>
          <w:highlight w:val="none"/>
        </w:rPr>
      </w:r>
      <w:bookmarkStart w:id="17" w:name="_Toc35393791"/>
      <w:r>
        <w:rPr>
          <w:color w:val="auto"/>
          <w:highlight w:val="none"/>
        </w:rPr>
      </w:r>
      <w:bookmarkStart w:id="18" w:name="_Toc28359003"/>
      <w:r>
        <w:rPr>
          <w:rFonts w:hint="eastAsia" w:ascii="宋体" w:hAnsi="宋体" w:cs="宋体"/>
          <w:b/>
          <w:bCs/>
          <w:color w:val="auto"/>
          <w:sz w:val="28"/>
          <w:szCs w:val="28"/>
          <w:highlight w:val="none"/>
        </w:rPr>
        <w:t xml:space="preserve">二、申请人的资格要求：</w:t>
      </w:r>
      <w:bookmarkEnd w:id="14"/>
      <w:r>
        <w:rPr>
          <w:color w:val="auto"/>
          <w:highlight w:val="none"/>
        </w:rPr>
      </w:r>
      <w:bookmarkEnd w:id="15"/>
      <w:r>
        <w:rPr>
          <w:color w:val="auto"/>
          <w:highlight w:val="none"/>
        </w:rPr>
      </w:r>
      <w:bookmarkEnd w:id="16"/>
      <w:r>
        <w:rPr>
          <w:color w:val="auto"/>
          <w:highlight w:val="none"/>
        </w:rPr>
      </w:r>
      <w:bookmarkEnd w:id="17"/>
      <w:r>
        <w:rPr>
          <w:color w:val="auto"/>
          <w:highlight w:val="none"/>
        </w:rPr>
      </w:r>
      <w:bookmarkEnd w:id="18"/>
      <w:r>
        <w:rPr>
          <w:rFonts w:hint="eastAsia" w:ascii="宋体" w:hAnsi="宋体" w:cs="宋体"/>
          <w:b/>
          <w:bCs/>
          <w:color w:val="auto"/>
          <w:sz w:val="28"/>
          <w:szCs w:val="28"/>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Start w:id="19" w:name="_Toc38985265"/>
      <w:r>
        <w:rPr>
          <w:color w:val="auto"/>
          <w:highlight w:val="none"/>
        </w:rPr>
      </w:r>
      <w:bookmarkStart w:id="20" w:name="_Toc28359004"/>
      <w:r>
        <w:rPr>
          <w:color w:val="auto"/>
          <w:highlight w:val="none"/>
        </w:rPr>
      </w:r>
      <w:bookmarkStart w:id="21" w:name="_Toc35393792"/>
      <w:r>
        <w:rPr>
          <w:color w:val="auto"/>
          <w:highlight w:val="none"/>
        </w:rPr>
      </w:r>
      <w:bookmarkStart w:id="22" w:name="_Toc35393623"/>
      <w:r>
        <w:rPr>
          <w:color w:val="auto"/>
          <w:highlight w:val="none"/>
        </w:rPr>
      </w:r>
      <w:bookmarkStart w:id="23" w:name="_Toc28359081"/>
      <w:r>
        <w:rPr>
          <w:rFonts w:hint="eastAsia" w:ascii="宋体" w:hAnsi="宋体" w:cs="宋体"/>
          <w:color w:val="auto"/>
          <w:sz w:val="24"/>
          <w:szCs w:val="24"/>
          <w:highlight w:val="none"/>
        </w:rPr>
        <w:t xml:space="preserve">（一）通用资格要求</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1.满足《中华人民共和国政府采购法》第二十二条规定，并提供下列材料：</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1.1 法人或者其他组织的营业执照等证明文件，自然人的身份证明；</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1.2上一年度的财务状况报告（成立不满一年无需提供）；</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
          <w:color w:val="auto"/>
          <w:sz w:val="24"/>
          <w:szCs w:val="24"/>
          <w:highlight w:val="none"/>
          <w:u w:val="single"/>
        </w:rPr>
        <w:t xml:space="preserve">）</w:t>
      </w:r>
      <w:r>
        <w:rPr>
          <w:rFonts w:hint="eastAsia" w:ascii="宋体" w:hAnsi="宋体" w:cs="宋体"/>
          <w:i/>
          <w:color w:val="auto"/>
          <w:sz w:val="24"/>
          <w:szCs w:val="24"/>
          <w:highlight w:val="none"/>
          <w:u w:val="single"/>
        </w:rPr>
        <w:t xml:space="preserve">；</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1.4具备履行合同所必需的设备和专业技术能力的书面声明；</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1.5参加政府采购活动前3年内在经营活动中没有重大违法记录的书面声明；</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1.6供应商信用承诺书。</w:t>
      </w:r>
      <w:r>
        <w:rPr>
          <w:rFonts w:hint="eastAsia" w:ascii="宋体" w:hAnsi="宋体" w:cs="宋体"/>
          <w:i/>
          <w:color w:val="auto"/>
          <w:sz w:val="24"/>
          <w:szCs w:val="24"/>
          <w:highlight w:val="none"/>
          <w:u w:val="single"/>
        </w:rPr>
      </w:r>
      <w:r>
        <w:rPr>
          <w:color w:val="auto"/>
          <w:highlight w:val="none"/>
        </w:rPr>
      </w:r>
    </w:p>
    <w:p>
      <w:pPr>
        <w:pStyle w:val="905"/>
        <w:ind w:firstLine="480"/>
        <w:spacing w:line="439" w:lineRule="atLeast"/>
        <w:rPr>
          <w:rFonts w:hint="eastAsia" w:ascii="宋体" w:hAnsi="宋体" w:cs="宋体"/>
          <w:color w:val="auto"/>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highlight w:val="none"/>
        </w:rPr>
        <w:t xml:space="preserve">2.落实政府采购政策需满足的资格要求：</w:t>
      </w:r>
      <w:r>
        <w:rPr>
          <w:rFonts w:hint="eastAsia" w:ascii="宋体" w:hAnsi="宋体" w:cs="宋体"/>
          <w:color w:val="auto"/>
          <w:sz w:val="24"/>
          <w:highlight w:val="none"/>
        </w:rPr>
        <w:t xml:space="preserve">本项目非预留份额的采购项目或采购包，执行价格扣除优惠政策，给予小微型企业、监狱企业或残疾人福利性单位报价</w:t>
      </w:r>
      <w:r>
        <w:rPr>
          <w:rFonts w:hint="eastAsia" w:ascii="宋体" w:hAnsi="宋体" w:cs="宋体"/>
          <w:b/>
          <w:bCs/>
          <w:color w:val="auto"/>
          <w:sz w:val="24"/>
          <w:highlight w:val="none"/>
        </w:rPr>
        <w:t xml:space="preserve">20%</w:t>
      </w:r>
      <w:r>
        <w:rPr>
          <w:rFonts w:hint="eastAsia" w:ascii="宋体" w:hAnsi="宋体" w:cs="宋体"/>
          <w:color w:val="auto"/>
          <w:sz w:val="24"/>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color w:val="auto"/>
          <w:sz w:val="24"/>
          <w:szCs w:val="24"/>
          <w:highlight w:val="none"/>
        </w:rPr>
        <w:t xml:space="preserve"> </w:t>
      </w:r>
      <w:r>
        <w:rPr>
          <w:rFonts w:hint="eastAsia" w:ascii="宋体" w:hAnsi="宋体" w:cs="宋体"/>
          <w:color w:val="auto"/>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w:t>
      </w:r>
      <w:r>
        <w:rPr>
          <w:rFonts w:hint="eastAsia" w:ascii="宋体" w:hAnsi="宋体" w:cs="宋体"/>
          <w:color w:val="auto"/>
          <w:sz w:val="24"/>
          <w:szCs w:val="24"/>
          <w:highlight w:val="none"/>
        </w:rPr>
        <w:t xml:space="preserve">不接受</w:t>
      </w:r>
      <w:r>
        <w:rPr>
          <w:rFonts w:hint="eastAsia" w:ascii="宋体" w:hAnsi="宋体" w:cs="宋体"/>
          <w:color w:val="auto"/>
          <w:sz w:val="24"/>
          <w:szCs w:val="24"/>
          <w:highlight w:val="none"/>
        </w:rPr>
        <w:t xml:space="preserve">联合体投标。</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（二）本项目的特定资格</w:t>
      </w:r>
      <w:r>
        <w:rPr>
          <w:rFonts w:hint="eastAsia" w:ascii="宋体" w:hAnsi="宋体" w:cs="宋体"/>
          <w:color w:val="auto"/>
          <w:sz w:val="24"/>
          <w:szCs w:val="24"/>
          <w:highlight w:val="none"/>
        </w:rPr>
        <w:t xml:space="preserve">要</w:t>
      </w:r>
      <w:r>
        <w:rPr>
          <w:rFonts w:hint="eastAsia" w:ascii="宋体" w:hAnsi="宋体" w:cs="宋体"/>
          <w:color w:val="auto"/>
          <w:sz w:val="24"/>
          <w:szCs w:val="24"/>
          <w:highlight w:val="none"/>
        </w:rPr>
        <w:t xml:space="preserve">求</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highlight w:val="none"/>
          <w:u w:val="single"/>
        </w:rPr>
        <w:t xml:space="preserve">（1）投标产品如果属于医疗设备注册范畴的；投标人须根据投标产品的类别，提供《医疗器械经营企业许可证》或者《医疗器械经营备案凭证》（复印件）；</w:t>
      </w:r>
      <w:r>
        <w:rPr>
          <w:rFonts w:hint="eastAsia" w:ascii="宋体" w:hAnsi="宋体" w:cs="宋体"/>
          <w:color w:val="auto"/>
          <w:highlight w:val="none"/>
        </w:rPr>
      </w:r>
      <w:r>
        <w:rPr>
          <w:color w:val="auto"/>
          <w:highlight w:val="none"/>
        </w:rPr>
      </w:r>
    </w:p>
    <w:p>
      <w:pPr>
        <w:pStyle w:val="905"/>
        <w:ind w:firstLine="480"/>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auto"/>
          <w:sz w:val="24"/>
          <w:highlight w:val="none"/>
          <w:u w:val="single"/>
        </w:rPr>
        <w:t xml:space="preserve">（2）投标产品如果属于医疗设备注册范畴的；投标人须提供投标产品的《医疗器械注册证》（复印件）；</w:t>
      </w:r>
      <w:r>
        <w:rPr>
          <w:rFonts w:hint="eastAsia" w:ascii="宋体" w:hAnsi="宋体" w:cs="宋体"/>
          <w:color w:val="auto"/>
          <w:highlight w:val="non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（3）本项目接受产品代理商或经销商投标；</w:t>
      </w:r>
      <w:r>
        <w:rPr>
          <w:rFonts w:hint="eastAsia" w:ascii="宋体" w:hAnsi="宋体" w:cs="宋体"/>
          <w:i/>
          <w:color w:val="auto"/>
          <w:sz w:val="24"/>
          <w:szCs w:val="24"/>
          <w:highlight w:val="none"/>
          <w:u w:val="singl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（三）拒绝下述供应商参加本次采购活动：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供应商单位负责人为同一人或者存在直接控股、管理关系的不同供应商，不得参加同一合同项下的政府采购活动。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 凡为采购</w:t>
      </w:r>
      <w:r>
        <w:rPr>
          <w:rFonts w:hint="eastAsia" w:ascii="宋体" w:hAnsi="宋体" w:cs="宋体"/>
          <w:color w:val="auto"/>
          <w:sz w:val="24"/>
          <w:szCs w:val="24"/>
          <w:highlight w:val="none"/>
        </w:rPr>
        <w:t xml:space="preserve">项目提供整体设计、规范编制或者项目管理、监理、检测等服务的供</w:t>
      </w:r>
      <w:r>
        <w:rPr>
          <w:rFonts w:hint="eastAsia" w:ascii="宋体" w:hAnsi="宋体" w:cs="宋体"/>
          <w:color w:val="auto"/>
          <w:sz w:val="24"/>
          <w:szCs w:val="24"/>
          <w:highlight w:val="none"/>
        </w:rPr>
        <w:t xml:space="preserve">应商，不得再参加该项目的其他采购活动。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 供应商被“信用中国”网站（www.creditchina.gov.cn）、“中国政府采购网”（www.ccgp.gov.cn）列入失信被执行人、重大税收违法失信主体、政府采购严重违法失信行为记录名单。</w:t>
      </w:r>
      <w:r>
        <w:rPr>
          <w:rFonts w:hint="eastAsia" w:ascii="宋体" w:hAnsi="宋体" w:cs="宋体"/>
          <w:color w:val="auto"/>
          <w:sz w:val="24"/>
          <w:szCs w:val="24"/>
          <w:highlight w:val="non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三、获取招标文件</w:t>
      </w:r>
      <w:bookmarkEnd w:id="19"/>
      <w:r>
        <w:rPr>
          <w:color w:val="auto"/>
          <w:highlight w:val="none"/>
        </w:rPr>
      </w:r>
      <w:bookmarkEnd w:id="20"/>
      <w:r>
        <w:rPr>
          <w:color w:val="auto"/>
          <w:highlight w:val="none"/>
        </w:rPr>
      </w:r>
      <w:bookmarkEnd w:id="21"/>
      <w:r>
        <w:rPr>
          <w:color w:val="auto"/>
          <w:highlight w:val="none"/>
        </w:rPr>
      </w:r>
      <w:bookmarkEnd w:id="22"/>
      <w:r>
        <w:rPr>
          <w:color w:val="auto"/>
          <w:highlight w:val="none"/>
        </w:rPr>
      </w:r>
      <w:bookmarkEnd w:id="23"/>
      <w:r>
        <w:rPr>
          <w:rFonts w:hint="eastAsia" w:ascii="宋体" w:hAnsi="宋体" w:cs="宋体"/>
          <w:b/>
          <w:bCs/>
          <w:color w:val="auto"/>
          <w:sz w:val="28"/>
          <w:szCs w:val="28"/>
          <w:highlight w:val="none"/>
        </w:rPr>
      </w:r>
      <w:r>
        <w:rPr>
          <w:color w:val="auto"/>
          <w:highlight w:val="none"/>
        </w:rPr>
      </w:r>
    </w:p>
    <w:p>
      <w:pPr>
        <w:pStyle w:val="905"/>
        <w:ind w:firstLine="540"/>
        <w:spacing w:line="360" w:lineRule="auto"/>
        <w:rPr>
          <w:rFonts w:hint="eastAsia" w:ascii="宋体" w:hAnsi="宋体" w:cs="宋体"/>
          <w:color w:val="auto"/>
          <w:sz w:val="24"/>
          <w:szCs w:val="24"/>
          <w:highlight w:val="none"/>
        </w:rPr>
      </w:pPr>
      <w:r>
        <w:rPr>
          <w:color w:val="auto"/>
          <w:highlight w:val="none"/>
        </w:rPr>
      </w:r>
      <w:bookmarkStart w:id="24" w:name="_Toc28359082"/>
      <w:r>
        <w:rPr>
          <w:color w:val="auto"/>
          <w:highlight w:val="none"/>
        </w:rPr>
      </w:r>
      <w:bookmarkStart w:id="25" w:name="_Toc28359005"/>
      <w:r>
        <w:rPr>
          <w:color w:val="auto"/>
          <w:highlight w:val="none"/>
        </w:rPr>
      </w:r>
      <w:bookmarkStart w:id="26" w:name="_Toc35393793"/>
      <w:r>
        <w:rPr>
          <w:color w:val="auto"/>
          <w:highlight w:val="none"/>
        </w:rPr>
      </w:r>
      <w:bookmarkStart w:id="27" w:name="_Toc35393624"/>
      <w:r>
        <w:rPr>
          <w:color w:val="auto"/>
          <w:highlight w:val="none"/>
        </w:rPr>
      </w:r>
      <w:bookmarkStart w:id="28" w:name="_Toc38985266"/>
      <w:r>
        <w:rPr>
          <w:rFonts w:hint="eastAsia" w:ascii="宋体" w:hAnsi="宋体" w:cs="宋体"/>
          <w:color w:val="auto"/>
          <w:sz w:val="24"/>
          <w:szCs w:val="24"/>
          <w:highlight w:val="none"/>
        </w:rPr>
        <w:t xml:space="preserve">1.时间：自招标文件公告发布之日起5个工作日。5个工作日后，仍可以下载招标文件，但不作为供应商权利损害的证明材料和依据。</w:t>
      </w:r>
      <w:r>
        <w:rPr>
          <w:rFonts w:hint="eastAsia" w:ascii="宋体" w:hAnsi="宋体" w:cs="宋体"/>
          <w:color w:val="auto"/>
          <w:sz w:val="24"/>
          <w:szCs w:val="24"/>
          <w:highlight w:val="none"/>
        </w:rPr>
      </w:r>
      <w:r>
        <w:rPr>
          <w:color w:val="auto"/>
          <w:highlight w:val="none"/>
        </w:rPr>
      </w:r>
    </w:p>
    <w:p>
      <w:pPr>
        <w:pStyle w:val="905"/>
        <w:ind w:firstLine="540"/>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2.方式：在“扬州市政府采购网”</w:t>
      </w:r>
      <w:r>
        <w:rPr>
          <w:rFonts w:hint="eastAsia" w:ascii="宋体" w:hAnsi="宋体" w:cs="宋体"/>
          <w:color w:val="auto"/>
          <w:sz w:val="24"/>
          <w:szCs w:val="24"/>
          <w:highlight w:val="none"/>
        </w:rPr>
        <w:t xml:space="preserve">、“江苏政府采购网”</w:t>
      </w:r>
      <w:r>
        <w:rPr>
          <w:rFonts w:hint="eastAsia" w:ascii="宋体" w:hAnsi="宋体" w:cs="宋体"/>
          <w:color w:val="auto"/>
          <w:sz w:val="24"/>
          <w:szCs w:val="24"/>
          <w:highlight w:val="none"/>
        </w:rPr>
        <w:t xml:space="preserve">自行免费下载招标文件。</w:t>
      </w:r>
      <w:r>
        <w:rPr>
          <w:rFonts w:hint="eastAsia" w:ascii="宋体" w:hAnsi="宋体" w:cs="宋体"/>
          <w:color w:val="auto"/>
          <w:sz w:val="24"/>
          <w:szCs w:val="24"/>
          <w:highlight w:val="none"/>
          <w:u w:val="singl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四、提</w:t>
      </w:r>
      <w:r>
        <w:rPr>
          <w:rFonts w:hint="eastAsia" w:ascii="宋体" w:hAnsi="宋体" w:cs="宋体"/>
          <w:b/>
          <w:bCs/>
          <w:color w:val="auto"/>
          <w:sz w:val="28"/>
          <w:szCs w:val="28"/>
          <w:highlight w:val="none"/>
        </w:rPr>
        <w:t xml:space="preserve">交投标文件</w:t>
      </w:r>
      <w:bookmarkEnd w:id="24"/>
      <w:r>
        <w:rPr>
          <w:color w:val="auto"/>
          <w:highlight w:val="none"/>
        </w:rPr>
      </w:r>
      <w:bookmarkEnd w:id="25"/>
      <w:r>
        <w:rPr>
          <w:rFonts w:hint="eastAsia" w:ascii="宋体" w:hAnsi="宋体" w:cs="宋体"/>
          <w:b/>
          <w:bCs/>
          <w:color w:val="auto"/>
          <w:sz w:val="28"/>
          <w:szCs w:val="28"/>
          <w:highlight w:val="none"/>
        </w:rPr>
        <w:t xml:space="preserve">截止时间、开标时间和地点</w:t>
      </w:r>
      <w:bookmarkEnd w:id="26"/>
      <w:r>
        <w:rPr>
          <w:color w:val="auto"/>
          <w:highlight w:val="none"/>
        </w:rPr>
      </w:r>
      <w:bookmarkEnd w:id="27"/>
      <w:r>
        <w:rPr>
          <w:color w:val="auto"/>
          <w:highlight w:val="none"/>
        </w:rPr>
      </w:r>
      <w:bookmarkEnd w:id="28"/>
      <w:r>
        <w:rPr>
          <w:rFonts w:hint="eastAsia" w:ascii="宋体" w:hAnsi="宋体" w:cs="宋体"/>
          <w:b/>
          <w:bCs/>
          <w:color w:val="auto"/>
          <w:sz w:val="28"/>
          <w:szCs w:val="28"/>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1.提交投标文件截止时间</w:t>
      </w:r>
      <w:r>
        <w:rPr>
          <w:rFonts w:hint="eastAsia" w:ascii="宋体" w:hAnsi="宋体" w:cs="宋体"/>
          <w:bCs/>
          <w:color w:val="auto"/>
          <w:sz w:val="24"/>
          <w:szCs w:val="24"/>
          <w:highlight w:val="none"/>
        </w:rPr>
        <w:t xml:space="preserve">、开标时间：</w:t>
      </w:r>
      <w:r>
        <w:rPr>
          <w:rFonts w:hint="eastAsia" w:ascii="宋体" w:hAnsi="宋体" w:cs="宋体"/>
          <w:bCs/>
          <w:color w:val="auto"/>
          <w:sz w:val="24"/>
          <w:szCs w:val="24"/>
          <w:highlight w:val="none"/>
          <w:u w:val="single"/>
        </w:rPr>
        <w:t xml:space="preserve">2026年4月22日10点00分</w:t>
      </w:r>
      <w:r>
        <w:rPr>
          <w:rFonts w:hint="eastAsia" w:ascii="宋体" w:hAnsi="宋体" w:cs="宋体"/>
          <w:bCs/>
          <w:color w:val="auto"/>
          <w:sz w:val="24"/>
          <w:szCs w:val="24"/>
          <w:highlight w:val="none"/>
        </w:rPr>
        <w:t xml:space="preserve">（北京时间）。</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u w:val="single"/>
        </w:rPr>
      </w:pPr>
      <w:r>
        <w:rPr>
          <w:rFonts w:hint="eastAsia" w:ascii="宋体" w:hAnsi="宋体" w:cs="宋体"/>
          <w:color w:val="auto"/>
          <w:sz w:val="24"/>
          <w:szCs w:val="24"/>
          <w:highlight w:val="none"/>
        </w:rPr>
        <w:t xml:space="preserve">2.地点：</w:t>
      </w:r>
      <w:r>
        <w:rPr>
          <w:rFonts w:hint="eastAsia" w:ascii="宋体" w:hAnsi="宋体" w:cs="宋体"/>
          <w:color w:val="auto"/>
          <w:sz w:val="24"/>
          <w:szCs w:val="24"/>
          <w:highlight w:val="none"/>
        </w:rPr>
        <w:t xml:space="preserve">“苏采云”政府采购交易系统网上开标大厅。</w:t>
      </w:r>
      <w:r>
        <w:rPr>
          <w:rFonts w:hint="eastAsia" w:ascii="宋体" w:hAnsi="宋体" w:cs="宋体"/>
          <w:bCs/>
          <w:color w:val="auto"/>
          <w:sz w:val="24"/>
          <w:szCs w:val="24"/>
          <w:highlight w:val="none"/>
          <w:u w:val="singl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color w:val="auto"/>
          <w:highlight w:val="none"/>
        </w:rPr>
      </w:r>
      <w:bookmarkStart w:id="29" w:name="_Toc28359007"/>
      <w:r>
        <w:rPr>
          <w:color w:val="auto"/>
          <w:highlight w:val="none"/>
        </w:rPr>
      </w:r>
      <w:bookmarkStart w:id="30" w:name="_Toc35393794"/>
      <w:r>
        <w:rPr>
          <w:color w:val="auto"/>
          <w:highlight w:val="none"/>
        </w:rPr>
      </w:r>
      <w:bookmarkStart w:id="31" w:name="_Toc28359084"/>
      <w:r>
        <w:rPr>
          <w:color w:val="auto"/>
          <w:highlight w:val="none"/>
        </w:rPr>
      </w:r>
      <w:bookmarkStart w:id="32" w:name="_Toc38985267"/>
      <w:r>
        <w:rPr>
          <w:color w:val="auto"/>
          <w:highlight w:val="none"/>
        </w:rPr>
      </w:r>
      <w:bookmarkStart w:id="33" w:name="_Toc35393625"/>
      <w:r>
        <w:rPr>
          <w:rFonts w:hint="eastAsia" w:ascii="宋体" w:hAnsi="宋体" w:cs="宋体"/>
          <w:b/>
          <w:bCs/>
          <w:color w:val="auto"/>
          <w:sz w:val="28"/>
          <w:szCs w:val="28"/>
          <w:highlight w:val="none"/>
        </w:rPr>
        <w:t xml:space="preserve">五、公告期限</w:t>
      </w:r>
      <w:bookmarkEnd w:id="29"/>
      <w:r>
        <w:rPr>
          <w:color w:val="auto"/>
          <w:highlight w:val="none"/>
        </w:rPr>
      </w:r>
      <w:bookmarkEnd w:id="30"/>
      <w:r>
        <w:rPr>
          <w:color w:val="auto"/>
          <w:highlight w:val="none"/>
        </w:rPr>
      </w:r>
      <w:bookmarkEnd w:id="31"/>
      <w:r>
        <w:rPr>
          <w:color w:val="auto"/>
          <w:highlight w:val="none"/>
        </w:rPr>
      </w:r>
      <w:bookmarkEnd w:id="32"/>
      <w:r>
        <w:rPr>
          <w:color w:val="auto"/>
          <w:highlight w:val="none"/>
        </w:rPr>
      </w:r>
      <w:bookmarkEnd w:id="33"/>
      <w:r>
        <w:rPr>
          <w:rFonts w:hint="eastAsia" w:ascii="宋体" w:hAnsi="宋体" w:cs="宋体"/>
          <w:b/>
          <w:bCs/>
          <w:color w:val="auto"/>
          <w:sz w:val="28"/>
          <w:szCs w:val="28"/>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Start w:id="34" w:name="_Toc35393626"/>
      <w:r>
        <w:rPr>
          <w:color w:val="auto"/>
          <w:highlight w:val="none"/>
        </w:rPr>
      </w:r>
      <w:bookmarkStart w:id="35" w:name="_Toc35393795"/>
      <w:r>
        <w:rPr>
          <w:color w:val="auto"/>
          <w:highlight w:val="none"/>
        </w:rPr>
      </w:r>
      <w:bookmarkStart w:id="36" w:name="_Toc38985268"/>
      <w:r>
        <w:rPr>
          <w:rFonts w:hint="eastAsia" w:ascii="宋体" w:hAnsi="宋体" w:cs="宋体"/>
          <w:color w:val="auto"/>
          <w:sz w:val="24"/>
          <w:szCs w:val="24"/>
          <w:highlight w:val="none"/>
        </w:rPr>
        <w:t xml:space="preserve">招标公告及招标文件公告期限为自本公告发布之日起5个工作日。</w:t>
      </w:r>
      <w:r>
        <w:rPr>
          <w:rFonts w:hint="eastAsia" w:ascii="宋体" w:hAnsi="宋体" w:cs="宋体"/>
          <w:color w:val="auto"/>
          <w:sz w:val="24"/>
          <w:szCs w:val="24"/>
          <w:highlight w:val="non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六、其他补充事宜</w:t>
      </w:r>
      <w:bookmarkEnd w:id="34"/>
      <w:r>
        <w:rPr>
          <w:color w:val="auto"/>
          <w:highlight w:val="none"/>
        </w:rPr>
      </w:r>
      <w:bookmarkEnd w:id="35"/>
      <w:r>
        <w:rPr>
          <w:color w:val="auto"/>
          <w:highlight w:val="none"/>
        </w:rPr>
      </w:r>
      <w:bookmarkEnd w:id="36"/>
      <w:r>
        <w:rPr>
          <w:color w:val="auto"/>
          <w:highlight w:val="none"/>
        </w:rPr>
      </w:r>
      <w:bookmarkStart w:id="37" w:name="_Toc35393627"/>
      <w:r>
        <w:rPr>
          <w:color w:val="auto"/>
          <w:highlight w:val="none"/>
        </w:rPr>
      </w:r>
      <w:bookmarkStart w:id="38" w:name="_Toc38985269"/>
      <w:r>
        <w:rPr>
          <w:color w:val="auto"/>
          <w:highlight w:val="none"/>
        </w:rPr>
      </w:r>
      <w:bookmarkStart w:id="39" w:name="_Toc28359008"/>
      <w:r>
        <w:rPr>
          <w:color w:val="auto"/>
          <w:highlight w:val="none"/>
        </w:rPr>
      </w:r>
      <w:bookmarkStart w:id="40" w:name="_Toc35393796"/>
      <w:r>
        <w:rPr>
          <w:color w:val="auto"/>
          <w:highlight w:val="none"/>
        </w:rPr>
      </w:r>
      <w:bookmarkStart w:id="41" w:name="_Toc28359085"/>
      <w:r>
        <w:rPr>
          <w:rFonts w:hint="eastAsia" w:ascii="宋体" w:hAnsi="宋体" w:cs="宋体"/>
          <w:b/>
          <w:bCs/>
          <w:color w:val="auto"/>
          <w:sz w:val="28"/>
          <w:szCs w:val="28"/>
          <w:highlight w:val="non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t xml:space="preserve">1.本项目招标文件中所有斜体下划线部分为实质性条款，如不满足，则为无效投标。</w:t>
      </w:r>
      <w:r>
        <w:rPr>
          <w:rFonts w:hint="eastAsia" w:ascii="宋体" w:hAnsi="宋体" w:cs="宋体"/>
          <w:i/>
          <w:color w:val="auto"/>
          <w:sz w:val="24"/>
          <w:szCs w:val="24"/>
          <w:highlight w:val="none"/>
          <w:u w:val="single"/>
        </w:rPr>
      </w:r>
      <w:r>
        <w:rPr>
          <w:color w:val="auto"/>
          <w:highlight w:val="none"/>
        </w:rPr>
      </w:r>
    </w:p>
    <w:p>
      <w:pPr>
        <w:pStyle w:val="905"/>
        <w:ind w:firstLine="480"/>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2.本次采购采用“政府采购管理交易系统（苏采云）”，招标、投标、评标和中标结果发布全程电子化，开标方式为不见面开标。供应商应当按照《“苏采云”系统供应商操作手册》参加</w:t>
      </w:r>
      <w:r>
        <w:rPr>
          <w:rFonts w:hint="eastAsia" w:ascii="宋体" w:hAnsi="宋体" w:cs="宋体"/>
          <w:color w:val="auto"/>
          <w:sz w:val="24"/>
          <w:szCs w:val="24"/>
          <w:highlight w:val="none"/>
        </w:rPr>
        <w:t xml:space="preserve">投标活动。如供应商未按要求操作，由此所产生的风险由供应商自行</w:t>
      </w:r>
      <w:r>
        <w:rPr>
          <w:rFonts w:hint="eastAsia" w:ascii="宋体" w:hAnsi="宋体" w:cs="宋体"/>
          <w:color w:val="auto"/>
          <w:sz w:val="24"/>
          <w:szCs w:val="24"/>
          <w:highlight w:val="none"/>
        </w:rPr>
        <w:t xml:space="preserve">承担。 </w:t>
      </w:r>
      <w:r>
        <w:rPr>
          <w:rFonts w:hint="eastAsia" w:ascii="宋体" w:hAnsi="宋体" w:cs="宋体"/>
          <w:color w:val="auto"/>
          <w:sz w:val="24"/>
          <w:szCs w:val="24"/>
          <w:highlight w:val="none"/>
        </w:rPr>
      </w:r>
      <w:r>
        <w:rPr>
          <w:color w:val="auto"/>
          <w:highlight w:val="none"/>
        </w:rPr>
      </w:r>
    </w:p>
    <w:p>
      <w:pPr>
        <w:pStyle w:val="905"/>
        <w:ind w:firstLine="480"/>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auto"/>
          <w:sz w:val="24"/>
          <w:szCs w:val="24"/>
          <w:highlight w:val="none"/>
        </w:rPr>
      </w:r>
      <w:r>
        <w:rPr>
          <w:color w:val="auto"/>
          <w:highlight w:val="none"/>
        </w:rPr>
      </w:r>
    </w:p>
    <w:p>
      <w:pPr>
        <w:pStyle w:val="905"/>
        <w:ind w:firstLine="480"/>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highlight w:val="none"/>
        </w:rPr>
        <w:t xml:space="preserve"> </w:t>
      </w:r>
      <w:r>
        <w:rPr>
          <w:rFonts w:hint="eastAsia" w:ascii="宋体" w:hAnsi="宋体" w:cs="宋体"/>
          <w:color w:val="auto"/>
          <w:sz w:val="24"/>
          <w:szCs w:val="24"/>
          <w:highlight w:val="none"/>
        </w:rPr>
        <w:t xml:space="preserve">潜在供应商对采购文件项目需求部分的询问、质疑请向采购人提出，由采购人负责答复。</w:t>
      </w:r>
      <w:r>
        <w:rPr>
          <w:rFonts w:hint="eastAsia" w:ascii="宋体" w:hAnsi="宋体" w:cs="宋体"/>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 有关本次招标的事项若存在变动或修改，敬请及时关注</w:t>
      </w:r>
      <w:r>
        <w:rPr>
          <w:rFonts w:hint="eastAsia" w:ascii="宋体" w:hAnsi="宋体" w:cs="宋体"/>
          <w:color w:val="auto"/>
          <w:sz w:val="24"/>
          <w:szCs w:val="24"/>
          <w:highlight w:val="none"/>
        </w:rPr>
        <w:t xml:space="preserve">“扬州市政府采购网”、 “江苏省政府采购网”</w:t>
      </w:r>
      <w:r>
        <w:rPr>
          <w:rFonts w:hint="eastAsia" w:ascii="宋体" w:hAnsi="宋体" w:cs="宋体"/>
          <w:bCs/>
          <w:color w:val="auto"/>
          <w:sz w:val="24"/>
          <w:szCs w:val="24"/>
          <w:highlight w:val="none"/>
        </w:rPr>
        <w:t xml:space="preserve">发布的更正公告。</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 本次招标不收取投标保证金。</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7. 本招标</w:t>
      </w:r>
      <w:r>
        <w:rPr>
          <w:rFonts w:hint="eastAsia" w:ascii="宋体" w:hAnsi="宋体" w:cs="宋体"/>
          <w:bCs/>
          <w:color w:val="auto"/>
          <w:sz w:val="24"/>
          <w:szCs w:val="24"/>
          <w:highlight w:val="none"/>
        </w:rPr>
        <w:t xml:space="preserve">项目执行《中华人民共和国政府采购法》《中华人民共和国政府采购</w:t>
      </w:r>
      <w:r>
        <w:rPr>
          <w:rFonts w:hint="eastAsia" w:ascii="宋体" w:hAnsi="宋体" w:cs="宋体"/>
          <w:bCs/>
          <w:color w:val="auto"/>
          <w:sz w:val="24"/>
          <w:szCs w:val="24"/>
          <w:highlight w:val="none"/>
        </w:rPr>
        <w:t xml:space="preserve">法实施条例》《中华人民共和国财政部令第87号》《财库〔201</w:t>
      </w:r>
      <w:r>
        <w:rPr>
          <w:rFonts w:hint="eastAsia" w:ascii="宋体" w:hAnsi="宋体" w:cs="宋体"/>
          <w:bCs/>
          <w:color w:val="auto"/>
          <w:sz w:val="24"/>
          <w:szCs w:val="24"/>
          <w:highlight w:val="none"/>
        </w:rPr>
        <w:t xml:space="preserve">4〕68号》《财库〔2017〕141号》《财库〔2019〕9号》《财库〔2020〕46号》《苏财购〔2022〕45号》《苏财购〔2025〕62号》</w:t>
      </w:r>
      <w:r>
        <w:rPr>
          <w:rFonts w:hint="eastAsia" w:ascii="宋体" w:hAnsi="宋体" w:cs="宋体"/>
          <w:bCs/>
          <w:color w:val="auto"/>
          <w:sz w:val="24"/>
          <w:szCs w:val="24"/>
          <w:highlight w:val="none"/>
          <w:u w:val="single"/>
        </w:rPr>
        <w:t xml:space="preserve">《国办发〔2025〕34号》《财库〔2026〕2号》</w:t>
      </w:r>
      <w:r>
        <w:rPr>
          <w:rFonts w:hint="eastAsia" w:ascii="宋体" w:hAnsi="宋体" w:cs="宋体"/>
          <w:bCs/>
          <w:color w:val="auto"/>
          <w:sz w:val="24"/>
          <w:szCs w:val="24"/>
          <w:highlight w:val="none"/>
          <w:u w:val="singl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七、本次招标联系方式</w:t>
      </w:r>
      <w:bookmarkEnd w:id="37"/>
      <w:r>
        <w:rPr>
          <w:color w:val="auto"/>
          <w:highlight w:val="none"/>
        </w:rPr>
      </w:r>
      <w:bookmarkEnd w:id="38"/>
      <w:r>
        <w:rPr>
          <w:color w:val="auto"/>
          <w:highlight w:val="none"/>
        </w:rPr>
      </w:r>
      <w:bookmarkEnd w:id="39"/>
      <w:r>
        <w:rPr>
          <w:color w:val="auto"/>
          <w:highlight w:val="none"/>
        </w:rPr>
      </w:r>
      <w:bookmarkEnd w:id="40"/>
      <w:r>
        <w:rPr>
          <w:color w:val="auto"/>
          <w:highlight w:val="none"/>
        </w:rPr>
      </w:r>
      <w:bookmarkEnd w:id="41"/>
      <w:r>
        <w:rPr>
          <w:rFonts w:hint="eastAsia" w:ascii="宋体" w:hAnsi="宋体" w:cs="宋体"/>
          <w:b/>
          <w:bCs/>
          <w:color w:val="auto"/>
          <w:sz w:val="28"/>
          <w:szCs w:val="28"/>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 购 人：江苏省苏北人民医院</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联系地址：扬州市广陵区南通西路98号</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人：丁老师</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rPr>
        <w:t xml:space="preserve">0514-87373114</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2.采购代理机构：江苏苏豪创新科技集团</w:t>
      </w:r>
      <w:r>
        <w:rPr>
          <w:rFonts w:hint="eastAsia" w:ascii="宋体" w:hAnsi="宋体" w:cs="宋体"/>
          <w:color w:val="auto"/>
          <w:sz w:val="24"/>
          <w:szCs w:val="24"/>
          <w:highlight w:val="none"/>
        </w:rPr>
        <w:t xml:space="preserve">高科有限公司</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联系地址：南京市雨花台区软件大道21号苏豪国际</w:t>
      </w:r>
      <w:r>
        <w:rPr>
          <w:rFonts w:hint="eastAsia" w:ascii="宋体" w:hAnsi="宋体" w:cs="宋体"/>
          <w:color w:val="auto"/>
          <w:sz w:val="24"/>
          <w:szCs w:val="24"/>
          <w:highlight w:val="none"/>
        </w:rPr>
        <w:t xml:space="preserve">广场（北园）C座612室</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人：丁一、李沁原</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联系电话：025-52875927、025-52875941</w:t>
      </w:r>
      <w:r>
        <w:rPr>
          <w:rFonts w:hint="eastAsia" w:ascii="宋体" w:hAnsi="宋体" w:cs="宋体"/>
          <w:color w:val="auto"/>
          <w:sz w:val="24"/>
          <w:szCs w:val="24"/>
          <w:highlight w:val="none"/>
        </w:rPr>
      </w:r>
      <w:r>
        <w:rPr>
          <w:color w:val="auto"/>
          <w:highlight w:val="none"/>
        </w:rPr>
      </w:r>
    </w:p>
    <w:p>
      <w:pPr>
        <w:pStyle w:val="905"/>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rFonts w:hint="eastAsia" w:ascii="宋体" w:hAnsi="宋体" w:cs="宋体"/>
          <w:color w:val="auto"/>
          <w:sz w:val="24"/>
          <w:szCs w:val="24"/>
          <w:highlight w:val="none"/>
        </w:rPr>
      </w:r>
      <w:r>
        <w:rPr>
          <w:color w:val="auto"/>
          <w:highlight w:val="none"/>
        </w:rPr>
      </w:r>
    </w:p>
    <w:p>
      <w:pPr>
        <w:pStyle w:val="905"/>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项目联系人：吴冬晓、朱笑青</w:t>
      </w:r>
      <w:r>
        <w:rPr>
          <w:rFonts w:hint="eastAsia" w:ascii="宋体" w:hAnsi="宋体" w:cs="宋体"/>
          <w:color w:val="auto"/>
          <w:spacing w:val="8"/>
          <w:sz w:val="24"/>
          <w:szCs w:val="24"/>
          <w:highlight w:val="none"/>
        </w:rPr>
      </w:r>
      <w:r>
        <w:rPr>
          <w:color w:val="auto"/>
          <w:highlight w:val="none"/>
        </w:rPr>
      </w:r>
    </w:p>
    <w:p>
      <w:pPr>
        <w:pStyle w:val="905"/>
        <w:ind w:firstLine="512"/>
        <w:jc w:val="left"/>
        <w:spacing w:line="360" w:lineRule="auto"/>
        <w:shd w:val="clear" w:color="auto" w:fill="ffffff"/>
        <w:widowControl/>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电话：025-52874082、025-52875975</w:t>
      </w:r>
      <w:r>
        <w:rPr>
          <w:rFonts w:hint="eastAsia" w:ascii="宋体" w:hAnsi="宋体" w:cs="宋体"/>
          <w:color w:val="auto"/>
          <w:spacing w:val="8"/>
          <w:sz w:val="24"/>
          <w:szCs w:val="24"/>
          <w:highlight w:val="none"/>
        </w:rPr>
      </w:r>
      <w:r>
        <w:rPr>
          <w:color w:val="auto"/>
          <w:highlight w:val="none"/>
        </w:rPr>
      </w:r>
    </w:p>
    <w:p>
      <w:pPr>
        <w:pStyle w:val="905"/>
        <w:ind w:firstLine="436"/>
        <w:keepLines/>
        <w:keepNext/>
        <w:spacing w:before="145" w:after="145" w:line="360" w:lineRule="auto"/>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八、</w:t>
      </w:r>
      <w:bookmarkStart w:id="42" w:name="_Toc120614211"/>
      <w:r>
        <w:rPr>
          <w:rFonts w:hint="eastAsia" w:ascii="宋体" w:hAnsi="宋体" w:cs="宋体"/>
          <w:b/>
          <w:bCs/>
          <w:color w:val="auto"/>
          <w:sz w:val="28"/>
          <w:szCs w:val="28"/>
          <w:highlight w:val="none"/>
        </w:rPr>
        <w:t xml:space="preserve">落实好政府采购履约资金扶持政策及其他相关政策</w:t>
      </w:r>
      <w:r>
        <w:rPr>
          <w:rFonts w:hint="eastAsia" w:ascii="宋体" w:hAnsi="宋体" w:cs="宋体"/>
          <w:b/>
          <w:bCs/>
          <w:color w:val="auto"/>
          <w:sz w:val="28"/>
          <w:szCs w:val="28"/>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1.中标/成交供应商可凭政府采购合同办理融资贷款，详见江苏政府采购网“政采贷”专栏。”</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2.严格执行政府采购关于支持节能产品、环境标志产品的相关政策规定。如本次采购的产品属于财政部、</w:t>
      </w:r>
      <w:r>
        <w:rPr>
          <w:rFonts w:hint="eastAsia" w:ascii="宋体" w:hAnsi="宋体" w:cs="宋体"/>
          <w:bCs/>
          <w:color w:val="auto"/>
          <w:sz w:val="24"/>
          <w:szCs w:val="24"/>
          <w:highlight w:val="none"/>
        </w:rPr>
        <w:t xml:space="preserve">国家发展改革委、生态环境部、市场监管总局等部门发布的节能产品</w:t>
      </w:r>
      <w:r>
        <w:rPr>
          <w:rFonts w:hint="eastAsia" w:ascii="宋体" w:hAnsi="宋体" w:cs="宋体"/>
          <w:bCs/>
          <w:color w:val="auto"/>
          <w:sz w:val="24"/>
          <w:szCs w:val="24"/>
          <w:highlight w:val="none"/>
        </w:rPr>
        <w:t xml:space="preserve">、环境标志产品品目清单政府强制采购范围的，投标人必须在投标文</w:t>
      </w:r>
      <w:r>
        <w:rPr>
          <w:rFonts w:hint="eastAsia" w:ascii="宋体" w:hAnsi="宋体" w:cs="宋体"/>
          <w:bCs/>
          <w:color w:val="auto"/>
          <w:sz w:val="24"/>
          <w:szCs w:val="24"/>
          <w:highlight w:val="none"/>
        </w:rPr>
        <w:t xml:space="preserve">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3.为提升政府采购供应商的融资可得性，解决中小企业融资难问题，中</w:t>
      </w:r>
      <w:r>
        <w:rPr>
          <w:rFonts w:hint="eastAsia" w:ascii="宋体" w:hAnsi="宋体" w:cs="宋体"/>
          <w:bCs/>
          <w:color w:val="auto"/>
          <w:sz w:val="24"/>
          <w:szCs w:val="24"/>
          <w:highlight w:val="none"/>
        </w:rPr>
        <w:t xml:space="preserve">国人民银行、市财政局、市公共资源交易中心推出了政府采购线上应</w:t>
      </w:r>
      <w:r>
        <w:rPr>
          <w:rFonts w:hint="eastAsia" w:ascii="宋体" w:hAnsi="宋体" w:cs="宋体"/>
          <w:bCs/>
          <w:color w:val="auto"/>
          <w:sz w:val="24"/>
          <w:szCs w:val="24"/>
          <w:highlight w:val="none"/>
        </w:rPr>
        <w:t xml:space="preserve">收账款融资模式。各供应商如果有融资需求，可以凭借政府采购中标</w:t>
      </w:r>
      <w:r>
        <w:rPr>
          <w:rFonts w:hint="eastAsia" w:ascii="宋体" w:hAnsi="宋体" w:cs="宋体"/>
          <w:bCs/>
          <w:color w:val="auto"/>
          <w:sz w:val="24"/>
          <w:szCs w:val="24"/>
          <w:highlight w:val="none"/>
        </w:rPr>
        <w:t xml:space="preserve">（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4.供应商对于投标产品的包装应按照“财办库〔2020〕123号《关于印发《商品包装政府采购需求标准（试行）》《快递包装政府采购需求标准（试行）》的</w:t>
      </w:r>
      <w:r>
        <w:rPr>
          <w:rFonts w:hint="eastAsia" w:ascii="宋体" w:hAnsi="宋体" w:cs="宋体"/>
          <w:bCs/>
          <w:color w:val="auto"/>
          <w:sz w:val="24"/>
          <w:szCs w:val="24"/>
          <w:highlight w:val="none"/>
        </w:rPr>
        <w:t xml:space="preserve">通知》”执行。</w:t>
      </w:r>
      <w:r>
        <w:rPr>
          <w:rFonts w:hint="eastAsia" w:ascii="宋体" w:hAnsi="宋体" w:cs="宋体"/>
          <w:bCs/>
          <w:color w:val="auto"/>
          <w:sz w:val="24"/>
          <w:szCs w:val="24"/>
          <w:highlight w:val="none"/>
        </w:rPr>
      </w:r>
      <w:r>
        <w:rPr>
          <w:color w:val="auto"/>
          <w:highlight w:val="none"/>
        </w:rPr>
      </w:r>
    </w:p>
    <w:p>
      <w:pPr>
        <w:pStyle w:val="905"/>
        <w:ind w:firstLine="480"/>
        <w:tabs>
          <w:tab w:val="left" w:pos="9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p>
    <w:p>
      <w:pPr>
        <w:pStyle w:val="905"/>
        <w:jc w:val="center"/>
        <w:keepNext/>
        <w:rPr>
          <w:rFonts w:hint="eastAsia" w:ascii="宋体" w:hAnsi="宋体" w:cs="宋体"/>
          <w:color w:val="auto"/>
          <w:sz w:val="44"/>
          <w:szCs w:val="44"/>
          <w:highlight w:val="none"/>
        </w:rPr>
        <w:outlineLvl w:val="0"/>
      </w:pPr>
      <w:r>
        <w:rPr>
          <w:rFonts w:hint="eastAsia" w:ascii="宋体" w:hAnsi="宋体" w:cs="宋体"/>
          <w:bCs/>
          <w:color w:val="auto"/>
          <w:sz w:val="24"/>
          <w:szCs w:val="24"/>
          <w:highlight w:val="none"/>
        </w:rPr>
        <w:br w:type="page" w:clear="all"/>
      </w:r>
      <w:bookmarkStart w:id="43" w:name="_Toc17820"/>
      <w:r>
        <w:rPr>
          <w:rFonts w:hint="eastAsia" w:ascii="宋体" w:hAnsi="宋体" w:cs="宋体"/>
          <w:color w:val="auto"/>
          <w:sz w:val="44"/>
          <w:szCs w:val="44"/>
          <w:highlight w:val="none"/>
        </w:rPr>
        <w:t xml:space="preserve">第二章</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42"/>
      <w:r>
        <w:rPr>
          <w:color w:val="auto"/>
          <w:highlight w:val="none"/>
        </w:rPr>
      </w:r>
      <w:bookmarkStart w:id="44" w:name="_Toc120614213"/>
      <w:r>
        <w:rPr>
          <w:color w:val="auto"/>
          <w:highlight w:val="none"/>
        </w:rPr>
      </w:r>
      <w:bookmarkStart w:id="45" w:name="_Toc20823274"/>
      <w:r>
        <w:rPr>
          <w:color w:val="auto"/>
          <w:highlight w:val="none"/>
        </w:rPr>
      </w:r>
      <w:bookmarkStart w:id="46" w:name="_Toc16938518"/>
      <w:r>
        <w:rPr>
          <w:color w:val="auto"/>
          <w:highlight w:val="none"/>
        </w:rPr>
      </w:r>
      <w:bookmarkStart w:id="47" w:name="_Toc513029202"/>
      <w:r>
        <w:rPr>
          <w:rFonts w:hint="eastAsia" w:ascii="宋体" w:hAnsi="宋体" w:cs="宋体"/>
          <w:color w:val="auto"/>
          <w:sz w:val="44"/>
          <w:szCs w:val="44"/>
          <w:highlight w:val="none"/>
        </w:rPr>
        <w:t xml:space="preserve">  投标人须知</w:t>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bookmarkEnd w:id="47"/>
      <w:r>
        <w:rPr>
          <w:rFonts w:hint="eastAsia" w:ascii="宋体" w:hAnsi="宋体" w:cs="宋体"/>
          <w:color w:val="auto"/>
          <w:sz w:val="44"/>
          <w:szCs w:val="4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48" w:name="_Toc16938519"/>
      <w:r>
        <w:rPr>
          <w:color w:val="auto"/>
          <w:highlight w:val="none"/>
        </w:rPr>
      </w:r>
      <w:bookmarkStart w:id="49" w:name="_Toc120614214"/>
      <w:r>
        <w:rPr>
          <w:color w:val="auto"/>
          <w:highlight w:val="none"/>
        </w:rPr>
      </w:r>
      <w:bookmarkStart w:id="50" w:name="_Toc513029203"/>
      <w:r>
        <w:rPr>
          <w:color w:val="auto"/>
          <w:highlight w:val="none"/>
        </w:rPr>
      </w:r>
      <w:bookmarkStart w:id="51" w:name="_Toc20823275"/>
      <w:r>
        <w:rPr>
          <w:rFonts w:hint="eastAsia" w:ascii="宋体" w:hAnsi="宋体" w:cs="宋体"/>
          <w:b/>
          <w:bCs/>
          <w:color w:val="auto"/>
          <w:sz w:val="32"/>
          <w:szCs w:val="32"/>
          <w:highlight w:val="none"/>
        </w:rPr>
        <w:t xml:space="preserve">一、总则</w:t>
      </w:r>
      <w:bookmarkEnd w:id="48"/>
      <w:r>
        <w:rPr>
          <w:color w:val="auto"/>
          <w:highlight w:val="none"/>
        </w:rPr>
      </w:r>
      <w:bookmarkEnd w:id="49"/>
      <w:r>
        <w:rPr>
          <w:color w:val="auto"/>
          <w:highlight w:val="none"/>
        </w:rPr>
      </w:r>
      <w:bookmarkEnd w:id="50"/>
      <w:r>
        <w:rPr>
          <w:color w:val="auto"/>
          <w:highlight w:val="none"/>
        </w:rPr>
      </w:r>
      <w:bookmarkEnd w:id="51"/>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color w:val="auto"/>
          <w:sz w:val="24"/>
          <w:szCs w:val="24"/>
          <w:highlight w:val="none"/>
        </w:rPr>
        <w:outlineLvl w:val="3"/>
      </w:pPr>
      <w:r>
        <w:rPr>
          <w:color w:val="auto"/>
          <w:highlight w:val="none"/>
        </w:rPr>
      </w:r>
      <w:bookmarkStart w:id="52" w:name="_Hlt16619475"/>
      <w:r>
        <w:rPr>
          <w:color w:val="auto"/>
          <w:highlight w:val="none"/>
        </w:rPr>
      </w:r>
      <w:bookmarkEnd w:id="52"/>
      <w:r>
        <w:rPr>
          <w:color w:val="auto"/>
          <w:highlight w:val="none"/>
        </w:rPr>
      </w:r>
      <w:bookmarkStart w:id="53" w:name="_Toc458694821"/>
      <w:r>
        <w:rPr>
          <w:color w:val="auto"/>
          <w:highlight w:val="none"/>
        </w:rPr>
      </w:r>
      <w:bookmarkStart w:id="54" w:name="_Toc513029204"/>
      <w:r>
        <w:rPr>
          <w:color w:val="auto"/>
          <w:highlight w:val="none"/>
        </w:rPr>
      </w:r>
      <w:bookmarkStart w:id="55" w:name="_Toc16938520"/>
      <w:r>
        <w:rPr>
          <w:color w:val="auto"/>
          <w:highlight w:val="none"/>
        </w:rPr>
      </w:r>
      <w:bookmarkStart w:id="56" w:name="_Toc20823276"/>
      <w:r>
        <w:rPr>
          <w:rFonts w:hint="eastAsia" w:ascii="宋体" w:hAnsi="宋体" w:cs="宋体"/>
          <w:color w:val="auto"/>
          <w:sz w:val="24"/>
          <w:szCs w:val="24"/>
          <w:highlight w:val="none"/>
        </w:rPr>
        <w:t xml:space="preserve">1.</w:t>
      </w:r>
      <w:bookmarkEnd w:id="53"/>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rPr>
        <w:t xml:space="preserve">方式</w:t>
      </w:r>
      <w:bookmarkEnd w:id="54"/>
      <w:r>
        <w:rPr>
          <w:color w:val="auto"/>
          <w:highlight w:val="none"/>
        </w:rPr>
      </w:r>
      <w:bookmarkEnd w:id="55"/>
      <w:r>
        <w:rPr>
          <w:color w:val="auto"/>
          <w:highlight w:val="none"/>
        </w:rPr>
      </w:r>
      <w:bookmarkEnd w:id="56"/>
      <w:r>
        <w:rPr>
          <w:rFonts w:hint="eastAsia" w:ascii="宋体" w:hAnsi="宋体" w:cs="宋体"/>
          <w:color w:val="auto"/>
          <w:sz w:val="24"/>
          <w:szCs w:val="24"/>
          <w:highlight w:val="none"/>
        </w:rPr>
      </w:r>
      <w:r>
        <w:rPr>
          <w:color w:val="auto"/>
          <w:highlight w:val="none"/>
        </w:rPr>
      </w:r>
    </w:p>
    <w:p>
      <w:pPr>
        <w:pStyle w:val="905"/>
        <w:ind w:firstLine="480"/>
        <w:keepLines/>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本次招标采取公开招标方式，本招标文件仅适用于招标公告中所述项目。</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57" w:name="_Toc16938521"/>
      <w:r>
        <w:rPr>
          <w:color w:val="auto"/>
          <w:highlight w:val="none"/>
        </w:rPr>
      </w:r>
      <w:bookmarkStart w:id="58" w:name="_Toc20823277"/>
      <w:r>
        <w:rPr>
          <w:color w:val="auto"/>
          <w:highlight w:val="none"/>
        </w:rPr>
      </w:r>
      <w:bookmarkStart w:id="59" w:name="_Toc513029205"/>
      <w:r>
        <w:rPr>
          <w:rFonts w:hint="eastAsia" w:ascii="宋体" w:hAnsi="宋体" w:cs="宋体"/>
          <w:color w:val="auto"/>
          <w:sz w:val="24"/>
          <w:szCs w:val="24"/>
          <w:highlight w:val="none"/>
        </w:rPr>
        <w:t xml:space="preserve">2.合格的投标人</w:t>
      </w:r>
      <w:bookmarkEnd w:id="57"/>
      <w:r>
        <w:rPr>
          <w:color w:val="auto"/>
          <w:highlight w:val="none"/>
        </w:rPr>
      </w:r>
      <w:bookmarkEnd w:id="58"/>
      <w:r>
        <w:rPr>
          <w:color w:val="auto"/>
          <w:highlight w:val="none"/>
        </w:rPr>
      </w:r>
      <w:bookmarkEnd w:id="59"/>
      <w:r>
        <w:rPr>
          <w:rFonts w:hint="eastAsia" w:ascii="宋体" w:hAnsi="宋体" w:cs="宋体"/>
          <w:color w:val="auto"/>
          <w:sz w:val="24"/>
          <w:szCs w:val="24"/>
          <w:highlight w:val="none"/>
        </w:rPr>
      </w:r>
      <w:r>
        <w:rPr>
          <w:color w:val="auto"/>
          <w:highlight w:val="none"/>
        </w:rPr>
      </w:r>
    </w:p>
    <w:p>
      <w:pPr>
        <w:pStyle w:val="905"/>
        <w:ind w:firstLine="480"/>
        <w:keepLines/>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 满足招标公告中供应商的资格要求的规定。</w:t>
      </w:r>
      <w:r>
        <w:rPr>
          <w:rFonts w:hint="eastAsia" w:ascii="宋体" w:hAnsi="宋体" w:cs="宋体"/>
          <w:color w:val="auto"/>
          <w:sz w:val="24"/>
          <w:szCs w:val="24"/>
          <w:highlight w:val="none"/>
        </w:rPr>
      </w:r>
      <w:r>
        <w:rPr>
          <w:color w:val="auto"/>
          <w:highlight w:val="none"/>
        </w:rPr>
      </w:r>
    </w:p>
    <w:p>
      <w:pPr>
        <w:pStyle w:val="905"/>
        <w:ind w:firstLine="480"/>
        <w:keepLines/>
        <w:keepNex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满足本文件实质性要求和条件的规定。</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60" w:name="_Toc20823278"/>
      <w:r>
        <w:rPr>
          <w:color w:val="auto"/>
          <w:highlight w:val="none"/>
        </w:rPr>
      </w:r>
      <w:bookmarkStart w:id="61" w:name="_Toc16938522"/>
      <w:r>
        <w:rPr>
          <w:color w:val="auto"/>
          <w:highlight w:val="none"/>
        </w:rPr>
      </w:r>
      <w:bookmarkStart w:id="62" w:name="_Toc513029206"/>
      <w:r>
        <w:rPr>
          <w:rFonts w:hint="eastAsia" w:ascii="宋体" w:hAnsi="宋体" w:cs="宋体"/>
          <w:color w:val="auto"/>
          <w:sz w:val="24"/>
          <w:szCs w:val="24"/>
          <w:highlight w:val="none"/>
        </w:rPr>
        <w:t xml:space="preserve">3.适用法律</w:t>
      </w:r>
      <w:bookmarkEnd w:id="60"/>
      <w:r>
        <w:rPr>
          <w:color w:val="auto"/>
          <w:highlight w:val="none"/>
        </w:rPr>
      </w:r>
      <w:bookmarkEnd w:id="61"/>
      <w:r>
        <w:rPr>
          <w:color w:val="auto"/>
          <w:highlight w:val="none"/>
        </w:rPr>
      </w:r>
      <w:bookmarkEnd w:id="62"/>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 本次招标及由此产生的合同受中华人民共和国有关的法律法规制约和保护。</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3.2 在本项目政府采购活动过程中，如果所执行的标准有更新的，按照最新标准执行</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63" w:name="_Toc20823279"/>
      <w:r>
        <w:rPr>
          <w:color w:val="auto"/>
          <w:highlight w:val="none"/>
        </w:rPr>
      </w:r>
      <w:bookmarkStart w:id="64" w:name="_Toc16938523"/>
      <w:r>
        <w:rPr>
          <w:color w:val="auto"/>
          <w:highlight w:val="none"/>
        </w:rPr>
      </w:r>
      <w:bookmarkStart w:id="65" w:name="_Toc513029207"/>
      <w:r>
        <w:rPr>
          <w:color w:val="auto"/>
          <w:highlight w:val="none"/>
        </w:rPr>
      </w:r>
      <w:bookmarkStart w:id="66" w:name="_Toc462564067"/>
      <w:r>
        <w:rPr>
          <w:rFonts w:hint="eastAsia" w:ascii="宋体" w:hAnsi="宋体" w:cs="宋体"/>
          <w:color w:val="auto"/>
          <w:sz w:val="24"/>
          <w:szCs w:val="24"/>
          <w:highlight w:val="none"/>
        </w:rPr>
        <w:t xml:space="preserve">4.投标费用</w:t>
      </w:r>
      <w:bookmarkEnd w:id="63"/>
      <w:r>
        <w:rPr>
          <w:color w:val="auto"/>
          <w:highlight w:val="none"/>
        </w:rPr>
      </w:r>
      <w:bookmarkEnd w:id="64"/>
      <w:r>
        <w:rPr>
          <w:color w:val="auto"/>
          <w:highlight w:val="none"/>
        </w:rPr>
      </w:r>
      <w:bookmarkEnd w:id="65"/>
      <w:r>
        <w:rPr>
          <w:color w:val="auto"/>
          <w:highlight w:val="none"/>
        </w:rPr>
      </w:r>
      <w:bookmarkEnd w:id="66"/>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4.1</w:t>
      </w:r>
      <w:r>
        <w:rPr>
          <w:rFonts w:hint="eastAsia" w:ascii="宋体" w:hAnsi="宋体" w:cs="宋体"/>
          <w:color w:val="auto"/>
          <w:sz w:val="24"/>
          <w:szCs w:val="24"/>
          <w:highlight w:val="none"/>
        </w:rPr>
        <w:t xml:space="preserve"> 投标人应自行承担所有与参加投标有关的费用，无论投标过程中的做法和结果如</w:t>
      </w:r>
      <w:r>
        <w:rPr>
          <w:rFonts w:hint="eastAsia" w:ascii="宋体" w:hAnsi="宋体" w:cs="宋体"/>
          <w:color w:val="auto"/>
          <w:sz w:val="24"/>
          <w:szCs w:val="24"/>
          <w:highlight w:val="none"/>
        </w:rPr>
        <w:t xml:space="preserve">何，代理机构在任何情况下均无义务和责任承担这些费用。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w:t>
      </w:r>
      <w:r>
        <w:rPr>
          <w:rFonts w:hint="eastAsia" w:ascii="宋体" w:hAnsi="宋体" w:cs="宋体"/>
          <w:color w:val="auto"/>
          <w:sz w:val="24"/>
          <w:szCs w:val="24"/>
          <w:highlight w:val="none"/>
        </w:rPr>
        <w:t xml:space="preserve"> 本次招标代理机构不收取标书工本费。</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4.3 中标服务费收费标准：</w:t>
      </w:r>
      <w:r>
        <w:rPr>
          <w:rFonts w:hint="eastAsia" w:ascii="宋体" w:hAnsi="宋体" w:cs="宋体"/>
          <w:b/>
          <w:color w:val="auto"/>
          <w:sz w:val="24"/>
          <w:szCs w:val="24"/>
          <w:highlight w:val="none"/>
        </w:rPr>
        <w:t xml:space="preserve">采购代理机构以中标金额为基数，按照苏政采协【2024】20号文件货物类的招标收费标准向中标供应商收取招标服务费。</w:t>
      </w:r>
      <w:r>
        <w:rPr>
          <w:rFonts w:hint="eastAsia" w:ascii="宋体" w:hAnsi="宋体" w:cs="宋体"/>
          <w:color w:val="auto"/>
          <w:sz w:val="24"/>
          <w:szCs w:val="24"/>
          <w:highlight w:val="none"/>
          <w:u w:val="singl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5.招标文件的约束力</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投标人一旦参加本项目采购活动，即被认为接受了本招标文件的规定和约束。</w:t>
      </w:r>
      <w:bookmarkStart w:id="67" w:name="_Toc16938525"/>
      <w:r>
        <w:rPr>
          <w:color w:val="auto"/>
          <w:highlight w:val="none"/>
        </w:rPr>
      </w:r>
      <w:bookmarkStart w:id="68" w:name="_Toc120614215"/>
      <w:r>
        <w:rPr>
          <w:color w:val="auto"/>
          <w:highlight w:val="none"/>
        </w:rPr>
      </w:r>
      <w:bookmarkStart w:id="69" w:name="_Toc20823281"/>
      <w:r>
        <w:rPr>
          <w:color w:val="auto"/>
          <w:highlight w:val="none"/>
        </w:rPr>
      </w:r>
      <w:bookmarkStart w:id="70" w:name="_Toc513029209"/>
      <w:r>
        <w:rPr>
          <w:rFonts w:hint="eastAsia" w:ascii="宋体" w:hAnsi="宋体" w:cs="宋体"/>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二、招标文件</w:t>
      </w:r>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color w:val="auto"/>
          <w:sz w:val="24"/>
          <w:szCs w:val="24"/>
          <w:highlight w:val="none"/>
        </w:rPr>
        <w:outlineLvl w:val="3"/>
      </w:pPr>
      <w:r>
        <w:rPr>
          <w:color w:val="auto"/>
          <w:highlight w:val="none"/>
        </w:rPr>
      </w:r>
      <w:bookmarkEnd w:id="67"/>
      <w:r>
        <w:rPr>
          <w:color w:val="auto"/>
          <w:highlight w:val="none"/>
        </w:rPr>
      </w:r>
      <w:bookmarkEnd w:id="68"/>
      <w:r>
        <w:rPr>
          <w:color w:val="auto"/>
          <w:highlight w:val="none"/>
        </w:rPr>
      </w:r>
      <w:bookmarkEnd w:id="69"/>
      <w:r>
        <w:rPr>
          <w:color w:val="auto"/>
          <w:highlight w:val="none"/>
        </w:rPr>
      </w:r>
      <w:bookmarkEnd w:id="70"/>
      <w:r>
        <w:rPr>
          <w:color w:val="auto"/>
          <w:highlight w:val="none"/>
        </w:rPr>
      </w:r>
      <w:bookmarkStart w:id="71" w:name="_Toc20823282"/>
      <w:r>
        <w:rPr>
          <w:color w:val="auto"/>
          <w:highlight w:val="none"/>
        </w:rPr>
      </w:r>
      <w:bookmarkStart w:id="72" w:name="_Toc16938526"/>
      <w:r>
        <w:rPr>
          <w:color w:val="auto"/>
          <w:highlight w:val="none"/>
        </w:rPr>
      </w:r>
      <w:bookmarkStart w:id="73" w:name="_Toc513029210"/>
      <w:r>
        <w:rPr>
          <w:rFonts w:hint="eastAsia" w:ascii="宋体" w:hAnsi="宋体" w:cs="宋体"/>
          <w:color w:val="auto"/>
          <w:sz w:val="24"/>
          <w:szCs w:val="24"/>
          <w:highlight w:val="none"/>
        </w:rPr>
        <w:t xml:space="preserve">6.招标文件构成</w:t>
      </w:r>
      <w:bookmarkEnd w:id="71"/>
      <w:r>
        <w:rPr>
          <w:color w:val="auto"/>
          <w:highlight w:val="none"/>
        </w:rPr>
      </w:r>
      <w:bookmarkEnd w:id="72"/>
      <w:r>
        <w:rPr>
          <w:color w:val="auto"/>
          <w:highlight w:val="none"/>
        </w:rPr>
      </w:r>
      <w:bookmarkEnd w:id="73"/>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 招标文件由以下部分组成：</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（6）投标文件</w:t>
      </w: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请仔细检查招标文件是否齐全，如有缺漏请立即与代理机构联</w:t>
      </w:r>
      <w:r>
        <w:rPr>
          <w:rFonts w:hint="eastAsia" w:ascii="宋体" w:hAnsi="宋体" w:cs="宋体"/>
          <w:color w:val="auto"/>
          <w:sz w:val="24"/>
          <w:szCs w:val="24"/>
          <w:highlight w:val="none"/>
        </w:rPr>
        <w:t xml:space="preserve">系解决。</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6.2</w:t>
      </w:r>
      <w:r>
        <w:rPr>
          <w:rFonts w:hint="eastAsia" w:ascii="宋体" w:hAnsi="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74" w:name="_Toc462564070"/>
      <w:r>
        <w:rPr>
          <w:color w:val="auto"/>
          <w:highlight w:val="none"/>
        </w:rPr>
      </w:r>
      <w:bookmarkStart w:id="75" w:name="_Toc513029211"/>
      <w:r>
        <w:rPr>
          <w:color w:val="auto"/>
          <w:highlight w:val="none"/>
        </w:rPr>
      </w:r>
      <w:bookmarkStart w:id="76" w:name="_Toc20823283"/>
      <w:r>
        <w:rPr>
          <w:color w:val="auto"/>
          <w:highlight w:val="none"/>
        </w:rPr>
      </w:r>
      <w:bookmarkStart w:id="77" w:name="_Toc16938527"/>
      <w:r>
        <w:rPr>
          <w:rFonts w:hint="eastAsia" w:ascii="宋体" w:hAnsi="宋体" w:cs="宋体"/>
          <w:color w:val="auto"/>
          <w:sz w:val="24"/>
          <w:szCs w:val="24"/>
          <w:highlight w:val="none"/>
        </w:rPr>
        <w:t xml:space="preserve">7.招标文件的澄清</w:t>
      </w:r>
      <w:bookmarkEnd w:id="74"/>
      <w:r>
        <w:rPr>
          <w:color w:val="auto"/>
          <w:highlight w:val="none"/>
        </w:rPr>
      </w:r>
      <w:bookmarkEnd w:id="75"/>
      <w:r>
        <w:rPr>
          <w:color w:val="auto"/>
          <w:highlight w:val="none"/>
        </w:rPr>
      </w:r>
      <w:bookmarkEnd w:id="76"/>
      <w:r>
        <w:rPr>
          <w:color w:val="auto"/>
          <w:highlight w:val="none"/>
        </w:rPr>
      </w:r>
      <w:bookmarkEnd w:id="77"/>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7.1</w:t>
      </w:r>
      <w:r>
        <w:rPr>
          <w:rFonts w:hint="eastAsia" w:ascii="宋体" w:hAnsi="宋体" w:cs="宋体"/>
          <w:color w:val="auto"/>
          <w:sz w:val="24"/>
          <w:szCs w:val="24"/>
          <w:highlight w:val="none"/>
        </w:rPr>
        <w:t xml:space="preserve"> 任何要求对招标文件进行澄清的投标人，应在投标截止期</w:t>
      </w:r>
      <w:r>
        <w:rPr>
          <w:rFonts w:hint="eastAsia" w:ascii="宋体" w:hAnsi="宋体" w:cs="宋体"/>
          <w:b/>
          <w:color w:val="auto"/>
          <w:sz w:val="24"/>
          <w:szCs w:val="24"/>
          <w:highlight w:val="none"/>
        </w:rPr>
        <w:t xml:space="preserve">十日</w:t>
      </w:r>
      <w:r>
        <w:rPr>
          <w:rFonts w:hint="eastAsia" w:ascii="宋体" w:hAnsi="宋体" w:cs="宋体"/>
          <w:color w:val="auto"/>
          <w:sz w:val="24"/>
          <w:szCs w:val="24"/>
          <w:highlight w:val="none"/>
        </w:rPr>
        <w:t xml:space="preserve">前按招标公告中的通讯地址，以书面形式通知代理机构。</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78" w:name="_Toc462564071"/>
      <w:r>
        <w:rPr>
          <w:color w:val="auto"/>
          <w:highlight w:val="none"/>
        </w:rPr>
      </w:r>
      <w:bookmarkStart w:id="79" w:name="_Toc513029212"/>
      <w:r>
        <w:rPr>
          <w:color w:val="auto"/>
          <w:highlight w:val="none"/>
        </w:rPr>
      </w:r>
      <w:bookmarkStart w:id="80" w:name="_Toc20823284"/>
      <w:r>
        <w:rPr>
          <w:color w:val="auto"/>
          <w:highlight w:val="none"/>
        </w:rPr>
      </w:r>
      <w:bookmarkStart w:id="81" w:name="_Toc16938528"/>
      <w:r>
        <w:rPr>
          <w:rFonts w:hint="eastAsia" w:ascii="宋体" w:hAnsi="宋体" w:cs="宋体"/>
          <w:color w:val="auto"/>
          <w:sz w:val="24"/>
          <w:szCs w:val="24"/>
          <w:highlight w:val="none"/>
        </w:rPr>
        <w:t xml:space="preserve">8.招标文件的修改</w:t>
      </w:r>
      <w:bookmarkEnd w:id="78"/>
      <w:r>
        <w:rPr>
          <w:color w:val="auto"/>
          <w:highlight w:val="none"/>
        </w:rPr>
      </w:r>
      <w:bookmarkEnd w:id="79"/>
      <w:r>
        <w:rPr>
          <w:color w:val="auto"/>
          <w:highlight w:val="none"/>
        </w:rPr>
      </w:r>
      <w:bookmarkEnd w:id="80"/>
      <w:r>
        <w:rPr>
          <w:color w:val="auto"/>
          <w:highlight w:val="none"/>
        </w:rPr>
      </w:r>
      <w:bookmarkEnd w:id="81"/>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8.1</w:t>
      </w:r>
      <w:r>
        <w:rPr>
          <w:rFonts w:hint="eastAsia" w:ascii="宋体" w:hAnsi="宋体" w:cs="宋体"/>
          <w:color w:val="auto"/>
          <w:sz w:val="24"/>
          <w:szCs w:val="24"/>
          <w:highlight w:val="none"/>
        </w:rPr>
        <w:t xml:space="preserve"> 在投标截止时间前，</w:t>
      </w:r>
      <w:r>
        <w:rPr>
          <w:rFonts w:hint="eastAsia" w:ascii="宋体" w:hAnsi="宋体" w:cs="宋体"/>
          <w:bCs/>
          <w:color w:val="auto"/>
          <w:sz w:val="24"/>
          <w:szCs w:val="24"/>
          <w:highlight w:val="none"/>
        </w:rPr>
        <w:t xml:space="preserve">代理机构</w:t>
      </w:r>
      <w:r>
        <w:rPr>
          <w:rFonts w:hint="eastAsia" w:ascii="宋体" w:hAnsi="宋体" w:cs="宋体"/>
          <w:color w:val="auto"/>
          <w:sz w:val="24"/>
          <w:szCs w:val="24"/>
          <w:highlight w:val="none"/>
        </w:rPr>
        <w:t xml:space="preserve">可以对招标文件进行修改。</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8.2 代理机构</w:t>
      </w:r>
      <w:r>
        <w:rPr>
          <w:rFonts w:hint="eastAsia" w:ascii="宋体" w:hAnsi="宋体" w:cs="宋体"/>
          <w:color w:val="auto"/>
          <w:sz w:val="24"/>
          <w:szCs w:val="24"/>
          <w:highlight w:val="none"/>
        </w:rPr>
        <w:t xml:space="preserve">有权按</w:t>
      </w:r>
      <w:r>
        <w:rPr>
          <w:rFonts w:hint="eastAsia" w:ascii="宋体" w:hAnsi="宋体" w:cs="宋体"/>
          <w:color w:val="auto"/>
          <w:sz w:val="24"/>
          <w:szCs w:val="24"/>
          <w:highlight w:val="none"/>
        </w:rPr>
        <w:t xml:space="preserve">照法定的要求推迟投标截止日期和开标日期。</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8.3 </w:t>
      </w:r>
      <w:r>
        <w:rPr>
          <w:rFonts w:hint="eastAsia" w:ascii="宋体" w:hAnsi="宋体" w:cs="宋体"/>
          <w:color w:val="auto"/>
          <w:sz w:val="24"/>
          <w:szCs w:val="24"/>
          <w:highlight w:val="none"/>
        </w:rPr>
        <w:t xml:space="preserve">招标文件的</w:t>
      </w:r>
      <w:r>
        <w:rPr>
          <w:rFonts w:hint="eastAsia" w:ascii="宋体" w:hAnsi="宋体" w:cs="宋体"/>
          <w:color w:val="auto"/>
          <w:sz w:val="24"/>
          <w:szCs w:val="24"/>
          <w:highlight w:val="none"/>
        </w:rPr>
        <w:t xml:space="preserve">修改将在江</w:t>
      </w:r>
      <w:r>
        <w:rPr>
          <w:rFonts w:hint="eastAsia" w:ascii="宋体" w:hAnsi="宋体" w:cs="宋体"/>
          <w:color w:val="auto"/>
          <w:sz w:val="24"/>
          <w:szCs w:val="24"/>
          <w:highlight w:val="none"/>
        </w:rPr>
        <w:t xml:space="preserve">苏政府采购网公布，补充文件将作为招标文件的组成部分，并对投标人具有约束力。</w:t>
      </w:r>
      <w:r>
        <w:rPr>
          <w:rFonts w:hint="eastAsia" w:ascii="宋体" w:hAnsi="宋体" w:cs="宋体"/>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82" w:name="_Toc20823285"/>
      <w:r>
        <w:rPr>
          <w:color w:val="auto"/>
          <w:highlight w:val="none"/>
        </w:rPr>
      </w:r>
      <w:bookmarkStart w:id="83" w:name="_Toc120614216"/>
      <w:r>
        <w:rPr>
          <w:color w:val="auto"/>
          <w:highlight w:val="none"/>
        </w:rPr>
      </w:r>
      <w:bookmarkStart w:id="84" w:name="_Toc462564072"/>
      <w:r>
        <w:rPr>
          <w:color w:val="auto"/>
          <w:highlight w:val="none"/>
        </w:rPr>
      </w:r>
      <w:bookmarkStart w:id="85" w:name="_Toc16938529"/>
      <w:r>
        <w:rPr>
          <w:color w:val="auto"/>
          <w:highlight w:val="none"/>
        </w:rPr>
      </w:r>
      <w:bookmarkStart w:id="86" w:name="_Toc513029213"/>
      <w:r>
        <w:rPr>
          <w:rFonts w:hint="eastAsia" w:ascii="宋体" w:hAnsi="宋体" w:cs="宋体"/>
          <w:b/>
          <w:bCs/>
          <w:color w:val="auto"/>
          <w:sz w:val="32"/>
          <w:szCs w:val="32"/>
          <w:highlight w:val="none"/>
        </w:rPr>
        <w:t xml:space="preserve">三、投标文件的编制</w:t>
      </w:r>
      <w:bookmarkEnd w:id="82"/>
      <w:r>
        <w:rPr>
          <w:color w:val="auto"/>
          <w:highlight w:val="none"/>
        </w:rPr>
      </w:r>
      <w:bookmarkEnd w:id="83"/>
      <w:r>
        <w:rPr>
          <w:color w:val="auto"/>
          <w:highlight w:val="none"/>
        </w:rPr>
      </w:r>
      <w:bookmarkEnd w:id="84"/>
      <w:r>
        <w:rPr>
          <w:color w:val="auto"/>
          <w:highlight w:val="none"/>
        </w:rPr>
      </w:r>
      <w:bookmarkEnd w:id="85"/>
      <w:r>
        <w:rPr>
          <w:color w:val="auto"/>
          <w:highlight w:val="none"/>
        </w:rPr>
      </w:r>
      <w:bookmarkEnd w:id="86"/>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b/>
          <w:color w:val="auto"/>
          <w:sz w:val="24"/>
          <w:szCs w:val="24"/>
          <w:highlight w:val="none"/>
        </w:rPr>
        <w:outlineLvl w:val="3"/>
      </w:pPr>
      <w:r>
        <w:rPr>
          <w:color w:val="auto"/>
          <w:highlight w:val="none"/>
        </w:rPr>
      </w:r>
      <w:bookmarkStart w:id="87" w:name="_Toc20823286"/>
      <w:r>
        <w:rPr>
          <w:color w:val="auto"/>
          <w:highlight w:val="none"/>
        </w:rPr>
      </w:r>
      <w:bookmarkStart w:id="88" w:name="_Toc462564073"/>
      <w:r>
        <w:rPr>
          <w:color w:val="auto"/>
          <w:highlight w:val="none"/>
        </w:rPr>
      </w:r>
      <w:bookmarkStart w:id="89" w:name="_Toc16938530"/>
      <w:r>
        <w:rPr>
          <w:color w:val="auto"/>
          <w:highlight w:val="none"/>
        </w:rPr>
      </w:r>
      <w:bookmarkStart w:id="90" w:name="_Toc513029214"/>
      <w:r>
        <w:rPr>
          <w:rFonts w:hint="eastAsia" w:ascii="宋体" w:hAnsi="宋体" w:cs="宋体"/>
          <w:color w:val="auto"/>
          <w:sz w:val="24"/>
          <w:szCs w:val="24"/>
          <w:highlight w:val="none"/>
        </w:rPr>
        <w:t xml:space="preserve">9.投标文件的语言及度量衡单位</w:t>
      </w:r>
      <w:bookmarkEnd w:id="87"/>
      <w:r>
        <w:rPr>
          <w:color w:val="auto"/>
          <w:highlight w:val="none"/>
        </w:rPr>
      </w:r>
      <w:bookmarkEnd w:id="88"/>
      <w:r>
        <w:rPr>
          <w:color w:val="auto"/>
          <w:highlight w:val="none"/>
        </w:rPr>
      </w:r>
      <w:bookmarkEnd w:id="89"/>
      <w:r>
        <w:rPr>
          <w:color w:val="auto"/>
          <w:highlight w:val="none"/>
        </w:rPr>
      </w:r>
      <w:bookmarkEnd w:id="90"/>
      <w:r>
        <w:rPr>
          <w:rFonts w:hint="eastAsia" w:ascii="宋体" w:hAnsi="宋体" w:cs="宋体"/>
          <w:b/>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9.1</w:t>
      </w:r>
      <w:r>
        <w:rPr>
          <w:rFonts w:hint="eastAsia" w:ascii="宋体" w:hAnsi="宋体" w:cs="宋体"/>
          <w:color w:val="auto"/>
          <w:sz w:val="24"/>
          <w:szCs w:val="24"/>
          <w:highlight w:val="none"/>
        </w:rPr>
        <w:t xml:space="preserve"> 投标人提交的投标文件以及投标人与</w:t>
      </w:r>
      <w:r>
        <w:rPr>
          <w:rFonts w:hint="eastAsia" w:ascii="宋体" w:hAnsi="宋体" w:cs="宋体"/>
          <w:bCs/>
          <w:color w:val="auto"/>
          <w:sz w:val="24"/>
          <w:szCs w:val="24"/>
          <w:highlight w:val="none"/>
        </w:rPr>
        <w:t xml:space="preserve">代理机构</w:t>
      </w:r>
      <w:r>
        <w:rPr>
          <w:rFonts w:hint="eastAsia" w:ascii="宋体" w:hAnsi="宋体" w:cs="宋体"/>
          <w:color w:val="auto"/>
          <w:sz w:val="24"/>
          <w:szCs w:val="24"/>
          <w:highlight w:val="none"/>
        </w:rPr>
        <w:t xml:space="preserve">就有关投标的所有来往通知、函件和文件均应使用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9.2</w:t>
      </w:r>
      <w:r>
        <w:rPr>
          <w:rFonts w:hint="eastAsia" w:ascii="宋体" w:hAnsi="宋体" w:cs="宋体"/>
          <w:color w:val="auto"/>
          <w:sz w:val="24"/>
          <w:szCs w:val="24"/>
          <w:highlight w:val="none"/>
        </w:rPr>
        <w:t xml:space="preserve"> 除技术性能另有规定外，投标文件所使用的度量衡单位，均须采用国家法定计量单位。</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91" w:name="_Toc16938531"/>
      <w:r>
        <w:rPr>
          <w:color w:val="auto"/>
          <w:highlight w:val="none"/>
        </w:rPr>
      </w:r>
      <w:bookmarkStart w:id="92" w:name="_Toc20823287"/>
      <w:r>
        <w:rPr>
          <w:color w:val="auto"/>
          <w:highlight w:val="none"/>
        </w:rPr>
      </w:r>
      <w:bookmarkStart w:id="93" w:name="_Toc513029215"/>
      <w:r>
        <w:rPr>
          <w:color w:val="auto"/>
          <w:highlight w:val="none"/>
        </w:rPr>
      </w:r>
      <w:bookmarkStart w:id="94" w:name="_Toc462564074"/>
      <w:r>
        <w:rPr>
          <w:rFonts w:hint="eastAsia" w:ascii="宋体" w:hAnsi="宋体" w:cs="宋体"/>
          <w:color w:val="auto"/>
          <w:sz w:val="24"/>
          <w:szCs w:val="24"/>
          <w:highlight w:val="none"/>
        </w:rPr>
        <w:t xml:space="preserve">10.投标文件构成</w:t>
      </w:r>
      <w:bookmarkEnd w:id="91"/>
      <w:r>
        <w:rPr>
          <w:color w:val="auto"/>
          <w:highlight w:val="none"/>
        </w:rPr>
      </w:r>
      <w:bookmarkEnd w:id="92"/>
      <w:r>
        <w:rPr>
          <w:color w:val="auto"/>
          <w:highlight w:val="none"/>
        </w:rPr>
      </w:r>
      <w:bookmarkEnd w:id="93"/>
      <w:r>
        <w:rPr>
          <w:color w:val="auto"/>
          <w:highlight w:val="none"/>
        </w:rPr>
      </w:r>
      <w:bookmarkEnd w:id="94"/>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10.1</w:t>
      </w:r>
      <w:r>
        <w:rPr>
          <w:rFonts w:hint="eastAsia" w:ascii="宋体" w:hAnsi="宋体" w:cs="宋体"/>
          <w:color w:val="auto"/>
          <w:sz w:val="24"/>
          <w:szCs w:val="24"/>
          <w:highlight w:val="none"/>
        </w:rPr>
        <w:t xml:space="preserve"> 投标人编写的投标文件应包括</w:t>
      </w:r>
      <w:r>
        <w:rPr>
          <w:rFonts w:hint="eastAsia" w:ascii="宋体" w:hAnsi="宋体" w:cs="宋体"/>
          <w:color w:val="auto"/>
          <w:sz w:val="24"/>
          <w:szCs w:val="24"/>
          <w:highlight w:val="none"/>
          <w:u w:val="single"/>
        </w:rPr>
        <w:t xml:space="preserve">资格证明文件、符合性证明文件、投标分项报价表、技术要求响应及偏离表、</w:t>
      </w:r>
      <w:r>
        <w:rPr>
          <w:rFonts w:hint="eastAsia" w:ascii="宋体" w:hAnsi="宋体" w:cs="宋体"/>
          <w:color w:val="auto"/>
          <w:sz w:val="24"/>
          <w:szCs w:val="24"/>
          <w:highlight w:val="none"/>
          <w:u w:val="single"/>
        </w:rPr>
        <w:t xml:space="preserve">商务要求响应及偏离表、其他证明文件、投标函、开标一览表</w:t>
      </w:r>
      <w:r>
        <w:rPr>
          <w:rFonts w:hint="eastAsia" w:ascii="宋体" w:hAnsi="宋体" w:cs="宋体"/>
          <w:color w:val="auto"/>
          <w:sz w:val="24"/>
          <w:szCs w:val="24"/>
          <w:highlight w:val="none"/>
        </w:rPr>
        <w:t xml:space="preserve">等部分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95" w:name="_Hlt26668975"/>
      <w:r>
        <w:rPr>
          <w:color w:val="auto"/>
          <w:highlight w:val="none"/>
        </w:rPr>
      </w:r>
      <w:bookmarkEnd w:id="95"/>
      <w:r>
        <w:rPr>
          <w:color w:val="auto"/>
          <w:highlight w:val="none"/>
        </w:rPr>
      </w:r>
      <w:bookmarkStart w:id="96" w:name="_Hlt26954838"/>
      <w:r>
        <w:rPr>
          <w:color w:val="auto"/>
          <w:highlight w:val="none"/>
        </w:rPr>
      </w:r>
      <w:bookmarkEnd w:id="96"/>
      <w:r>
        <w:rPr>
          <w:color w:val="auto"/>
          <w:highlight w:val="none"/>
        </w:rPr>
      </w:r>
      <w:bookmarkStart w:id="97" w:name="_Hlt26670360"/>
      <w:r>
        <w:rPr>
          <w:color w:val="auto"/>
          <w:highlight w:val="none"/>
        </w:rPr>
      </w:r>
      <w:bookmarkEnd w:id="97"/>
      <w:r>
        <w:rPr>
          <w:color w:val="auto"/>
          <w:highlight w:val="none"/>
        </w:rPr>
      </w:r>
      <w:bookmarkStart w:id="98" w:name="_Toc49090509"/>
      <w:r>
        <w:rPr>
          <w:color w:val="auto"/>
          <w:highlight w:val="none"/>
        </w:rPr>
      </w:r>
      <w:bookmarkStart w:id="99" w:name="_Toc14577357"/>
      <w:r>
        <w:rPr>
          <w:color w:val="auto"/>
          <w:highlight w:val="none"/>
        </w:rPr>
      </w:r>
      <w:bookmarkStart w:id="100" w:name="_Toc513029219"/>
      <w:r>
        <w:rPr>
          <w:color w:val="auto"/>
          <w:highlight w:val="none"/>
        </w:rPr>
      </w:r>
      <w:bookmarkStart w:id="101" w:name="_Toc14577354"/>
      <w:r>
        <w:rPr>
          <w:color w:val="auto"/>
          <w:highlight w:val="none"/>
        </w:rPr>
      </w:r>
      <w:bookmarkStart w:id="102" w:name="_Toc49090507"/>
      <w:r>
        <w:rPr>
          <w:color w:val="auto"/>
          <w:highlight w:val="none"/>
        </w:rPr>
      </w:r>
      <w:bookmarkStart w:id="103" w:name="_Toc513029216"/>
      <w:r>
        <w:rPr>
          <w:color w:val="auto"/>
          <w:highlight w:val="none"/>
        </w:rPr>
      </w:r>
      <w:bookmarkStart w:id="104" w:name="_Toc49090508"/>
      <w:r>
        <w:rPr>
          <w:color w:val="auto"/>
          <w:highlight w:val="none"/>
        </w:rPr>
      </w:r>
      <w:bookmarkStart w:id="105" w:name="_Toc14577355"/>
      <w:r>
        <w:rPr>
          <w:rFonts w:hint="eastAsia" w:ascii="宋体" w:hAnsi="宋体" w:cs="宋体"/>
          <w:color w:val="auto"/>
          <w:sz w:val="24"/>
          <w:szCs w:val="24"/>
          <w:highlight w:val="none"/>
        </w:rPr>
        <w:t xml:space="preserve">11.证明投标人及投标标的符合招标文件规定的文件</w:t>
      </w:r>
      <w:bookmarkEnd w:id="98"/>
      <w:r>
        <w:rPr>
          <w:color w:val="auto"/>
          <w:highlight w:val="none"/>
        </w:rPr>
      </w:r>
      <w:bookmarkEnd w:id="99"/>
      <w:r>
        <w:rPr>
          <w:color w:val="auto"/>
          <w:highlight w:val="none"/>
        </w:rPr>
      </w:r>
      <w:bookmarkEnd w:id="100"/>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End w:id="101"/>
      <w:r>
        <w:rPr>
          <w:color w:val="auto"/>
          <w:highlight w:val="none"/>
        </w:rPr>
      </w:r>
      <w:bookmarkEnd w:id="102"/>
      <w:r>
        <w:rPr>
          <w:color w:val="auto"/>
          <w:highlight w:val="none"/>
        </w:rPr>
      </w:r>
      <w:bookmarkEnd w:id="103"/>
      <w:r>
        <w:rPr>
          <w:rFonts w:hint="eastAsia" w:ascii="宋体" w:hAnsi="宋体" w:cs="宋体"/>
          <w:color w:val="auto"/>
          <w:sz w:val="24"/>
          <w:szCs w:val="24"/>
          <w:highlight w:val="none"/>
        </w:rPr>
        <w:t xml:space="preserve">11.1 投标人应按照招标文件要求提交证明文件，证明其及投标标的符合招标文件规定。</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招标文件对证明文件无明确形式要求的，证明文件可以以文字资料、图纸和数据等形式提交。</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End w:id="104"/>
      <w:r>
        <w:rPr>
          <w:color w:val="auto"/>
          <w:highlight w:val="none"/>
        </w:rPr>
      </w:r>
      <w:bookmarkEnd w:id="105"/>
      <w:r>
        <w:rPr>
          <w:rFonts w:hint="eastAsia" w:ascii="宋体" w:hAnsi="宋体" w:cs="宋体"/>
          <w:color w:val="auto"/>
          <w:sz w:val="24"/>
          <w:szCs w:val="24"/>
          <w:highlight w:val="none"/>
        </w:rPr>
        <w:t xml:space="preserve">12.投标分项报价表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12.1</w:t>
      </w:r>
      <w:r>
        <w:rPr>
          <w:rFonts w:hint="eastAsia" w:ascii="宋体" w:hAnsi="宋体" w:cs="宋体"/>
          <w:color w:val="auto"/>
          <w:sz w:val="24"/>
          <w:szCs w:val="24"/>
          <w:highlight w:val="none"/>
        </w:rPr>
        <w:t xml:space="preserve"> 投标人应按照招标文件规定格式填报投标分项报价表。</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12.2 </w:t>
      </w:r>
      <w:r>
        <w:rPr>
          <w:rFonts w:hint="eastAsia" w:ascii="宋体" w:hAnsi="宋体" w:cs="宋体"/>
          <w:bCs/>
          <w:color w:val="auto"/>
          <w:sz w:val="24"/>
          <w:szCs w:val="24"/>
          <w:highlight w:val="none"/>
        </w:rPr>
        <w:t xml:space="preserve">投标货</w:t>
      </w:r>
      <w:r>
        <w:rPr>
          <w:rFonts w:hint="eastAsia" w:ascii="宋体" w:hAnsi="宋体" w:cs="宋体"/>
          <w:bCs/>
          <w:color w:val="auto"/>
          <w:sz w:val="24"/>
          <w:szCs w:val="24"/>
          <w:highlight w:val="none"/>
        </w:rPr>
        <w:t xml:space="preserve">币。投标文件中的单价和总价无特殊规定的采用人民币报价，以元为</w:t>
      </w:r>
      <w:r>
        <w:rPr>
          <w:rFonts w:hint="eastAsia" w:ascii="宋体" w:hAnsi="宋体" w:cs="宋体"/>
          <w:bCs/>
          <w:color w:val="auto"/>
          <w:sz w:val="24"/>
          <w:szCs w:val="24"/>
          <w:highlight w:val="none"/>
        </w:rPr>
        <w:t xml:space="preserve">单位标注。</w:t>
      </w:r>
      <w:r>
        <w:rPr>
          <w:rFonts w:hint="eastAsia" w:ascii="宋体" w:hAnsi="宋体" w:cs="宋体"/>
          <w:color w:val="auto"/>
          <w:sz w:val="24"/>
          <w:szCs w:val="24"/>
          <w:highlight w:val="none"/>
        </w:rPr>
        <w:t xml:space="preserve">招标文件中另有规定的按规定执行。</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06" w:name="_Hlt26670482"/>
      <w:r>
        <w:rPr>
          <w:color w:val="auto"/>
          <w:highlight w:val="none"/>
        </w:rPr>
      </w:r>
      <w:bookmarkEnd w:id="106"/>
      <w:r>
        <w:rPr>
          <w:color w:val="auto"/>
          <w:highlight w:val="none"/>
        </w:rPr>
      </w:r>
      <w:bookmarkStart w:id="107" w:name="_Hlt26670486"/>
      <w:r>
        <w:rPr>
          <w:color w:val="auto"/>
          <w:highlight w:val="none"/>
        </w:rPr>
      </w:r>
      <w:bookmarkEnd w:id="107"/>
      <w:r>
        <w:rPr>
          <w:color w:val="auto"/>
          <w:highlight w:val="none"/>
        </w:rPr>
      </w:r>
      <w:bookmarkStart w:id="108" w:name="_Hlt26954731"/>
      <w:r>
        <w:rPr>
          <w:color w:val="auto"/>
          <w:highlight w:val="none"/>
        </w:rPr>
      </w:r>
      <w:bookmarkEnd w:id="108"/>
      <w:r>
        <w:rPr>
          <w:color w:val="auto"/>
          <w:highlight w:val="none"/>
        </w:rPr>
      </w:r>
      <w:bookmarkStart w:id="109" w:name="_Hlt26954846"/>
      <w:r>
        <w:rPr>
          <w:color w:val="auto"/>
          <w:highlight w:val="none"/>
        </w:rPr>
      </w:r>
      <w:bookmarkEnd w:id="109"/>
      <w:r>
        <w:rPr>
          <w:color w:val="auto"/>
          <w:highlight w:val="none"/>
        </w:rPr>
      </w:r>
      <w:bookmarkStart w:id="110" w:name="_Hlt26954848"/>
      <w:r>
        <w:rPr>
          <w:color w:val="auto"/>
          <w:highlight w:val="none"/>
        </w:rPr>
      </w:r>
      <w:bookmarkEnd w:id="110"/>
      <w:r>
        <w:rPr>
          <w:rFonts w:hint="eastAsia" w:ascii="宋体" w:hAnsi="宋体" w:cs="宋体"/>
          <w:color w:val="auto"/>
          <w:sz w:val="24"/>
          <w:szCs w:val="24"/>
          <w:highlight w:val="none"/>
        </w:rPr>
        <w:t xml:space="preserve">13.技术要求响应及偏离表、商务要求响应及偏离表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lang w:val="zh-CN"/>
        </w:rPr>
        <w:t xml:space="preserve">13.1 </w:t>
      </w:r>
      <w:r>
        <w:rPr>
          <w:rFonts w:hint="eastAsia" w:ascii="宋体" w:hAnsi="宋体" w:cs="宋体"/>
          <w:color w:val="auto"/>
          <w:sz w:val="24"/>
          <w:szCs w:val="24"/>
          <w:highlight w:val="none"/>
          <w:lang w:val="zh-CN"/>
        </w:rPr>
        <w:t xml:space="preserve">投标人需对招标文件中的</w:t>
      </w:r>
      <w:r>
        <w:rPr>
          <w:rFonts w:hint="eastAsia" w:ascii="宋体" w:hAnsi="宋体" w:cs="宋体"/>
          <w:color w:val="auto"/>
          <w:sz w:val="24"/>
          <w:szCs w:val="24"/>
          <w:highlight w:val="none"/>
          <w:lang w:val="zh-CN"/>
        </w:rPr>
        <w:t xml:space="preserve">技术要求与商务要求</w:t>
      </w:r>
      <w:r>
        <w:rPr>
          <w:rFonts w:hint="eastAsia" w:ascii="宋体" w:hAnsi="宋体" w:cs="宋体"/>
          <w:color w:val="auto"/>
          <w:sz w:val="24"/>
          <w:szCs w:val="24"/>
          <w:highlight w:val="none"/>
          <w:lang w:val="zh-CN"/>
        </w:rPr>
        <w:t xml:space="preserve">作出响应或偏离，并说明原因。</w:t>
      </w:r>
      <w:r>
        <w:rPr>
          <w:rFonts w:hint="eastAsia" w:ascii="宋体" w:hAnsi="宋体" w:cs="宋体"/>
          <w:color w:val="auto"/>
          <w:sz w:val="24"/>
          <w:szCs w:val="24"/>
          <w:highlight w:val="none"/>
          <w:lang w:val="zh-CN"/>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13.2 投标人可在投标文件中提供认为需要的其他技术文件或说明。</w:t>
      </w:r>
      <w:r>
        <w:rPr>
          <w:rFonts w:hint="eastAsia" w:ascii="宋体" w:hAnsi="宋体" w:cs="宋体"/>
          <w:color w:val="auto"/>
          <w:sz w:val="24"/>
          <w:szCs w:val="24"/>
          <w:highlight w:val="none"/>
          <w:lang w:val="zh-CN"/>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14.服务承诺、培训计划、人员安排及其他</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14.1 </w:t>
      </w:r>
      <w:r>
        <w:rPr>
          <w:rFonts w:hint="eastAsia" w:ascii="宋体" w:hAnsi="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投标人需根据招</w:t>
      </w:r>
      <w:r>
        <w:rPr>
          <w:rFonts w:hint="eastAsia" w:ascii="宋体" w:hAnsi="宋体" w:cs="宋体"/>
          <w:color w:val="auto"/>
          <w:sz w:val="24"/>
          <w:szCs w:val="24"/>
          <w:highlight w:val="none"/>
        </w:rPr>
        <w:t xml:space="preserve">标文件要求提供培训计划。</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 投标人需根据招标文件要求</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lang w:val="zh-CN"/>
        </w:rPr>
        <w:t xml:space="preserve">所投标的的主要组成部分、功能设计、实现思路及关键技术等。</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11" w:name="_Toc49090510"/>
      <w:r>
        <w:rPr>
          <w:color w:val="auto"/>
          <w:highlight w:val="none"/>
        </w:rPr>
      </w:r>
      <w:bookmarkStart w:id="112" w:name="_Toc14577359"/>
      <w:r>
        <w:rPr>
          <w:rFonts w:hint="eastAsia" w:ascii="宋体" w:hAnsi="宋体" w:cs="宋体"/>
          <w:color w:val="auto"/>
          <w:sz w:val="24"/>
          <w:szCs w:val="24"/>
          <w:highlight w:val="none"/>
        </w:rPr>
        <w:t xml:space="preserve">15.投标函和开标一览表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15.1</w:t>
      </w:r>
      <w:r>
        <w:rPr>
          <w:rFonts w:hint="eastAsia" w:ascii="宋体" w:hAnsi="宋体" w:cs="宋体"/>
          <w:color w:val="auto"/>
          <w:sz w:val="24"/>
          <w:szCs w:val="24"/>
          <w:highlight w:val="none"/>
        </w:rPr>
        <w:t xml:space="preserve"> 投标人应按照招标文件中提供的格式完整、正确填写投标函、开标一览表。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End w:id="111"/>
      <w:r>
        <w:rPr>
          <w:color w:val="auto"/>
          <w:highlight w:val="none"/>
        </w:rPr>
      </w:r>
      <w:bookmarkEnd w:id="112"/>
      <w:r>
        <w:rPr>
          <w:color w:val="auto"/>
          <w:highlight w:val="none"/>
        </w:rPr>
      </w:r>
      <w:bookmarkStart w:id="113" w:name="_Toc49090511"/>
      <w:r>
        <w:rPr>
          <w:color w:val="auto"/>
          <w:highlight w:val="none"/>
        </w:rPr>
      </w:r>
      <w:bookmarkStart w:id="114" w:name="_Toc14577360"/>
      <w:r>
        <w:rPr>
          <w:rFonts w:hint="eastAsia" w:ascii="宋体" w:hAnsi="宋体" w:cs="宋体"/>
          <w:color w:val="auto"/>
          <w:sz w:val="24"/>
          <w:szCs w:val="24"/>
          <w:highlight w:val="none"/>
        </w:rPr>
        <w:t xml:space="preserve">16.投标有效期</w:t>
      </w:r>
      <w:bookmarkEnd w:id="113"/>
      <w:r>
        <w:rPr>
          <w:color w:val="auto"/>
          <w:highlight w:val="none"/>
        </w:rPr>
      </w:r>
      <w:bookmarkEnd w:id="114"/>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16.1 投标有效期为开标之日后</w:t>
      </w:r>
      <w:r>
        <w:rPr>
          <w:rFonts w:hint="eastAsia" w:ascii="宋体" w:hAnsi="宋体" w:cs="宋体"/>
          <w:b/>
          <w:color w:val="auto"/>
          <w:sz w:val="24"/>
          <w:szCs w:val="24"/>
          <w:highlight w:val="none"/>
          <w:u w:val="single"/>
        </w:rPr>
        <w:t xml:space="preserve">六十（60）天</w:t>
      </w:r>
      <w:r>
        <w:rPr>
          <w:rFonts w:hint="eastAsia" w:ascii="宋体" w:hAnsi="宋体" w:cs="宋体"/>
          <w:bCs/>
          <w:color w:val="auto"/>
          <w:sz w:val="24"/>
          <w:szCs w:val="24"/>
          <w:highlight w:val="none"/>
        </w:rPr>
        <w:t xml:space="preserve">。投标有效期比规定短的将被视为未实质性响应招标文件而予以拒绝。</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17.投标有效期的延长</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17.1 在特殊情况下，</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于</w:t>
      </w:r>
      <w:r>
        <w:rPr>
          <w:rFonts w:hint="eastAsia" w:ascii="宋体" w:hAnsi="宋体" w:cs="宋体"/>
          <w:bCs/>
          <w:color w:val="auto"/>
          <w:sz w:val="24"/>
          <w:szCs w:val="24"/>
          <w:highlight w:val="none"/>
        </w:rPr>
        <w:t xml:space="preserve">原</w:t>
      </w:r>
      <w:r>
        <w:rPr>
          <w:rFonts w:hint="eastAsia" w:ascii="宋体" w:hAnsi="宋体" w:cs="宋体"/>
          <w:bCs/>
          <w:color w:val="auto"/>
          <w:sz w:val="24"/>
          <w:szCs w:val="24"/>
          <w:highlight w:val="none"/>
        </w:rPr>
        <w:t xml:space="preserve">投标有效期满之前，可向投标人提出延长投标有效期的要求。这种要求与答复均应采用书面形式。投标人可以拒绝</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的这一要求而放弃投标，同意延长投标有效期的投标人既不能要求也不允许修改其投标文件。</w:t>
      </w:r>
      <w:r>
        <w:rPr>
          <w:rFonts w:hint="eastAsia" w:ascii="宋体" w:hAnsi="宋体" w:cs="宋体"/>
          <w:color w:val="auto"/>
          <w:sz w:val="24"/>
          <w:szCs w:val="24"/>
          <w:highlight w:val="none"/>
        </w:rPr>
        <w:t xml:space="preserve">受投标有效期约束的所有权利与义务均延长至新的有效期</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15" w:name="_Hlt26954852"/>
      <w:r>
        <w:rPr>
          <w:color w:val="auto"/>
          <w:highlight w:val="none"/>
        </w:rPr>
      </w:r>
      <w:bookmarkEnd w:id="115"/>
      <w:r>
        <w:rPr>
          <w:color w:val="auto"/>
          <w:highlight w:val="none"/>
        </w:rPr>
      </w:r>
      <w:bookmarkStart w:id="116" w:name="_Hlt26954739"/>
      <w:r>
        <w:rPr>
          <w:color w:val="auto"/>
          <w:highlight w:val="none"/>
        </w:rPr>
      </w:r>
      <w:bookmarkEnd w:id="116"/>
      <w:r>
        <w:rPr>
          <w:color w:val="auto"/>
          <w:highlight w:val="none"/>
        </w:rPr>
      </w:r>
      <w:bookmarkStart w:id="117" w:name="_Toc20823296"/>
      <w:r>
        <w:rPr>
          <w:color w:val="auto"/>
          <w:highlight w:val="none"/>
        </w:rPr>
      </w:r>
      <w:bookmarkStart w:id="118" w:name="_Toc513029224"/>
      <w:r>
        <w:rPr>
          <w:color w:val="auto"/>
          <w:highlight w:val="none"/>
        </w:rPr>
      </w:r>
      <w:bookmarkStart w:id="119" w:name="_Toc120614217"/>
      <w:r>
        <w:rPr>
          <w:color w:val="auto"/>
          <w:highlight w:val="none"/>
        </w:rPr>
      </w:r>
      <w:bookmarkStart w:id="120" w:name="_Toc16938540"/>
      <w:r>
        <w:rPr>
          <w:rFonts w:hint="eastAsia" w:ascii="宋体" w:hAnsi="宋体" w:cs="宋体"/>
          <w:b/>
          <w:bCs/>
          <w:color w:val="auto"/>
          <w:sz w:val="32"/>
          <w:szCs w:val="32"/>
          <w:highlight w:val="none"/>
        </w:rPr>
        <w:t xml:space="preserve">四、投标文件的递交</w:t>
      </w:r>
      <w:bookmarkEnd w:id="117"/>
      <w:r>
        <w:rPr>
          <w:color w:val="auto"/>
          <w:highlight w:val="none"/>
        </w:rPr>
      </w:r>
      <w:bookmarkEnd w:id="118"/>
      <w:r>
        <w:rPr>
          <w:color w:val="auto"/>
          <w:highlight w:val="none"/>
        </w:rPr>
      </w:r>
      <w:bookmarkEnd w:id="119"/>
      <w:r>
        <w:rPr>
          <w:color w:val="auto"/>
          <w:highlight w:val="none"/>
        </w:rPr>
      </w:r>
      <w:bookmarkEnd w:id="120"/>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color w:val="auto"/>
          <w:sz w:val="24"/>
          <w:szCs w:val="24"/>
          <w:highlight w:val="none"/>
        </w:rPr>
        <w:outlineLvl w:val="3"/>
      </w:pPr>
      <w:r>
        <w:rPr>
          <w:color w:val="auto"/>
          <w:highlight w:val="none"/>
        </w:rPr>
      </w:r>
      <w:bookmarkStart w:id="121" w:name="_Toc513029225"/>
      <w:r>
        <w:rPr>
          <w:color w:val="auto"/>
          <w:highlight w:val="none"/>
        </w:rPr>
      </w:r>
      <w:bookmarkStart w:id="122" w:name="_Toc16938541"/>
      <w:r>
        <w:rPr>
          <w:color w:val="auto"/>
          <w:highlight w:val="none"/>
        </w:rPr>
      </w:r>
      <w:bookmarkStart w:id="123" w:name="_Toc20823297"/>
      <w:r>
        <w:rPr>
          <w:color w:val="auto"/>
          <w:highlight w:val="none"/>
        </w:rPr>
      </w:r>
      <w:bookmarkStart w:id="124" w:name="_Toc462564084"/>
      <w:r>
        <w:rPr>
          <w:rFonts w:hint="eastAsia" w:ascii="宋体" w:hAnsi="宋体" w:cs="宋体"/>
          <w:color w:val="auto"/>
          <w:sz w:val="24"/>
          <w:szCs w:val="24"/>
          <w:highlight w:val="none"/>
        </w:rPr>
        <w:t xml:space="preserve">18.电子投标文件</w:t>
      </w:r>
      <w:bookmarkEnd w:id="121"/>
      <w:r>
        <w:rPr>
          <w:color w:val="auto"/>
          <w:highlight w:val="none"/>
        </w:rPr>
      </w:r>
      <w:bookmarkEnd w:id="122"/>
      <w:r>
        <w:rPr>
          <w:color w:val="auto"/>
          <w:highlight w:val="none"/>
        </w:rPr>
      </w:r>
      <w:bookmarkEnd w:id="123"/>
      <w:r>
        <w:rPr>
          <w:color w:val="auto"/>
          <w:highlight w:val="none"/>
        </w:rPr>
      </w:r>
      <w:bookmarkEnd w:id="124"/>
      <w:r>
        <w:rPr>
          <w:rFonts w:hint="eastAsia" w:ascii="宋体" w:hAnsi="宋体" w:cs="宋体"/>
          <w:color w:val="auto"/>
          <w:sz w:val="24"/>
          <w:szCs w:val="24"/>
          <w:highlight w:val="none"/>
        </w:rPr>
        <w:t xml:space="preserve">的递交</w:t>
      </w:r>
      <w:r>
        <w:rPr>
          <w:rFonts w:hint="eastAsia" w:ascii="宋体" w:hAnsi="宋体" w:cs="宋体"/>
          <w:color w:val="auto"/>
          <w:sz w:val="24"/>
          <w:szCs w:val="24"/>
          <w:highlight w:val="none"/>
        </w:rPr>
      </w:r>
      <w:r>
        <w:rPr>
          <w:color w:val="auto"/>
          <w:highlight w:val="none"/>
        </w:rPr>
      </w:r>
    </w:p>
    <w:p>
      <w:pPr>
        <w:pStyle w:val="905"/>
        <w:ind w:firstLine="480"/>
        <w:keepLines/>
        <w:keepNex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投标人应当按照《操作手册》规定，在投标截止时间前制作并上传电子投标文件。</w:t>
      </w:r>
      <w:bookmarkStart w:id="125" w:name="_Toc16938542"/>
      <w:r>
        <w:rPr>
          <w:color w:val="auto"/>
          <w:highlight w:val="none"/>
        </w:rPr>
      </w:r>
      <w:bookmarkStart w:id="126" w:name="_Toc513029226"/>
      <w:r>
        <w:rPr>
          <w:color w:val="auto"/>
          <w:highlight w:val="none"/>
        </w:rPr>
      </w:r>
      <w:bookmarkStart w:id="127" w:name="_Toc20823298"/>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19.投标截止日期</w:t>
      </w:r>
      <w:bookmarkEnd w:id="125"/>
      <w:r>
        <w:rPr>
          <w:color w:val="auto"/>
          <w:highlight w:val="none"/>
        </w:rPr>
      </w:r>
      <w:bookmarkEnd w:id="126"/>
      <w:r>
        <w:rPr>
          <w:color w:val="auto"/>
          <w:highlight w:val="none"/>
        </w:rPr>
      </w:r>
      <w:bookmarkEnd w:id="127"/>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i/>
          <w:color w:val="auto"/>
          <w:sz w:val="24"/>
          <w:szCs w:val="24"/>
          <w:highlight w:val="none"/>
          <w:u w:val="single"/>
        </w:rPr>
      </w:pPr>
      <w:r>
        <w:rPr>
          <w:rFonts w:hint="eastAsia" w:ascii="宋体" w:hAnsi="宋体" w:cs="宋体"/>
          <w:i/>
          <w:color w:val="auto"/>
          <w:sz w:val="24"/>
          <w:szCs w:val="24"/>
          <w:highlight w:val="none"/>
          <w:u w:val="single"/>
        </w:rPr>
        <w:t xml:space="preserve">19.1</w:t>
      </w:r>
      <w:r>
        <w:rPr>
          <w:rFonts w:hint="eastAsia" w:ascii="宋体" w:hAnsi="宋体" w:cs="宋体"/>
          <w:bCs/>
          <w:i/>
          <w:color w:val="auto"/>
          <w:sz w:val="24"/>
          <w:szCs w:val="24"/>
          <w:highlight w:val="none"/>
          <w:u w:val="single"/>
        </w:rPr>
        <w:t xml:space="preserve"> 投标人上传电子投标文件的时间不得迟于招标公告中规定的投标</w:t>
      </w:r>
      <w:r>
        <w:rPr>
          <w:rFonts w:hint="eastAsia" w:ascii="宋体" w:hAnsi="宋体" w:cs="宋体"/>
          <w:bCs/>
          <w:i/>
          <w:color w:val="auto"/>
          <w:sz w:val="24"/>
          <w:szCs w:val="24"/>
          <w:highlight w:val="none"/>
          <w:u w:val="single"/>
        </w:rPr>
        <w:t xml:space="preserve">截止时间。</w:t>
      </w:r>
      <w:r>
        <w:rPr>
          <w:rFonts w:hint="eastAsia" w:ascii="宋体" w:hAnsi="宋体" w:cs="宋体"/>
          <w:bCs/>
          <w:i/>
          <w:color w:val="auto"/>
          <w:sz w:val="24"/>
          <w:szCs w:val="24"/>
          <w:highlight w:val="none"/>
          <w:u w:val="singl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投标人应充分考虑到网络环境、网络带宽等风险因素，</w:t>
      </w:r>
      <w:r>
        <w:rPr>
          <w:rFonts w:hint="eastAsia" w:ascii="宋体" w:hAnsi="宋体" w:cs="宋体"/>
          <w:bCs/>
          <w:color w:val="auto"/>
          <w:sz w:val="24"/>
          <w:szCs w:val="24"/>
          <w:highlight w:val="none"/>
        </w:rPr>
        <w:t xml:space="preserve">如因投标人自身原因造成的电子投标文件上传不成功的</w:t>
      </w:r>
      <w:r>
        <w:rPr>
          <w:rFonts w:hint="eastAsia" w:ascii="宋体" w:hAnsi="宋体" w:cs="宋体"/>
          <w:bCs/>
          <w:color w:val="auto"/>
          <w:sz w:val="24"/>
          <w:szCs w:val="24"/>
          <w:highlight w:val="none"/>
        </w:rPr>
        <w:t xml:space="preserve">按照本招标文件第二章第27.1.2条规定做无效投标处理。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19.2 </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28" w:name="_Toc513029227"/>
      <w:r>
        <w:rPr>
          <w:color w:val="auto"/>
          <w:highlight w:val="none"/>
        </w:rPr>
      </w:r>
      <w:bookmarkStart w:id="129" w:name="_Toc16938543"/>
      <w:r>
        <w:rPr>
          <w:color w:val="auto"/>
          <w:highlight w:val="none"/>
        </w:rPr>
      </w:r>
      <w:bookmarkStart w:id="130" w:name="_Toc20823299"/>
      <w:r>
        <w:rPr>
          <w:rFonts w:hint="eastAsia" w:ascii="宋体" w:hAnsi="宋体" w:cs="宋体"/>
          <w:color w:val="auto"/>
          <w:sz w:val="24"/>
          <w:szCs w:val="24"/>
          <w:highlight w:val="none"/>
        </w:rPr>
        <w:t xml:space="preserve">20.投标文件</w:t>
      </w:r>
      <w:bookmarkEnd w:id="128"/>
      <w:r>
        <w:rPr>
          <w:color w:val="auto"/>
          <w:highlight w:val="none"/>
        </w:rPr>
      </w:r>
      <w:bookmarkEnd w:id="129"/>
      <w:r>
        <w:rPr>
          <w:color w:val="auto"/>
          <w:highlight w:val="none"/>
        </w:rPr>
      </w:r>
      <w:bookmarkEnd w:id="130"/>
      <w:r>
        <w:rPr>
          <w:rFonts w:hint="eastAsia" w:ascii="宋体" w:hAnsi="宋体" w:cs="宋体"/>
          <w:color w:val="auto"/>
          <w:sz w:val="24"/>
          <w:szCs w:val="24"/>
          <w:highlight w:val="none"/>
        </w:rPr>
        <w:t xml:space="preserve">的拒收</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20.1 </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拒绝接收在其规定的投标截止时间后上传的任何投标文件。</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31" w:name="_Toc513029228"/>
      <w:r>
        <w:rPr>
          <w:color w:val="auto"/>
          <w:highlight w:val="none"/>
        </w:rPr>
      </w:r>
      <w:bookmarkStart w:id="132" w:name="_Toc16938544"/>
      <w:r>
        <w:rPr>
          <w:color w:val="auto"/>
          <w:highlight w:val="none"/>
        </w:rPr>
      </w:r>
      <w:bookmarkStart w:id="133" w:name="_Toc20823300"/>
      <w:r>
        <w:rPr>
          <w:rFonts w:hint="eastAsia" w:ascii="宋体" w:hAnsi="宋体" w:cs="宋体"/>
          <w:color w:val="auto"/>
          <w:sz w:val="24"/>
          <w:szCs w:val="24"/>
          <w:highlight w:val="none"/>
        </w:rPr>
        <w:t xml:space="preserve">21.投标文件的撤回和修改</w:t>
      </w:r>
      <w:bookmarkEnd w:id="131"/>
      <w:r>
        <w:rPr>
          <w:color w:val="auto"/>
          <w:highlight w:val="none"/>
        </w:rPr>
      </w:r>
      <w:bookmarkEnd w:id="132"/>
      <w:r>
        <w:rPr>
          <w:color w:val="auto"/>
          <w:highlight w:val="none"/>
        </w:rPr>
      </w:r>
      <w:bookmarkEnd w:id="133"/>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投标文件的撤回</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21.1.1 电子投标文件的撤回</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rPr>
        <w:t xml:space="preserve">人可在投标截止时间前，撤回其电子投标文件，具体操作方法见《操</w:t>
      </w:r>
      <w:r>
        <w:rPr>
          <w:rFonts w:hint="eastAsia" w:ascii="宋体" w:hAnsi="宋体" w:cs="宋体"/>
          <w:color w:val="auto"/>
          <w:sz w:val="24"/>
          <w:szCs w:val="24"/>
          <w:highlight w:val="none"/>
        </w:rPr>
        <w:t xml:space="preserve">作手册》。</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21.1.2 投标人撤回电子投标文件，则认为其不再参与本项目投标活动。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投标文件的修改</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21.2.1 投标人可在投标截止时间前，对其电子投标文件进行修改，具体操作方法见《操作手册》。</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21.2.2</w:t>
      </w:r>
      <w:r>
        <w:rPr>
          <w:rFonts w:hint="eastAsia" w:ascii="宋体" w:hAnsi="宋体" w:cs="宋体"/>
          <w:bCs/>
          <w:color w:val="auto"/>
          <w:sz w:val="24"/>
          <w:szCs w:val="24"/>
          <w:highlight w:val="none"/>
        </w:rPr>
        <w:t xml:space="preserve"> 在投标截止时间之后，投标人不得对其电子投标文件作任何修改。</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21.3</w:t>
      </w:r>
      <w:r>
        <w:rPr>
          <w:rFonts w:hint="eastAsia" w:ascii="宋体" w:hAnsi="宋体" w:cs="宋体"/>
          <w:bCs/>
          <w:color w:val="auto"/>
          <w:sz w:val="24"/>
          <w:szCs w:val="24"/>
          <w:highlight w:val="none"/>
        </w:rPr>
        <w:t xml:space="preserve"> 在投标截止时间至招标文件中规定的投标有效期满之间的这段时间内，投标人不得撤回其投标。</w:t>
      </w:r>
      <w:r>
        <w:rPr>
          <w:rFonts w:hint="eastAsia" w:ascii="宋体" w:hAnsi="宋体" w:cs="宋体"/>
          <w:bCs/>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34" w:name="_Toc120614218"/>
      <w:r>
        <w:rPr>
          <w:color w:val="auto"/>
          <w:highlight w:val="none"/>
        </w:rPr>
      </w:r>
      <w:bookmarkStart w:id="135" w:name="_Toc20823301"/>
      <w:r>
        <w:rPr>
          <w:color w:val="auto"/>
          <w:highlight w:val="none"/>
        </w:rPr>
      </w:r>
      <w:bookmarkStart w:id="136" w:name="_Toc16938545"/>
      <w:r>
        <w:rPr>
          <w:color w:val="auto"/>
          <w:highlight w:val="none"/>
        </w:rPr>
      </w:r>
      <w:bookmarkStart w:id="137" w:name="_Toc513029229"/>
      <w:r>
        <w:rPr>
          <w:rFonts w:hint="eastAsia" w:ascii="宋体" w:hAnsi="宋体" w:cs="宋体"/>
          <w:b/>
          <w:bCs/>
          <w:color w:val="auto"/>
          <w:sz w:val="32"/>
          <w:szCs w:val="32"/>
          <w:highlight w:val="none"/>
        </w:rPr>
        <w:t xml:space="preserve">五、开标与评标</w:t>
      </w:r>
      <w:bookmarkEnd w:id="134"/>
      <w:r>
        <w:rPr>
          <w:color w:val="auto"/>
          <w:highlight w:val="none"/>
        </w:rPr>
      </w:r>
      <w:bookmarkEnd w:id="135"/>
      <w:r>
        <w:rPr>
          <w:color w:val="auto"/>
          <w:highlight w:val="none"/>
        </w:rPr>
      </w:r>
      <w:bookmarkEnd w:id="136"/>
      <w:r>
        <w:rPr>
          <w:color w:val="auto"/>
          <w:highlight w:val="none"/>
        </w:rPr>
      </w:r>
      <w:bookmarkEnd w:id="137"/>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color w:val="auto"/>
          <w:sz w:val="24"/>
          <w:szCs w:val="24"/>
          <w:highlight w:val="none"/>
        </w:rPr>
        <w:outlineLvl w:val="3"/>
      </w:pPr>
      <w:r>
        <w:rPr>
          <w:color w:val="auto"/>
          <w:highlight w:val="none"/>
        </w:rPr>
      </w:r>
      <w:bookmarkStart w:id="138" w:name="_Toc20823302"/>
      <w:r>
        <w:rPr>
          <w:color w:val="auto"/>
          <w:highlight w:val="none"/>
        </w:rPr>
      </w:r>
      <w:bookmarkStart w:id="139" w:name="_Toc513029230"/>
      <w:r>
        <w:rPr>
          <w:color w:val="auto"/>
          <w:highlight w:val="none"/>
        </w:rPr>
      </w:r>
      <w:bookmarkStart w:id="140" w:name="_Toc16938546"/>
      <w:r>
        <w:rPr>
          <w:rFonts w:hint="eastAsia" w:ascii="宋体" w:hAnsi="宋体" w:cs="宋体"/>
          <w:color w:val="auto"/>
          <w:sz w:val="24"/>
          <w:szCs w:val="24"/>
          <w:highlight w:val="none"/>
        </w:rPr>
        <w:t xml:space="preserve">22.开标</w:t>
      </w:r>
      <w:bookmarkEnd w:id="138"/>
      <w:r>
        <w:rPr>
          <w:color w:val="auto"/>
          <w:highlight w:val="none"/>
        </w:rPr>
      </w:r>
      <w:bookmarkEnd w:id="139"/>
      <w:r>
        <w:rPr>
          <w:color w:val="auto"/>
          <w:highlight w:val="none"/>
        </w:rPr>
      </w:r>
      <w:bookmarkEnd w:id="140"/>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 </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将在招标公告中规定的时间和地点</w:t>
      </w:r>
      <w:r>
        <w:rPr>
          <w:rFonts w:hint="eastAsia" w:ascii="宋体" w:hAnsi="宋体" w:cs="宋体"/>
          <w:bCs/>
          <w:color w:val="auto"/>
          <w:sz w:val="24"/>
          <w:szCs w:val="24"/>
          <w:highlight w:val="none"/>
        </w:rPr>
        <w:t xml:space="preserve">组织公开开标</w:t>
      </w:r>
      <w:r>
        <w:rPr>
          <w:rFonts w:hint="eastAsia" w:ascii="宋体" w:hAnsi="宋体" w:cs="宋体"/>
          <w:color w:val="auto"/>
          <w:sz w:val="24"/>
          <w:szCs w:val="24"/>
          <w:highlight w:val="none"/>
        </w:rPr>
        <w:t xml:space="preserve">。投标人应当按照《操作手册》规定，参加开标活动和</w:t>
      </w:r>
      <w:r>
        <w:rPr>
          <w:rFonts w:hint="eastAsia" w:ascii="宋体" w:hAnsi="宋体" w:cs="宋体"/>
          <w:color w:val="auto"/>
          <w:sz w:val="24"/>
          <w:szCs w:val="24"/>
          <w:highlight w:val="none"/>
        </w:rPr>
        <w:t xml:space="preserve">在</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规定的时间内对投标文件进行解密。</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22.2 </w:t>
      </w:r>
      <w:r>
        <w:rPr>
          <w:rFonts w:hint="eastAsia" w:ascii="宋体" w:hAnsi="宋体" w:cs="宋体"/>
          <w:color w:val="auto"/>
          <w:sz w:val="24"/>
          <w:szCs w:val="24"/>
          <w:highlight w:val="none"/>
        </w:rPr>
        <w:t xml:space="preserve">开标仪式由</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rPr>
        <w:t xml:space="preserve">组织。</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将自动对项目进行开标，并宣布各投标人名称和投标价格。</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22.3 投标人在开标过程中涉及到的投标文件解密、开标结果确认等工作，应按照《操作手册》规定执行。</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 投标人如果对开标过程和开标记录有疑义，应当根据《操作手册》规定提出，如 </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中《开标记录表》宣布后5分钟内未提出的，视同认可开标结果。</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41" w:name="_Toc16938547"/>
      <w:r>
        <w:rPr>
          <w:color w:val="auto"/>
          <w:highlight w:val="none"/>
        </w:rPr>
      </w:r>
      <w:bookmarkStart w:id="142" w:name="_Toc20823303"/>
      <w:r>
        <w:rPr>
          <w:color w:val="auto"/>
          <w:highlight w:val="none"/>
        </w:rPr>
      </w:r>
      <w:bookmarkStart w:id="143" w:name="_Toc513029231"/>
      <w:r>
        <w:rPr>
          <w:rFonts w:hint="eastAsia" w:ascii="宋体" w:hAnsi="宋体" w:cs="宋体"/>
          <w:color w:val="auto"/>
          <w:sz w:val="24"/>
          <w:szCs w:val="24"/>
          <w:highlight w:val="none"/>
        </w:rPr>
        <w:t xml:space="preserve">23.评标委员会</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23.1</w:t>
      </w: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开标后，</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rPr>
        <w:t xml:space="preserve">将立即组织评</w:t>
      </w:r>
      <w:r>
        <w:rPr>
          <w:rFonts w:hint="eastAsia" w:ascii="宋体" w:hAnsi="宋体" w:cs="宋体"/>
          <w:color w:val="auto"/>
          <w:sz w:val="24"/>
          <w:szCs w:val="24"/>
          <w:highlight w:val="none"/>
        </w:rPr>
        <w:t xml:space="preserve">标委员会（以下简称评委会）进行评标。</w:t>
      </w:r>
      <w:r>
        <w:rPr>
          <w:rFonts w:hint="eastAsia" w:ascii="宋体" w:hAnsi="宋体" w:cs="宋体"/>
          <w:b/>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评委会由采购</w:t>
      </w:r>
      <w:r>
        <w:rPr>
          <w:rFonts w:hint="eastAsia" w:ascii="宋体" w:hAnsi="宋体" w:cs="宋体"/>
          <w:color w:val="auto"/>
          <w:sz w:val="24"/>
          <w:szCs w:val="24"/>
          <w:highlight w:val="none"/>
        </w:rPr>
        <w:t xml:space="preserve">人代表和有关技术、经济</w:t>
      </w:r>
      <w:r>
        <w:rPr>
          <w:rFonts w:hint="eastAsia" w:ascii="宋体" w:hAnsi="宋体" w:cs="宋体"/>
          <w:color w:val="auto"/>
          <w:sz w:val="24"/>
          <w:szCs w:val="24"/>
          <w:highlight w:val="none"/>
        </w:rPr>
        <w:t xml:space="preserve">等方面的专家组成，且人员构成符合政府采购有关规定。</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23.3评委会独立工作，负责评审所有投标文件并确定中标候选人。</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24.评标过程的保密与公正</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color w:val="auto"/>
          <w:highlight w:val="none"/>
        </w:rPr>
      </w:r>
      <w:bookmarkEnd w:id="141"/>
      <w:r>
        <w:rPr>
          <w:color w:val="auto"/>
          <w:highlight w:val="none"/>
        </w:rPr>
      </w:r>
      <w:bookmarkEnd w:id="142"/>
      <w:r>
        <w:rPr>
          <w:color w:val="auto"/>
          <w:highlight w:val="none"/>
        </w:rPr>
      </w:r>
      <w:bookmarkEnd w:id="143"/>
      <w:r>
        <w:rPr>
          <w:rFonts w:hint="eastAsia" w:ascii="宋体" w:hAnsi="宋体" w:cs="宋体"/>
          <w:color w:val="auto"/>
          <w:sz w:val="24"/>
          <w:szCs w:val="24"/>
          <w:highlight w:val="none"/>
        </w:rPr>
        <w:t xml:space="preserve">24.1 </w:t>
      </w:r>
      <w:r>
        <w:rPr>
          <w:rFonts w:hint="eastAsia" w:ascii="宋体" w:hAnsi="宋体" w:cs="宋体"/>
          <w:bCs/>
          <w:color w:val="auto"/>
          <w:sz w:val="24"/>
          <w:szCs w:val="24"/>
          <w:highlight w:val="none"/>
        </w:rPr>
        <w:t xml:space="preserve">凡是与审查、澄清、评价和比较投标的有关资料以及授标建议等，采购人、评委、</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均不得向投标人或与评标无关的其他人员透露。</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在评标过程中，投标人不得以任何行为影响评标过程，否则其投标文件将被作为无效投标文件。</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 </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rPr>
        <w:t xml:space="preserve">和评标委员会不向未中标的投标人解释未中</w:t>
      </w:r>
      <w:r>
        <w:rPr>
          <w:rFonts w:hint="eastAsia" w:ascii="宋体" w:hAnsi="宋体" w:cs="宋体"/>
          <w:color w:val="auto"/>
          <w:sz w:val="24"/>
          <w:szCs w:val="24"/>
          <w:highlight w:val="none"/>
        </w:rPr>
        <w:t xml:space="preserve">标原因，也不公布评标过程中的相关细节。</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 采用综合评</w:t>
      </w:r>
      <w:r>
        <w:rPr>
          <w:rFonts w:hint="eastAsia" w:ascii="宋体" w:hAnsi="宋体" w:cs="宋体"/>
          <w:color w:val="auto"/>
          <w:sz w:val="24"/>
          <w:szCs w:val="24"/>
          <w:highlight w:val="none"/>
        </w:rPr>
        <w:t xml:space="preserve">分法的项目，未中标的</w:t>
      </w:r>
      <w:r>
        <w:rPr>
          <w:rFonts w:hint="eastAsia" w:ascii="宋体" w:hAnsi="宋体" w:cs="宋体"/>
          <w:color w:val="auto"/>
          <w:sz w:val="24"/>
          <w:szCs w:val="24"/>
          <w:highlight w:val="none"/>
        </w:rPr>
        <w:t xml:space="preserve">投标人可于中标结果公告期限届满之日起通过</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查看自己的评审得分及排序情况。</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Start w:id="144" w:name="_Toc16938548"/>
      <w:r>
        <w:rPr>
          <w:color w:val="auto"/>
          <w:highlight w:val="none"/>
        </w:rPr>
      </w:r>
      <w:bookmarkStart w:id="145" w:name="_Toc513029232"/>
      <w:r>
        <w:rPr>
          <w:color w:val="auto"/>
          <w:highlight w:val="none"/>
        </w:rPr>
      </w:r>
      <w:bookmarkStart w:id="146" w:name="_Toc20823304"/>
      <w:r>
        <w:rPr>
          <w:rFonts w:hint="eastAsia" w:ascii="宋体" w:hAnsi="宋体" w:cs="宋体"/>
          <w:color w:val="auto"/>
          <w:sz w:val="24"/>
          <w:szCs w:val="24"/>
          <w:highlight w:val="none"/>
        </w:rPr>
        <w:t xml:space="preserve">25.投标文件的澄清</w:t>
      </w:r>
      <w:bookmarkEnd w:id="144"/>
      <w:r>
        <w:rPr>
          <w:color w:val="auto"/>
          <w:highlight w:val="none"/>
        </w:rPr>
      </w:r>
      <w:bookmarkEnd w:id="145"/>
      <w:r>
        <w:rPr>
          <w:color w:val="auto"/>
          <w:highlight w:val="none"/>
        </w:rPr>
      </w:r>
      <w:bookmarkEnd w:id="146"/>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Start w:id="147" w:name="_Toc513029233"/>
      <w:r>
        <w:rPr>
          <w:color w:val="auto"/>
          <w:highlight w:val="none"/>
        </w:rPr>
      </w:r>
      <w:bookmarkStart w:id="148" w:name="_Toc16938549"/>
      <w:r>
        <w:rPr>
          <w:color w:val="auto"/>
          <w:highlight w:val="none"/>
        </w:rPr>
      </w:r>
      <w:bookmarkStart w:id="149" w:name="_Toc20823305"/>
      <w:r>
        <w:rPr>
          <w:rFonts w:hint="eastAsia" w:ascii="宋体" w:hAnsi="宋体" w:cs="宋体"/>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投标人的澄清、说明或者补正不得超出投标文件的范围或者改变投标文件的实质性内容。</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评标委员会并非对每个投标人都做澄清要求。</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需要供应商进行澄清、说明和补正的，评委会将通过</w:t>
      </w:r>
      <w:r>
        <w:rPr>
          <w:rFonts w:hint="eastAsia" w:ascii="宋体" w:hAnsi="宋体" w:cs="宋体"/>
          <w:color w:val="auto"/>
          <w:sz w:val="24"/>
          <w:szCs w:val="24"/>
          <w:highlight w:val="none"/>
        </w:rPr>
        <w:t xml:space="preserve">苏</w:t>
      </w:r>
      <w:r>
        <w:rPr>
          <w:rFonts w:hint="eastAsia" w:ascii="宋体" w:hAnsi="宋体" w:cs="宋体"/>
          <w:color w:val="auto"/>
          <w:sz w:val="24"/>
          <w:szCs w:val="24"/>
          <w:highlight w:val="none"/>
        </w:rPr>
        <w:t xml:space="preserve">采云系统</w:t>
      </w:r>
      <w:r>
        <w:rPr>
          <w:rFonts w:hint="eastAsia" w:ascii="宋体" w:hAnsi="宋体" w:cs="宋体"/>
          <w:color w:val="auto"/>
          <w:sz w:val="24"/>
          <w:szCs w:val="24"/>
          <w:highlight w:val="none"/>
        </w:rPr>
        <w:t xml:space="preserve">向供应商发出“澄清要求函”，接到“澄清要求函”的投标</w:t>
      </w:r>
      <w:r>
        <w:rPr>
          <w:rFonts w:hint="eastAsia" w:ascii="宋体" w:hAnsi="宋体" w:cs="宋体"/>
          <w:color w:val="auto"/>
          <w:sz w:val="24"/>
          <w:szCs w:val="24"/>
          <w:highlight w:val="none"/>
        </w:rPr>
        <w:t xml:space="preserve">人应当按照要求在</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中提交“澄清响应函”并加盖CA电子公章。澄清、说明和补正的内容作为投标文件的补充部分，具体操作方式见《操作手册》。</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接到评委会澄清、说明和补正要求的投标人如未按规定做出澄清、说明和补正，其风险由投标人自行承担。</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26.对投标文件的初审</w:t>
      </w:r>
      <w:bookmarkEnd w:id="147"/>
      <w:r>
        <w:rPr>
          <w:color w:val="auto"/>
          <w:highlight w:val="none"/>
        </w:rPr>
      </w:r>
      <w:bookmarkEnd w:id="148"/>
      <w:r>
        <w:rPr>
          <w:color w:val="auto"/>
          <w:highlight w:val="none"/>
        </w:rPr>
      </w:r>
      <w:bookmarkEnd w:id="149"/>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26.1 </w:t>
      </w:r>
      <w:r>
        <w:rPr>
          <w:rFonts w:hint="eastAsia" w:ascii="宋体" w:hAnsi="宋体" w:cs="宋体"/>
          <w:bCs/>
          <w:color w:val="auto"/>
          <w:sz w:val="24"/>
          <w:szCs w:val="24"/>
          <w:highlight w:val="none"/>
        </w:rPr>
        <w:t xml:space="preserve">投标文件初审分为资格审查和符合性审查。</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26.1.1 资格审查：依据法律法规和招标文件的规定，由采购人对投标文件中的资格证明文件进行审查。资格审查的结论，采购人以书面形式</w:t>
      </w:r>
      <w:r>
        <w:rPr>
          <w:rFonts w:hint="eastAsia" w:ascii="宋体" w:hAnsi="宋体" w:cs="宋体"/>
          <w:bCs/>
          <w:color w:val="auto"/>
          <w:sz w:val="24"/>
          <w:szCs w:val="24"/>
          <w:highlight w:val="none"/>
        </w:rPr>
        <w:t xml:space="preserve">向评委会进行反馈。</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采购人在进行资格性审查的同时，将在“信用</w:t>
      </w:r>
      <w:r>
        <w:rPr>
          <w:rFonts w:hint="eastAsia" w:ascii="宋体" w:hAnsi="宋体" w:cs="宋体"/>
          <w:bCs/>
          <w:color w:val="auto"/>
          <w:sz w:val="24"/>
          <w:szCs w:val="24"/>
          <w:highlight w:val="none"/>
        </w:rPr>
        <w:t xml:space="preserve">中国”网站（www.creditchin</w:t>
      </w:r>
      <w:r>
        <w:rPr>
          <w:rFonts w:hint="eastAsia" w:ascii="宋体" w:hAnsi="宋体" w:cs="宋体"/>
          <w:bCs/>
          <w:color w:val="auto"/>
          <w:sz w:val="24"/>
          <w:szCs w:val="24"/>
          <w:highlight w:val="none"/>
        </w:rPr>
        <w:t xml:space="preserve">a.gov.cn）查询投标人的信用记录，以确定投标人是否具备投标资格。</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w:t>
      </w:r>
      <w:r>
        <w:rPr>
          <w:rFonts w:hint="eastAsia" w:ascii="宋体" w:hAnsi="宋体" w:cs="宋体"/>
          <w:bCs/>
          <w:color w:val="auto"/>
          <w:sz w:val="24"/>
          <w:szCs w:val="24"/>
          <w:highlight w:val="none"/>
        </w:rPr>
        <w:t xml:space="preserve">.1.3 未通过资格审查或符合性审查的投标人，</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将在</w:t>
      </w:r>
      <w:r>
        <w:rPr>
          <w:rFonts w:hint="eastAsia" w:ascii="宋体" w:hAnsi="宋体" w:cs="宋体"/>
          <w:color w:val="auto"/>
          <w:sz w:val="24"/>
          <w:szCs w:val="24"/>
          <w:highlight w:val="none"/>
        </w:rPr>
        <w:t xml:space="preserve">苏</w:t>
      </w:r>
      <w:r>
        <w:rPr>
          <w:rFonts w:hint="eastAsia" w:ascii="宋体" w:hAnsi="宋体" w:cs="宋体"/>
          <w:color w:val="auto"/>
          <w:sz w:val="24"/>
          <w:szCs w:val="24"/>
          <w:highlight w:val="none"/>
        </w:rPr>
        <w:t xml:space="preserve">采</w:t>
      </w:r>
      <w:r>
        <w:rPr>
          <w:rFonts w:hint="eastAsia" w:ascii="宋体" w:hAnsi="宋体" w:cs="宋体"/>
          <w:color w:val="auto"/>
          <w:sz w:val="24"/>
          <w:szCs w:val="24"/>
          <w:highlight w:val="none"/>
        </w:rPr>
        <w:t xml:space="preserve">云系统</w:t>
      </w:r>
      <w:r>
        <w:rPr>
          <w:rFonts w:hint="eastAsia" w:ascii="宋体" w:hAnsi="宋体" w:cs="宋体"/>
          <w:bCs/>
          <w:color w:val="auto"/>
          <w:sz w:val="24"/>
          <w:szCs w:val="24"/>
          <w:highlight w:val="none"/>
        </w:rPr>
        <w:t xml:space="preserve">中告知未通过资格审查或符合性审查的原因，评审结束后，</w:t>
      </w:r>
      <w:r>
        <w:rPr>
          <w:rFonts w:hint="eastAsia" w:ascii="宋体" w:hAnsi="宋体" w:cs="宋体"/>
          <w:bCs/>
          <w:color w:val="auto"/>
          <w:sz w:val="24"/>
          <w:szCs w:val="24"/>
          <w:highlight w:val="none"/>
        </w:rPr>
        <w:t xml:space="preserve">代理机构</w:t>
      </w:r>
      <w:r>
        <w:rPr>
          <w:rFonts w:hint="eastAsia" w:ascii="宋体" w:hAnsi="宋体" w:cs="宋体"/>
          <w:bCs/>
          <w:color w:val="auto"/>
          <w:sz w:val="24"/>
          <w:szCs w:val="24"/>
          <w:highlight w:val="none"/>
        </w:rPr>
        <w:t xml:space="preserve">将不再告知未通过资格审查或符合性审查的原因。</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所谓重大偏离或保留是指与招标文件规定的实质性要求存在负偏离，或者在实质上与招标文件不一致，而且限制了合同中</w:t>
      </w:r>
      <w:r>
        <w:rPr>
          <w:rFonts w:hint="eastAsia" w:ascii="宋体" w:hAnsi="宋体" w:cs="宋体"/>
          <w:color w:val="auto"/>
          <w:sz w:val="24"/>
          <w:szCs w:val="24"/>
          <w:highlight w:val="none"/>
        </w:rPr>
        <w:t xml:space="preserve">买方（采购人）和见证方（代理机构）</w:t>
      </w:r>
      <w:r>
        <w:rPr>
          <w:rFonts w:hint="eastAsia" w:ascii="宋体" w:hAnsi="宋体" w:cs="宋体"/>
          <w:color w:val="auto"/>
          <w:sz w:val="24"/>
          <w:szCs w:val="24"/>
          <w:highlight w:val="none"/>
        </w:rPr>
        <w:t xml:space="preserve">的权利或投标人的义务</w:t>
      </w:r>
      <w:r>
        <w:rPr>
          <w:rFonts w:hint="eastAsia" w:ascii="宋体" w:hAnsi="宋体" w:cs="宋体"/>
          <w:color w:val="auto"/>
          <w:sz w:val="24"/>
          <w:szCs w:val="24"/>
          <w:highlight w:val="none"/>
        </w:rPr>
        <w:t xml:space="preserve">，纠正这些偏离或保留将会对其他实质性响应要求的投标人的竞争地</w:t>
      </w:r>
      <w:r>
        <w:rPr>
          <w:rFonts w:hint="eastAsia" w:ascii="宋体" w:hAnsi="宋体" w:cs="宋体"/>
          <w:color w:val="auto"/>
          <w:sz w:val="24"/>
          <w:szCs w:val="24"/>
          <w:highlight w:val="none"/>
        </w:rPr>
        <w:t xml:space="preserve">位产生不公正的影响。重大偏离的认定需经过评委会以少数服从多数</w:t>
      </w:r>
      <w:r>
        <w:rPr>
          <w:rFonts w:hint="eastAsia" w:ascii="宋体" w:hAnsi="宋体" w:cs="宋体"/>
          <w:color w:val="auto"/>
          <w:sz w:val="24"/>
          <w:szCs w:val="24"/>
          <w:highlight w:val="none"/>
        </w:rPr>
        <w:t xml:space="preserve">的原则作出结论。</w:t>
      </w:r>
      <w:r>
        <w:rPr>
          <w:rFonts w:hint="eastAsia" w:ascii="宋体" w:hAnsi="宋体" w:cs="宋体"/>
          <w:bCs/>
          <w:color w:val="auto"/>
          <w:sz w:val="24"/>
          <w:szCs w:val="24"/>
          <w:highlight w:val="none"/>
        </w:rPr>
        <w:t xml:space="preserve">评委决定投标文件的响应性只根据投标文件本身的内容，而不寻求外部的证据。</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26.3 </w:t>
      </w:r>
      <w:r>
        <w:rPr>
          <w:rFonts w:hint="eastAsia" w:ascii="宋体" w:hAnsi="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26.4</w:t>
      </w:r>
      <w:r>
        <w:rPr>
          <w:rFonts w:hint="eastAsia" w:ascii="宋体" w:hAnsi="宋体" w:cs="宋体"/>
          <w:bCs/>
          <w:color w:val="auto"/>
          <w:sz w:val="24"/>
          <w:szCs w:val="24"/>
          <w:highlight w:val="none"/>
        </w:rPr>
        <w:t xml:space="preserve">评委会将对确定为实质性响应的投标进行进一步审核，看其是否有计算上或累加上的算术错误，修正错误的原则如下：</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（1）投标文件中开标一览表内容与投标文件中</w:t>
      </w:r>
      <w:r>
        <w:rPr>
          <w:rFonts w:hint="eastAsia" w:ascii="宋体" w:hAnsi="宋体" w:cs="宋体"/>
          <w:bCs/>
          <w:color w:val="auto"/>
          <w:sz w:val="24"/>
          <w:szCs w:val="24"/>
          <w:highlight w:val="none"/>
        </w:rPr>
        <w:t xml:space="preserve">相应内容不一致的，以开标一览表为准。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（2）大写金额和小写金</w:t>
      </w:r>
      <w:r>
        <w:rPr>
          <w:rFonts w:hint="eastAsia" w:ascii="宋体" w:hAnsi="宋体" w:cs="宋体"/>
          <w:bCs/>
          <w:color w:val="auto"/>
          <w:sz w:val="24"/>
          <w:szCs w:val="24"/>
          <w:highlight w:val="none"/>
        </w:rPr>
        <w:t xml:space="preserve">额不一致的，以大写金额</w:t>
      </w:r>
      <w:r>
        <w:rPr>
          <w:rFonts w:hint="eastAsia" w:ascii="宋体" w:hAnsi="宋体" w:cs="宋体"/>
          <w:bCs/>
          <w:color w:val="auto"/>
          <w:sz w:val="24"/>
          <w:szCs w:val="24"/>
          <w:highlight w:val="none"/>
        </w:rPr>
        <w:t xml:space="preserve">为准。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（3）单价金额小数点或者百分比有明显错位的，以开标一览表的总价为准，并修改单价。</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（4）总价金额与按单价汇总金额不一致的，以单价金额计算结果为准。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同时出现两种以上错误的，按照前款规定的顺序修正。</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26.5 </w:t>
      </w:r>
      <w:r>
        <w:rPr>
          <w:rFonts w:hint="eastAsia" w:ascii="宋体" w:hAnsi="宋体" w:cs="宋体"/>
          <w:bCs/>
          <w:color w:val="auto"/>
          <w:sz w:val="24"/>
          <w:szCs w:val="24"/>
          <w:highlight w:val="none"/>
        </w:rPr>
        <w:t xml:space="preserve">评委会将按上述修正错误的方法调整投标文件中的投标报价，并通过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告知投标人，调整后的价格应对投标人具有约束力。如果投标人不接受修正后的价格，则其投标将被拒绝。</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color w:val="auto"/>
          <w:highlight w:val="none"/>
        </w:rPr>
      </w:r>
      <w:bookmarkStart w:id="150" w:name="_Toc16938550"/>
      <w:r>
        <w:rPr>
          <w:color w:val="auto"/>
          <w:highlight w:val="none"/>
        </w:rPr>
      </w:r>
      <w:bookmarkStart w:id="151" w:name="_Toc20823306"/>
      <w:r>
        <w:rPr>
          <w:color w:val="auto"/>
          <w:highlight w:val="none"/>
        </w:rPr>
      </w:r>
      <w:bookmarkStart w:id="152" w:name="_Toc513029234"/>
      <w:r>
        <w:rPr>
          <w:rFonts w:hint="eastAsia" w:ascii="宋体" w:hAnsi="宋体" w:cs="宋体"/>
          <w:color w:val="auto"/>
          <w:sz w:val="24"/>
          <w:szCs w:val="24"/>
          <w:highlight w:val="none"/>
        </w:rPr>
        <w:t xml:space="preserve">26.6 采用最低评标价法的采购项目，提供相同品</w:t>
      </w:r>
      <w:r>
        <w:rPr>
          <w:rFonts w:hint="eastAsia" w:ascii="宋体" w:hAnsi="宋体" w:cs="宋体"/>
          <w:color w:val="auto"/>
          <w:sz w:val="24"/>
          <w:szCs w:val="24"/>
          <w:highlight w:val="none"/>
        </w:rPr>
        <w:t xml:space="preserve">牌产品的不同投标人参加同一合同项下投标的，以其中通过资格审查</w:t>
      </w:r>
      <w:r>
        <w:rPr>
          <w:rFonts w:hint="eastAsia" w:ascii="宋体" w:hAnsi="宋体" w:cs="宋体"/>
          <w:color w:val="auto"/>
          <w:sz w:val="24"/>
          <w:szCs w:val="24"/>
          <w:highlight w:val="none"/>
        </w:rPr>
        <w:t xml:space="preserve">、符合性审查且报价最低的参加评标；报价相同的，由评标委员会按</w:t>
      </w:r>
      <w:r>
        <w:rPr>
          <w:rFonts w:hint="eastAsia" w:ascii="宋体" w:hAnsi="宋体" w:cs="宋体"/>
          <w:color w:val="auto"/>
          <w:sz w:val="24"/>
          <w:szCs w:val="24"/>
          <w:highlight w:val="none"/>
        </w:rPr>
        <w:t xml:space="preserve">照招标文件规定的方式（招标文件未规定的通过随机抽取的方式）确定一个参加评标的投标人，其他投标无效。</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w:t>
      </w:r>
      <w:r>
        <w:rPr>
          <w:rFonts w:hint="eastAsia" w:ascii="宋体" w:hAnsi="宋体" w:cs="宋体"/>
          <w:color w:val="auto"/>
          <w:sz w:val="24"/>
          <w:szCs w:val="24"/>
          <w:highlight w:val="none"/>
        </w:rPr>
        <w:t xml:space="preserve">人不作为中标候选人。</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非单一产品采购项目，招标文件中将载明其</w:t>
      </w:r>
      <w:r>
        <w:rPr>
          <w:rFonts w:hint="eastAsia" w:ascii="宋体" w:hAnsi="宋体" w:cs="宋体"/>
          <w:color w:val="auto"/>
          <w:sz w:val="24"/>
          <w:szCs w:val="24"/>
          <w:highlight w:val="none"/>
        </w:rPr>
        <w:t xml:space="preserve">中的核心产品。多家投标人提供的核心产品</w:t>
      </w:r>
      <w:r>
        <w:rPr>
          <w:rFonts w:hint="eastAsia" w:ascii="宋体" w:hAnsi="宋体" w:cs="宋体"/>
          <w:color w:val="auto"/>
          <w:sz w:val="24"/>
          <w:szCs w:val="24"/>
          <w:highlight w:val="none"/>
        </w:rPr>
        <w:t xml:space="preserve">品牌相同的，按前两款规定处理。</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26.7 投标人在开、评标全过程中应保持通讯畅通，及时登录</w:t>
      </w:r>
      <w:r>
        <w:rPr>
          <w:rFonts w:hint="eastAsia" w:ascii="宋体" w:hAnsi="宋体" w:cs="宋体"/>
          <w:color w:val="auto"/>
          <w:sz w:val="24"/>
          <w:szCs w:val="24"/>
          <w:highlight w:val="none"/>
        </w:rPr>
        <w:t xml:space="preserve">苏采云系统</w:t>
      </w:r>
      <w:r>
        <w:rPr>
          <w:rFonts w:hint="eastAsia" w:ascii="宋体" w:hAnsi="宋体" w:cs="宋体"/>
          <w:color w:val="auto"/>
          <w:sz w:val="24"/>
          <w:szCs w:val="24"/>
          <w:highlight w:val="none"/>
        </w:rPr>
        <w:t xml:space="preserve">查阅、答复相关信息，并安排专人与</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rPr>
        <w:t xml:space="preserve">及评标委员会联系。</w:t>
      </w:r>
      <w:r>
        <w:rPr>
          <w:rFonts w:hint="eastAsia" w:ascii="宋体" w:hAnsi="宋体" w:cs="宋体"/>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27.</w:t>
      </w:r>
      <w:bookmarkEnd w:id="150"/>
      <w:r>
        <w:rPr>
          <w:color w:val="auto"/>
          <w:highlight w:val="none"/>
        </w:rPr>
      </w:r>
      <w:bookmarkEnd w:id="151"/>
      <w:r>
        <w:rPr>
          <w:color w:val="auto"/>
          <w:highlight w:val="none"/>
        </w:rPr>
      </w:r>
      <w:bookmarkEnd w:id="152"/>
      <w:r>
        <w:rPr>
          <w:rFonts w:hint="eastAsia" w:ascii="宋体" w:hAnsi="宋体" w:cs="宋体"/>
          <w:color w:val="auto"/>
          <w:sz w:val="24"/>
          <w:szCs w:val="24"/>
          <w:highlight w:val="none"/>
        </w:rPr>
        <w:t xml:space="preserve">无效投标条款和废标条款</w:t>
      </w:r>
      <w:bookmarkStart w:id="153" w:name="_Toc513029235"/>
      <w:r>
        <w:rPr>
          <w:color w:val="auto"/>
          <w:highlight w:val="none"/>
        </w:rPr>
      </w:r>
      <w:bookmarkStart w:id="154" w:name="_Toc16938551"/>
      <w:r>
        <w:rPr>
          <w:color w:val="auto"/>
          <w:highlight w:val="none"/>
        </w:rPr>
      </w:r>
      <w:bookmarkStart w:id="155" w:name="_Toc20823307"/>
      <w:r>
        <w:rPr>
          <w:rFonts w:hint="eastAsia" w:ascii="宋体" w:hAnsi="宋体" w:cs="宋体"/>
          <w:color w:val="auto"/>
          <w:sz w:val="24"/>
          <w:szCs w:val="24"/>
          <w:highlight w:val="none"/>
        </w:rPr>
      </w:r>
      <w:r>
        <w:rPr>
          <w:color w:val="auto"/>
          <w:highlight w:val="none"/>
        </w:rPr>
      </w:r>
    </w:p>
    <w:p>
      <w:pPr>
        <w:pStyle w:val="905"/>
        <w:ind w:firstLine="480"/>
        <w:keepLines/>
        <w:keepNex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27.1 无效投标条款</w:t>
      </w:r>
      <w:r>
        <w:rPr>
          <w:rFonts w:hint="eastAsia" w:ascii="宋体" w:hAnsi="宋体" w:cs="宋体"/>
          <w:bCs/>
          <w:color w:val="auto"/>
          <w:sz w:val="24"/>
          <w:szCs w:val="21"/>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 投标人在苏采云系统规定的时间内未成功解密电子投标文件的。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27.1.2 投标人未按照招标文件要求上传电子投标文件的。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27.1.3 同一投标人提交两个（含两个）以上不同的投标报价的。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7.1.4 投标人不具备招标文件中规定资格要求的。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w:t>
      </w:r>
      <w:r>
        <w:rPr>
          <w:rFonts w:hint="eastAsia" w:ascii="宋体" w:hAnsi="宋体" w:cs="宋体"/>
          <w:bCs/>
          <w:color w:val="auto"/>
          <w:sz w:val="24"/>
          <w:szCs w:val="24"/>
          <w:highlight w:val="none"/>
        </w:rPr>
        <w:t xml:space="preserve">.5 投标人的报价超过了采购预算或最高限价的。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27.1.6 未通过符合性审查的。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27.1.7 不符合招标文件中规定的实质性要求和条件的</w:t>
      </w:r>
      <w:r>
        <w:rPr>
          <w:rFonts w:hint="eastAsia" w:ascii="宋体" w:hAnsi="宋体" w:cs="宋体"/>
          <w:bCs/>
          <w:i/>
          <w:iCs/>
          <w:color w:val="auto"/>
          <w:sz w:val="24"/>
          <w:szCs w:val="24"/>
          <w:highlight w:val="none"/>
          <w:u w:val="single"/>
        </w:rPr>
        <w:t xml:space="preserve">（本招标文件中斜体且有下划线部分为实质性要求和条件）</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w:t>
      </w:r>
      <w:r>
        <w:rPr>
          <w:rFonts w:hint="eastAsia" w:ascii="宋体" w:hAnsi="宋体" w:cs="宋体"/>
          <w:bCs/>
          <w:color w:val="auto"/>
          <w:sz w:val="24"/>
          <w:szCs w:val="24"/>
          <w:highlight w:val="none"/>
        </w:rPr>
        <w:t xml:space="preserve">录。</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27.1.9 投标文件含有采购人不能接受的附加条件的。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w:t>
      </w:r>
      <w:r>
        <w:rPr>
          <w:rFonts w:hint="eastAsia" w:ascii="宋体" w:hAnsi="宋体" w:cs="宋体"/>
          <w:bCs/>
          <w:color w:val="auto"/>
          <w:sz w:val="24"/>
          <w:szCs w:val="24"/>
          <w:highlight w:val="none"/>
        </w:rPr>
        <w:t xml:space="preserve">购节能产品品目清单范围内，投标文件中必须提供国家确定的认证机</w:t>
      </w:r>
      <w:r>
        <w:rPr>
          <w:rFonts w:hint="eastAsia" w:ascii="宋体" w:hAnsi="宋体" w:cs="宋体"/>
          <w:bCs/>
          <w:color w:val="auto"/>
          <w:sz w:val="24"/>
          <w:szCs w:val="24"/>
          <w:highlight w:val="none"/>
        </w:rPr>
        <w:t xml:space="preserve">构出具的、处于有效期之内的该节能产品认证证书图片）</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27.1.12 投标文件未按照招标文件要求加盖CA电子公章的。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27.1.13 其他法律、法规及本招标文件规定的属于无效投标的情形。</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27.2 废标条款</w:t>
      </w:r>
      <w:r>
        <w:rPr>
          <w:rFonts w:hint="eastAsia" w:ascii="宋体" w:hAnsi="宋体" w:cs="宋体"/>
          <w:bCs/>
          <w:color w:val="auto"/>
          <w:sz w:val="24"/>
          <w:szCs w:val="21"/>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27.2.1 符合专业条件的供应商或者对招标文件作实质响应的供应商不足三家的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27.2.2 出现影响采购公正的违法、违规行为的。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27.2.3 因重大变故，采购任务取消的。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27.2.4 评标委员会认定招标文件存在歧义、重大缺陷导致评审工作无法进</w:t>
      </w:r>
      <w:r>
        <w:rPr>
          <w:rFonts w:hint="eastAsia" w:ascii="宋体" w:hAnsi="宋体" w:cs="宋体"/>
          <w:bCs/>
          <w:color w:val="auto"/>
          <w:sz w:val="24"/>
          <w:szCs w:val="24"/>
          <w:highlight w:val="none"/>
        </w:rPr>
        <w:t xml:space="preserve">行。</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27.2.5 因苏采云系统故障原因造成开标不成功的。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27.3 投标截止时间结束后参加投标的供应商不足三家的处理：</w:t>
      </w:r>
      <w:r>
        <w:rPr>
          <w:rFonts w:hint="eastAsia" w:ascii="宋体" w:hAnsi="宋体" w:cs="宋体"/>
          <w:bCs/>
          <w:color w:val="auto"/>
          <w:sz w:val="24"/>
          <w:szCs w:val="21"/>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27.3.1 如出现投标截止时间结束后参加投标的供应商或者在评标期间对招标文件做出实质响应的供应商不足三家情况，按政府采购相关规定执行。</w:t>
      </w:r>
      <w:r>
        <w:rPr>
          <w:rFonts w:hint="eastAsia" w:ascii="宋体" w:hAnsi="宋体" w:cs="宋体"/>
          <w:bCs/>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56" w:name="_Toc120614219"/>
      <w:r>
        <w:rPr>
          <w:rFonts w:hint="eastAsia" w:ascii="宋体" w:hAnsi="宋体" w:cs="宋体"/>
          <w:b/>
          <w:bCs/>
          <w:color w:val="auto"/>
          <w:sz w:val="32"/>
          <w:szCs w:val="32"/>
          <w:highlight w:val="none"/>
        </w:rPr>
        <w:t xml:space="preserve">六、</w:t>
      </w:r>
      <w:bookmarkEnd w:id="153"/>
      <w:r>
        <w:rPr>
          <w:color w:val="auto"/>
          <w:highlight w:val="none"/>
        </w:rPr>
      </w:r>
      <w:bookmarkEnd w:id="154"/>
      <w:r>
        <w:rPr>
          <w:color w:val="auto"/>
          <w:highlight w:val="none"/>
        </w:rPr>
      </w:r>
      <w:bookmarkEnd w:id="155"/>
      <w:r>
        <w:rPr>
          <w:rFonts w:hint="eastAsia" w:ascii="宋体" w:hAnsi="宋体" w:cs="宋体"/>
          <w:b/>
          <w:bCs/>
          <w:color w:val="auto"/>
          <w:sz w:val="32"/>
          <w:szCs w:val="32"/>
          <w:highlight w:val="none"/>
        </w:rPr>
        <w:t xml:space="preserve">定标</w:t>
      </w:r>
      <w:bookmarkEnd w:id="156"/>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bCs/>
          <w:color w:val="auto"/>
          <w:sz w:val="24"/>
          <w:szCs w:val="24"/>
          <w:highlight w:val="none"/>
        </w:rPr>
        <w:outlineLvl w:val="3"/>
      </w:pPr>
      <w:r>
        <w:rPr>
          <w:color w:val="auto"/>
          <w:highlight w:val="none"/>
        </w:rPr>
      </w:r>
      <w:bookmarkStart w:id="157" w:name="_Toc513029238"/>
      <w:r>
        <w:rPr>
          <w:color w:val="auto"/>
          <w:highlight w:val="none"/>
        </w:rPr>
      </w:r>
      <w:bookmarkStart w:id="158" w:name="_Toc16938554"/>
      <w:r>
        <w:rPr>
          <w:color w:val="auto"/>
          <w:highlight w:val="none"/>
        </w:rPr>
      </w:r>
      <w:bookmarkStart w:id="159" w:name="_Toc20823310"/>
      <w:r>
        <w:rPr>
          <w:rFonts w:hint="eastAsia" w:ascii="宋体" w:hAnsi="宋体" w:cs="宋体"/>
          <w:bCs/>
          <w:color w:val="auto"/>
          <w:sz w:val="24"/>
          <w:szCs w:val="24"/>
          <w:highlight w:val="none"/>
        </w:rPr>
        <w:t xml:space="preserve">28.</w:t>
      </w:r>
      <w:bookmarkEnd w:id="157"/>
      <w:r>
        <w:rPr>
          <w:rFonts w:hint="eastAsia" w:ascii="宋体" w:hAnsi="宋体" w:cs="宋体"/>
          <w:bCs/>
          <w:color w:val="auto"/>
          <w:sz w:val="24"/>
          <w:szCs w:val="24"/>
          <w:highlight w:val="none"/>
        </w:rPr>
        <w:t xml:space="preserve">确定</w:t>
      </w:r>
      <w:bookmarkEnd w:id="158"/>
      <w:r>
        <w:rPr>
          <w:color w:val="auto"/>
          <w:highlight w:val="none"/>
        </w:rPr>
      </w:r>
      <w:bookmarkEnd w:id="159"/>
      <w:r>
        <w:rPr>
          <w:rFonts w:hint="eastAsia" w:ascii="宋体" w:hAnsi="宋体" w:cs="宋体"/>
          <w:bCs/>
          <w:color w:val="auto"/>
          <w:sz w:val="24"/>
          <w:szCs w:val="24"/>
          <w:highlight w:val="none"/>
        </w:rPr>
        <w:t xml:space="preserve">中标单位</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28.1 中标候选人的选取原则和数量见招标文件第五章规定。 </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28.2 采购人应根据评委会推荐的中标候选人确定中标人。</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28.3 代理机构将在“江苏政府采购网”发布中标公告，公告期限为1个工作日。</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 若有充分证据证</w:t>
      </w:r>
      <w:r>
        <w:rPr>
          <w:rFonts w:hint="eastAsia" w:ascii="宋体" w:hAnsi="宋体" w:cs="宋体"/>
          <w:bCs/>
          <w:color w:val="auto"/>
          <w:sz w:val="24"/>
          <w:szCs w:val="24"/>
          <w:highlight w:val="none"/>
        </w:rPr>
        <w:t xml:space="preserve">明，中标人出现下列情况之一的，一经查实，将被取消中标资格：</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28.4.1 提供虚假材料谋取中标的。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28.4.2 向采购人、代理机构行贿或者提供其他不正当利益的。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28.4.3 属于本文件规定的无效条件，但在评标过程中又未被评委会发现的。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28.4.4 与采购人或者其他供应商恶意串通的。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28.4.5 采取不正当手段诋毁、排挤其他供应商的。</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color w:val="auto"/>
          <w:highlight w:val="none"/>
        </w:rPr>
      </w:r>
      <w:bookmarkStart w:id="160" w:name="_Toc200451960"/>
      <w:r>
        <w:rPr>
          <w:rFonts w:hint="eastAsia" w:ascii="宋体" w:hAnsi="宋体" w:cs="宋体"/>
          <w:bCs/>
          <w:color w:val="auto"/>
          <w:sz w:val="24"/>
          <w:szCs w:val="24"/>
          <w:highlight w:val="none"/>
        </w:rPr>
        <w:t xml:space="preserve">28.5.有下列情形之一的，视为投标人串通投标，投标无效：</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28.5.1 不同投标人的投标文件由同一单位或者个人编制；</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28.5.2 不同投标人委托同一单位或者个人办理</w:t>
      </w:r>
      <w:r>
        <w:rPr>
          <w:rFonts w:hint="eastAsia" w:ascii="宋体" w:hAnsi="宋体" w:cs="宋体"/>
          <w:bCs/>
          <w:color w:val="auto"/>
          <w:sz w:val="24"/>
          <w:szCs w:val="24"/>
          <w:highlight w:val="none"/>
        </w:rPr>
        <w:t xml:space="preserve">投标事宜；</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28.5.3 不同投标人的投标文件载明的项目管理</w:t>
      </w:r>
      <w:r>
        <w:rPr>
          <w:rFonts w:hint="eastAsia" w:ascii="宋体" w:hAnsi="宋体" w:cs="宋体"/>
          <w:bCs/>
          <w:color w:val="auto"/>
          <w:sz w:val="24"/>
          <w:szCs w:val="24"/>
          <w:highlight w:val="none"/>
        </w:rPr>
        <w:t xml:space="preserve">成员或者联系人员为同一人；</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28.5.4 不同投标人的投标文件异常一致或者投标报价呈规律性差异；</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29.质疑处理</w:t>
      </w:r>
      <w:bookmarkEnd w:id="160"/>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w:t>
      </w:r>
      <w:r>
        <w:rPr>
          <w:rFonts w:hint="eastAsia" w:ascii="宋体" w:hAnsi="宋体" w:cs="宋体"/>
          <w:bCs/>
          <w:color w:val="auto"/>
          <w:sz w:val="24"/>
          <w:szCs w:val="24"/>
          <w:highlight w:val="none"/>
        </w:rPr>
        <w:t xml:space="preserve">之日，是指：</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29.2.1 对可以质疑的采购文件提出质疑的，</w:t>
      </w:r>
      <w:r>
        <w:rPr>
          <w:rFonts w:hint="eastAsia" w:ascii="宋体" w:hAnsi="宋体" w:cs="宋体"/>
          <w:bCs/>
          <w:color w:val="auto"/>
          <w:sz w:val="24"/>
          <w:szCs w:val="24"/>
          <w:highlight w:val="none"/>
        </w:rPr>
        <w:t xml:space="preserve">为收到采购文件之日或者采购文件公告期限届满之日</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29.2.2 对采购过程提出质疑的，为各采购程序环节结束之日；</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29.2.3 对中标或者成交结果提出质疑的，为中标或者成交结果公告期限届满之日。</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29.3 质疑函必须按照本招标文件中《质疑函范本》要求的格式和内容进行填写。供应商如组成联</w:t>
      </w:r>
      <w:r>
        <w:rPr>
          <w:rFonts w:hint="eastAsia" w:ascii="宋体" w:hAnsi="宋体" w:cs="宋体"/>
          <w:bCs/>
          <w:color w:val="auto"/>
          <w:sz w:val="24"/>
          <w:szCs w:val="24"/>
          <w:highlight w:val="none"/>
        </w:rPr>
        <w:t xml:space="preserve">合体参加投标，则《质疑函范本》中要求签字、盖章、加盖公章之处</w:t>
      </w:r>
      <w:r>
        <w:rPr>
          <w:rFonts w:hint="eastAsia" w:ascii="宋体" w:hAnsi="宋体" w:cs="宋体"/>
          <w:bCs/>
          <w:color w:val="auto"/>
          <w:sz w:val="24"/>
          <w:szCs w:val="24"/>
          <w:highlight w:val="none"/>
        </w:rPr>
        <w:t xml:space="preserve">，联合体各方均须按要求签字、盖章、加盖公章。</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29.4 供应商（含潜在供应商）对与本项目有关的所有询问、质疑均请向代理机构提出，由代理机构负责答复。</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采购代理机构只接收以纸质原件形式送达的质疑，请供应商通过邮寄方式提交质疑（采购人和采购代理机构不接受未填写快递运单的快件）。</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采购代理机构质疑接收人：丁一，联系地址：南京市雨花台区软件大道21号苏豪国际广场（北园）C座612室，联系电话：025-52875927。</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 以下情形的质疑不予受理</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9.5.1 内容不符合《政府采购质疑和投诉办法》第十二条规定</w:t>
      </w:r>
      <w:r>
        <w:rPr>
          <w:rFonts w:hint="eastAsia" w:ascii="宋体" w:hAnsi="宋体" w:cs="宋体"/>
          <w:bCs/>
          <w:color w:val="auto"/>
          <w:sz w:val="24"/>
          <w:szCs w:val="24"/>
          <w:highlight w:val="none"/>
        </w:rPr>
        <w:t xml:space="preserve">的质疑。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29.5.2 超出政府采购法定期限的质疑。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29.5.3 以传真、电子邮件等方式递交的非原件形式的质疑。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29.5.4 未参加投标活动的供应商或在投标活动中自身权益未受到损害的供应商所提出的质疑。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29.5.5 供应商组成联合体参加投标，联合体中任何一方或多方未按要求签字、盖章、加盖公章的质疑。</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29.6 供应商提出书面质疑必须有理、有据，不得捏造事实、提供虚假材料进行恶意质疑。否则，一经查实，代理机构有权依据政府采购的有关规定，报请政府</w:t>
      </w:r>
      <w:r>
        <w:rPr>
          <w:rFonts w:hint="eastAsia" w:ascii="宋体" w:hAnsi="宋体" w:cs="宋体"/>
          <w:bCs/>
          <w:color w:val="auto"/>
          <w:sz w:val="24"/>
          <w:szCs w:val="24"/>
          <w:highlight w:val="none"/>
        </w:rPr>
        <w:t xml:space="preserve">采购监管部门对该供应商进行相应的行政处罚和记录该供应商的失信</w:t>
      </w:r>
      <w:r>
        <w:rPr>
          <w:rFonts w:hint="eastAsia" w:ascii="宋体" w:hAnsi="宋体" w:cs="宋体"/>
          <w:bCs/>
          <w:color w:val="auto"/>
          <w:sz w:val="24"/>
          <w:szCs w:val="24"/>
          <w:highlight w:val="none"/>
        </w:rPr>
        <w:t xml:space="preserve">信息。</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30.中标通知书</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30.2 中标通知书将是合同的一个组成部分。对采购人和中标供应商均具有法律效力。中标通知书发出后，采购人改变中标结果的，或者中标供</w:t>
      </w:r>
      <w:r>
        <w:rPr>
          <w:rFonts w:hint="eastAsia" w:ascii="宋体" w:hAnsi="宋体" w:cs="宋体"/>
          <w:bCs/>
          <w:color w:val="auto"/>
          <w:sz w:val="24"/>
          <w:szCs w:val="24"/>
          <w:highlight w:val="none"/>
        </w:rPr>
        <w:t xml:space="preserve">应商放弃中标项目的，应当依法承担法律责任。</w:t>
      </w:r>
      <w:r>
        <w:rPr>
          <w:rFonts w:hint="eastAsia" w:ascii="宋体" w:hAnsi="宋体" w:cs="宋体"/>
          <w:bCs/>
          <w:color w:val="auto"/>
          <w:sz w:val="24"/>
          <w:szCs w:val="24"/>
          <w:highlight w:val="none"/>
        </w:rPr>
      </w:r>
      <w:r>
        <w:rPr>
          <w:color w:val="auto"/>
          <w:highlight w:val="none"/>
        </w:rPr>
      </w:r>
    </w:p>
    <w:p>
      <w:pPr>
        <w:pStyle w:val="905"/>
        <w:ind w:firstLine="498"/>
        <w:keepLines/>
        <w:keepNext/>
        <w:spacing w:before="145" w:line="360" w:lineRule="auto"/>
        <w:rPr>
          <w:rFonts w:hint="eastAsia" w:ascii="宋体" w:hAnsi="宋体" w:cs="宋体"/>
          <w:b/>
          <w:bCs/>
          <w:color w:val="auto"/>
          <w:sz w:val="32"/>
          <w:szCs w:val="32"/>
          <w:highlight w:val="none"/>
        </w:rPr>
        <w:outlineLvl w:val="2"/>
      </w:pPr>
      <w:r>
        <w:rPr>
          <w:color w:val="auto"/>
          <w:highlight w:val="none"/>
        </w:rPr>
      </w:r>
      <w:bookmarkStart w:id="161" w:name="_Toc120614220"/>
      <w:r>
        <w:rPr>
          <w:color w:val="auto"/>
          <w:highlight w:val="none"/>
        </w:rPr>
      </w:r>
      <w:bookmarkStart w:id="162" w:name="_Toc20823308"/>
      <w:r>
        <w:rPr>
          <w:color w:val="auto"/>
          <w:highlight w:val="none"/>
        </w:rPr>
      </w:r>
      <w:bookmarkStart w:id="163" w:name="_Toc16938552"/>
      <w:r>
        <w:rPr>
          <w:color w:val="auto"/>
          <w:highlight w:val="none"/>
        </w:rPr>
      </w:r>
      <w:bookmarkStart w:id="164" w:name="_Toc513029236"/>
      <w:r>
        <w:rPr>
          <w:rFonts w:hint="eastAsia" w:ascii="宋体" w:hAnsi="宋体" w:cs="宋体"/>
          <w:b/>
          <w:bCs/>
          <w:color w:val="auto"/>
          <w:sz w:val="32"/>
          <w:szCs w:val="32"/>
          <w:highlight w:val="none"/>
        </w:rPr>
        <w:t xml:space="preserve">七、授予合同</w:t>
      </w:r>
      <w:bookmarkEnd w:id="161"/>
      <w:r>
        <w:rPr>
          <w:rFonts w:hint="eastAsia" w:ascii="宋体" w:hAnsi="宋体" w:cs="宋体"/>
          <w:b/>
          <w:bCs/>
          <w:color w:val="auto"/>
          <w:sz w:val="32"/>
          <w:szCs w:val="32"/>
          <w:highlight w:val="none"/>
        </w:rPr>
      </w:r>
      <w:r>
        <w:rPr>
          <w:color w:val="auto"/>
          <w:highlight w:val="none"/>
        </w:rPr>
      </w:r>
    </w:p>
    <w:p>
      <w:pPr>
        <w:pStyle w:val="905"/>
        <w:ind w:firstLine="480"/>
        <w:keepLines/>
        <w:keepNext/>
        <w:rPr>
          <w:rFonts w:hint="eastAsia" w:ascii="宋体" w:hAnsi="宋体" w:cs="宋体"/>
          <w:bCs/>
          <w:color w:val="auto"/>
          <w:sz w:val="24"/>
          <w:szCs w:val="24"/>
          <w:highlight w:val="none"/>
        </w:rPr>
        <w:outlineLvl w:val="3"/>
      </w:pPr>
      <w:r>
        <w:rPr>
          <w:color w:val="auto"/>
          <w:highlight w:val="none"/>
        </w:rPr>
      </w:r>
      <w:bookmarkEnd w:id="162"/>
      <w:r>
        <w:rPr>
          <w:color w:val="auto"/>
          <w:highlight w:val="none"/>
        </w:rPr>
      </w:r>
      <w:bookmarkEnd w:id="163"/>
      <w:r>
        <w:rPr>
          <w:color w:val="auto"/>
          <w:highlight w:val="none"/>
        </w:rPr>
      </w:r>
      <w:bookmarkEnd w:id="164"/>
      <w:r>
        <w:rPr>
          <w:color w:val="auto"/>
          <w:highlight w:val="none"/>
        </w:rPr>
      </w:r>
      <w:bookmarkStart w:id="165" w:name="_Toc20823309"/>
      <w:r>
        <w:rPr>
          <w:color w:val="auto"/>
          <w:highlight w:val="none"/>
        </w:rPr>
      </w:r>
      <w:bookmarkStart w:id="166" w:name="_Toc513029237"/>
      <w:r>
        <w:rPr>
          <w:color w:val="auto"/>
          <w:highlight w:val="none"/>
        </w:rPr>
      </w:r>
      <w:bookmarkStart w:id="167" w:name="_Toc16938553"/>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1.签订合同</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31.l中标人应当在中标通知书发出之日起三十日内，按照招标文件确定的事项与采购人签订政府采购合同。</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31.2 招标文件、中标人的投标文件及招标过程中有关澄清、承诺文件均应作为合同附件。</w:t>
      </w:r>
      <w:r>
        <w:rPr>
          <w:rFonts w:hint="eastAsia" w:ascii="宋体" w:hAnsi="宋体" w:cs="宋体"/>
          <w:bCs/>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31.3 签订合同后，</w:t>
      </w:r>
      <w:r>
        <w:rPr>
          <w:rFonts w:hint="eastAsia" w:ascii="宋体" w:hAnsi="宋体" w:cs="宋体"/>
          <w:bCs/>
          <w:i/>
          <w:iCs/>
          <w:color w:val="auto"/>
          <w:sz w:val="24"/>
          <w:szCs w:val="24"/>
          <w:highlight w:val="none"/>
          <w:u w:val="single"/>
        </w:rPr>
        <w:t xml:space="preserve">中标人不得将合同标的进行转包</w:t>
      </w:r>
      <w:r>
        <w:rPr>
          <w:rFonts w:hint="eastAsia" w:ascii="宋体" w:hAnsi="宋体" w:cs="宋体"/>
          <w:bCs/>
          <w:color w:val="auto"/>
          <w:sz w:val="24"/>
          <w:szCs w:val="24"/>
          <w:highlight w:val="none"/>
        </w:rPr>
        <w:t xml:space="preserve">。未经采购人同意，</w:t>
      </w:r>
      <w:r>
        <w:rPr>
          <w:rFonts w:hint="eastAsia" w:ascii="宋体" w:hAnsi="宋体" w:cs="宋体"/>
          <w:bCs/>
          <w:color w:val="auto"/>
          <w:sz w:val="24"/>
          <w:szCs w:val="24"/>
          <w:highlight w:val="none"/>
        </w:rPr>
        <w:t xml:space="preserve">中标人也不得采用分包的形式履行合同</w:t>
      </w:r>
      <w:r>
        <w:rPr>
          <w:rFonts w:hint="eastAsia" w:ascii="宋体" w:hAnsi="宋体" w:cs="宋体"/>
          <w:bCs/>
          <w:color w:val="auto"/>
          <w:sz w:val="24"/>
          <w:szCs w:val="24"/>
          <w:highlight w:val="none"/>
        </w:rPr>
        <w:t xml:space="preserve">，否则采购人有权终止合同。转包或分包造成采购人损失的，中标人应承担相应赔偿责任。</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rFonts w:hint="eastAsia" w:ascii="宋体" w:hAnsi="宋体" w:cs="宋体"/>
          <w:color w:val="auto"/>
          <w:sz w:val="24"/>
          <w:szCs w:val="24"/>
          <w:highlight w:val="none"/>
        </w:rPr>
        <w:t xml:space="preserve">32.货物（包含与货物相关的服务）的追加</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32.1 政府采购合同履行</w:t>
      </w:r>
      <w:r>
        <w:rPr>
          <w:rFonts w:hint="eastAsia" w:ascii="宋体" w:hAnsi="宋体" w:cs="宋体"/>
          <w:bCs/>
          <w:color w:val="auto"/>
          <w:sz w:val="24"/>
          <w:szCs w:val="24"/>
          <w:highlight w:val="none"/>
        </w:rPr>
        <w:t xml:space="preserve">中，采购人需追加与合同标的相同的货物（包含与货物相关的服务）</w:t>
      </w:r>
      <w:r>
        <w:rPr>
          <w:rFonts w:hint="eastAsia" w:ascii="宋体" w:hAnsi="宋体" w:cs="宋体"/>
          <w:bCs/>
          <w:color w:val="auto"/>
          <w:sz w:val="24"/>
          <w:szCs w:val="24"/>
          <w:highlight w:val="none"/>
        </w:rPr>
        <w:t xml:space="preserve">的，在不改变合同其他条款的前提下，可以与中标人协商签订补充合</w:t>
      </w:r>
      <w:r>
        <w:rPr>
          <w:rFonts w:hint="eastAsia" w:ascii="宋体" w:hAnsi="宋体" w:cs="宋体"/>
          <w:bCs/>
          <w:color w:val="auto"/>
          <w:sz w:val="24"/>
          <w:szCs w:val="24"/>
          <w:highlight w:val="none"/>
        </w:rPr>
        <w:t xml:space="preserve">同，但所有补充合同的采购金额不超过原合同金额10%。</w:t>
      </w:r>
      <w:r>
        <w:rPr>
          <w:rFonts w:hint="eastAsia" w:ascii="宋体" w:hAnsi="宋体" w:cs="宋体"/>
          <w:bCs/>
          <w:color w:val="auto"/>
          <w:sz w:val="24"/>
          <w:szCs w:val="24"/>
          <w:highlight w:val="none"/>
        </w:rPr>
      </w:r>
      <w:r>
        <w:rPr>
          <w:color w:val="auto"/>
          <w:highlight w:val="none"/>
        </w:rPr>
      </w:r>
    </w:p>
    <w:p>
      <w:pPr>
        <w:pStyle w:val="905"/>
        <w:ind w:firstLine="480"/>
        <w:keepLines/>
        <w:keepNext/>
        <w:spacing w:before="145"/>
        <w:rPr>
          <w:rFonts w:hint="eastAsia" w:ascii="宋体" w:hAnsi="宋体" w:cs="宋体"/>
          <w:color w:val="auto"/>
          <w:sz w:val="24"/>
          <w:szCs w:val="24"/>
          <w:highlight w:val="none"/>
        </w:rPr>
        <w:outlineLvl w:val="3"/>
      </w:pPr>
      <w:r>
        <w:rPr>
          <w:color w:val="auto"/>
          <w:highlight w:val="none"/>
        </w:rPr>
      </w:r>
      <w:bookmarkEnd w:id="165"/>
      <w:r>
        <w:rPr>
          <w:color w:val="auto"/>
          <w:highlight w:val="none"/>
        </w:rPr>
      </w:r>
      <w:bookmarkEnd w:id="166"/>
      <w:r>
        <w:rPr>
          <w:color w:val="auto"/>
          <w:highlight w:val="none"/>
        </w:rPr>
      </w:r>
      <w:bookmarkEnd w:id="167"/>
      <w:r>
        <w:rPr>
          <w:color w:val="auto"/>
          <w:highlight w:val="none"/>
        </w:rPr>
      </w:r>
      <w:bookmarkStart w:id="168" w:name="_Toc479757207"/>
      <w:r>
        <w:rPr>
          <w:color w:val="auto"/>
          <w:highlight w:val="none"/>
        </w:rPr>
      </w:r>
      <w:bookmarkStart w:id="169" w:name="_Toc20823314"/>
      <w:r>
        <w:rPr>
          <w:color w:val="auto"/>
          <w:highlight w:val="none"/>
        </w:rPr>
      </w:r>
      <w:bookmarkStart w:id="170" w:name="_Toc16938558"/>
      <w:r>
        <w:rPr>
          <w:color w:val="auto"/>
          <w:highlight w:val="none"/>
        </w:rPr>
      </w:r>
      <w:bookmarkStart w:id="171" w:name="_Toc120614221"/>
      <w:r>
        <w:rPr>
          <w:color w:val="auto"/>
          <w:highlight w:val="none"/>
        </w:rPr>
      </w:r>
      <w:bookmarkStart w:id="172" w:name="_Toc513029242"/>
      <w:r>
        <w:rPr>
          <w:rFonts w:hint="eastAsia" w:ascii="宋体" w:hAnsi="宋体" w:cs="宋体"/>
          <w:color w:val="auto"/>
          <w:sz w:val="24"/>
          <w:szCs w:val="24"/>
          <w:highlight w:val="none"/>
        </w:rPr>
        <w:t xml:space="preserve">33.政府采购履约资金扶持政策</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中标供应商可凭政府采购合同办理融资贷款，详情请见江苏政府采购网“政采贷”专栏。</w:t>
      </w:r>
      <w:r>
        <w:rPr>
          <w:rFonts w:hint="eastAsia" w:ascii="宋体" w:hAnsi="宋体" w:cs="宋体"/>
          <w:bCs/>
          <w:color w:val="auto"/>
          <w:sz w:val="24"/>
          <w:szCs w:val="24"/>
          <w:highlight w:val="none"/>
        </w:rPr>
      </w:r>
      <w:r>
        <w:rPr>
          <w:color w:val="auto"/>
          <w:highlight w:val="none"/>
        </w:rPr>
      </w:r>
    </w:p>
    <w:p>
      <w:pPr>
        <w:pStyle w:val="986"/>
        <w:ind w:firstLine="0"/>
        <w:spacing w:before="290"/>
        <w:rPr>
          <w:rFonts w:hint="eastAsia" w:ascii="宋体" w:hAnsi="宋体" w:cs="宋体"/>
          <w:color w:val="auto"/>
          <w:highlight w:val="none"/>
        </w:rPr>
        <w:outlineLvl w:val="1"/>
      </w:pPr>
      <w:r>
        <w:rPr>
          <w:rFonts w:hint="eastAsia" w:ascii="宋体" w:hAnsi="宋体" w:cs="宋体"/>
          <w:color w:val="auto"/>
          <w:highlight w:val="none"/>
        </w:rPr>
        <w:t xml:space="preserve">八、政府采购中实施本国产品标准及相关政策</w:t>
      </w:r>
      <w:r>
        <w:rPr>
          <w:rFonts w:hint="eastAsia" w:ascii="宋体" w:hAnsi="宋体" w:cs="宋体"/>
          <w:color w:val="auto"/>
          <w:highlight w:val="none"/>
        </w:rPr>
      </w:r>
      <w:r>
        <w:rPr>
          <w:color w:val="auto"/>
          <w:highlight w:val="none"/>
        </w:rPr>
      </w:r>
    </w:p>
    <w:p>
      <w:pPr>
        <w:pStyle w:val="1032"/>
        <w:ind w:firstLine="480"/>
        <w:spacing w:line="360" w:lineRule="auto"/>
        <w:rPr>
          <w:rFonts w:hint="eastAsia" w:hAnsi="宋体"/>
          <w:color w:val="auto"/>
          <w:highlight w:val="none"/>
        </w:rPr>
      </w:pPr>
      <w:r>
        <w:rPr>
          <w:rFonts w:hint="eastAsia" w:hAnsi="宋体"/>
          <w:color w:val="auto"/>
          <w:highlight w:val="none"/>
        </w:rPr>
        <w:t xml:space="preserve">34.1 本项目对采购本国产品给予政策支持，具体内容见招标文件“第五章 评标方法与评标标准”。</w:t>
      </w:r>
      <w:r>
        <w:rPr>
          <w:rFonts w:hint="eastAsia" w:hAnsi="宋体"/>
          <w:color w:val="auto"/>
          <w:highlight w:val="none"/>
        </w:rPr>
      </w:r>
      <w:r>
        <w:rPr>
          <w:color w:val="auto"/>
          <w:highlight w:val="none"/>
        </w:rPr>
      </w:r>
    </w:p>
    <w:p>
      <w:pPr>
        <w:pStyle w:val="1032"/>
        <w:ind w:firstLine="480"/>
        <w:spacing w:line="360" w:lineRule="auto"/>
        <w:rPr>
          <w:rFonts w:hint="eastAsia" w:hAnsi="宋体"/>
          <w:color w:val="auto"/>
          <w:highlight w:val="none"/>
        </w:rPr>
      </w:pPr>
      <w:r>
        <w:rPr>
          <w:rFonts w:hint="eastAsia" w:hAnsi="宋体"/>
          <w:color w:val="auto"/>
          <w:highlight w:val="none"/>
        </w:rPr>
        <w:t xml:space="preserve">34.2 适用本国产品标准的货物具体是指《政府采购品目分类目录》中的货物类产品，但不包括</w:t>
      </w:r>
      <w:r>
        <w:rPr>
          <w:rFonts w:hint="eastAsia" w:hAnsi="宋体"/>
          <w:color w:val="auto"/>
          <w:highlight w:val="none"/>
        </w:rPr>
        <w:t xml:space="preserve">其中的房屋和构筑物，文物和陈列品，图书和档案，特种动植物，农</w:t>
      </w:r>
      <w:r>
        <w:rPr>
          <w:rFonts w:hint="eastAsia" w:hAnsi="宋体"/>
          <w:color w:val="auto"/>
          <w:highlight w:val="none"/>
        </w:rPr>
        <w:t xml:space="preserve">林牧渔业产品，矿与矿物，电力、城市燃气、蒸汽和热水、水，食品</w:t>
      </w:r>
      <w:r>
        <w:rPr>
          <w:rFonts w:hint="eastAsia" w:hAnsi="宋体"/>
          <w:color w:val="auto"/>
          <w:highlight w:val="none"/>
        </w:rPr>
        <w:t xml:space="preserve">、饮料和烟草原料，无形资产。</w:t>
      </w:r>
      <w:r>
        <w:rPr>
          <w:rFonts w:hint="eastAsia" w:hAnsi="宋体"/>
          <w:color w:val="auto"/>
          <w:highlight w:val="none"/>
        </w:rPr>
      </w:r>
      <w:r>
        <w:rPr>
          <w:color w:val="auto"/>
          <w:highlight w:val="none"/>
        </w:rPr>
      </w:r>
    </w:p>
    <w:p>
      <w:pPr>
        <w:pStyle w:val="1032"/>
        <w:ind w:firstLine="480"/>
        <w:spacing w:line="360" w:lineRule="auto"/>
        <w:rPr>
          <w:rFonts w:hint="eastAsia" w:hAnsi="宋体"/>
          <w:color w:val="auto"/>
          <w:highlight w:val="none"/>
        </w:rPr>
      </w:pPr>
      <w:r>
        <w:rPr>
          <w:rFonts w:hint="eastAsia" w:hAnsi="宋体"/>
          <w:color w:val="auto"/>
          <w:highlight w:val="none"/>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color w:val="auto"/>
          <w:highlight w:val="none"/>
        </w:rPr>
      </w:r>
      <w:r>
        <w:rPr>
          <w:color w:val="auto"/>
          <w:highlight w:val="none"/>
        </w:rPr>
      </w:r>
    </w:p>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jc w:val="center"/>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jc w:val="center"/>
        <w:keepNext/>
        <w:rPr>
          <w:rFonts w:hint="eastAsia" w:ascii="宋体" w:hAnsi="宋体" w:cs="宋体"/>
          <w:bCs/>
          <w:color w:val="auto"/>
          <w:sz w:val="44"/>
          <w:szCs w:val="28"/>
          <w:highlight w:val="none"/>
        </w:rPr>
        <w:outlineLvl w:val="0"/>
      </w:pPr>
      <w:r>
        <w:rPr>
          <w:rFonts w:hint="eastAsia" w:ascii="宋体" w:hAnsi="宋体" w:cs="宋体"/>
          <w:b/>
          <w:bCs/>
          <w:color w:val="auto"/>
          <w:sz w:val="44"/>
          <w:szCs w:val="44"/>
          <w:highlight w:val="none"/>
        </w:rPr>
        <w:br w:type="page" w:clear="all"/>
      </w:r>
      <w:bookmarkStart w:id="173" w:name="_Toc6669"/>
      <w:r>
        <w:rPr>
          <w:rFonts w:hint="eastAsia" w:ascii="宋体" w:hAnsi="宋体" w:cs="宋体"/>
          <w:color w:val="auto"/>
          <w:sz w:val="44"/>
          <w:szCs w:val="44"/>
          <w:highlight w:val="none"/>
        </w:rPr>
        <w:t xml:space="preserve">第三章  合同</w:t>
      </w:r>
      <w:bookmarkEnd w:id="168"/>
      <w:r>
        <w:rPr>
          <w:color w:val="auto"/>
          <w:highlight w:val="none"/>
        </w:rPr>
      </w:r>
      <w:bookmarkEnd w:id="169"/>
      <w:r>
        <w:rPr>
          <w:color w:val="auto"/>
          <w:highlight w:val="none"/>
        </w:rPr>
      </w:r>
      <w:bookmarkEnd w:id="170"/>
      <w:r>
        <w:rPr>
          <w:color w:val="auto"/>
          <w:highlight w:val="none"/>
        </w:rPr>
      </w:r>
      <w:bookmarkEnd w:id="171"/>
      <w:r>
        <w:rPr>
          <w:color w:val="auto"/>
          <w:highlight w:val="none"/>
        </w:rPr>
      </w:r>
      <w:bookmarkEnd w:id="172"/>
      <w:r>
        <w:rPr>
          <w:rFonts w:hint="eastAsia" w:ascii="宋体" w:hAnsi="宋体" w:cs="宋体"/>
          <w:color w:val="auto"/>
          <w:sz w:val="44"/>
          <w:szCs w:val="44"/>
          <w:highlight w:val="none"/>
        </w:rPr>
        <w:t xml:space="preserve">文本</w:t>
      </w:r>
      <w:bookmarkEnd w:id="173"/>
      <w:r>
        <w:rPr>
          <w:rFonts w:hint="eastAsia" w:ascii="宋体" w:hAnsi="宋体" w:cs="宋体"/>
          <w:bCs/>
          <w:color w:val="auto"/>
          <w:sz w:val="44"/>
          <w:szCs w:val="28"/>
          <w:highlight w:val="none"/>
        </w:rPr>
      </w:r>
      <w:r>
        <w:rPr>
          <w:color w:val="auto"/>
          <w:highlight w:val="none"/>
        </w:rPr>
      </w:r>
    </w:p>
    <w:p>
      <w:pPr>
        <w:pStyle w:val="905"/>
        <w:ind w:firstLine="480"/>
        <w:spacing w:line="500" w:lineRule="exact"/>
        <w:rPr>
          <w:rFonts w:hint="eastAsia" w:ascii="宋体" w:hAnsi="宋体" w:cs="宋体"/>
          <w:bCs/>
          <w:color w:val="auto"/>
          <w:sz w:val="24"/>
          <w:szCs w:val="21"/>
          <w:highlight w:val="none"/>
        </w:rPr>
      </w:pPr>
      <w:r>
        <w:rPr>
          <w:color w:val="auto"/>
          <w:highlight w:val="none"/>
        </w:rPr>
      </w:r>
      <w:bookmarkStart w:id="174" w:name="_Toc513029243"/>
      <w:r>
        <w:rPr>
          <w:color w:val="auto"/>
          <w:highlight w:val="none"/>
        </w:rPr>
      </w:r>
      <w:bookmarkStart w:id="175" w:name="_Toc16938559"/>
      <w:r>
        <w:rPr>
          <w:color w:val="auto"/>
          <w:highlight w:val="none"/>
        </w:rPr>
      </w:r>
      <w:bookmarkStart w:id="176" w:name="_Toc20823315"/>
      <w:r>
        <w:rPr>
          <w:rFonts w:hint="eastAsia" w:ascii="宋体" w:hAnsi="宋体" w:cs="宋体"/>
          <w:bCs/>
          <w:color w:val="auto"/>
          <w:sz w:val="24"/>
          <w:szCs w:val="21"/>
          <w:highlight w:val="none"/>
        </w:rPr>
        <w:t xml:space="preserve">以</w:t>
      </w:r>
      <w:r>
        <w:rPr>
          <w:rFonts w:hint="eastAsia" w:ascii="宋体" w:hAnsi="宋体" w:cs="宋体"/>
          <w:bCs/>
          <w:color w:val="auto"/>
          <w:sz w:val="24"/>
          <w:szCs w:val="21"/>
          <w:highlight w:val="none"/>
        </w:rPr>
        <w:t xml:space="preserve">下为中标后签订本项目合同的通用条款，中标人不得提出实质性的修</w:t>
      </w:r>
      <w:r>
        <w:rPr>
          <w:rFonts w:hint="eastAsia" w:ascii="宋体" w:hAnsi="宋体" w:cs="宋体"/>
          <w:bCs/>
          <w:color w:val="auto"/>
          <w:sz w:val="24"/>
          <w:szCs w:val="21"/>
          <w:highlight w:val="none"/>
        </w:rPr>
        <w:t xml:space="preserve">改。</w:t>
      </w:r>
      <w:r>
        <w:rPr>
          <w:rFonts w:hint="eastAsia" w:ascii="宋体" w:hAnsi="宋体" w:cs="宋体"/>
          <w:bCs/>
          <w:color w:val="auto"/>
          <w:sz w:val="24"/>
          <w:szCs w:val="21"/>
          <w:highlight w:val="none"/>
        </w:rPr>
      </w:r>
      <w:r>
        <w:rPr>
          <w:color w:val="auto"/>
          <w:highlight w:val="none"/>
        </w:rPr>
      </w:r>
    </w:p>
    <w:p>
      <w:pPr>
        <w:pStyle w:val="905"/>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rPr>
          <w:color w:val="auto"/>
          <w:highlight w:val="none"/>
        </w:rPr>
      </w:r>
    </w:p>
    <w:p>
      <w:pPr>
        <w:pStyle w:val="905"/>
        <w:jc w:val="center"/>
        <w:rPr>
          <w:rFonts w:hint="eastAsia" w:ascii="宋体" w:hAnsi="宋体" w:cs="宋体"/>
          <w:b/>
          <w:color w:val="auto"/>
          <w:sz w:val="36"/>
          <w:szCs w:val="36"/>
          <w:highlight w:val="none"/>
        </w:rPr>
      </w:pPr>
      <w:r>
        <w:rPr>
          <w:color w:val="auto"/>
          <w:highlight w:val="none"/>
        </w:rPr>
      </w:r>
      <w:bookmarkEnd w:id="174"/>
      <w:r>
        <w:rPr>
          <w:color w:val="auto"/>
          <w:highlight w:val="none"/>
        </w:rPr>
      </w:r>
      <w:bookmarkEnd w:id="175"/>
      <w:r>
        <w:rPr>
          <w:color w:val="auto"/>
          <w:highlight w:val="none"/>
        </w:rPr>
      </w:r>
      <w:bookmarkEnd w:id="176"/>
      <w:r>
        <w:rPr>
          <w:color w:val="auto"/>
          <w:highlight w:val="none"/>
        </w:rPr>
      </w:r>
      <w:bookmarkStart w:id="177" w:name="_Hlt16619369"/>
      <w:r>
        <w:rPr>
          <w:color w:val="auto"/>
          <w:highlight w:val="none"/>
        </w:rPr>
      </w:r>
      <w:bookmarkEnd w:id="177"/>
      <w:r>
        <w:rPr>
          <w:color w:val="auto"/>
          <w:highlight w:val="none"/>
        </w:rPr>
      </w:r>
      <w:bookmarkStart w:id="178" w:name="_Toc462564139"/>
      <w:r>
        <w:rPr>
          <w:color w:val="auto"/>
          <w:highlight w:val="none"/>
        </w:rPr>
      </w:r>
      <w:bookmarkStart w:id="179" w:name="_Toc479757211"/>
      <w:r>
        <w:rPr>
          <w:rFonts w:hint="eastAsia" w:ascii="宋体" w:hAnsi="宋体" w:cs="宋体"/>
          <w:b/>
          <w:color w:val="auto"/>
          <w:sz w:val="36"/>
          <w:szCs w:val="36"/>
          <w:highlight w:val="none"/>
        </w:rPr>
        <w:t xml:space="preserve">设备购销合同</w:t>
      </w:r>
      <w:r>
        <w:rPr>
          <w:rFonts w:hint="eastAsia" w:ascii="宋体" w:hAnsi="宋体" w:cs="宋体"/>
          <w:b/>
          <w:color w:val="auto"/>
          <w:sz w:val="36"/>
          <w:szCs w:val="36"/>
          <w:highlight w:val="none"/>
        </w:rPr>
      </w:r>
      <w:r>
        <w:rPr>
          <w:color w:val="auto"/>
          <w:highlight w:val="none"/>
        </w:rPr>
      </w:r>
    </w:p>
    <w:p>
      <w:pPr>
        <w:pStyle w:val="905"/>
        <w:jc w:val="left"/>
        <w:rPr>
          <w:rFonts w:hint="eastAsia" w:ascii="宋体" w:hAnsi="宋体" w:cs="宋体"/>
          <w:b/>
          <w:color w:val="auto"/>
          <w:szCs w:val="21"/>
          <w:highlight w:val="none"/>
        </w:rPr>
      </w:pP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甲方：（买方）</w:t>
      </w:r>
      <w:r>
        <w:rPr>
          <w:rFonts w:hint="eastAsia" w:ascii="宋体" w:hAnsi="宋体" w:cs="宋体"/>
          <w:color w:val="auto"/>
          <w:szCs w:val="21"/>
          <w:highlight w:val="none"/>
          <w:u w:val="single"/>
        </w:rPr>
        <w:t xml:space="preserve">江苏省苏北人民医院</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u w:val="single"/>
        </w:rPr>
      </w:pPr>
      <w:r>
        <w:rPr>
          <w:rFonts w:hint="eastAsia" w:ascii="宋体" w:hAnsi="宋体" w:cs="宋体"/>
          <w:color w:val="auto"/>
          <w:szCs w:val="21"/>
          <w:highlight w:val="none"/>
        </w:rPr>
        <w:t xml:space="preserve">乙方：（卖方）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江苏苏豪创新科技集团高科有限公司</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根据《中华人民共和国民法典》以及</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采购项目（招标编号/包号：                ）</w:t>
      </w:r>
      <w:r>
        <w:rPr>
          <w:rFonts w:hint="eastAsia" w:ascii="宋体" w:hAnsi="宋体" w:cs="宋体"/>
          <w:color w:val="auto"/>
          <w:szCs w:val="21"/>
          <w:highlight w:val="none"/>
        </w:rPr>
        <w:t xml:space="preserve">《招标文件》、乙方《投标文件》，遵循平等、自愿、公平和诚实信用等原则</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甲乙双方同意按下述条款和条件签订本合同，并共同遵守。</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一、标的</w:t>
      </w:r>
      <w:r>
        <w:rPr>
          <w:rFonts w:hint="eastAsia" w:ascii="宋体" w:hAnsi="宋体" w:cs="宋体"/>
          <w:b/>
          <w:color w:val="auto"/>
          <w:szCs w:val="21"/>
          <w:highlight w:val="none"/>
        </w:rPr>
      </w:r>
      <w:r>
        <w:rPr>
          <w:color w:val="auto"/>
          <w:highlight w:val="none"/>
        </w:rPr>
      </w:r>
    </w:p>
    <w:tbl>
      <w:tblPr>
        <w:tblW w:w="874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W w:w="72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包</w:t>
            </w:r>
            <w:r>
              <w:rPr>
                <w:rFonts w:hint="eastAsia" w:ascii="宋体" w:hAnsi="宋体" w:cs="宋体"/>
                <w:bCs/>
                <w:color w:val="auto"/>
                <w:szCs w:val="21"/>
                <w:highlight w:val="none"/>
              </w:rPr>
            </w:r>
            <w:r>
              <w:rPr>
                <w:color w:val="auto"/>
                <w:highlight w:val="none"/>
              </w:rPr>
            </w:r>
          </w:p>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号</w:t>
            </w: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产品名称</w:t>
            </w: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品牌</w:t>
            </w: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color w:val="auto"/>
                <w:szCs w:val="21"/>
                <w:highlight w:val="none"/>
              </w:rPr>
              <w:t xml:space="preserve">规格/型号</w:t>
            </w:r>
            <w:r>
              <w:rPr>
                <w:rFonts w:hint="eastAsia" w:ascii="宋体" w:hAnsi="宋体" w:cs="宋体"/>
                <w:bCs/>
                <w:color w:val="auto"/>
                <w:szCs w:val="21"/>
                <w:highlight w:val="none"/>
              </w:rPr>
            </w:r>
            <w:r>
              <w:rPr>
                <w:color w:val="auto"/>
                <w:highlight w:val="none"/>
              </w:rPr>
            </w:r>
          </w:p>
        </w:tc>
        <w:tc>
          <w:tcPr>
            <w:tcW w:w="782"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单</w:t>
            </w:r>
            <w:r>
              <w:rPr>
                <w:rFonts w:hint="eastAsia" w:ascii="宋体" w:hAnsi="宋体" w:cs="宋体"/>
                <w:bCs/>
                <w:color w:val="auto"/>
                <w:szCs w:val="21"/>
                <w:highlight w:val="none"/>
              </w:rPr>
              <w:t xml:space="preserve">位</w:t>
            </w: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数量</w:t>
            </w: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单价</w:t>
            </w:r>
            <w:r>
              <w:rPr>
                <w:rFonts w:hint="eastAsia" w:ascii="宋体" w:hAnsi="宋体" w:cs="宋体"/>
                <w:bCs/>
                <w:color w:val="auto"/>
                <w:szCs w:val="21"/>
                <w:highlight w:val="none"/>
              </w:rPr>
            </w:r>
            <w:r>
              <w:rPr>
                <w:color w:val="auto"/>
                <w:highlight w:val="none"/>
              </w:rPr>
            </w:r>
          </w:p>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（元）</w:t>
            </w: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合计</w:t>
            </w:r>
            <w:r>
              <w:rPr>
                <w:rFonts w:hint="eastAsia" w:ascii="宋体" w:hAnsi="宋体" w:cs="宋体"/>
                <w:bCs/>
                <w:color w:val="auto"/>
                <w:szCs w:val="21"/>
                <w:highlight w:val="none"/>
              </w:rPr>
            </w:r>
            <w:r>
              <w:rPr>
                <w:color w:val="auto"/>
                <w:highlight w:val="none"/>
              </w:rPr>
            </w:r>
          </w:p>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（元）</w:t>
            </w:r>
            <w:r>
              <w:rPr>
                <w:rFonts w:hint="eastAsia" w:ascii="宋体" w:hAnsi="宋体" w:cs="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tc>
        <w:tc>
          <w:tcPr>
            <w:tcW w:w="782"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tc>
        <w:tc>
          <w:tcPr>
            <w:tcW w:w="782"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tc>
        <w:tc>
          <w:tcPr>
            <w:tcW w:w="782"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tc>
        <w:tc>
          <w:tcPr>
            <w:tcW w:w="782"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r>
        <w:trPr>
          <w:trHeight w:val="567"/>
        </w:trPr>
        <w:tc>
          <w:tcPr>
            <w:tcW w:w="72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03"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134"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417" w:type="dxa"/>
            <w:vAlign w:val="center"/>
            <w:textDirection w:val="lrTb"/>
            <w:noWrap w:val="false"/>
          </w:tcPr>
          <w:p>
            <w:pPr>
              <w:pStyle w:val="905"/>
              <w:jc w:val="center"/>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tc>
        <w:tc>
          <w:tcPr>
            <w:tcW w:w="782"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75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219" w:type="dxa"/>
            <w:vAlign w:val="center"/>
            <w:textDirection w:val="lrTb"/>
            <w:noWrap w:val="false"/>
          </w:tcPr>
          <w:p>
            <w:pPr>
              <w:pStyle w:val="905"/>
              <w:jc w:val="center"/>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c>
          <w:tcPr>
            <w:tcW w:w="1320" w:type="dxa"/>
            <w:vAlign w:val="center"/>
            <w:textDirection w:val="lrTb"/>
            <w:noWrap w:val="false"/>
          </w:tcPr>
          <w:p>
            <w:pPr>
              <w:pStyle w:val="905"/>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r>
        <w:trPr>
          <w:trHeight w:val="567"/>
        </w:trPr>
        <w:tc>
          <w:tcPr>
            <w:gridSpan w:val="7"/>
            <w:tcW w:w="7429" w:type="dxa"/>
            <w:vAlign w:val="center"/>
            <w:textDirection w:val="lrTb"/>
            <w:noWrap w:val="false"/>
          </w:tcPr>
          <w:p>
            <w:pPr>
              <w:pStyle w:val="905"/>
              <w:jc w:val="center"/>
              <w:widowControl/>
              <w:rPr>
                <w:rFonts w:hint="eastAsia" w:ascii="宋体" w:hAnsi="宋体" w:cs="宋体"/>
                <w:color w:val="auto"/>
                <w:szCs w:val="21"/>
                <w:highlight w:val="none"/>
              </w:rPr>
            </w:pPr>
            <w:r>
              <w:rPr>
                <w:rFonts w:hint="eastAsia" w:ascii="宋体" w:hAnsi="宋体" w:cs="宋体"/>
                <w:color w:val="auto"/>
                <w:szCs w:val="21"/>
                <w:highlight w:val="none"/>
              </w:rPr>
              <w:t xml:space="preserve">含税合计</w:t>
            </w:r>
            <w:r>
              <w:rPr>
                <w:rFonts w:hint="eastAsia" w:ascii="宋体" w:hAnsi="宋体" w:cs="宋体"/>
                <w:color w:val="auto"/>
                <w:szCs w:val="21"/>
                <w:highlight w:val="none"/>
              </w:rPr>
            </w:r>
            <w:r>
              <w:rPr>
                <w:color w:val="auto"/>
                <w:highlight w:val="none"/>
              </w:rPr>
            </w:r>
          </w:p>
        </w:tc>
        <w:tc>
          <w:tcPr>
            <w:tcW w:w="1320" w:type="dxa"/>
            <w:vAlign w:val="center"/>
            <w:textDirection w:val="lrTb"/>
            <w:noWrap w:val="false"/>
          </w:tcPr>
          <w:p>
            <w:pPr>
              <w:pStyle w:val="905"/>
              <w:ind w:right="420"/>
              <w:widowControl/>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highlight w:val="none"/>
              </w:rPr>
            </w:r>
          </w:p>
        </w:tc>
      </w:tr>
    </w:tbl>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color w:val="auto"/>
          <w:szCs w:val="21"/>
          <w:highlight w:val="none"/>
        </w:rPr>
      </w:pPr>
      <w:r>
        <w:rPr>
          <w:rFonts w:hint="eastAsia" w:ascii="宋体" w:hAnsi="宋体" w:cs="宋体"/>
          <w:b/>
          <w:color w:val="auto"/>
          <w:szCs w:val="21"/>
          <w:highlight w:val="none"/>
        </w:rPr>
        <w:t xml:space="preserve">二、合同金额</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u w:val="single"/>
        </w:rPr>
      </w:pPr>
      <w:r>
        <w:rPr>
          <w:rFonts w:hint="eastAsia" w:ascii="宋体" w:hAnsi="宋体" w:cs="宋体"/>
          <w:color w:val="auto"/>
          <w:szCs w:val="21"/>
          <w:highlight w:val="none"/>
        </w:rPr>
        <w:t xml:space="preserve">2.1  合同价金额为（大写）：</w:t>
      </w:r>
      <w:r>
        <w:rPr>
          <w:rFonts w:hint="eastAsia" w:ascii="宋体" w:hAnsi="宋体" w:cs="宋体"/>
          <w:color w:val="auto"/>
          <w:szCs w:val="21"/>
          <w:highlight w:val="none"/>
          <w:u w:val="single"/>
        </w:rPr>
        <w:t xml:space="preserve">          万元整</w:t>
      </w:r>
      <w:r>
        <w:rPr>
          <w:rFonts w:hint="eastAsia" w:ascii="宋体" w:hAnsi="宋体" w:cs="宋体"/>
          <w:color w:val="auto"/>
          <w:szCs w:val="21"/>
          <w:highlight w:val="none"/>
          <w:u w:val="singl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color w:val="auto"/>
          <w:szCs w:val="21"/>
          <w:highlight w:val="none"/>
        </w:rPr>
      </w:pPr>
      <w:r>
        <w:rPr>
          <w:rFonts w:hint="eastAsia" w:ascii="宋体" w:hAnsi="宋体" w:cs="宋体"/>
          <w:b/>
          <w:color w:val="auto"/>
          <w:szCs w:val="21"/>
          <w:highlight w:val="none"/>
        </w:rPr>
        <w:t xml:space="preserve">三、技术资料</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3.1乙方应向甲方提供使用产品的有关技术资料，主要包括：技术说明书、使用说明书、安装维修手册、操作手册、常用易消耗品清单等。</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3.2没有甲方事先书面同意，乙方不得将由甲方提供的有关合同或任何合同条文提供给与履行本合同无关的任何其他人。即使向履行本合同有关的人员提供，也应注意保</w:t>
      </w:r>
      <w:r>
        <w:rPr>
          <w:rFonts w:hint="eastAsia" w:ascii="宋体" w:hAnsi="宋体" w:cs="宋体"/>
          <w:color w:val="auto"/>
          <w:szCs w:val="21"/>
          <w:highlight w:val="none"/>
        </w:rPr>
        <w:t xml:space="preserve">密并限于履行合同的必需范围。</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color w:val="auto"/>
          <w:szCs w:val="21"/>
          <w:highlight w:val="none"/>
        </w:rPr>
      </w:pPr>
      <w:r>
        <w:rPr>
          <w:rFonts w:hint="eastAsia" w:ascii="宋体" w:hAnsi="宋体" w:cs="宋体"/>
          <w:b/>
          <w:color w:val="auto"/>
          <w:szCs w:val="21"/>
          <w:highlight w:val="none"/>
        </w:rPr>
        <w:t xml:space="preserve">四、知识产权</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4.1乙方应保</w:t>
      </w:r>
      <w:r>
        <w:rPr>
          <w:rFonts w:hint="eastAsia" w:ascii="宋体" w:hAnsi="宋体" w:cs="宋体"/>
          <w:color w:val="auto"/>
          <w:szCs w:val="21"/>
          <w:highlight w:val="none"/>
        </w:rPr>
        <w:t xml:space="preserve">证甲方在使用、</w:t>
      </w:r>
      <w:r>
        <w:rPr>
          <w:rFonts w:hint="eastAsia" w:ascii="宋体" w:hAnsi="宋体" w:cs="宋体"/>
          <w:color w:val="auto"/>
          <w:szCs w:val="21"/>
          <w:highlight w:val="none"/>
        </w:rPr>
        <w:t xml:space="preserve">接受本合同货物和服务或其任何一部分时不受第三方提出侵犯其专利权、版权、商标权和工业设计权等知识产权的起诉。一旦出现侵权，由乙方负全部责任。</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color w:val="auto"/>
          <w:szCs w:val="21"/>
          <w:highlight w:val="none"/>
        </w:rPr>
      </w:pPr>
      <w:r>
        <w:rPr>
          <w:rFonts w:hint="eastAsia" w:ascii="宋体" w:hAnsi="宋体" w:cs="宋体"/>
          <w:b/>
          <w:color w:val="auto"/>
          <w:szCs w:val="21"/>
          <w:highlight w:val="none"/>
        </w:rPr>
        <w:t xml:space="preserve">五、产权担保</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5.1乙方保证所交付的货物的所有权完全属于乙方且无任何抵押、查封等产权瑕疵。</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color w:val="auto"/>
          <w:szCs w:val="21"/>
          <w:highlight w:val="none"/>
        </w:rPr>
      </w:pPr>
      <w:r>
        <w:rPr>
          <w:rFonts w:hint="eastAsia" w:ascii="宋体" w:hAnsi="宋体" w:cs="宋体"/>
          <w:b/>
          <w:color w:val="auto"/>
          <w:szCs w:val="21"/>
          <w:highlight w:val="none"/>
        </w:rPr>
        <w:t xml:space="preserve">六、项目实施</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6.1 </w:t>
      </w:r>
      <w:r>
        <w:rPr>
          <w:rFonts w:hint="eastAsia" w:ascii="宋体" w:hAnsi="宋体" w:cs="宋体"/>
          <w:bCs/>
          <w:color w:val="auto"/>
          <w:szCs w:val="21"/>
          <w:highlight w:val="none"/>
        </w:rPr>
        <w:t xml:space="preserve"> 交 货 期：合同签订后</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日内。</w:t>
      </w:r>
      <w:r>
        <w:rPr>
          <w:rFonts w:hint="eastAsia" w:ascii="宋体" w:hAnsi="宋体" w:cs="宋体"/>
          <w:bCs/>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6.2  交货地点：</w:t>
      </w:r>
      <w:r>
        <w:rPr>
          <w:rFonts w:hint="eastAsia" w:ascii="宋体" w:hAnsi="宋体" w:cs="宋体"/>
          <w:bCs/>
          <w:color w:val="auto"/>
          <w:szCs w:val="21"/>
          <w:highlight w:val="none"/>
        </w:rPr>
        <w:t xml:space="preserve">甲方指定地点</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七、包装、运输、交货</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7.1  除合同另有规定外，乙方提供的全部货物均按标准保护措施进行包装。该包装应适</w:t>
      </w:r>
      <w:r>
        <w:rPr>
          <w:rFonts w:hint="eastAsia" w:ascii="宋体" w:hAnsi="宋体" w:cs="宋体"/>
          <w:color w:val="auto"/>
          <w:szCs w:val="21"/>
          <w:highlight w:val="none"/>
        </w:rPr>
        <w:t xml:space="preserve">应于远距离运输、防潮、防震、防锈和防野蛮装卸，以确保货物安全</w:t>
      </w:r>
      <w:r>
        <w:rPr>
          <w:rFonts w:hint="eastAsia" w:ascii="宋体" w:hAnsi="宋体" w:cs="宋体"/>
          <w:color w:val="auto"/>
          <w:szCs w:val="21"/>
          <w:highlight w:val="none"/>
        </w:rPr>
        <w:t xml:space="preserve">无损运抵指定现场。由于包装不善所引起的货物锈蚀、损坏和损失均</w:t>
      </w:r>
      <w:r>
        <w:rPr>
          <w:rFonts w:hint="eastAsia" w:ascii="宋体" w:hAnsi="宋体" w:cs="宋体"/>
          <w:color w:val="auto"/>
          <w:szCs w:val="21"/>
          <w:highlight w:val="none"/>
        </w:rPr>
        <w:t xml:space="preserve">由乙方承担。</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7.2  每件包装箱内应附一份详细装箱单和质量合格标识。</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7.3  乙方负责安排运输，并承担相关费用。</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7.4  设备在项目安装调试验收合格并移交给甲方之前的保管由乙方负责。</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八、货款支付</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8.1 合同签订后且乙方向甲方出具发票后，甲方15日内支付合同款的30%，项目验收合格后，甲方支付合同款的70%。</w:t>
      </w: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九、安装及调试</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9.1  设备到货后一周内，乙方应派有经验和能力、具</w:t>
      </w:r>
      <w:r>
        <w:rPr>
          <w:rFonts w:hint="eastAsia" w:ascii="宋体" w:hAnsi="宋体" w:cs="宋体"/>
          <w:color w:val="auto"/>
          <w:szCs w:val="21"/>
          <w:highlight w:val="none"/>
        </w:rPr>
        <w:t xml:space="preserve">有相应资质的技术人员，负责设备安装、调试至合格。</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十、验收</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10.1  设备投入运行前，乙方需向甲方书面提交验收申请，由甲方组织对设备进行初步验收，验收标准：对照招标文件、投标文件、合同及合同附件，使用部门负责人签字确认合格后，通过初验后进行试运行。</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10.2  设备投入试运行后正常工作</w:t>
      </w:r>
      <w:r>
        <w:rPr>
          <w:rFonts w:hint="eastAsia" w:ascii="宋体" w:hAnsi="宋体" w:cs="宋体"/>
          <w:color w:val="auto"/>
          <w:szCs w:val="21"/>
          <w:highlight w:val="none"/>
          <w:u w:val="single"/>
        </w:rPr>
        <w:t xml:space="preserve"> 30 </w:t>
      </w:r>
      <w:r>
        <w:rPr>
          <w:rFonts w:hint="eastAsia" w:ascii="宋体" w:hAnsi="宋体" w:cs="宋体"/>
          <w:color w:val="auto"/>
          <w:szCs w:val="21"/>
          <w:highlight w:val="none"/>
        </w:rPr>
        <w:t xml:space="preserve">日（时间由甲、乙双方商定），甲、乙方双方共同进行最终验收。</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10.3  最终验收合格后，甲乙双方共同签署验收报告，一式两份，一份交甲方留存，一份由乙方用作结算凭证。</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10.4  如果发现与合同中要求不符，乙方须承担</w:t>
      </w:r>
      <w:r>
        <w:rPr>
          <w:rFonts w:hint="eastAsia" w:ascii="宋体" w:hAnsi="宋体" w:cs="宋体"/>
          <w:color w:val="auto"/>
          <w:szCs w:val="21"/>
          <w:highlight w:val="none"/>
        </w:rPr>
        <w:t xml:space="preserve">由此发生的一切损失和费用，并接受相应的处罚。</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10.5  </w:t>
      </w:r>
      <w:r>
        <w:rPr>
          <w:rStyle w:val="1026"/>
          <w:color w:val="auto"/>
          <w:sz w:val="21"/>
          <w:szCs w:val="21"/>
          <w:highlight w:val="none"/>
        </w:rPr>
        <w:t xml:space="preserve">甲</w:t>
      </w:r>
      <w:r>
        <w:rPr>
          <w:rStyle w:val="1026"/>
          <w:color w:val="auto"/>
          <w:sz w:val="21"/>
          <w:szCs w:val="21"/>
          <w:highlight w:val="none"/>
        </w:rPr>
        <w:t xml:space="preserve">方</w:t>
      </w:r>
      <w:r>
        <w:rPr>
          <w:rStyle w:val="1026"/>
          <w:color w:val="auto"/>
          <w:sz w:val="21"/>
          <w:szCs w:val="21"/>
          <w:highlight w:val="none"/>
        </w:rPr>
        <w:t xml:space="preserve">有权委托中国有资格单位或机构对设备性能、精度进行校核。</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10.6  验收时必须提供完整的验收资料。</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十一、技术培训：</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11.1  技术培训要求详见招标文件《第三部分：采购需求》中商务要求条款。</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十二、质量保证及售后服务</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12.1  乙方应按招标文件规定的货物性能、技术要求、质量标准向甲方提供未经使用的全新产品。</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12.2  售后服务要求详见招标文件《第三部分：采购需求》中商务要求条款。</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十三、违约责任</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13.1甲方不得以无正当理由拒收货物，</w:t>
      </w:r>
      <w:r>
        <w:rPr>
          <w:rFonts w:hint="eastAsia" w:ascii="宋体" w:hAnsi="宋体" w:cs="宋体"/>
          <w:color w:val="auto"/>
          <w:szCs w:val="21"/>
          <w:highlight w:val="none"/>
        </w:rPr>
        <w:t xml:space="preserve">否则由此所造成的损失须由甲方承担赔偿责任。</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13.2  乙方</w:t>
      </w:r>
      <w:r>
        <w:rPr>
          <w:rFonts w:hint="eastAsia" w:ascii="宋体" w:hAnsi="宋体" w:cs="宋体"/>
          <w:color w:val="auto"/>
          <w:szCs w:val="21"/>
          <w:highlight w:val="none"/>
        </w:rPr>
        <w:t xml:space="preserve">逾期交付货物的，</w:t>
      </w:r>
      <w:r>
        <w:rPr>
          <w:rFonts w:hint="eastAsia" w:ascii="宋体" w:hAnsi="宋体" w:cs="宋体"/>
          <w:color w:val="auto"/>
          <w:szCs w:val="21"/>
          <w:highlight w:val="none"/>
        </w:rPr>
        <w:t xml:space="preserve">按照招标文件《第三部分：采购需求》中商务条款的相应条文执行。</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十四、诉讼</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14.1双方在执行合同中所发生的一切争议，应通过协商解决。如协商不成，可向合同签订地法院起诉。</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十五、合同生效及其它</w:t>
      </w:r>
      <w:r>
        <w:rPr>
          <w:rFonts w:hint="eastAsia" w:ascii="宋体" w:hAnsi="宋体" w:cs="宋体"/>
          <w:b/>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15.1  本合同由甲乙双方在</w:t>
      </w:r>
      <w:r>
        <w:rPr>
          <w:rStyle w:val="1027"/>
          <w:rFonts w:hint="eastAsia" w:ascii="宋体" w:hAnsi="宋体" w:cs="宋体"/>
          <w:color w:val="auto"/>
          <w:highlight w:val="none"/>
          <w:u w:val="single"/>
        </w:rPr>
        <w:t xml:space="preserve">甲</w:t>
      </w:r>
      <w:r>
        <w:rPr>
          <w:rStyle w:val="1027"/>
          <w:rFonts w:hint="eastAsia" w:ascii="宋体" w:hAnsi="宋体" w:cs="宋体"/>
          <w:color w:val="auto"/>
          <w:highlight w:val="none"/>
          <w:u w:val="single"/>
        </w:rPr>
        <w:t xml:space="preserve">方所在地</w:t>
      </w:r>
      <w:r>
        <w:rPr>
          <w:rFonts w:hint="eastAsia" w:ascii="宋体" w:hAnsi="宋体" w:cs="宋体"/>
          <w:color w:val="auto"/>
          <w:szCs w:val="21"/>
          <w:highlight w:val="none"/>
        </w:rPr>
        <w:t xml:space="preserve">签订。合同经双方法定代表人或授权委托人签字盖章并经采</w:t>
      </w:r>
      <w:r>
        <w:rPr>
          <w:rFonts w:hint="eastAsia" w:ascii="宋体" w:hAnsi="宋体" w:cs="宋体"/>
          <w:color w:val="auto"/>
          <w:szCs w:val="21"/>
          <w:highlight w:val="none"/>
        </w:rPr>
        <w:t xml:space="preserve">购代理机构鉴证后生效。</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15.2  招标、投标文件是本合同不可或缺的部分，与合同具有同等效力。本合同未尽事宜，遵照《合同法》有关条文执行。</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15.3  本合同正本一式</w:t>
      </w:r>
      <w:r>
        <w:rPr>
          <w:rFonts w:hint="eastAsia" w:ascii="宋体" w:hAnsi="宋体" w:cs="宋体"/>
          <w:color w:val="auto"/>
          <w:szCs w:val="21"/>
          <w:highlight w:val="none"/>
          <w:u w:val="single"/>
        </w:rPr>
        <w:t xml:space="preserve">肆</w:t>
      </w:r>
      <w:r>
        <w:rPr>
          <w:rFonts w:hint="eastAsia" w:ascii="宋体" w:hAnsi="宋体" w:cs="宋体"/>
          <w:color w:val="auto"/>
          <w:szCs w:val="21"/>
          <w:highlight w:val="none"/>
        </w:rPr>
        <w:t xml:space="preserve">份，具有同等法律效力，甲方执</w:t>
      </w:r>
      <w:r>
        <w:rPr>
          <w:rFonts w:hint="eastAsia" w:ascii="宋体" w:hAnsi="宋体" w:cs="宋体"/>
          <w:color w:val="auto"/>
          <w:szCs w:val="21"/>
          <w:highlight w:val="none"/>
          <w:u w:val="single"/>
        </w:rPr>
        <w:t xml:space="preserve">贰</w:t>
      </w:r>
      <w:r>
        <w:rPr>
          <w:rFonts w:hint="eastAsia" w:ascii="宋体" w:hAnsi="宋体" w:cs="宋体"/>
          <w:color w:val="auto"/>
          <w:szCs w:val="21"/>
          <w:highlight w:val="none"/>
        </w:rPr>
        <w:t xml:space="preserve">份，乙方执</w:t>
      </w:r>
      <w:r>
        <w:rPr>
          <w:rFonts w:hint="eastAsia" w:ascii="宋体" w:hAnsi="宋体" w:cs="宋体"/>
          <w:color w:val="auto"/>
          <w:szCs w:val="21"/>
          <w:highlight w:val="none"/>
          <w:u w:val="single"/>
        </w:rPr>
        <w:t xml:space="preserve">壹</w:t>
      </w:r>
      <w:r>
        <w:rPr>
          <w:rFonts w:hint="eastAsia" w:ascii="宋体" w:hAnsi="宋体" w:cs="宋体"/>
          <w:color w:val="auto"/>
          <w:szCs w:val="21"/>
          <w:highlight w:val="none"/>
        </w:rPr>
        <w:t xml:space="preserve">份，鉴证方执</w:t>
      </w:r>
      <w:r>
        <w:rPr>
          <w:rFonts w:hint="eastAsia" w:ascii="宋体" w:hAnsi="宋体" w:cs="宋体"/>
          <w:color w:val="auto"/>
          <w:szCs w:val="21"/>
          <w:highlight w:val="none"/>
          <w:u w:val="single"/>
        </w:rPr>
        <w:t xml:space="preserve">壹</w:t>
      </w:r>
      <w:r>
        <w:rPr>
          <w:rFonts w:hint="eastAsia" w:ascii="宋体" w:hAnsi="宋体" w:cs="宋体"/>
          <w:color w:val="auto"/>
          <w:szCs w:val="21"/>
          <w:highlight w:val="none"/>
        </w:rPr>
        <w:t xml:space="preserve">份。</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甲方（盖章）：江苏省苏北人民医院       乙方（盖章）： </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地址：扬州市南通西路98号             地址： </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法定代表人或授权委托人（签字）：       法定代表人或授权委托人（签字）：</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纳税人</w:t>
      </w:r>
      <w:r>
        <w:rPr>
          <w:rFonts w:hint="eastAsia" w:ascii="宋体" w:hAnsi="宋体" w:cs="宋体"/>
          <w:color w:val="auto"/>
          <w:szCs w:val="21"/>
          <w:highlight w:val="none"/>
        </w:rPr>
        <w:t xml:space="preserve">识别号：12321000468830683C      纳税</w:t>
      </w:r>
      <w:r>
        <w:rPr>
          <w:rFonts w:hint="eastAsia" w:ascii="宋体" w:hAnsi="宋体" w:cs="宋体"/>
          <w:color w:val="auto"/>
          <w:szCs w:val="21"/>
          <w:highlight w:val="none"/>
        </w:rPr>
        <w:t xml:space="preserve">人识别号：</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开户行：工行江苏扬州分行汶河支行      开户行：</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账号：1108020909000059659             账号：</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联系电话：0514-87373493               联系电话：</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见证方（盖章）：</w:t>
      </w:r>
      <w:r>
        <w:rPr>
          <w:rFonts w:hint="eastAsia" w:ascii="宋体" w:hAnsi="宋体" w:cs="宋体"/>
          <w:bCs/>
          <w:color w:val="auto"/>
          <w:szCs w:val="21"/>
          <w:highlight w:val="none"/>
        </w:rPr>
        <w:t xml:space="preserve">江苏苏豪创新科技集团高科有限公司</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highlight w:val="none"/>
        </w:rPr>
        <w:t xml:space="preserve">南京市雨花台区软件大道21号苏豪国际广场（北园）C座617室</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招标项目负责人（签字）：</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rPr>
          <w:rFonts w:hint="eastAsia" w:ascii="宋体" w:hAnsi="宋体" w:cs="宋体"/>
          <w:bCs/>
          <w:color w:val="auto"/>
          <w:sz w:val="44"/>
          <w:szCs w:val="28"/>
          <w:highlight w:val="none"/>
        </w:rPr>
      </w:pPr>
      <w:r>
        <w:rPr>
          <w:rFonts w:hint="eastAsia" w:ascii="宋体" w:hAnsi="宋体" w:cs="宋体"/>
          <w:color w:val="auto"/>
          <w:szCs w:val="21"/>
          <w:highlight w:val="none"/>
        </w:rPr>
        <w:t xml:space="preserve">签订日期：2026年  月   日</w:t>
      </w:r>
      <w:r>
        <w:rPr>
          <w:rFonts w:hint="eastAsia" w:ascii="宋体" w:hAnsi="宋体" w:cs="宋体"/>
          <w:bCs/>
          <w:color w:val="auto"/>
          <w:sz w:val="44"/>
          <w:szCs w:val="28"/>
          <w:highlight w:val="none"/>
        </w:rPr>
        <w:t xml:space="preserve"> </w:t>
      </w:r>
      <w:r>
        <w:rPr>
          <w:rFonts w:hint="eastAsia" w:ascii="宋体" w:hAnsi="宋体" w:cs="宋体"/>
          <w:bCs/>
          <w:color w:val="auto"/>
          <w:sz w:val="44"/>
          <w:szCs w:val="28"/>
          <w:highlight w:val="none"/>
        </w:rPr>
      </w:r>
      <w:r>
        <w:rPr>
          <w:color w:val="auto"/>
          <w:highlight w:val="none"/>
        </w:rPr>
      </w:r>
    </w:p>
    <w:p>
      <w:pPr>
        <w:pStyle w:val="905"/>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center"/>
        <w:keepNext/>
        <w:rPr>
          <w:rFonts w:hint="eastAsia" w:ascii="宋体" w:hAnsi="宋体" w:cs="宋体"/>
          <w:b/>
          <w:bCs/>
          <w:color w:val="auto"/>
          <w:sz w:val="44"/>
          <w:szCs w:val="44"/>
          <w:highlight w:val="none"/>
        </w:rPr>
        <w:outlineLvl w:val="0"/>
      </w:pPr>
      <w:r>
        <w:rPr>
          <w:color w:val="auto"/>
          <w:highlight w:val="none"/>
        </w:rPr>
      </w:r>
      <w:bookmarkStart w:id="180" w:name="_Toc26554093"/>
      <w:r>
        <w:rPr>
          <w:color w:val="auto"/>
          <w:highlight w:val="none"/>
        </w:rPr>
      </w:r>
      <w:bookmarkStart w:id="181" w:name="_Toc49090575"/>
      <w:r>
        <w:rPr>
          <w:rFonts w:hint="eastAsia" w:ascii="宋体" w:hAnsi="宋体" w:cs="宋体"/>
          <w:b/>
          <w:bCs/>
          <w:color w:val="auto"/>
          <w:sz w:val="44"/>
          <w:szCs w:val="44"/>
          <w:highlight w:val="none"/>
        </w:rPr>
        <w:br w:type="page" w:clear="all"/>
      </w:r>
      <w:bookmarkStart w:id="182" w:name="_Toc29514"/>
      <w:r>
        <w:rPr>
          <w:rFonts w:hint="eastAsia" w:ascii="宋体" w:hAnsi="宋体" w:cs="宋体"/>
          <w:color w:val="auto"/>
          <w:sz w:val="44"/>
          <w:szCs w:val="44"/>
          <w:highlight w:val="none"/>
        </w:rPr>
        <w:t xml:space="preserve">第四章  采购需求</w:t>
      </w:r>
      <w:bookmarkEnd w:id="182"/>
      <w:r>
        <w:rPr>
          <w:rFonts w:hint="eastAsia" w:ascii="宋体" w:hAnsi="宋体" w:cs="宋体"/>
          <w:b/>
          <w:bCs/>
          <w:color w:val="auto"/>
          <w:sz w:val="44"/>
          <w:szCs w:val="44"/>
          <w:highlight w:val="non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本章</w:t>
      </w:r>
      <w:r>
        <w:rPr>
          <w:rFonts w:hint="eastAsia" w:ascii="宋体" w:hAnsi="宋体" w:cs="宋体"/>
          <w:b/>
          <w:bCs/>
          <w:color w:val="auto"/>
          <w:sz w:val="24"/>
          <w:szCs w:val="24"/>
          <w:highlight w:val="none"/>
        </w:rPr>
        <w:t xml:space="preserve">内容里斜体且有下划线部分为实质性要求和条件，投标文件不满足的</w:t>
      </w:r>
      <w:r>
        <w:rPr>
          <w:rFonts w:hint="eastAsia" w:ascii="宋体" w:hAnsi="宋体" w:cs="宋体"/>
          <w:b/>
          <w:bCs/>
          <w:color w:val="auto"/>
          <w:sz w:val="24"/>
          <w:szCs w:val="24"/>
          <w:highlight w:val="none"/>
        </w:rPr>
        <w:t xml:space="preserve">，视为无效投标处理。以下技术参数中如出现产品品牌，均仅作为供</w:t>
      </w:r>
      <w:r>
        <w:rPr>
          <w:rFonts w:hint="eastAsia" w:ascii="宋体" w:hAnsi="宋体" w:cs="宋体"/>
          <w:b/>
          <w:bCs/>
          <w:color w:val="auto"/>
          <w:sz w:val="24"/>
          <w:szCs w:val="24"/>
          <w:highlight w:val="none"/>
        </w:rPr>
        <w:t xml:space="preserve">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rPr>
          <w:rFonts w:hint="eastAsia" w:ascii="宋体" w:hAnsi="宋体" w:cs="宋体"/>
          <w:b/>
          <w:bCs/>
          <w:color w:val="auto"/>
          <w:sz w:val="24"/>
          <w:szCs w:val="24"/>
          <w:highlight w:val="non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项目属性</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货物类项目</w:t>
      </w:r>
      <w:r>
        <w:rPr>
          <w:rFonts w:hint="eastAsia" w:ascii="宋体" w:hAnsi="宋体" w:cs="宋体"/>
          <w:b/>
          <w:bCs/>
          <w:color w:val="auto"/>
          <w:sz w:val="24"/>
          <w:szCs w:val="24"/>
          <w:highlight w:val="non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核心产品</w:t>
      </w:r>
      <w:r>
        <w:rPr>
          <w:rFonts w:hint="eastAsia" w:ascii="宋体" w:hAnsi="宋体" w:cs="宋体"/>
          <w:b/>
          <w:bCs/>
          <w:color w:val="auto"/>
          <w:sz w:val="24"/>
          <w:szCs w:val="24"/>
          <w:highlight w:val="none"/>
        </w:rPr>
        <w:t xml:space="preserve">：移动式C形臂X射线机</w:t>
      </w:r>
      <w:r>
        <w:rPr>
          <w:rFonts w:hint="eastAsia" w:ascii="宋体" w:hAnsi="宋体" w:cs="宋体"/>
          <w:b/>
          <w:bCs/>
          <w:color w:val="auto"/>
          <w:sz w:val="24"/>
          <w:szCs w:val="24"/>
          <w:highlight w:val="non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一、采购需求：</w:t>
      </w:r>
      <w:r>
        <w:rPr>
          <w:rFonts w:hint="eastAsia" w:ascii="宋体" w:hAnsi="宋体" w:cs="宋体"/>
          <w:b/>
          <w:bCs/>
          <w:color w:val="auto"/>
          <w:sz w:val="24"/>
          <w:szCs w:val="24"/>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2612"/>
        <w:gridCol w:w="948"/>
        <w:gridCol w:w="2325"/>
        <w:gridCol w:w="2126"/>
      </w:tblGrid>
      <w:tr>
        <w:trPr>
          <w:trHeight w:val="850"/>
        </w:trPr>
        <w:tc>
          <w:tcPr>
            <w:tcW w:w="74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设备名称</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采购预算</w:t>
            </w: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（万元人民币）</w:t>
            </w:r>
            <w:r>
              <w:rPr>
                <w:rFonts w:hint="eastAsia" w:ascii="宋体" w:hAnsi="宋体" w:cs="宋体"/>
                <w:color w:val="auto"/>
                <w:sz w:val="24"/>
                <w:szCs w:val="24"/>
                <w:highlight w:val="none"/>
              </w:rPr>
            </w:r>
            <w:r>
              <w:rPr>
                <w:color w:val="auto"/>
                <w:highlight w:val="none"/>
              </w:rPr>
            </w:r>
          </w:p>
        </w:tc>
        <w:tc>
          <w:tcPr>
            <w:tcW w:w="212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是否接受进口产品投标</w:t>
            </w:r>
            <w:r>
              <w:rPr>
                <w:rFonts w:hint="eastAsia" w:ascii="宋体" w:hAnsi="宋体" w:cs="宋体"/>
                <w:color w:val="auto"/>
                <w:sz w:val="24"/>
                <w:szCs w:val="24"/>
                <w:highlight w:val="none"/>
              </w:rPr>
            </w:r>
            <w:r>
              <w:rPr>
                <w:color w:val="auto"/>
                <w:highlight w:val="none"/>
              </w:rPr>
            </w:r>
          </w:p>
        </w:tc>
      </w:tr>
      <w:tr>
        <w:trPr>
          <w:trHeight w:val="850"/>
        </w:trPr>
        <w:tc>
          <w:tcPr>
            <w:tcW w:w="74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r>
            <w:r>
              <w:rPr>
                <w:color w:val="auto"/>
                <w:highlight w:val="none"/>
              </w:rPr>
            </w:r>
          </w:p>
        </w:tc>
        <w:tc>
          <w:tcPr>
            <w:tcW w:w="261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移动式</w:t>
            </w:r>
            <w:r>
              <w:rPr>
                <w:rFonts w:hint="eastAsia" w:ascii="宋体" w:hAnsi="宋体" w:cs="宋体"/>
                <w:color w:val="auto"/>
                <w:sz w:val="24"/>
                <w:szCs w:val="24"/>
                <w:highlight w:val="none"/>
              </w:rPr>
              <w:t xml:space="preserve">C形臂X射线机</w:t>
            </w:r>
            <w:r>
              <w:rPr>
                <w:rFonts w:hint="eastAsia" w:ascii="宋体" w:hAnsi="宋体" w:cs="宋体"/>
                <w:color w:val="auto"/>
                <w:sz w:val="24"/>
                <w:szCs w:val="24"/>
                <w:highlight w:val="none"/>
              </w:rPr>
            </w:r>
            <w:r>
              <w:rPr>
                <w:color w:val="auto"/>
                <w:highlight w:val="none"/>
              </w:rPr>
            </w:r>
          </w:p>
        </w:tc>
        <w:tc>
          <w:tcPr>
            <w:tcW w:w="9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1套</w:t>
            </w:r>
            <w:r>
              <w:rPr>
                <w:rFonts w:hint="eastAsia" w:ascii="宋体" w:hAnsi="宋体" w:cs="宋体"/>
                <w:color w:val="auto"/>
                <w:sz w:val="24"/>
                <w:szCs w:val="24"/>
                <w:highlight w:val="none"/>
              </w:rPr>
            </w:r>
            <w:r>
              <w:rPr>
                <w:color w:val="auto"/>
                <w:highlight w:val="none"/>
              </w:rPr>
            </w:r>
          </w:p>
        </w:tc>
        <w:tc>
          <w:tcPr>
            <w:tcW w:w="2325" w:type="dxa"/>
            <w:vAlign w:val="center"/>
            <w:textDirection w:val="lrTb"/>
            <w:noWrap w:val="false"/>
          </w:tcPr>
          <w:p>
            <w:pPr>
              <w:pStyle w:val="905"/>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w:t>
            </w:r>
            <w:r>
              <w:rPr>
                <w:rFonts w:hint="eastAsia" w:ascii="宋体" w:hAnsi="宋体" w:cs="宋体"/>
                <w:color w:val="auto"/>
                <w:sz w:val="24"/>
                <w:szCs w:val="24"/>
                <w:highlight w:val="none"/>
              </w:rPr>
            </w:r>
            <w:r>
              <w:rPr>
                <w:color w:val="auto"/>
                <w:highlight w:val="none"/>
              </w:rPr>
            </w:r>
          </w:p>
        </w:tc>
        <w:tc>
          <w:tcPr>
            <w:tcW w:w="212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w:t>
            </w:r>
            <w:r>
              <w:rPr>
                <w:rFonts w:hint="eastAsia" w:ascii="宋体" w:hAnsi="宋体" w:cs="宋体"/>
                <w:color w:val="auto"/>
                <w:sz w:val="24"/>
                <w:szCs w:val="24"/>
                <w:highlight w:val="none"/>
              </w:rPr>
              <w:t xml:space="preserve">接受</w:t>
            </w:r>
            <w:r>
              <w:rPr>
                <w:rFonts w:hint="eastAsia" w:ascii="宋体" w:hAnsi="宋体" w:cs="宋体"/>
                <w:color w:val="auto"/>
                <w:sz w:val="24"/>
                <w:szCs w:val="24"/>
                <w:highlight w:val="none"/>
              </w:rPr>
            </w:r>
            <w:r>
              <w:rPr>
                <w:color w:val="auto"/>
                <w:highlight w:val="none"/>
              </w:rPr>
            </w:r>
          </w:p>
        </w:tc>
      </w:tr>
    </w:tbl>
    <w:p>
      <w:pPr>
        <w:pStyle w:val="905"/>
        <w:numPr>
          <w:ilvl w:val="0"/>
          <w:numId w:val="6"/>
        </w:numPr>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技术要求</w:t>
      </w:r>
      <w:r>
        <w:rPr>
          <w:rFonts w:hint="eastAsia" w:ascii="宋体" w:hAnsi="宋体" w:cs="宋体"/>
          <w:b/>
          <w:bCs/>
          <w:color w:val="auto"/>
          <w:sz w:val="24"/>
          <w:szCs w:val="24"/>
          <w:highlight w:val="none"/>
        </w:rPr>
      </w:r>
      <w:r>
        <w:rPr>
          <w:color w:val="auto"/>
          <w:highlight w:val="none"/>
        </w:rPr>
      </w:r>
    </w:p>
    <w:tbl>
      <w:tblPr>
        <w:tblW w:w="8760" w:type="dxa"/>
        <w:tblInd w:w="93" w:type="dxa"/>
        <w:tblLayout w:type="fixed"/>
        <w:tblCellMar>
          <w:left w:w="108" w:type="dxa"/>
          <w:top w:w="0" w:type="dxa"/>
          <w:right w:w="108" w:type="dxa"/>
          <w:bottom w:w="0" w:type="dxa"/>
        </w:tblCellMar>
        <w:tblLook w:val="04A0" w:firstRow="1" w:lastRow="0" w:firstColumn="1" w:lastColumn="0" w:noHBand="0" w:noVBand="1"/>
      </w:tblPr>
      <w:tblGrid>
        <w:gridCol w:w="1072"/>
        <w:gridCol w:w="7688"/>
      </w:tblGrid>
      <w:tr>
        <w:trPr>
          <w:trHeight w:val="90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bidi="ar"/>
              </w:rPr>
              <w:t xml:space="preserve">2.1</w:t>
            </w:r>
            <w:r>
              <w:rPr>
                <w:rFonts w:hint="eastAsia" w:ascii="宋体" w:hAnsi="宋体" w:cs="宋体"/>
                <w:i/>
                <w:iCs/>
                <w:color w:val="auto"/>
                <w:sz w:val="24"/>
                <w:szCs w:val="24"/>
                <w:highlight w:val="none"/>
                <w:u w:val="singl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val="false"/>
          </w:tcPr>
          <w:p>
            <w:pPr>
              <w:pStyle w:val="905"/>
              <w:jc w:val="left"/>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w:t>
            </w:r>
            <w:r>
              <w:rPr>
                <w:rFonts w:hint="eastAsia" w:ascii="宋体" w:hAnsi="宋体" w:cs="宋体"/>
                <w:i/>
                <w:iCs/>
                <w:color w:val="auto"/>
                <w:sz w:val="24"/>
                <w:szCs w:val="24"/>
                <w:highlight w:val="none"/>
                <w:u w:val="single"/>
                <w:lang w:bidi="ar"/>
              </w:rPr>
              <w:t xml:space="preserve">总体要求：投标产品为全数字化平板产品，能满足脊柱、创伤、关节、四肢、疼痛科、泌尿外科、消化外科等术中透视定位要求。</w:t>
            </w:r>
            <w:r>
              <w:rPr>
                <w:rFonts w:hint="eastAsia" w:ascii="宋体" w:hAnsi="宋体" w:cs="宋体"/>
                <w:i/>
                <w:iCs/>
                <w:color w:val="auto"/>
                <w:sz w:val="24"/>
                <w:szCs w:val="24"/>
                <w:highlight w:val="none"/>
                <w:u w:val="singl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C臂机架</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2.2.1</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水平移动：≥20cm</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2.2.2</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▲垂直升降：≥42cm</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2.2.3</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绕弧形臂滑动：≥140°</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2.2.4</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绕弧形臂滑动过伸角度：≥50°</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2.2.5</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轴向旋转：≥±225°</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2.2.6</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左右摆角：≥±10°</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2.2.7</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▲自由开口空间：≥85cm</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2.2.8</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C臂弧深：≥69cm</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bidi="ar"/>
              </w:rPr>
              <w:t xml:space="preserve">2.9</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SID源像距：≥107CM</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2.2.10</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▲C形</w:t>
            </w:r>
            <w:r>
              <w:rPr>
                <w:rFonts w:hint="eastAsia" w:ascii="宋体" w:hAnsi="宋体" w:cs="宋体"/>
                <w:color w:val="auto"/>
                <w:sz w:val="24"/>
                <w:szCs w:val="24"/>
                <w:highlight w:val="none"/>
                <w:lang w:bidi="ar"/>
              </w:rPr>
              <w:t xml:space="preserve">臂机身</w:t>
            </w:r>
            <w:r>
              <w:rPr>
                <w:rFonts w:hint="eastAsia" w:ascii="宋体" w:hAnsi="宋体" w:cs="宋体"/>
                <w:color w:val="auto"/>
                <w:sz w:val="24"/>
                <w:szCs w:val="24"/>
                <w:highlight w:val="none"/>
                <w:lang w:bidi="ar"/>
              </w:rPr>
              <w:t xml:space="preserve">重量：≤260kg</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2.2.11</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分体式设计</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高压发生器：</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2.3.1</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最大输出功率：≥3.0KW</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2.3.2</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逆变频率：≥100kHz</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2.3.3</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最大电压：≥110KV</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2.3.4</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▲最大摄影电流：≥35mA</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2.3.5</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▲最大透视电流：≥30mA</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X线球管</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2.4.1</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球管类型：固定阳极</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2.4.2</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球管焦点数量：单焦点</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2.4.3</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球管焦点：≤0.6mm</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2.4.4</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阳极热容量：≥72KHU</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w:t>
            </w:r>
            <w:r>
              <w:rPr>
                <w:rFonts w:hint="eastAsia" w:ascii="宋体" w:hAnsi="宋体" w:cs="宋体"/>
                <w:color w:val="auto"/>
                <w:sz w:val="24"/>
                <w:szCs w:val="24"/>
                <w:highlight w:val="none"/>
                <w:lang w:bidi="ar"/>
              </w:rPr>
              <w:t xml:space="preserve">.4.5</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管套热容量：≥1.08 MHU</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color w:val="auto"/>
                <w:highlight w:val="none"/>
              </w:rPr>
            </w:pPr>
            <w:r>
              <w:rPr>
                <w:rFonts w:hint="eastAsia" w:ascii="宋体" w:hAnsi="宋体" w:cs="宋体"/>
                <w:color w:val="auto"/>
                <w:sz w:val="24"/>
                <w:szCs w:val="24"/>
                <w:highlight w:val="none"/>
                <w:lang w:bidi="ar"/>
              </w:rPr>
              <w:t xml:space="preserve">2.5</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平板探测器</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bidi="ar"/>
              </w:rPr>
              <w:t xml:space="preserve">2.5.1</w:t>
            </w:r>
            <w:r>
              <w:rPr>
                <w:rFonts w:hint="eastAsia" w:ascii="宋体" w:hAnsi="宋体" w:cs="宋体"/>
                <w:i/>
                <w:iCs/>
                <w:color w:val="auto"/>
                <w:sz w:val="24"/>
                <w:szCs w:val="24"/>
                <w:highlight w:val="none"/>
                <w:u w:val="singl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bidi="ar"/>
              </w:rPr>
              <w:t xml:space="preserve">★平板探测器材料：</w:t>
            </w:r>
            <w:r>
              <w:rPr>
                <w:rFonts w:hint="eastAsia" w:ascii="宋体" w:hAnsi="宋体" w:cs="宋体"/>
                <w:i/>
                <w:iCs/>
                <w:color w:val="auto"/>
                <w:sz w:val="24"/>
                <w:szCs w:val="24"/>
                <w:highlight w:val="none"/>
                <w:u w:val="single"/>
                <w:shd w:val="clear" w:color="auto" w:fill="8db3e2"/>
                <w:lang w:bidi="ar"/>
              </w:rPr>
              <w:t xml:space="preserve">CMOS单晶硅</w:t>
            </w:r>
            <w:r>
              <w:rPr>
                <w:rFonts w:hint="eastAsia" w:ascii="宋体" w:hAnsi="宋体" w:cs="宋体"/>
                <w:i/>
                <w:iCs/>
                <w:color w:val="auto"/>
                <w:sz w:val="24"/>
                <w:szCs w:val="24"/>
                <w:highlight w:val="none"/>
                <w:u w:val="singl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2.5.2</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探测器尺寸：≥29.6cm×29.6cm</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2.5.3</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▲最大像素矩阵：≥1952×1952像素</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2.5.4</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最小像素尺寸：≤152μm</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2.5.5</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最大空间分辨率：≥3.3lp/mm</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2.5.6</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最大灰阶度：≥16bits</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2.5.7</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最大量子探测率DQE：≥70%</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2.5.8</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最大采集帧率：≥25帧/秒</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2.6</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医用监视器</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2.6.1</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▲屏幕尺寸：≥34英寸，一体式</w:t>
            </w:r>
            <w:r>
              <w:rPr>
                <w:rFonts w:hint="eastAsia" w:ascii="宋体" w:hAnsi="宋体" w:cs="宋体"/>
                <w:color w:val="auto"/>
                <w:sz w:val="24"/>
                <w:szCs w:val="24"/>
                <w:highlight w:val="none"/>
                <w:lang w:bidi="ar"/>
              </w:rPr>
              <w:t xml:space="preserve">显示屏</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2.6.2</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最大分辨率：≥3440×144</w:t>
            </w:r>
            <w:r>
              <w:rPr>
                <w:rFonts w:hint="eastAsia" w:ascii="宋体" w:hAnsi="宋体" w:cs="宋体"/>
                <w:color w:val="auto"/>
                <w:sz w:val="24"/>
                <w:szCs w:val="24"/>
                <w:highlight w:val="none"/>
                <w:lang w:bidi="ar"/>
              </w:rPr>
              <w:t xml:space="preserve">0，显示器总像素：≥5M像素</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2.6.3</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最大亮度值：≥550cd/m2，最大对比度：≥700:1</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2.7</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图像存储与传输</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2.7.1</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本机图像存储：≥15万幅</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2.7.2</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USB图像导出：支持，可导出为TIFF，AVI，BMP，JPE，DICOM等格式</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2.7.3</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硬盘容量：≥1TB</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2.7.4</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有DICOM数字接口，可与PACS网络兼容：</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2.8</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人机交互界面</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2.8.1</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有同步触摸式操作屏</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2.8.2</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操作屏个数：≥2</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2.8.3</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屏幕尺寸：≥12英寸，像素矩阵：≥1280×800</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2.8.4</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触控屏类型：电容触控屏</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2.8.5</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具备有线曝光手闸和有线曝光脚闸</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2.8.6</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无线曝光手闸：有效距离≥10米</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2.9</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临床应用功能</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2.9.1</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解剖部位选择程序：具备头部、四肢、胸椎、腰椎、骨盆、泌尿、消化等模式</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2.9.2</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具备金属优化模式和具备运动模式：</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2.9.3</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图像降噪：四级降噪</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2.9.4</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平板端激光定位装置：具备垂直激光灯</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2.9.5</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球管端激光定位装置：具备垂直激光灯</w:t>
            </w:r>
            <w:r>
              <w:rPr>
                <w:rFonts w:hint="eastAsia" w:ascii="宋体" w:hAnsi="宋体" w:cs="宋体"/>
                <w:color w:val="auto"/>
                <w:sz w:val="24"/>
                <w:szCs w:val="24"/>
                <w:highlight w:val="none"/>
              </w:rPr>
            </w:r>
            <w:r>
              <w:rPr>
                <w:color w:val="auto"/>
                <w:highlight w:val="none"/>
              </w:rPr>
            </w:r>
          </w:p>
        </w:tc>
      </w:tr>
      <w:tr>
        <w:trPr>
          <w:trHeight w:val="450"/>
        </w:trPr>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2.10</w:t>
            </w:r>
            <w:r>
              <w:rPr>
                <w:rFonts w:hint="eastAsia" w:ascii="宋体" w:hAnsi="宋体" w:cs="宋体"/>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7688" w:type="dxa"/>
            <w:vAlign w:val="center"/>
            <w:textDirection w:val="lrTb"/>
            <w:noWrap/>
          </w:tcPr>
          <w:p>
            <w:pPr>
              <w:pStyle w:val="905"/>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图像后处理功能：</w:t>
            </w:r>
            <w:r>
              <w:rPr>
                <w:rFonts w:hint="eastAsia" w:ascii="宋体" w:hAnsi="宋体" w:cs="宋体"/>
                <w:color w:val="auto"/>
                <w:sz w:val="24"/>
                <w:szCs w:val="24"/>
                <w:highlight w:val="none"/>
                <w:lang w:bidi="ar"/>
              </w:rPr>
              <w:t xml:space="preserve">图像反转、</w:t>
            </w:r>
            <w:r>
              <w:rPr>
                <w:rFonts w:hint="eastAsia" w:ascii="宋体" w:hAnsi="宋体" w:cs="宋体"/>
                <w:color w:val="auto"/>
                <w:sz w:val="24"/>
                <w:szCs w:val="24"/>
                <w:highlight w:val="none"/>
                <w:lang w:bidi="ar"/>
              </w:rPr>
              <w:t xml:space="preserve">旋转、图像反色、图像边缘增强、图像缩放、图像平移、文</w:t>
            </w:r>
            <w:r>
              <w:rPr>
                <w:rFonts w:hint="eastAsia" w:ascii="宋体" w:hAnsi="宋体" w:cs="宋体"/>
                <w:color w:val="auto"/>
                <w:sz w:val="24"/>
                <w:szCs w:val="24"/>
                <w:highlight w:val="none"/>
                <w:lang w:bidi="ar"/>
              </w:rPr>
              <w:t xml:space="preserve">本标记、图像长度测量</w:t>
            </w:r>
            <w:r>
              <w:rPr>
                <w:rFonts w:hint="eastAsia" w:ascii="宋体" w:hAnsi="宋体" w:cs="宋体"/>
                <w:color w:val="auto"/>
                <w:sz w:val="24"/>
                <w:szCs w:val="24"/>
                <w:highlight w:val="none"/>
              </w:rPr>
            </w:r>
            <w:r>
              <w:rPr>
                <w:color w:val="auto"/>
                <w:highlight w:val="none"/>
              </w:rPr>
            </w:r>
          </w:p>
        </w:tc>
      </w:tr>
    </w:tbl>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三、</w:t>
      </w:r>
      <w:r>
        <w:rPr>
          <w:rFonts w:hint="eastAsia" w:ascii="宋体" w:hAnsi="宋体" w:cs="宋体"/>
          <w:i/>
          <w:iCs/>
          <w:color w:val="auto"/>
          <w:sz w:val="24"/>
          <w:szCs w:val="24"/>
          <w:highlight w:val="none"/>
          <w:u w:val="single"/>
        </w:rPr>
        <w:t xml:space="preserve">★</w:t>
      </w:r>
      <w:r>
        <w:rPr>
          <w:rFonts w:hint="eastAsia" w:ascii="宋体" w:hAnsi="宋体" w:cs="宋体"/>
          <w:b/>
          <w:bCs/>
          <w:i/>
          <w:iCs/>
          <w:color w:val="auto"/>
          <w:sz w:val="24"/>
          <w:szCs w:val="24"/>
          <w:highlight w:val="none"/>
          <w:u w:val="single"/>
        </w:rPr>
        <w:t xml:space="preserve">商务要求</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下列条款中甲方为：江苏省苏北人民医院，乙方为：本项目的中标投标人</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3.1、交货期：</w:t>
      </w:r>
      <w:r>
        <w:rPr>
          <w:rFonts w:hint="eastAsia" w:ascii="宋体" w:hAnsi="宋体" w:cs="宋体"/>
          <w:i/>
          <w:iCs/>
          <w:color w:val="auto"/>
          <w:sz w:val="24"/>
          <w:szCs w:val="24"/>
          <w:highlight w:val="none"/>
          <w:u w:val="single"/>
        </w:rPr>
        <w:t xml:space="preserve">合同签订后60天内</w:t>
      </w:r>
      <w:r>
        <w:rPr>
          <w:rFonts w:hint="eastAsia" w:ascii="宋体" w:hAnsi="宋体" w:cs="宋体"/>
          <w:i/>
          <w:iCs/>
          <w:color w:val="auto"/>
          <w:sz w:val="24"/>
          <w:szCs w:val="24"/>
          <w:highlight w:val="none"/>
          <w:u w:val="single"/>
        </w:rPr>
        <w:t xml:space="preserve">；</w:t>
      </w:r>
      <w:r>
        <w:rPr>
          <w:rFonts w:hint="eastAsia" w:ascii="宋体" w:hAnsi="宋体" w:cs="宋体"/>
          <w:i/>
          <w:iCs/>
          <w:color w:val="auto"/>
          <w:sz w:val="24"/>
          <w:szCs w:val="24"/>
          <w:highlight w:val="none"/>
          <w:u w:val="single"/>
        </w:rPr>
      </w:r>
      <w:r>
        <w:rPr>
          <w:color w:val="auto"/>
          <w:highlight w:val="none"/>
        </w:rPr>
      </w:r>
    </w:p>
    <w:p>
      <w:pPr>
        <w:pStyle w:val="905"/>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3.2、交货地点：甲方指定地点；</w:t>
      </w:r>
      <w:r>
        <w:rPr>
          <w:rFonts w:hint="eastAsia" w:ascii="宋体" w:hAnsi="宋体" w:cs="宋体"/>
          <w:i/>
          <w:iCs/>
          <w:color w:val="auto"/>
          <w:sz w:val="24"/>
          <w:szCs w:val="24"/>
          <w:highlight w:val="none"/>
          <w:u w:val="single"/>
        </w:rPr>
      </w:r>
      <w:r>
        <w:rPr>
          <w:color w:val="auto"/>
          <w:highlight w:val="none"/>
        </w:rPr>
      </w:r>
    </w:p>
    <w:p>
      <w:pPr>
        <w:pStyle w:val="905"/>
        <w:ind w:firstLine="480"/>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3.3、</w:t>
      </w:r>
      <w:r>
        <w:rPr>
          <w:rFonts w:hint="eastAsia" w:ascii="宋体" w:hAnsi="宋体" w:cs="宋体"/>
          <w:i/>
          <w:iCs/>
          <w:color w:val="auto"/>
          <w:sz w:val="24"/>
          <w:szCs w:val="24"/>
          <w:highlight w:val="none"/>
          <w:u w:val="single"/>
        </w:rPr>
        <w:t xml:space="preserve">付款条件：</w:t>
      </w:r>
      <w:bookmarkStart w:id="183" w:name="_Hlk221115132"/>
      <w:r>
        <w:rPr>
          <w:rFonts w:hint="eastAsia" w:ascii="宋体" w:hAnsi="宋体" w:cs="宋体"/>
          <w:i/>
          <w:iCs/>
          <w:color w:val="auto"/>
          <w:sz w:val="24"/>
          <w:szCs w:val="24"/>
          <w:highlight w:val="none"/>
          <w:u w:val="single"/>
        </w:rPr>
        <w:t xml:space="preserve">合同签订后且乙方向甲方出具发票后，甲方15日内支付合同款的30%，项目验收合格后，甲方支付合同款的70%。</w:t>
      </w:r>
      <w:bookmarkEnd w:id="183"/>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3.4、包装和运输：</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3.4.1乙方应在货物发运前对其进行满足运输距离、防潮、防震、防锈和防破损装卸等要求包装，以保证货物安全运达甲方指定地点。乙方对货</w:t>
      </w:r>
      <w:r>
        <w:rPr>
          <w:rFonts w:hint="eastAsia" w:ascii="宋体" w:hAnsi="宋体" w:cs="宋体"/>
          <w:i/>
          <w:iCs/>
          <w:color w:val="auto"/>
          <w:sz w:val="24"/>
          <w:szCs w:val="24"/>
          <w:highlight w:val="none"/>
          <w:u w:val="single"/>
        </w:rPr>
        <w:t xml:space="preserve">物的包装应符合《商品包装政府采购需求标准（试行）》《</w:t>
      </w:r>
      <w:r>
        <w:rPr>
          <w:rFonts w:hint="eastAsia" w:ascii="宋体" w:hAnsi="宋体" w:cs="宋体"/>
          <w:i/>
          <w:iCs/>
          <w:color w:val="auto"/>
          <w:sz w:val="24"/>
          <w:szCs w:val="24"/>
          <w:highlight w:val="none"/>
          <w:u w:val="single"/>
        </w:rPr>
        <w:t xml:space="preserve">快递包装政府采购需求标准（试行）》的规定。</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3.4.2使用说明书、质量检验证明书、随配附件和工具以及清单一并附于货物内。</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3.4.3乙方在货物发运手续办理完毕后24小时内或货到甲方48小时前通知甲方，以准备接货。</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3.4.5货物在交付甲方前发生的风险均由乙方负责。</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3.4.6货物在规定的交付期限内由乙方送达甲方指定的地点视为交付，乙方同时需通知甲方货物已送达。</w:t>
      </w:r>
      <w:r>
        <w:rPr>
          <w:rFonts w:hint="eastAsia" w:ascii="宋体" w:hAnsi="宋体" w:cs="宋体"/>
          <w:i/>
          <w:iCs/>
          <w:color w:val="auto"/>
          <w:sz w:val="24"/>
          <w:szCs w:val="24"/>
          <w:highlight w:val="none"/>
          <w:u w:val="single"/>
        </w:rPr>
      </w:r>
      <w:r>
        <w:rPr>
          <w:color w:val="auto"/>
          <w:highlight w:val="none"/>
        </w:rPr>
      </w:r>
    </w:p>
    <w:p>
      <w:pPr>
        <w:pStyle w:val="905"/>
        <w:ind w:firstLine="482"/>
        <w:tabs>
          <w:tab w:val="left" w:pos="851" w:leader="none"/>
          <w:tab w:val="left" w:pos="1276" w:leader="none"/>
          <w:tab w:val="left" w:pos="1418" w:leader="none"/>
        </w:tabs>
        <w:rPr>
          <w:rFonts w:hint="eastAsia"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rPr>
        <w:t xml:space="preserve">3.5、售后服务：</w:t>
      </w:r>
      <w:r>
        <w:rPr>
          <w:rFonts w:hint="eastAsia" w:ascii="宋体" w:hAnsi="宋体" w:cs="宋体"/>
          <w:b/>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3.5.1乙方应按招标文件规定的货物性能、技术要求、质量标准向甲方提供未经使</w:t>
      </w:r>
      <w:r>
        <w:rPr>
          <w:rFonts w:hint="eastAsia" w:ascii="宋体" w:hAnsi="宋体" w:cs="宋体"/>
          <w:i/>
          <w:iCs/>
          <w:color w:val="auto"/>
          <w:sz w:val="24"/>
          <w:szCs w:val="24"/>
          <w:highlight w:val="none"/>
          <w:u w:val="single"/>
        </w:rPr>
        <w:t xml:space="preserve">用的全新产品。</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3.5.2乙方提供的货物在质量期内因</w:t>
      </w:r>
      <w:r>
        <w:rPr>
          <w:rFonts w:hint="eastAsia" w:ascii="宋体" w:hAnsi="宋体" w:cs="宋体"/>
          <w:i/>
          <w:iCs/>
          <w:color w:val="auto"/>
          <w:sz w:val="24"/>
          <w:szCs w:val="24"/>
          <w:highlight w:val="none"/>
          <w:u w:val="single"/>
        </w:rPr>
        <w:t xml:space="preserve">货物本身的质量问题发生故障，乙方应负责免费更换。对达不到技术要求者，根据实际情况，经双方协商，可按以下办法处理：</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⑴更换：由乙方承担所发生的全部费用。</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⑵贬值处理：由甲乙双方合议定价。</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⑶退货处理：乙方应退还甲方支付的合同款，同时应承担该货物的直接费用（运输、保险、检验、货款利息及银行手续费等）。</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3.5.3如在使用过程中发生质量问题，乙方在接到甲方通知后在4小时内到达甲方现场。</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3.5.4在质保期内，乙方应对货物出现的质量及安全问题负责处理解决并承担一切</w:t>
      </w:r>
      <w:r>
        <w:rPr>
          <w:rFonts w:hint="eastAsia" w:ascii="宋体" w:hAnsi="宋体" w:cs="宋体"/>
          <w:i/>
          <w:iCs/>
          <w:color w:val="auto"/>
          <w:sz w:val="24"/>
          <w:szCs w:val="24"/>
          <w:highlight w:val="none"/>
          <w:u w:val="single"/>
        </w:rPr>
        <w:t xml:space="preserve">费用。</w:t>
      </w:r>
      <w:r>
        <w:rPr>
          <w:rFonts w:hint="eastAsia" w:ascii="宋体" w:hAnsi="宋体" w:cs="宋体"/>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3.5.5上述货物</w:t>
      </w:r>
      <w:r>
        <w:rPr>
          <w:rFonts w:hint="eastAsia" w:ascii="宋体" w:hAnsi="宋体" w:cs="宋体"/>
          <w:i/>
          <w:iCs/>
          <w:color w:val="auto"/>
          <w:sz w:val="24"/>
          <w:szCs w:val="24"/>
          <w:highlight w:val="none"/>
          <w:u w:val="single"/>
        </w:rPr>
        <w:t xml:space="preserve">免费保修期≥</w:t>
      </w:r>
      <w:r>
        <w:rPr>
          <w:rFonts w:hint="eastAsia" w:ascii="宋体" w:hAnsi="宋体" w:cs="宋体"/>
          <w:i/>
          <w:iCs/>
          <w:color w:val="auto"/>
          <w:sz w:val="24"/>
          <w:szCs w:val="24"/>
          <w:highlight w:val="none"/>
          <w:u w:val="single"/>
        </w:rPr>
        <w:t xml:space="preserve">5</w:t>
      </w:r>
      <w:r>
        <w:rPr>
          <w:rFonts w:hint="eastAsia" w:ascii="宋体" w:hAnsi="宋体" w:cs="宋体"/>
          <w:i/>
          <w:iCs/>
          <w:color w:val="auto"/>
          <w:sz w:val="24"/>
          <w:szCs w:val="24"/>
          <w:highlight w:val="none"/>
          <w:u w:val="single"/>
        </w:rPr>
        <w:t xml:space="preserve">年</w:t>
      </w:r>
      <w:r>
        <w:rPr>
          <w:rFonts w:hint="eastAsia" w:ascii="宋体" w:hAnsi="宋体" w:cs="宋体"/>
          <w:i/>
          <w:iCs/>
          <w:color w:val="auto"/>
          <w:sz w:val="24"/>
          <w:szCs w:val="24"/>
          <w:highlight w:val="none"/>
          <w:u w:val="single"/>
        </w:rPr>
        <w:t xml:space="preserve">（自交货验</w:t>
      </w:r>
      <w:r>
        <w:rPr>
          <w:rFonts w:hint="eastAsia" w:ascii="宋体" w:hAnsi="宋体" w:cs="宋体"/>
          <w:i/>
          <w:iCs/>
          <w:color w:val="auto"/>
          <w:sz w:val="24"/>
          <w:szCs w:val="24"/>
          <w:highlight w:val="none"/>
          <w:u w:val="single"/>
        </w:rPr>
        <w:t xml:space="preserve">收合格之日起计），因人为因素出现的故障不在免费保修范围内。超过保修期的机器设备，终身维修，维修时只收部件成本费。</w:t>
      </w:r>
      <w:r>
        <w:rPr>
          <w:rFonts w:hint="eastAsia" w:ascii="宋体" w:hAnsi="宋体" w:cs="宋体"/>
          <w:i/>
          <w:iCs/>
          <w:color w:val="auto"/>
          <w:sz w:val="24"/>
          <w:szCs w:val="24"/>
          <w:highlight w:val="none"/>
          <w:u w:val="single"/>
        </w:rPr>
      </w:r>
      <w:r>
        <w:rPr>
          <w:color w:val="auto"/>
          <w:highlight w:val="none"/>
        </w:rPr>
      </w:r>
    </w:p>
    <w:p>
      <w:pPr>
        <w:pStyle w:val="905"/>
        <w:ind w:firstLine="482"/>
        <w:tabs>
          <w:tab w:val="left" w:pos="851" w:leader="none"/>
          <w:tab w:val="left" w:pos="1276" w:leader="none"/>
          <w:tab w:val="left" w:pos="1418" w:leader="none"/>
        </w:tabs>
        <w:rPr>
          <w:rFonts w:hint="eastAsia" w:ascii="宋体" w:hAnsi="宋体" w:cs="宋体"/>
          <w:b/>
          <w:i/>
          <w:iCs/>
          <w:color w:val="auto"/>
          <w:sz w:val="24"/>
          <w:szCs w:val="24"/>
          <w:highlight w:val="none"/>
          <w:u w:val="single"/>
        </w:rPr>
      </w:pPr>
      <w:r>
        <w:rPr>
          <w:rFonts w:hint="eastAsia" w:ascii="宋体" w:hAnsi="宋体" w:cs="宋体"/>
          <w:b/>
          <w:i/>
          <w:iCs/>
          <w:color w:val="auto"/>
          <w:sz w:val="24"/>
          <w:szCs w:val="24"/>
          <w:highlight w:val="none"/>
          <w:u w:val="single"/>
        </w:rPr>
        <w:t xml:space="preserve">3.6技术培训</w:t>
      </w:r>
      <w:r>
        <w:rPr>
          <w:rFonts w:hint="eastAsia" w:ascii="宋体" w:hAnsi="宋体" w:cs="宋体"/>
          <w:b/>
          <w:i/>
          <w:iCs/>
          <w:color w:val="auto"/>
          <w:sz w:val="24"/>
          <w:szCs w:val="24"/>
          <w:highlight w:val="none"/>
          <w:u w:val="singl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rPr>
          <w:rFonts w:hint="eastAsia" w:ascii="宋体" w:hAnsi="宋体" w:cs="宋体"/>
          <w:i/>
          <w:iCs/>
          <w:color w:val="auto"/>
          <w:sz w:val="24"/>
          <w:szCs w:val="24"/>
          <w:highlight w:val="none"/>
          <w:u w:val="single"/>
        </w:rPr>
      </w:r>
      <w:r>
        <w:rPr>
          <w:color w:val="auto"/>
          <w:highlight w:val="none"/>
        </w:rPr>
      </w:r>
    </w:p>
    <w:p>
      <w:pPr>
        <w:pStyle w:val="905"/>
        <w:ind w:firstLine="373"/>
        <w:keepLines/>
        <w:keepNext/>
        <w:spacing w:before="145" w:line="360" w:lineRule="auto"/>
        <w:rPr>
          <w:rFonts w:hint="eastAsia" w:ascii="宋体" w:hAnsi="宋体" w:cs="宋体"/>
          <w:b/>
          <w:bCs/>
          <w:color w:val="auto"/>
          <w:sz w:val="24"/>
          <w:szCs w:val="24"/>
          <w:highlight w:val="none"/>
        </w:rPr>
        <w:outlineLvl w:val="2"/>
      </w:pPr>
      <w:r>
        <w:rPr>
          <w:rFonts w:hint="eastAsia" w:ascii="宋体" w:hAnsi="宋体" w:cs="宋体"/>
          <w:b/>
          <w:bCs/>
          <w:color w:val="auto"/>
          <w:sz w:val="24"/>
          <w:szCs w:val="24"/>
          <w:highlight w:val="none"/>
        </w:rPr>
        <w:t xml:space="preserve">四、其他说明：</w:t>
      </w:r>
      <w:r>
        <w:rPr>
          <w:rFonts w:hint="eastAsia" w:ascii="宋体" w:hAnsi="宋体" w:cs="宋体"/>
          <w:b/>
          <w:bCs/>
          <w:color w:val="auto"/>
          <w:sz w:val="24"/>
          <w:szCs w:val="24"/>
          <w:highlight w:val="non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4.1上述中加注“★”符号的关键条款指标，不允许负偏离，否</w:t>
      </w:r>
      <w:r>
        <w:rPr>
          <w:rFonts w:hint="eastAsia" w:ascii="宋体" w:hAnsi="宋体" w:cs="宋体"/>
          <w:color w:val="auto"/>
          <w:sz w:val="24"/>
          <w:szCs w:val="24"/>
          <w:highlight w:val="none"/>
        </w:rPr>
        <w:t xml:space="preserve">则投标无效；加注“▲”符号的重要条款指标；其他为一般</w:t>
      </w:r>
      <w:r>
        <w:rPr>
          <w:rFonts w:hint="eastAsia" w:ascii="宋体" w:hAnsi="宋体" w:cs="宋体"/>
          <w:color w:val="auto"/>
          <w:sz w:val="24"/>
          <w:szCs w:val="24"/>
          <w:highlight w:val="none"/>
        </w:rPr>
        <w:t xml:space="preserve">条款指标。</w:t>
      </w:r>
      <w:r>
        <w:rPr>
          <w:rFonts w:hint="eastAsia" w:ascii="宋体" w:hAnsi="宋体" w:cs="宋体"/>
          <w:color w:val="auto"/>
          <w:sz w:val="24"/>
          <w:szCs w:val="24"/>
          <w:highlight w:val="non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w:t>
      </w:r>
      <w:r>
        <w:rPr>
          <w:rFonts w:hint="eastAsia" w:ascii="宋体" w:hAnsi="宋体" w:cs="宋体"/>
          <w:bCs/>
          <w:i/>
          <w:color w:val="auto"/>
          <w:sz w:val="24"/>
          <w:szCs w:val="21"/>
          <w:highlight w:val="none"/>
          <w:u w:val="single"/>
        </w:rPr>
        <w:t xml:space="preserve">本招标文件中斜体且有下划线部分为实质性要求和条件，</w:t>
      </w:r>
      <w:r>
        <w:rPr>
          <w:rFonts w:hint="eastAsia" w:ascii="宋体" w:hAnsi="宋体" w:cs="宋体"/>
          <w:i/>
          <w:color w:val="auto"/>
          <w:sz w:val="24"/>
          <w:szCs w:val="24"/>
          <w:highlight w:val="none"/>
          <w:u w:val="single"/>
        </w:rPr>
        <w:t xml:space="preserve">不允许负偏离，否则投标无效。</w:t>
      </w:r>
      <w:r>
        <w:rPr>
          <w:rFonts w:hint="eastAsia" w:ascii="宋体" w:hAnsi="宋体" w:cs="宋体"/>
          <w:color w:val="auto"/>
          <w:sz w:val="24"/>
          <w:szCs w:val="24"/>
          <w:highlight w:val="non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w:t>
      </w:r>
      <w:r>
        <w:rPr>
          <w:rFonts w:hint="eastAsia" w:ascii="宋体" w:hAnsi="宋体" w:cs="宋体"/>
          <w:color w:val="auto"/>
          <w:sz w:val="24"/>
          <w:szCs w:val="24"/>
          <w:highlight w:val="none"/>
        </w:rPr>
        <w:t xml:space="preserve">上述商务要求不接受任何一项的负偏离或者不满足，允许正偏离。</w:t>
      </w:r>
      <w:r>
        <w:rPr>
          <w:rFonts w:hint="eastAsia" w:ascii="宋体" w:hAnsi="宋体" w:cs="宋体"/>
          <w:color w:val="auto"/>
          <w:sz w:val="24"/>
          <w:szCs w:val="24"/>
          <w:highlight w:val="none"/>
        </w:rPr>
      </w:r>
      <w:r>
        <w:rPr>
          <w:color w:val="auto"/>
          <w:highlight w:val="none"/>
        </w:rPr>
      </w:r>
    </w:p>
    <w:p>
      <w:pPr>
        <w:pStyle w:val="905"/>
        <w:ind w:firstLine="480"/>
        <w:tabs>
          <w:tab w:val="left" w:pos="851" w:leader="none"/>
          <w:tab w:val="left" w:pos="1276" w:leader="none"/>
          <w:tab w:val="left" w:pos="1418" w:leader="none"/>
        </w:tabs>
        <w:rPr>
          <w:rFonts w:hint="eastAsia" w:ascii="宋体" w:hAnsi="宋体" w:cs="宋体"/>
          <w:bCs/>
          <w:iCs/>
          <w:color w:val="auto"/>
          <w:sz w:val="24"/>
          <w:szCs w:val="21"/>
          <w:highlight w:val="none"/>
        </w:rPr>
      </w:pPr>
      <w:r>
        <w:rPr>
          <w:rFonts w:hint="eastAsia" w:ascii="宋体" w:hAnsi="宋体" w:cs="宋体"/>
          <w:bCs/>
          <w:iCs/>
          <w:color w:val="auto"/>
          <w:sz w:val="24"/>
          <w:szCs w:val="21"/>
          <w:highlight w:val="none"/>
        </w:rPr>
        <w:t xml:space="preserve">4.</w:t>
      </w:r>
      <w:r>
        <w:rPr>
          <w:rFonts w:hint="eastAsia" w:ascii="宋体" w:hAnsi="宋体" w:cs="宋体"/>
          <w:bCs/>
          <w:iCs/>
          <w:color w:val="auto"/>
          <w:sz w:val="24"/>
          <w:szCs w:val="21"/>
          <w:highlight w:val="none"/>
        </w:rPr>
        <w:t xml:space="preserve">4</w:t>
      </w:r>
      <w:r>
        <w:rPr>
          <w:rFonts w:hint="eastAsia" w:ascii="宋体" w:hAnsi="宋体" w:cs="宋体"/>
          <w:bCs/>
          <w:iCs/>
          <w:color w:val="auto"/>
          <w:sz w:val="24"/>
          <w:szCs w:val="21"/>
          <w:highlight w:val="none"/>
        </w:rPr>
        <w:t xml:space="preserve">采购标的对应的中小企业划分标准所属行业为：工业</w:t>
      </w:r>
      <w:r>
        <w:rPr>
          <w:rFonts w:hint="eastAsia" w:ascii="宋体" w:hAnsi="宋体" w:cs="宋体"/>
          <w:bCs/>
          <w:iCs/>
          <w:color w:val="auto"/>
          <w:sz w:val="24"/>
          <w:szCs w:val="21"/>
          <w:highlight w:val="none"/>
        </w:rPr>
      </w:r>
      <w:r>
        <w:rPr>
          <w:color w:val="auto"/>
          <w:highlight w:val="none"/>
        </w:rPr>
      </w:r>
    </w:p>
    <w:p>
      <w:pPr>
        <w:pStyle w:val="905"/>
        <w:jc w:val="center"/>
        <w:keepNext/>
        <w:rPr>
          <w:rFonts w:hint="eastAsia" w:ascii="宋体" w:hAnsi="宋体" w:cs="宋体"/>
          <w:bCs/>
          <w:color w:val="auto"/>
          <w:sz w:val="44"/>
          <w:szCs w:val="28"/>
          <w:highlight w:val="none"/>
        </w:rPr>
        <w:outlineLvl w:val="0"/>
      </w:pPr>
      <w:r>
        <w:rPr>
          <w:color w:val="auto"/>
          <w:highlight w:val="none"/>
        </w:rPr>
      </w:r>
      <w:bookmarkStart w:id="184" w:name="_Toc120614281"/>
      <w:r>
        <w:rPr>
          <w:rFonts w:hint="eastAsia" w:ascii="宋体" w:hAnsi="宋体" w:cs="宋体"/>
          <w:bCs/>
          <w:color w:val="auto"/>
          <w:sz w:val="44"/>
          <w:szCs w:val="28"/>
          <w:highlight w:val="none"/>
        </w:rPr>
        <w:br w:type="page" w:clear="all"/>
      </w:r>
      <w:bookmarkStart w:id="185" w:name="_Toc470"/>
      <w:r>
        <w:rPr>
          <w:rFonts w:hint="eastAsia" w:ascii="宋体" w:hAnsi="宋体" w:cs="宋体"/>
          <w:color w:val="auto"/>
          <w:sz w:val="44"/>
          <w:szCs w:val="44"/>
          <w:highlight w:val="none"/>
        </w:rPr>
        <w:t xml:space="preserve">第五章  评标方法与评标标准</w:t>
      </w:r>
      <w:bookmarkEnd w:id="185"/>
      <w:r>
        <w:rPr>
          <w:rFonts w:hint="eastAsia" w:ascii="宋体" w:hAnsi="宋体" w:cs="宋体"/>
          <w:bCs/>
          <w:color w:val="auto"/>
          <w:sz w:val="44"/>
          <w:szCs w:val="28"/>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97"/>
        <w:spacing w:before="0" w:after="0" w:line="240" w:lineRule="auto"/>
        <w:rPr>
          <w:rFonts w:hint="eastAsia" w:ascii="宋体" w:hAnsi="宋体" w:cs="宋体"/>
          <w:color w:val="auto"/>
          <w:szCs w:val="21"/>
          <w:highlight w:val="none"/>
        </w:rPr>
      </w:pPr>
      <w:r>
        <w:rPr>
          <w:rFonts w:hint="eastAsia" w:ascii="宋体" w:hAnsi="宋体" w:cs="宋体"/>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w:t>
      </w:r>
      <w:r>
        <w:rPr>
          <w:rFonts w:hint="eastAsia" w:ascii="宋体" w:hAnsi="宋体" w:cs="宋体"/>
          <w:color w:val="auto"/>
          <w:highlight w:val="none"/>
        </w:rPr>
        <w:t xml:space="preserve">第一的中标候选人。</w:t>
      </w:r>
      <w:r>
        <w:rPr>
          <w:rFonts w:hint="eastAsia" w:ascii="宋体" w:hAnsi="宋体" w:cs="宋体"/>
          <w:color w:val="auto"/>
          <w:szCs w:val="21"/>
          <w:highlight w:val="none"/>
        </w:rPr>
        <w:t xml:space="preserve">评标委员会按照得分由高到低的顺序推</w:t>
      </w:r>
      <w:r>
        <w:rPr>
          <w:rFonts w:hint="eastAsia" w:ascii="宋体" w:hAnsi="宋体" w:cs="宋体"/>
          <w:color w:val="auto"/>
          <w:szCs w:val="21"/>
          <w:highlight w:val="none"/>
        </w:rPr>
        <w:t xml:space="preserve">荐3名中标候选人。</w:t>
      </w:r>
      <w:r>
        <w:rPr>
          <w:rFonts w:hint="eastAsia" w:ascii="宋体" w:hAnsi="宋体" w:cs="宋体"/>
          <w:color w:val="auto"/>
          <w:szCs w:val="21"/>
          <w:highlight w:val="none"/>
        </w:rPr>
      </w:r>
      <w:r>
        <w:rPr>
          <w:color w:val="auto"/>
          <w:highlight w:val="none"/>
        </w:rPr>
      </w:r>
    </w:p>
    <w:p>
      <w:pPr>
        <w:pStyle w:val="907"/>
        <w:spacing w:before="145" w:line="360" w:lineRule="auto"/>
        <w:rPr>
          <w:rFonts w:hint="eastAsia" w:ascii="宋体" w:hAnsi="宋体" w:cs="宋体"/>
          <w:b/>
          <w:color w:val="auto"/>
          <w:sz w:val="32"/>
          <w:szCs w:val="32"/>
          <w:highlight w:val="none"/>
        </w:rPr>
      </w:pPr>
      <w:r>
        <w:rPr>
          <w:rFonts w:hint="eastAsia" w:ascii="宋体" w:hAnsi="宋体" w:cs="宋体"/>
          <w:color w:val="auto"/>
          <w:sz w:val="32"/>
          <w:highlight w:val="none"/>
        </w:rPr>
        <w:t xml:space="preserve">（一）资格审查对照表</w:t>
      </w:r>
      <w:r>
        <w:rPr>
          <w:rFonts w:hint="eastAsia" w:ascii="宋体" w:hAnsi="宋体" w:cs="宋体"/>
          <w:b/>
          <w:color w:val="auto"/>
          <w:sz w:val="32"/>
          <w:szCs w:val="32"/>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按照招标文件《第一章 投标邀请》申请人的资格要求进行资格审查。</w:t>
      </w:r>
      <w:r>
        <w:rPr>
          <w:rFonts w:hint="eastAsia" w:ascii="宋体" w:hAnsi="宋体" w:cs="宋体"/>
          <w:color w:val="auto"/>
          <w:sz w:val="24"/>
          <w:szCs w:val="24"/>
          <w:highlight w:val="none"/>
        </w:rPr>
      </w:r>
      <w:r>
        <w:rPr>
          <w:color w:val="auto"/>
          <w:highlight w:val="none"/>
        </w:rPr>
      </w:r>
    </w:p>
    <w:p>
      <w:pPr>
        <w:pStyle w:val="907"/>
        <w:numPr>
          <w:ilvl w:val="0"/>
          <w:numId w:val="7"/>
        </w:numPr>
        <w:spacing w:before="145"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符合性审查对照表</w:t>
      </w:r>
      <w:r>
        <w:rPr>
          <w:rFonts w:hint="eastAsia" w:ascii="宋体" w:hAnsi="宋体" w:cs="宋体"/>
          <w:color w:val="auto"/>
          <w:sz w:val="32"/>
          <w:highlight w:val="none"/>
        </w:rPr>
      </w:r>
      <w:r>
        <w:rPr>
          <w:color w:val="auto"/>
          <w:highlight w:val="none"/>
        </w:rPr>
      </w:r>
    </w:p>
    <w:p>
      <w:pPr>
        <w:pStyle w:val="905"/>
        <w:numPr>
          <w:ilvl w:val="0"/>
          <w:numId w:val="8"/>
        </w:numPr>
        <w:ind w:firstLine="482"/>
        <w:jc w:val="left"/>
        <w:rPr>
          <w:rFonts w:hint="eastAsia" w:ascii="宋体" w:hAnsi="宋体" w:cs="宋体"/>
          <w:color w:val="auto"/>
          <w:sz w:val="24"/>
          <w:highlight w:val="none"/>
        </w:rPr>
      </w:pPr>
      <w:r>
        <w:rPr>
          <w:rFonts w:hint="eastAsia" w:ascii="宋体" w:hAnsi="宋体" w:cs="宋体"/>
          <w:b/>
          <w:bCs/>
          <w:color w:val="auto"/>
          <w:sz w:val="24"/>
          <w:highlight w:val="none"/>
        </w:rPr>
        <w:t xml:space="preserve">报价要求：</w:t>
      </w:r>
      <w:r>
        <w:rPr>
          <w:rFonts w:hint="eastAsia" w:ascii="宋体" w:hAnsi="宋体" w:cs="宋体"/>
          <w:iCs/>
          <w:color w:val="auto"/>
          <w:sz w:val="24"/>
          <w:highlight w:val="none"/>
        </w:rPr>
        <w:t xml:space="preserve">投标报价表中的货物名称、数量、单位必须与招标文件采购需求一致，</w:t>
      </w:r>
      <w:r>
        <w:rPr>
          <w:rFonts w:hint="eastAsia" w:ascii="宋体" w:hAnsi="宋体" w:cs="宋体"/>
          <w:iCs/>
          <w:color w:val="auto"/>
          <w:sz w:val="24"/>
          <w:highlight w:val="none"/>
        </w:rPr>
        <w:t xml:space="preserve">报价不超过最高限价</w:t>
      </w:r>
      <w:r>
        <w:rPr>
          <w:rFonts w:hint="eastAsia" w:ascii="宋体" w:hAnsi="宋体" w:cs="宋体"/>
          <w:iCs/>
          <w:color w:val="auto"/>
          <w:sz w:val="24"/>
          <w:highlight w:val="none"/>
        </w:rPr>
        <w:t xml:space="preserve">。</w:t>
      </w:r>
      <w:r>
        <w:rPr>
          <w:rFonts w:hint="eastAsia" w:ascii="宋体" w:hAnsi="宋体" w:cs="宋体"/>
          <w:color w:val="auto"/>
          <w:sz w:val="24"/>
          <w:highlight w:val="none"/>
        </w:rPr>
      </w:r>
      <w:r>
        <w:rPr>
          <w:color w:val="auto"/>
          <w:highlight w:val="none"/>
        </w:rPr>
      </w:r>
    </w:p>
    <w:p>
      <w:pPr>
        <w:pStyle w:val="905"/>
        <w:numPr>
          <w:ilvl w:val="0"/>
          <w:numId w:val="8"/>
        </w:numPr>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商务要求：</w:t>
      </w:r>
      <w:r>
        <w:rPr>
          <w:rFonts w:hint="eastAsia" w:ascii="宋体" w:hAnsi="宋体" w:cs="宋体"/>
          <w:b/>
          <w:bCs/>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2.1 采购需求中必须满足的实质性要求，否则投标无效</w:t>
      </w:r>
      <w:r>
        <w:rPr>
          <w:rFonts w:hint="eastAsia" w:ascii="宋体" w:hAnsi="宋体" w:cs="宋体"/>
          <w:color w:val="auto"/>
          <w:sz w:val="24"/>
          <w:highlight w:val="none"/>
        </w:rPr>
      </w:r>
      <w:r>
        <w:rPr>
          <w:color w:val="auto"/>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0"/>
      </w:tblGrid>
      <w:tr>
        <w:trPr>
          <w:trHeight w:val="3370"/>
        </w:trPr>
        <w:tc>
          <w:tcPr>
            <w:tcW w:w="8740" w:type="dxa"/>
            <w:vAlign w:val="top"/>
            <w:textDirection w:val="lrTb"/>
            <w:noWrap w:val="false"/>
          </w:tcPr>
          <w:p>
            <w:pPr>
              <w:pStyle w:val="905"/>
              <w:jc w:val="center"/>
              <w:spacing w:line="360" w:lineRule="auto"/>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auto"/>
                <w:sz w:val="32"/>
                <w:szCs w:val="32"/>
                <w:highlight w:val="none"/>
              </w:rPr>
              <w:t xml:space="preserve">实质性要求响应表</w:t>
            </w:r>
            <w:r>
              <w:rPr>
                <w:rFonts w:hint="eastAsia" w:ascii="宋体" w:hAnsi="宋体" w:cs="宋体"/>
                <w:b/>
                <w:bCs/>
                <w:color w:val="auto"/>
                <w:sz w:val="32"/>
                <w:szCs w:val="32"/>
                <w:highlight w:val="none"/>
              </w:rPr>
            </w:r>
            <w:r>
              <w:rPr>
                <w:color w:val="auto"/>
                <w:highlight w:val="none"/>
              </w:rPr>
            </w:r>
          </w:p>
          <w:tbl>
            <w:tblPr>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cantSplit/>
                <w:gridAfter w:val="1"/>
                <w:trHeight w:val="567"/>
              </w:trPr>
              <w:tc>
                <w:tcPr>
                  <w:tcW w:w="644" w:type="dxa"/>
                  <w:vAlign w:val="center"/>
                  <w:textDirection w:val="lrTb"/>
                  <w:noWrap w:val="false"/>
                </w:tcPr>
                <w:p>
                  <w:pPr>
                    <w:pStyle w:val="905"/>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rPr>
                      <w:rFonts w:hint="eastAsia" w:ascii="宋体" w:hAnsi="宋体" w:cs="宋体"/>
                      <w:color w:val="auto"/>
                      <w:sz w:val="24"/>
                      <w:highlight w:val="none"/>
                    </w:rPr>
                  </w:r>
                  <w:r>
                    <w:rPr>
                      <w:color w:val="auto"/>
                      <w:highlight w:val="none"/>
                    </w:rPr>
                  </w:r>
                </w:p>
              </w:tc>
              <w:tc>
                <w:tcPr>
                  <w:tcW w:w="4595" w:type="dxa"/>
                  <w:vAlign w:val="center"/>
                  <w:textDirection w:val="lrTb"/>
                  <w:noWrap w:val="false"/>
                </w:tcPr>
                <w:p>
                  <w:pPr>
                    <w:pStyle w:val="905"/>
                    <w:jc w:val="center"/>
                    <w:rPr>
                      <w:rFonts w:hint="eastAsia" w:ascii="宋体" w:hAnsi="宋体" w:cs="宋体"/>
                      <w:color w:val="auto"/>
                      <w:sz w:val="24"/>
                      <w:highlight w:val="none"/>
                    </w:rPr>
                  </w:pPr>
                  <w:r>
                    <w:rPr>
                      <w:rFonts w:hint="eastAsia" w:ascii="宋体" w:hAnsi="宋体" w:cs="宋体"/>
                      <w:color w:val="auto"/>
                      <w:sz w:val="24"/>
                      <w:highlight w:val="none"/>
                    </w:rPr>
                    <w:t xml:space="preserve">实质性采购要求内容</w:t>
                  </w:r>
                  <w:r>
                    <w:rPr>
                      <w:rFonts w:hint="eastAsia" w:ascii="宋体" w:hAnsi="宋体" w:cs="宋体"/>
                      <w:color w:val="auto"/>
                      <w:sz w:val="24"/>
                      <w:highlight w:val="none"/>
                    </w:rPr>
                  </w:r>
                  <w:r>
                    <w:rPr>
                      <w:color w:val="auto"/>
                      <w:highlight w:val="none"/>
                    </w:rPr>
                  </w:r>
                </w:p>
              </w:tc>
              <w:tc>
                <w:tcPr>
                  <w:tcW w:w="3038" w:type="dxa"/>
                  <w:vAlign w:val="center"/>
                  <w:textDirection w:val="lrTb"/>
                  <w:noWrap w:val="false"/>
                </w:tcPr>
                <w:p>
                  <w:pPr>
                    <w:pStyle w:val="905"/>
                    <w:jc w:val="center"/>
                    <w:rPr>
                      <w:rFonts w:hint="eastAsia" w:ascii="宋体" w:hAnsi="宋体" w:cs="宋体"/>
                      <w:color w:val="auto"/>
                      <w:sz w:val="24"/>
                      <w:highlight w:val="none"/>
                    </w:rPr>
                  </w:pPr>
                  <w:r>
                    <w:rPr>
                      <w:rFonts w:hint="eastAsia" w:ascii="宋体" w:hAnsi="宋体" w:cs="宋体"/>
                      <w:color w:val="auto"/>
                      <w:sz w:val="24"/>
                      <w:highlight w:val="none"/>
                    </w:rPr>
                    <w:t xml:space="preserve">投标人响应</w:t>
                  </w:r>
                  <w:r>
                    <w:rPr>
                      <w:rFonts w:hint="eastAsia" w:ascii="宋体" w:hAnsi="宋体" w:cs="宋体"/>
                      <w:color w:val="auto"/>
                      <w:sz w:val="24"/>
                      <w:highlight w:val="none"/>
                    </w:rPr>
                  </w:r>
                  <w:r>
                    <w:rPr>
                      <w:color w:val="auto"/>
                      <w:highlight w:val="none"/>
                    </w:rPr>
                  </w:r>
                </w:p>
              </w:tc>
            </w:tr>
            <w:tr>
              <w:trPr>
                <w:cantSplit/>
                <w:trHeight w:val="567"/>
              </w:trPr>
              <w:tc>
                <w:tcPr>
                  <w:tcW w:w="644" w:type="dxa"/>
                  <w:vAlign w:val="center"/>
                  <w:textDirection w:val="lrTb"/>
                  <w:noWrap w:val="false"/>
                </w:tcPr>
                <w:p>
                  <w:pPr>
                    <w:pStyle w:val="905"/>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rPr>
                  </w:r>
                  <w:r>
                    <w:rPr>
                      <w:color w:val="auto"/>
                      <w:highlight w:val="none"/>
                    </w:rPr>
                  </w:r>
                </w:p>
              </w:tc>
              <w:tc>
                <w:tcPr>
                  <w:tcW w:w="4595" w:type="dxa"/>
                  <w:vAlign w:val="center"/>
                  <w:textDirection w:val="lrTb"/>
                  <w:noWrap w:val="false"/>
                </w:tcPr>
                <w:p>
                  <w:pPr>
                    <w:pStyle w:val="1032"/>
                    <w:jc w:val="both"/>
                    <w:rPr>
                      <w:rFonts w:hint="eastAsia" w:hAnsi="宋体"/>
                      <w:color w:val="auto"/>
                      <w:highlight w:val="none"/>
                    </w:rPr>
                  </w:pPr>
                  <w:r>
                    <w:rPr>
                      <w:rFonts w:hint="eastAsia" w:hAnsi="宋体"/>
                      <w:color w:val="auto"/>
                      <w:highlight w:val="none"/>
                    </w:rPr>
                    <w:t xml:space="preserve">《第四章 采购需求》中“</w:t>
                  </w:r>
                  <w:r>
                    <w:rPr>
                      <w:rFonts w:hint="eastAsia" w:hAnsi="宋体"/>
                      <w:color w:val="auto"/>
                      <w:highlight w:val="none"/>
                    </w:rPr>
                    <w:t xml:space="preserve">二</w:t>
                  </w:r>
                  <w:r>
                    <w:rPr>
                      <w:rFonts w:hint="eastAsia" w:hAnsi="宋体"/>
                      <w:color w:val="auto"/>
                      <w:highlight w:val="none"/>
                    </w:rPr>
                    <w:t xml:space="preserve">、</w:t>
                  </w:r>
                  <w:r>
                    <w:rPr>
                      <w:rFonts w:hint="eastAsia" w:hAnsi="宋体"/>
                      <w:color w:val="auto"/>
                      <w:highlight w:val="none"/>
                    </w:rPr>
                    <w:t xml:space="preserve">技术</w:t>
                  </w:r>
                  <w:r>
                    <w:rPr>
                      <w:rFonts w:hint="eastAsia" w:hAnsi="宋体"/>
                      <w:color w:val="auto"/>
                      <w:highlight w:val="none"/>
                    </w:rPr>
                    <w:t xml:space="preserve">要求”</w:t>
                  </w:r>
                  <w:r>
                    <w:rPr>
                      <w:rFonts w:hint="eastAsia" w:hAnsi="宋体"/>
                      <w:color w:val="auto"/>
                      <w:highlight w:val="none"/>
                    </w:rPr>
                    <w:t xml:space="preserve">加注</w:t>
                  </w:r>
                  <w:r>
                    <w:rPr>
                      <w:rFonts w:hint="eastAsia" w:hAnsi="宋体"/>
                      <w:color w:val="auto"/>
                      <w:highlight w:val="none"/>
                    </w:rPr>
                    <w:t xml:space="preserve">“★”符号的关键条款指标</w:t>
                  </w:r>
                  <w:r>
                    <w:rPr>
                      <w:rFonts w:hint="eastAsia" w:hAnsi="宋体"/>
                      <w:color w:val="auto"/>
                      <w:highlight w:val="none"/>
                    </w:rPr>
                  </w:r>
                  <w:r>
                    <w:rPr>
                      <w:color w:val="auto"/>
                      <w:highlight w:val="none"/>
                    </w:rPr>
                  </w:r>
                </w:p>
              </w:tc>
              <w:tc>
                <w:tcPr>
                  <w:tcW w:w="1638" w:type="dxa"/>
                  <w:vAlign w:val="center"/>
                  <w:textDirection w:val="lrTb"/>
                  <w:noWrap w:val="false"/>
                </w:tcPr>
                <w:p>
                  <w:pPr>
                    <w:pStyle w:val="905"/>
                    <w:jc w:val="center"/>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全部满足</w:t>
                  </w:r>
                  <w:r>
                    <w:rPr>
                      <w:rFonts w:hint="eastAsia" w:ascii="宋体" w:hAnsi="宋体" w:cs="宋体"/>
                      <w:color w:val="auto"/>
                      <w:sz w:val="24"/>
                      <w:highlight w:val="none"/>
                    </w:rPr>
                  </w:r>
                  <w:r>
                    <w:rPr>
                      <w:color w:val="auto"/>
                      <w:highlight w:val="none"/>
                    </w:rPr>
                  </w:r>
                </w:p>
              </w:tc>
              <w:tc>
                <w:tcPr>
                  <w:tcW w:w="1400" w:type="dxa"/>
                  <w:vAlign w:val="center"/>
                  <w:textDirection w:val="lrTb"/>
                  <w:noWrap w:val="false"/>
                </w:tcPr>
                <w:p>
                  <w:pPr>
                    <w:pStyle w:val="905"/>
                    <w:jc w:val="center"/>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不满足</w:t>
                  </w:r>
                  <w:r>
                    <w:rPr>
                      <w:rFonts w:hint="eastAsia" w:ascii="宋体" w:hAnsi="宋体" w:cs="宋体"/>
                      <w:color w:val="auto"/>
                      <w:sz w:val="24"/>
                      <w:highlight w:val="none"/>
                    </w:rPr>
                  </w:r>
                  <w:r>
                    <w:rPr>
                      <w:color w:val="auto"/>
                      <w:highlight w:val="none"/>
                    </w:rPr>
                  </w:r>
                </w:p>
              </w:tc>
            </w:tr>
            <w:tr>
              <w:trPr>
                <w:cantSplit/>
                <w:trHeight w:val="567"/>
              </w:trPr>
              <w:tc>
                <w:tcPr>
                  <w:tcW w:w="644" w:type="dxa"/>
                  <w:vAlign w:val="center"/>
                  <w:textDirection w:val="lrTb"/>
                  <w:noWrap w:val="false"/>
                </w:tcPr>
                <w:p>
                  <w:pPr>
                    <w:pStyle w:val="905"/>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r>
                  <w:r>
                    <w:rPr>
                      <w:color w:val="auto"/>
                      <w:highlight w:val="none"/>
                    </w:rPr>
                  </w:r>
                </w:p>
              </w:tc>
              <w:tc>
                <w:tcPr>
                  <w:tcW w:w="4595" w:type="dxa"/>
                  <w:vAlign w:val="center"/>
                  <w:textDirection w:val="lrTb"/>
                  <w:noWrap w:val="false"/>
                </w:tcPr>
                <w:p>
                  <w:pPr>
                    <w:pStyle w:val="1032"/>
                    <w:jc w:val="both"/>
                    <w:rPr>
                      <w:rFonts w:hint="eastAsia" w:hAnsi="宋体"/>
                      <w:color w:val="auto"/>
                      <w:highlight w:val="none"/>
                    </w:rPr>
                  </w:pPr>
                  <w:r>
                    <w:rPr>
                      <w:rFonts w:hint="eastAsia" w:hAnsi="宋体"/>
                      <w:color w:val="auto"/>
                      <w:highlight w:val="none"/>
                    </w:rPr>
                    <w:t xml:space="preserve">《第四章 采购需求</w:t>
                  </w:r>
                  <w:r>
                    <w:rPr>
                      <w:rFonts w:hint="eastAsia" w:hAnsi="宋体"/>
                      <w:color w:val="auto"/>
                      <w:highlight w:val="none"/>
                    </w:rPr>
                    <w:t xml:space="preserve">》中“三、★商务要求”</w:t>
                  </w:r>
                  <w:r>
                    <w:rPr>
                      <w:rFonts w:hint="eastAsia" w:hAnsi="宋体"/>
                      <w:color w:val="auto"/>
                      <w:highlight w:val="none"/>
                    </w:rPr>
                  </w:r>
                  <w:r>
                    <w:rPr>
                      <w:color w:val="auto"/>
                      <w:highlight w:val="none"/>
                    </w:rPr>
                  </w:r>
                </w:p>
              </w:tc>
              <w:tc>
                <w:tcPr>
                  <w:tcW w:w="1638" w:type="dxa"/>
                  <w:vAlign w:val="center"/>
                  <w:textDirection w:val="lrTb"/>
                  <w:noWrap w:val="false"/>
                </w:tcPr>
                <w:p>
                  <w:pPr>
                    <w:pStyle w:val="905"/>
                    <w:jc w:val="center"/>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全部满足</w:t>
                  </w:r>
                  <w:r>
                    <w:rPr>
                      <w:rFonts w:hint="eastAsia" w:ascii="宋体" w:hAnsi="宋体" w:cs="宋体"/>
                      <w:color w:val="auto"/>
                      <w:sz w:val="24"/>
                      <w:highlight w:val="none"/>
                    </w:rPr>
                  </w:r>
                  <w:r>
                    <w:rPr>
                      <w:color w:val="auto"/>
                      <w:highlight w:val="none"/>
                    </w:rPr>
                  </w:r>
                </w:p>
              </w:tc>
              <w:tc>
                <w:tcPr>
                  <w:tcW w:w="1400" w:type="dxa"/>
                  <w:vAlign w:val="center"/>
                  <w:textDirection w:val="lrTb"/>
                  <w:noWrap w:val="false"/>
                </w:tcPr>
                <w:p>
                  <w:pPr>
                    <w:pStyle w:val="905"/>
                    <w:jc w:val="center"/>
                    <w:rPr>
                      <w:rFonts w:hint="eastAsia"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不满足</w:t>
                  </w:r>
                  <w:r>
                    <w:rPr>
                      <w:rFonts w:hint="eastAsia" w:ascii="宋体" w:hAnsi="宋体" w:cs="宋体"/>
                      <w:color w:val="auto"/>
                      <w:sz w:val="24"/>
                      <w:highlight w:val="none"/>
                    </w:rPr>
                  </w:r>
                  <w:r>
                    <w:rPr>
                      <w:color w:val="auto"/>
                      <w:highlight w:val="none"/>
                    </w:rPr>
                  </w:r>
                </w:p>
              </w:tc>
            </w:tr>
          </w:tbl>
          <w:p>
            <w:pPr>
              <w:pStyle w:val="905"/>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备注</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rPr>
              <w:t xml:space="preserve">技术要求</w:t>
            </w:r>
            <w:r>
              <w:rPr>
                <w:rFonts w:hint="eastAsia" w:ascii="宋体" w:hAnsi="宋体" w:cs="宋体"/>
                <w:b/>
                <w:bCs/>
                <w:color w:val="auto"/>
                <w:szCs w:val="21"/>
                <w:highlight w:val="none"/>
              </w:rPr>
              <w:t xml:space="preserve">加注“★”符号的关键条款指标，不允许负偏离，否则投标无效</w:t>
            </w:r>
            <w:r>
              <w:rPr>
                <w:rFonts w:hint="eastAsia" w:ascii="宋体" w:hAnsi="宋体" w:cs="宋体"/>
                <w:b/>
                <w:bCs/>
                <w:color w:val="auto"/>
                <w:szCs w:val="21"/>
                <w:highlight w:val="none"/>
              </w:rPr>
            </w:r>
            <w:r>
              <w:rPr>
                <w:color w:val="auto"/>
                <w:highlight w:val="none"/>
              </w:rPr>
            </w:r>
          </w:p>
          <w:p>
            <w:pPr>
              <w:pStyle w:val="905"/>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商务要求不接受任何一项的负偏离或者不满足，允许正偏离。</w:t>
            </w:r>
            <w:r>
              <w:rPr>
                <w:rFonts w:hint="eastAsia" w:ascii="宋体" w:hAnsi="宋体" w:cs="宋体"/>
                <w:b/>
                <w:bCs/>
                <w:color w:val="auto"/>
                <w:szCs w:val="21"/>
                <w:highlight w:val="none"/>
              </w:rPr>
            </w:r>
            <w:r>
              <w:rPr>
                <w:color w:val="auto"/>
                <w:highlight w:val="none"/>
              </w:rPr>
            </w:r>
          </w:p>
          <w:p>
            <w:pPr>
              <w:pStyle w:val="905"/>
              <w:ind w:firstLine="422"/>
              <w:jc w:val="left"/>
              <w:rPr>
                <w:rFonts w:hint="eastAsia" w:ascii="宋体" w:hAnsi="宋体" w:cs="宋体"/>
                <w:color w:val="auto"/>
                <w:sz w:val="24"/>
                <w:highlight w:val="none"/>
              </w:rPr>
            </w:pP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rPr>
              <w:t xml:space="preserve">.具体响应内容以投标文件中的“</w:t>
            </w:r>
            <w:r>
              <w:rPr>
                <w:rFonts w:hint="eastAsia" w:ascii="宋体" w:hAnsi="宋体" w:cs="宋体"/>
                <w:b/>
                <w:bCs/>
                <w:color w:val="auto"/>
                <w:szCs w:val="21"/>
                <w:highlight w:val="none"/>
              </w:rPr>
              <w:t xml:space="preserve">技术/</w:t>
            </w:r>
            <w:r>
              <w:rPr>
                <w:rFonts w:hint="eastAsia" w:ascii="宋体" w:hAnsi="宋体" w:cs="宋体"/>
                <w:b/>
                <w:bCs/>
                <w:color w:val="auto"/>
                <w:szCs w:val="21"/>
                <w:highlight w:val="none"/>
              </w:rPr>
              <w:t xml:space="preserve">商务要求响应及偏离表”为准。</w:t>
            </w:r>
            <w:r>
              <w:rPr>
                <w:rFonts w:hint="eastAsia" w:ascii="宋体" w:hAnsi="宋体" w:cs="宋体"/>
                <w:color w:val="auto"/>
                <w:sz w:val="24"/>
                <w:highlight w:val="none"/>
              </w:rPr>
            </w:r>
            <w:r>
              <w:rPr>
                <w:color w:val="auto"/>
                <w:highlight w:val="none"/>
              </w:rPr>
            </w:r>
          </w:p>
        </w:tc>
      </w:tr>
    </w:tbl>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2.2 </w:t>
      </w:r>
      <w:r>
        <w:rPr>
          <w:rFonts w:hint="eastAsia" w:ascii="宋体" w:hAnsi="宋体" w:cs="宋体"/>
          <w:iCs/>
          <w:color w:val="auto"/>
          <w:sz w:val="24"/>
          <w:highlight w:val="none"/>
          <w:lang w:bidi="ar"/>
        </w:rPr>
        <w:t xml:space="preserve">投标文件没有重大负偏离，所谓重大负偏离是指投标人所投标的</w:t>
      </w:r>
      <w:r>
        <w:rPr>
          <w:rFonts w:hint="eastAsia" w:ascii="宋体" w:hAnsi="宋体" w:cs="宋体"/>
          <w:iCs/>
          <w:color w:val="auto"/>
          <w:sz w:val="24"/>
          <w:highlight w:val="none"/>
          <w:u w:val="single"/>
          <w:lang w:bidi="ar"/>
        </w:rPr>
        <w:t xml:space="preserve">范围、质量、数量、付款方式、质保期和交货期限</w:t>
      </w:r>
      <w:r>
        <w:rPr>
          <w:rFonts w:hint="eastAsia" w:ascii="宋体" w:hAnsi="宋体" w:cs="宋体"/>
          <w:iCs/>
          <w:color w:val="auto"/>
          <w:sz w:val="24"/>
          <w:highlight w:val="none"/>
          <w:lang w:bidi="ar"/>
        </w:rPr>
        <w:t xml:space="preserve">等明显不能满足招标文件的要求。重大负偏离的认定须经评标委员会三分之二以上同意</w:t>
      </w:r>
      <w:r>
        <w:rPr>
          <w:rFonts w:hint="eastAsia" w:ascii="宋体" w:hAnsi="宋体" w:cs="宋体"/>
          <w:color w:val="auto"/>
          <w:sz w:val="24"/>
          <w:highlight w:val="none"/>
        </w:rPr>
        <w:t xml:space="preserve">；</w:t>
      </w:r>
      <w:r>
        <w:rPr>
          <w:rFonts w:hint="eastAsia" w:ascii="宋体" w:hAnsi="宋体" w:cs="宋体"/>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2.3 《第六章 投标文件构成》中“投标文件构成”没有缺漏；</w:t>
      </w:r>
      <w:r>
        <w:rPr>
          <w:rFonts w:hint="eastAsia" w:ascii="宋体" w:hAnsi="宋体" w:cs="宋体"/>
          <w:color w:val="auto"/>
          <w:sz w:val="24"/>
          <w:highlight w:val="none"/>
        </w:rPr>
      </w:r>
      <w:r>
        <w:rPr>
          <w:color w:val="auto"/>
          <w:highlight w:val="none"/>
        </w:rPr>
      </w:r>
    </w:p>
    <w:p>
      <w:pPr>
        <w:pStyle w:val="905"/>
        <w:ind w:firstLine="480"/>
        <w:jc w:val="left"/>
        <w:rPr>
          <w:rFonts w:hint="eastAsia" w:ascii="宋体" w:hAnsi="宋体" w:cs="宋体"/>
          <w:bCs/>
          <w:color w:val="auto"/>
          <w:sz w:val="24"/>
          <w:szCs w:val="24"/>
          <w:highlight w:val="none"/>
        </w:rPr>
      </w:pPr>
      <w:r>
        <w:rPr>
          <w:rFonts w:hint="eastAsia" w:ascii="宋体" w:hAnsi="宋体" w:cs="宋体"/>
          <w:color w:val="auto"/>
          <w:sz w:val="24"/>
          <w:highlight w:val="none"/>
        </w:rPr>
        <w:t xml:space="preserve">2.3.</w:t>
      </w:r>
      <w:r>
        <w:rPr>
          <w:rFonts w:hint="eastAsia" w:ascii="宋体" w:hAnsi="宋体" w:cs="宋体"/>
          <w:color w:val="auto"/>
          <w:sz w:val="24"/>
          <w:highlight w:val="none"/>
        </w:rPr>
        <w:t xml:space="preserve">1 </w:t>
      </w:r>
      <w:r>
        <w:rPr>
          <w:rFonts w:hint="eastAsia" w:ascii="宋体" w:hAnsi="宋体" w:cs="宋体"/>
          <w:bCs/>
          <w:color w:val="auto"/>
          <w:sz w:val="24"/>
          <w:szCs w:val="24"/>
          <w:highlight w:val="none"/>
        </w:rPr>
        <w:t xml:space="preserve">投标函：应按招标文件要求填写，没有缺漏；</w:t>
      </w:r>
      <w:r>
        <w:rPr>
          <w:rFonts w:hint="eastAsia" w:ascii="宋体" w:hAnsi="宋体" w:cs="宋体"/>
          <w:bCs/>
          <w:color w:val="auto"/>
          <w:sz w:val="24"/>
          <w:szCs w:val="24"/>
          <w:highlight w:val="none"/>
        </w:rPr>
      </w:r>
      <w:r>
        <w:rPr>
          <w:color w:val="auto"/>
          <w:highlight w:val="none"/>
        </w:rPr>
      </w:r>
    </w:p>
    <w:p>
      <w:pPr>
        <w:pStyle w:val="905"/>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w:t>
      </w:r>
      <w:r>
        <w:rPr>
          <w:rFonts w:hint="eastAsia" w:ascii="宋体" w:hAnsi="宋体" w:cs="宋体"/>
          <w:bCs/>
          <w:color w:val="auto"/>
          <w:sz w:val="24"/>
          <w:szCs w:val="24"/>
          <w:highlight w:val="none"/>
        </w:rPr>
        <w:t xml:space="preserve">.2 </w:t>
      </w:r>
      <w:r>
        <w:rPr>
          <w:rFonts w:hint="eastAsia" w:ascii="宋体" w:hAnsi="宋体" w:cs="宋体"/>
          <w:iCs/>
          <w:color w:val="auto"/>
          <w:sz w:val="24"/>
          <w:szCs w:val="24"/>
          <w:highlight w:val="none"/>
        </w:rPr>
        <w:t xml:space="preserve">法人授权书：</w:t>
      </w:r>
      <w:r>
        <w:rPr>
          <w:rFonts w:hint="eastAsia" w:ascii="宋体" w:hAnsi="宋体" w:cs="宋体"/>
          <w:bCs/>
          <w:color w:val="auto"/>
          <w:sz w:val="24"/>
          <w:szCs w:val="24"/>
          <w:highlight w:val="none"/>
        </w:rPr>
        <w:t xml:space="preserve">应按招标文件要求填写，没有缺漏；</w:t>
      </w:r>
      <w:r>
        <w:rPr>
          <w:rFonts w:hint="eastAsia" w:ascii="宋体" w:hAnsi="宋体" w:cs="宋体"/>
          <w:bCs/>
          <w:color w:val="auto"/>
          <w:sz w:val="24"/>
          <w:szCs w:val="24"/>
          <w:highlight w:val="none"/>
        </w:rPr>
      </w:r>
      <w:r>
        <w:rPr>
          <w:color w:val="auto"/>
          <w:highlight w:val="none"/>
        </w:rPr>
      </w:r>
    </w:p>
    <w:p>
      <w:pPr>
        <w:pStyle w:val="905"/>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2.3.3 </w:t>
      </w:r>
      <w:r>
        <w:rPr>
          <w:rFonts w:hint="eastAsia" w:ascii="宋体" w:hAnsi="宋体" w:cs="宋体"/>
          <w:iCs/>
          <w:color w:val="auto"/>
          <w:sz w:val="24"/>
          <w:szCs w:val="24"/>
          <w:highlight w:val="none"/>
        </w:rPr>
        <w:t xml:space="preserve">投标分项报价表：表中的设备名称、数量、单位必须与招标文件采购需求一致，报价不超过最高限价。</w:t>
      </w:r>
      <w:r>
        <w:rPr>
          <w:rFonts w:hint="eastAsia" w:ascii="宋体" w:hAnsi="宋体" w:cs="宋体"/>
          <w:bCs/>
          <w:color w:val="auto"/>
          <w:sz w:val="24"/>
          <w:szCs w:val="24"/>
          <w:highlight w:val="none"/>
        </w:rPr>
      </w:r>
      <w:r>
        <w:rPr>
          <w:color w:val="auto"/>
          <w:highlight w:val="none"/>
        </w:rPr>
      </w:r>
    </w:p>
    <w:p>
      <w:pPr>
        <w:pStyle w:val="905"/>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2.3.4 其他格式要求：应按招标文件要求填写，没有缺漏；</w:t>
      </w:r>
      <w:r>
        <w:rPr>
          <w:rFonts w:hint="eastAsia" w:ascii="宋体" w:hAnsi="宋体" w:cs="宋体"/>
          <w:bCs/>
          <w:color w:val="auto"/>
          <w:sz w:val="24"/>
          <w:szCs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2.4 </w:t>
      </w:r>
      <w:r>
        <w:rPr>
          <w:rFonts w:hint="eastAsia" w:ascii="宋体" w:hAnsi="宋体" w:cs="宋体"/>
          <w:color w:val="auto"/>
          <w:sz w:val="24"/>
          <w:highlight w:val="none"/>
        </w:rPr>
        <w:t xml:space="preserve">投标有效期符合招标文件要求</w:t>
      </w:r>
      <w:r>
        <w:rPr>
          <w:rFonts w:hint="eastAsia" w:ascii="宋体" w:hAnsi="宋体" w:cs="宋体"/>
          <w:color w:val="auto"/>
          <w:sz w:val="24"/>
          <w:highlight w:val="none"/>
        </w:rPr>
        <w:t xml:space="preserve">；</w:t>
      </w:r>
      <w:r>
        <w:rPr>
          <w:rFonts w:hint="eastAsia" w:ascii="宋体" w:hAnsi="宋体" w:cs="宋体"/>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2.5 本项目不接受联合体投标</w:t>
      </w:r>
      <w:r>
        <w:rPr>
          <w:rFonts w:hint="eastAsia" w:ascii="宋体" w:hAnsi="宋体" w:cs="宋体"/>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2.6 本项目不接受备选投标方案</w:t>
      </w:r>
      <w:r>
        <w:rPr>
          <w:rFonts w:hint="eastAsia" w:ascii="宋体" w:hAnsi="宋体" w:cs="宋体"/>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2.7 投标文件没有采购人不能接受的附加条件</w:t>
      </w:r>
      <w:r>
        <w:rPr>
          <w:rFonts w:hint="eastAsia" w:ascii="宋体" w:hAnsi="宋体" w:cs="宋体"/>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2.8 投标文件没有法律、法规和招标文件规定的其他无效情形</w:t>
      </w:r>
      <w:r>
        <w:rPr>
          <w:rFonts w:hint="eastAsia" w:ascii="宋体" w:hAnsi="宋体" w:cs="宋体"/>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p>
      <w:pPr>
        <w:pStyle w:val="905"/>
        <w:numPr>
          <w:ilvl w:val="0"/>
          <w:numId w:val="8"/>
        </w:numPr>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技术要求：</w:t>
      </w:r>
      <w:r>
        <w:rPr>
          <w:rFonts w:hint="eastAsia" w:ascii="宋体" w:hAnsi="宋体" w:cs="宋体"/>
          <w:b/>
          <w:bCs/>
          <w:color w:val="auto"/>
          <w:sz w:val="24"/>
          <w:highlight w:val="none"/>
        </w:rPr>
      </w:r>
      <w:r>
        <w:rPr>
          <w:color w:val="auto"/>
          <w:highlight w:val="none"/>
        </w:rPr>
      </w:r>
    </w:p>
    <w:p>
      <w:pPr>
        <w:pStyle w:val="905"/>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3.1 投标文件中的</w:t>
      </w:r>
      <w:r>
        <w:rPr>
          <w:rFonts w:hint="eastAsia" w:ascii="宋体" w:hAnsi="宋体" w:cs="宋体"/>
          <w:color w:val="auto"/>
          <w:sz w:val="24"/>
          <w:highlight w:val="none"/>
        </w:rPr>
        <w:t xml:space="preserve">《技术要求响应及偏离表》按照表格要求编制，点对点应答</w:t>
      </w:r>
      <w:r>
        <w:rPr>
          <w:rFonts w:hint="eastAsia" w:ascii="宋体" w:hAnsi="宋体" w:cs="宋体"/>
          <w:color w:val="auto"/>
          <w:sz w:val="24"/>
          <w:highlight w:val="none"/>
        </w:rPr>
        <w:t xml:space="preserve">。</w:t>
      </w:r>
      <w:r>
        <w:rPr>
          <w:rFonts w:hint="eastAsia" w:ascii="宋体" w:hAnsi="宋体" w:cs="宋体"/>
          <w:color w:val="auto"/>
          <w:sz w:val="24"/>
          <w:highlight w:val="none"/>
        </w:rPr>
      </w:r>
      <w:r>
        <w:rPr>
          <w:color w:val="auto"/>
          <w:highlight w:val="none"/>
        </w:rPr>
      </w:r>
    </w:p>
    <w:p>
      <w:pPr>
        <w:pStyle w:val="905"/>
        <w:ind w:firstLine="482"/>
        <w:jc w:val="left"/>
        <w:spacing w:before="145"/>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政府采购政策功能落实</w:t>
      </w:r>
      <w:r>
        <w:rPr>
          <w:rFonts w:hint="eastAsia" w:ascii="宋体" w:hAnsi="宋体" w:cs="宋体"/>
          <w:b/>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1.小微型企业价格扣除</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（1）本项目对小型和微型企业产品给予</w:t>
      </w:r>
      <w:r>
        <w:rPr>
          <w:rFonts w:hint="eastAsia" w:ascii="宋体" w:hAnsi="宋体" w:cs="宋体"/>
          <w:b/>
          <w:bCs/>
          <w:color w:val="auto"/>
          <w:sz w:val="24"/>
          <w:szCs w:val="24"/>
          <w:highlight w:val="none"/>
          <w:u w:val="single"/>
        </w:rPr>
        <w:t xml:space="preserve">20%</w:t>
      </w:r>
      <w:r>
        <w:rPr>
          <w:rFonts w:hint="eastAsia" w:ascii="宋体" w:hAnsi="宋体" w:cs="宋体"/>
          <w:color w:val="auto"/>
          <w:sz w:val="24"/>
          <w:szCs w:val="24"/>
          <w:highlight w:val="none"/>
        </w:rPr>
        <w:t xml:space="preserve">的扣除价格，用扣除后的价格参与评审。（2）供应商需按照采购文件的要求提供相应的《小微企业声明函》。</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（3）企业标准请参照《关于印发中小企业划型标准规定的通知》（工信部联企业〔2011〕300号）文件规定自行填写。</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2.残疾人福利单位价格扣除</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（1）本项目对残疾人福利性单位视同小型、微型企业，给予</w:t>
      </w:r>
      <w:r>
        <w:rPr>
          <w:rFonts w:hint="eastAsia" w:ascii="宋体" w:hAnsi="宋体" w:cs="宋体"/>
          <w:color w:val="auto"/>
          <w:sz w:val="24"/>
          <w:szCs w:val="24"/>
          <w:highlight w:val="none"/>
          <w:u w:val="single"/>
        </w:rPr>
        <w:t xml:space="preserve">20%</w:t>
      </w:r>
      <w:r>
        <w:rPr>
          <w:rFonts w:hint="eastAsia" w:ascii="宋体" w:hAnsi="宋体" w:cs="宋体"/>
          <w:color w:val="auto"/>
          <w:sz w:val="24"/>
          <w:szCs w:val="24"/>
          <w:highlight w:val="none"/>
        </w:rPr>
        <w:t xml:space="preserve">的价格扣除，用扣除后的价格参与评审。</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（2）残疾人福利单位需按照采</w:t>
      </w:r>
      <w:r>
        <w:rPr>
          <w:rFonts w:hint="eastAsia" w:ascii="宋体" w:hAnsi="宋体" w:cs="宋体"/>
          <w:color w:val="auto"/>
          <w:sz w:val="24"/>
          <w:szCs w:val="24"/>
          <w:highlight w:val="none"/>
        </w:rPr>
        <w:t xml:space="preserve">购文件的要求提供《残疾人福利性单位声明函》。</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残疾人福利单位标准请参照《关于促进残疾人就业政府采购政策的通知》（财库〔2017〕141号）。</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3.监狱和戒毒企业价格扣除</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（1）本项目对监狱和戒毒企业（简称监狱企业）视同小型、微型企业，给予</w:t>
      </w:r>
      <w:r>
        <w:rPr>
          <w:rFonts w:hint="eastAsia" w:ascii="宋体" w:hAnsi="宋体" w:cs="宋体"/>
          <w:color w:val="auto"/>
          <w:sz w:val="24"/>
          <w:szCs w:val="24"/>
          <w:highlight w:val="none"/>
          <w:u w:val="single"/>
        </w:rPr>
        <w:t xml:space="preserve">20%</w:t>
      </w:r>
      <w:r>
        <w:rPr>
          <w:rFonts w:hint="eastAsia" w:ascii="宋体" w:hAnsi="宋体" w:cs="宋体"/>
          <w:color w:val="auto"/>
          <w:sz w:val="24"/>
          <w:szCs w:val="24"/>
          <w:highlight w:val="none"/>
        </w:rPr>
        <w:t xml:space="preserve">的价格扣除，用扣除后的价格参与评审。</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color w:val="auto"/>
          <w:sz w:val="24"/>
          <w:szCs w:val="24"/>
          <w:highlight w:val="none"/>
        </w:rPr>
        <w:t xml:space="preserve">供应商如不提供上述证明文件，价格将不做相应扣除</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（3）监狱企业标准请参照《关于政府采购支持监狱企业</w:t>
      </w:r>
      <w:r>
        <w:rPr>
          <w:rFonts w:hint="eastAsia" w:ascii="宋体" w:hAnsi="宋体" w:cs="宋体"/>
          <w:color w:val="auto"/>
          <w:sz w:val="24"/>
          <w:szCs w:val="24"/>
          <w:highlight w:val="none"/>
        </w:rPr>
        <w:t xml:space="preserve">发展有关问题的通知》（财库〔2014〕68号）。</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 xml:space="preserve">.残疾人福利单位、监狱企业属于小型、微型企业的，不重复享受政策。</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36"/>
          <w:szCs w:val="36"/>
          <w:highlight w:val="none"/>
        </w:rPr>
      </w:pPr>
      <w:r>
        <w:rPr>
          <w:rFonts w:hint="eastAsia" w:ascii="宋体" w:hAnsi="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 w:val="24"/>
          <w:szCs w:val="24"/>
          <w:highlight w:val="none"/>
          <w:u w:val="single"/>
        </w:rPr>
        <w:t xml:space="preserve">6%</w:t>
      </w:r>
      <w:r>
        <w:rPr>
          <w:rFonts w:hint="eastAsia" w:ascii="宋体" w:hAnsi="宋体" w:cs="宋体"/>
          <w:color w:val="auto"/>
          <w:sz w:val="24"/>
          <w:szCs w:val="24"/>
          <w:highlight w:val="none"/>
        </w:rPr>
        <w:t xml:space="preserve">的价格扣除，用扣除后的价格参与评审。</w:t>
      </w:r>
      <w:r>
        <w:rPr>
          <w:rFonts w:hint="eastAsia" w:ascii="宋体" w:hAnsi="宋体" w:cs="宋体"/>
          <w:color w:val="auto"/>
          <w:sz w:val="36"/>
          <w:szCs w:val="36"/>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6.联合体各方均为小型、微型企业（残疾人福利单位、监狱企业）的，联合体享</w:t>
      </w: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u w:val="single"/>
        </w:rPr>
        <w:t xml:space="preserve">20%</w:t>
      </w:r>
      <w:r>
        <w:rPr>
          <w:rFonts w:hint="eastAsia" w:ascii="宋体" w:hAnsi="宋体" w:cs="宋体"/>
          <w:color w:val="auto"/>
          <w:sz w:val="24"/>
          <w:szCs w:val="24"/>
          <w:highlight w:val="none"/>
        </w:rPr>
        <w:t xml:space="preserve">价格扣除，用扣除后的价格参与评审。</w:t>
      </w:r>
      <w:r>
        <w:rPr>
          <w:rFonts w:hint="eastAsia" w:ascii="宋体" w:hAnsi="宋体" w:cs="宋体"/>
          <w:color w:val="auto"/>
          <w:sz w:val="24"/>
          <w:szCs w:val="24"/>
          <w:highlight w:val="none"/>
        </w:rPr>
      </w:r>
      <w:r>
        <w:rPr>
          <w:color w:val="auto"/>
          <w:highlight w:val="none"/>
        </w:rPr>
      </w:r>
    </w:p>
    <w:p>
      <w:pPr>
        <w:pStyle w:val="997"/>
        <w:ind w:firstLine="482"/>
        <w:spacing w:before="290" w:after="0"/>
        <w:rPr>
          <w:rFonts w:hint="eastAsia" w:ascii="宋体" w:hAnsi="宋体" w:cs="宋体"/>
          <w:b/>
          <w:color w:val="auto"/>
          <w:highlight w:val="none"/>
        </w:rPr>
        <w:outlineLvl w:val="2"/>
      </w:pPr>
      <w:r>
        <w:rPr>
          <w:rFonts w:hint="eastAsia" w:ascii="宋体" w:hAnsi="宋体" w:cs="宋体"/>
          <w:b/>
          <w:color w:val="auto"/>
          <w:highlight w:val="none"/>
        </w:rPr>
        <w:t xml:space="preserve">采购本国</w:t>
      </w:r>
      <w:r>
        <w:rPr>
          <w:rFonts w:hint="eastAsia" w:ascii="宋体" w:hAnsi="宋体" w:cs="宋体"/>
          <w:b/>
          <w:color w:val="auto"/>
          <w:highlight w:val="none"/>
        </w:rPr>
        <w:t xml:space="preserve">产品的支持政策</w:t>
      </w:r>
      <w:r>
        <w:rPr>
          <w:rFonts w:hint="eastAsia" w:ascii="宋体" w:hAnsi="宋体" w:cs="宋体"/>
          <w:b/>
          <w:color w:val="auto"/>
          <w:highlight w:val="none"/>
        </w:rPr>
      </w:r>
      <w:r>
        <w:rPr>
          <w:color w:val="auto"/>
          <w:highlight w:val="none"/>
        </w:rPr>
      </w:r>
    </w:p>
    <w:p>
      <w:pPr>
        <w:pStyle w:val="997"/>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auto"/>
          <w:highlight w:val="none"/>
        </w:rPr>
      </w:r>
      <w:r>
        <w:rPr>
          <w:color w:val="auto"/>
          <w:highlight w:val="none"/>
        </w:rPr>
      </w:r>
    </w:p>
    <w:p>
      <w:pPr>
        <w:pStyle w:val="997"/>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w:t>
      </w:r>
      <w:r>
        <w:rPr>
          <w:rFonts w:hint="eastAsia" w:ascii="宋体" w:hAnsi="宋体" w:cs="宋体"/>
          <w:color w:val="auto"/>
          <w:highlight w:val="none"/>
        </w:rPr>
        <w:t xml:space="preserve">即对该供应商提供的全部产品的总报价给予20%的价格扣</w:t>
      </w:r>
      <w:r>
        <w:rPr>
          <w:rFonts w:hint="eastAsia" w:ascii="宋体" w:hAnsi="宋体" w:cs="宋体"/>
          <w:color w:val="auto"/>
          <w:highlight w:val="none"/>
        </w:rPr>
        <w:t xml:space="preserve">除，用扣除后的价格参与评审。供应商未填写比例数值，或比例数值未达到80%的，将不享受本国产品价格评审优惠。</w:t>
      </w:r>
      <w:r>
        <w:rPr>
          <w:rFonts w:hint="eastAsia" w:ascii="宋体" w:hAnsi="宋体" w:cs="宋体"/>
          <w:color w:val="auto"/>
          <w:highlight w:val="none"/>
        </w:rPr>
      </w:r>
      <w:r>
        <w:rPr>
          <w:color w:val="auto"/>
          <w:highlight w:val="none"/>
        </w:rPr>
      </w:r>
    </w:p>
    <w:p>
      <w:pPr>
        <w:pStyle w:val="997"/>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 供应商需按照招标文件的要求提供《关于符合本国产品标准的声明函》（以下简称《声明函》），如不提供将不享受本国产品价格评审优惠。</w:t>
      </w:r>
      <w:r>
        <w:rPr>
          <w:rFonts w:hint="eastAsia" w:ascii="宋体" w:hAnsi="宋体" w:cs="宋体"/>
          <w:color w:val="auto"/>
          <w:highlight w:val="none"/>
        </w:rPr>
      </w:r>
      <w:r>
        <w:rPr>
          <w:color w:val="auto"/>
          <w:highlight w:val="none"/>
        </w:rPr>
      </w:r>
    </w:p>
    <w:p>
      <w:pPr>
        <w:pStyle w:val="997"/>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auto"/>
          <w:highlight w:val="none"/>
        </w:rPr>
      </w:r>
      <w:r>
        <w:rPr>
          <w:color w:val="auto"/>
          <w:highlight w:val="none"/>
        </w:rPr>
      </w:r>
    </w:p>
    <w:p>
      <w:pPr>
        <w:pStyle w:val="997"/>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 评标过程中，如发</w:t>
      </w:r>
      <w:r>
        <w:rPr>
          <w:rFonts w:hint="eastAsia" w:ascii="宋体" w:hAnsi="宋体" w:cs="宋体"/>
          <w:color w:val="auto"/>
          <w:highlight w:val="none"/>
        </w:rPr>
        <w:t xml:space="preserve">现供应商在《声明函》内容含义不明确、同类事项与投标（</w:t>
      </w:r>
      <w:r>
        <w:rPr>
          <w:rFonts w:hint="eastAsia" w:ascii="宋体" w:hAnsi="宋体" w:cs="宋体"/>
          <w:color w:val="auto"/>
          <w:highlight w:val="none"/>
        </w:rPr>
        <w:t xml:space="preserve">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auto"/>
          <w:highlight w:val="none"/>
        </w:rPr>
      </w:r>
      <w:r>
        <w:rPr>
          <w:color w:val="auto"/>
          <w:highlight w:val="none"/>
        </w:rPr>
      </w:r>
    </w:p>
    <w:p>
      <w:pPr>
        <w:pStyle w:val="905"/>
        <w:ind w:firstLine="482"/>
        <w:jc w:val="left"/>
        <w:spacing w:before="145"/>
        <w:rPr>
          <w:rFonts w:hint="eastAsia"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强化政府采购异常低价审查</w:t>
      </w:r>
      <w:r>
        <w:rPr>
          <w:rFonts w:hint="eastAsia" w:ascii="宋体" w:hAnsi="宋体" w:cs="宋体"/>
          <w:b/>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（一）评审过程中出现下列情形之一的，评审委员会应当启动异常低价投标（响应）审查程序：</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1.投标（响应）报价低于全部通过符合性</w:t>
      </w:r>
      <w:r>
        <w:rPr>
          <w:rFonts w:hint="eastAsia" w:ascii="宋体" w:hAnsi="宋体" w:cs="宋体"/>
          <w:color w:val="auto"/>
          <w:sz w:val="24"/>
          <w:szCs w:val="24"/>
          <w:highlight w:val="none"/>
        </w:rPr>
        <w:t xml:space="preserve">审查供应商投标（响应）报价平均值50%的，即投标（响</w:t>
      </w:r>
      <w:r>
        <w:rPr>
          <w:rFonts w:hint="eastAsia" w:ascii="宋体" w:hAnsi="宋体" w:cs="宋体"/>
          <w:color w:val="auto"/>
          <w:sz w:val="24"/>
          <w:szCs w:val="24"/>
          <w:highlight w:val="none"/>
        </w:rPr>
        <w:t xml:space="preserve">应）报价&lt;全部通过符合性审查供应商投标（响应）报价平均值×50%；</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3.投标（响应）报价低于采购项目最高限价45%的，即投标（响应）报价&lt;采购项目最高限价×45%；</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（二）评审委员会启动异常低价投标（响应）</w:t>
      </w:r>
      <w:r>
        <w:rPr>
          <w:rFonts w:hint="eastAsia" w:ascii="宋体" w:hAnsi="宋体" w:cs="宋体"/>
          <w:color w:val="auto"/>
          <w:sz w:val="24"/>
          <w:szCs w:val="24"/>
          <w:highlight w:val="none"/>
        </w:rPr>
        <w:t xml:space="preserve">审查后，属于前述第1项至第4项情形的，应当要求相关供</w:t>
      </w:r>
      <w:r>
        <w:rPr>
          <w:rFonts w:hint="eastAsia" w:ascii="宋体" w:hAnsi="宋体" w:cs="宋体"/>
          <w:color w:val="auto"/>
          <w:sz w:val="24"/>
          <w:szCs w:val="24"/>
          <w:highlight w:val="none"/>
        </w:rPr>
        <w:t xml:space="preserve">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w:t>
      </w:r>
      <w:r>
        <w:rPr>
          <w:rFonts w:hint="eastAsia" w:ascii="宋体" w:hAnsi="宋体" w:cs="宋体"/>
          <w:color w:val="auto"/>
          <w:sz w:val="24"/>
          <w:szCs w:val="24"/>
          <w:highlight w:val="none"/>
        </w:rPr>
        <w:t xml:space="preserve">本等情况，对报价合理性进行判断。投标（响应）供应商不</w:t>
      </w:r>
      <w:r>
        <w:rPr>
          <w:rFonts w:hint="eastAsia" w:ascii="宋体" w:hAnsi="宋体" w:cs="宋体"/>
          <w:color w:val="auto"/>
          <w:sz w:val="24"/>
          <w:szCs w:val="24"/>
          <w:highlight w:val="none"/>
        </w:rPr>
        <w:t xml:space="preserve">能提供书面说明、证明材料，或者提供的书面说明、证明材料不能证明其报价合理性的，评审委员会应当将其作为无效投标（响应）处理。</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auto"/>
          <w:sz w:val="24"/>
          <w:szCs w:val="24"/>
          <w:highlight w:val="none"/>
        </w:rPr>
      </w:r>
      <w:r>
        <w:rPr>
          <w:color w:val="auto"/>
          <w:highlight w:val="none"/>
        </w:rPr>
      </w:r>
    </w:p>
    <w:p>
      <w:pPr>
        <w:pStyle w:val="905"/>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异常低价投标（响应）审查的启动原因、审查意见和审查结</w:t>
      </w:r>
      <w:r>
        <w:rPr>
          <w:rFonts w:hint="eastAsia" w:ascii="宋体" w:hAnsi="宋体" w:cs="宋体"/>
          <w:color w:val="auto"/>
          <w:sz w:val="24"/>
          <w:szCs w:val="24"/>
          <w:highlight w:val="none"/>
        </w:rPr>
        <w:t xml:space="preserve">果应当在评审报告中记录，并随供应商提供的相关书面说明</w:t>
      </w:r>
      <w:r>
        <w:rPr>
          <w:rFonts w:hint="eastAsia" w:ascii="宋体" w:hAnsi="宋体" w:cs="宋体"/>
          <w:color w:val="auto"/>
          <w:sz w:val="24"/>
          <w:szCs w:val="24"/>
          <w:highlight w:val="none"/>
        </w:rPr>
        <w:t xml:space="preserve">及证明材料，以及评审委员会有关互联网浏览、查询历史一并归档。</w:t>
      </w:r>
      <w:r>
        <w:rPr>
          <w:rFonts w:hint="eastAsia" w:ascii="宋体" w:hAnsi="宋体" w:cs="宋体"/>
          <w:color w:val="auto"/>
          <w:sz w:val="24"/>
          <w:szCs w:val="24"/>
          <w:highlight w:val="none"/>
        </w:rPr>
      </w:r>
      <w:r>
        <w:rPr>
          <w:color w:val="auto"/>
          <w:highlight w:val="none"/>
        </w:rPr>
      </w:r>
    </w:p>
    <w:p>
      <w:pPr>
        <w:pStyle w:val="907"/>
        <w:spacing w:before="145"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（三）评标方法与评标标准</w:t>
      </w:r>
      <w:r>
        <w:rPr>
          <w:rFonts w:hint="eastAsia" w:ascii="宋体" w:hAnsi="宋体" w:cs="宋体"/>
          <w:color w:val="auto"/>
          <w:sz w:val="32"/>
          <w:highlight w:val="none"/>
        </w:rPr>
      </w:r>
      <w:r>
        <w:rPr>
          <w:color w:val="auto"/>
          <w:highlight w:val="none"/>
        </w:rPr>
      </w:r>
    </w:p>
    <w:tbl>
      <w:tblPr>
        <w:tblW w:w="8703"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7100"/>
      </w:tblGrid>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评审因素</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评审标准</w:t>
            </w:r>
            <w:r>
              <w:rPr>
                <w:rFonts w:hint="eastAsia" w:ascii="宋体" w:hAnsi="宋体" w:cs="宋体"/>
                <w:b/>
                <w:color w:val="auto"/>
                <w:sz w:val="24"/>
                <w:szCs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报价</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（30分）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采用低价优先法计算，即满足招标文件要求且投标价格最低的投标报价为评标基准价，其价格分为满分30分。</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其他投标人的价格分统一按照下列公式计算：</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投标报价得分=（评标基准价/投标报价）×30（小数点保留两位）。</w:t>
            </w:r>
            <w:r>
              <w:rPr>
                <w:rFonts w:hint="eastAsia" w:ascii="宋体" w:hAnsi="宋体" w:cs="宋体"/>
                <w:color w:val="auto"/>
                <w:sz w:val="24"/>
                <w:szCs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技术要求响应</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rPr>
              <w:t xml:space="preserve">4</w:t>
            </w:r>
            <w:r>
              <w:rPr>
                <w:rFonts w:hint="eastAsia" w:ascii="宋体" w:hAnsi="宋体" w:cs="宋体"/>
                <w:b/>
                <w:color w:val="auto"/>
                <w:sz w:val="24"/>
                <w:szCs w:val="24"/>
                <w:highlight w:val="none"/>
              </w:rPr>
              <w:t xml:space="preserve">5</w:t>
            </w:r>
            <w:r>
              <w:rPr>
                <w:rFonts w:hint="eastAsia" w:ascii="宋体" w:hAnsi="宋体" w:cs="宋体"/>
                <w:b/>
                <w:color w:val="auto"/>
                <w:sz w:val="24"/>
                <w:szCs w:val="24"/>
                <w:highlight w:val="none"/>
              </w:rPr>
              <w:t xml:space="preserve">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评委根据投标文件中《技术规格响应/偏离表》，结合投标文件提供的佐证材料等进行评审：</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完全响应招标</w:t>
            </w:r>
            <w:r>
              <w:rPr>
                <w:rFonts w:hint="eastAsia" w:ascii="宋体" w:hAnsi="宋体" w:cs="宋体"/>
                <w:color w:val="auto"/>
                <w:sz w:val="24"/>
                <w:szCs w:val="24"/>
                <w:highlight w:val="none"/>
              </w:rPr>
              <w:t xml:space="preserve">文件《第三部分：采购需求》的技术规格条款要求，得</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；“★”号指标不允许负偏离，否则投标无效；加注“▲”符号的重要指标有一项负偏离或不满足扣</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t xml:space="preserve">个“▲”，共计</w:t>
            </w: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）；一般指标有一项负偏离或不满足扣</w:t>
            </w:r>
            <w:r>
              <w:rPr>
                <w:rFonts w:hint="eastAsia" w:ascii="宋体" w:hAnsi="宋体" w:cs="宋体"/>
                <w:color w:val="auto"/>
                <w:sz w:val="24"/>
                <w:szCs w:val="24"/>
                <w:highlight w:val="none"/>
              </w:rPr>
              <w:t xml:space="preserve">0.6</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40</w:t>
            </w:r>
            <w:r>
              <w:rPr>
                <w:rFonts w:hint="eastAsia" w:ascii="宋体" w:hAnsi="宋体" w:cs="宋体"/>
                <w:color w:val="auto"/>
                <w:sz w:val="24"/>
                <w:szCs w:val="24"/>
                <w:highlight w:val="none"/>
              </w:rPr>
              <w:t xml:space="preserve">个一般，共计</w:t>
            </w:r>
            <w:r>
              <w:rPr>
                <w:rFonts w:hint="eastAsia" w:ascii="宋体" w:hAnsi="宋体" w:cs="宋体"/>
                <w:color w:val="auto"/>
                <w:sz w:val="24"/>
                <w:szCs w:val="24"/>
                <w:highlight w:val="none"/>
              </w:rPr>
              <w:t xml:space="preserve">24</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），扣完为止。</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w:t>
            </w:r>
            <w:r>
              <w:rPr>
                <w:rFonts w:hint="eastAsia" w:ascii="宋体" w:hAnsi="宋体" w:cs="宋体"/>
                <w:b/>
                <w:color w:val="auto"/>
                <w:sz w:val="24"/>
                <w:szCs w:val="24"/>
                <w:highlight w:val="none"/>
              </w:rPr>
              <w:t xml:space="preserve">供相关证明材料或未标注页码或标注错误视为负偏离</w:t>
            </w:r>
            <w:r>
              <w:rPr>
                <w:rFonts w:hint="eastAsia" w:ascii="宋体" w:hAnsi="宋体" w:cs="宋体"/>
                <w:b/>
                <w:color w:val="auto"/>
                <w:sz w:val="24"/>
                <w:szCs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安</w:t>
            </w:r>
            <w:r>
              <w:rPr>
                <w:rFonts w:hint="eastAsia" w:ascii="宋体" w:hAnsi="宋体" w:cs="宋体"/>
                <w:b/>
                <w:color w:val="auto"/>
                <w:sz w:val="24"/>
                <w:szCs w:val="24"/>
                <w:highlight w:val="none"/>
              </w:rPr>
              <w:t xml:space="preserve">装调试方案</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设备到货、安装、调试方案，评委根据投标设备的到货运输、安装、设计方案进行横向对比评审：</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（1）内容科学合理、完整、切实可行的得5分；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（2）内容较为详细的，有一定的科学性和可行性的得3分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（3）内容不完整、科学性欠合理、可行性欠妥的得1分；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（4）未提供服务方案的不得分。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培训方案</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培训服务实施方案，评委根据投标文件中的培训方案进行打分，具体方案包括但不限于：拟派技术人员清单，培训计划及培训方案等内容（根据是否具有详细的安</w:t>
            </w:r>
            <w:r>
              <w:rPr>
                <w:rFonts w:hint="eastAsia" w:ascii="宋体" w:hAnsi="宋体" w:cs="宋体"/>
                <w:color w:val="auto"/>
                <w:sz w:val="24"/>
                <w:highlight w:val="none"/>
              </w:rPr>
              <w:t xml:space="preserve">装、使用、维护、保养等相关现场培训、事后的集中免费培</w:t>
            </w:r>
            <w:r>
              <w:rPr>
                <w:rFonts w:hint="eastAsia" w:ascii="宋体" w:hAnsi="宋体" w:cs="宋体"/>
                <w:color w:val="auto"/>
                <w:sz w:val="24"/>
                <w:highlight w:val="none"/>
              </w:rPr>
              <w:t xml:space="preserve">训等计划等酌情给分）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（1）内容科学合理、完整、切实可行的得5分；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（2）内容较为详细的，有一定的科学性和可行性的得3分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（3）内容不完整、科学性欠合理、可行性欠妥的得1分；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（4）未提供服务方案的不得分。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售后服务方案</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售后服务实施方案，评委根据投标文件中的质保期内售后服务（故障解决措施、技术人员保障、备品配件价格、服务网点、维修网点设置情况以及技术人员安排情况）等服务内容进行横向对比评审：</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（1）内容科学合理、完整、切实可行的得5分；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rPr>
              <w:t xml:space="preserve">）内容较为详细的，有一定的科学性和可行性的得3分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3）内容不完整、科学性欠合理、可行性欠妥的得1分；</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（4）未提供服务方案的不得分。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投标设备整体配置情况比较</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rPr>
              <w:t xml:space="preserve">5</w:t>
            </w:r>
            <w:r>
              <w:rPr>
                <w:rFonts w:hint="eastAsia" w:ascii="宋体" w:hAnsi="宋体" w:cs="宋体"/>
                <w:b/>
                <w:color w:val="auto"/>
                <w:sz w:val="24"/>
                <w:szCs w:val="24"/>
                <w:highlight w:val="none"/>
              </w:rPr>
              <w:t xml:space="preserve">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highlight w:val="none"/>
              </w:rPr>
            </w:pPr>
            <w:r>
              <w:rPr>
                <w:rFonts w:hint="eastAsia" w:ascii="宋体" w:hAnsi="宋体" w:cs="宋体"/>
                <w:color w:val="auto"/>
                <w:sz w:val="24"/>
                <w:highlight w:val="none"/>
                <w:lang w:val="zh-CN"/>
              </w:rPr>
              <w:t xml:space="preserve">投标设备整体配置选型情况综合比较，针对本项目的投标产品配置选型合理、先进，且与项目需求的吻合度高，得</w:t>
            </w: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分；针对本项目的投标产品配置选型一般、且与项目需求的吻合度一般，得</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分；针对本项目的投标产品配置选型差、且与项目需求的吻合度差，得</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分；</w:t>
            </w:r>
            <w:r>
              <w:rPr>
                <w:rFonts w:hint="eastAsia" w:ascii="宋体" w:hAnsi="宋体" w:cs="宋体"/>
                <w:color w:val="auto"/>
                <w:highlight w:val="none"/>
                <w:lang w:val="zh-CN"/>
              </w:rPr>
              <w:t xml:space="preserve">其余</w:t>
            </w:r>
            <w:r>
              <w:rPr>
                <w:rFonts w:hint="eastAsia" w:ascii="宋体" w:hAnsi="宋体" w:cs="宋体"/>
                <w:color w:val="auto"/>
                <w:sz w:val="24"/>
                <w:highlight w:val="none"/>
                <w:lang w:val="zh-CN"/>
              </w:rPr>
              <w:t xml:space="preserve">不得分。</w:t>
            </w:r>
            <w:r>
              <w:rPr>
                <w:rFonts w:hint="eastAsia" w:ascii="宋体" w:hAnsi="宋体" w:cs="宋体"/>
                <w:color w:val="auto"/>
                <w:sz w:val="24"/>
                <w:highlight w:val="none"/>
              </w:rPr>
            </w:r>
            <w:r>
              <w:rPr>
                <w:color w:val="auto"/>
                <w:highlight w:val="none"/>
              </w:rPr>
            </w:r>
          </w:p>
        </w:tc>
      </w:tr>
      <w:tr>
        <w:trPr>
          <w:trHeight w:val="567"/>
        </w:trPr>
        <w:tc>
          <w:tcPr>
            <w:tcW w:w="1603" w:type="dxa"/>
            <w:vAlign w:val="center"/>
            <w:textDirection w:val="lrTb"/>
            <w:noWrap w:val="false"/>
          </w:tcPr>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业绩</w:t>
            </w:r>
            <w:r>
              <w:rPr>
                <w:rFonts w:hint="eastAsia" w:ascii="宋体" w:hAnsi="宋体" w:cs="宋体"/>
                <w:b/>
                <w:color w:val="auto"/>
                <w:sz w:val="24"/>
                <w:szCs w:val="24"/>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rPr>
              <w:t xml:space="preserve">5</w:t>
            </w:r>
            <w:r>
              <w:rPr>
                <w:rFonts w:hint="eastAsia" w:ascii="宋体" w:hAnsi="宋体" w:cs="宋体"/>
                <w:b/>
                <w:color w:val="auto"/>
                <w:sz w:val="24"/>
                <w:szCs w:val="24"/>
                <w:highlight w:val="none"/>
              </w:rPr>
              <w:t xml:space="preserve">分）</w:t>
            </w:r>
            <w:r>
              <w:rPr>
                <w:rFonts w:hint="eastAsia" w:ascii="宋体" w:hAnsi="宋体" w:cs="宋体"/>
                <w:b/>
                <w:color w:val="auto"/>
                <w:sz w:val="24"/>
                <w:szCs w:val="24"/>
                <w:highlight w:val="none"/>
              </w:rPr>
            </w:r>
            <w:r>
              <w:rPr>
                <w:color w:val="auto"/>
                <w:highlight w:val="none"/>
              </w:rPr>
            </w:r>
          </w:p>
        </w:tc>
        <w:tc>
          <w:tcPr>
            <w:tcW w:w="7100" w:type="dxa"/>
            <w:vAlign w:val="center"/>
            <w:textDirection w:val="lrTb"/>
            <w:noWrap w:val="false"/>
          </w:tcPr>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自2022年1月1日（合同签订时间）至今，所投产品销售业绩证明文件（</w:t>
            </w:r>
            <w:r>
              <w:rPr>
                <w:rFonts w:hint="eastAsia" w:ascii="宋体" w:hAnsi="宋体" w:cs="宋体"/>
                <w:color w:val="auto"/>
                <w:sz w:val="24"/>
                <w:highlight w:val="none"/>
              </w:rPr>
              <w:t xml:space="preserve">同一采购单位不重复计分，提供合同、对应合同产品有效的</w:t>
            </w:r>
            <w:r>
              <w:rPr>
                <w:rFonts w:hint="eastAsia" w:ascii="宋体" w:hAnsi="宋体" w:cs="宋体"/>
                <w:color w:val="auto"/>
                <w:sz w:val="24"/>
                <w:highlight w:val="none"/>
              </w:rPr>
              <w:t xml:space="preserve">货物验收报告或装机完成报告，材料需加盖供应商电子公章，两项材料缺一不可），每份有效业绩得</w:t>
            </w:r>
            <w:r>
              <w:rPr>
                <w:rFonts w:hint="eastAsia" w:ascii="宋体" w:hAnsi="宋体" w:cs="宋体"/>
                <w:color w:val="auto"/>
                <w:sz w:val="24"/>
                <w:highlight w:val="none"/>
              </w:rPr>
              <w:t xml:space="preserve">1</w:t>
            </w:r>
            <w:r>
              <w:rPr>
                <w:rFonts w:hint="eastAsia" w:ascii="宋体" w:hAnsi="宋体" w:cs="宋体"/>
                <w:color w:val="auto"/>
                <w:sz w:val="24"/>
                <w:highlight w:val="none"/>
              </w:rPr>
              <w:t xml:space="preserve">分，最高得</w:t>
            </w:r>
            <w:r>
              <w:rPr>
                <w:rFonts w:hint="eastAsia" w:ascii="宋体" w:hAnsi="宋体" w:cs="宋体"/>
                <w:color w:val="auto"/>
                <w:sz w:val="24"/>
                <w:highlight w:val="none"/>
              </w:rPr>
              <w:t xml:space="preserve">5</w:t>
            </w:r>
            <w:r>
              <w:rPr>
                <w:rFonts w:hint="eastAsia" w:ascii="宋体" w:hAnsi="宋体" w:cs="宋体"/>
                <w:color w:val="auto"/>
                <w:sz w:val="24"/>
                <w:highlight w:val="none"/>
              </w:rPr>
              <w:t xml:space="preserve">分</w:t>
            </w:r>
            <w:r>
              <w:rPr>
                <w:rFonts w:hint="eastAsia" w:ascii="宋体" w:hAnsi="宋体" w:cs="宋体"/>
                <w:color w:val="auto"/>
                <w:sz w:val="24"/>
                <w:highlight w:val="none"/>
              </w:rPr>
              <w:t xml:space="preserve">。</w:t>
            </w:r>
            <w:r>
              <w:rPr>
                <w:rFonts w:hint="eastAsia" w:ascii="宋体" w:hAnsi="宋体" w:cs="宋体"/>
                <w:color w:val="auto"/>
                <w:sz w:val="24"/>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t xml:space="preserve">注：证明资料不全或不符合要求不得分。</w:t>
            </w:r>
            <w:r>
              <w:rPr>
                <w:rFonts w:hint="eastAsia" w:ascii="宋体" w:hAnsi="宋体" w:cs="宋体"/>
                <w:color w:val="auto"/>
                <w:sz w:val="24"/>
                <w:highlight w:val="none"/>
              </w:rPr>
            </w:r>
            <w:r>
              <w:rPr>
                <w:color w:val="auto"/>
                <w:highlight w:val="none"/>
              </w:rPr>
            </w:r>
          </w:p>
        </w:tc>
      </w:tr>
    </w:tbl>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jc w:val="center"/>
        <w:keepNext/>
        <w:rPr>
          <w:rFonts w:hint="eastAsia" w:ascii="宋体" w:hAnsi="宋体" w:cs="宋体"/>
          <w:bCs/>
          <w:color w:val="auto"/>
          <w:sz w:val="44"/>
          <w:szCs w:val="28"/>
          <w:highlight w:val="none"/>
        </w:rPr>
        <w:outlineLvl w:val="0"/>
      </w:pPr>
      <w:r>
        <w:rPr>
          <w:rFonts w:hint="eastAsia" w:ascii="宋体" w:hAnsi="宋体" w:cs="宋体"/>
          <w:b/>
          <w:bCs/>
          <w:color w:val="auto"/>
          <w:sz w:val="44"/>
          <w:szCs w:val="44"/>
          <w:highlight w:val="none"/>
        </w:rPr>
        <w:br w:type="page" w:clear="all"/>
      </w:r>
      <w:bookmarkStart w:id="186" w:name="_Toc28055"/>
      <w:r>
        <w:rPr>
          <w:rFonts w:hint="eastAsia" w:ascii="宋体" w:hAnsi="宋体" w:cs="宋体"/>
          <w:color w:val="auto"/>
          <w:sz w:val="44"/>
          <w:szCs w:val="44"/>
          <w:highlight w:val="none"/>
        </w:rPr>
        <w:t xml:space="preserve">第六章  投标</w:t>
      </w:r>
      <w:bookmarkEnd w:id="180"/>
      <w:r>
        <w:rPr>
          <w:color w:val="auto"/>
          <w:highlight w:val="none"/>
        </w:rPr>
      </w:r>
      <w:bookmarkEnd w:id="181"/>
      <w:r>
        <w:rPr>
          <w:color w:val="auto"/>
          <w:highlight w:val="none"/>
        </w:rPr>
      </w:r>
      <w:bookmarkEnd w:id="184"/>
      <w:r>
        <w:rPr>
          <w:rFonts w:hint="eastAsia" w:ascii="宋体" w:hAnsi="宋体" w:cs="宋体"/>
          <w:color w:val="auto"/>
          <w:sz w:val="44"/>
          <w:szCs w:val="44"/>
          <w:highlight w:val="none"/>
        </w:rPr>
        <w:t xml:space="preserve">文件格式</w:t>
      </w:r>
      <w:bookmarkEnd w:id="186"/>
      <w:r>
        <w:rPr>
          <w:rFonts w:hint="eastAsia" w:ascii="宋体" w:hAnsi="宋体" w:cs="宋体"/>
          <w:color w:val="auto"/>
          <w:sz w:val="44"/>
          <w:szCs w:val="44"/>
          <w:highlight w:val="none"/>
        </w:rPr>
        <w:t xml:space="preserve"> </w:t>
      </w:r>
      <w:r>
        <w:rPr>
          <w:rFonts w:hint="eastAsia" w:ascii="宋体" w:hAnsi="宋体" w:cs="宋体"/>
          <w:bCs/>
          <w:color w:val="auto"/>
          <w:sz w:val="44"/>
          <w:szCs w:val="28"/>
          <w:highlight w:val="none"/>
        </w:rPr>
      </w:r>
      <w:r>
        <w:rPr>
          <w:color w:val="auto"/>
          <w:highlight w:val="none"/>
        </w:rPr>
      </w:r>
    </w:p>
    <w:p>
      <w:pPr>
        <w:pStyle w:val="905"/>
        <w:jc w:val="center"/>
        <w:rPr>
          <w:rFonts w:hint="eastAsia" w:ascii="宋体" w:hAnsi="宋体" w:cs="宋体"/>
          <w:b/>
          <w:color w:val="auto"/>
          <w:sz w:val="72"/>
          <w:szCs w:val="21"/>
          <w:highlight w:val="none"/>
        </w:rPr>
      </w:pPr>
      <w:r>
        <w:rPr>
          <w:color w:val="auto"/>
          <w:highlight w:val="none"/>
        </w:rPr>
      </w:r>
      <w:bookmarkStart w:id="187" w:name="_Hlt26671244"/>
      <w:r>
        <w:rPr>
          <w:color w:val="auto"/>
          <w:highlight w:val="none"/>
        </w:rPr>
      </w:r>
      <w:bookmarkEnd w:id="187"/>
      <w:r>
        <w:rPr>
          <w:color w:val="auto"/>
          <w:highlight w:val="none"/>
        </w:rPr>
      </w:r>
      <w:bookmarkStart w:id="188" w:name="_Hlt26955039"/>
      <w:r>
        <w:rPr>
          <w:color w:val="auto"/>
          <w:highlight w:val="none"/>
        </w:rPr>
      </w:r>
      <w:bookmarkEnd w:id="188"/>
      <w:r>
        <w:rPr>
          <w:color w:val="auto"/>
          <w:highlight w:val="none"/>
        </w:rPr>
      </w:r>
      <w:bookmarkStart w:id="189" w:name="_Toc26554094"/>
      <w:r>
        <w:rPr>
          <w:color w:val="auto"/>
          <w:highlight w:val="none"/>
        </w:rPr>
      </w:r>
      <w:bookmarkStart w:id="190" w:name="_Toc49090576"/>
      <w:r>
        <w:rPr>
          <w:color w:val="auto"/>
          <w:highlight w:val="none"/>
        </w:rPr>
      </w:r>
      <w:bookmarkStart w:id="191" w:name="_Toc120614282"/>
      <w:r>
        <w:rPr>
          <w:rFonts w:hint="eastAsia" w:ascii="宋体" w:hAnsi="宋体" w:cs="宋体"/>
          <w:b/>
          <w:color w:val="auto"/>
          <w:sz w:val="72"/>
          <w:szCs w:val="21"/>
          <w:highlight w:val="none"/>
        </w:rPr>
      </w:r>
      <w:r>
        <w:rPr>
          <w:color w:val="auto"/>
          <w:highlight w:val="none"/>
        </w:rPr>
      </w:r>
    </w:p>
    <w:p>
      <w:pPr>
        <w:pStyle w:val="905"/>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t xml:space="preserve">投  标  文  件</w:t>
      </w:r>
      <w:r>
        <w:rPr>
          <w:rFonts w:hint="eastAsia" w:ascii="宋体" w:hAnsi="宋体" w:cs="宋体"/>
          <w:b/>
          <w:color w:val="auto"/>
          <w:sz w:val="72"/>
          <w:szCs w:val="21"/>
          <w:highlight w:val="none"/>
        </w:rPr>
      </w:r>
      <w:r>
        <w:rPr>
          <w:color w:val="auto"/>
          <w:highlight w:val="none"/>
        </w:rPr>
      </w:r>
    </w:p>
    <w:p>
      <w:pPr>
        <w:pStyle w:val="905"/>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rPr>
          <w:color w:val="auto"/>
          <w:highlight w:val="none"/>
        </w:rPr>
      </w:r>
    </w:p>
    <w:p>
      <w:pPr>
        <w:pStyle w:val="905"/>
        <w:jc w:val="center"/>
        <w:rPr>
          <w:rFonts w:hint="eastAsia" w:ascii="宋体" w:hAnsi="宋体" w:cs="宋体"/>
          <w:b/>
          <w:color w:val="auto"/>
          <w:sz w:val="72"/>
          <w:szCs w:val="21"/>
          <w:highlight w:val="none"/>
        </w:rPr>
      </w:pPr>
      <w:r>
        <w:rPr>
          <w:rFonts w:hint="eastAsia" w:ascii="宋体" w:hAnsi="宋体" w:cs="宋体"/>
          <w:b/>
          <w:color w:val="auto"/>
          <w:sz w:val="72"/>
          <w:szCs w:val="21"/>
          <w:highlight w:val="none"/>
        </w:rPr>
      </w:r>
      <w:r>
        <w:rPr>
          <w:color w:val="auto"/>
          <w:highlight w:val="none"/>
        </w:rPr>
      </w:r>
    </w:p>
    <w:p>
      <w:pPr>
        <w:pStyle w:val="905"/>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rPr>
          <w:color w:val="auto"/>
          <w:highlight w:val="none"/>
        </w:rPr>
      </w:r>
    </w:p>
    <w:p>
      <w:pPr>
        <w:pStyle w:val="905"/>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rPr>
          <w:color w:val="auto"/>
          <w:highlight w:val="none"/>
        </w:rPr>
      </w:r>
    </w:p>
    <w:p>
      <w:pPr>
        <w:pStyle w:val="905"/>
        <w:jc w:val="center"/>
        <w:rPr>
          <w:rFonts w:hint="eastAsia" w:ascii="宋体" w:hAnsi="宋体" w:cs="宋体"/>
          <w:b/>
          <w:color w:val="auto"/>
          <w:sz w:val="36"/>
          <w:szCs w:val="21"/>
          <w:highlight w:val="none"/>
        </w:rPr>
      </w:pPr>
      <w:r>
        <w:rPr>
          <w:rFonts w:hint="eastAsia" w:ascii="宋体" w:hAnsi="宋体" w:cs="宋体"/>
          <w:b/>
          <w:color w:val="auto"/>
          <w:sz w:val="36"/>
          <w:szCs w:val="21"/>
          <w:highlight w:val="none"/>
        </w:rPr>
      </w:r>
      <w:r>
        <w:rPr>
          <w:color w:val="auto"/>
          <w:highlight w:val="none"/>
        </w:rPr>
      </w:r>
    </w:p>
    <w:p>
      <w:pPr>
        <w:pStyle w:val="905"/>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t xml:space="preserve">项 目 名 称：</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rPr>
      </w:r>
      <w:r>
        <w:rPr>
          <w:color w:val="auto"/>
          <w:highlight w:val="none"/>
        </w:rPr>
      </w:r>
    </w:p>
    <w:p>
      <w:pPr>
        <w:pStyle w:val="905"/>
        <w:ind w:firstLine="1084"/>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项 目 编 号：</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u w:val="single"/>
        </w:rPr>
      </w:r>
      <w:r>
        <w:rPr>
          <w:color w:val="auto"/>
          <w:highlight w:val="none"/>
        </w:rPr>
      </w:r>
    </w:p>
    <w:p>
      <w:pPr>
        <w:pStyle w:val="905"/>
        <w:ind w:firstLine="1084"/>
        <w:rPr>
          <w:rFonts w:hint="eastAsia" w:ascii="宋体" w:hAnsi="宋体" w:cs="宋体"/>
          <w:b/>
          <w:color w:val="auto"/>
          <w:sz w:val="36"/>
          <w:szCs w:val="21"/>
          <w:highlight w:val="none"/>
        </w:rPr>
      </w:pPr>
      <w:r>
        <w:rPr>
          <w:rFonts w:hint="eastAsia" w:ascii="宋体" w:hAnsi="宋体" w:cs="宋体"/>
          <w:b/>
          <w:color w:val="auto"/>
          <w:sz w:val="36"/>
          <w:szCs w:val="21"/>
          <w:highlight w:val="none"/>
        </w:rPr>
        <w:t xml:space="preserve">包号及设备名称：</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rPr>
      </w:r>
      <w:r>
        <w:rPr>
          <w:color w:val="auto"/>
          <w:highlight w:val="none"/>
        </w:rPr>
      </w:r>
    </w:p>
    <w:p>
      <w:pPr>
        <w:pStyle w:val="905"/>
        <w:ind w:firstLine="1084"/>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投标人名称 ：</w:t>
      </w:r>
      <w:r>
        <w:rPr>
          <w:rFonts w:hint="eastAsia" w:ascii="宋体" w:hAnsi="宋体" w:cs="宋体"/>
          <w:b/>
          <w:color w:val="auto"/>
          <w:sz w:val="36"/>
          <w:szCs w:val="21"/>
          <w:highlight w:val="none"/>
          <w:u w:val="single"/>
        </w:rPr>
        <w:t xml:space="preserve">（加盖CA电子公章）</w:t>
      </w:r>
      <w:r>
        <w:rPr>
          <w:rFonts w:hint="eastAsia" w:ascii="宋体" w:hAnsi="宋体" w:cs="宋体"/>
          <w:b/>
          <w:color w:val="auto"/>
          <w:sz w:val="36"/>
          <w:szCs w:val="21"/>
          <w:highlight w:val="none"/>
          <w:u w:val="single"/>
        </w:rPr>
      </w:r>
      <w:r>
        <w:rPr>
          <w:color w:val="auto"/>
          <w:highlight w:val="none"/>
        </w:rPr>
      </w:r>
    </w:p>
    <w:p>
      <w:pPr>
        <w:pStyle w:val="905"/>
        <w:ind w:firstLine="1084"/>
        <w:rPr>
          <w:rFonts w:hint="eastAsia" w:ascii="宋体" w:hAnsi="宋体" w:cs="宋体"/>
          <w:b/>
          <w:color w:val="auto"/>
          <w:sz w:val="36"/>
          <w:szCs w:val="21"/>
          <w:highlight w:val="none"/>
          <w:u w:val="single"/>
        </w:rPr>
      </w:pPr>
      <w:r>
        <w:rPr>
          <w:rFonts w:hint="eastAsia" w:ascii="宋体" w:hAnsi="宋体" w:cs="宋体"/>
          <w:b/>
          <w:color w:val="auto"/>
          <w:sz w:val="36"/>
          <w:szCs w:val="21"/>
          <w:highlight w:val="none"/>
        </w:rPr>
        <w:t xml:space="preserve">日      期 ：</w:t>
      </w:r>
      <w:r>
        <w:rPr>
          <w:rFonts w:hint="eastAsia" w:ascii="宋体" w:hAnsi="宋体" w:cs="宋体"/>
          <w:b/>
          <w:color w:val="auto"/>
          <w:sz w:val="36"/>
          <w:szCs w:val="21"/>
          <w:highlight w:val="none"/>
          <w:u w:val="single"/>
        </w:rPr>
        <w:t xml:space="preserve">               </w:t>
      </w:r>
      <w:r>
        <w:rPr>
          <w:rFonts w:hint="eastAsia" w:ascii="宋体" w:hAnsi="宋体" w:cs="宋体"/>
          <w:b/>
          <w:color w:val="auto"/>
          <w:sz w:val="36"/>
          <w:szCs w:val="21"/>
          <w:highlight w:val="none"/>
          <w:u w:val="single"/>
        </w:rPr>
      </w:r>
      <w:r>
        <w:rPr>
          <w:color w:val="auto"/>
          <w:highlight w:val="none"/>
        </w:rPr>
      </w:r>
    </w:p>
    <w:p>
      <w:pPr>
        <w:pStyle w:val="905"/>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p>
    <w:p>
      <w:pPr>
        <w:pStyle w:val="905"/>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1084"/>
        <w:rPr>
          <w:rFonts w:hint="eastAsia" w:ascii="宋体" w:hAnsi="宋体" w:cs="宋体"/>
          <w:b/>
          <w:bCs/>
          <w:color w:val="auto"/>
          <w:sz w:val="32"/>
          <w:szCs w:val="32"/>
          <w:highlight w:val="none"/>
        </w:rPr>
      </w:pPr>
      <w:r>
        <w:rPr>
          <w:rFonts w:hint="eastAsia" w:ascii="宋体" w:hAnsi="宋体" w:cs="宋体"/>
          <w:b/>
          <w:color w:val="auto"/>
          <w:sz w:val="36"/>
          <w:szCs w:val="21"/>
          <w:highlight w:val="none"/>
          <w:u w:val="single"/>
        </w:rPr>
        <w:br w:type="page" w:clear="all"/>
      </w:r>
      <w:r>
        <w:rPr>
          <w:rFonts w:hint="eastAsia" w:ascii="宋体" w:hAnsi="宋体" w:cs="宋体"/>
          <w:b/>
          <w:bCs/>
          <w:color w:val="auto"/>
          <w:sz w:val="32"/>
          <w:szCs w:val="32"/>
          <w:highlight w:val="none"/>
        </w:rPr>
      </w:r>
      <w:r>
        <w:rPr>
          <w:color w:val="auto"/>
          <w:highlight w:val="none"/>
        </w:rPr>
      </w:r>
    </w:p>
    <w:p>
      <w:pPr>
        <w:pStyle w:val="905"/>
        <w:jc w:val="center"/>
        <w:spacing w:line="440" w:lineRule="exact"/>
        <w:rPr>
          <w:rFonts w:hint="eastAsia"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投标文</w:t>
      </w:r>
      <w:r>
        <w:rPr>
          <w:rFonts w:hint="eastAsia" w:ascii="宋体" w:hAnsi="宋体" w:cs="宋体"/>
          <w:b/>
          <w:bCs/>
          <w:color w:val="auto"/>
          <w:sz w:val="32"/>
          <w:szCs w:val="32"/>
          <w:highlight w:val="none"/>
        </w:rPr>
        <w:t xml:space="preserve">件目录</w:t>
      </w:r>
      <w:r>
        <w:rPr>
          <w:rFonts w:hint="eastAsia" w:ascii="宋体" w:hAnsi="宋体" w:cs="宋体"/>
          <w:b/>
          <w:bCs/>
          <w:color w:val="auto"/>
          <w:sz w:val="32"/>
          <w:szCs w:val="32"/>
          <w:highlight w:val="none"/>
        </w:rPr>
      </w:r>
      <w:r>
        <w:rPr>
          <w:color w:val="auto"/>
          <w:highlight w:val="none"/>
        </w:rPr>
      </w:r>
    </w:p>
    <w:p>
      <w:pPr>
        <w:pStyle w:val="905"/>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投标函</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开标一览表</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投标分项报价表</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技术要</w:t>
      </w:r>
      <w:r>
        <w:rPr>
          <w:rFonts w:hint="eastAsia" w:ascii="宋体" w:hAnsi="宋体" w:cs="宋体"/>
          <w:i/>
          <w:color w:val="auto"/>
          <w:sz w:val="24"/>
          <w:highlight w:val="none"/>
          <w:u w:val="single"/>
        </w:rPr>
        <w:t xml:space="preserve">求响应及偏离表</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商务要求响应及偏离表</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资格要求的证明文件</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t xml:space="preserve">法人授权书</w:t>
      </w:r>
      <w:r>
        <w:rPr>
          <w:rFonts w:hint="eastAsia" w:ascii="宋体" w:hAnsi="宋体" w:cs="宋体"/>
          <w:i/>
          <w:color w:val="auto"/>
          <w:sz w:val="24"/>
          <w:highlight w:val="none"/>
          <w:u w:val="single"/>
        </w:rPr>
      </w:r>
      <w:r>
        <w:rPr>
          <w:color w:val="auto"/>
          <w:highlight w:val="none"/>
        </w:rPr>
      </w:r>
    </w:p>
    <w:p>
      <w:pPr>
        <w:pStyle w:val="905"/>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业绩情况表（如有）</w:t>
      </w:r>
      <w:r>
        <w:rPr>
          <w:rFonts w:hint="eastAsia" w:ascii="宋体" w:hAnsi="宋体" w:cs="宋体"/>
          <w:iCs/>
          <w:color w:val="auto"/>
          <w:sz w:val="24"/>
          <w:highlight w:val="none"/>
        </w:rPr>
      </w:r>
      <w:r>
        <w:rPr>
          <w:color w:val="auto"/>
          <w:highlight w:val="none"/>
        </w:rPr>
      </w:r>
    </w:p>
    <w:p>
      <w:pPr>
        <w:pStyle w:val="905"/>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服务方案（如有）</w:t>
      </w:r>
      <w:r>
        <w:rPr>
          <w:rFonts w:hint="eastAsia" w:ascii="宋体" w:hAnsi="宋体" w:cs="宋体"/>
          <w:iCs/>
          <w:color w:val="auto"/>
          <w:sz w:val="24"/>
          <w:highlight w:val="none"/>
        </w:rPr>
      </w:r>
      <w:r>
        <w:rPr>
          <w:color w:val="auto"/>
          <w:highlight w:val="none"/>
        </w:rPr>
      </w:r>
    </w:p>
    <w:p>
      <w:pPr>
        <w:pStyle w:val="905"/>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价格扣除证明文件（如有）</w:t>
      </w:r>
      <w:r>
        <w:rPr>
          <w:rFonts w:hint="eastAsia" w:ascii="宋体" w:hAnsi="宋体" w:cs="宋体"/>
          <w:iCs/>
          <w:color w:val="auto"/>
          <w:sz w:val="24"/>
          <w:highlight w:val="none"/>
        </w:rPr>
      </w:r>
      <w:r>
        <w:rPr>
          <w:color w:val="auto"/>
          <w:highlight w:val="none"/>
        </w:rPr>
      </w:r>
    </w:p>
    <w:p>
      <w:pPr>
        <w:pStyle w:val="905"/>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投标人认为需要提供的其他资料（如有）</w:t>
      </w:r>
      <w:r>
        <w:rPr>
          <w:rFonts w:hint="eastAsia" w:ascii="宋体" w:hAnsi="宋体" w:cs="宋体"/>
          <w:iCs/>
          <w:color w:val="auto"/>
          <w:sz w:val="24"/>
          <w:highlight w:val="none"/>
        </w:rPr>
      </w:r>
      <w:r>
        <w:rPr>
          <w:color w:val="auto"/>
          <w:highlight w:val="none"/>
        </w:rPr>
      </w:r>
    </w:p>
    <w:p>
      <w:pPr>
        <w:pStyle w:val="905"/>
        <w:numPr>
          <w:ilvl w:val="0"/>
          <w:numId w:val="9"/>
        </w:numPr>
        <w:spacing w:line="360" w:lineRule="auto"/>
        <w:rPr>
          <w:rFonts w:hint="eastAsia" w:ascii="宋体" w:hAnsi="宋体" w:cs="宋体"/>
          <w:iCs/>
          <w:color w:val="auto"/>
          <w:sz w:val="24"/>
          <w:highlight w:val="none"/>
        </w:rPr>
      </w:pPr>
      <w:r>
        <w:rPr>
          <w:rFonts w:hint="eastAsia" w:ascii="宋体" w:hAnsi="宋体" w:cs="宋体"/>
          <w:iCs/>
          <w:color w:val="auto"/>
          <w:sz w:val="24"/>
          <w:highlight w:val="none"/>
        </w:rPr>
        <w:t xml:space="preserve">联合体协议（本项目不适用）</w:t>
      </w:r>
      <w:r>
        <w:rPr>
          <w:rFonts w:hint="eastAsia" w:ascii="宋体" w:hAnsi="宋体" w:cs="宋体"/>
          <w:iCs/>
          <w:color w:val="auto"/>
          <w:sz w:val="24"/>
          <w:highlight w:val="none"/>
        </w:rPr>
      </w:r>
      <w:r>
        <w:rPr>
          <w:color w:val="auto"/>
          <w:highlight w:val="none"/>
        </w:rPr>
      </w:r>
    </w:p>
    <w:p>
      <w:pPr>
        <w:pStyle w:val="905"/>
        <w:ind w:left="480"/>
        <w:rPr>
          <w:rFonts w:hint="eastAsia" w:ascii="宋体" w:hAnsi="宋体" w:cs="宋体"/>
          <w:i/>
          <w:color w:val="auto"/>
          <w:sz w:val="24"/>
          <w:szCs w:val="21"/>
          <w:highlight w:val="none"/>
          <w:u w:val="single"/>
        </w:rPr>
      </w:pPr>
      <w:r>
        <w:rPr>
          <w:rFonts w:hint="eastAsia" w:ascii="宋体" w:hAnsi="宋体" w:cs="宋体"/>
          <w:i/>
          <w:color w:val="auto"/>
          <w:sz w:val="24"/>
          <w:szCs w:val="21"/>
          <w:highlight w:val="none"/>
          <w:u w:val="single"/>
        </w:rPr>
      </w:r>
      <w:r>
        <w:rPr>
          <w:color w:val="auto"/>
          <w:highlight w:val="none"/>
        </w:rPr>
      </w:r>
    </w:p>
    <w:p>
      <w:pPr>
        <w:pStyle w:val="905"/>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b/>
          <w:i/>
          <w:color w:val="auto"/>
          <w:szCs w:val="32"/>
          <w:highlight w:val="none"/>
          <w:u w:val="single"/>
        </w:rPr>
      </w:pPr>
      <w:r>
        <w:rPr>
          <w:rFonts w:hint="eastAsia" w:ascii="宋体" w:hAnsi="宋体" w:cs="宋体"/>
          <w:i/>
          <w:color w:val="auto"/>
          <w:szCs w:val="32"/>
          <w:highlight w:val="none"/>
          <w:u w:val="single"/>
        </w:rPr>
        <w:br w:type="page" w:clear="all"/>
      </w:r>
      <w:r>
        <w:rPr>
          <w:rFonts w:hint="eastAsia" w:ascii="宋体" w:hAnsi="宋体" w:cs="宋体"/>
          <w:color w:val="auto"/>
          <w:highlight w:val="none"/>
        </w:rPr>
        <w:t xml:space="preserve">投标函</w:t>
      </w:r>
      <w:r>
        <w:rPr>
          <w:rFonts w:hint="eastAsia" w:ascii="宋体" w:hAnsi="宋体" w:cs="宋体"/>
          <w:b/>
          <w:i/>
          <w:color w:val="auto"/>
          <w:szCs w:val="32"/>
          <w:highlight w:val="none"/>
          <w:u w:val="single"/>
        </w:rPr>
      </w:r>
      <w:r>
        <w:rPr>
          <w:color w:val="auto"/>
          <w:highlight w:val="none"/>
        </w:rPr>
      </w:r>
    </w:p>
    <w:p>
      <w:pPr>
        <w:pStyle w:val="905"/>
        <w:jc w:val="left"/>
        <w:spacing w:before="145"/>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致：江苏苏豪创新科技集团高科有限公司</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根据贵方的JSZC-***</w:t>
      </w:r>
      <w:r>
        <w:rPr>
          <w:rFonts w:hint="eastAsia" w:ascii="宋体" w:hAnsi="宋体" w:cs="宋体"/>
          <w:b/>
          <w:color w:val="auto"/>
          <w:sz w:val="36"/>
          <w:szCs w:val="24"/>
          <w:highlight w:val="none"/>
          <w:u w:val="single"/>
        </w:rPr>
        <w:t xml:space="preserve">     </w:t>
      </w:r>
      <w:r>
        <w:rPr>
          <w:rFonts w:hint="eastAsia" w:ascii="宋体" w:hAnsi="宋体" w:cs="宋体"/>
          <w:color w:val="auto"/>
          <w:sz w:val="24"/>
          <w:szCs w:val="21"/>
          <w:highlight w:val="none"/>
        </w:rPr>
        <w:t xml:space="preserve">号招标文件，正式授权下述签字人________（姓名）代表我方______________（投标人的名称），全权处理本次项目投标</w:t>
      </w:r>
      <w:r>
        <w:rPr>
          <w:rFonts w:hint="eastAsia" w:ascii="宋体" w:hAnsi="宋体" w:cs="宋体"/>
          <w:color w:val="auto"/>
          <w:sz w:val="24"/>
          <w:szCs w:val="21"/>
          <w:highlight w:val="none"/>
        </w:rPr>
        <w:t xml:space="preserve">的有关事宜。</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据此函，__________签字人兹宣</w:t>
      </w:r>
      <w:r>
        <w:rPr>
          <w:rFonts w:hint="eastAsia" w:ascii="宋体" w:hAnsi="宋体" w:cs="宋体"/>
          <w:color w:val="auto"/>
          <w:sz w:val="24"/>
          <w:szCs w:val="21"/>
          <w:highlight w:val="none"/>
        </w:rPr>
        <w:t xml:space="preserve">布同意如下：</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1.按招标文件规定的各项要求，向买方提供所需货物（包含与货物相关的服务）。</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2.我们完全理解贵方不一定将合同授予最低报价的投标人。</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3.我们已详细审核全部招标文件及其有效补充文件，我们知道必须放弃提出含糊不清或误解问题的权利。</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4.我们同意从规定的开标日期起遵循本投标文件，并在规定的投标有效期期满之前均具有约束力。</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auto"/>
          <w:sz w:val="24"/>
          <w:szCs w:val="21"/>
          <w:highlight w:val="none"/>
        </w:rPr>
      </w:r>
      <w:r>
        <w:rPr>
          <w:color w:val="auto"/>
          <w:highlight w:val="none"/>
        </w:rPr>
      </w:r>
    </w:p>
    <w:p>
      <w:pPr>
        <w:pStyle w:val="905"/>
        <w:ind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6.一旦我方</w:t>
      </w:r>
      <w:r>
        <w:rPr>
          <w:rFonts w:hint="eastAsia" w:ascii="宋体" w:hAnsi="宋体" w:cs="宋体"/>
          <w:color w:val="auto"/>
          <w:sz w:val="24"/>
          <w:szCs w:val="21"/>
          <w:highlight w:val="none"/>
        </w:rPr>
        <w:t xml:space="preserve">中标，我方将根据招标文件的规定，严格履行合同的责任和</w:t>
      </w:r>
      <w:r>
        <w:rPr>
          <w:rFonts w:hint="eastAsia" w:ascii="宋体" w:hAnsi="宋体" w:cs="宋体"/>
          <w:color w:val="auto"/>
          <w:sz w:val="24"/>
          <w:szCs w:val="21"/>
          <w:highlight w:val="none"/>
        </w:rPr>
        <w:t xml:space="preserve">义务，并保证在招标文件规定的时间完成项目，交付买方验收、使用。</w:t>
      </w:r>
      <w:r>
        <w:rPr>
          <w:rFonts w:hint="eastAsia" w:ascii="宋体" w:hAnsi="宋体" w:cs="宋体"/>
          <w:color w:val="auto"/>
          <w:sz w:val="24"/>
          <w:szCs w:val="21"/>
          <w:highlight w:val="none"/>
        </w:rPr>
      </w:r>
      <w:r>
        <w:rPr>
          <w:color w:val="auto"/>
          <w:highlight w:val="none"/>
        </w:rPr>
      </w:r>
    </w:p>
    <w:p>
      <w:pPr>
        <w:pStyle w:val="905"/>
        <w:ind w:left="425"/>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7.与本投标有关的正式通讯地址为：</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地        址：</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邮        编：</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电        话：</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传        真：</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投标人开户行：</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账        号：</w:t>
      </w:r>
      <w:r>
        <w:rPr>
          <w:rFonts w:hint="eastAsia" w:ascii="宋体" w:hAnsi="宋体" w:cs="宋体"/>
          <w:color w:val="auto"/>
          <w:sz w:val="24"/>
          <w:szCs w:val="21"/>
          <w:highlight w:val="none"/>
        </w:rPr>
      </w:r>
      <w:r>
        <w:rPr>
          <w:color w:val="auto"/>
          <w:highlight w:val="none"/>
        </w:rPr>
      </w:r>
    </w:p>
    <w:p>
      <w:pPr>
        <w:pStyle w:val="905"/>
        <w:ind w:left="420" w:firstLine="480"/>
        <w:jc w:val="lef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期：________年____月____日</w:t>
      </w: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rFonts w:hint="eastAsia" w:ascii="宋体" w:hAnsi="宋体" w:cs="宋体"/>
          <w:color w:val="auto"/>
          <w:sz w:val="24"/>
          <w:szCs w:val="21"/>
          <w:highlight w:val="none"/>
        </w:rPr>
        <w:br w:type="page" w:clear="all"/>
      </w:r>
      <w:bookmarkStart w:id="192" w:name="_Toc30906"/>
      <w:r>
        <w:rPr>
          <w:rFonts w:hint="eastAsia" w:ascii="宋体" w:hAnsi="宋体" w:cs="宋体"/>
          <w:color w:val="auto"/>
          <w:highlight w:val="none"/>
        </w:rPr>
        <w:t xml:space="preserve">开标一览表</w:t>
      </w:r>
      <w:bookmarkEnd w:id="192"/>
      <w:r>
        <w:rPr>
          <w:rFonts w:hint="eastAsia" w:ascii="宋体" w:hAnsi="宋体" w:cs="宋体"/>
          <w:color w:val="auto"/>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投标人全称（加盖CA电子签章）：</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招标编号：                                   </w:t>
      </w:r>
      <w:r>
        <w:rPr>
          <w:rFonts w:hint="eastAsia" w:ascii="宋体" w:hAnsi="宋体" w:cs="宋体"/>
          <w:color w:val="auto"/>
          <w:sz w:val="24"/>
          <w:szCs w:val="24"/>
          <w:highlight w:val="none"/>
        </w:rPr>
      </w:r>
      <w:r>
        <w:rPr>
          <w:color w:val="auto"/>
          <w:highlight w:val="none"/>
        </w:rPr>
      </w:r>
    </w:p>
    <w:tbl>
      <w:tblPr>
        <w:tblW w:w="87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3"/>
      </w:tblGrid>
      <w:tr>
        <w:trPr>
          <w:cantSplit/>
          <w:trHeight w:val="567"/>
        </w:trPr>
        <w:tc>
          <w:tcPr>
            <w:tcW w:w="8723"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rPr>
                <w:rFonts w:hint="eastAsia" w:ascii="宋体" w:hAnsi="宋体" w:cs="宋体"/>
                <w:color w:val="auto"/>
                <w:sz w:val="24"/>
                <w:szCs w:val="24"/>
                <w:highlight w:val="none"/>
              </w:rPr>
            </w:r>
            <w:r>
              <w:rPr>
                <w:color w:val="auto"/>
                <w:highlight w:val="none"/>
              </w:rPr>
            </w:r>
          </w:p>
        </w:tc>
      </w:tr>
      <w:tr>
        <w:trPr>
          <w:cantSplit/>
          <w:trHeight w:val="567"/>
        </w:trPr>
        <w:tc>
          <w:tcPr>
            <w:tcW w:w="8723" w:type="dxa"/>
            <w:vAlign w:val="center"/>
            <w:textDirection w:val="lrTb"/>
            <w:noWrap w:val="false"/>
          </w:tcPr>
          <w:p>
            <w:pPr>
              <w:pStyle w:val="905"/>
              <w:jc w:val="left"/>
              <w:spacing w:line="50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 xml:space="preserve">   （人民币：元）</w:t>
            </w:r>
            <w:r>
              <w:rPr>
                <w:rFonts w:hint="eastAsia" w:ascii="宋体" w:hAnsi="宋体" w:cs="宋体"/>
                <w:color w:val="auto"/>
                <w:sz w:val="24"/>
                <w:highlight w:val="none"/>
              </w:rPr>
            </w:r>
            <w:r>
              <w:rPr>
                <w:color w:val="auto"/>
                <w:highlight w:val="none"/>
              </w:rPr>
            </w:r>
          </w:p>
        </w:tc>
      </w:tr>
    </w:tbl>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rFonts w:hint="eastAsia" w:ascii="宋体" w:hAnsi="宋体" w:cs="宋体"/>
          <w:color w:val="auto"/>
          <w:highlight w:val="none"/>
        </w:rPr>
        <w:t xml:space="preserve">投标分项报价表（分包号：***）</w:t>
      </w:r>
      <w:r>
        <w:rPr>
          <w:rFonts w:hint="eastAsia" w:ascii="宋体" w:hAnsi="宋体" w:cs="宋体"/>
          <w:color w:val="auto"/>
          <w:highlight w:val="none"/>
        </w:rPr>
      </w:r>
      <w:r>
        <w:rPr>
          <w:color w:val="auto"/>
          <w:highlight w:val="none"/>
        </w:rPr>
      </w:r>
    </w:p>
    <w:tbl>
      <w:tblPr>
        <w:tblW w:w="867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货物名称</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规格及型号</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单价（元）</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品牌</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产地</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制造商</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质保期</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交货期</w:t>
            </w:r>
            <w:r>
              <w:rPr>
                <w:rFonts w:hint="eastAsia" w:ascii="宋体" w:hAnsi="宋体" w:cs="宋体"/>
                <w:color w:val="auto"/>
                <w:sz w:val="24"/>
                <w:szCs w:val="24"/>
                <w:highlight w:val="none"/>
              </w:rPr>
            </w:r>
            <w:r>
              <w:rPr>
                <w:color w:val="auto"/>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58"/>
              <w:tabs>
                <w:tab w:val="clear" w:pos="4153" w:leader="none"/>
                <w:tab w:val="clear" w:pos="8306" w:leader="none"/>
              </w:tabs>
              <w:rPr>
                <w:rFonts w:hint="eastAsia" w:ascii="宋体" w:hAnsi="宋体" w:cs="宋体"/>
                <w:color w:val="auto"/>
                <w:sz w:val="24"/>
                <w:szCs w:val="24"/>
                <w:highlight w:val="none"/>
              </w:rPr>
              <w:pBdr>
                <w:bottom w:val="none" w:color="000000" w:sz="0" w:space="0"/>
              </w:pBd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0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81" w:type="dxa"/>
            <w:vAlign w:val="center"/>
            <w:textDirection w:val="lrTb"/>
            <w:noWrap/>
          </w:tcPr>
          <w:p>
            <w:pPr>
              <w:pStyle w:val="905"/>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总价合计（小写）</w:t>
            </w:r>
            <w:r>
              <w:rPr>
                <w:rFonts w:hint="eastAsia" w:ascii="宋体" w:hAnsi="宋体" w:cs="宋体"/>
                <w:b/>
                <w:bCs/>
                <w:color w:val="auto"/>
                <w:sz w:val="24"/>
                <w:szCs w:val="24"/>
                <w:highlight w:val="none"/>
              </w:rPr>
            </w:r>
            <w:r>
              <w:rPr>
                <w:color w:val="auto"/>
                <w:highlight w:val="none"/>
              </w:rPr>
            </w:r>
          </w:p>
        </w:tc>
        <w:tc>
          <w:tcPr>
            <w:gridSpan w:val="6"/>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905"/>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rPr>
                <w:color w:val="auto"/>
                <w:highlight w:val="none"/>
              </w:rPr>
            </w:r>
          </w:p>
        </w:tc>
      </w:tr>
      <w:tr>
        <w:trPr>
          <w:cantSplit/>
          <w:trHeight w:val="600"/>
        </w:trPr>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75" w:type="dxa"/>
            <w:vAlign w:val="center"/>
            <w:textDirection w:val="lrTb"/>
            <w:noWrap/>
          </w:tcPr>
          <w:p>
            <w:pPr>
              <w:pStyle w:val="905"/>
              <w:rPr>
                <w:rFonts w:hint="eastAsia" w:ascii="宋体" w:hAnsi="宋体" w:cs="宋体"/>
                <w:b/>
                <w:bCs/>
                <w:color w:val="auto"/>
                <w:sz w:val="24"/>
                <w:szCs w:val="24"/>
                <w:highlight w:val="none"/>
              </w:rPr>
            </w:pPr>
            <w:r>
              <w:rPr>
                <w:rFonts w:hint="eastAsia" w:ascii="宋体" w:hAnsi="宋体" w:cs="宋体"/>
                <w:color w:val="auto"/>
                <w:sz w:val="28"/>
                <w:szCs w:val="28"/>
                <w:highlight w:val="none"/>
              </w:rPr>
              <w:t xml:space="preserve">本采购包中提供的符合本国产品标准的产品成本</w:t>
            </w:r>
            <w:r>
              <w:rPr>
                <w:rFonts w:hint="eastAsia" w:ascii="宋体" w:hAnsi="宋体" w:cs="宋体"/>
                <w:color w:val="auto"/>
                <w:sz w:val="28"/>
                <w:szCs w:val="28"/>
                <w:highlight w:val="none"/>
              </w:rPr>
              <w:t xml:space="preserve">之和占该采购包提供的全部产品成本之和的比例为</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rPr>
              <w:t xml:space="preserve">。</w:t>
            </w:r>
            <w:r>
              <w:rPr>
                <w:rFonts w:hint="eastAsia" w:ascii="宋体" w:hAnsi="宋体" w:cs="宋体"/>
                <w:b/>
                <w:bCs/>
                <w:color w:val="auto"/>
                <w:sz w:val="24"/>
                <w:szCs w:val="24"/>
                <w:highlight w:val="none"/>
              </w:rPr>
            </w:r>
            <w:r>
              <w:rPr>
                <w:color w:val="auto"/>
                <w:highlight w:val="none"/>
              </w:rPr>
            </w:r>
          </w:p>
        </w:tc>
      </w:tr>
    </w:tbl>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p>
      <w:pPr>
        <w:pStyle w:val="905"/>
        <w:numPr>
          <w:ilvl w:val="0"/>
          <w:numId w:val="11"/>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w:t>
      </w:r>
      <w:r>
        <w:rPr>
          <w:rFonts w:hint="eastAsia" w:ascii="宋体" w:hAnsi="宋体" w:cs="宋体"/>
          <w:color w:val="auto"/>
          <w:sz w:val="24"/>
          <w:szCs w:val="21"/>
          <w:highlight w:val="none"/>
        </w:rPr>
        <w:t xml:space="preserve">采用总承包方式，“投标总报价”应包括所投货物（包含与货物相关的服务）费用、安装调试费、测试验收费、培训费、运行维护费用、税金、国际（如</w:t>
      </w:r>
      <w:r>
        <w:rPr>
          <w:rFonts w:hint="eastAsia" w:ascii="宋体" w:hAnsi="宋体" w:cs="宋体"/>
          <w:color w:val="auto"/>
          <w:sz w:val="24"/>
          <w:szCs w:val="24"/>
          <w:highlight w:val="none"/>
        </w:rPr>
        <w:t xml:space="preserve">果有）国内运输保险、报关清关（如果有）、开证（如果有）、办理全套免税手续费用（如果有）及其他有关的为完成本项目发生的所有费用，招标文件中另有规定的除外。“投标总报价”数额为各“分项总价”之和。</w:t>
      </w:r>
      <w:r>
        <w:rPr>
          <w:rFonts w:hint="eastAsia" w:ascii="宋体" w:hAnsi="宋体" w:cs="宋体"/>
          <w:color w:val="auto"/>
          <w:sz w:val="24"/>
          <w:szCs w:val="24"/>
          <w:highlight w:val="none"/>
        </w:rPr>
      </w:r>
      <w:r>
        <w:rPr>
          <w:color w:val="auto"/>
          <w:highlight w:val="none"/>
        </w:rPr>
      </w:r>
    </w:p>
    <w:p>
      <w:pPr>
        <w:pStyle w:val="905"/>
        <w:numPr>
          <w:ilvl w:val="0"/>
          <w:numId w:val="11"/>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“投标分项报价表”中“投标总报价”数额应当与“开标一览表”中“投标总报价”数额一致。</w:t>
      </w:r>
      <w:r>
        <w:rPr>
          <w:rFonts w:hint="eastAsia" w:ascii="宋体" w:hAnsi="宋体" w:cs="宋体"/>
          <w:color w:val="auto"/>
          <w:sz w:val="24"/>
          <w:szCs w:val="24"/>
          <w:highlight w:val="none"/>
        </w:rPr>
      </w:r>
      <w:r>
        <w:rPr>
          <w:color w:val="auto"/>
          <w:highlight w:val="none"/>
        </w:rPr>
      </w:r>
    </w:p>
    <w:p>
      <w:pPr>
        <w:pStyle w:val="905"/>
        <w:numPr>
          <w:ilvl w:val="0"/>
          <w:numId w:val="11"/>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本采购包中含有多种产品</w:t>
      </w:r>
      <w:r>
        <w:rPr>
          <w:rFonts w:hint="eastAsia" w:ascii="宋体" w:hAnsi="宋体" w:cs="宋体"/>
          <w:color w:val="auto"/>
          <w:sz w:val="24"/>
          <w:szCs w:val="24"/>
          <w:highlight w:val="none"/>
        </w:rPr>
        <w:t xml:space="preserve">时，供应商未填写本采购包中提供的符合本国产品标准的产</w:t>
      </w:r>
      <w:r>
        <w:rPr>
          <w:rFonts w:hint="eastAsia" w:ascii="宋体" w:hAnsi="宋体" w:cs="宋体"/>
          <w:color w:val="auto"/>
          <w:sz w:val="24"/>
          <w:szCs w:val="24"/>
          <w:highlight w:val="none"/>
        </w:rPr>
        <w:t xml:space="preserve">品成本之和占该采购包提供的全部产品成本之和的比例数值的，或比例数值未达到80%的，将不享受本国产品价格评审优惠。</w:t>
      </w:r>
      <w:r>
        <w:rPr>
          <w:rFonts w:hint="eastAsia" w:ascii="宋体" w:hAnsi="宋体" w:cs="宋体"/>
          <w:color w:val="auto"/>
          <w:sz w:val="24"/>
          <w:szCs w:val="24"/>
          <w:highlight w:val="none"/>
        </w:rPr>
      </w:r>
      <w:r>
        <w:rPr>
          <w:color w:val="auto"/>
          <w:highlight w:val="none"/>
        </w:rPr>
      </w:r>
    </w:p>
    <w:p>
      <w:pPr>
        <w:pStyle w:val="905"/>
        <w:numPr>
          <w:ilvl w:val="0"/>
          <w:numId w:val="11"/>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投标人需认真填写本报价表，尤其注意规格型号的准确填写。</w:t>
      </w: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color w:val="auto"/>
          <w:highlight w:val="none"/>
        </w:rPr>
      </w:r>
      <w:bookmarkStart w:id="193" w:name="_Toc10084"/>
      <w:r>
        <w:rPr>
          <w:rFonts w:hint="eastAsia" w:ascii="宋体" w:hAnsi="宋体" w:cs="宋体"/>
          <w:color w:val="auto"/>
          <w:highlight w:val="none"/>
        </w:rPr>
        <w:t xml:space="preserve">技术要求响应及偏离表</w:t>
      </w:r>
      <w:bookmarkEnd w:id="193"/>
      <w:r>
        <w:rPr>
          <w:rFonts w:hint="eastAsia" w:ascii="宋体" w:hAnsi="宋体" w:cs="宋体"/>
          <w:color w:val="auto"/>
          <w:highlight w:val="none"/>
        </w:rPr>
      </w:r>
      <w:r>
        <w:rPr>
          <w:color w:val="auto"/>
          <w:highlight w:val="none"/>
        </w:rPr>
      </w:r>
    </w:p>
    <w:tbl>
      <w:tblPr>
        <w:tblW w:w="0" w:type="auto"/>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007"/>
        <w:gridCol w:w="2697"/>
        <w:gridCol w:w="1368"/>
        <w:gridCol w:w="919"/>
      </w:tblGrid>
      <w:tr>
        <w:trPr>
          <w:cantSplit/>
        </w:trPr>
        <w:tc>
          <w:tcPr>
            <w:tcW w:w="70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300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招标文件技术要求</w:t>
            </w:r>
            <w:r>
              <w:rPr>
                <w:rFonts w:hint="eastAsia" w:ascii="宋体" w:hAnsi="宋体" w:cs="宋体"/>
                <w:color w:val="auto"/>
                <w:sz w:val="24"/>
                <w:szCs w:val="24"/>
                <w:highlight w:val="none"/>
              </w:rPr>
            </w:r>
            <w:r>
              <w:rPr>
                <w:color w:val="auto"/>
                <w:highlight w:val="none"/>
              </w:rPr>
            </w:r>
          </w:p>
        </w:tc>
        <w:tc>
          <w:tcPr>
            <w:tcW w:w="2697"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rPr>
                <w:rFonts w:hint="eastAsia" w:ascii="宋体" w:hAnsi="宋体" w:cs="宋体"/>
                <w:color w:val="auto"/>
                <w:sz w:val="24"/>
                <w:szCs w:val="24"/>
                <w:highlight w:val="none"/>
              </w:rPr>
            </w:r>
            <w:r>
              <w:rPr>
                <w:color w:val="auto"/>
                <w:highlight w:val="none"/>
              </w:rPr>
            </w:r>
          </w:p>
        </w:tc>
        <w:tc>
          <w:tcPr>
            <w:tcW w:w="136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rPr>
                <w:rFonts w:hint="eastAsia" w:ascii="宋体" w:hAnsi="宋体" w:cs="宋体"/>
                <w:color w:val="auto"/>
                <w:sz w:val="24"/>
                <w:szCs w:val="24"/>
                <w:highlight w:val="none"/>
              </w:rPr>
            </w:r>
            <w:r>
              <w:rPr>
                <w:color w:val="auto"/>
                <w:highlight w:val="none"/>
              </w:rPr>
            </w:r>
          </w:p>
        </w:tc>
        <w:tc>
          <w:tcPr>
            <w:tcW w:w="91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40"/>
        </w:trPr>
        <w:tc>
          <w:tcPr>
            <w:tcW w:w="70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300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tc>
        <w:tc>
          <w:tcPr>
            <w:tcW w:w="2697"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68"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91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bl>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w:t>
      </w:r>
      <w:r>
        <w:rPr>
          <w:rFonts w:hint="eastAsia" w:ascii="宋体" w:hAnsi="宋体" w:cs="宋体"/>
          <w:color w:val="auto"/>
          <w:sz w:val="24"/>
          <w:szCs w:val="24"/>
          <w:highlight w:val="none"/>
        </w:rPr>
      </w:r>
      <w:r>
        <w:rPr>
          <w:color w:val="auto"/>
          <w:highlight w:val="none"/>
        </w:rPr>
      </w:r>
    </w:p>
    <w:p>
      <w:pPr>
        <w:pStyle w:val="905"/>
        <w:numPr>
          <w:ilvl w:val="0"/>
          <w:numId w:val="1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行数不够，可自行添加；</w:t>
      </w:r>
      <w:r>
        <w:rPr>
          <w:rFonts w:hint="eastAsia" w:ascii="宋体" w:hAnsi="宋体" w:cs="宋体"/>
          <w:color w:val="auto"/>
          <w:sz w:val="24"/>
          <w:szCs w:val="24"/>
          <w:highlight w:val="none"/>
        </w:rPr>
      </w:r>
      <w:r>
        <w:rPr>
          <w:color w:val="auto"/>
          <w:highlight w:val="none"/>
        </w:rPr>
      </w:r>
    </w:p>
    <w:p>
      <w:pPr>
        <w:pStyle w:val="905"/>
        <w:numPr>
          <w:ilvl w:val="0"/>
          <w:numId w:val="1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本表需要对招标文件《第四章 采购需求》技术要求的全部内容逐项/</w:t>
      </w:r>
      <w:r>
        <w:rPr>
          <w:rFonts w:hint="eastAsia" w:ascii="宋体" w:hAnsi="宋体" w:cs="宋体"/>
          <w:color w:val="auto"/>
          <w:sz w:val="24"/>
          <w:szCs w:val="24"/>
          <w:highlight w:val="none"/>
        </w:rPr>
        <w:t xml:space="preserve">点对点响应，按照投标情况填写超出、符合或偏离；</w:t>
      </w:r>
      <w:r>
        <w:rPr>
          <w:rFonts w:hint="eastAsia" w:ascii="宋体" w:hAnsi="宋体" w:cs="宋体"/>
          <w:color w:val="auto"/>
          <w:sz w:val="24"/>
          <w:szCs w:val="24"/>
          <w:highlight w:val="none"/>
        </w:rPr>
      </w:r>
      <w:r>
        <w:rPr>
          <w:color w:val="auto"/>
          <w:highlight w:val="none"/>
        </w:rPr>
      </w:r>
    </w:p>
    <w:p>
      <w:pPr>
        <w:pStyle w:val="905"/>
        <w:numPr>
          <w:ilvl w:val="0"/>
          <w:numId w:val="1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w:t>
      </w:r>
      <w:r>
        <w:rPr>
          <w:rFonts w:hint="eastAsia" w:ascii="宋体" w:hAnsi="宋体" w:cs="宋体"/>
          <w:color w:val="auto"/>
          <w:sz w:val="24"/>
          <w:szCs w:val="24"/>
          <w:highlight w:val="none"/>
        </w:rPr>
        <w:t xml:space="preserve">招标文件要求提供证明材料，投标人需将证明材料列于该表之下。</w:t>
      </w:r>
      <w:r>
        <w:rPr>
          <w:rFonts w:hint="eastAsia" w:ascii="宋体" w:hAnsi="宋体" w:cs="宋体"/>
          <w:color w:val="auto"/>
          <w:sz w:val="24"/>
          <w:szCs w:val="24"/>
          <w:highlight w:val="none"/>
        </w:rPr>
      </w:r>
      <w:r>
        <w:rPr>
          <w:color w:val="auto"/>
          <w:highlight w:val="none"/>
        </w:rPr>
      </w:r>
    </w:p>
    <w:p>
      <w:pPr>
        <w:pStyle w:val="905"/>
        <w:numPr>
          <w:ilvl w:val="0"/>
          <w:numId w:val="1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对于技术要求中列明的▲或★参数，投标人须在此表后按顺序进行逐条佐证，</w:t>
      </w:r>
      <w:r>
        <w:rPr>
          <w:rFonts w:hint="eastAsia" w:ascii="宋体" w:hAnsi="宋体" w:cs="宋体"/>
          <w:color w:val="auto"/>
          <w:sz w:val="24"/>
          <w:szCs w:val="24"/>
          <w:highlight w:val="none"/>
        </w:rPr>
        <w:t xml:space="preserve">提供相关证明材料（包括制造商技术白皮书或Data Sheet或医疗器械检测所检测报告或国家承认的第三方机构出具的检测报告或厂家公开发行的宣传彩页等）</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并在该表</w:t>
      </w:r>
      <w:r>
        <w:rPr>
          <w:rFonts w:hint="eastAsia" w:ascii="宋体" w:hAnsi="宋体" w:cs="宋体"/>
          <w:b/>
          <w:bCs/>
          <w:color w:val="auto"/>
          <w:sz w:val="24"/>
          <w:szCs w:val="24"/>
          <w:highlight w:val="none"/>
        </w:rPr>
        <w:t xml:space="preserve">证明材料</w:t>
      </w:r>
      <w:r>
        <w:rPr>
          <w:rFonts w:hint="eastAsia" w:ascii="宋体" w:hAnsi="宋体" w:cs="宋体"/>
          <w:color w:val="auto"/>
          <w:sz w:val="24"/>
          <w:szCs w:val="24"/>
          <w:highlight w:val="none"/>
        </w:rPr>
        <w:t xml:space="preserve">栏中标注相应证明文件页码及相关证明条款，</w:t>
      </w:r>
      <w:r>
        <w:rPr>
          <w:rFonts w:hint="eastAsia" w:ascii="宋体" w:hAnsi="宋体" w:cs="宋体"/>
          <w:color w:val="auto"/>
          <w:sz w:val="24"/>
          <w:szCs w:val="24"/>
          <w:highlight w:val="none"/>
        </w:rPr>
        <w:t xml:space="preserve">未提供相关证明材料视为负偏离</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页面或相关材料不清晰或页码标注问题影响评审，评标委员会有权视为负偏离或作无效标处理。</w:t>
      </w:r>
      <w:r>
        <w:rPr>
          <w:rFonts w:hint="eastAsia" w:ascii="宋体" w:hAnsi="宋体" w:cs="宋体"/>
          <w:color w:val="auto"/>
          <w:sz w:val="24"/>
          <w:szCs w:val="24"/>
          <w:highlight w:val="none"/>
        </w:rPr>
      </w:r>
      <w:r>
        <w:rPr>
          <w:color w:val="auto"/>
          <w:highlight w:val="none"/>
        </w:rPr>
      </w:r>
    </w:p>
    <w:p>
      <w:pPr>
        <w:pStyle w:val="905"/>
        <w:numPr>
          <w:ilvl w:val="0"/>
          <w:numId w:val="12"/>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投标人需确</w:t>
      </w:r>
      <w:r>
        <w:rPr>
          <w:rFonts w:hint="eastAsia" w:ascii="宋体" w:hAnsi="宋体" w:cs="宋体"/>
          <w:color w:val="auto"/>
          <w:sz w:val="24"/>
          <w:szCs w:val="24"/>
          <w:highlight w:val="none"/>
        </w:rPr>
        <w:t xml:space="preserve">保提供佐证材料的真实性，如被认定提供实质性虚假材料，</w:t>
      </w:r>
      <w:r>
        <w:rPr>
          <w:rFonts w:hint="eastAsia" w:ascii="宋体" w:hAnsi="宋体" w:cs="宋体"/>
          <w:color w:val="auto"/>
          <w:sz w:val="24"/>
          <w:szCs w:val="24"/>
          <w:highlight w:val="none"/>
        </w:rPr>
        <w:t xml:space="preserve">将会导致无效响应处理。</w:t>
      </w:r>
      <w:r>
        <w:rPr>
          <w:rFonts w:hint="eastAsia" w:ascii="宋体" w:hAnsi="宋体" w:cs="宋体"/>
          <w:color w:val="auto"/>
          <w:sz w:val="24"/>
          <w:szCs w:val="24"/>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rFonts w:hint="eastAsia" w:ascii="宋体" w:hAnsi="宋体" w:cs="宋体"/>
          <w:color w:val="auto"/>
          <w:highlight w:val="none"/>
        </w:rPr>
        <w:t xml:space="preserve">商务要求响应及偏离表</w:t>
      </w:r>
      <w:r>
        <w:rPr>
          <w:rFonts w:hint="eastAsia" w:ascii="宋体" w:hAnsi="宋体" w:cs="宋体"/>
          <w:color w:val="auto"/>
          <w:highlight w:val="none"/>
        </w:rPr>
      </w:r>
      <w:r>
        <w:rPr>
          <w:color w:val="auto"/>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2945"/>
        <w:gridCol w:w="2762"/>
        <w:gridCol w:w="1266"/>
        <w:gridCol w:w="1136"/>
      </w:tblGrid>
      <w:tr>
        <w:trPr>
          <w:cantSplit/>
          <w:trHeight w:val="1175"/>
        </w:trPr>
        <w:tc>
          <w:tcPr>
            <w:tcW w:w="769"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294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rPr>
                <w:rFonts w:hint="eastAsia" w:ascii="宋体" w:hAnsi="宋体" w:cs="宋体"/>
                <w:color w:val="auto"/>
                <w:sz w:val="24"/>
                <w:szCs w:val="24"/>
                <w:highlight w:val="none"/>
              </w:rPr>
            </w:r>
            <w:r>
              <w:rPr>
                <w:color w:val="auto"/>
                <w:highlight w:val="none"/>
              </w:rPr>
            </w:r>
          </w:p>
        </w:tc>
        <w:tc>
          <w:tcPr>
            <w:tcW w:w="2762"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rPr>
                <w:rFonts w:hint="eastAsia" w:ascii="宋体" w:hAnsi="宋体" w:cs="宋体"/>
                <w:color w:val="auto"/>
                <w:sz w:val="24"/>
                <w:szCs w:val="24"/>
                <w:highlight w:val="none"/>
              </w:rPr>
            </w:r>
            <w:r>
              <w:rPr>
                <w:color w:val="auto"/>
                <w:highlight w:val="none"/>
              </w:rPr>
            </w:r>
          </w:p>
        </w:tc>
        <w:tc>
          <w:tcPr>
            <w:tcW w:w="126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rPr>
                <w:rFonts w:hint="eastAsia" w:ascii="宋体" w:hAnsi="宋体" w:cs="宋体"/>
                <w:color w:val="auto"/>
                <w:sz w:val="24"/>
                <w:szCs w:val="24"/>
                <w:highlight w:val="none"/>
              </w:rPr>
            </w:r>
            <w:r>
              <w:rPr>
                <w:color w:val="auto"/>
                <w:highlight w:val="none"/>
              </w:rPr>
            </w:r>
          </w:p>
        </w:tc>
        <w:tc>
          <w:tcPr>
            <w:tcW w:w="1136"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5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cantSplit/>
          <w:trHeight w:val="662"/>
        </w:trPr>
        <w:tc>
          <w:tcPr>
            <w:tcW w:w="769"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2945"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tc>
        <w:tc>
          <w:tcPr>
            <w:tcW w:w="2762"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6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136" w:type="dxa"/>
            <w:vAlign w:val="top"/>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bl>
    <w:p>
      <w:pPr>
        <w:pStyle w:val="905"/>
        <w:spacing w:line="48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注：</w:t>
      </w:r>
      <w:r>
        <w:rPr>
          <w:rFonts w:hint="eastAsia" w:ascii="宋体" w:hAnsi="宋体" w:cs="宋体"/>
          <w:color w:val="auto"/>
          <w:sz w:val="24"/>
          <w:szCs w:val="21"/>
          <w:highlight w:val="none"/>
        </w:rPr>
      </w:r>
      <w:r>
        <w:rPr>
          <w:color w:val="auto"/>
          <w:highlight w:val="none"/>
        </w:rPr>
      </w:r>
    </w:p>
    <w:p>
      <w:pPr>
        <w:pStyle w:val="905"/>
        <w:spacing w:line="48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w:t>
      </w:r>
      <w:r>
        <w:rPr>
          <w:rFonts w:hint="eastAsia" w:ascii="宋体" w:hAnsi="宋体" w:cs="宋体"/>
          <w:color w:val="auto"/>
          <w:sz w:val="24"/>
          <w:szCs w:val="24"/>
          <w:highlight w:val="none"/>
        </w:rPr>
        <w:t xml:space="preserve">商务要求不接受任何一项的负偏离或者不满足，允许正偏离，否则投标无效；</w:t>
      </w:r>
      <w:r>
        <w:rPr>
          <w:rFonts w:hint="eastAsia" w:ascii="宋体" w:hAnsi="宋体" w:cs="宋体"/>
          <w:color w:val="auto"/>
          <w:sz w:val="24"/>
          <w:szCs w:val="21"/>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highlight w:val="none"/>
        </w:rPr>
        <w:t xml:space="preserve">投标人对招标文件商务要求条款没有提出修改要求的，可以提供经签署、盖章的空白表格，采购人将视为供应商完全接受招标文件商务要求条款内容。</w:t>
      </w:r>
      <w:r>
        <w:rPr>
          <w:rFonts w:hint="eastAsia" w:ascii="宋体" w:hAnsi="宋体" w:cs="宋体"/>
          <w:color w:val="auto"/>
          <w:sz w:val="24"/>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jc w:val="lef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rFonts w:hint="eastAsia" w:ascii="宋体" w:hAnsi="宋体" w:cs="宋体"/>
          <w:color w:val="auto"/>
          <w:highlight w:val="none"/>
        </w:rPr>
        <w:t xml:space="preserve">资格要求的证明文件</w:t>
      </w:r>
      <w:r>
        <w:rPr>
          <w:rFonts w:hint="eastAsia" w:ascii="宋体" w:hAnsi="宋体" w:cs="宋体"/>
          <w:color w:val="auto"/>
          <w:highlight w:val="non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5.1 法人或</w:t>
      </w:r>
      <w:r>
        <w:rPr>
          <w:rFonts w:hint="eastAsia" w:ascii="宋体" w:hAnsi="宋体" w:cs="宋体"/>
          <w:i/>
          <w:color w:val="auto"/>
          <w:sz w:val="28"/>
          <w:szCs w:val="28"/>
          <w:highlight w:val="none"/>
          <w:u w:val="single"/>
        </w:rPr>
        <w:t xml:space="preserve">者其他组织的营业执照等证明文件，自然人的身份证明；</w:t>
      </w:r>
      <w:r>
        <w:rPr>
          <w:rFonts w:hint="eastAsia" w:ascii="宋体" w:hAnsi="宋体" w:cs="宋体"/>
          <w:i/>
          <w:color w:val="auto"/>
          <w:sz w:val="28"/>
          <w:szCs w:val="28"/>
          <w:highlight w:val="none"/>
          <w:u w:val="singl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5.2 上一年度的财务状况报告（成立不满一年无需提供）；</w:t>
      </w:r>
      <w:r>
        <w:rPr>
          <w:rFonts w:hint="eastAsia" w:ascii="宋体" w:hAnsi="宋体" w:cs="宋体"/>
          <w:i/>
          <w:color w:val="auto"/>
          <w:sz w:val="28"/>
          <w:szCs w:val="28"/>
          <w:highlight w:val="none"/>
          <w:u w:val="single"/>
        </w:rPr>
      </w:r>
      <w:r>
        <w:rPr>
          <w:color w:val="auto"/>
          <w:highlight w:val="none"/>
        </w:rPr>
      </w:r>
    </w:p>
    <w:p>
      <w:pPr>
        <w:pStyle w:val="905"/>
        <w:ind w:firstLine="480"/>
        <w:rPr>
          <w:rFonts w:hint="eastAsia" w:ascii="宋体" w:hAnsi="宋体" w:cs="宋体"/>
          <w:i/>
          <w:color w:val="auto"/>
          <w:sz w:val="32"/>
          <w:szCs w:val="32"/>
          <w:highlight w:val="none"/>
          <w:u w:val="single"/>
        </w:rPr>
      </w:pPr>
      <w:r>
        <w:rPr>
          <w:rFonts w:hint="eastAsia" w:ascii="宋体" w:hAnsi="宋体" w:cs="宋体"/>
          <w:bCs/>
          <w:color w:val="auto"/>
          <w:sz w:val="24"/>
          <w:szCs w:val="21"/>
          <w:highlight w:val="none"/>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rPr>
          <w:rFonts w:hint="eastAsia" w:ascii="宋体" w:hAnsi="宋体" w:cs="宋体"/>
          <w:i/>
          <w:color w:val="auto"/>
          <w:sz w:val="32"/>
          <w:szCs w:val="32"/>
          <w:highlight w:val="none"/>
          <w:u w:val="singl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5.3依法缴纳税收和社会保障资金的相关材料</w:t>
      </w:r>
      <w:r>
        <w:rPr>
          <w:rFonts w:hint="eastAsia" w:ascii="宋体" w:hAnsi="宋体" w:cs="宋体"/>
          <w:i/>
          <w:color w:val="auto"/>
          <w:sz w:val="28"/>
          <w:szCs w:val="28"/>
          <w:highlight w:val="none"/>
          <w:u w:val="single"/>
        </w:rPr>
      </w:r>
      <w:r>
        <w:rPr>
          <w:color w:val="auto"/>
          <w:highlight w:val="none"/>
        </w:rPr>
      </w:r>
    </w:p>
    <w:p>
      <w:pPr>
        <w:pStyle w:val="905"/>
        <w:ind w:firstLine="480"/>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提供提交投标文件截止时间前一年内至少一个月依法缴纳税收及缴纳社会保障资金的证明材料。投标人依法享受缓缴、免缴税收、社</w:t>
      </w:r>
      <w:r>
        <w:rPr>
          <w:rFonts w:hint="eastAsia" w:ascii="宋体" w:hAnsi="宋体" w:cs="宋体"/>
          <w:bCs/>
          <w:color w:val="auto"/>
          <w:sz w:val="24"/>
          <w:szCs w:val="21"/>
          <w:highlight w:val="none"/>
        </w:rPr>
        <w:t xml:space="preserve">会保障资金的提供证明材料。；</w:t>
      </w:r>
      <w:r>
        <w:rPr>
          <w:rFonts w:hint="eastAsia" w:ascii="宋体" w:hAnsi="宋体" w:cs="宋体"/>
          <w:bCs/>
          <w:color w:val="auto"/>
          <w:sz w:val="24"/>
          <w:szCs w:val="21"/>
          <w:highlight w:val="non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5.4具备履行合同所必</w:t>
      </w:r>
      <w:r>
        <w:rPr>
          <w:rFonts w:hint="eastAsia" w:ascii="宋体" w:hAnsi="宋体" w:cs="宋体"/>
          <w:i/>
          <w:color w:val="auto"/>
          <w:sz w:val="28"/>
          <w:szCs w:val="28"/>
          <w:highlight w:val="none"/>
          <w:u w:val="single"/>
        </w:rPr>
        <w:t xml:space="preserve">需的设备和专业技术能力的书面声明；</w:t>
      </w:r>
      <w:r>
        <w:rPr>
          <w:rFonts w:hint="eastAsia" w:ascii="宋体" w:hAnsi="宋体" w:cs="宋体"/>
          <w:i/>
          <w:color w:val="auto"/>
          <w:sz w:val="28"/>
          <w:szCs w:val="28"/>
          <w:highlight w:val="none"/>
          <w:u w:val="single"/>
        </w:rPr>
      </w:r>
      <w:r>
        <w:rPr>
          <w:color w:val="auto"/>
          <w:highlight w:val="none"/>
        </w:rPr>
      </w:r>
    </w:p>
    <w:p>
      <w:pPr>
        <w:pStyle w:val="905"/>
        <w:jc w:val="center"/>
        <w:spacing w:line="460" w:lineRule="exact"/>
        <w:rPr>
          <w:rFonts w:hint="eastAsia" w:ascii="宋体" w:hAnsi="宋体" w:cs="宋体"/>
          <w:color w:val="auto"/>
          <w:szCs w:val="21"/>
          <w:highlight w:val="none"/>
        </w:rPr>
      </w:pPr>
      <w:r>
        <w:rPr>
          <w:rFonts w:hint="eastAsia" w:ascii="宋体" w:hAnsi="宋体" w:cs="宋体"/>
          <w:bCs/>
          <w:color w:val="auto"/>
          <w:sz w:val="30"/>
          <w:szCs w:val="30"/>
          <w:highlight w:val="none"/>
        </w:rPr>
        <w:t xml:space="preserve">声明</w:t>
      </w:r>
      <w:r>
        <w:rPr>
          <w:rFonts w:hint="eastAsia" w:ascii="宋体" w:hAnsi="宋体" w:cs="宋体"/>
          <w:color w:val="auto"/>
          <w:szCs w:val="21"/>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致：江苏省苏北人民医院</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主要设备有：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特此声明！</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投标人名称：（加盖CA电子公章）</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日期：2026年XX月XX日</w:t>
      </w:r>
      <w:r>
        <w:rPr>
          <w:rFonts w:hint="eastAsia" w:ascii="宋体" w:hAnsi="宋体" w:cs="宋体"/>
          <w:bCs/>
          <w:color w:val="auto"/>
          <w:sz w:val="24"/>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r>
        <w:rPr>
          <w:rFonts w:hint="eastAsia" w:ascii="宋体" w:hAnsi="宋体" w:cs="宋体"/>
          <w:bCs/>
          <w:color w:val="auto"/>
          <w:sz w:val="24"/>
          <w:szCs w:val="21"/>
          <w:highlight w:val="non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5.5参加政府采购活动前3年内在经营活动中没有重大违法记</w:t>
      </w:r>
      <w:r>
        <w:rPr>
          <w:rFonts w:hint="eastAsia" w:ascii="宋体" w:hAnsi="宋体" w:cs="宋体"/>
          <w:i/>
          <w:color w:val="auto"/>
          <w:sz w:val="28"/>
          <w:szCs w:val="28"/>
          <w:highlight w:val="none"/>
          <w:u w:val="single"/>
        </w:rPr>
        <w:t xml:space="preserve">录的书面声明</w:t>
      </w:r>
      <w:r>
        <w:rPr>
          <w:rFonts w:hint="eastAsia" w:ascii="宋体" w:hAnsi="宋体" w:cs="宋体"/>
          <w:i/>
          <w:color w:val="auto"/>
          <w:sz w:val="28"/>
          <w:szCs w:val="28"/>
          <w:highlight w:val="none"/>
          <w:u w:val="single"/>
        </w:rPr>
      </w:r>
      <w:r>
        <w:rPr>
          <w:color w:val="auto"/>
          <w:highlight w:val="none"/>
        </w:rPr>
      </w:r>
    </w:p>
    <w:p>
      <w:pPr>
        <w:pStyle w:val="905"/>
        <w:jc w:val="center"/>
        <w:spacing w:line="460" w:lineRule="exact"/>
        <w:rPr>
          <w:rFonts w:hint="eastAsia" w:ascii="宋体" w:hAnsi="宋体" w:cs="宋体"/>
          <w:b/>
          <w:bCs/>
          <w:color w:val="auto"/>
          <w:sz w:val="44"/>
          <w:szCs w:val="44"/>
          <w:highlight w:val="none"/>
        </w:rPr>
      </w:pPr>
      <w:r>
        <w:rPr>
          <w:rFonts w:hint="eastAsia" w:ascii="宋体" w:hAnsi="宋体" w:cs="宋体"/>
          <w:bCs/>
          <w:color w:val="auto"/>
          <w:sz w:val="30"/>
          <w:szCs w:val="30"/>
          <w:highlight w:val="none"/>
        </w:rPr>
        <w:t xml:space="preserve">声明</w:t>
      </w:r>
      <w:r>
        <w:rPr>
          <w:rFonts w:hint="eastAsia" w:ascii="宋体" w:hAnsi="宋体" w:cs="宋体"/>
          <w:b/>
          <w:bCs/>
          <w:color w:val="auto"/>
          <w:sz w:val="44"/>
          <w:szCs w:val="44"/>
          <w:highlight w:val="none"/>
        </w:rPr>
      </w:r>
      <w:r>
        <w:rPr>
          <w:color w:val="auto"/>
          <w:highlight w:val="none"/>
        </w:rPr>
      </w:r>
    </w:p>
    <w:p>
      <w:pPr>
        <w:pStyle w:val="905"/>
        <w:ind w:firstLine="480"/>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我单位郑重声明：参加本次政府采购</w:t>
      </w:r>
      <w:r>
        <w:rPr>
          <w:rFonts w:hint="eastAsia" w:ascii="宋体" w:hAnsi="宋体" w:cs="宋体"/>
          <w:bCs/>
          <w:color w:val="auto"/>
          <w:sz w:val="24"/>
          <w:szCs w:val="21"/>
          <w:highlight w:val="none"/>
        </w:rPr>
        <w:t xml:space="preserve">活动前3年内，我单位在经营活动中没有因违法经营受到刑事处罚或者责令停产停业、吊销许可证或者执照、较大数额罚款等行政处罚。</w:t>
      </w:r>
      <w:r>
        <w:rPr>
          <w:rFonts w:hint="eastAsia" w:ascii="宋体" w:hAnsi="宋体" w:cs="宋体"/>
          <w:bCs/>
          <w:color w:val="auto"/>
          <w:sz w:val="24"/>
          <w:szCs w:val="21"/>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特此声明！</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投标人名称：（加盖CA电子公章）</w:t>
      </w:r>
      <w:r>
        <w:rPr>
          <w:rFonts w:hint="eastAsia" w:ascii="宋体" w:hAnsi="宋体" w:cs="宋体"/>
          <w:bCs/>
          <w:color w:val="auto"/>
          <w:sz w:val="24"/>
          <w:highlight w:val="none"/>
        </w:rPr>
      </w:r>
      <w:r>
        <w:rPr>
          <w:color w:val="auto"/>
          <w:highlight w:val="none"/>
        </w:rPr>
      </w:r>
    </w:p>
    <w:p>
      <w:pPr>
        <w:pStyle w:val="905"/>
        <w:ind w:firstLine="492"/>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日期：2026年XX月XX日</w:t>
      </w:r>
      <w:r>
        <w:rPr>
          <w:rFonts w:hint="eastAsia" w:ascii="宋体" w:hAnsi="宋体" w:cs="宋体"/>
          <w:bCs/>
          <w:color w:val="auto"/>
          <w:sz w:val="24"/>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r>
        <w:rPr>
          <w:rFonts w:hint="eastAsia" w:ascii="宋体" w:hAnsi="宋体" w:cs="宋体"/>
          <w:bCs/>
          <w:color w:val="auto"/>
          <w:sz w:val="24"/>
          <w:szCs w:val="21"/>
          <w:highlight w:val="non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5.6供应商信用承诺书</w:t>
      </w:r>
      <w:r>
        <w:rPr>
          <w:rFonts w:hint="eastAsia" w:ascii="宋体" w:hAnsi="宋体" w:cs="宋体"/>
          <w:i/>
          <w:color w:val="auto"/>
          <w:sz w:val="28"/>
          <w:szCs w:val="28"/>
          <w:highlight w:val="none"/>
          <w:u w:val="single"/>
        </w:rPr>
      </w:r>
      <w:r>
        <w:rPr>
          <w:color w:val="auto"/>
          <w:highlight w:val="none"/>
        </w:rPr>
      </w:r>
    </w:p>
    <w:p>
      <w:pPr>
        <w:pStyle w:val="905"/>
        <w:jc w:val="center"/>
        <w:spacing w:line="360" w:lineRule="auto"/>
        <w:rPr>
          <w:rFonts w:hint="eastAsia" w:ascii="宋体" w:hAnsi="宋体" w:cs="宋体"/>
          <w:iCs/>
          <w:color w:val="auto"/>
          <w:szCs w:val="21"/>
          <w:highlight w:val="none"/>
        </w:rPr>
      </w:pPr>
      <w:r>
        <w:rPr>
          <w:rFonts w:hint="eastAsia" w:ascii="宋体" w:hAnsi="宋体" w:cs="宋体"/>
          <w:iCs/>
          <w:color w:val="auto"/>
          <w:sz w:val="32"/>
          <w:szCs w:val="32"/>
          <w:highlight w:val="none"/>
        </w:rPr>
        <w:t xml:space="preserve">供应商信用承诺书</w:t>
      </w:r>
      <w:r>
        <w:rPr>
          <w:rFonts w:hint="eastAsia" w:ascii="宋体" w:hAnsi="宋体" w:cs="宋体"/>
          <w:iCs/>
          <w:color w:val="auto"/>
          <w:szCs w:val="21"/>
          <w:highlight w:val="none"/>
        </w:rPr>
      </w:r>
      <w:r>
        <w:rPr>
          <w:color w:val="auto"/>
          <w:highlight w:val="none"/>
        </w:rPr>
      </w:r>
    </w:p>
    <w:p>
      <w:pPr>
        <w:pStyle w:val="90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rPr>
          <w:rFonts w:hint="eastAsia" w:ascii="宋体" w:hAnsi="宋体" w:cs="宋体"/>
          <w:color w:val="auto"/>
          <w:szCs w:val="21"/>
          <w:highlight w:val="none"/>
        </w:rPr>
      </w:r>
      <w:r>
        <w:rPr>
          <w:color w:val="auto"/>
          <w:highlight w:val="none"/>
        </w:rPr>
      </w:r>
    </w:p>
    <w:p>
      <w:pPr>
        <w:pStyle w:val="90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rPr>
          <w:rFonts w:hint="eastAsia" w:ascii="宋体" w:hAnsi="宋体" w:cs="宋体"/>
          <w:color w:val="auto"/>
          <w:szCs w:val="21"/>
          <w:highlight w:val="none"/>
        </w:rPr>
      </w:r>
      <w:r>
        <w:rPr>
          <w:color w:val="auto"/>
          <w:highlight w:val="none"/>
        </w:rPr>
      </w:r>
    </w:p>
    <w:p>
      <w:pPr>
        <w:pStyle w:val="90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w:t>
      </w:r>
      <w:r>
        <w:rPr>
          <w:rFonts w:hint="eastAsia" w:ascii="宋体" w:hAnsi="宋体" w:cs="宋体"/>
          <w:color w:val="auto"/>
          <w:szCs w:val="21"/>
          <w:highlight w:val="none"/>
        </w:rPr>
        <w:t xml:space="preserve">法形象，本企业对__________________</w:t>
      </w:r>
      <w:r>
        <w:rPr>
          <w:rFonts w:hint="eastAsia" w:ascii="宋体" w:hAnsi="宋体" w:cs="宋体"/>
          <w:color w:val="auto"/>
          <w:szCs w:val="21"/>
          <w:highlight w:val="none"/>
        </w:rPr>
        <w:t xml:space="preserve">______项目政府采购活动郑重承诺如下：</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w:t>
      </w:r>
      <w:r>
        <w:rPr>
          <w:rFonts w:hint="eastAsia" w:ascii="宋体" w:hAnsi="宋体" w:cs="宋体"/>
          <w:color w:val="auto"/>
          <w:szCs w:val="21"/>
          <w:highlight w:val="none"/>
        </w:rPr>
        <w:t xml:space="preserve">舆论的监督；</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w:t>
      </w:r>
      <w:r>
        <w:rPr>
          <w:rFonts w:hint="eastAsia" w:ascii="宋体" w:hAnsi="宋体" w:cs="宋体"/>
          <w:color w:val="auto"/>
          <w:szCs w:val="21"/>
          <w:highlight w:val="none"/>
        </w:rPr>
        <w:t xml:space="preserve">将违反承诺的行为作为不良记录记入信用档案，依法依规进</w:t>
      </w:r>
      <w:r>
        <w:rPr>
          <w:rFonts w:hint="eastAsia" w:ascii="宋体" w:hAnsi="宋体" w:cs="宋体"/>
          <w:color w:val="auto"/>
          <w:szCs w:val="21"/>
          <w:highlight w:val="none"/>
        </w:rPr>
        <w:t xml:space="preserve">行信息公示，并承担所产生的一切法律责任和经济损失。</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rPr>
          <w:rFonts w:hint="eastAsia" w:ascii="宋体" w:hAnsi="宋体" w:cs="宋体"/>
          <w:color w:val="auto"/>
          <w:szCs w:val="21"/>
          <w:highlight w:val="none"/>
        </w:rPr>
      </w:r>
      <w:r>
        <w:rPr>
          <w:color w:val="auto"/>
          <w:highlight w:val="none"/>
        </w:rPr>
      </w:r>
    </w:p>
    <w:p>
      <w:pPr>
        <w:pStyle w:val="905"/>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rPr>
          <w:rFonts w:hint="eastAsia" w:ascii="宋体" w:hAnsi="宋体" w:cs="宋体"/>
          <w:color w:val="auto"/>
          <w:szCs w:val="21"/>
          <w:highlight w:val="none"/>
        </w:rPr>
      </w:r>
      <w:r>
        <w:rPr>
          <w:color w:val="auto"/>
          <w:highlight w:val="none"/>
        </w:rPr>
      </w:r>
    </w:p>
    <w:p>
      <w:pPr>
        <w:pStyle w:val="90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highlight w:val="none"/>
        </w:rPr>
      </w:r>
    </w:p>
    <w:p>
      <w:pPr>
        <w:pStyle w:val="90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rPr>
          <w:rFonts w:hint="eastAsia" w:ascii="宋体" w:hAnsi="宋体" w:cs="宋体"/>
          <w:color w:val="auto"/>
          <w:szCs w:val="21"/>
          <w:highlight w:val="none"/>
        </w:rPr>
      </w:r>
      <w:r>
        <w:rPr>
          <w:color w:val="auto"/>
          <w:highlight w:val="none"/>
        </w:rPr>
      </w:r>
    </w:p>
    <w:p>
      <w:pPr>
        <w:pStyle w:val="90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rPr>
          <w:rFonts w:hint="eastAsia" w:ascii="宋体" w:hAnsi="宋体" w:cs="宋体"/>
          <w:color w:val="auto"/>
          <w:szCs w:val="21"/>
          <w:highlight w:val="none"/>
        </w:rPr>
      </w:r>
      <w:r>
        <w:rPr>
          <w:color w:val="auto"/>
          <w:highlight w:val="none"/>
        </w:rPr>
      </w:r>
    </w:p>
    <w:p>
      <w:pPr>
        <w:pStyle w:val="905"/>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rPr>
          <w:rFonts w:hint="eastAsia" w:ascii="宋体" w:hAnsi="宋体" w:cs="宋体"/>
          <w:color w:val="auto"/>
          <w:szCs w:val="21"/>
          <w:highlight w:val="none"/>
        </w:rPr>
      </w:r>
      <w:r>
        <w:rPr>
          <w:color w:val="auto"/>
          <w:highlight w:val="none"/>
        </w:rPr>
      </w:r>
    </w:p>
    <w:p>
      <w:pPr>
        <w:pStyle w:val="905"/>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color w:val="auto"/>
          <w:highlight w:val="none"/>
        </w:rPr>
      </w:r>
      <w:bookmarkEnd w:id="189"/>
      <w:r>
        <w:rPr>
          <w:color w:val="auto"/>
          <w:highlight w:val="none"/>
        </w:rPr>
      </w:r>
      <w:bookmarkEnd w:id="190"/>
      <w:r>
        <w:rPr>
          <w:color w:val="auto"/>
          <w:highlight w:val="none"/>
        </w:rPr>
      </w:r>
      <w:bookmarkEnd w:id="191"/>
      <w:r>
        <w:rPr>
          <w:color w:val="auto"/>
          <w:highlight w:val="none"/>
        </w:rPr>
      </w:r>
      <w:bookmarkStart w:id="194" w:name="_Toc120614284"/>
      <w:r>
        <w:rPr>
          <w:rFonts w:hint="eastAsia" w:ascii="宋体" w:hAnsi="宋体" w:cs="宋体"/>
          <w:i/>
          <w:color w:val="auto"/>
          <w:sz w:val="28"/>
          <w:szCs w:val="28"/>
          <w:highlight w:val="none"/>
          <w:u w:val="single"/>
        </w:rPr>
        <w:t xml:space="preserve">5.7 投标产品如果属于医疗设备注册范畴的；投标人须根据投标产品的类别，提供《医疗器械经营</w:t>
      </w:r>
      <w:r>
        <w:rPr>
          <w:rFonts w:hint="eastAsia" w:ascii="宋体" w:hAnsi="宋体" w:cs="宋体"/>
          <w:i/>
          <w:color w:val="auto"/>
          <w:sz w:val="28"/>
          <w:szCs w:val="28"/>
          <w:highlight w:val="none"/>
          <w:u w:val="single"/>
        </w:rPr>
        <w:t xml:space="preserve">企业许可证》或者《医疗器械经营备案凭证》（复印件）；</w:t>
      </w:r>
      <w:r>
        <w:rPr>
          <w:rFonts w:hint="eastAsia" w:ascii="宋体" w:hAnsi="宋体" w:cs="宋体"/>
          <w:i/>
          <w:color w:val="auto"/>
          <w:sz w:val="28"/>
          <w:szCs w:val="28"/>
          <w:highlight w:val="none"/>
          <w:u w:val="singl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5.8 投标产品如果属于医疗设备注册范畴的；投标人须提供投标产品的《医疗器械注册证》（复印件）；</w:t>
      </w:r>
      <w:r>
        <w:rPr>
          <w:rFonts w:hint="eastAsia" w:ascii="宋体" w:hAnsi="宋体" w:cs="宋体"/>
          <w:i/>
          <w:color w:val="auto"/>
          <w:sz w:val="28"/>
          <w:szCs w:val="28"/>
          <w:highlight w:val="none"/>
          <w:u w:val="single"/>
        </w:rPr>
      </w:r>
      <w:r>
        <w:rPr>
          <w:color w:val="auto"/>
          <w:highlight w:val="none"/>
        </w:rPr>
      </w:r>
    </w:p>
    <w:p>
      <w:pPr>
        <w:pStyle w:val="905"/>
        <w:jc w:val="left"/>
        <w:keepLines/>
        <w:keepNext/>
        <w:spacing w:before="145" w:line="360" w:lineRule="auto"/>
        <w:rPr>
          <w:rFonts w:hint="eastAsia" w:ascii="宋体" w:hAnsi="宋体" w:cs="宋体"/>
          <w:i/>
          <w:color w:val="auto"/>
          <w:sz w:val="28"/>
          <w:szCs w:val="28"/>
          <w:highlight w:val="none"/>
          <w:u w:val="single"/>
        </w:rPr>
        <w:outlineLvl w:val="2"/>
      </w:pPr>
      <w:r>
        <w:rPr>
          <w:rFonts w:hint="eastAsia" w:ascii="宋体" w:hAnsi="宋体" w:cs="宋体"/>
          <w:i/>
          <w:color w:val="auto"/>
          <w:sz w:val="28"/>
          <w:szCs w:val="28"/>
          <w:highlight w:val="none"/>
          <w:u w:val="single"/>
        </w:rPr>
        <w:t xml:space="preserve">5.9 本项目接受产品代理商或经销商投标；</w:t>
      </w:r>
      <w:r>
        <w:rPr>
          <w:rFonts w:hint="eastAsia" w:ascii="宋体" w:hAnsi="宋体" w:cs="宋体"/>
          <w:i/>
          <w:color w:val="auto"/>
          <w:sz w:val="28"/>
          <w:szCs w:val="28"/>
          <w:highlight w:val="none"/>
          <w:u w:val="single"/>
        </w:rPr>
      </w:r>
      <w:r>
        <w:rPr>
          <w:color w:val="auto"/>
          <w:highlight w:val="none"/>
        </w:rPr>
      </w:r>
    </w:p>
    <w:p>
      <w:pPr>
        <w:pStyle w:val="905"/>
        <w:ind w:firstLine="48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法人授权</w:t>
      </w:r>
      <w:r>
        <w:rPr>
          <w:rFonts w:hint="eastAsia" w:ascii="宋体" w:hAnsi="宋体" w:cs="宋体"/>
          <w:color w:val="auto"/>
          <w:highlight w:val="none"/>
        </w:rPr>
      </w:r>
      <w:r>
        <w:rPr>
          <w:color w:val="auto"/>
          <w:highlight w:val="none"/>
        </w:rPr>
      </w:r>
    </w:p>
    <w:p>
      <w:pPr>
        <w:pStyle w:val="905"/>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本授权书声明：____________（投标人名称）授权________________（被授权人的姓名）为我方就JSZC-</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号项目采购活动的合法代理人，以本单位名义全权处理一切与该项目采购有关的事务。</w:t>
      </w:r>
      <w:r>
        <w:rPr>
          <w:rFonts w:hint="eastAsia" w:ascii="宋体" w:hAnsi="宋体" w:cs="宋体"/>
          <w:color w:val="auto"/>
          <w:sz w:val="24"/>
          <w:szCs w:val="24"/>
          <w:highlight w:val="none"/>
        </w:rPr>
      </w:r>
      <w:r>
        <w:rPr>
          <w:color w:val="auto"/>
          <w:highlight w:val="none"/>
        </w:rPr>
      </w:r>
    </w:p>
    <w:p>
      <w:pPr>
        <w:pStyle w:val="905"/>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w:t>
      </w:r>
      <w:r>
        <w:rPr>
          <w:rFonts w:hint="eastAsia" w:ascii="宋体" w:hAnsi="宋体" w:cs="宋体"/>
          <w:color w:val="auto"/>
          <w:sz w:val="24"/>
          <w:szCs w:val="24"/>
          <w:highlight w:val="none"/>
        </w:rPr>
        <w:t xml:space="preserve">_年____月____日起生效，特此声明。</w:t>
      </w:r>
      <w:r>
        <w:rPr>
          <w:rFonts w:hint="eastAsia" w:ascii="宋体" w:hAnsi="宋体" w:cs="宋体"/>
          <w:color w:val="auto"/>
          <w:sz w:val="24"/>
          <w:szCs w:val="24"/>
          <w:highlight w:val="none"/>
        </w:rPr>
      </w:r>
      <w:r>
        <w:rPr>
          <w:color w:val="auto"/>
          <w:highlight w:val="none"/>
        </w:rPr>
      </w:r>
    </w:p>
    <w:p>
      <w:pPr>
        <w:pStyle w:val="905"/>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ind w:firstLine="120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rPr>
          <w:rFonts w:hint="eastAsia" w:ascii="宋体" w:hAnsi="宋体" w:cs="宋体"/>
          <w:color w:val="auto"/>
          <w:sz w:val="24"/>
          <w:szCs w:val="24"/>
          <w:highlight w:val="none"/>
        </w:rPr>
      </w:r>
      <w:r>
        <w:rPr>
          <w:color w:val="auto"/>
          <w:highlight w:val="none"/>
        </w:rPr>
      </w:r>
    </w:p>
    <w:p>
      <w:pPr>
        <w:pStyle w:val="905"/>
        <w:ind w:firstLine="480"/>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ind w:firstLine="480"/>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ind w:firstLine="420"/>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rPr>
          <w:color w:val="auto"/>
          <w:highlight w:val="none"/>
        </w:rPr>
      </w:r>
    </w:p>
    <w:p>
      <w:pPr>
        <w:pStyle w:val="905"/>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rPr>
      </w:r>
      <w:r>
        <w:rPr>
          <w:color w:val="auto"/>
          <w:highlight w:val="none"/>
        </w:rPr>
      </w:r>
    </w:p>
    <w:p>
      <w:pPr>
        <w:pStyle w:val="905"/>
        <w:ind w:firstLine="480"/>
        <w:rPr>
          <w:rFonts w:hint="eastAsia" w:ascii="宋体" w:hAnsi="宋体" w:cs="宋体"/>
          <w:color w:val="auto"/>
          <w:sz w:val="24"/>
          <w:highlight w:val="none"/>
        </w:rPr>
      </w:pPr>
      <w:r>
        <w:rPr>
          <w:rFonts w:hint="eastAsia" w:ascii="宋体" w:hAnsi="宋体" w:cs="宋体"/>
          <w:color w:val="auto"/>
          <w:sz w:val="24"/>
          <w:highlight w:val="none"/>
        </w:rPr>
        <w:t xml:space="preserve">（1）本授权委</w:t>
      </w:r>
      <w:r>
        <w:rPr>
          <w:rFonts w:hint="eastAsia" w:ascii="宋体" w:hAnsi="宋体" w:cs="宋体"/>
          <w:color w:val="auto"/>
          <w:sz w:val="24"/>
          <w:highlight w:val="none"/>
        </w:rPr>
        <w:t xml:space="preserve">托书之后需附上法定代表人、授权委托人身份证复印件（正反面）；</w:t>
      </w:r>
      <w:r>
        <w:rPr>
          <w:rFonts w:hint="eastAsia" w:ascii="宋体" w:hAnsi="宋体" w:cs="宋体"/>
          <w:color w:val="auto"/>
          <w:sz w:val="24"/>
          <w:highlight w:val="none"/>
        </w:rPr>
      </w:r>
      <w:r>
        <w:rPr>
          <w:color w:val="auto"/>
          <w:highlight w:val="none"/>
        </w:rPr>
      </w:r>
    </w:p>
    <w:p>
      <w:pPr>
        <w:pStyle w:val="905"/>
        <w:ind w:firstLine="480"/>
        <w:rPr>
          <w:rFonts w:hint="eastAsia" w:ascii="宋体" w:hAnsi="宋体" w:cs="宋体"/>
          <w:color w:val="auto"/>
          <w:sz w:val="24"/>
          <w:highlight w:val="none"/>
        </w:rPr>
      </w:pPr>
      <w:r>
        <w:rPr>
          <w:rFonts w:hint="eastAsia" w:ascii="宋体" w:hAnsi="宋体" w:cs="宋体"/>
          <w:color w:val="auto"/>
          <w:sz w:val="24"/>
          <w:highlight w:val="none"/>
        </w:rPr>
        <w:t xml:space="preserve">（2）如果是法定代表人直接参与响应的可以不提供授权委</w:t>
      </w:r>
      <w:r>
        <w:rPr>
          <w:rFonts w:hint="eastAsia" w:ascii="宋体" w:hAnsi="宋体" w:cs="宋体"/>
          <w:color w:val="auto"/>
          <w:sz w:val="24"/>
          <w:highlight w:val="none"/>
        </w:rPr>
        <w:t xml:space="preserve">托书；但必须在营业执照之后附上法定代表人身份证复印件；</w:t>
      </w:r>
      <w:r>
        <w:rPr>
          <w:rFonts w:hint="eastAsia" w:ascii="宋体" w:hAnsi="宋体" w:cs="宋体"/>
          <w:color w:val="auto"/>
          <w:sz w:val="24"/>
          <w:highlight w:val="none"/>
        </w:rPr>
      </w:r>
      <w:r>
        <w:rPr>
          <w:color w:val="auto"/>
          <w:highlight w:val="none"/>
        </w:rPr>
      </w:r>
    </w:p>
    <w:p>
      <w:pPr>
        <w:pStyle w:val="905"/>
        <w:ind w:firstLine="480"/>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b/>
          <w:i/>
          <w:color w:val="auto"/>
          <w:sz w:val="24"/>
          <w:highlight w:val="none"/>
          <w:u w:val="single"/>
        </w:rPr>
        <w:t xml:space="preserve">未按上述规定随附身份证复印件的，投标无效。</w:t>
      </w:r>
      <w:r>
        <w:rPr>
          <w:rFonts w:hint="eastAsia" w:ascii="宋体" w:hAnsi="宋体" w:cs="宋体"/>
          <w:color w:val="auto"/>
          <w:sz w:val="24"/>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7"/>
        <w:numPr>
          <w:ilvl w:val="0"/>
          <w:numId w:val="10"/>
        </w:numPr>
        <w:rPr>
          <w:rFonts w:hint="eastAsia"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cs="宋体"/>
          <w:color w:val="auto"/>
          <w:highlight w:val="none"/>
        </w:rPr>
        <w:t xml:space="preserve">业绩情况表（如有）</w:t>
      </w:r>
      <w:r>
        <w:rPr>
          <w:rFonts w:hint="eastAsia" w:ascii="宋体" w:hAnsi="宋体" w:cs="宋体"/>
          <w:color w:val="auto"/>
          <w:szCs w:val="21"/>
          <w:highlight w:val="none"/>
        </w:rPr>
      </w:r>
      <w:r>
        <w:rPr>
          <w:color w:val="auto"/>
          <w:highlight w:val="none"/>
        </w:rPr>
      </w: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448"/>
        <w:gridCol w:w="1541"/>
        <w:gridCol w:w="738"/>
        <w:gridCol w:w="1391"/>
        <w:gridCol w:w="1661"/>
        <w:gridCol w:w="1294"/>
      </w:tblGrid>
      <w:tr>
        <w:trPr>
          <w:trHeight w:val="567"/>
        </w:trPr>
        <w:tc>
          <w:tcPr>
            <w:tcW w:w="75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货物名称</w:t>
            </w:r>
            <w:r>
              <w:rPr>
                <w:rFonts w:hint="eastAsia"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规格型号</w:t>
            </w:r>
            <w:r>
              <w:rPr>
                <w:rFonts w:hint="eastAsia"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联系人/电话</w:t>
            </w:r>
            <w:r>
              <w:rPr>
                <w:rFonts w:hint="eastAsia"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签订日期</w:t>
            </w:r>
            <w:r>
              <w:rPr>
                <w:rFonts w:hint="eastAsia" w:ascii="宋体" w:hAnsi="宋体" w:cs="宋体"/>
                <w:color w:val="auto"/>
                <w:sz w:val="24"/>
                <w:szCs w:val="24"/>
                <w:highlight w:val="none"/>
              </w:rPr>
            </w:r>
            <w:r>
              <w:rPr>
                <w:color w:val="auto"/>
                <w:highlight w:val="none"/>
              </w:rPr>
            </w:r>
          </w:p>
        </w:tc>
      </w:tr>
      <w:tr>
        <w:trPr>
          <w:trHeight w:val="567"/>
        </w:trPr>
        <w:tc>
          <w:tcPr>
            <w:tcW w:w="75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567"/>
        </w:trPr>
        <w:tc>
          <w:tcPr>
            <w:tcW w:w="75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trHeight w:val="574"/>
        </w:trPr>
        <w:tc>
          <w:tcPr>
            <w:tcW w:w="755"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44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54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738"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39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661"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c>
          <w:tcPr>
            <w:tcW w:w="1294" w:type="dxa"/>
            <w:vAlign w:val="center"/>
            <w:textDirection w:val="lrTb"/>
            <w:noWrap w:val="false"/>
          </w:tcPr>
          <w:p>
            <w:pPr>
              <w:pStyle w:val="905"/>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bl>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1.投标人须提供上述业绩合同复印件及评分标准中其他资料；</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2.所有合同复印件应清晰，应能体现合同签订时间、双方签名盖章等内容；</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3.投标人应在不涉</w:t>
      </w:r>
      <w:r>
        <w:rPr>
          <w:rFonts w:hint="eastAsia" w:ascii="宋体" w:hAnsi="宋体" w:cs="宋体"/>
          <w:color w:val="auto"/>
          <w:sz w:val="24"/>
          <w:szCs w:val="24"/>
          <w:highlight w:val="none"/>
        </w:rPr>
        <w:t xml:space="preserve">及商业秘密的前提下尽可能提供详细的合同复印件内容。</w:t>
      </w:r>
      <w:r>
        <w:rPr>
          <w:rFonts w:hint="eastAsia" w:ascii="宋体" w:hAnsi="宋体" w:cs="宋体"/>
          <w:color w:val="auto"/>
          <w:sz w:val="24"/>
          <w:szCs w:val="24"/>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rFonts w:hint="eastAsia" w:ascii="宋体" w:hAnsi="宋体" w:cs="宋体"/>
          <w:color w:val="auto"/>
          <w:highlight w:val="none"/>
        </w:rPr>
        <w:t xml:space="preserve">服务方案（如有）</w:t>
      </w:r>
      <w:r>
        <w:rPr>
          <w:rFonts w:hint="eastAsia" w:ascii="宋体" w:hAnsi="宋体" w:cs="宋体"/>
          <w:color w:val="auto"/>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投标人根据本项目的采购需求及评分标准的要</w:t>
      </w:r>
      <w:r>
        <w:rPr>
          <w:rFonts w:hint="eastAsia" w:ascii="宋体" w:hAnsi="宋体" w:cs="宋体"/>
          <w:bCs/>
          <w:color w:val="auto"/>
          <w:sz w:val="24"/>
          <w:szCs w:val="21"/>
          <w:highlight w:val="none"/>
        </w:rPr>
        <w:t xml:space="preserve">求编制项目服务方案，格式自拟</w:t>
      </w:r>
      <w:r>
        <w:rPr>
          <w:rFonts w:hint="eastAsia" w:ascii="宋体" w:hAnsi="宋体" w:cs="宋体"/>
          <w:bCs/>
          <w:color w:val="auto"/>
          <w:sz w:val="24"/>
          <w:szCs w:val="21"/>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5"/>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rFonts w:hint="eastAsia" w:ascii="宋体" w:hAnsi="宋体" w:cs="宋体"/>
          <w:color w:val="auto"/>
          <w:highlight w:val="none"/>
        </w:rPr>
        <w:t xml:space="preserve">价格扣除证明文件（如有）</w:t>
      </w:r>
      <w:r>
        <w:rPr>
          <w:rFonts w:hint="eastAsia" w:ascii="宋体" w:hAnsi="宋体" w:cs="宋体"/>
          <w:color w:val="auto"/>
          <w:highlight w:val="none"/>
        </w:rPr>
      </w:r>
      <w:r>
        <w:rPr>
          <w:color w:val="auto"/>
          <w:highlight w:val="none"/>
        </w:rPr>
      </w:r>
    </w:p>
    <w:p>
      <w:pPr>
        <w:pStyle w:val="920"/>
        <w:rPr>
          <w:rFonts w:hint="eastAsia" w:ascii="宋体" w:hAnsi="宋体" w:cs="宋体"/>
          <w:bCs/>
          <w:color w:val="auto"/>
          <w:highlight w:val="none"/>
        </w:rPr>
      </w:pPr>
      <w:r>
        <w:rPr>
          <w:rFonts w:hint="eastAsia" w:ascii="宋体" w:hAnsi="宋体" w:cs="宋体"/>
          <w:bCs/>
          <w:color w:val="auto"/>
          <w:highlight w:val="none"/>
        </w:rPr>
      </w:r>
      <w:r>
        <w:rPr>
          <w:color w:val="auto"/>
          <w:highlight w:val="none"/>
        </w:rPr>
      </w:r>
    </w:p>
    <w:p>
      <w:pPr>
        <w:pStyle w:val="90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（1）小微企业声明函（货物）（分包号：**）</w:t>
      </w:r>
      <w:r>
        <w:rPr>
          <w:rFonts w:hint="eastAsia" w:ascii="宋体" w:hAnsi="宋体" w:cs="宋体"/>
          <w:color w:val="auto"/>
          <w:sz w:val="28"/>
          <w:szCs w:val="28"/>
          <w:highlight w:val="none"/>
        </w:rPr>
      </w:r>
      <w:r>
        <w:rPr>
          <w:color w:val="auto"/>
          <w:highlight w:val="none"/>
        </w:rPr>
      </w:r>
    </w:p>
    <w:p>
      <w:pPr>
        <w:pStyle w:val="905"/>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的采购活动，提供的货物全部由符合政策要求的小微企业制造。根据《工业和信息化部、国家统计局、国家发展和改革委员会、财政部关于印发中小企业划</w:t>
      </w:r>
      <w:r>
        <w:rPr>
          <w:rFonts w:hint="eastAsia" w:ascii="宋体" w:hAnsi="宋体" w:cs="宋体"/>
          <w:color w:val="auto"/>
          <w:sz w:val="24"/>
          <w:szCs w:val="24"/>
          <w:highlight w:val="none"/>
        </w:rPr>
        <w:t xml:space="preserve">型标准规定的通知》（工信部联企业〔2011〕300号）的规定，相关企业（含联合体中的小微企业、签订分包意向协议的小</w:t>
      </w:r>
      <w:r>
        <w:rPr>
          <w:rFonts w:hint="eastAsia" w:ascii="宋体" w:hAnsi="宋体" w:cs="宋体"/>
          <w:color w:val="auto"/>
          <w:sz w:val="24"/>
          <w:szCs w:val="24"/>
          <w:highlight w:val="none"/>
        </w:rPr>
        <w:t xml:space="preserve">微企业）的具体情况如下：</w:t>
      </w:r>
      <w:r>
        <w:rPr>
          <w:rFonts w:hint="eastAsia" w:ascii="宋体" w:hAnsi="宋体" w:cs="宋体"/>
          <w:color w:val="auto"/>
          <w:sz w:val="24"/>
          <w:szCs w:val="24"/>
          <w:highlight w:val="none"/>
        </w:rPr>
      </w:r>
      <w:r>
        <w:rPr>
          <w:color w:val="auto"/>
          <w:highlight w:val="none"/>
        </w:rPr>
      </w:r>
    </w:p>
    <w:p>
      <w:pPr>
        <w:pStyle w:val="905"/>
        <w:ind w:firstLine="360"/>
        <w:spacing w:line="56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（小型企业、微型企业）；</w:t>
      </w:r>
      <w:r>
        <w:rPr>
          <w:rFonts w:hint="eastAsia" w:ascii="宋体" w:hAnsi="宋体" w:cs="宋体"/>
          <w:i/>
          <w:color w:val="auto"/>
          <w:sz w:val="24"/>
          <w:szCs w:val="24"/>
          <w:highlight w:val="none"/>
          <w:u w:val="single"/>
        </w:rPr>
      </w:r>
      <w:r>
        <w:rPr>
          <w:color w:val="auto"/>
          <w:highlight w:val="none"/>
        </w:rPr>
      </w:r>
    </w:p>
    <w:p>
      <w:pPr>
        <w:pStyle w:val="905"/>
        <w:ind w:firstLine="360"/>
        <w:spacing w:line="56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（小型企业、微型企业）；</w:t>
      </w:r>
      <w:r>
        <w:rPr>
          <w:rFonts w:hint="eastAsia" w:ascii="宋体" w:hAnsi="宋体" w:cs="宋体"/>
          <w:i/>
          <w:color w:val="auto"/>
          <w:sz w:val="24"/>
          <w:szCs w:val="24"/>
          <w:highlight w:val="none"/>
          <w:u w:val="single"/>
        </w:rPr>
      </w:r>
      <w:r>
        <w:rPr>
          <w:color w:val="auto"/>
          <w:highlight w:val="none"/>
        </w:rPr>
      </w:r>
    </w:p>
    <w:p>
      <w:pPr>
        <w:pStyle w:val="905"/>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w:t>
      </w:r>
      <w:r>
        <w:rPr>
          <w:rFonts w:hint="eastAsia" w:ascii="宋体" w:hAnsi="宋体" w:cs="宋体"/>
          <w:color w:val="auto"/>
          <w:sz w:val="24"/>
          <w:szCs w:val="24"/>
          <w:highlight w:val="none"/>
        </w:rPr>
        <w:t xml:space="preserve">的分支机构，不存在控股股东为大企业的情形，也不存在与大企业的负责人为同一人的情形。</w:t>
      </w:r>
      <w:r>
        <w:rPr>
          <w:rFonts w:hint="eastAsia" w:ascii="宋体" w:hAnsi="宋体" w:cs="宋体"/>
          <w:color w:val="auto"/>
          <w:sz w:val="24"/>
          <w:szCs w:val="24"/>
          <w:highlight w:val="none"/>
        </w:rPr>
      </w:r>
      <w:r>
        <w:rPr>
          <w:color w:val="auto"/>
          <w:highlight w:val="none"/>
        </w:rPr>
      </w:r>
    </w:p>
    <w:p>
      <w:pPr>
        <w:pStyle w:val="905"/>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w:t>
      </w:r>
      <w:r>
        <w:rPr>
          <w:rFonts w:hint="eastAsia" w:ascii="宋体" w:hAnsi="宋体" w:cs="宋体"/>
          <w:color w:val="auto"/>
          <w:sz w:val="24"/>
          <w:szCs w:val="24"/>
          <w:highlight w:val="none"/>
        </w:rPr>
        <w:t xml:space="preserve">责。如有虚假，将依法承担相应责任</w:t>
      </w:r>
      <w:r>
        <w:rPr>
          <w:rFonts w:hint="eastAsia" w:ascii="宋体" w:hAnsi="宋体" w:cs="宋体"/>
          <w:color w:val="auto"/>
          <w:sz w:val="24"/>
          <w:szCs w:val="24"/>
          <w:highlight w:val="none"/>
        </w:rPr>
      </w:r>
      <w:r>
        <w:rPr>
          <w:color w:val="auto"/>
          <w:highlight w:val="none"/>
        </w:rPr>
      </w:r>
    </w:p>
    <w:p>
      <w:pPr>
        <w:pStyle w:val="905"/>
        <w:ind w:right="72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ind w:right="180" w:firstLine="360"/>
        <w:jc w:val="righ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rPr>
          <w:rFonts w:hint="eastAsia" w:ascii="宋体" w:hAnsi="宋体" w:cs="宋体"/>
          <w:color w:val="auto"/>
          <w:sz w:val="24"/>
          <w:szCs w:val="24"/>
          <w:highlight w:val="none"/>
        </w:rPr>
      </w:r>
      <w:r>
        <w:rPr>
          <w:color w:val="auto"/>
          <w:highlight w:val="none"/>
        </w:rPr>
      </w:r>
    </w:p>
    <w:p>
      <w:pPr>
        <w:pStyle w:val="905"/>
        <w:ind w:right="480" w:firstLine="540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rPr>
      </w:r>
      <w:r>
        <w:rPr>
          <w:color w:val="auto"/>
          <w:highlight w:val="none"/>
        </w:rPr>
      </w:r>
    </w:p>
    <w:p>
      <w:pPr>
        <w:pStyle w:val="905"/>
        <w:ind w:firstLine="360"/>
        <w:spacing w:line="56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rPr>
          <w:color w:val="auto"/>
          <w:highlight w:val="none"/>
        </w:rPr>
      </w:r>
    </w:p>
    <w:p>
      <w:pPr>
        <w:pStyle w:val="905"/>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p>
      <w:pPr>
        <w:pStyle w:val="905"/>
        <w:ind w:firstLine="480"/>
        <w:rPr>
          <w:rFonts w:hint="eastAsia" w:ascii="宋体" w:hAnsi="宋体" w:cs="宋体"/>
          <w:color w:val="auto"/>
          <w:sz w:val="24"/>
          <w:highlight w:val="none"/>
        </w:rPr>
      </w:pPr>
      <w:r>
        <w:rPr>
          <w:rFonts w:hint="eastAsia" w:ascii="宋体" w:hAnsi="宋体" w:cs="宋体"/>
          <w:color w:val="auto"/>
          <w:sz w:val="24"/>
          <w:highlight w:val="none"/>
        </w:rPr>
        <w:t xml:space="preserve">1.从业人员、营业收入、资产总额填报上一年度数据，无上一年度数据的新成立企业可不填报。</w:t>
      </w:r>
      <w:r>
        <w:rPr>
          <w:rFonts w:hint="eastAsia" w:ascii="宋体" w:hAnsi="宋体" w:cs="宋体"/>
          <w:color w:val="auto"/>
          <w:sz w:val="24"/>
          <w:highlight w:val="none"/>
        </w:rPr>
      </w:r>
      <w:r>
        <w:rPr>
          <w:color w:val="auto"/>
          <w:highlight w:val="none"/>
        </w:rPr>
      </w:r>
    </w:p>
    <w:p>
      <w:pPr>
        <w:pStyle w:val="905"/>
        <w:ind w:firstLine="480"/>
        <w:rPr>
          <w:rFonts w:hint="eastAsia" w:ascii="宋体" w:hAnsi="宋体" w:cs="宋体"/>
          <w:color w:val="auto"/>
          <w:sz w:val="24"/>
          <w:highlight w:val="none"/>
        </w:rPr>
      </w:pPr>
      <w:r>
        <w:rPr>
          <w:rFonts w:hint="eastAsia" w:ascii="宋体" w:hAnsi="宋体" w:cs="宋体"/>
          <w:color w:val="auto"/>
          <w:sz w:val="24"/>
          <w:highlight w:val="none"/>
        </w:rPr>
        <w:t xml:space="preserve">2.供应商如不提供此声明函，价格将不做相应扣除。</w:t>
      </w:r>
      <w:r>
        <w:rPr>
          <w:rFonts w:hint="eastAsia" w:ascii="宋体" w:hAnsi="宋体" w:cs="宋体"/>
          <w:color w:val="auto"/>
          <w:sz w:val="24"/>
          <w:highlight w:val="none"/>
        </w:rPr>
      </w:r>
      <w:r>
        <w:rPr>
          <w:color w:val="auto"/>
          <w:highlight w:val="none"/>
        </w:rPr>
      </w:r>
    </w:p>
    <w:p>
      <w:pPr>
        <w:pStyle w:val="905"/>
        <w:ind w:firstLine="480"/>
        <w:rPr>
          <w:rFonts w:hint="eastAsia" w:ascii="宋体" w:hAnsi="宋体" w:cs="宋体"/>
          <w:color w:val="auto"/>
          <w:sz w:val="24"/>
          <w:highlight w:val="none"/>
        </w:rPr>
      </w:pPr>
      <w:r>
        <w:rPr>
          <w:rFonts w:hint="eastAsia" w:ascii="宋体" w:hAnsi="宋体" w:cs="宋体"/>
          <w:color w:val="auto"/>
          <w:sz w:val="24"/>
          <w:highlight w:val="none"/>
        </w:rPr>
        <w:t xml:space="preserve">3.供应商应对照《工业和信息化部、国家统计局、国家发展和改革委员会、财政部关于印发中小企业划型标准规定的通知》(工信部联企业〔2011〕300号)《国家统计局关于印发〈统</w:t>
      </w:r>
      <w:r>
        <w:rPr>
          <w:rFonts w:hint="eastAsia" w:ascii="宋体" w:hAnsi="宋体" w:cs="宋体"/>
          <w:color w:val="auto"/>
          <w:sz w:val="24"/>
          <w:highlight w:val="none"/>
        </w:rPr>
        <w:t xml:space="preserve">计上大中小微型企业划分办法（2017）〉的通知》（国统字〔2017〕213号）的规定，自行勾选制造商的企业规模类型</w:t>
      </w:r>
      <w:r>
        <w:rPr>
          <w:rFonts w:hint="eastAsia" w:ascii="宋体" w:hAnsi="宋体" w:cs="宋体"/>
          <w:color w:val="auto"/>
          <w:sz w:val="24"/>
          <w:highlight w:val="none"/>
        </w:rPr>
        <w:t xml:space="preserve">。</w:t>
      </w:r>
      <w:r>
        <w:rPr>
          <w:rFonts w:hint="eastAsia" w:ascii="宋体" w:hAnsi="宋体" w:cs="宋体"/>
          <w:color w:val="auto"/>
          <w:sz w:val="24"/>
          <w:highlight w:val="none"/>
        </w:rPr>
      </w:r>
      <w:r>
        <w:rPr>
          <w:color w:val="auto"/>
          <w:highlight w:val="none"/>
        </w:rPr>
      </w:r>
    </w:p>
    <w:p>
      <w:pPr>
        <w:pStyle w:val="905"/>
        <w:ind w:firstLine="480"/>
        <w:rPr>
          <w:rFonts w:hint="eastAsia" w:ascii="宋体" w:hAnsi="宋体" w:cs="宋体"/>
          <w:color w:val="auto"/>
          <w:sz w:val="24"/>
          <w:highlight w:val="none"/>
        </w:rPr>
      </w:pPr>
      <w:r>
        <w:rPr>
          <w:rFonts w:hint="eastAsia" w:ascii="宋体" w:hAnsi="宋体" w:cs="宋体"/>
          <w:color w:val="auto"/>
          <w:sz w:val="24"/>
          <w:highlight w:val="none"/>
        </w:rPr>
        <w:t xml:space="preserve">4.此声明函将随中标结果同时公告，接受社会监督</w:t>
      </w:r>
      <w:r>
        <w:rPr>
          <w:rFonts w:hint="eastAsia" w:ascii="宋体" w:hAnsi="宋体" w:cs="宋体"/>
          <w:color w:val="auto"/>
          <w:sz w:val="24"/>
          <w:highlight w:val="none"/>
        </w:rPr>
      </w:r>
      <w:r>
        <w:rPr>
          <w:color w:val="auto"/>
          <w:highlight w:val="none"/>
        </w:rPr>
      </w:r>
    </w:p>
    <w:p>
      <w:pPr>
        <w:pStyle w:val="905"/>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8"/>
          <w:szCs w:val="28"/>
          <w:highlight w:val="none"/>
        </w:rPr>
      </w:pPr>
      <w:r>
        <w:rPr>
          <w:color w:val="auto"/>
          <w:highlight w:val="none"/>
        </w:rPr>
      </w:r>
      <w:bookmarkStart w:id="195" w:name="_Toc29804"/>
      <w:r>
        <w:rPr>
          <w:rFonts w:hint="eastAsia" w:ascii="宋体" w:hAnsi="宋体" w:cs="宋体"/>
          <w:color w:val="auto"/>
          <w:sz w:val="28"/>
          <w:szCs w:val="28"/>
          <w:highlight w:val="none"/>
        </w:rPr>
        <w:t xml:space="preserve">（2）残疾人福利性单位声明函（如适用）</w:t>
      </w:r>
      <w:bookmarkEnd w:id="195"/>
      <w:r>
        <w:rPr>
          <w:rFonts w:hint="eastAsia" w:ascii="宋体" w:hAnsi="宋体" w:cs="宋体"/>
          <w:color w:val="auto"/>
          <w:sz w:val="28"/>
          <w:szCs w:val="28"/>
          <w:highlight w:val="none"/>
        </w:rPr>
      </w:r>
      <w:r>
        <w:rPr>
          <w:color w:val="auto"/>
          <w:highlight w:val="none"/>
        </w:rPr>
      </w:r>
    </w:p>
    <w:p>
      <w:pPr>
        <w:pStyle w:val="905"/>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项目（分包号：**）采购活动提供本单位制造的货物，或者提供其他残疾人</w:t>
      </w:r>
      <w:r>
        <w:rPr>
          <w:rFonts w:hint="eastAsia" w:ascii="宋体" w:hAnsi="宋体" w:cs="宋体"/>
          <w:color w:val="auto"/>
          <w:sz w:val="24"/>
          <w:szCs w:val="21"/>
          <w:highlight w:val="none"/>
        </w:rPr>
        <w:t xml:space="preserve">福利性单位制造的货物（不包括使用非残疾人福利性单位注册商标的货物）。</w:t>
      </w:r>
      <w:r>
        <w:rPr>
          <w:rFonts w:hint="eastAsia" w:ascii="宋体" w:hAnsi="宋体" w:cs="宋体"/>
          <w:color w:val="auto"/>
          <w:sz w:val="24"/>
          <w:szCs w:val="21"/>
          <w:highlight w:val="none"/>
        </w:rPr>
      </w:r>
      <w:r>
        <w:rPr>
          <w:color w:val="auto"/>
          <w:highlight w:val="none"/>
        </w:rPr>
      </w:r>
    </w:p>
    <w:p>
      <w:pPr>
        <w:pStyle w:val="905"/>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w:t>
      </w:r>
      <w:r>
        <w:rPr>
          <w:rFonts w:hint="eastAsia" w:ascii="宋体" w:hAnsi="宋体" w:cs="宋体"/>
          <w:color w:val="auto"/>
          <w:sz w:val="24"/>
          <w:szCs w:val="21"/>
          <w:highlight w:val="none"/>
        </w:rPr>
        <w:t xml:space="preserve">法承担相应责任。</w:t>
      </w:r>
      <w:r>
        <w:rPr>
          <w:rFonts w:hint="eastAsia" w:ascii="宋体" w:hAnsi="宋体" w:cs="宋体"/>
          <w:color w:val="auto"/>
          <w:sz w:val="24"/>
          <w:szCs w:val="21"/>
          <w:highlight w:val="none"/>
        </w:rPr>
      </w:r>
      <w:r>
        <w:rPr>
          <w:color w:val="auto"/>
          <w:highlight w:val="none"/>
        </w:rPr>
      </w:r>
    </w:p>
    <w:p>
      <w:pPr>
        <w:pStyle w:val="905"/>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5"/>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color w:val="auto"/>
          <w:sz w:val="24"/>
          <w:szCs w:val="21"/>
          <w:highlight w:val="none"/>
        </w:rPr>
      </w:r>
      <w:r>
        <w:rPr>
          <w:color w:val="auto"/>
          <w:highlight w:val="none"/>
        </w:rPr>
      </w:r>
    </w:p>
    <w:p>
      <w:pPr>
        <w:pStyle w:val="905"/>
        <w:rPr>
          <w:rFonts w:hint="eastAsia" w:ascii="宋体" w:hAnsi="宋体" w:cs="宋体"/>
          <w:color w:val="auto"/>
          <w:sz w:val="24"/>
          <w:highlight w:val="none"/>
        </w:rPr>
      </w:pPr>
      <w:r>
        <w:rPr>
          <w:rFonts w:hint="eastAsia" w:ascii="宋体" w:hAnsi="宋体" w:cs="宋体"/>
          <w:color w:val="auto"/>
          <w:sz w:val="24"/>
          <w:highlight w:val="none"/>
        </w:rPr>
      </w:r>
      <w:r>
        <w:rPr>
          <w:color w:val="auto"/>
          <w:highlight w:val="none"/>
        </w:rPr>
      </w:r>
    </w:p>
    <w:p>
      <w:pPr>
        <w:pStyle w:val="905"/>
        <w:ind w:right="180" w:firstLine="360"/>
        <w:jc w:val="righ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rPr>
          <w:rFonts w:hint="eastAsia" w:ascii="宋体" w:hAnsi="宋体" w:cs="宋体"/>
          <w:color w:val="auto"/>
          <w:sz w:val="24"/>
          <w:szCs w:val="24"/>
          <w:highlight w:val="none"/>
        </w:rPr>
      </w:r>
      <w:r>
        <w:rPr>
          <w:color w:val="auto"/>
          <w:highlight w:val="none"/>
        </w:rPr>
      </w:r>
    </w:p>
    <w:p>
      <w:pPr>
        <w:pStyle w:val="905"/>
        <w:ind w:right="480" w:firstLine="540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rPr>
      </w:r>
      <w:r>
        <w:rPr>
          <w:color w:val="auto"/>
          <w:highlight w:val="none"/>
        </w:rPr>
      </w:r>
    </w:p>
    <w:p>
      <w:pPr>
        <w:pStyle w:val="905"/>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（3）关于符合本国产品标准的声明函（采购包号：**）</w:t>
      </w:r>
      <w:r>
        <w:rPr>
          <w:rFonts w:hint="eastAsia" w:ascii="宋体" w:hAnsi="宋体" w:cs="宋体"/>
          <w:color w:val="auto"/>
          <w:sz w:val="28"/>
          <w:szCs w:val="28"/>
          <w:highlight w:val="none"/>
        </w:rPr>
      </w:r>
      <w:r>
        <w:rPr>
          <w:color w:val="auto"/>
          <w:highlight w:val="none"/>
        </w:rPr>
      </w:r>
    </w:p>
    <w:p>
      <w:pPr>
        <w:pStyle w:val="971"/>
        <w:ind w:firstLine="420"/>
        <w:spacing w:before="0" w:beforeAutospacing="0" w:after="0" w:afterAutospacing="0" w:line="0" w:lineRule="atLeast"/>
        <w:rPr>
          <w:rFonts w:hint="eastAsia"/>
          <w:color w:val="auto"/>
          <w:highlight w:val="none"/>
        </w:rPr>
      </w:pPr>
      <w:r>
        <w:rPr>
          <w:rFonts w:hint="eastAsia"/>
          <w:color w:val="auto"/>
          <w:highlight w:val="none"/>
        </w:rPr>
      </w:r>
      <w:r>
        <w:rPr>
          <w:color w:val="auto"/>
          <w:highlight w:val="none"/>
        </w:rPr>
      </w:r>
    </w:p>
    <w:p>
      <w:pPr>
        <w:pStyle w:val="971"/>
        <w:ind w:firstLine="420"/>
        <w:spacing w:before="0" w:beforeAutospacing="0" w:after="0" w:afterAutospacing="0" w:line="0" w:lineRule="atLeast"/>
        <w:rPr>
          <w:rFonts w:hint="eastAsia"/>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w:t>
      </w:r>
      <w:r>
        <w:rPr>
          <w:rFonts w:hint="eastAsia"/>
          <w:color w:val="auto"/>
          <w:highlight w:val="none"/>
        </w:rPr>
        <w:t xml:space="preserve">位）提供的以下产品属于本国产品。具体情况如下：</w:t>
      </w:r>
      <w:r>
        <w:rPr>
          <w:rFonts w:hint="eastAsia"/>
          <w:color w:val="auto"/>
          <w:highlight w:val="none"/>
        </w:rPr>
      </w:r>
      <w:r>
        <w:rPr>
          <w:color w:val="auto"/>
          <w:highlight w:val="none"/>
        </w:rPr>
      </w:r>
    </w:p>
    <w:p>
      <w:pPr>
        <w:pStyle w:val="971"/>
        <w:ind w:firstLine="420"/>
        <w:spacing w:before="30" w:beforeAutospacing="0" w:after="30" w:afterAutospacing="0" w:line="0" w:lineRule="atLeas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450850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9;o:allowoverlap:true;o:allowincell:true;mso-position-horizontal-relative:text;margin-left:244.8pt;mso-position-horizontal:absolute;mso-position-vertical-relative:text;margin-top:3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467995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53.2pt;mso-position-horizontal:absolute;mso-position-vertical-relative:text;margin-top:36.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5132070</wp:posOffset>
                </wp:positionH>
                <wp:positionV relativeFrom="paragraph">
                  <wp:posOffset>259080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404.1pt;mso-position-horizontal:absolute;mso-position-vertical-relative:text;margin-top:20.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3964940</wp:posOffset>
                </wp:positionH>
                <wp:positionV relativeFrom="paragraph">
                  <wp:posOffset>256540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2.2pt;mso-position-horizontal:absolute;mso-position-vertical-relative:text;margin-top:20.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463550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1;o:allowoverlap:true;o:allowincell:true;mso-position-horizontal-relative:text;margin-left:-0.7pt;mso-position-horizontal:absolute;mso-position-vertical-relative:text;margin-top:3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271780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pt;mso-position-horizontal:absolute;mso-position-vertical-relative:text;margin-top:21.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2848610</wp:posOffset>
                </wp:positionH>
                <wp:positionV relativeFrom="paragraph">
                  <wp:posOffset>282575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24.3pt;mso-position-horizontal:absolute;mso-position-vertical-relative:text;margin-top:2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4665345</wp:posOffset>
                </wp:positionH>
                <wp:positionV relativeFrom="paragraph">
                  <wp:posOffset>90170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7.3pt;mso-position-horizontal:absolute;mso-position-vertical-relative:text;margin-top:7.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shd w:val="clear" w:color="auto" w:fill="ffffff"/>
        </w:rPr>
        <w:t xml:space="preserve">1.</w:t>
      </w:r>
      <w:r>
        <w:rPr>
          <w:rStyle w:val="983"/>
          <w:rFonts w:hint="eastAsia"/>
          <w:i w:val="0"/>
          <w:color w:val="auto"/>
          <w:highlight w:val="none"/>
          <w:u w:val="single"/>
          <w:shd w:val="clear" w:color="auto" w:fill="ffffff"/>
        </w:rPr>
        <w:t xml:space="preserve">（产品名称1）</w:t>
      </w:r>
      <w:r>
        <w:rPr>
          <w:rStyle w:val="983"/>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983"/>
          <w:rFonts w:hint="eastAsia"/>
          <w:i w:val="0"/>
          <w:color w:val="auto"/>
          <w:highlight w:val="none"/>
          <w:u w:val="single"/>
          <w:shd w:val="clear" w:color="auto" w:fill="ffffff"/>
        </w:rPr>
        <w:t xml:space="preserve">（厂名）</w:t>
      </w:r>
      <w:r>
        <w:rPr>
          <w:rStyle w:val="983"/>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983"/>
          <w:rFonts w:hint="eastAsia"/>
          <w:i w:val="0"/>
          <w:color w:val="auto"/>
          <w:highlight w:val="none"/>
          <w:u w:val="single"/>
          <w:shd w:val="clear" w:color="auto" w:fill="ffffff"/>
        </w:rPr>
        <w:t xml:space="preserve">（</w:t>
      </w:r>
      <w:r>
        <w:rPr>
          <w:rStyle w:val="983"/>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983"/>
          <w:rFonts w:hint="eastAsia"/>
          <w:i w:val="0"/>
          <w:color w:val="auto"/>
          <w:highlight w:val="none"/>
          <w:u w:val="single"/>
          <w:shd w:val="clear" w:color="auto" w:fill="ffffff"/>
        </w:rPr>
        <w:t xml:space="preserve">（产品名称1） </w:t>
      </w:r>
      <w:r>
        <w:rPr>
          <w:rFonts w:hint="eastAsia"/>
          <w:color w:val="auto"/>
          <w:highlight w:val="none"/>
          <w:shd w:val="clear" w:color="auto" w:fill="ffffff"/>
        </w:rPr>
        <w:t xml:space="preserve">的中国境内生产的组件成本占比≥</w:t>
      </w:r>
      <w:r>
        <w:rPr>
          <w:rStyle w:val="983"/>
          <w:rFonts w:hint="eastAsia"/>
          <w:i w:val="0"/>
          <w:color w:val="auto"/>
          <w:highlight w:val="none"/>
          <w:u w:val="single"/>
          <w:shd w:val="clear" w:color="auto" w:fill="ffffff"/>
        </w:rPr>
        <w:t xml:space="preserve">（规定比例）</w:t>
      </w:r>
      <w:r>
        <w:rPr>
          <w:rStyle w:val="983"/>
          <w:rFonts w:hint="eastAsia"/>
          <w:i w:val="0"/>
          <w:color w:val="auto"/>
          <w:highlight w:val="none"/>
          <w:shd w:val="clear" w:color="auto" w:fill="ffffff"/>
          <w:vertAlign w:val="superscript"/>
        </w:rPr>
        <w:t xml:space="preserve">3</w:t>
      </w:r>
      <w:r>
        <w:rPr>
          <w:rFonts w:hint="eastAsia"/>
          <w:color w:val="auto"/>
          <w:highlight w:val="none"/>
          <w:shd w:val="clear" w:color="auto" w:fill="ffffff"/>
        </w:rPr>
        <w:t xml:space="preserve">。</w:t>
      </w:r>
      <w:r>
        <w:rPr>
          <w:rStyle w:val="983"/>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83"/>
          <w:rFonts w:hint="eastAsia"/>
          <w:i w:val="0"/>
          <w:color w:val="auto"/>
          <w:highlight w:val="none"/>
          <w:u w:val="single"/>
          <w:shd w:val="clear" w:color="auto" w:fill="ffffff"/>
        </w:rPr>
        <w:t xml:space="preserve">（关键组件）</w:t>
      </w:r>
      <w:r>
        <w:rPr>
          <w:rStyle w:val="983"/>
          <w:rFonts w:hint="eastAsia"/>
          <w:i w:val="0"/>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Style w:val="983"/>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83"/>
          <w:rFonts w:hint="eastAsia"/>
          <w:i w:val="0"/>
          <w:color w:val="auto"/>
          <w:highlight w:val="none"/>
          <w:u w:val="single"/>
          <w:shd w:val="clear" w:color="auto" w:fill="ffffff"/>
        </w:rPr>
        <w:t xml:space="preserve">（关键工序）</w:t>
      </w:r>
      <w:r>
        <w:rPr>
          <w:rStyle w:val="983"/>
          <w:rFonts w:hint="eastAsia"/>
          <w:i w:val="0"/>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rPr>
          <w:rFonts w:hint="eastAsia"/>
          <w:color w:val="auto"/>
          <w:highlight w:val="none"/>
        </w:rPr>
      </w:r>
      <w:r>
        <w:rPr>
          <w:color w:val="auto"/>
          <w:highlight w:val="none"/>
        </w:rPr>
      </w:r>
    </w:p>
    <w:p>
      <w:pPr>
        <w:pStyle w:val="971"/>
        <w:ind w:firstLine="420"/>
        <w:spacing w:before="30" w:beforeAutospacing="0" w:after="30" w:afterAutospacing="0" w:line="0" w:lineRule="atLeast"/>
        <w:rPr>
          <w:rFonts w:hint="eastAsia"/>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2400935</wp:posOffset>
                </wp:positionH>
                <wp:positionV relativeFrom="paragraph">
                  <wp:posOffset>453390</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189.0pt;mso-position-horizontal:absolute;mso-position-vertical-relative:text;margin-top:35.7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1250315</wp:posOffset>
                </wp:positionH>
                <wp:positionV relativeFrom="paragraph">
                  <wp:posOffset>446405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98.4pt;mso-position-horizontal:absolute;mso-position-vertical-relative:text;margin-top:35.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4780915</wp:posOffset>
                </wp:positionH>
                <wp:positionV relativeFrom="paragraph">
                  <wp:posOffset>220980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376.4pt;mso-position-horizontal:absolute;mso-position-vertical-relative:text;margin-top:17.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3469640</wp:posOffset>
                </wp:positionH>
                <wp:positionV relativeFrom="paragraph">
                  <wp:posOffset>242570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73.2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2360930</wp:posOffset>
                </wp:positionH>
                <wp:positionV relativeFrom="paragraph">
                  <wp:posOffset>211455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85.9pt;mso-position-horizontal:absolute;mso-position-vertical-relative:text;margin-top:16.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4574540</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360.2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auto"/>
          <w:highlight w:val="none"/>
          <w:shd w:val="clear" w:color="auto" w:fill="ffffff"/>
        </w:rPr>
        <w:t xml:space="preserve">2.</w:t>
      </w:r>
      <w:r>
        <w:rPr>
          <w:rStyle w:val="983"/>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983"/>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83"/>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83"/>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的中国境内生产的组件成本占比≥</w:t>
      </w:r>
      <w:r>
        <w:rPr>
          <w:rStyle w:val="983"/>
          <w:rFonts w:hint="eastAsia"/>
          <w:i w:val="0"/>
          <w:color w:val="auto"/>
          <w:highlight w:val="none"/>
          <w:u w:val="single"/>
          <w:shd w:val="clear" w:color="auto" w:fill="ffffff"/>
        </w:rPr>
        <w:t xml:space="preserve">（规定比例）</w:t>
      </w:r>
      <w:r>
        <w:rPr>
          <w:rFonts w:hint="eastAsia"/>
          <w:color w:val="auto"/>
          <w:highlight w:val="none"/>
          <w:shd w:val="clear" w:color="auto" w:fill="ffffff"/>
        </w:rPr>
        <w:t xml:space="preserve">。</w:t>
      </w:r>
      <w:r>
        <w:rPr>
          <w:rStyle w:val="983"/>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的</w:t>
      </w:r>
      <w:r>
        <w:rPr>
          <w:rStyle w:val="983"/>
          <w:rFonts w:hint="eastAsia"/>
          <w:i w:val="0"/>
          <w:color w:val="auto"/>
          <w:highlight w:val="none"/>
          <w:u w:val="single"/>
          <w:shd w:val="clear" w:color="auto" w:fill="ffffff"/>
        </w:rPr>
        <w:t xml:space="preserve">（关键组件）</w:t>
      </w:r>
      <w:r>
        <w:rPr>
          <w:rFonts w:hint="eastAsia"/>
          <w:color w:val="auto"/>
          <w:highlight w:val="none"/>
          <w:shd w:val="clear" w:color="auto" w:fill="ffffff"/>
        </w:rPr>
        <w:t xml:space="preserve">在中国境内生产。</w:t>
      </w:r>
      <w:r>
        <w:rPr>
          <w:rStyle w:val="983"/>
          <w:rFonts w:hint="eastAsia"/>
          <w:i w:val="0"/>
          <w:color w:val="auto"/>
          <w:highlight w:val="none"/>
          <w:u w:val="single"/>
          <w:shd w:val="clear" w:color="auto" w:fill="ffffff"/>
        </w:rPr>
        <w:t xml:space="preserve">（产品名称1）</w:t>
      </w:r>
      <w:r>
        <w:rPr>
          <w:rFonts w:hint="eastAsia"/>
          <w:color w:val="auto"/>
          <w:highlight w:val="none"/>
          <w:shd w:val="clear" w:color="auto" w:fill="ffffff"/>
        </w:rPr>
        <w:t xml:space="preserve">的</w:t>
      </w:r>
      <w:r>
        <w:rPr>
          <w:rStyle w:val="983"/>
          <w:rFonts w:hint="eastAsia"/>
          <w:i w:val="0"/>
          <w:color w:val="auto"/>
          <w:highlight w:val="none"/>
          <w:u w:val="single"/>
          <w:shd w:val="clear" w:color="auto" w:fill="ffffff"/>
        </w:rPr>
        <w:t xml:space="preserve">（关键工序）</w:t>
      </w:r>
      <w:r>
        <w:rPr>
          <w:rFonts w:hint="eastAsia"/>
          <w:color w:val="auto"/>
          <w:highlight w:val="none"/>
          <w:shd w:val="clear" w:color="auto" w:fill="ffffff"/>
        </w:rPr>
        <w:t xml:space="preserve">在中国境内完成。</w:t>
      </w:r>
      <w:r>
        <w:rPr>
          <w:rFonts w:hint="eastAsia"/>
          <w:color w:val="auto"/>
          <w:highlight w:val="none"/>
        </w:rPr>
      </w:r>
      <w:r>
        <w:rPr>
          <w:color w:val="auto"/>
          <w:highlight w:val="none"/>
        </w:rPr>
      </w:r>
    </w:p>
    <w:p>
      <w:pPr>
        <w:pStyle w:val="971"/>
        <w:ind w:firstLine="420"/>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w:t>
      </w:r>
      <w:r>
        <w:rPr>
          <w:rFonts w:hint="eastAsia"/>
          <w:color w:val="auto"/>
          <w:highlight w:val="none"/>
        </w:rPr>
      </w:r>
      <w:r>
        <w:rPr>
          <w:color w:val="auto"/>
          <w:highlight w:val="none"/>
        </w:rPr>
      </w:r>
    </w:p>
    <w:p>
      <w:pPr>
        <w:pStyle w:val="971"/>
        <w:ind w:firstLine="420"/>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本公</w:t>
      </w:r>
      <w:r>
        <w:rPr>
          <w:rFonts w:hint="eastAsia"/>
          <w:color w:val="auto"/>
          <w:highlight w:val="none"/>
          <w:shd w:val="clear" w:color="auto" w:fill="ffffff"/>
        </w:rPr>
        <w:t xml:space="preserve">司（单位）对上述声明内容的真实性负责。如有虚假，愿承担相应法律责任。</w:t>
      </w:r>
      <w:r>
        <w:rPr>
          <w:rFonts w:hint="eastAsia"/>
          <w:color w:val="auto"/>
          <w:highlight w:val="none"/>
        </w:rPr>
      </w:r>
      <w:r>
        <w:rPr>
          <w:color w:val="auto"/>
          <w:highlight w:val="none"/>
        </w:rPr>
      </w:r>
    </w:p>
    <w:p>
      <w:pPr>
        <w:pStyle w:val="971"/>
        <w:spacing w:before="30" w:beforeAutospacing="0" w:after="30" w:afterAutospacing="0" w:line="0" w:lineRule="atLeast"/>
        <w:rPr>
          <w:rFonts w:hint="eastAsia"/>
          <w:color w:val="auto"/>
          <w:highlight w:val="none"/>
        </w:rPr>
      </w:pPr>
      <w:r>
        <w:rPr>
          <w:rFonts w:hint="eastAsia"/>
          <w:color w:val="auto"/>
          <w:highlight w:val="none"/>
        </w:rPr>
      </w:r>
      <w:r>
        <w:rPr>
          <w:color w:val="auto"/>
          <w:highlight w:val="none"/>
        </w:rPr>
      </w:r>
    </w:p>
    <w:p>
      <w:pPr>
        <w:pStyle w:val="971"/>
        <w:ind w:right="480" w:firstLine="3720"/>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公司（单位）名称（盖章）：　       </w:t>
      </w:r>
      <w:r>
        <w:rPr>
          <w:rFonts w:hint="eastAsia"/>
          <w:color w:val="auto"/>
          <w:highlight w:val="none"/>
          <w:shd w:val="clear" w:color="auto" w:fill="ffffff"/>
        </w:rPr>
        <w:t xml:space="preserve"> </w:t>
      </w:r>
      <w:r>
        <w:rPr>
          <w:rFonts w:hint="eastAsia"/>
          <w:color w:val="auto"/>
          <w:highlight w:val="none"/>
        </w:rPr>
      </w:r>
      <w:r>
        <w:rPr>
          <w:color w:val="auto"/>
          <w:highlight w:val="none"/>
        </w:rPr>
      </w:r>
    </w:p>
    <w:p>
      <w:pPr>
        <w:pStyle w:val="971"/>
        <w:jc w:val="center"/>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                                日期：　   年　  月　  日         </w:t>
      </w:r>
      <w:r>
        <w:rPr>
          <w:rFonts w:hint="eastAsia"/>
          <w:color w:val="auto"/>
          <w:highlight w:val="none"/>
        </w:rPr>
      </w:r>
      <w:r>
        <w:rPr>
          <w:color w:val="auto"/>
          <w:highlight w:val="none"/>
        </w:rPr>
      </w:r>
    </w:p>
    <w:p>
      <w:pPr>
        <w:pStyle w:val="971"/>
        <w:spacing w:before="30" w:beforeAutospacing="0" w:after="30" w:afterAutospacing="0" w:line="0" w:lineRule="atLeast"/>
        <w:rPr>
          <w:rFonts w:hint="eastAsia"/>
          <w:color w:val="auto"/>
          <w:highlight w:val="none"/>
        </w:rPr>
      </w:pPr>
      <w:r>
        <w:rPr>
          <w:rFonts w:hint="eastAsia"/>
          <w:color w:val="auto"/>
          <w:highlight w:val="none"/>
          <w:shd w:val="clear" w:color="auto" w:fill="ffffff"/>
        </w:rPr>
        <w:t xml:space="preserve">__________________</w:t>
      </w:r>
      <w:r>
        <w:rPr>
          <w:rFonts w:hint="eastAsia"/>
          <w:color w:val="auto"/>
          <w:highlight w:val="none"/>
        </w:rPr>
      </w:r>
      <w:r>
        <w:rPr>
          <w:color w:val="auto"/>
          <w:highlight w:val="none"/>
        </w:rPr>
      </w:r>
    </w:p>
    <w:p>
      <w:pPr>
        <w:pStyle w:val="971"/>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1.产品如有型号，请在“产品名称”栏一并填写。</w:t>
      </w:r>
      <w:r>
        <w:rPr>
          <w:rFonts w:hint="eastAsia"/>
          <w:color w:val="auto"/>
          <w:sz w:val="22"/>
          <w:highlight w:val="none"/>
        </w:rPr>
      </w:r>
      <w:r>
        <w:rPr>
          <w:color w:val="auto"/>
          <w:highlight w:val="none"/>
        </w:rPr>
      </w:r>
    </w:p>
    <w:p>
      <w:pPr>
        <w:pStyle w:val="971"/>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2.生产厂名与厂址应与生产厂营业执照载明的相关信息保持一致。</w:t>
      </w:r>
      <w:r>
        <w:rPr>
          <w:rFonts w:hint="eastAsia"/>
          <w:color w:val="auto"/>
          <w:sz w:val="22"/>
          <w:highlight w:val="none"/>
        </w:rPr>
      </w:r>
      <w:r>
        <w:rPr>
          <w:color w:val="auto"/>
          <w:highlight w:val="none"/>
        </w:rPr>
      </w:r>
    </w:p>
    <w:p>
      <w:pPr>
        <w:pStyle w:val="971"/>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3.该产品的中国境内生产的组件成本占比相关要求实施前，“规定比例”栏可不填，下同。</w:t>
      </w:r>
      <w:r>
        <w:rPr>
          <w:rFonts w:hint="eastAsia"/>
          <w:color w:val="auto"/>
          <w:sz w:val="22"/>
          <w:highlight w:val="none"/>
        </w:rPr>
      </w:r>
      <w:r>
        <w:rPr>
          <w:color w:val="auto"/>
          <w:highlight w:val="none"/>
        </w:rPr>
      </w:r>
    </w:p>
    <w:p>
      <w:pPr>
        <w:pStyle w:val="971"/>
        <w:spacing w:before="30" w:beforeAutospacing="0" w:after="30" w:afterAutospacing="0" w:line="0" w:lineRule="atLeast"/>
        <w:rPr>
          <w:rFonts w:hint="eastAsia"/>
          <w:color w:val="auto"/>
          <w:sz w:val="22"/>
          <w:highlight w:val="none"/>
        </w:rPr>
      </w:pPr>
      <w:r>
        <w:rPr>
          <w:rFonts w:hint="eastAsia"/>
          <w:color w:val="auto"/>
          <w:sz w:val="22"/>
          <w:highlight w:val="none"/>
          <w:shd w:val="clear" w:color="auto" w:fill="ffffff"/>
        </w:rPr>
        <w:t xml:space="preserve">4.该产品的关键组件要求实施前，“关键组件”栏</w:t>
      </w:r>
      <w:r>
        <w:rPr>
          <w:rFonts w:hint="eastAsia"/>
          <w:color w:val="auto"/>
          <w:sz w:val="22"/>
          <w:highlight w:val="none"/>
          <w:shd w:val="clear" w:color="auto" w:fill="ffffff"/>
        </w:rPr>
        <w:t xml:space="preserve">可不填，下同。</w:t>
      </w:r>
      <w:r>
        <w:rPr>
          <w:rFonts w:hint="eastAsia"/>
          <w:color w:val="auto"/>
          <w:sz w:val="22"/>
          <w:highlight w:val="none"/>
        </w:rPr>
      </w:r>
      <w:r>
        <w:rPr>
          <w:color w:val="auto"/>
          <w:highlight w:val="none"/>
        </w:rPr>
      </w:r>
    </w:p>
    <w:p>
      <w:pPr>
        <w:pStyle w:val="971"/>
        <w:spacing w:before="30" w:beforeAutospacing="0" w:after="30" w:afterAutospacing="0" w:line="0" w:lineRule="atLeast"/>
        <w:rPr>
          <w:rFonts w:hint="eastAsia"/>
          <w:color w:val="auto"/>
          <w:sz w:val="22"/>
          <w:highlight w:val="none"/>
          <w:shd w:val="clear" w:color="auto" w:fill="ffffff"/>
        </w:rPr>
      </w:pPr>
      <w:r>
        <w:rPr>
          <w:rFonts w:hint="eastAsia"/>
          <w:color w:val="auto"/>
          <w:sz w:val="22"/>
          <w:highlight w:val="none"/>
          <w:shd w:val="clear" w:color="auto" w:fill="ffffff"/>
        </w:rPr>
        <w:t xml:space="preserve">5.该产品的关键工序要求实施前，“关键工序”栏可不填，下同。</w:t>
      </w:r>
      <w:r>
        <w:rPr>
          <w:rFonts w:hint="eastAsia"/>
          <w:color w:val="auto"/>
          <w:sz w:val="22"/>
          <w:highlight w:val="none"/>
          <w:shd w:val="clear" w:color="auto" w:fill="ffffff"/>
        </w:rPr>
      </w:r>
      <w:r>
        <w:rPr>
          <w:color w:val="auto"/>
          <w:highlight w:val="none"/>
        </w:rPr>
      </w:r>
    </w:p>
    <w:p>
      <w:pPr>
        <w:pStyle w:val="971"/>
        <w:spacing w:before="30" w:beforeAutospacing="0" w:after="30" w:afterAutospacing="0" w:line="0" w:lineRule="atLeast"/>
        <w:rPr>
          <w:rFonts w:hint="eastAsia"/>
          <w:color w:val="auto"/>
          <w:sz w:val="22"/>
          <w:highlight w:val="none"/>
          <w:shd w:val="clear" w:color="auto" w:fill="ffffff"/>
        </w:rPr>
      </w:pPr>
      <w:r>
        <w:rPr>
          <w:rFonts w:hint="eastAsia"/>
          <w:color w:val="auto"/>
          <w:sz w:val="22"/>
          <w:highlight w:val="none"/>
          <w:shd w:val="clear" w:color="auto" w:fill="ffffff"/>
        </w:rPr>
        <w:t xml:space="preserve">6.用斜线划除的地方无需填写。</w:t>
      </w:r>
      <w:r>
        <w:rPr>
          <w:rFonts w:hint="eastAsia"/>
          <w:color w:val="auto"/>
          <w:sz w:val="22"/>
          <w:highlight w:val="none"/>
          <w:shd w:val="clear" w:color="auto" w:fill="ffffff"/>
        </w:rPr>
      </w:r>
      <w:r>
        <w:rPr>
          <w:color w:val="auto"/>
          <w:highlight w:val="none"/>
        </w:rPr>
      </w:r>
    </w:p>
    <w:p>
      <w:pPr>
        <w:pStyle w:val="971"/>
        <w:spacing w:before="30" w:beforeAutospacing="0" w:after="30" w:afterAutospacing="0" w:line="0" w:lineRule="atLeast"/>
        <w:rPr>
          <w:rFonts w:hint="eastAsia"/>
          <w:color w:val="auto"/>
          <w:sz w:val="22"/>
          <w:highlight w:val="none"/>
          <w:shd w:val="clear" w:color="auto" w:fill="ffffff"/>
        </w:rPr>
      </w:pPr>
      <w:r>
        <w:rPr>
          <w:rFonts w:hint="eastAsia"/>
          <w:color w:val="auto"/>
          <w:sz w:val="22"/>
          <w:highlight w:val="none"/>
          <w:shd w:val="clear" w:color="auto" w:fill="ffffff"/>
        </w:rPr>
      </w:r>
      <w:r>
        <w:rPr>
          <w:color w:val="auto"/>
          <w:highlight w:val="none"/>
        </w:rPr>
      </w:r>
    </w:p>
    <w:p>
      <w:pPr>
        <w:pStyle w:val="971"/>
        <w:spacing w:before="30" w:beforeAutospacing="0" w:after="30" w:afterAutospacing="0" w:line="0" w:lineRule="atLeast"/>
        <w:rPr>
          <w:rFonts w:hint="eastAsia"/>
          <w:color w:val="auto"/>
          <w:sz w:val="22"/>
          <w:highlight w:val="none"/>
        </w:rPr>
      </w:pPr>
      <w:r>
        <w:rPr>
          <w:rFonts w:hint="eastAsia"/>
          <w:color w:val="auto"/>
          <w:sz w:val="22"/>
          <w:highlight w:val="none"/>
        </w:rPr>
      </w:r>
      <w:r>
        <w:rPr>
          <w:color w:val="auto"/>
          <w:highlight w:val="none"/>
        </w:rPr>
      </w:r>
    </w:p>
    <w:p>
      <w:pPr>
        <w:pStyle w:val="905"/>
        <w:rPr>
          <w:rFonts w:hint="eastAsia" w:ascii="宋体" w:hAnsi="宋体" w:cs="宋体"/>
          <w:color w:val="auto"/>
          <w:sz w:val="24"/>
          <w:szCs w:val="21"/>
          <w:highlight w:val="none"/>
        </w:rPr>
      </w:pPr>
      <w:r>
        <w:rPr>
          <w:rFonts w:hint="eastAsia" w:ascii="宋体" w:hAnsi="宋体" w:cs="宋体"/>
          <w:color w:val="auto"/>
          <w:sz w:val="24"/>
          <w:szCs w:val="21"/>
          <w:highlight w:val="none"/>
        </w:rPr>
      </w:r>
      <w:r>
        <w:rPr>
          <w:color w:val="auto"/>
          <w:highlight w:val="none"/>
        </w:rPr>
      </w:r>
    </w:p>
    <w:p>
      <w:pPr>
        <w:pStyle w:val="907"/>
        <w:numPr>
          <w:ilvl w:val="0"/>
          <w:numId w:val="10"/>
        </w:numPr>
        <w:rPr>
          <w:rFonts w:hint="eastAsia" w:ascii="宋体" w:hAnsi="宋体" w:cs="宋体"/>
          <w:color w:val="auto"/>
          <w:highlight w:val="none"/>
        </w:rPr>
      </w:pPr>
      <w:r>
        <w:rPr>
          <w:color w:val="auto"/>
          <w:highlight w:val="none"/>
        </w:rPr>
      </w:r>
      <w:bookmarkEnd w:id="178"/>
      <w:r>
        <w:rPr>
          <w:color w:val="auto"/>
          <w:highlight w:val="none"/>
        </w:rPr>
      </w:r>
      <w:bookmarkEnd w:id="179"/>
      <w:r>
        <w:rPr>
          <w:color w:val="auto"/>
          <w:highlight w:val="none"/>
        </w:rPr>
      </w:r>
      <w:bookmarkEnd w:id="194"/>
      <w:r>
        <w:rPr>
          <w:rFonts w:hint="eastAsia" w:ascii="宋体" w:hAnsi="宋体" w:cs="宋体"/>
          <w:b/>
          <w:bCs w:val="0"/>
          <w:color w:val="auto"/>
          <w:sz w:val="32"/>
          <w:szCs w:val="32"/>
          <w:highlight w:val="none"/>
        </w:rPr>
        <w:br w:type="page" w:clear="all"/>
      </w:r>
      <w:r>
        <w:rPr>
          <w:rFonts w:hint="eastAsia" w:ascii="宋体" w:hAnsi="宋体" w:cs="宋体"/>
          <w:color w:val="auto"/>
          <w:highlight w:val="none"/>
        </w:rPr>
        <w:t xml:space="preserve">投标人认为</w:t>
      </w:r>
      <w:r>
        <w:rPr>
          <w:rFonts w:hint="eastAsia" w:ascii="宋体" w:hAnsi="宋体" w:cs="宋体"/>
          <w:color w:val="auto"/>
          <w:highlight w:val="none"/>
        </w:rPr>
        <w:t xml:space="preserve">需要</w:t>
      </w:r>
      <w:r>
        <w:rPr>
          <w:rFonts w:hint="eastAsia" w:ascii="宋体" w:hAnsi="宋体" w:cs="宋体"/>
          <w:color w:val="auto"/>
          <w:highlight w:val="none"/>
        </w:rPr>
        <w:t xml:space="preserve">提供的其他材料</w:t>
      </w:r>
      <w:r>
        <w:rPr>
          <w:rFonts w:hint="eastAsia" w:ascii="宋体" w:hAnsi="宋体" w:cs="宋体"/>
          <w:color w:val="auto"/>
          <w:highlight w:val="none"/>
        </w:rPr>
        <w:t xml:space="preserve">（</w:t>
      </w:r>
      <w:r>
        <w:rPr>
          <w:rFonts w:hint="eastAsia" w:ascii="宋体" w:hAnsi="宋体" w:cs="宋体"/>
          <w:color w:val="auto"/>
          <w:highlight w:val="none"/>
        </w:rPr>
        <w:t xml:space="preserve">如有</w:t>
      </w:r>
      <w:r>
        <w:rPr>
          <w:rFonts w:hint="eastAsia" w:ascii="宋体" w:hAnsi="宋体" w:cs="宋体"/>
          <w:color w:val="auto"/>
          <w:highlight w:val="none"/>
        </w:rPr>
        <w:t xml:space="preserve">）</w:t>
      </w:r>
      <w:r>
        <w:rPr>
          <w:rFonts w:hint="eastAsia" w:ascii="宋体" w:hAnsi="宋体" w:cs="宋体"/>
          <w:color w:val="auto"/>
          <w:highlight w:val="none"/>
        </w:rPr>
      </w:r>
      <w:r>
        <w:rPr>
          <w:color w:val="auto"/>
          <w:highlight w:val="none"/>
        </w:rPr>
      </w:r>
    </w:p>
    <w:p>
      <w:pPr>
        <w:pStyle w:val="905"/>
        <w:jc w:val="center"/>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t xml:space="preserve">请在此文档中增加所需其他相关内容</w:t>
      </w:r>
      <w:r>
        <w:rPr>
          <w:rFonts w:hint="eastAsia" w:ascii="宋体" w:hAnsi="宋体" w:cs="宋体"/>
          <w:color w:val="auto"/>
          <w:sz w:val="28"/>
          <w:szCs w:val="28"/>
          <w:highlight w:val="none"/>
        </w:rPr>
      </w:r>
      <w:r>
        <w:rPr>
          <w:color w:val="auto"/>
          <w:highlight w:val="none"/>
        </w:rPr>
      </w:r>
    </w:p>
    <w:p>
      <w:pPr>
        <w:pStyle w:val="905"/>
        <w:jc w:val="center"/>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t xml:space="preserve">（包括资格要求、评分办法、采购需求中涉及的佐证资料及其他投标人认为有必要提供的资料），如没有请将此空文档上传。</w:t>
      </w:r>
      <w:r>
        <w:rPr>
          <w:rFonts w:hint="eastAsia" w:ascii="宋体" w:hAnsi="宋体" w:cs="宋体"/>
          <w:color w:val="auto"/>
          <w:sz w:val="28"/>
          <w:szCs w:val="28"/>
          <w:highlight w:val="none"/>
        </w:rPr>
      </w:r>
      <w:r>
        <w:rPr>
          <w:color w:val="auto"/>
          <w:highlight w:val="none"/>
        </w:rPr>
      </w:r>
    </w:p>
    <w:p>
      <w:pPr>
        <w:pStyle w:val="905"/>
        <w:jc w:val="center"/>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0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例如（1）配置清单（如有）</w:t>
      </w:r>
      <w:r>
        <w:rPr>
          <w:rFonts w:hint="eastAsia" w:ascii="宋体" w:hAnsi="宋体" w:cs="宋体"/>
          <w:color w:val="auto"/>
          <w:sz w:val="28"/>
          <w:szCs w:val="28"/>
          <w:highlight w:val="none"/>
        </w:rPr>
      </w:r>
      <w:r>
        <w:rPr>
          <w:color w:val="auto"/>
          <w:highlight w:val="none"/>
        </w:rPr>
      </w:r>
    </w:p>
    <w:p>
      <w:pPr>
        <w:pStyle w:val="90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（格式自拟）</w:t>
      </w:r>
      <w:r>
        <w:rPr>
          <w:rFonts w:hint="eastAsia" w:ascii="宋体" w:hAnsi="宋体" w:cs="宋体"/>
          <w:color w:val="auto"/>
          <w:sz w:val="28"/>
          <w:szCs w:val="28"/>
          <w:highlight w:val="none"/>
        </w:rPr>
      </w:r>
      <w:r>
        <w:rPr>
          <w:color w:val="auto"/>
          <w:highlight w:val="none"/>
        </w:rPr>
      </w:r>
    </w:p>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rPr>
          <w:rFonts w:hint="eastAsia" w:ascii="宋体" w:hAnsi="宋体" w:cs="宋体"/>
          <w:color w:val="auto"/>
          <w:highlight w:val="none"/>
        </w:rPr>
      </w:pPr>
      <w:r>
        <w:rPr>
          <w:rFonts w:hint="eastAsia" w:ascii="宋体" w:hAnsi="宋体" w:cs="宋体"/>
          <w:color w:val="auto"/>
          <w:highlight w:val="none"/>
        </w:rPr>
      </w:r>
      <w:r>
        <w:rPr>
          <w:color w:val="auto"/>
          <w:highlight w:val="none"/>
        </w:rPr>
      </w:r>
    </w:p>
    <w:p>
      <w:pPr>
        <w:pStyle w:val="905"/>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例如（2）备品、配套零部件、易损易耗件价格表（如有）</w:t>
      </w:r>
      <w:r>
        <w:rPr>
          <w:rFonts w:hint="eastAsia" w:ascii="宋体" w:hAnsi="宋体" w:cs="宋体"/>
          <w:color w:val="auto"/>
          <w:sz w:val="28"/>
          <w:szCs w:val="28"/>
          <w:highlight w:val="none"/>
        </w:rPr>
      </w:r>
      <w:r>
        <w:rPr>
          <w:color w:val="auto"/>
          <w:highlight w:val="none"/>
        </w:rPr>
      </w:r>
    </w:p>
    <w:p>
      <w:pPr>
        <w:pStyle w:val="905"/>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（免费质保期满后价格）</w:t>
      </w:r>
      <w:r>
        <w:rPr>
          <w:rFonts w:hint="eastAsia" w:ascii="宋体" w:hAnsi="宋体" w:cs="宋体"/>
          <w:b/>
          <w:color w:val="auto"/>
          <w:sz w:val="24"/>
          <w:szCs w:val="24"/>
          <w:highlight w:val="none"/>
        </w:rPr>
      </w:r>
      <w:r>
        <w:rPr>
          <w:color w:val="auto"/>
          <w:highlight w:val="none"/>
        </w:rPr>
      </w:r>
    </w:p>
    <w:tbl>
      <w:tblPr>
        <w:tblW w:w="0" w:type="auto"/>
        <w:tblInd w:w="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62"/>
        <w:gridCol w:w="862"/>
        <w:gridCol w:w="2286"/>
        <w:gridCol w:w="1365"/>
        <w:gridCol w:w="698"/>
        <w:gridCol w:w="999"/>
        <w:gridCol w:w="979"/>
        <w:gridCol w:w="9"/>
        <w:gridCol w:w="761"/>
        <w:gridCol w:w="9"/>
      </w:tblGrid>
      <w:tr>
        <w:trPr>
          <w:cantSplit/>
          <w:trHeight w:val="625"/>
        </w:trPr>
        <w:tc>
          <w:tcPr>
            <w:tcMar>
              <w:left w:w="108" w:type="dxa"/>
              <w:top w:w="0" w:type="dxa"/>
              <w:right w:w="108" w:type="dxa"/>
              <w:bottom w:w="0" w:type="dxa"/>
            </w:tcMar>
            <w:tcW w:w="862" w:type="dxa"/>
            <w:vAlign w:val="center"/>
            <w:vMerge w:val="restart"/>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序号</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vMerge w:val="restart"/>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名称</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vMerge w:val="restart"/>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备件名称</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vMerge w:val="restart"/>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数量</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vMerge w:val="restart"/>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单位</w:t>
            </w:r>
            <w:r>
              <w:rPr>
                <w:rFonts w:hint="eastAsia" w:ascii="宋体" w:hAnsi="宋体" w:cs="宋体"/>
                <w:color w:val="auto"/>
                <w:sz w:val="24"/>
                <w:szCs w:val="24"/>
                <w:highlight w:val="none"/>
              </w:rPr>
            </w:r>
            <w:r>
              <w:rPr>
                <w:color w:val="auto"/>
                <w:highlight w:val="none"/>
              </w:rPr>
            </w:r>
          </w:p>
        </w:tc>
        <w:tc>
          <w:tcPr>
            <w:gridSpan w:val="3"/>
            <w:tcMar>
              <w:left w:w="108" w:type="dxa"/>
              <w:top w:w="0" w:type="dxa"/>
              <w:right w:w="108" w:type="dxa"/>
              <w:bottom w:w="0" w:type="dxa"/>
            </w:tcMar>
            <w:tcW w:w="1987"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价格（元）</w:t>
            </w: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备注</w:t>
            </w:r>
            <w:r>
              <w:rPr>
                <w:rFonts w:hint="eastAsia" w:ascii="宋体" w:hAnsi="宋体" w:cs="宋体"/>
                <w:color w:val="auto"/>
                <w:sz w:val="24"/>
                <w:szCs w:val="24"/>
                <w:highlight w:val="none"/>
              </w:rPr>
            </w:r>
            <w:r>
              <w:rPr>
                <w:color w:val="auto"/>
                <w:highlight w:val="none"/>
              </w:rPr>
            </w:r>
          </w:p>
        </w:tc>
      </w:tr>
      <w:tr>
        <w:trPr>
          <w:cantSplit/>
          <w:gridAfter w:val="1"/>
          <w:trHeight w:val="625"/>
        </w:trPr>
        <w:tc>
          <w:tcPr>
            <w:tcW w:w="862"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862"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2286" w:type="dxa"/>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1365" w:type="dxa"/>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W w:w="698" w:type="auto"/>
            <w:vAlign w:val="top"/>
            <w:vMerge w:val="continue"/>
            <w:textDirection w:val="lrTb"/>
            <w:noWrap w:val="false"/>
          </w:tcPr>
          <w:p>
            <w:pPr>
              <w:pStyle w:val="905"/>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单价</w:t>
            </w: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总价</w:t>
            </w:r>
            <w:r>
              <w:rPr>
                <w:rFonts w:hint="eastAsia" w:ascii="宋体" w:hAnsi="宋体" w:cs="宋体"/>
                <w:color w:val="auto"/>
                <w:sz w:val="24"/>
                <w:szCs w:val="24"/>
                <w:highlight w:val="none"/>
              </w:rPr>
            </w:r>
            <w:r>
              <w:rPr>
                <w:color w:val="auto"/>
                <w:highlight w:val="none"/>
              </w:rPr>
            </w:r>
          </w:p>
        </w:tc>
        <w:tc>
          <w:tcPr>
            <w:gridSpan w:val="2"/>
            <w:tcW w:w="770" w:type="auto"/>
            <w:vAlign w:val="top"/>
            <w:textDirection w:val="lrTb"/>
            <w:noWrap w:val="false"/>
          </w:tcPr>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pStyle w:val="905"/>
              <w:jc w:val="cente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rPr>
                <w:color w:val="auto"/>
                <w:highlight w:val="none"/>
              </w:rPr>
            </w:r>
          </w:p>
        </w:tc>
      </w:tr>
    </w:tbl>
    <w:p>
      <w:pPr>
        <w:pStyle w:val="905"/>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05"/>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05"/>
        <w:rPr>
          <w:rFonts w:hint="eastAsia" w:ascii="宋体" w:hAnsi="宋体" w:cs="宋体"/>
          <w:color w:val="auto"/>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8"/>
          <w:szCs w:val="28"/>
          <w:highlight w:val="none"/>
        </w:rPr>
      </w:r>
      <w:r>
        <w:rPr>
          <w:color w:val="auto"/>
          <w:highlight w:val="none"/>
        </w:rPr>
      </w:r>
    </w:p>
    <w:p>
      <w:pPr>
        <w:pStyle w:val="905"/>
        <w:jc w:val="center"/>
        <w:keepLines/>
        <w:keepNext/>
        <w:spacing w:before="260" w:line="415" w:lineRule="auto"/>
        <w:rPr>
          <w:rFonts w:hint="eastAsia" w:ascii="宋体" w:hAnsi="宋体" w:cs="宋体"/>
          <w:b/>
          <w:bCs/>
          <w:color w:val="auto"/>
          <w:highlight w:val="none"/>
        </w:rPr>
        <w:outlineLvl w:val="1"/>
      </w:pPr>
      <w:r>
        <w:rPr>
          <w:rFonts w:hint="eastAsia" w:ascii="宋体" w:hAnsi="宋体" w:cs="宋体"/>
          <w:color w:val="auto"/>
          <w:highlight w:val="none"/>
        </w:rPr>
        <w:br w:type="page" w:clear="all"/>
      </w:r>
      <w:r>
        <w:rPr>
          <w:rFonts w:hint="eastAsia" w:ascii="宋体" w:hAnsi="宋体" w:cs="宋体"/>
          <w:b/>
          <w:bCs/>
          <w:color w:val="auto"/>
          <w:sz w:val="32"/>
          <w:szCs w:val="32"/>
          <w:highlight w:val="none"/>
        </w:rPr>
        <w:t xml:space="preserve">质疑函范本</w:t>
      </w:r>
      <w:r>
        <w:rPr>
          <w:rFonts w:hint="eastAsia" w:ascii="宋体" w:hAnsi="宋体" w:cs="宋体"/>
          <w:b/>
          <w:bCs/>
          <w:color w:val="auto"/>
          <w:highlight w:val="none"/>
        </w:rPr>
      </w:r>
      <w:r>
        <w:rPr>
          <w:color w:val="auto"/>
          <w:highlight w:val="none"/>
        </w:rPr>
      </w:r>
    </w:p>
    <w:p>
      <w:pPr>
        <w:pStyle w:val="905"/>
        <w:spacing w:before="29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一、质疑供应商基</w:t>
      </w:r>
      <w:r>
        <w:rPr>
          <w:rFonts w:hint="eastAsia" w:ascii="宋体" w:hAnsi="宋体" w:cs="宋体"/>
          <w:bCs/>
          <w:color w:val="auto"/>
          <w:sz w:val="24"/>
          <w:szCs w:val="24"/>
          <w:highlight w:val="none"/>
        </w:rPr>
        <w:t xml:space="preserve">本信息</w:t>
      </w:r>
      <w:r>
        <w:rPr>
          <w:rFonts w:hint="eastAsia" w:ascii="宋体" w:hAnsi="宋体" w:cs="宋体"/>
          <w:bCs/>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二、质疑项目基本情况</w:t>
      </w:r>
      <w:r>
        <w:rPr>
          <w:rFonts w:hint="eastAsia" w:ascii="宋体" w:hAnsi="宋体" w:cs="宋体"/>
          <w:bCs/>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三、质疑事项具体</w:t>
      </w:r>
      <w:r>
        <w:rPr>
          <w:rFonts w:hint="eastAsia" w:ascii="宋体" w:hAnsi="宋体" w:cs="宋体"/>
          <w:bCs/>
          <w:color w:val="auto"/>
          <w:sz w:val="24"/>
          <w:szCs w:val="24"/>
          <w:highlight w:val="none"/>
        </w:rPr>
        <w:t xml:space="preserve">内容</w:t>
      </w:r>
      <w:r>
        <w:rPr>
          <w:rFonts w:hint="eastAsia" w:ascii="宋体" w:hAnsi="宋体" w:cs="宋体"/>
          <w:bCs/>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质疑事项2</w:t>
      </w:r>
      <w:r>
        <w:rPr>
          <w:rFonts w:hint="eastAsia" w:ascii="宋体" w:hAnsi="宋体" w:cs="宋体"/>
          <w:color w:val="auto"/>
          <w:sz w:val="24"/>
          <w:szCs w:val="24"/>
          <w:highlight w:val="none"/>
          <w:u w:val="single"/>
        </w:rPr>
      </w:r>
      <w:r>
        <w:rPr>
          <w:color w:val="auto"/>
          <w:highlight w:val="none"/>
        </w:rPr>
      </w:r>
    </w:p>
    <w:p>
      <w:pPr>
        <w:pStyle w:val="90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r>
      <w:r>
        <w:rPr>
          <w:color w:val="auto"/>
          <w:highlight w:val="none"/>
        </w:rPr>
      </w:r>
    </w:p>
    <w:p>
      <w:pPr>
        <w:pStyle w:val="905"/>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四、与质疑事项相关的质疑请求</w:t>
      </w:r>
      <w:r>
        <w:rPr>
          <w:rFonts w:hint="eastAsia" w:ascii="宋体" w:hAnsi="宋体" w:cs="宋体"/>
          <w:bCs/>
          <w:color w:val="auto"/>
          <w:sz w:val="24"/>
          <w:szCs w:val="24"/>
          <w:highlight w:val="none"/>
        </w:rPr>
      </w:r>
      <w:r>
        <w:rPr>
          <w:color w:val="auto"/>
          <w:highlight w:val="none"/>
        </w:rPr>
      </w:r>
    </w:p>
    <w:p>
      <w:pPr>
        <w:pStyle w:val="905"/>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r>
      <w:r>
        <w:rPr>
          <w:color w:val="auto"/>
          <w:highlight w:val="none"/>
        </w:rPr>
      </w:r>
    </w:p>
    <w:p>
      <w:pPr>
        <w:pStyle w:val="905"/>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r>
        <w:rPr>
          <w:rFonts w:hint="eastAsia" w:ascii="宋体" w:hAnsi="宋体" w:cs="宋体"/>
          <w:color w:val="auto"/>
          <w:sz w:val="24"/>
          <w:szCs w:val="24"/>
          <w:highlight w:val="none"/>
        </w:rPr>
      </w:r>
      <w:r>
        <w:rPr>
          <w:color w:val="auto"/>
          <w:highlight w:val="none"/>
        </w:rPr>
      </w:r>
    </w:p>
    <w:p>
      <w:pPr>
        <w:pStyle w:val="905"/>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质疑函制作说明：</w:t>
      </w:r>
      <w:r>
        <w:rPr>
          <w:rFonts w:hint="eastAsia" w:ascii="宋体" w:hAnsi="宋体" w:cs="宋体"/>
          <w:b/>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1.供应商提出质疑时，应提交质疑函和必要的证明材料。</w:t>
      </w:r>
      <w:r>
        <w:rPr>
          <w:rFonts w:hint="eastAsia" w:ascii="宋体" w:hAnsi="宋体" w:cs="宋体"/>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2.质疑供应商若委托代</w:t>
      </w:r>
      <w:r>
        <w:rPr>
          <w:rFonts w:hint="eastAsia" w:ascii="宋体" w:hAnsi="宋体" w:cs="宋体"/>
          <w:color w:val="auto"/>
          <w:sz w:val="24"/>
          <w:szCs w:val="24"/>
          <w:highlight w:val="none"/>
        </w:rPr>
        <w:t xml:space="preserve">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rPr>
          <w:rFonts w:hint="eastAsia" w:ascii="宋体" w:hAnsi="宋体" w:cs="宋体"/>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3.质疑供应商若对项目的某一分包进行质疑，质疑函中应列明具体分包号。</w:t>
      </w:r>
      <w:r>
        <w:rPr>
          <w:rFonts w:hint="eastAsia" w:ascii="宋体" w:hAnsi="宋体" w:cs="宋体"/>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rPr>
          <w:rFonts w:hint="eastAsia" w:ascii="宋体" w:hAnsi="宋体" w:cs="宋体"/>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rPr>
          <w:rFonts w:hint="eastAsia" w:ascii="宋体" w:hAnsi="宋体" w:cs="宋体"/>
          <w:color w:val="auto"/>
          <w:sz w:val="24"/>
          <w:szCs w:val="24"/>
          <w:highlight w:val="none"/>
        </w:rPr>
      </w:r>
      <w:r>
        <w:rPr>
          <w:color w:val="auto"/>
          <w:highlight w:val="none"/>
        </w:rPr>
      </w:r>
    </w:p>
    <w:p>
      <w:pPr>
        <w:pStyle w:val="905"/>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6.质疑供应商为自然人的，质疑函应由本人签字</w:t>
      </w:r>
      <w:r>
        <w:rPr>
          <w:rFonts w:hint="eastAsia" w:ascii="宋体" w:hAnsi="宋体" w:cs="宋体"/>
          <w:color w:val="auto"/>
          <w:sz w:val="24"/>
          <w:szCs w:val="24"/>
          <w:highlight w:val="none"/>
        </w:rPr>
        <w:t xml:space="preserve">；质疑供应商为法人或者其他组织的，质疑函应由法定代表人、主要负责人，或者其授权代表签字或者盖章，并加盖公章。</w:t>
      </w:r>
      <w:r>
        <w:rPr>
          <w:rFonts w:hint="eastAsia" w:ascii="宋体" w:hAnsi="宋体" w:cs="宋体"/>
          <w:color w:val="auto"/>
          <w:sz w:val="24"/>
          <w:szCs w:val="24"/>
          <w:highlight w:val="none"/>
        </w:rPr>
      </w:r>
      <w:r>
        <w:rPr>
          <w:color w:val="auto"/>
          <w:highlight w:val="none"/>
        </w:rPr>
      </w:r>
    </w:p>
    <w:p>
      <w:pPr>
        <w:pStyle w:val="905"/>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p>
      <w:pPr>
        <w:pStyle w:val="905"/>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rpoS">
    <w:panose1 w:val="020B0503020202020204"/>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56"/>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56"/>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5"/>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rPr>
        <w:rStyle w:val="981"/>
      </w:rPr>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06"/>
      <w:isLgl w:val="false"/>
      <w:suff w:val="nothing"/>
      <w:lvlText w:val="%1、"/>
      <w:lvlJc w:val="left"/>
      <w:pPr>
        <w:pStyle w:val="905"/>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0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905"/>
        <w:ind w:left="720" w:hanging="720"/>
        <w:tabs>
          <w:tab w:val="num" w:pos="720" w:leader="none"/>
        </w:tabs>
      </w:pPr>
    </w:lvl>
    <w:lvl w:ilvl="1">
      <w:start w:val="1"/>
      <w:numFmt w:val="decimal"/>
      <w:pStyle w:val="939"/>
      <w:isLgl w:val="false"/>
      <w:suff w:val="tab"/>
      <w:lvlText w:val="%2、"/>
      <w:lvlJc w:val="left"/>
      <w:pPr>
        <w:pStyle w:val="905"/>
        <w:ind w:left="780" w:hanging="360"/>
        <w:tabs>
          <w:tab w:val="num" w:pos="780" w:leader="none"/>
        </w:tabs>
      </w:pPr>
    </w:lvl>
    <w:lvl w:ilvl="2">
      <w:start w:val="1"/>
      <w:numFmt w:val="lowerRoman"/>
      <w:isLgl w:val="false"/>
      <w:suff w:val="tab"/>
      <w:lvlText w:val="%3."/>
      <w:lvlJc w:val="right"/>
      <w:pPr>
        <w:pStyle w:val="905"/>
        <w:ind w:left="1260" w:hanging="420"/>
        <w:tabs>
          <w:tab w:val="num" w:pos="1260" w:leader="none"/>
        </w:tabs>
      </w:pPr>
    </w:lvl>
    <w:lvl w:ilvl="3">
      <w:start w:val="1"/>
      <w:numFmt w:val="decimal"/>
      <w:isLgl w:val="false"/>
      <w:suff w:val="tab"/>
      <w:lvlText w:val="%4."/>
      <w:lvlJc w:val="left"/>
      <w:pPr>
        <w:pStyle w:val="905"/>
        <w:ind w:left="1680" w:hanging="420"/>
        <w:tabs>
          <w:tab w:val="num" w:pos="1680" w:leader="none"/>
        </w:tabs>
      </w:pPr>
    </w:lvl>
    <w:lvl w:ilvl="4">
      <w:start w:val="1"/>
      <w:numFmt w:val="lowerLetter"/>
      <w:isLgl w:val="false"/>
      <w:suff w:val="tab"/>
      <w:lvlText w:val="%5)"/>
      <w:lvlJc w:val="left"/>
      <w:pPr>
        <w:pStyle w:val="905"/>
        <w:ind w:left="2100" w:hanging="420"/>
        <w:tabs>
          <w:tab w:val="num" w:pos="2100" w:leader="none"/>
        </w:tabs>
      </w:pPr>
    </w:lvl>
    <w:lvl w:ilvl="5">
      <w:start w:val="1"/>
      <w:numFmt w:val="lowerRoman"/>
      <w:isLgl w:val="false"/>
      <w:suff w:val="tab"/>
      <w:lvlText w:val="%6."/>
      <w:lvlJc w:val="right"/>
      <w:pPr>
        <w:pStyle w:val="905"/>
        <w:ind w:left="2520" w:hanging="420"/>
        <w:tabs>
          <w:tab w:val="num" w:pos="2520" w:leader="none"/>
        </w:tabs>
      </w:pPr>
    </w:lvl>
    <w:lvl w:ilvl="6">
      <w:start w:val="1"/>
      <w:numFmt w:val="decimal"/>
      <w:isLgl w:val="false"/>
      <w:suff w:val="tab"/>
      <w:lvlText w:val="%7."/>
      <w:lvlJc w:val="left"/>
      <w:pPr>
        <w:pStyle w:val="905"/>
        <w:ind w:left="2940" w:hanging="420"/>
        <w:tabs>
          <w:tab w:val="num" w:pos="2940" w:leader="none"/>
        </w:tabs>
      </w:pPr>
    </w:lvl>
    <w:lvl w:ilvl="7">
      <w:start w:val="1"/>
      <w:numFmt w:val="lowerLetter"/>
      <w:isLgl w:val="false"/>
      <w:suff w:val="tab"/>
      <w:lvlText w:val="%8)"/>
      <w:lvlJc w:val="left"/>
      <w:pPr>
        <w:pStyle w:val="905"/>
        <w:ind w:left="3360" w:hanging="420"/>
        <w:tabs>
          <w:tab w:val="num" w:pos="3360" w:leader="none"/>
        </w:tabs>
      </w:pPr>
    </w:lvl>
    <w:lvl w:ilvl="8">
      <w:start w:val="1"/>
      <w:numFmt w:val="lowerRoman"/>
      <w:isLgl w:val="false"/>
      <w:suff w:val="tab"/>
      <w:lvlText w:val="%9."/>
      <w:lvlJc w:val="right"/>
      <w:pPr>
        <w:pStyle w:val="905"/>
        <w:ind w:left="3780" w:hanging="420"/>
        <w:tabs>
          <w:tab w:val="num" w:pos="3780" w:leader="none"/>
        </w:tabs>
      </w:pPr>
    </w:lvl>
  </w:abstractNum>
  <w:abstractNum w:abstractNumId="7">
    <w:multiLevelType w:val="hybridMultilevel"/>
    <w:lvl w:ilvl="0">
      <w:start w:val="1"/>
      <w:numFmt w:val="upperLetter"/>
      <w:pStyle w:val="989"/>
      <w:isLgl w:val="false"/>
      <w:suff w:val="tab"/>
      <w:lvlText w:val="附录%1."/>
      <w:lvlJc w:val="left"/>
      <w:pPr>
        <w:pStyle w:val="9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6"/>
      <w:isLgl w:val="false"/>
      <w:suff w:val="tab"/>
      <w:lvlText w:val="%1."/>
      <w:lvlJc w:val="left"/>
      <w:pPr>
        <w:pStyle w:val="905"/>
        <w:ind w:left="709" w:hanging="709"/>
        <w:tabs>
          <w:tab w:val="num" w:pos="709" w:leader="none"/>
        </w:tabs>
      </w:pPr>
      <w:rPr>
        <w:rFonts w:hint="eastAsia"/>
      </w:rPr>
    </w:lvl>
    <w:lvl w:ilvl="1">
      <w:start w:val="1"/>
      <w:numFmt w:val="decimal"/>
      <w:isLgl w:val="false"/>
      <w:suff w:val="tab"/>
      <w:lvlText w:val="%1.%2"/>
      <w:lvlJc w:val="left"/>
      <w:pPr>
        <w:pStyle w:val="905"/>
        <w:ind w:left="709" w:hanging="709"/>
        <w:tabs>
          <w:tab w:val="num" w:pos="709" w:leader="none"/>
        </w:tabs>
      </w:pPr>
      <w:rPr>
        <w:rFonts w:hint="eastAsia"/>
      </w:rPr>
    </w:lvl>
    <w:lvl w:ilvl="2">
      <w:start w:val="1"/>
      <w:numFmt w:val="decimal"/>
      <w:isLgl w:val="false"/>
      <w:suff w:val="tab"/>
      <w:lvlText w:val="%1.%2.%3."/>
      <w:lvlJc w:val="left"/>
      <w:pPr>
        <w:pStyle w:val="905"/>
        <w:ind w:left="425" w:hanging="425"/>
        <w:tabs>
          <w:tab w:val="num" w:pos="425" w:leader="none"/>
        </w:tabs>
      </w:pPr>
      <w:rPr>
        <w:rFonts w:hint="eastAsia"/>
      </w:rPr>
    </w:lvl>
    <w:lvl w:ilvl="3">
      <w:start w:val="1"/>
      <w:numFmt w:val="decimal"/>
      <w:isLgl w:val="false"/>
      <w:suff w:val="tab"/>
      <w:lvlText w:val="%1.%2.%3.%4."/>
      <w:lvlJc w:val="left"/>
      <w:pPr>
        <w:pStyle w:val="905"/>
        <w:ind w:left="851" w:hanging="851"/>
        <w:tabs>
          <w:tab w:val="num" w:pos="851" w:leader="none"/>
        </w:tabs>
      </w:pPr>
      <w:rPr>
        <w:rFonts w:hint="eastAsia"/>
      </w:rPr>
    </w:lvl>
    <w:lvl w:ilvl="4">
      <w:start w:val="1"/>
      <w:numFmt w:val="decimal"/>
      <w:isLgl w:val="false"/>
      <w:suff w:val="tab"/>
      <w:lvlText w:val="%1.%2.%3.%4.%5."/>
      <w:lvlJc w:val="left"/>
      <w:pPr>
        <w:pStyle w:val="905"/>
        <w:ind w:left="992" w:hanging="992"/>
        <w:tabs>
          <w:tab w:val="num" w:pos="992" w:leader="none"/>
        </w:tabs>
      </w:pPr>
      <w:rPr>
        <w:rFonts w:hint="eastAsia"/>
      </w:rPr>
    </w:lvl>
    <w:lvl w:ilvl="5">
      <w:start w:val="1"/>
      <w:numFmt w:val="decimal"/>
      <w:isLgl w:val="false"/>
      <w:suff w:val="tab"/>
      <w:lvlText w:val="%1.%2.%3.%4.%5.%6."/>
      <w:lvlJc w:val="left"/>
      <w:pPr>
        <w:pStyle w:val="905"/>
        <w:ind w:left="1134" w:hanging="1134"/>
        <w:tabs>
          <w:tab w:val="num" w:pos="1134" w:leader="none"/>
        </w:tabs>
      </w:pPr>
      <w:rPr>
        <w:rFonts w:hint="eastAsia"/>
      </w:rPr>
    </w:lvl>
    <w:lvl w:ilvl="6">
      <w:start w:val="1"/>
      <w:numFmt w:val="decimal"/>
      <w:isLgl w:val="false"/>
      <w:suff w:val="tab"/>
      <w:lvlText w:val="%1.%2.%3.%4.%5.%6.%7."/>
      <w:lvlJc w:val="left"/>
      <w:pPr>
        <w:pStyle w:val="905"/>
        <w:ind w:left="1276" w:hanging="1276"/>
        <w:tabs>
          <w:tab w:val="num" w:pos="1276" w:leader="none"/>
        </w:tabs>
      </w:pPr>
      <w:rPr>
        <w:rFonts w:hint="eastAsia"/>
      </w:rPr>
    </w:lvl>
    <w:lvl w:ilvl="7">
      <w:start w:val="1"/>
      <w:numFmt w:val="decimal"/>
      <w:isLgl w:val="false"/>
      <w:suff w:val="tab"/>
      <w:lvlText w:val="%1.%2.%3.%4.%5.%6.%7.%8."/>
      <w:lvlJc w:val="left"/>
      <w:pPr>
        <w:pStyle w:val="905"/>
        <w:ind w:left="1418" w:hanging="1418"/>
        <w:tabs>
          <w:tab w:val="num" w:pos="1418" w:leader="none"/>
        </w:tabs>
      </w:pPr>
      <w:rPr>
        <w:rFonts w:hint="eastAsia"/>
      </w:rPr>
    </w:lvl>
    <w:lvl w:ilvl="8">
      <w:start w:val="1"/>
      <w:numFmt w:val="decimal"/>
      <w:isLgl w:val="false"/>
      <w:suff w:val="tab"/>
      <w:lvlText w:val="%1.%2.%3.%4.%5.%6.%7.%8.%9."/>
      <w:lvlJc w:val="left"/>
      <w:pPr>
        <w:pStyle w:val="905"/>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9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05"/>
        <w:ind w:left="0" w:firstLine="0"/>
      </w:pPr>
      <w:rPr>
        <w:rFonts w:hint="eastAsia"/>
      </w:rPr>
    </w:lvl>
    <w:lvl w:ilvl="1">
      <w:start w:val="1"/>
      <w:numFmt w:val="decimal"/>
      <w:isLgl w:val="false"/>
      <w:suff w:val="nothing"/>
      <w:lvlText w:val="%2、"/>
      <w:lvlJc w:val="left"/>
      <w:pPr>
        <w:pStyle w:val="905"/>
        <w:ind w:left="0" w:firstLine="0"/>
      </w:pPr>
      <w:rPr>
        <w:rFonts w:hint="eastAsia"/>
      </w:rPr>
    </w:lvl>
    <w:lvl w:ilvl="2">
      <w:start w:val="1"/>
      <w:numFmt w:val="decimal"/>
      <w:isLgl w:val="false"/>
      <w:suff w:val="nothing"/>
      <w:lvlText w:val="%2.%3 "/>
      <w:lvlJc w:val="left"/>
      <w:pPr>
        <w:pStyle w:val="905"/>
        <w:ind w:left="0" w:firstLine="0"/>
      </w:pPr>
      <w:rPr>
        <w:rFonts w:hint="eastAsia"/>
      </w:rPr>
    </w:lvl>
    <w:lvl w:ilvl="3">
      <w:start w:val="1"/>
      <w:numFmt w:val="decimal"/>
      <w:isLgl w:val="false"/>
      <w:suff w:val="nothing"/>
      <w:lvlText w:val="%2.%3.%4 "/>
      <w:lvlJc w:val="left"/>
      <w:pPr>
        <w:pStyle w:val="905"/>
        <w:ind w:left="0" w:firstLine="0"/>
      </w:pPr>
      <w:rPr>
        <w:rFonts w:hint="eastAsia"/>
      </w:rPr>
    </w:lvl>
    <w:lvl w:ilvl="4">
      <w:start w:val="1"/>
      <w:numFmt w:val="decimal"/>
      <w:isLgl w:val="false"/>
      <w:suff w:val="nothing"/>
      <w:lvlText w:val="%2.%3.%4.%5 "/>
      <w:lvlJc w:val="left"/>
      <w:pPr>
        <w:pStyle w:val="905"/>
        <w:ind w:left="0" w:firstLine="0"/>
      </w:pPr>
      <w:rPr>
        <w:rFonts w:hint="eastAsia"/>
      </w:rPr>
    </w:lvl>
    <w:lvl w:ilvl="5">
      <w:start w:val="1"/>
      <w:numFmt w:val="decimal"/>
      <w:pStyle w:val="911"/>
      <w:isLgl w:val="false"/>
      <w:suff w:val="nothing"/>
      <w:lvlText w:val=""/>
      <w:lvlJc w:val="left"/>
      <w:pPr>
        <w:pStyle w:val="905"/>
        <w:ind w:left="0" w:firstLine="0"/>
      </w:pPr>
      <w:rPr>
        <w:rFonts w:hint="eastAsia"/>
      </w:rPr>
    </w:lvl>
    <w:lvl w:ilvl="6">
      <w:start w:val="1"/>
      <w:numFmt w:val="decimal"/>
      <w:pStyle w:val="912"/>
      <w:isLgl w:val="false"/>
      <w:suff w:val="nothing"/>
      <w:lvlText w:val=""/>
      <w:lvlJc w:val="left"/>
      <w:pPr>
        <w:pStyle w:val="905"/>
        <w:ind w:left="0" w:firstLine="0"/>
      </w:pPr>
      <w:rPr>
        <w:rFonts w:hint="eastAsia"/>
      </w:rPr>
    </w:lvl>
    <w:lvl w:ilvl="7">
      <w:start w:val="1"/>
      <w:numFmt w:val="decimal"/>
      <w:pStyle w:val="913"/>
      <w:isLgl w:val="false"/>
      <w:suff w:val="nothing"/>
      <w:lvlText w:val=""/>
      <w:lvlJc w:val="left"/>
      <w:pPr>
        <w:pStyle w:val="905"/>
        <w:ind w:left="0" w:firstLine="0"/>
      </w:pPr>
      <w:rPr>
        <w:rFonts w:hint="eastAsia"/>
      </w:rPr>
    </w:lvl>
    <w:lvl w:ilvl="8">
      <w:start w:val="1"/>
      <w:numFmt w:val="decimal"/>
      <w:pStyle w:val="914"/>
      <w:isLgl w:val="false"/>
      <w:suff w:val="nothing"/>
      <w:lvlText w:val=""/>
      <w:lvlJc w:val="left"/>
      <w:pPr>
        <w:pStyle w:val="905"/>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905"/>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name w:val="Heading 1"/>
    <w:basedOn w:val="905"/>
    <w:next w:val="905"/>
    <w:link w:val="737"/>
    <w:uiPriority w:val="9"/>
    <w:qFormat/>
    <w:pPr>
      <w:keepLines/>
      <w:keepNext/>
      <w:spacing w:before="480" w:after="200"/>
      <w:outlineLvl w:val="0"/>
    </w:pPr>
    <w:rPr>
      <w:rFonts w:ascii="Arial" w:hAnsi="Arial" w:eastAsia="Arial" w:cs="Arial"/>
      <w:sz w:val="40"/>
      <w:szCs w:val="40"/>
    </w:rPr>
  </w:style>
  <w:style w:type="character" w:styleId="737">
    <w:name w:val="Heading 1 Char"/>
    <w:link w:val="736"/>
    <w:uiPriority w:val="9"/>
    <w:rPr>
      <w:rFonts w:ascii="Arial" w:hAnsi="Arial" w:eastAsia="Arial" w:cs="Arial"/>
      <w:sz w:val="40"/>
      <w:szCs w:val="40"/>
    </w:rPr>
  </w:style>
  <w:style w:type="paragraph" w:styleId="738">
    <w:name w:val="Heading 2"/>
    <w:basedOn w:val="905"/>
    <w:next w:val="905"/>
    <w:link w:val="739"/>
    <w:uiPriority w:val="9"/>
    <w:unhideWhenUsed/>
    <w:qFormat/>
    <w:pPr>
      <w:keepLines/>
      <w:keepNext/>
      <w:spacing w:before="360" w:after="200"/>
      <w:outlineLvl w:val="1"/>
    </w:pPr>
    <w:rPr>
      <w:rFonts w:ascii="Arial" w:hAnsi="Arial" w:eastAsia="Arial" w:cs="Arial"/>
      <w:sz w:val="34"/>
    </w:rPr>
  </w:style>
  <w:style w:type="character" w:styleId="739">
    <w:name w:val="Heading 2 Char"/>
    <w:link w:val="738"/>
    <w:uiPriority w:val="9"/>
    <w:rPr>
      <w:rFonts w:ascii="Arial" w:hAnsi="Arial" w:eastAsia="Arial" w:cs="Arial"/>
      <w:sz w:val="34"/>
    </w:rPr>
  </w:style>
  <w:style w:type="paragraph" w:styleId="740">
    <w:name w:val="Heading 3"/>
    <w:basedOn w:val="905"/>
    <w:next w:val="905"/>
    <w:link w:val="741"/>
    <w:uiPriority w:val="9"/>
    <w:unhideWhenUsed/>
    <w:qFormat/>
    <w:pPr>
      <w:keepLines/>
      <w:keepNext/>
      <w:spacing w:before="320" w:after="200"/>
      <w:outlineLvl w:val="2"/>
    </w:pPr>
    <w:rPr>
      <w:rFonts w:ascii="Arial" w:hAnsi="Arial" w:eastAsia="Arial" w:cs="Arial"/>
      <w:sz w:val="30"/>
      <w:szCs w:val="30"/>
    </w:rPr>
  </w:style>
  <w:style w:type="character" w:styleId="741">
    <w:name w:val="Heading 3 Char"/>
    <w:link w:val="740"/>
    <w:uiPriority w:val="9"/>
    <w:rPr>
      <w:rFonts w:ascii="Arial" w:hAnsi="Arial" w:eastAsia="Arial" w:cs="Arial"/>
      <w:sz w:val="30"/>
      <w:szCs w:val="30"/>
    </w:rPr>
  </w:style>
  <w:style w:type="paragraph" w:styleId="742">
    <w:name w:val="Heading 4"/>
    <w:basedOn w:val="905"/>
    <w:next w:val="905"/>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link w:val="742"/>
    <w:uiPriority w:val="9"/>
    <w:rPr>
      <w:rFonts w:ascii="Arial" w:hAnsi="Arial" w:eastAsia="Arial" w:cs="Arial"/>
      <w:b/>
      <w:bCs/>
      <w:sz w:val="26"/>
      <w:szCs w:val="26"/>
    </w:rPr>
  </w:style>
  <w:style w:type="paragraph" w:styleId="744">
    <w:name w:val="Heading 5"/>
    <w:basedOn w:val="905"/>
    <w:next w:val="905"/>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link w:val="744"/>
    <w:uiPriority w:val="9"/>
    <w:rPr>
      <w:rFonts w:ascii="Arial" w:hAnsi="Arial" w:eastAsia="Arial" w:cs="Arial"/>
      <w:b/>
      <w:bCs/>
      <w:sz w:val="24"/>
      <w:szCs w:val="24"/>
    </w:rPr>
  </w:style>
  <w:style w:type="paragraph" w:styleId="746">
    <w:name w:val="Heading 6"/>
    <w:basedOn w:val="905"/>
    <w:next w:val="905"/>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link w:val="746"/>
    <w:uiPriority w:val="9"/>
    <w:rPr>
      <w:rFonts w:ascii="Arial" w:hAnsi="Arial" w:eastAsia="Arial" w:cs="Arial"/>
      <w:b/>
      <w:bCs/>
      <w:sz w:val="22"/>
      <w:szCs w:val="22"/>
    </w:rPr>
  </w:style>
  <w:style w:type="paragraph" w:styleId="748">
    <w:name w:val="Heading 7"/>
    <w:basedOn w:val="905"/>
    <w:next w:val="905"/>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link w:val="748"/>
    <w:uiPriority w:val="9"/>
    <w:rPr>
      <w:rFonts w:ascii="Arial" w:hAnsi="Arial" w:eastAsia="Arial" w:cs="Arial"/>
      <w:b/>
      <w:bCs/>
      <w:i/>
      <w:iCs/>
      <w:sz w:val="22"/>
      <w:szCs w:val="22"/>
    </w:rPr>
  </w:style>
  <w:style w:type="paragraph" w:styleId="750">
    <w:name w:val="Heading 8"/>
    <w:basedOn w:val="905"/>
    <w:next w:val="905"/>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link w:val="750"/>
    <w:uiPriority w:val="9"/>
    <w:rPr>
      <w:rFonts w:ascii="Arial" w:hAnsi="Arial" w:eastAsia="Arial" w:cs="Arial"/>
      <w:i/>
      <w:iCs/>
      <w:sz w:val="22"/>
      <w:szCs w:val="22"/>
    </w:rPr>
  </w:style>
  <w:style w:type="paragraph" w:styleId="752">
    <w:name w:val="Heading 9"/>
    <w:basedOn w:val="905"/>
    <w:next w:val="905"/>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link w:val="752"/>
    <w:uiPriority w:val="9"/>
    <w:rPr>
      <w:rFonts w:ascii="Arial" w:hAnsi="Arial" w:eastAsia="Arial" w:cs="Arial"/>
      <w:i/>
      <w:iCs/>
      <w:sz w:val="21"/>
      <w:szCs w:val="21"/>
    </w:rPr>
  </w:style>
  <w:style w:type="paragraph" w:styleId="754">
    <w:name w:val="List Paragraph"/>
    <w:basedOn w:val="905"/>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905"/>
    <w:next w:val="905"/>
    <w:link w:val="757"/>
    <w:uiPriority w:val="10"/>
    <w:qFormat/>
    <w:pPr>
      <w:contextualSpacing/>
      <w:spacing w:before="300" w:after="200"/>
    </w:pPr>
    <w:rPr>
      <w:sz w:val="48"/>
      <w:szCs w:val="48"/>
    </w:rPr>
  </w:style>
  <w:style w:type="character" w:styleId="757">
    <w:name w:val="Title Char"/>
    <w:link w:val="756"/>
    <w:uiPriority w:val="10"/>
    <w:rPr>
      <w:sz w:val="48"/>
      <w:szCs w:val="48"/>
    </w:rPr>
  </w:style>
  <w:style w:type="paragraph" w:styleId="758">
    <w:name w:val="Subtitle"/>
    <w:basedOn w:val="905"/>
    <w:next w:val="905"/>
    <w:link w:val="759"/>
    <w:uiPriority w:val="11"/>
    <w:qFormat/>
    <w:pPr>
      <w:spacing w:before="200" w:after="200"/>
    </w:pPr>
    <w:rPr>
      <w:sz w:val="24"/>
      <w:szCs w:val="24"/>
    </w:rPr>
  </w:style>
  <w:style w:type="character" w:styleId="759">
    <w:name w:val="Subtitle Char"/>
    <w:link w:val="758"/>
    <w:uiPriority w:val="11"/>
    <w:rPr>
      <w:sz w:val="24"/>
      <w:szCs w:val="24"/>
    </w:rPr>
  </w:style>
  <w:style w:type="paragraph" w:styleId="760">
    <w:name w:val="Quote"/>
    <w:basedOn w:val="905"/>
    <w:next w:val="905"/>
    <w:link w:val="761"/>
    <w:uiPriority w:val="29"/>
    <w:qFormat/>
    <w:pPr>
      <w:ind w:left="720" w:right="720"/>
    </w:pPr>
    <w:rPr>
      <w:i/>
    </w:rPr>
  </w:style>
  <w:style w:type="character" w:styleId="761">
    <w:name w:val="Quote Char"/>
    <w:link w:val="760"/>
    <w:uiPriority w:val="29"/>
    <w:rPr>
      <w:i/>
    </w:rPr>
  </w:style>
  <w:style w:type="paragraph" w:styleId="762">
    <w:name w:val="Intense Quote"/>
    <w:basedOn w:val="905"/>
    <w:next w:val="905"/>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paragraph" w:styleId="764">
    <w:name w:val="Header"/>
    <w:basedOn w:val="905"/>
    <w:link w:val="765"/>
    <w:uiPriority w:val="99"/>
    <w:unhideWhenUsed/>
    <w:pPr>
      <w:spacing w:after="0" w:line="240" w:lineRule="auto"/>
      <w:tabs>
        <w:tab w:val="center" w:pos="7143" w:leader="none"/>
        <w:tab w:val="right" w:pos="14287" w:leader="none"/>
      </w:tabs>
    </w:pPr>
  </w:style>
  <w:style w:type="character" w:styleId="765">
    <w:name w:val="Header Char"/>
    <w:link w:val="764"/>
    <w:uiPriority w:val="99"/>
  </w:style>
  <w:style w:type="paragraph" w:styleId="766">
    <w:name w:val="Footer"/>
    <w:basedOn w:val="905"/>
    <w:link w:val="769"/>
    <w:uiPriority w:val="99"/>
    <w:unhideWhenUsed/>
    <w:pPr>
      <w:spacing w:after="0" w:line="240" w:lineRule="auto"/>
      <w:tabs>
        <w:tab w:val="center" w:pos="7143" w:leader="none"/>
        <w:tab w:val="right" w:pos="14287" w:leader="none"/>
      </w:tabs>
    </w:pPr>
  </w:style>
  <w:style w:type="character" w:styleId="767">
    <w:name w:val="Footer Char"/>
    <w:link w:val="766"/>
    <w:uiPriority w:val="99"/>
  </w:style>
  <w:style w:type="paragraph" w:styleId="768">
    <w:name w:val="Caption"/>
    <w:basedOn w:val="905"/>
    <w:next w:val="905"/>
    <w:uiPriority w:val="35"/>
    <w:semiHidden/>
    <w:unhideWhenUsed/>
    <w:qFormat/>
    <w:pPr>
      <w:spacing w:line="276" w:lineRule="auto"/>
    </w:pPr>
    <w:rPr>
      <w:b/>
      <w:bCs/>
      <w:color w:val="4f81bd" w:themeColor="accent1"/>
      <w:sz w:val="18"/>
      <w:szCs w:val="18"/>
    </w:rPr>
  </w:style>
  <w:style w:type="character" w:styleId="769">
    <w:name w:val="Caption Char"/>
    <w:basedOn w:val="768"/>
    <w:link w:val="766"/>
    <w:uiPriority w:val="99"/>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Hyperlink"/>
    <w:uiPriority w:val="99"/>
    <w:unhideWhenUsed/>
    <w:rPr>
      <w:color w:val="0000ff" w:themeColor="hyperlink"/>
      <w:u w:val="single"/>
    </w:rPr>
  </w:style>
  <w:style w:type="paragraph" w:styleId="897">
    <w:name w:val="footnote text"/>
    <w:basedOn w:val="905"/>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uiPriority w:val="99"/>
    <w:unhideWhenUsed/>
    <w:rPr>
      <w:vertAlign w:val="superscript"/>
    </w:rPr>
  </w:style>
  <w:style w:type="paragraph" w:styleId="900">
    <w:name w:val="endnote text"/>
    <w:basedOn w:val="905"/>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uiPriority w:val="99"/>
    <w:semiHidden/>
    <w:unhideWhenUsed/>
    <w:rPr>
      <w:vertAlign w:val="superscript"/>
    </w:r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sz w:val="21"/>
      <w:szCs w:val="22"/>
      <w:lang w:val="en-US" w:eastAsia="zh-CN" w:bidi="ar-SA"/>
    </w:rPr>
  </w:style>
  <w:style w:type="paragraph" w:styleId="906">
    <w:name w:val="标题 1"/>
    <w:basedOn w:val="905"/>
    <w:next w:val="905"/>
    <w:link w:val="918"/>
    <w:qFormat/>
    <w:pPr>
      <w:numPr>
        <w:ilvl w:val="0"/>
        <w:numId w:val="1"/>
      </w:numPr>
      <w:jc w:val="center"/>
      <w:keepNext/>
      <w:outlineLvl w:val="0"/>
    </w:pPr>
    <w:rPr>
      <w:rFonts w:ascii="宋体" w:hAnsi="宋体" w:eastAsia="宋体" w:cs="Times New Roman"/>
      <w:sz w:val="36"/>
      <w:szCs w:val="28"/>
    </w:rPr>
  </w:style>
  <w:style w:type="paragraph" w:styleId="907">
    <w:name w:val="标题 2"/>
    <w:basedOn w:val="905"/>
    <w:next w:val="920"/>
    <w:link w:val="919"/>
    <w:qFormat/>
    <w:pPr>
      <w:jc w:val="center"/>
      <w:keepLines/>
      <w:keepNext/>
      <w:spacing w:line="240" w:lineRule="auto"/>
      <w:outlineLvl w:val="1"/>
    </w:pPr>
    <w:rPr>
      <w:rFonts w:ascii="Arial" w:hAnsi="Arial" w:eastAsia="宋体" w:cs="Arial"/>
      <w:bCs/>
      <w:sz w:val="36"/>
      <w:szCs w:val="44"/>
    </w:rPr>
  </w:style>
  <w:style w:type="paragraph" w:styleId="908">
    <w:name w:val="标题 3"/>
    <w:basedOn w:val="905"/>
    <w:next w:val="920"/>
    <w:link w:val="92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9">
    <w:name w:val="标题 4"/>
    <w:basedOn w:val="905"/>
    <w:next w:val="920"/>
    <w:link w:val="923"/>
    <w:qFormat/>
    <w:pPr>
      <w:keepLines/>
      <w:keepNext/>
      <w:spacing w:before="280" w:after="290" w:line="376" w:lineRule="auto"/>
      <w:outlineLvl w:val="3"/>
    </w:pPr>
    <w:rPr>
      <w:rFonts w:ascii="Arial" w:hAnsi="Arial" w:eastAsia="黑体" w:cs="Arial"/>
      <w:b/>
      <w:bCs/>
      <w:sz w:val="28"/>
      <w:szCs w:val="28"/>
    </w:rPr>
  </w:style>
  <w:style w:type="paragraph" w:styleId="910">
    <w:name w:val="标题 5"/>
    <w:basedOn w:val="905"/>
    <w:next w:val="920"/>
    <w:link w:val="924"/>
    <w:qFormat/>
    <w:pPr>
      <w:keepNext/>
      <w:outlineLvl w:val="4"/>
    </w:pPr>
    <w:rPr>
      <w:rFonts w:ascii="宋体" w:hAnsi="Times New Roman" w:eastAsia="宋体" w:cs="Times New Roman"/>
      <w:color w:val="000000"/>
      <w:sz w:val="28"/>
      <w:szCs w:val="28"/>
    </w:rPr>
  </w:style>
  <w:style w:type="paragraph" w:styleId="911">
    <w:name w:val="标题 6"/>
    <w:basedOn w:val="905"/>
    <w:next w:val="905"/>
    <w:link w:val="925"/>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12">
    <w:name w:val="标题 7"/>
    <w:basedOn w:val="905"/>
    <w:next w:val="905"/>
    <w:link w:val="926"/>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13">
    <w:name w:val="标题 8"/>
    <w:basedOn w:val="905"/>
    <w:next w:val="905"/>
    <w:link w:val="927"/>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14">
    <w:name w:val="标题 9"/>
    <w:basedOn w:val="905"/>
    <w:next w:val="905"/>
    <w:link w:val="928"/>
    <w:qFormat/>
    <w:pPr>
      <w:numPr>
        <w:ilvl w:val="8"/>
        <w:numId w:val="2"/>
      </w:numPr>
      <w:keepLines/>
      <w:keepNext/>
      <w:spacing w:before="240" w:after="64" w:line="320" w:lineRule="auto"/>
      <w:outlineLvl w:val="8"/>
    </w:pPr>
    <w:rPr>
      <w:rFonts w:ascii="Arial" w:hAnsi="Arial" w:eastAsia="黑体" w:cs="Times New Roman"/>
      <w:szCs w:val="21"/>
    </w:rPr>
  </w:style>
  <w:style w:type="character" w:styleId="915">
    <w:name w:val="默认段落字体"/>
    <w:next w:val="915"/>
    <w:link w:val="905"/>
    <w:uiPriority w:val="1"/>
    <w:unhideWhenUsed/>
  </w:style>
  <w:style w:type="table" w:styleId="916">
    <w:name w:val="普通表格"/>
    <w:next w:val="916"/>
    <w:link w:val="905"/>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numbering" w:styleId="917">
    <w:name w:val="无列表"/>
    <w:next w:val="917"/>
    <w:link w:val="905"/>
    <w:uiPriority w:val="99"/>
    <w:semiHidden/>
    <w:unhideWhenUsed/>
  </w:style>
  <w:style w:type="character" w:styleId="918">
    <w:name w:val="标题 1 字符"/>
    <w:next w:val="918"/>
    <w:link w:val="906"/>
    <w:rPr>
      <w:rFonts w:ascii="宋体" w:hAnsi="宋体" w:eastAsia="宋体" w:cs="Times New Roman"/>
      <w:sz w:val="36"/>
      <w:szCs w:val="28"/>
    </w:rPr>
  </w:style>
  <w:style w:type="character" w:styleId="919">
    <w:name w:val="标题 2 字符"/>
    <w:next w:val="919"/>
    <w:link w:val="907"/>
    <w:rPr>
      <w:rFonts w:ascii="Arial" w:hAnsi="Arial" w:eastAsia="宋体" w:cs="Arial"/>
      <w:b w:val="0"/>
      <w:bCs/>
      <w:sz w:val="36"/>
      <w:szCs w:val="44"/>
    </w:rPr>
  </w:style>
  <w:style w:type="paragraph" w:styleId="920">
    <w:name w:val="正文缩进"/>
    <w:basedOn w:val="905"/>
    <w:next w:val="905"/>
    <w:link w:val="921"/>
    <w:pPr>
      <w:ind w:firstLine="420"/>
    </w:pPr>
    <w:rPr>
      <w:szCs w:val="21"/>
    </w:rPr>
  </w:style>
  <w:style w:type="character" w:styleId="921">
    <w:name w:val="正文缩进 字符"/>
    <w:next w:val="921"/>
    <w:link w:val="920"/>
    <w:rPr>
      <w:szCs w:val="21"/>
    </w:rPr>
  </w:style>
  <w:style w:type="character" w:styleId="922">
    <w:name w:val="标题 3 字符"/>
    <w:next w:val="922"/>
    <w:link w:val="908"/>
    <w:rPr>
      <w:rFonts w:ascii="Times New Roman" w:hAnsi="Times New Roman" w:eastAsia="宋体" w:cs="Times New Roman"/>
      <w:b/>
      <w:bCs/>
      <w:sz w:val="32"/>
      <w:szCs w:val="32"/>
    </w:rPr>
  </w:style>
  <w:style w:type="character" w:styleId="923">
    <w:name w:val="标题 4 字符"/>
    <w:next w:val="923"/>
    <w:link w:val="909"/>
    <w:rPr>
      <w:rFonts w:ascii="Arial" w:hAnsi="Arial" w:eastAsia="黑体" w:cs="Arial"/>
      <w:b/>
      <w:bCs/>
      <w:sz w:val="28"/>
      <w:szCs w:val="28"/>
    </w:rPr>
  </w:style>
  <w:style w:type="character" w:styleId="924">
    <w:name w:val="标题 5 字符"/>
    <w:next w:val="924"/>
    <w:link w:val="910"/>
    <w:rPr>
      <w:rFonts w:ascii="宋体" w:hAnsi="Times New Roman" w:eastAsia="宋体" w:cs="Times New Roman"/>
      <w:color w:val="000000"/>
      <w:sz w:val="28"/>
      <w:szCs w:val="28"/>
    </w:rPr>
  </w:style>
  <w:style w:type="character" w:styleId="925">
    <w:name w:val="标题 6 字符"/>
    <w:next w:val="925"/>
    <w:link w:val="911"/>
    <w:rPr>
      <w:rFonts w:ascii="Arial" w:hAnsi="Arial" w:eastAsia="黑体"/>
      <w:b/>
      <w:bCs/>
      <w:sz w:val="24"/>
      <w:szCs w:val="24"/>
    </w:rPr>
  </w:style>
  <w:style w:type="character" w:styleId="926">
    <w:name w:val="标题 7 字符"/>
    <w:next w:val="926"/>
    <w:link w:val="912"/>
    <w:rPr>
      <w:rFonts w:ascii="Times New Roman" w:hAnsi="Times New Roman"/>
      <w:b/>
      <w:bCs/>
      <w:sz w:val="24"/>
      <w:szCs w:val="24"/>
    </w:rPr>
  </w:style>
  <w:style w:type="character" w:styleId="927">
    <w:name w:val="标题 8 字符"/>
    <w:next w:val="927"/>
    <w:link w:val="913"/>
    <w:rPr>
      <w:rFonts w:ascii="Arial" w:hAnsi="Arial" w:eastAsia="黑体"/>
      <w:sz w:val="24"/>
      <w:szCs w:val="24"/>
    </w:rPr>
  </w:style>
  <w:style w:type="character" w:styleId="928">
    <w:name w:val="标题 9 字符"/>
    <w:next w:val="928"/>
    <w:link w:val="914"/>
    <w:rPr>
      <w:rFonts w:ascii="Arial" w:hAnsi="Arial" w:eastAsia="黑体"/>
      <w:sz w:val="21"/>
      <w:szCs w:val="21"/>
    </w:rPr>
  </w:style>
  <w:style w:type="paragraph" w:styleId="929">
    <w:name w:val="列表 3"/>
    <w:basedOn w:val="905"/>
    <w:next w:val="929"/>
    <w:link w:val="905"/>
    <w:pPr>
      <w:ind w:left="100" w:hanging="200"/>
    </w:pPr>
    <w:rPr>
      <w:rFonts w:ascii="Times New Roman" w:hAnsi="Times New Roman" w:eastAsia="宋体" w:cs="Times New Roman"/>
      <w:szCs w:val="21"/>
    </w:rPr>
  </w:style>
  <w:style w:type="paragraph" w:styleId="930">
    <w:name w:val="toc 7"/>
    <w:basedOn w:val="905"/>
    <w:next w:val="905"/>
    <w:link w:val="905"/>
    <w:semiHidden/>
    <w:pPr>
      <w:ind w:left="1260"/>
      <w:jc w:val="left"/>
    </w:pPr>
    <w:rPr>
      <w:rFonts w:ascii="Times New Roman" w:hAnsi="Times New Roman" w:eastAsia="宋体" w:cs="Times New Roman"/>
      <w:szCs w:val="21"/>
    </w:rPr>
  </w:style>
  <w:style w:type="paragraph" w:styleId="931">
    <w:name w:val="文档结构图"/>
    <w:basedOn w:val="905"/>
    <w:next w:val="931"/>
    <w:link w:val="932"/>
    <w:semiHidden/>
    <w:pPr>
      <w:shd w:val="clear" w:color="auto" w:fill="000080"/>
    </w:pPr>
    <w:rPr>
      <w:rFonts w:ascii="Times New Roman" w:hAnsi="Times New Roman" w:eastAsia="宋体" w:cs="Times New Roman"/>
      <w:szCs w:val="21"/>
    </w:rPr>
  </w:style>
  <w:style w:type="character" w:styleId="932">
    <w:name w:val="文档结构图 字符"/>
    <w:next w:val="932"/>
    <w:link w:val="931"/>
    <w:semiHidden/>
    <w:rPr>
      <w:rFonts w:ascii="Times New Roman" w:hAnsi="Times New Roman" w:eastAsia="宋体" w:cs="Times New Roman"/>
      <w:szCs w:val="21"/>
      <w:shd w:val="clear" w:color="auto" w:fill="000080"/>
    </w:rPr>
  </w:style>
  <w:style w:type="paragraph" w:styleId="933">
    <w:name w:val="批注文字"/>
    <w:basedOn w:val="905"/>
    <w:next w:val="933"/>
    <w:link w:val="934"/>
    <w:unhideWhenUsed/>
    <w:pPr>
      <w:jc w:val="left"/>
    </w:pPr>
  </w:style>
  <w:style w:type="character" w:styleId="934">
    <w:name w:val="批注文字 字符"/>
    <w:next w:val="934"/>
    <w:link w:val="933"/>
    <w:uiPriority w:val="99"/>
    <w:semiHidden/>
  </w:style>
  <w:style w:type="paragraph" w:styleId="935">
    <w:name w:val="正文文本 3"/>
    <w:basedOn w:val="905"/>
    <w:next w:val="935"/>
    <w:link w:val="936"/>
    <w:rPr>
      <w:rFonts w:ascii="仿宋_GB2312" w:hAnsi="Arial" w:eastAsia="仿宋_GB2312" w:cs="Times New Roman"/>
      <w:sz w:val="32"/>
      <w:szCs w:val="32"/>
    </w:rPr>
  </w:style>
  <w:style w:type="character" w:styleId="936">
    <w:name w:val="正文文本 3 字符"/>
    <w:next w:val="936"/>
    <w:link w:val="935"/>
    <w:rPr>
      <w:rFonts w:ascii="仿宋_GB2312" w:hAnsi="Arial" w:eastAsia="仿宋_GB2312" w:cs="Times New Roman"/>
      <w:sz w:val="32"/>
      <w:szCs w:val="32"/>
    </w:rPr>
  </w:style>
  <w:style w:type="paragraph" w:styleId="937">
    <w:name w:val="正文文本"/>
    <w:basedOn w:val="905"/>
    <w:next w:val="939"/>
    <w:link w:val="938"/>
    <w:rPr>
      <w:rFonts w:ascii="楷体_GB2312" w:hAnsi="Arial" w:eastAsia="楷体_GB2312" w:cs="Times New Roman"/>
      <w:sz w:val="28"/>
      <w:szCs w:val="28"/>
    </w:rPr>
  </w:style>
  <w:style w:type="character" w:styleId="938">
    <w:name w:val="正文文本 字符"/>
    <w:next w:val="938"/>
    <w:link w:val="937"/>
    <w:rPr>
      <w:rFonts w:ascii="楷体_GB2312" w:hAnsi="Arial" w:eastAsia="楷体_GB2312" w:cs="Times New Roman"/>
      <w:sz w:val="28"/>
      <w:szCs w:val="28"/>
    </w:rPr>
  </w:style>
  <w:style w:type="paragraph" w:styleId="939">
    <w:name w:val="一级条标题"/>
    <w:basedOn w:val="940"/>
    <w:next w:val="941"/>
    <w:link w:val="905"/>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940">
    <w:name w:val="章标题"/>
    <w:next w:val="905"/>
    <w:link w:val="90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41">
    <w:name w:val="段"/>
    <w:basedOn w:val="905"/>
    <w:next w:val="905"/>
    <w:link w:val="905"/>
    <w:qFormat/>
    <w:pPr>
      <w:ind w:firstLine="200"/>
      <w:widowControl/>
    </w:pPr>
    <w:rPr>
      <w:rFonts w:hint="eastAsia" w:ascii="宋体"/>
      <w:szCs w:val="20"/>
    </w:rPr>
  </w:style>
  <w:style w:type="paragraph" w:styleId="942">
    <w:name w:val="正文文本缩进"/>
    <w:basedOn w:val="905"/>
    <w:next w:val="942"/>
    <w:link w:val="943"/>
    <w:unhideWhenUsed/>
    <w:pPr>
      <w:ind w:left="420"/>
      <w:spacing w:after="120"/>
    </w:pPr>
  </w:style>
  <w:style w:type="character" w:styleId="943">
    <w:name w:val="正文文本缩进 字符"/>
    <w:next w:val="943"/>
    <w:link w:val="942"/>
    <w:uiPriority w:val="99"/>
    <w:semiHidden/>
  </w:style>
  <w:style w:type="paragraph" w:styleId="944">
    <w:name w:val="列表 2"/>
    <w:basedOn w:val="905"/>
    <w:next w:val="944"/>
    <w:link w:val="905"/>
    <w:pPr>
      <w:ind w:left="100" w:hanging="200"/>
    </w:pPr>
    <w:rPr>
      <w:rFonts w:ascii="Times New Roman" w:hAnsi="Times New Roman" w:eastAsia="宋体" w:cs="Times New Roman"/>
      <w:szCs w:val="21"/>
    </w:rPr>
  </w:style>
  <w:style w:type="paragraph" w:styleId="945">
    <w:name w:val="toc 5"/>
    <w:basedOn w:val="905"/>
    <w:next w:val="905"/>
    <w:link w:val="905"/>
    <w:semiHidden/>
    <w:pPr>
      <w:ind w:left="840"/>
      <w:jc w:val="left"/>
    </w:pPr>
    <w:rPr>
      <w:rFonts w:ascii="Times New Roman" w:hAnsi="Times New Roman" w:eastAsia="宋体" w:cs="Times New Roman"/>
      <w:szCs w:val="21"/>
    </w:rPr>
  </w:style>
  <w:style w:type="paragraph" w:styleId="946">
    <w:name w:val="toc 3"/>
    <w:basedOn w:val="905"/>
    <w:next w:val="905"/>
    <w:link w:val="905"/>
    <w:semiHidden/>
    <w:pPr>
      <w:ind w:left="420"/>
      <w:jc w:val="left"/>
    </w:pPr>
    <w:rPr>
      <w:rFonts w:ascii="Times New Roman" w:hAnsi="Times New Roman" w:eastAsia="宋体" w:cs="Times New Roman"/>
      <w:i/>
      <w:iCs/>
      <w:szCs w:val="24"/>
    </w:rPr>
  </w:style>
  <w:style w:type="paragraph" w:styleId="947">
    <w:name w:val="纯文本"/>
    <w:basedOn w:val="905"/>
    <w:next w:val="947"/>
    <w:link w:val="948"/>
    <w:rPr>
      <w:rFonts w:ascii="宋体" w:hAnsi="Courier New" w:eastAsia="宋体" w:cs="Courier New"/>
      <w:szCs w:val="21"/>
    </w:rPr>
  </w:style>
  <w:style w:type="character" w:styleId="948">
    <w:name w:val="纯文本 字符"/>
    <w:next w:val="948"/>
    <w:link w:val="947"/>
    <w:rPr>
      <w:rFonts w:ascii="宋体" w:hAnsi="Courier New" w:eastAsia="宋体" w:cs="Courier New"/>
      <w:szCs w:val="21"/>
    </w:rPr>
  </w:style>
  <w:style w:type="paragraph" w:styleId="949">
    <w:name w:val="toc 8"/>
    <w:basedOn w:val="905"/>
    <w:next w:val="905"/>
    <w:link w:val="905"/>
    <w:semiHidden/>
    <w:pPr>
      <w:ind w:left="1470"/>
      <w:jc w:val="left"/>
    </w:pPr>
    <w:rPr>
      <w:rFonts w:ascii="Times New Roman" w:hAnsi="Times New Roman" w:eastAsia="宋体" w:cs="Times New Roman"/>
      <w:szCs w:val="21"/>
    </w:rPr>
  </w:style>
  <w:style w:type="paragraph" w:styleId="950">
    <w:name w:val="日期"/>
    <w:basedOn w:val="905"/>
    <w:next w:val="905"/>
    <w:link w:val="951"/>
    <w:rPr>
      <w:rFonts w:ascii="Times New Roman" w:hAnsi="Times New Roman" w:eastAsia="宋体" w:cs="Times New Roman"/>
      <w:sz w:val="24"/>
      <w:szCs w:val="24"/>
    </w:rPr>
  </w:style>
  <w:style w:type="character" w:styleId="951">
    <w:name w:val="日期 字符"/>
    <w:next w:val="951"/>
    <w:link w:val="950"/>
    <w:rPr>
      <w:rFonts w:ascii="Times New Roman" w:hAnsi="Times New Roman" w:eastAsia="宋体" w:cs="Times New Roman"/>
      <w:sz w:val="24"/>
      <w:szCs w:val="24"/>
    </w:rPr>
  </w:style>
  <w:style w:type="paragraph" w:styleId="952">
    <w:name w:val="正文文本缩进 2"/>
    <w:basedOn w:val="905"/>
    <w:next w:val="952"/>
    <w:link w:val="953"/>
    <w:pPr>
      <w:ind w:left="630" w:firstLine="645"/>
    </w:pPr>
    <w:rPr>
      <w:rFonts w:ascii="Arial" w:hAnsi="Arial" w:eastAsia="仿宋_GB2312" w:cs="Arial"/>
      <w:sz w:val="32"/>
      <w:szCs w:val="32"/>
    </w:rPr>
  </w:style>
  <w:style w:type="character" w:styleId="953">
    <w:name w:val="正文文本缩进 2 字符"/>
    <w:next w:val="953"/>
    <w:link w:val="952"/>
    <w:rPr>
      <w:rFonts w:ascii="Arial" w:hAnsi="Arial" w:eastAsia="仿宋_GB2312" w:cs="Arial"/>
      <w:sz w:val="32"/>
      <w:szCs w:val="32"/>
    </w:rPr>
  </w:style>
  <w:style w:type="paragraph" w:styleId="954">
    <w:name w:val="批注框文本"/>
    <w:basedOn w:val="905"/>
    <w:next w:val="954"/>
    <w:link w:val="955"/>
    <w:semiHidden/>
    <w:rPr>
      <w:rFonts w:ascii="Times New Roman" w:hAnsi="Times New Roman" w:eastAsia="宋体" w:cs="Times New Roman"/>
      <w:sz w:val="18"/>
      <w:szCs w:val="18"/>
    </w:rPr>
  </w:style>
  <w:style w:type="character" w:styleId="955">
    <w:name w:val="批注框文本 字符"/>
    <w:next w:val="955"/>
    <w:link w:val="954"/>
    <w:semiHidden/>
    <w:rPr>
      <w:rFonts w:ascii="Times New Roman" w:hAnsi="Times New Roman" w:eastAsia="宋体" w:cs="Times New Roman"/>
      <w:sz w:val="18"/>
      <w:szCs w:val="18"/>
    </w:rPr>
  </w:style>
  <w:style w:type="paragraph" w:styleId="956">
    <w:name w:val="页脚"/>
    <w:basedOn w:val="905"/>
    <w:next w:val="956"/>
    <w:link w:val="957"/>
    <w:pPr>
      <w:jc w:val="left"/>
      <w:tabs>
        <w:tab w:val="center" w:pos="4153" w:leader="none"/>
        <w:tab w:val="right" w:pos="8306" w:leader="none"/>
      </w:tabs>
    </w:pPr>
    <w:rPr>
      <w:rFonts w:ascii="Times New Roman" w:hAnsi="Times New Roman" w:eastAsia="宋体" w:cs="Times New Roman"/>
      <w:sz w:val="18"/>
      <w:szCs w:val="18"/>
    </w:rPr>
  </w:style>
  <w:style w:type="character" w:styleId="957">
    <w:name w:val="页脚 字符"/>
    <w:next w:val="957"/>
    <w:link w:val="956"/>
    <w:rPr>
      <w:rFonts w:ascii="Times New Roman" w:hAnsi="Times New Roman" w:eastAsia="宋体" w:cs="Times New Roman"/>
      <w:sz w:val="18"/>
      <w:szCs w:val="18"/>
    </w:rPr>
  </w:style>
  <w:style w:type="paragraph" w:styleId="958">
    <w:name w:val="页眉"/>
    <w:basedOn w:val="905"/>
    <w:next w:val="958"/>
    <w:link w:val="95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9">
    <w:name w:val="页眉 字符"/>
    <w:next w:val="959"/>
    <w:link w:val="958"/>
    <w:rPr>
      <w:rFonts w:ascii="Times New Roman" w:hAnsi="Times New Roman" w:eastAsia="宋体" w:cs="Times New Roman"/>
      <w:sz w:val="18"/>
      <w:szCs w:val="18"/>
    </w:rPr>
  </w:style>
  <w:style w:type="paragraph" w:styleId="960">
    <w:name w:val="toc 1"/>
    <w:basedOn w:val="905"/>
    <w:next w:val="905"/>
    <w:link w:val="90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1">
    <w:name w:val="toc 4"/>
    <w:basedOn w:val="905"/>
    <w:next w:val="905"/>
    <w:link w:val="905"/>
    <w:semiHidden/>
    <w:pPr>
      <w:ind w:left="630"/>
      <w:jc w:val="left"/>
    </w:pPr>
    <w:rPr>
      <w:rFonts w:ascii="Times New Roman" w:hAnsi="Times New Roman" w:eastAsia="宋体" w:cs="Times New Roman"/>
      <w:szCs w:val="21"/>
    </w:rPr>
  </w:style>
  <w:style w:type="paragraph" w:styleId="962">
    <w:name w:val="列表"/>
    <w:basedOn w:val="905"/>
    <w:next w:val="962"/>
    <w:link w:val="905"/>
    <w:pPr>
      <w:ind w:left="200" w:hanging="200"/>
    </w:pPr>
    <w:rPr>
      <w:rFonts w:ascii="Times New Roman" w:hAnsi="Times New Roman" w:eastAsia="宋体" w:cs="Times New Roman"/>
      <w:szCs w:val="21"/>
    </w:rPr>
  </w:style>
  <w:style w:type="paragraph" w:styleId="963">
    <w:name w:val="toc 6"/>
    <w:basedOn w:val="905"/>
    <w:next w:val="905"/>
    <w:link w:val="905"/>
    <w:semiHidden/>
    <w:pPr>
      <w:ind w:left="1050"/>
      <w:jc w:val="left"/>
    </w:pPr>
    <w:rPr>
      <w:rFonts w:ascii="Times New Roman" w:hAnsi="Times New Roman" w:eastAsia="宋体" w:cs="Times New Roman"/>
      <w:szCs w:val="21"/>
    </w:rPr>
  </w:style>
  <w:style w:type="paragraph" w:styleId="964">
    <w:name w:val="正文文本缩进 3"/>
    <w:basedOn w:val="905"/>
    <w:next w:val="964"/>
    <w:link w:val="965"/>
    <w:pPr>
      <w:ind w:left="645" w:firstLine="645"/>
    </w:pPr>
    <w:rPr>
      <w:rFonts w:ascii="Arial" w:hAnsi="Arial" w:eastAsia="仿宋_GB2312" w:cs="Arial"/>
      <w:color w:val="ffff00"/>
      <w:sz w:val="32"/>
      <w:szCs w:val="32"/>
    </w:rPr>
  </w:style>
  <w:style w:type="character" w:styleId="965">
    <w:name w:val="正文文本缩进 3 字符"/>
    <w:next w:val="965"/>
    <w:link w:val="964"/>
    <w:rPr>
      <w:rFonts w:ascii="Arial" w:hAnsi="Arial" w:eastAsia="仿宋_GB2312" w:cs="Arial"/>
      <w:color w:val="ffff00"/>
      <w:sz w:val="32"/>
      <w:szCs w:val="32"/>
    </w:rPr>
  </w:style>
  <w:style w:type="paragraph" w:styleId="966">
    <w:name w:val="图表目录"/>
    <w:basedOn w:val="905"/>
    <w:next w:val="905"/>
    <w:link w:val="905"/>
    <w:semiHidden/>
    <w:pPr>
      <w:ind w:left="840" w:hanging="420"/>
    </w:pPr>
    <w:rPr>
      <w:rFonts w:ascii="Times New Roman" w:hAnsi="Times New Roman" w:eastAsia="宋体" w:cs="Times New Roman"/>
      <w:szCs w:val="21"/>
    </w:rPr>
  </w:style>
  <w:style w:type="paragraph" w:styleId="967">
    <w:name w:val="toc 2"/>
    <w:basedOn w:val="905"/>
    <w:next w:val="905"/>
    <w:link w:val="905"/>
    <w:semiHidden/>
    <w:pPr>
      <w:ind w:left="210"/>
      <w:jc w:val="left"/>
    </w:pPr>
    <w:rPr>
      <w:rFonts w:ascii="Times New Roman" w:hAnsi="Times New Roman" w:eastAsia="宋体" w:cs="Times New Roman"/>
      <w:smallCaps/>
      <w:szCs w:val="24"/>
    </w:rPr>
  </w:style>
  <w:style w:type="paragraph" w:styleId="968">
    <w:name w:val="toc 9"/>
    <w:basedOn w:val="905"/>
    <w:next w:val="905"/>
    <w:link w:val="905"/>
    <w:semiHidden/>
    <w:pPr>
      <w:ind w:left="1680"/>
      <w:jc w:val="left"/>
    </w:pPr>
    <w:rPr>
      <w:rFonts w:ascii="Times New Roman" w:hAnsi="Times New Roman" w:eastAsia="宋体" w:cs="Times New Roman"/>
      <w:szCs w:val="21"/>
    </w:rPr>
  </w:style>
  <w:style w:type="paragraph" w:styleId="969">
    <w:name w:val="正文文本 2"/>
    <w:basedOn w:val="905"/>
    <w:next w:val="969"/>
    <w:link w:val="970"/>
    <w:pPr>
      <w:jc w:val="center"/>
      <w:widowControl/>
    </w:pPr>
    <w:rPr>
      <w:rFonts w:ascii="楷体_GB2312" w:hAnsi="Times New Roman" w:eastAsia="楷体_GB2312" w:cs="Times New Roman"/>
      <w:sz w:val="28"/>
      <w:szCs w:val="28"/>
    </w:rPr>
  </w:style>
  <w:style w:type="character" w:styleId="970">
    <w:name w:val="正文文本 2 字符"/>
    <w:next w:val="970"/>
    <w:link w:val="969"/>
    <w:rPr>
      <w:rFonts w:ascii="楷体_GB2312" w:hAnsi="Times New Roman" w:eastAsia="楷体_GB2312" w:cs="Times New Roman"/>
      <w:sz w:val="28"/>
      <w:szCs w:val="28"/>
    </w:rPr>
  </w:style>
  <w:style w:type="paragraph" w:styleId="971">
    <w:name w:val="普通(网站)"/>
    <w:basedOn w:val="905"/>
    <w:next w:val="971"/>
    <w:link w:val="905"/>
    <w:uiPriority w:val="99"/>
    <w:pPr>
      <w:jc w:val="left"/>
      <w:spacing w:before="100" w:beforeAutospacing="1" w:after="100" w:afterAutospacing="1"/>
      <w:widowControl/>
    </w:pPr>
    <w:rPr>
      <w:rFonts w:ascii="宋体" w:hAnsi="宋体" w:eastAsia="宋体" w:cs="宋体"/>
      <w:sz w:val="24"/>
      <w:szCs w:val="24"/>
    </w:rPr>
  </w:style>
  <w:style w:type="paragraph" w:styleId="972">
    <w:name w:val="索引 1"/>
    <w:basedOn w:val="905"/>
    <w:next w:val="905"/>
    <w:link w:val="905"/>
    <w:semiHidden/>
    <w:pPr>
      <w:spacing w:line="240" w:lineRule="atLeast"/>
    </w:pPr>
    <w:rPr>
      <w:rFonts w:ascii="Times New Roman" w:hAnsi="Times New Roman" w:eastAsia="宋体" w:cs="Times New Roman"/>
      <w:b/>
      <w:bCs/>
      <w:szCs w:val="21"/>
    </w:rPr>
  </w:style>
  <w:style w:type="paragraph" w:styleId="973">
    <w:name w:val="批注主题"/>
    <w:basedOn w:val="933"/>
    <w:next w:val="933"/>
    <w:link w:val="974"/>
    <w:semiHidden/>
    <w:rPr>
      <w:rFonts w:ascii="Times New Roman" w:hAnsi="Times New Roman" w:eastAsia="宋体" w:cs="Times New Roman"/>
      <w:b/>
      <w:bCs/>
      <w:szCs w:val="21"/>
    </w:rPr>
  </w:style>
  <w:style w:type="character" w:styleId="974">
    <w:name w:val="批注主题 字符"/>
    <w:next w:val="974"/>
    <w:link w:val="973"/>
    <w:semiHidden/>
    <w:rPr>
      <w:rFonts w:ascii="Times New Roman" w:hAnsi="Times New Roman" w:eastAsia="宋体" w:cs="Times New Roman"/>
      <w:b/>
      <w:bCs/>
      <w:szCs w:val="21"/>
    </w:rPr>
  </w:style>
  <w:style w:type="paragraph" w:styleId="975">
    <w:name w:val="正文文本首行缩进"/>
    <w:basedOn w:val="905"/>
    <w:next w:val="975"/>
    <w:link w:val="976"/>
    <w:pPr>
      <w:ind w:firstLine="200"/>
      <w:spacing w:line="360" w:lineRule="auto"/>
    </w:pPr>
    <w:rPr>
      <w:rFonts w:ascii="仿宋_GB2312" w:hAnsi="Times New Roman" w:eastAsia="仿宋_GB2312" w:cs="Times New Roman"/>
      <w:sz w:val="30"/>
      <w:szCs w:val="30"/>
    </w:rPr>
  </w:style>
  <w:style w:type="character" w:styleId="976">
    <w:name w:val="正文文本首行缩进 字符"/>
    <w:next w:val="976"/>
    <w:link w:val="975"/>
    <w:rPr>
      <w:rFonts w:ascii="仿宋_GB2312" w:hAnsi="Times New Roman" w:eastAsia="仿宋_GB2312" w:cs="Times New Roman"/>
      <w:sz w:val="30"/>
      <w:szCs w:val="30"/>
    </w:rPr>
  </w:style>
  <w:style w:type="paragraph" w:styleId="977">
    <w:name w:val="正文文本首行缩进 2"/>
    <w:basedOn w:val="942"/>
    <w:next w:val="977"/>
    <w:link w:val="978"/>
    <w:pPr>
      <w:ind w:left="0" w:firstLine="420"/>
      <w:spacing w:after="0" w:line="360" w:lineRule="auto"/>
    </w:pPr>
    <w:rPr>
      <w:rFonts w:ascii="宋体" w:hAnsi="宋体" w:eastAsia="宋体" w:cs="Times New Roman"/>
      <w:szCs w:val="20"/>
    </w:rPr>
  </w:style>
  <w:style w:type="character" w:styleId="978">
    <w:name w:val="正文文本首行缩进 2 字符"/>
    <w:next w:val="978"/>
    <w:link w:val="977"/>
    <w:rPr>
      <w:rFonts w:ascii="宋体" w:hAnsi="宋体" w:eastAsia="宋体" w:cs="Times New Roman"/>
      <w:szCs w:val="20"/>
    </w:rPr>
  </w:style>
  <w:style w:type="table" w:styleId="979">
    <w:name w:val="网格型"/>
    <w:basedOn w:val="916"/>
    <w:next w:val="979"/>
    <w:link w:val="905"/>
    <w:uiPriority w:val="59"/>
    <w:pPr>
      <w:jc w:val="both"/>
      <w:widowControl w:val="off"/>
    </w:pPr>
    <w:rPr>
      <w:rFonts w:ascii="Times New Roman" w:hAnsi="Times New Roman" w:eastAsia="宋体" w:cs="Times New Roman"/>
      <w:sz w:val="20"/>
      <w:szCs w:val="20"/>
    </w:rPr>
    <w:tblPr/>
  </w:style>
  <w:style w:type="character" w:styleId="980">
    <w:name w:val="要点"/>
    <w:next w:val="980"/>
    <w:link w:val="905"/>
    <w:qFormat/>
    <w:rPr>
      <w:b/>
      <w:bCs/>
    </w:rPr>
  </w:style>
  <w:style w:type="character" w:styleId="981">
    <w:name w:val="页码"/>
    <w:next w:val="981"/>
    <w:link w:val="905"/>
  </w:style>
  <w:style w:type="character" w:styleId="982">
    <w:name w:val="访问过的超链接"/>
    <w:next w:val="982"/>
    <w:link w:val="905"/>
    <w:rPr>
      <w:color w:val="800080"/>
      <w:u w:val="single"/>
    </w:rPr>
  </w:style>
  <w:style w:type="character" w:styleId="983">
    <w:name w:val="强调"/>
    <w:next w:val="983"/>
    <w:link w:val="905"/>
    <w:qFormat/>
    <w:rPr>
      <w:i/>
    </w:rPr>
  </w:style>
  <w:style w:type="character" w:styleId="984">
    <w:name w:val="超链接"/>
    <w:next w:val="984"/>
    <w:link w:val="905"/>
    <w:rPr>
      <w:color w:val="0000ff"/>
      <w:u w:val="single"/>
    </w:rPr>
  </w:style>
  <w:style w:type="character" w:styleId="985">
    <w:name w:val="批注引用"/>
    <w:next w:val="985"/>
    <w:link w:val="905"/>
    <w:semiHidden/>
    <w:rPr>
      <w:sz w:val="21"/>
      <w:szCs w:val="21"/>
    </w:rPr>
  </w:style>
  <w:style w:type="paragraph" w:styleId="986">
    <w:name w:val="标题 31"/>
    <w:basedOn w:val="905"/>
    <w:next w:val="905"/>
    <w:link w:val="905"/>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987">
    <w:name w:val="font5 Char"/>
    <w:next w:val="987"/>
    <w:link w:val="905"/>
    <w:rPr>
      <w:rFonts w:ascii="宋体" w:hAnsi="宋体" w:eastAsia="宋体"/>
      <w:sz w:val="28"/>
      <w:szCs w:val="28"/>
      <w:lang w:val="en-US" w:eastAsia="zh-CN" w:bidi="ar-SA"/>
    </w:rPr>
  </w:style>
  <w:style w:type="character" w:styleId="988">
    <w:name w:val="二级目录 Char"/>
    <w:next w:val="988"/>
    <w:link w:val="989"/>
    <w:rPr>
      <w:b/>
      <w:sz w:val="30"/>
      <w:szCs w:val="28"/>
    </w:rPr>
  </w:style>
  <w:style w:type="paragraph" w:styleId="989">
    <w:name w:val="二级目录"/>
    <w:next w:val="905"/>
    <w:link w:val="988"/>
    <w:pPr>
      <w:numPr>
        <w:ilvl w:val="0"/>
        <w:numId w:val="4"/>
      </w:numPr>
      <w:tabs>
        <w:tab w:val="left" w:pos="907" w:leader="none"/>
        <w:tab w:val="left" w:pos="1145" w:leader="none"/>
      </w:tabs>
      <w:outlineLvl w:val="1"/>
    </w:pPr>
    <w:rPr>
      <w:b/>
      <w:sz w:val="30"/>
      <w:szCs w:val="28"/>
      <w:lang w:val="en-US" w:eastAsia="zh-CN" w:bidi="ar-SA"/>
    </w:rPr>
  </w:style>
  <w:style w:type="character" w:styleId="990">
    <w:name w:val="列出段落 Char,Bullet List Char,numbered Char,FooterText Char,List Paragraph1 Char,Paragraphe de liste1 Char"/>
    <w:next w:val="990"/>
    <w:link w:val="991"/>
    <w:rPr>
      <w:rFonts w:ascii="Calibri" w:hAnsi="Calibri"/>
      <w:sz w:val="24"/>
      <w:szCs w:val="24"/>
      <w:lang w:eastAsia="en-US" w:bidi="en-US"/>
    </w:rPr>
  </w:style>
  <w:style w:type="paragraph" w:styleId="991">
    <w:name w:val="列出段落1"/>
    <w:basedOn w:val="905"/>
    <w:next w:val="991"/>
    <w:link w:val="990"/>
    <w:qFormat/>
    <w:pPr>
      <w:contextualSpacing/>
      <w:ind w:left="720"/>
      <w:jc w:val="left"/>
      <w:widowControl/>
    </w:pPr>
    <w:rPr>
      <w:rFonts w:ascii="Calibri" w:hAnsi="Calibri"/>
      <w:sz w:val="24"/>
      <w:szCs w:val="24"/>
      <w:lang w:eastAsia="en-US" w:bidi="en-US"/>
    </w:rPr>
  </w:style>
  <w:style w:type="paragraph" w:styleId="992">
    <w:name w:val="Body Text(ch)"/>
    <w:basedOn w:val="905"/>
    <w:next w:val="937"/>
    <w:link w:val="905"/>
    <w:pPr>
      <w:spacing w:after="120"/>
    </w:pPr>
    <w:rPr>
      <w:rFonts w:ascii="宋体" w:hAnsi="Arial" w:eastAsia="宋体" w:cs="Times New Roman"/>
      <w:bCs/>
      <w:iCs/>
      <w:szCs w:val="24"/>
    </w:rPr>
  </w:style>
  <w:style w:type="paragraph" w:styleId="993">
    <w:name w:val="xl27"/>
    <w:basedOn w:val="905"/>
    <w:next w:val="993"/>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6"/>
    <w:basedOn w:val="905"/>
    <w:next w:val="994"/>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5">
    <w:name w:val="Char"/>
    <w:basedOn w:val="905"/>
    <w:next w:val="995"/>
    <w:link w:val="905"/>
    <w:pPr>
      <w:ind w:firstLine="200"/>
      <w:tabs>
        <w:tab w:val="left" w:pos="360" w:leader="none"/>
      </w:tabs>
    </w:pPr>
    <w:rPr>
      <w:rFonts w:ascii="Times New Roman" w:hAnsi="Times New Roman" w:eastAsia="宋体" w:cs="Times New Roman"/>
      <w:sz w:val="28"/>
      <w:szCs w:val="30"/>
    </w:rPr>
  </w:style>
  <w:style w:type="paragraph" w:styleId="996">
    <w:name w:val=" Char"/>
    <w:basedOn w:val="931"/>
    <w:next w:val="996"/>
    <w:link w:val="905"/>
    <w:rPr>
      <w:rFonts w:ascii="Tahoma" w:hAnsi="Tahoma"/>
      <w:sz w:val="24"/>
      <w:szCs w:val="24"/>
    </w:rPr>
  </w:style>
  <w:style w:type="paragraph" w:styleId="997">
    <w:name w:val="普通正文"/>
    <w:basedOn w:val="905"/>
    <w:next w:val="997"/>
    <w:link w:val="905"/>
    <w:qFormat/>
    <w:pPr>
      <w:ind w:firstLine="480"/>
      <w:jc w:val="left"/>
      <w:spacing w:before="120" w:after="120" w:line="360" w:lineRule="auto"/>
    </w:pPr>
    <w:rPr>
      <w:rFonts w:ascii="Arial" w:hAnsi="Arial" w:eastAsia="宋体" w:cs="Times New Roman"/>
      <w:sz w:val="24"/>
      <w:szCs w:val="24"/>
    </w:rPr>
  </w:style>
  <w:style w:type="paragraph" w:styleId="998">
    <w:name w:val="table_lines"/>
    <w:basedOn w:val="905"/>
    <w:next w:val="998"/>
    <w:link w:val="905"/>
    <w:pPr>
      <w:jc w:val="left"/>
      <w:widowControl/>
    </w:pPr>
    <w:rPr>
      <w:rFonts w:ascii="Times New Roman" w:hAnsi="Times New Roman" w:eastAsia="宋体" w:cs="Times New Roman"/>
      <w:sz w:val="20"/>
      <w:szCs w:val="20"/>
      <w:lang w:val="de-DE" w:eastAsia="de-DE"/>
    </w:rPr>
  </w:style>
  <w:style w:type="paragraph" w:styleId="999">
    <w:name w:val="附录1"/>
    <w:next w:val="999"/>
    <w:link w:val="905"/>
    <w:pPr>
      <w:numPr>
        <w:ilvl w:val="0"/>
        <w:numId w:val="4"/>
      </w:numPr>
      <w:spacing w:before="240" w:line="600" w:lineRule="atLeast"/>
      <w:tabs>
        <w:tab w:val="left" w:pos="907" w:leader="none"/>
      </w:tabs>
    </w:pPr>
    <w:rPr>
      <w:b/>
      <w:i/>
      <w:sz w:val="28"/>
      <w:lang w:val="en-US" w:eastAsia="zh-CN" w:bidi="ar-SA"/>
    </w:rPr>
  </w:style>
  <w:style w:type="paragraph" w:styleId="1000">
    <w:name w:val="font7"/>
    <w:basedOn w:val="905"/>
    <w:next w:val="1000"/>
    <w:link w:val="905"/>
    <w:pPr>
      <w:jc w:val="left"/>
      <w:spacing w:before="100" w:beforeAutospacing="1" w:after="100" w:afterAutospacing="1"/>
      <w:widowControl/>
    </w:pPr>
    <w:rPr>
      <w:rFonts w:hint="eastAsia" w:ascii="宋体" w:hAnsi="宋体" w:eastAsia="宋体" w:cs="Times New Roman"/>
      <w:sz w:val="18"/>
      <w:szCs w:val="18"/>
    </w:rPr>
  </w:style>
  <w:style w:type="paragraph" w:styleId="1001">
    <w:name w:val=" Char Char Char Char"/>
    <w:basedOn w:val="931"/>
    <w:next w:val="1001"/>
    <w:link w:val="905"/>
    <w:pPr>
      <w:spacing w:line="360" w:lineRule="auto"/>
    </w:pPr>
    <w:rPr>
      <w:rFonts w:ascii="Tahoma" w:hAnsi="Tahoma"/>
      <w:sz w:val="24"/>
      <w:szCs w:val="24"/>
    </w:rPr>
  </w:style>
  <w:style w:type="paragraph" w:styleId="1002">
    <w:name w:val="列表段落"/>
    <w:basedOn w:val="905"/>
    <w:next w:val="1002"/>
    <w:link w:val="905"/>
    <w:uiPriority w:val="34"/>
    <w:qFormat/>
    <w:pPr>
      <w:contextualSpacing/>
      <w:ind w:left="720"/>
      <w:jc w:val="left"/>
      <w:widowControl/>
    </w:pPr>
    <w:rPr>
      <w:rFonts w:ascii="Calibri" w:hAnsi="Calibri" w:eastAsia="宋体" w:cs="Times New Roman"/>
      <w:sz w:val="24"/>
      <w:szCs w:val="24"/>
      <w:lang w:eastAsia="en-US" w:bidi="en-US"/>
    </w:rPr>
  </w:style>
  <w:style w:type="paragraph" w:styleId="1003">
    <w:name w:val="4"/>
    <w:basedOn w:val="905"/>
    <w:next w:val="964"/>
    <w:link w:val="905"/>
    <w:pPr>
      <w:ind w:firstLine="420"/>
      <w:spacing w:line="360" w:lineRule="auto"/>
    </w:pPr>
    <w:rPr>
      <w:rFonts w:ascii="Times New Roman" w:hAnsi="Times New Roman" w:eastAsia="宋体" w:cs="Times New Roman"/>
      <w:color w:val="ff0000"/>
      <w:sz w:val="24"/>
      <w:szCs w:val="24"/>
    </w:rPr>
  </w:style>
  <w:style w:type="paragraph" w:styleId="1004">
    <w:name w:val="普通 (Web)"/>
    <w:basedOn w:val="905"/>
    <w:next w:val="1004"/>
    <w:link w:val="905"/>
    <w:pPr>
      <w:jc w:val="left"/>
      <w:spacing w:before="100" w:beforeAutospacing="1" w:after="100" w:afterAutospacing="1"/>
      <w:widowControl/>
    </w:pPr>
    <w:rPr>
      <w:rFonts w:ascii="宋体" w:hAnsi="宋体" w:eastAsia="宋体" w:cs="Times New Roman"/>
      <w:sz w:val="24"/>
      <w:szCs w:val="24"/>
    </w:rPr>
  </w:style>
  <w:style w:type="paragraph" w:styleId="1005">
    <w:name w:val=" Char Char Char Char Char Char Char Char Char Char"/>
    <w:basedOn w:val="905"/>
    <w:next w:val="1005"/>
    <w:link w:val="905"/>
    <w:pPr>
      <w:spacing w:line="360" w:lineRule="auto"/>
    </w:pPr>
    <w:rPr>
      <w:rFonts w:ascii="Times New Roman" w:hAnsi="Times New Roman" w:eastAsia="宋体" w:cs="Times New Roman"/>
      <w:sz w:val="24"/>
      <w:szCs w:val="20"/>
    </w:rPr>
  </w:style>
  <w:style w:type="paragraph" w:styleId="1006">
    <w:name w:val="样式1"/>
    <w:basedOn w:val="905"/>
    <w:next w:val="1006"/>
    <w:link w:val="905"/>
    <w:pPr>
      <w:numPr>
        <w:ilvl w:val="0"/>
        <w:numId w:val="5"/>
      </w:numPr>
      <w:tabs>
        <w:tab w:val="left" w:pos="709" w:leader="none"/>
      </w:tabs>
    </w:pPr>
    <w:rPr>
      <w:rFonts w:ascii="宋体" w:hAnsi="宋体" w:eastAsia="宋体" w:cs="Times New Roman"/>
      <w:szCs w:val="21"/>
    </w:rPr>
  </w:style>
  <w:style w:type="paragraph" w:styleId="1007">
    <w:name w:val="font6"/>
    <w:basedOn w:val="905"/>
    <w:next w:val="1007"/>
    <w:link w:val="905"/>
    <w:pPr>
      <w:jc w:val="left"/>
      <w:spacing w:before="100" w:beforeAutospacing="1" w:after="100" w:afterAutospacing="1"/>
      <w:widowControl/>
    </w:pPr>
    <w:rPr>
      <w:rFonts w:hint="eastAsia" w:ascii="宋体" w:hAnsi="宋体" w:eastAsia="宋体" w:cs="Times New Roman"/>
      <w:sz w:val="28"/>
      <w:szCs w:val="28"/>
      <w:u w:val="single"/>
    </w:rPr>
  </w:style>
  <w:style w:type="paragraph" w:styleId="1008">
    <w:name w:val="xl25"/>
    <w:basedOn w:val="905"/>
    <w:next w:val="1008"/>
    <w:link w:val="9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name w:val="图标"/>
    <w:basedOn w:val="905"/>
    <w:next w:val="905"/>
    <w:link w:val="90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0">
    <w:name w:val="标题3"/>
    <w:basedOn w:val="905"/>
    <w:next w:val="905"/>
    <w:link w:val="905"/>
    <w:pPr>
      <w:ind w:firstLine="624"/>
      <w:spacing w:line="590" w:lineRule="atLeast"/>
    </w:pPr>
    <w:rPr>
      <w:rFonts w:ascii="方正黑体_GBK" w:hAnsi="Times New Roman" w:eastAsia="方正黑体_GBK" w:cs="Times New Roman"/>
      <w:sz w:val="32"/>
      <w:szCs w:val="32"/>
    </w:rPr>
  </w:style>
  <w:style w:type="paragraph" w:styleId="1011">
    <w:name w:val="xl24"/>
    <w:basedOn w:val="905"/>
    <w:next w:val="1011"/>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2">
    <w:name w:val="xl29"/>
    <w:basedOn w:val="905"/>
    <w:next w:val="1012"/>
    <w:link w:val="90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3">
    <w:name w:val="Char Char Char Char Char Char Char Char"/>
    <w:basedOn w:val="905"/>
    <w:next w:val="1013"/>
    <w:link w:val="905"/>
    <w:pPr>
      <w:jc w:val="left"/>
      <w:spacing w:after="160" w:line="240" w:lineRule="exact"/>
      <w:widowControl/>
    </w:pPr>
    <w:rPr>
      <w:rFonts w:ascii="Verdana" w:hAnsi="Verdana" w:eastAsia="宋体" w:cs="Times New Roman"/>
      <w:sz w:val="20"/>
      <w:szCs w:val="20"/>
      <w:lang w:eastAsia="en-US"/>
    </w:rPr>
  </w:style>
  <w:style w:type="paragraph" w:styleId="1014">
    <w:name w:val="xl28"/>
    <w:basedOn w:val="905"/>
    <w:next w:val="1014"/>
    <w:link w:val="9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5">
    <w:name w:val=" Char Char Char Char Char Char Char Char"/>
    <w:basedOn w:val="905"/>
    <w:next w:val="1015"/>
    <w:link w:val="905"/>
    <w:pPr>
      <w:jc w:val="left"/>
      <w:spacing w:after="160" w:line="240" w:lineRule="exact"/>
      <w:widowControl/>
    </w:pPr>
    <w:rPr>
      <w:rFonts w:ascii="Verdana" w:hAnsi="Verdana" w:eastAsia="宋体" w:cs="Times New Roman"/>
      <w:sz w:val="20"/>
      <w:szCs w:val="20"/>
      <w:lang w:eastAsia="en-US"/>
    </w:rPr>
  </w:style>
  <w:style w:type="paragraph" w:styleId="1016">
    <w:name w:val="xl30"/>
    <w:basedOn w:val="905"/>
    <w:next w:val="1016"/>
    <w:link w:val="905"/>
    <w:pPr>
      <w:jc w:val="center"/>
      <w:spacing w:before="100" w:beforeAutospacing="1" w:after="100" w:afterAutospacing="1"/>
      <w:widowControl/>
    </w:pPr>
    <w:rPr>
      <w:rFonts w:ascii="宋体" w:hAnsi="宋体" w:eastAsia="宋体" w:cs="Times New Roman"/>
      <w:b/>
      <w:bCs/>
      <w:sz w:val="36"/>
      <w:szCs w:val="36"/>
    </w:rPr>
  </w:style>
  <w:style w:type="paragraph" w:styleId="1017">
    <w:name w:val="Char Char Char Char"/>
    <w:basedOn w:val="931"/>
    <w:next w:val="1017"/>
    <w:link w:val="905"/>
    <w:pPr>
      <w:spacing w:line="360" w:lineRule="auto"/>
    </w:pPr>
    <w:rPr>
      <w:rFonts w:ascii="Tahoma" w:hAnsi="Tahoma"/>
      <w:sz w:val="24"/>
      <w:szCs w:val="24"/>
    </w:rPr>
  </w:style>
  <w:style w:type="paragraph" w:styleId="1018">
    <w:name w:val="table_1stline"/>
    <w:basedOn w:val="905"/>
    <w:next w:val="1018"/>
    <w:link w:val="905"/>
    <w:pPr>
      <w:jc w:val="left"/>
      <w:spacing w:before="120"/>
      <w:widowControl/>
    </w:pPr>
    <w:rPr>
      <w:rFonts w:ascii="Times New Roman" w:hAnsi="Times New Roman" w:eastAsia="宋体" w:cs="Times New Roman"/>
      <w:bCs/>
      <w:sz w:val="20"/>
      <w:szCs w:val="20"/>
      <w:lang w:val="de-DE" w:eastAsia="de-DE"/>
    </w:rPr>
  </w:style>
  <w:style w:type="paragraph" w:styleId="1019">
    <w:name w:val="font5"/>
    <w:basedOn w:val="905"/>
    <w:next w:val="1019"/>
    <w:link w:val="905"/>
    <w:pPr>
      <w:jc w:val="left"/>
      <w:spacing w:before="100" w:beforeAutospacing="1" w:after="100" w:afterAutospacing="1"/>
      <w:widowControl/>
    </w:pPr>
    <w:rPr>
      <w:rFonts w:hint="eastAsia" w:ascii="宋体" w:hAnsi="宋体" w:eastAsia="宋体" w:cs="Times New Roman"/>
      <w:sz w:val="28"/>
      <w:szCs w:val="28"/>
    </w:rPr>
  </w:style>
  <w:style w:type="paragraph" w:styleId="1020">
    <w:name w:val="标题1"/>
    <w:basedOn w:val="905"/>
    <w:next w:val="905"/>
    <w:link w:val="90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1">
    <w:name w:val="修订"/>
    <w:next w:val="1021"/>
    <w:link w:val="905"/>
    <w:uiPriority w:val="99"/>
    <w:semiHidden/>
    <w:rPr>
      <w:sz w:val="21"/>
      <w:szCs w:val="21"/>
      <w:lang w:val="en-US" w:eastAsia="zh-CN" w:bidi="ar-SA"/>
    </w:rPr>
  </w:style>
  <w:style w:type="paragraph" w:styleId="1022">
    <w:name w:val="无间隔"/>
    <w:next w:val="1022"/>
    <w:link w:val="905"/>
    <w:uiPriority w:val="99"/>
    <w:qFormat/>
    <w:pPr>
      <w:jc w:val="both"/>
      <w:widowControl w:val="off"/>
    </w:pPr>
    <w:rPr>
      <w:sz w:val="21"/>
      <w:szCs w:val="21"/>
      <w:lang w:val="en-US" w:eastAsia="zh-CN" w:bidi="ar-SA"/>
    </w:rPr>
  </w:style>
  <w:style w:type="paragraph" w:styleId="1023">
    <w:name w:val="正文1"/>
    <w:next w:val="1023"/>
    <w:link w:val="905"/>
    <w:uiPriority w:val="99"/>
    <w:qFormat/>
    <w:pPr>
      <w:contextualSpacing/>
      <w:ind w:firstLine="200"/>
      <w:spacing w:before="120" w:after="120" w:line="180" w:lineRule="auto"/>
    </w:pPr>
    <w:rPr>
      <w:rFonts w:eastAsia="Adobe 仿宋 Std R"/>
      <w:sz w:val="21"/>
      <w:szCs w:val="21"/>
      <w:lang w:val="en-US" w:eastAsia="zh-CN" w:bidi="ar-SA"/>
    </w:rPr>
  </w:style>
  <w:style w:type="paragraph" w:styleId="1024">
    <w:name w:val="正文文本缩进2"/>
    <w:basedOn w:val="905"/>
    <w:next w:val="1024"/>
    <w:link w:val="905"/>
    <w:uiPriority w:val="99"/>
    <w:qFormat/>
    <w:pPr>
      <w:ind w:firstLine="301"/>
      <w:spacing w:line="200" w:lineRule="exact"/>
    </w:pPr>
    <w:rPr>
      <w:rFonts w:ascii="宋体" w:hAnsi="Courier New"/>
      <w:spacing w:val="-4"/>
      <w:sz w:val="18"/>
      <w:szCs w:val="24"/>
    </w:rPr>
  </w:style>
  <w:style w:type="paragraph" w:styleId="1025">
    <w:name w:val="正文文本11"/>
    <w:basedOn w:val="905"/>
    <w:next w:val="905"/>
    <w:link w:val="905"/>
    <w:qFormat/>
    <w:rPr>
      <w:rFonts w:ascii="楷体_GB2312" w:hAnsi="Arial" w:eastAsia="楷体_GB2312"/>
      <w:sz w:val="28"/>
      <w:szCs w:val="28"/>
    </w:rPr>
  </w:style>
  <w:style w:type="character" w:styleId="1026">
    <w:name w:val="font31"/>
    <w:next w:val="1026"/>
    <w:link w:val="905"/>
    <w:qFormat/>
    <w:rPr>
      <w:rFonts w:hint="eastAsia" w:ascii="宋体" w:hAnsi="宋体" w:eastAsia="宋体" w:cs="宋体"/>
      <w:color w:val="000000"/>
      <w:sz w:val="24"/>
      <w:szCs w:val="24"/>
      <w:u w:val="none"/>
    </w:rPr>
  </w:style>
  <w:style w:type="character" w:styleId="1027">
    <w:name w:val="bot_zi"/>
    <w:next w:val="1027"/>
    <w:link w:val="905"/>
    <w:qFormat/>
  </w:style>
  <w:style w:type="character" w:styleId="1028">
    <w:name w:val="font21"/>
    <w:next w:val="1028"/>
    <w:link w:val="905"/>
    <w:rPr>
      <w:rFonts w:hint="eastAsia" w:ascii="微软雅黑" w:hAnsi="微软雅黑" w:eastAsia="微软雅黑" w:cs="微软雅黑"/>
      <w:i w:val="0"/>
      <w:iCs w:val="0"/>
      <w:color w:val="000000"/>
      <w:sz w:val="21"/>
      <w:szCs w:val="21"/>
      <w:u w:val="none"/>
    </w:rPr>
  </w:style>
  <w:style w:type="character" w:styleId="1029">
    <w:name w:val="font51"/>
    <w:next w:val="1029"/>
    <w:link w:val="905"/>
    <w:rPr>
      <w:rFonts w:hint="eastAsia" w:ascii="微软雅黑" w:hAnsi="微软雅黑" w:eastAsia="微软雅黑" w:cs="微软雅黑"/>
      <w:i w:val="0"/>
      <w:iCs w:val="0"/>
      <w:color w:val="ff0000"/>
      <w:sz w:val="21"/>
      <w:szCs w:val="21"/>
      <w:u w:val="none"/>
    </w:rPr>
  </w:style>
  <w:style w:type="character" w:styleId="1030">
    <w:name w:val="font41"/>
    <w:next w:val="1030"/>
    <w:link w:val="905"/>
    <w:rPr>
      <w:rFonts w:hint="eastAsia" w:ascii="微软雅黑" w:hAnsi="微软雅黑" w:eastAsia="微软雅黑" w:cs="微软雅黑"/>
      <w:i w:val="0"/>
      <w:iCs w:val="0"/>
      <w:color w:val="000000"/>
      <w:sz w:val="21"/>
      <w:szCs w:val="21"/>
      <w:u w:val="none"/>
    </w:rPr>
  </w:style>
  <w:style w:type="character" w:styleId="1031">
    <w:name w:val="font11"/>
    <w:next w:val="1031"/>
    <w:link w:val="905"/>
    <w:rPr>
      <w:rFonts w:hint="eastAsia" w:ascii="幼圆" w:hAnsi="幼圆" w:eastAsia="幼圆" w:cs="幼圆"/>
      <w:b/>
      <w:bCs/>
      <w:i w:val="0"/>
      <w:iCs w:val="0"/>
      <w:color w:val="000000"/>
      <w:sz w:val="24"/>
      <w:szCs w:val="24"/>
      <w:u w:val="none"/>
    </w:rPr>
  </w:style>
  <w:style w:type="paragraph" w:styleId="1032">
    <w:name w:val="Default"/>
    <w:next w:val="905"/>
    <w:link w:val="905"/>
    <w:qFormat/>
    <w:pPr>
      <w:widowControl w:val="off"/>
    </w:pPr>
    <w:rPr>
      <w:rFonts w:ascii="宋体" w:cs="宋体"/>
      <w:color w:val="000000"/>
      <w:sz w:val="24"/>
      <w:szCs w:val="24"/>
      <w:lang w:val="en-US" w:eastAsia="zh-CN" w:bidi="ar-SA"/>
    </w:rPr>
  </w:style>
  <w:style w:type="character" w:styleId="1033">
    <w:name w:val="font71"/>
    <w:next w:val="1033"/>
    <w:link w:val="905"/>
    <w:rPr>
      <w:rFonts w:ascii="Times New Roman" w:hAnsi="Times New Roman" w:cs="Times New Roman"/>
      <w:i w:val="0"/>
      <w:iCs w:val="0"/>
      <w:color w:val="000000"/>
      <w:sz w:val="24"/>
      <w:szCs w:val="24"/>
      <w:u w:val="none"/>
    </w:rPr>
  </w:style>
  <w:style w:type="character" w:styleId="1034">
    <w:name w:val="font81"/>
    <w:next w:val="1034"/>
    <w:link w:val="905"/>
    <w:rPr>
      <w:rFonts w:ascii="Times New Roman" w:hAnsi="Times New Roman" w:cs="Times New Roman"/>
      <w:i w:val="0"/>
      <w:iCs w:val="0"/>
      <w:color w:val="000000"/>
      <w:sz w:val="24"/>
      <w:szCs w:val="24"/>
      <w:u w:val="none"/>
      <w:vertAlign w:val="superscript"/>
    </w:rPr>
  </w:style>
  <w:style w:type="character" w:styleId="1035">
    <w:name w:val="font91"/>
    <w:next w:val="1035"/>
    <w:link w:val="905"/>
    <w:rPr>
      <w:rFonts w:ascii="Courier New" w:hAnsi="Courier New" w:cs="Courier New"/>
      <w:i w:val="0"/>
      <w:iCs w:val="0"/>
      <w:color w:val="000000"/>
      <w:sz w:val="24"/>
      <w:szCs w:val="24"/>
      <w:u w:val="none"/>
    </w:rPr>
  </w:style>
  <w:style w:type="character" w:styleId="1036">
    <w:name w:val="font61"/>
    <w:next w:val="1036"/>
    <w:link w:val="905"/>
    <w:rPr>
      <w:rFonts w:ascii="Times New Roman" w:hAnsi="Times New Roman" w:cs="Times New Roman"/>
      <w:i w:val="0"/>
      <w:iCs w:val="0"/>
      <w:color w:val="ff0000"/>
      <w:sz w:val="24"/>
      <w:szCs w:val="24"/>
      <w:u w:val="none"/>
    </w:rPr>
  </w:style>
  <w:style w:type="character" w:styleId="1037">
    <w:name w:val="font101"/>
    <w:next w:val="1037"/>
    <w:link w:val="905"/>
    <w:rPr>
      <w:rFonts w:ascii="Arial" w:hAnsi="Arial" w:cs="Arial"/>
      <w:i w:val="0"/>
      <w:iCs w:val="0"/>
      <w:color w:val="000000"/>
      <w:sz w:val="24"/>
      <w:szCs w:val="24"/>
      <w:u w:val="none"/>
    </w:rPr>
  </w:style>
  <w:style w:type="character" w:styleId="1038">
    <w:name w:val="font112"/>
    <w:next w:val="1038"/>
    <w:link w:val="905"/>
    <w:rPr>
      <w:rFonts w:ascii="CorpoS" w:hAnsi="CorpoS" w:eastAsia="CorpoS" w:cs="CorpoS"/>
      <w:i w:val="0"/>
      <w:iCs w:val="0"/>
      <w:color w:val="000000"/>
      <w:sz w:val="24"/>
      <w:szCs w:val="24"/>
      <w:u w:val="none"/>
    </w:r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丁一</cp:lastModifiedBy>
  <cp:revision>8</cp:revision>
  <dcterms:created xsi:type="dcterms:W3CDTF">2023-12-18T06:54:00Z</dcterms:created>
  <dcterms:modified xsi:type="dcterms:W3CDTF">2026-03-30T07:35:48Z</dcterms:modified>
  <cp:version>1048576</cp:version>
</cp:coreProperties>
</file>