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JSZC-321000-SWGC-G2026-0038</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pacing w:val="-17"/>
          <w:sz w:val="36"/>
          <w:highlight w:val="none"/>
        </w:rPr>
      </w:pPr>
      <w:r>
        <w:rPr>
          <w:rFonts w:ascii="宋体" w:hAnsi="宋体" w:cs="宋体"/>
          <w:b/>
          <w:bCs/>
          <w:color w:val="auto"/>
          <w:spacing w:val="-17"/>
          <w:sz w:val="36"/>
          <w:highlight w:val="none"/>
        </w:rPr>
        <w:t xml:space="preserve">苏北人民医院骨质疏松专病库项目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2026年3月</w:t>
      </w:r>
      <w:r>
        <w:rPr>
          <w:rFonts w:hint="eastAsia" w:ascii="宋体" w:hAnsi="宋体" w:cs="宋体"/>
          <w:b/>
          <w:bCs/>
          <w:color w:val="auto"/>
          <w:sz w:val="36"/>
          <w:highlight w:val="none"/>
          <w:lang w:val="en-US" w:eastAsia="zh-CN"/>
        </w:rPr>
        <w:t xml:space="preserve">30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50"/>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67"/>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867"/>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867"/>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867"/>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867"/>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867"/>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873"/>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844"/>
        <w:rPr>
          <w:color w:val="auto"/>
          <w:highlight w:val="none"/>
        </w:rPr>
      </w:pPr>
      <w:r/>
      <w:bookmarkStart w:id="0" w:name="_Toc30208"/>
      <w:r/>
      <w:bookmarkStart w:id="1" w:name="_Toc55204177"/>
      <w:r>
        <w:rPr>
          <w:rFonts w:hint="eastAsia"/>
          <w:color w:val="auto"/>
          <w:highlight w:val="none"/>
        </w:rPr>
        <w:t xml:space="preserve">第一章 </w:t>
      </w:r>
      <w:bookmarkEnd w:id="0"/>
      <w:r/>
      <w:bookmarkStart w:id="2" w:name="_Toc27417"/>
      <w:r>
        <w:rPr>
          <w:rFonts w:hint="eastAsia"/>
          <w:color w:val="auto"/>
          <w:highlight w:val="none"/>
        </w:rPr>
        <w:t xml:space="preserve">采购公告</w:t>
      </w:r>
      <w:bookmarkEnd w:id="1"/>
      <w:r/>
      <w:bookmarkEnd w:id="2"/>
      <w:r/>
      <w:r/>
    </w:p>
    <w:p>
      <w:pPr>
        <w:ind w:firstLine="420"/>
        <w:jc w:val="left"/>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受苏北人民医院的委托，江苏苏维工程管理有限公司就苏北人民医院骨质疏松专病库项目(</w:t>
      </w:r>
      <w:r>
        <w:rPr>
          <w:rFonts w:hint="eastAsia" w:ascii="宋体" w:hAnsi="宋体" w:cs="宋体"/>
          <w:color w:val="auto"/>
          <w:szCs w:val="21"/>
          <w:highlight w:val="none"/>
          <w:lang w:eastAsia="zh-CN"/>
        </w:rPr>
        <w:t xml:space="preserve">JSZC-321000-SWGC-G2026-0038</w:t>
      </w:r>
      <w:r>
        <w:rPr>
          <w:rFonts w:hint="eastAsia" w:ascii="宋体" w:hAnsi="宋体" w:cs="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cs="宋体"/>
          <w:color w:val="auto"/>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none"/>
        </w:rPr>
      </w:r>
      <w:r>
        <w:rPr>
          <w:rFonts w:hint="eastAsia" w:ascii="宋体" w:hAnsi="宋体" w:cs="宋体"/>
          <w:color w:val="auto"/>
          <w:highlight w:val="none"/>
          <w:u w:val="single"/>
        </w:rPr>
        <w:t xml:space="preserve">苏北人民医院骨质疏松专病库项目 JSZC-321000-SWGC-G2026-0038 </w:t>
      </w:r>
      <w:r>
        <w:rPr>
          <w:rFonts w:hint="eastAsia" w:ascii="宋体" w:hAnsi="宋体" w:cs="宋体"/>
          <w:color w:val="auto"/>
          <w:highlight w:val="none"/>
          <w:u w:val="none"/>
        </w:rPr>
        <w:t xml:space="preserve">招标项目的潜在投标人应在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u w:val="none"/>
        </w:rPr>
        <w:t xml:space="preserve"> 获取招标文件，并于</w:t>
      </w:r>
      <w:r>
        <w:rPr>
          <w:rFonts w:hint="eastAsia" w:ascii="宋体" w:hAnsi="宋体" w:cs="宋体"/>
          <w:color w:val="auto"/>
          <w:highlight w:val="none"/>
          <w:u w:val="single"/>
        </w:rPr>
        <w:t xml:space="preserve">2026年4月23日上午 9:30（北京时间）</w:t>
      </w:r>
      <w:r>
        <w:rPr>
          <w:rFonts w:hint="eastAsia" w:ascii="宋体" w:hAnsi="宋体" w:cs="宋体"/>
          <w:color w:val="auto"/>
          <w:highlight w:val="none"/>
          <w:u w:val="none"/>
        </w:rPr>
        <w:t xml:space="preserve">前递交投标文件。</w:t>
      </w:r>
      <w:r>
        <w:rPr>
          <w:rFonts w:hint="eastAsia" w:ascii="宋体" w:hAnsi="宋体" w:cs="宋体"/>
          <w:color w:val="auto"/>
          <w:highlight w:val="none"/>
          <w:u w:val="none"/>
        </w:rPr>
      </w:r>
      <w:r>
        <w:rPr>
          <w:u w:val="none"/>
        </w:rPr>
      </w:r>
    </w:p>
    <w:p>
      <w:pPr>
        <w:ind w:firstLine="422"/>
        <w:pageBreakBefore w:val="0"/>
        <w:spacing w:line="360" w:lineRule="auto"/>
        <w:tabs>
          <w:tab w:val="left" w:pos="266" w:leader="none"/>
        </w:tabs>
        <w:rPr>
          <w:rFonts w:hint="eastAsia" w:ascii="宋体" w:hAnsi="宋体" w:cs="宋体"/>
          <w:b/>
          <w:bCs/>
          <w:color w:val="auto"/>
          <w:highlight w:val="none"/>
        </w:rPr>
      </w:pPr>
      <w:r/>
      <w:bookmarkStart w:id="3" w:name="_Toc35393621"/>
      <w:r/>
      <w:bookmarkStart w:id="4" w:name="_Toc28359002"/>
      <w:r/>
      <w:bookmarkStart w:id="5" w:name="_Toc35393790"/>
      <w:r/>
      <w:bookmarkStart w:id="6" w:name="_Toc28359079"/>
      <w:r/>
      <w:bookmarkStart w:id="7" w:name="_Toc38985263"/>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JSZC-321000-SWGC-G2026-0038</w:t>
      </w:r>
      <w:r>
        <w:rPr>
          <w:rFonts w:hint="eastAsia" w:ascii="宋体" w:hAnsi="宋体" w:cs="宋体"/>
          <w:color w:val="auto"/>
          <w:szCs w:val="21"/>
          <w:highlight w:val="none"/>
        </w:rPr>
        <w:t xml:space="preserve">号</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2.项目名称：苏北人民医院骨质疏松专病库项目</w:t>
      </w:r>
      <w:bookmarkEnd w:id="8"/>
      <w:r/>
      <w:r/>
    </w:p>
    <w:p>
      <w:pPr>
        <w:ind w:firstLine="420"/>
        <w:pageBreakBefore w:val="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3.预算金额：</w:t>
      </w:r>
      <w:r/>
    </w:p>
    <w:tbl>
      <w:tblPr>
        <w:tblStyle w:val="8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7"/>
      </w:tblGrid>
      <w:tr>
        <w:trPr/>
        <w:tc>
          <w:tcPr>
            <w:tcW w:w="811"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w:t>
            </w:r>
            <w:r/>
          </w:p>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4188"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预算</w:t>
            </w:r>
            <w:r>
              <w:rPr>
                <w:rFonts w:ascii="宋体" w:hAnsi="宋体"/>
                <w:color w:val="auto"/>
                <w:szCs w:val="21"/>
                <w:highlight w:val="none"/>
              </w:rPr>
              <w:t xml:space="preserve">金额</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1"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4188"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120</w:t>
            </w:r>
            <w:r/>
          </w:p>
        </w:tc>
      </w:tr>
    </w:tbl>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p>
    <w:tbl>
      <w:tblPr>
        <w:tblStyle w:val="8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w:t>
            </w:r>
            <w:r/>
          </w:p>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1976"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是否</w:t>
            </w:r>
            <w:r>
              <w:rPr>
                <w:rFonts w:ascii="宋体" w:hAnsi="宋体"/>
                <w:color w:val="auto"/>
                <w:szCs w:val="21"/>
                <w:highlight w:val="none"/>
              </w:rPr>
              <w:t xml:space="preserve">设定最高</w:t>
            </w:r>
            <w:r>
              <w:rPr>
                <w:rFonts w:hint="eastAsia" w:ascii="宋体" w:hAnsi="宋体"/>
                <w:color w:val="auto"/>
                <w:szCs w:val="21"/>
                <w:highlight w:val="none"/>
              </w:rPr>
              <w:t xml:space="preserve">限价</w:t>
            </w:r>
            <w:r/>
          </w:p>
          <w:p>
            <w:pPr>
              <w:ind w:firstLine="420"/>
              <w:jc w:val="center"/>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13"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最高</w:t>
            </w:r>
            <w:r>
              <w:rPr>
                <w:rFonts w:ascii="宋体" w:hAnsi="宋体"/>
                <w:color w:val="auto"/>
                <w:szCs w:val="21"/>
                <w:highlight w:val="none"/>
              </w:rPr>
              <w:t xml:space="preserve">限价</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976"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是</w:t>
            </w:r>
            <w:r/>
          </w:p>
        </w:tc>
        <w:tc>
          <w:tcPr>
            <w:tcW w:w="2213" w:type="pct"/>
            <w:textDirection w:val="lrTb"/>
            <w:noWrap w:val="false"/>
          </w:tcPr>
          <w:p>
            <w:pPr>
              <w:ind w:firstLine="420"/>
              <w:jc w:val="cente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120</w:t>
            </w:r>
            <w:r/>
          </w:p>
        </w:tc>
      </w:tr>
    </w:tbl>
    <w:p>
      <w:pPr>
        <w:ind w:firstLine="420"/>
        <w:pageBreakBefore w:val="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pageBreakBefore w:val="0"/>
        <w:spacing w:line="360" w:lineRule="auto"/>
        <w:tabs>
          <w:tab w:val="left" w:pos="266" w:leader="none"/>
        </w:tabs>
        <w:rPr>
          <w:rFonts w:hint="eastAsia" w:ascii="宋体" w:hAnsi="宋体" w:cs="宋体"/>
          <w:b/>
          <w:bCs/>
          <w:color w:val="auto"/>
          <w:highlight w:val="none"/>
        </w:rPr>
      </w:pPr>
      <w:r/>
      <w:bookmarkStart w:id="9" w:name="_Toc38985264"/>
      <w:r/>
      <w:bookmarkStart w:id="10" w:name="_Toc35393791"/>
      <w:r/>
      <w:bookmarkStart w:id="11" w:name="_Toc28359003"/>
      <w:r/>
      <w:bookmarkStart w:id="12" w:name="_Toc28359080"/>
      <w:r/>
      <w:bookmarkStart w:id="13" w:name="_Toc35393622"/>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pageBreakBefore w:val="0"/>
        <w:spacing w:line="360" w:lineRule="auto"/>
        <w:rPr>
          <w:rFonts w:hint="eastAsia" w:ascii="宋体" w:hAnsi="宋体" w:cs="宋体"/>
          <w:color w:val="auto"/>
          <w:szCs w:val="21"/>
          <w:highlight w:val="none"/>
        </w:rPr>
      </w:pPr>
      <w:r/>
      <w:bookmarkStart w:id="14" w:name="_Toc28359004"/>
      <w:r/>
      <w:bookmarkStart w:id="15" w:name="_Toc28359081"/>
      <w:r/>
      <w:bookmarkStart w:id="16" w:name="_Toc35393792"/>
      <w:r/>
      <w:bookmarkStart w:id="17" w:name="_Toc35393623"/>
      <w:r/>
      <w:bookmarkStart w:id="18" w:name="_Toc38985265"/>
      <w:r>
        <w:rPr>
          <w:rFonts w:hint="eastAsia" w:ascii="宋体" w:hAnsi="宋体" w:cs="宋体"/>
          <w:color w:val="auto"/>
          <w:szCs w:val="21"/>
          <w:highlight w:val="none"/>
        </w:rPr>
        <w:t xml:space="preserve">（一）通用资格要求</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2024年度或2025年度的财务报告情况；</w:t>
      </w:r>
      <w:r>
        <w:rPr>
          <w:rFonts w:hint="eastAsia" w:ascii="宋体" w:hAnsi="宋体" w:cs="宋体"/>
          <w:b/>
          <w:bCs/>
          <w:i/>
          <w:iCs/>
          <w:color w:val="auto"/>
          <w:szCs w:val="21"/>
          <w:highlight w:val="none"/>
          <w:u w:val="single"/>
        </w:rPr>
        <w:t xml:space="preserve">（成立不满一年无需提供）</w:t>
      </w:r>
      <w:r/>
    </w:p>
    <w:p>
      <w:pPr>
        <w:ind w:firstLine="420"/>
        <w:pageBreakBefore w:val="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无；</w:t>
      </w:r>
      <w:r/>
    </w:p>
    <w:p>
      <w:pPr>
        <w:ind w:firstLine="420"/>
        <w:pageBreakBefore w:val="0"/>
        <w:spacing w:line="360" w:lineRule="auto"/>
        <w:rPr>
          <w:rFonts w:hint="eastAsia" w:ascii="宋体" w:hAnsi="宋体"/>
          <w:color w:val="auto"/>
          <w:sz w:val="24"/>
          <w:szCs w:val="24"/>
          <w:highlight w:val="none"/>
        </w:rPr>
      </w:pPr>
      <w:r>
        <w:rPr>
          <w:rFonts w:hint="eastAsia" w:ascii="宋体" w:hAnsi="宋体" w:cs="宋体"/>
          <w:color w:val="auto"/>
          <w:szCs w:val="21"/>
          <w:highlight w:val="none"/>
        </w:rPr>
        <w:t xml:space="preserve">3.联合体投标</w:t>
      </w:r>
      <w:r/>
    </w:p>
    <w:tbl>
      <w:tblPr>
        <w:tblStyle w:val="8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p>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p>
        </w:tc>
        <w:tc>
          <w:tcPr>
            <w:tcW w:w="1961"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是否接受联合体</w:t>
            </w:r>
            <w:r>
              <w:rPr>
                <w:rFonts w:ascii="宋体" w:hAnsi="宋体"/>
                <w:color w:val="auto"/>
                <w:sz w:val="24"/>
                <w:szCs w:val="24"/>
                <w:highlight w:val="none"/>
              </w:rPr>
              <w:t xml:space="preserve">投标</w:t>
            </w:r>
            <w:r/>
          </w:p>
          <w:p>
            <w:pPr>
              <w:ind w:firstLine="480"/>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w:t>
            </w:r>
            <w:r/>
          </w:p>
        </w:tc>
        <w:tc>
          <w:tcPr>
            <w:tcW w:w="2279" w:type="pct"/>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该采购包中</w:t>
            </w:r>
            <w:r>
              <w:rPr>
                <w:rFonts w:ascii="宋体" w:hAnsi="宋体"/>
                <w:color w:val="auto"/>
                <w:sz w:val="24"/>
                <w:szCs w:val="24"/>
                <w:highlight w:val="none"/>
              </w:rPr>
              <w:t xml:space="preserve">联合体成员数量</w:t>
            </w:r>
            <w:r>
              <w:rPr>
                <w:rFonts w:hint="eastAsia" w:ascii="宋体" w:hAnsi="宋体"/>
                <w:color w:val="auto"/>
                <w:sz w:val="24"/>
                <w:szCs w:val="24"/>
                <w:highlight w:val="none"/>
              </w:rPr>
              <w:t xml:space="preserve">上限</w:t>
            </w:r>
            <w:r/>
          </w:p>
        </w:tc>
      </w:tr>
      <w:tr>
        <w:trPr/>
        <w:tc>
          <w:tcPr>
            <w:tcW w:w="758"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961"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r>
    </w:tbl>
    <w:p>
      <w:pPr>
        <w:numPr>
          <w:ilvl w:val="0"/>
          <w:numId w:val="2"/>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bl>
      <w:tblPr>
        <w:tblStyle w:val="8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c>
          <w:tcPr>
            <w:tcW w:w="764"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p>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p>
        </w:tc>
        <w:tc>
          <w:tcPr>
            <w:tcW w:w="4235"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特定</w:t>
            </w:r>
            <w:r>
              <w:rPr>
                <w:rFonts w:ascii="宋体" w:hAnsi="宋体"/>
                <w:color w:val="auto"/>
                <w:sz w:val="24"/>
                <w:szCs w:val="24"/>
                <w:highlight w:val="none"/>
              </w:rPr>
              <w:t xml:space="preserve">资格要求</w:t>
            </w:r>
            <w:r/>
          </w:p>
        </w:tc>
      </w:tr>
      <w:tr>
        <w:trPr/>
        <w:tc>
          <w:tcPr>
            <w:tcW w:w="764"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4235" w:type="pct"/>
            <w:textDirection w:val="lrTb"/>
            <w:noWrap w:val="false"/>
          </w:tcPr>
          <w:p>
            <w:pPr>
              <w:ind w:firstLine="480"/>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r>
    </w:tbl>
    <w:p>
      <w:pPr>
        <w:ind w:firstLine="420"/>
        <w:pageBreakBefore w:val="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pageBreakBefore w:val="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（2）凡为采购项目提供整体设计、规范编制或者项目管理、监理、检测等服务的供应商，不得再参加本项目的采购活动；</w:t>
      </w:r>
      <w:r/>
    </w:p>
    <w:p>
      <w:pPr>
        <w:ind w:firstLine="420"/>
        <w:pageBreakBefore w:val="0"/>
        <w:spacing w:line="360" w:lineRule="auto"/>
        <w:rPr>
          <w:rFonts w:hint="eastAsia" w:ascii="宋体" w:hAnsi="宋体" w:cs="宋体"/>
          <w:b/>
          <w:bCs/>
          <w:color w:val="auto"/>
          <w:highlight w:val="none"/>
        </w:rPr>
      </w:pPr>
      <w:r>
        <w:rPr>
          <w:rFonts w:hint="eastAsia" w:ascii="宋体" w:hAnsi="宋体" w:cs="宋体"/>
          <w:color w:val="auto"/>
          <w:szCs w:val="24"/>
          <w:highlight w:val="none"/>
        </w:rPr>
        <w:t xml:space="preserve">（3）法人的分支机构不得参加投标（除银行、保险、石油石化、电力、电信等行业特殊情况外）。</w:t>
      </w:r>
      <w:r/>
    </w:p>
    <w:p>
      <w:pPr>
        <w:ind w:firstLine="422"/>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pageBreakBefore w:val="0"/>
        <w:spacing w:line="360" w:lineRule="auto"/>
        <w:rPr>
          <w:rFonts w:hint="eastAsia" w:ascii="宋体" w:hAnsi="宋体" w:cs="宋体"/>
          <w:color w:val="auto"/>
          <w:highlight w:val="none"/>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2026年</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23</w:t>
      </w:r>
      <w:r>
        <w:rPr>
          <w:rFonts w:hint="eastAsia" w:ascii="宋体" w:hAnsi="宋体" w:cs="宋体"/>
          <w:bCs/>
          <w:color w:val="auto"/>
          <w:highlight w:val="none"/>
          <w:u w:val="single"/>
        </w:rPr>
        <w:t xml:space="preserve">日上午9：30</w:t>
      </w:r>
      <w:r>
        <w:rPr>
          <w:rFonts w:hint="eastAsia" w:ascii="宋体" w:hAnsi="宋体" w:cs="宋体"/>
          <w:color w:val="auto"/>
          <w:highlight w:val="none"/>
        </w:rPr>
        <w:t xml:space="preserve">（北京时间）</w:t>
      </w:r>
      <w:r/>
    </w:p>
    <w:p>
      <w:pPr>
        <w:ind w:firstLine="42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pageBreakBefore w:val="0"/>
        <w:spacing w:line="360" w:lineRule="auto"/>
        <w:tabs>
          <w:tab w:val="left" w:pos="266" w:leader="none"/>
        </w:tabs>
        <w:rPr>
          <w:rFonts w:hint="eastAsia" w:ascii="宋体" w:hAnsi="宋体" w:cs="宋体"/>
          <w:b/>
          <w:bCs/>
          <w:color w:val="auto"/>
          <w:highlight w:val="none"/>
        </w:rPr>
      </w:pPr>
      <w:r/>
      <w:bookmarkStart w:id="24" w:name="_Toc35393794"/>
      <w:r/>
      <w:bookmarkStart w:id="25" w:name="_Toc35393625"/>
      <w:r/>
      <w:bookmarkStart w:id="26" w:name="_Toc28359007"/>
      <w:r/>
      <w:bookmarkStart w:id="27" w:name="_Toc38985267"/>
      <w:r/>
      <w:bookmarkStart w:id="28" w:name="_Toc28359084"/>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pageBreakBefore w:val="0"/>
        <w:spacing w:line="360" w:lineRule="auto"/>
        <w:rPr>
          <w:rFonts w:hint="eastAsia" w:ascii="宋体" w:hAnsi="宋体" w:cs="宋体"/>
          <w:color w:val="auto"/>
          <w:highlight w:val="none"/>
        </w:rPr>
      </w:pPr>
      <w:r/>
      <w:bookmarkStart w:id="29" w:name="_Toc35393795"/>
      <w:r/>
      <w:bookmarkStart w:id="30" w:name="_Toc38985268"/>
      <w:r/>
      <w:bookmarkStart w:id="31" w:name="_Toc35393626"/>
      <w:r>
        <w:rPr>
          <w:rFonts w:hint="eastAsia" w:ascii="宋体" w:hAnsi="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pageBreakBefore w:val="0"/>
        <w:spacing w:line="360" w:lineRule="auto"/>
        <w:rPr>
          <w:rFonts w:hint="eastAsia" w:ascii="宋体" w:hAnsi="宋体" w:cs="宋体"/>
          <w:b/>
          <w:bCs/>
          <w:color w:val="auto"/>
          <w:highlight w:val="none"/>
        </w:rPr>
      </w:pPr>
      <w:r/>
      <w:bookmarkStart w:id="32" w:name="_Toc35393796"/>
      <w:r/>
      <w:bookmarkStart w:id="33" w:name="_Toc35393627"/>
      <w:r/>
      <w:bookmarkStart w:id="34" w:name="_Toc38985269"/>
      <w:r/>
      <w:bookmarkStart w:id="35" w:name="_Toc28359008"/>
      <w:r/>
      <w:bookmarkStart w:id="36" w:name="_Toc28359085"/>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pageBreakBefore w:val="0"/>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苏北人民医院</w:t>
      </w:r>
      <w:r/>
    </w:p>
    <w:p>
      <w:pPr>
        <w:ind w:firstLine="420"/>
        <w:jc w:val="left"/>
        <w:pageBreakBefore w:val="0"/>
        <w:spacing w:line="360" w:lineRule="auto"/>
        <w:rPr>
          <w:rFonts w:hint="eastAsia" w:ascii="宋体" w:hAnsi="宋体" w:cs="宋体"/>
          <w:color w:val="auto"/>
          <w:highlight w:val="none"/>
        </w:rPr>
      </w:pPr>
      <w:r/>
      <w:bookmarkStart w:id="39" w:name="_Toc28359086"/>
      <w:r/>
      <w:bookmarkStart w:id="40" w:name="_Toc28359009"/>
      <w:r>
        <w:rPr>
          <w:rFonts w:hint="eastAsia" w:ascii="宋体" w:hAnsi="宋体" w:cs="宋体"/>
          <w:color w:val="auto"/>
          <w:highlight w:val="none"/>
        </w:rPr>
        <w:t xml:space="preserve">地 址：扬州市广陵区南通西路98号 </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陈秋萍</w:t>
      </w:r>
      <w:r/>
    </w:p>
    <w:p>
      <w:pPr>
        <w:ind w:firstLine="420"/>
        <w:pageBreakBefore w:val="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7"/>
      <w:r/>
      <w:bookmarkEnd w:id="38"/>
      <w:r/>
      <w:r/>
    </w:p>
    <w:p>
      <w:pPr>
        <w:pStyle w:val="1034"/>
        <w:jc w:val="center"/>
        <w:pageBreakBefore w:val="0"/>
        <w:spacing w:before="0" w:after="0"/>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844"/>
        <w:rPr>
          <w:color w:val="auto"/>
          <w:highlight w:val="none"/>
        </w:rPr>
      </w:pPr>
      <w:r/>
      <w:bookmarkStart w:id="42" w:name="_Toc10032"/>
      <w:r>
        <w:rPr>
          <w:rFonts w:hint="eastAsia"/>
          <w:color w:val="auto"/>
          <w:highlight w:val="none"/>
        </w:rPr>
        <w:t xml:space="preserve">第二章 投标人须知</w:t>
      </w:r>
      <w:bookmarkEnd w:id="41"/>
      <w:r/>
      <w:bookmarkEnd w:id="42"/>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JSZC-321000-SWGC-G2026-0038</w:t>
      </w:r>
      <w:r>
        <w:rPr>
          <w:rFonts w:hint="eastAsia" w:ascii="宋体" w:hAnsi="宋体" w:cs="宋体"/>
          <w:bCs/>
          <w:color w:val="auto"/>
          <w:szCs w:val="21"/>
          <w:highlight w:val="none"/>
        </w:rPr>
        <w:t xml:space="preserve">号项目。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462564084"/>
      <w:r/>
      <w:bookmarkStart w:id="44" w:name="_Toc16938541"/>
      <w:r/>
      <w:bookmarkStart w:id="45" w:name="_Toc513029225"/>
      <w:r/>
      <w:bookmarkStart w:id="46" w:name="_Toc20823297"/>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20823298"/>
      <w:r/>
      <w:bookmarkStart w:id="49" w:name="_Toc16938542"/>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0"/>
        <w:keepLines w:val="0"/>
        <w:keepNext w:val="0"/>
        <w:pageBreakBefore w:val="0"/>
        <w:spacing w:line="360" w:lineRule="auto"/>
        <w:widowControl w:val="off"/>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513029227"/>
      <w:r/>
      <w:bookmarkStart w:id="52" w:name="_Toc16938543"/>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513029228"/>
      <w:r/>
      <w:bookmarkStart w:id="54" w:name="_Toc16938544"/>
      <w:r/>
      <w:bookmarkStart w:id="55" w:name="_Toc20823300"/>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 异常低价投标审查</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27.3代理机构将在“扬州市政府采购网”、“江苏省政府采购网”和“中国政府采购网”发布中标公告，公告期限为1个工作日。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44"/>
        <w:rPr>
          <w:color w:val="auto"/>
          <w:highlight w:val="none"/>
        </w:rPr>
      </w:pPr>
      <w:r/>
      <w:bookmarkStart w:id="56" w:name="_Toc18427"/>
      <w:r/>
      <w:bookmarkStart w:id="57" w:name="_Toc55204179"/>
      <w:r/>
      <w:bookmarkStart w:id="58" w:name="_Hlk69392822"/>
      <w:r>
        <w:rPr>
          <w:rFonts w:hint="eastAsia"/>
          <w:color w:val="auto"/>
          <w:highlight w:val="none"/>
        </w:rPr>
        <w:t xml:space="preserve">第三章 合同条款及格式</w:t>
      </w:r>
      <w:bookmarkEnd w:id="56"/>
      <w:r/>
      <w:bookmarkEnd w:id="57"/>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r/>
    </w:p>
    <w:p>
      <w:pPr>
        <w:ind w:left="0"/>
        <w:jc w:val="center"/>
        <w:keepLines w:val="0"/>
        <w:keepNext w:val="0"/>
        <w:pageBreakBefore w:val="0"/>
        <w:widowControl w:val="off"/>
        <w:rPr>
          <w:rFonts w:hint="eastAsia" w:ascii="宋体" w:hAnsi="宋体"/>
          <w:b/>
          <w:color w:val="auto"/>
          <w:sz w:val="21"/>
          <w:szCs w:val="21"/>
          <w:highlight w:val="none"/>
        </w:rPr>
        <w:outlineLvl w:val="0"/>
      </w:pPr>
      <w:r>
        <w:rPr>
          <w:rFonts w:hint="eastAsia" w:ascii="宋体" w:hAnsi="宋体"/>
          <w:b/>
          <w:color w:val="auto"/>
          <w:sz w:val="21"/>
          <w:szCs w:val="21"/>
          <w:highlight w:val="none"/>
        </w:rPr>
        <w:t xml:space="preserve">采购合同</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项目名称：苏北人民医院骨质疏松专病库项目</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JSZC-321000-SWGC-G2026-0038</w:t>
      </w:r>
      <w:r>
        <w:rPr>
          <w:rFonts w:hint="eastAsia" w:hAnsi="宋体" w:cs="宋体"/>
          <w:color w:val="auto"/>
          <w:sz w:val="21"/>
          <w:szCs w:val="21"/>
          <w:highlight w:val="none"/>
        </w:rPr>
        <w:t xml:space="preserve">号</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甲方：（买方）苏北人民医院</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乙方：（卖方）_________</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根据《中华人民共和国民法典》等法律法规的规定，甲乙双方按照江苏苏维工程管理有限公司关于本项目</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采购结果签订本合同。</w:t>
      </w:r>
      <w:r/>
    </w:p>
    <w:p>
      <w:pPr>
        <w:pStyle w:val="1046"/>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1、货物及伴随服务</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1.1 货物及服务名称：</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1.2 型号规格：</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1.3 数量（单位）</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2、合同总金额</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2.1 本合同金额为（大写）：</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元人民币（¥</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w:t>
      </w:r>
      <w:r/>
    </w:p>
    <w:p>
      <w:pPr>
        <w:pStyle w:val="857"/>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该合同总价款中包括但不限于服务费、加班费、税金、管理费、风险费及政策性文件规定等与本项目相关的全部费用。</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3、组成本合同的有关文件</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3.1乙方应按招标文件规定的时间向甲方提供服务的有关技术资料。</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3.3 关于本项目采购的采购文件、乙方投标文件或与本次采购活动方式相适应的文件及有关附件是本合同不可分割的组成部分，这些文件包括但不限于：</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（1）招标文件；                   （2）投标配置与分项报价表；</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olor w:val="auto"/>
          <w:sz w:val="21"/>
          <w:szCs w:val="21"/>
          <w:highlight w:val="none"/>
        </w:rPr>
        <w:t xml:space="preserve">技术参数响应及偏离表</w:t>
      </w:r>
      <w:r>
        <w:rPr>
          <w:rFonts w:hint="eastAsia" w:hAnsi="宋体" w:cs="宋体"/>
          <w:color w:val="auto"/>
          <w:sz w:val="21"/>
          <w:szCs w:val="21"/>
          <w:highlight w:val="none"/>
        </w:rPr>
        <w:t xml:space="preserve">         （4）</w:t>
      </w:r>
      <w:r>
        <w:rPr>
          <w:rFonts w:hint="eastAsia" w:hAnsi="宋体"/>
          <w:color w:val="auto"/>
          <w:sz w:val="21"/>
          <w:szCs w:val="21"/>
          <w:highlight w:val="none"/>
        </w:rPr>
        <w:t xml:space="preserve">商务条款响应及偏离表</w:t>
      </w:r>
      <w:r>
        <w:rPr>
          <w:rFonts w:hint="eastAsia" w:hAnsi="宋体" w:cs="宋体"/>
          <w:color w:val="auto"/>
          <w:sz w:val="21"/>
          <w:szCs w:val="21"/>
          <w:highlight w:val="none"/>
        </w:rPr>
        <w:t xml:space="preserve">；</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（5）服务承诺（如有）；           （6）中标通知书；</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（7）甲乙双方补充协议；           （8）乙方投标时提供的投标文件。</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4、双方的权利和义务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4.1甲方的权利和义务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4.1.1甲方成立由院领导或相关科室负责人参与的领导和实施小组，并指定专人负责在本合同执行过程中的组织和协调工作。</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4.1.2 甲方按需组织由实施小组或领导小组成员参加的项目例会，协调解决问题，跟踪工作进度。</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4.1.3甲方为乙方现场安装调试和正式部署提供必要的软件、硬件、网络、基础数据等条件，以满足软件安装调试的需要。</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4.1.4为使本软件完成后能更好地进行今后的维护工作，甲方安排一名以上维护人员全程跟踪学习、参与安装调试。</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4.1.5甲方有权知晓各种技术和方案的细节，并提出改进意见。</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4.1.6甲方负责及时签收乙方交付的标的物，按期进行工程进度的确认、项目系统的验收，并按照合同规定的付款方式及时付款。</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 乙方的权利和义务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4.2.1 乙方指定</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为本合同负责人，代表乙方在合同履行过程行使权利和履行义务。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4.2.2 在甲方提供的条件符合后，甲方正式书面提出安装调试和测试后，乙方负责在</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天内完成安装调试、测试、人员培训等系统上线工作，待甲方验收合格后交付甲方正式使用。</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lang w:eastAsia="zh"/>
        </w:rPr>
      </w:pPr>
      <w:r>
        <w:rPr>
          <w:rFonts w:hint="eastAsia" w:hAnsi="宋体" w:cs="宋体"/>
          <w:color w:val="auto"/>
          <w:sz w:val="21"/>
          <w:szCs w:val="21"/>
          <w:highlight w:val="none"/>
        </w:rPr>
        <w:t xml:space="preserve">4.2.3第三方工具产品需向甲方提供足够数量的正版软件许可，包括服务器端的许可或客户端的许可，并提供培训。</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4.2.4乙方按承诺函要求派遣适合本合同内容及进度要求的技术人员队伍，并指派专人负责该工作，确保按双方约定的要求保质、保量地完成软件的开发安装调试工作。</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4.2.5乙方应及时、主动地向甲方通告工作进展及所需要解决的问题。</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4.2.6指导甲方相关人员进行基础数据的准备、整理工作。</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4.2.7在整个安装调试过程中对甲方相关人员进行软件功能、作用、和使用操作进行培训。</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4.2.8乙方在产品安装调试过程中应向甲方提供相关文档及技术资料。</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4.2.9如因乙方原因无法为甲方提供持续的售后服务和产品升级，乙方需无偿向甲方提供本产品的源代码，以保证甲方系统的正常稳定运行。</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4.2.10乙方对所供系统终身维保，终身使用，保证院方的投资效益。乙方应保障系统不发生重大故障，</w:t>
      </w:r>
      <w:r>
        <w:rPr>
          <w:rFonts w:hint="eastAsia" w:hAnsi="宋体" w:cs="宋体"/>
          <w:color w:val="auto"/>
          <w:sz w:val="21"/>
          <w:szCs w:val="21"/>
          <w:highlight w:val="none"/>
          <w:lang w:eastAsia="zh"/>
        </w:rPr>
        <w:t xml:space="preserve">并承诺不会在事先未征得甲方许可时以“后门”、“验证码”、“产品码”等形式干扰产品的正常使用，</w:t>
      </w:r>
      <w:r>
        <w:rPr>
          <w:rFonts w:hint="eastAsia" w:hAnsi="宋体" w:cs="宋体"/>
          <w:color w:val="auto"/>
          <w:sz w:val="21"/>
          <w:szCs w:val="21"/>
          <w:highlight w:val="none"/>
        </w:rPr>
        <w:t xml:space="preserve">否则甲方有权追溯乙方相关责任。</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4.2.11乙方需严格履行承诺函中的各项条款，保证系统全面、顺利实施。</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4.2.12 乙方不得部分或全部转让本合同内应履行义务。</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u w:val="single"/>
        </w:rPr>
      </w:pPr>
      <w:r>
        <w:rPr>
          <w:rFonts w:hint="eastAsia" w:hAnsi="宋体" w:cs="宋体"/>
          <w:b/>
          <w:bCs/>
          <w:color w:val="auto"/>
          <w:sz w:val="21"/>
          <w:szCs w:val="21"/>
          <w:highlight w:val="none"/>
        </w:rPr>
        <w:t xml:space="preserve">5、项目实施</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u w:val="single"/>
        </w:rPr>
      </w:pPr>
      <w:r>
        <w:rPr>
          <w:rFonts w:hint="eastAsia" w:hAnsi="宋体" w:cs="宋体"/>
          <w:b/>
          <w:bCs/>
          <w:color w:val="auto"/>
          <w:sz w:val="21"/>
          <w:szCs w:val="21"/>
          <w:highlight w:val="none"/>
          <w:u w:val="single"/>
        </w:rPr>
        <w:t xml:space="preserve">5.1 乙方应委派至少1名具有类似项目经验的负责人在现场进行项目管理与推进，保障项目顺利实施。项目验收前乙方至少安排1名研发人员驻场实施。</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u w:val="single"/>
        </w:rPr>
      </w:pPr>
      <w:r>
        <w:rPr>
          <w:rFonts w:hint="eastAsia" w:hAnsi="宋体" w:cs="宋体"/>
          <w:b/>
          <w:bCs/>
          <w:color w:val="auto"/>
          <w:sz w:val="21"/>
          <w:szCs w:val="21"/>
          <w:highlight w:val="none"/>
        </w:rPr>
        <w:t xml:space="preserve">5.2 具体实施计划：</w:t>
      </w:r>
      <w:r>
        <w:rPr>
          <w:rFonts w:hint="eastAsia" w:hAnsi="宋体" w:cs="宋体"/>
          <w:b/>
          <w:bCs/>
          <w:color w:val="auto"/>
          <w:sz w:val="21"/>
          <w:szCs w:val="21"/>
          <w:highlight w:val="none"/>
          <w:u w:val="single"/>
        </w:rPr>
        <w:t xml:space="preserve">                 </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6、售后服务条款及质保服务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6.1本合同自验收之日起</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年内对软硬件提供免费维护服务。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6.2免费维护期满后，维保费用不应超过中标金额的8%,双方另外签署收费维护期合同。</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7.2质保期内条款</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7.2.1乙方提供7*24小时技术支持，并不限支持次数。</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7.2.2乙方免费对医院技术人员进行系统管理、操作培训。</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7.2.3乙方提供专门技术服务人员进行项目后期跟踪，提供定期的现场服务</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（每年不少于</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次），及时检查并处理问题。</w:t>
      </w:r>
      <w:r/>
    </w:p>
    <w:p>
      <w:pPr>
        <w:pStyle w:val="862"/>
        <w:ind w:left="0" w:firstLine="420"/>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color w:val="auto"/>
          <w:sz w:val="21"/>
          <w:szCs w:val="21"/>
          <w:highlight w:val="none"/>
        </w:rPr>
        <w:t xml:space="preserve">7.2.4免费维护期内，乙方指派</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名技术工程师驻院提供技术支持服务，派遣的工程师均为具备相关技术资格认证的工程师，保证提供专业的、正确的和高效的技术服务和技术培训。（具体工程师名单，项目签收整体验收报告时同时报备，并按医院的作息制度上下班）</w:t>
      </w:r>
      <w:r/>
    </w:p>
    <w:p>
      <w:pPr>
        <w:pStyle w:val="857"/>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8.1 知识产权</w:t>
      </w:r>
      <w:r/>
    </w:p>
    <w:p>
      <w:pPr>
        <w:pStyle w:val="85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8.1.1根据本合同产生的全部研究开发成果(包括软件产品及其升级产品和以此为基础研发出的其他技术成果)的知识产权，包括可能产生的专利等，归甲方所有，乙方应无偿配合申报。</w:t>
      </w:r>
      <w:r/>
    </w:p>
    <w:p>
      <w:pPr>
        <w:pStyle w:val="85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8.1.2双方确定，甲方有权利用乙方按照本合同约定提供的研究开发成果，进行后续改进。由此产生的具有实质性或创造性技术进步特征的新的技术成果及其权利归属，由甲方享有。</w:t>
      </w:r>
      <w:r/>
    </w:p>
    <w:p>
      <w:pPr>
        <w:pStyle w:val="857"/>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8.2 保密约定</w:t>
      </w:r>
      <w:r/>
    </w:p>
    <w:p>
      <w:pPr>
        <w:pStyle w:val="85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8.2.1甲方保证应用系统的所有涉及的商业机密和文档资料，不透露给第三方。</w:t>
      </w:r>
      <w:r/>
    </w:p>
    <w:p>
      <w:pPr>
        <w:pStyle w:val="85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857"/>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hAnsi="宋体" w:cs="宋体"/>
          <w:color w:val="auto"/>
          <w:sz w:val="21"/>
          <w:szCs w:val="21"/>
          <w:highlight w:val="none"/>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9、产权保证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乙方保证所交付的服务和服务所涉及的物品所有权无任何抵押、查封等权利瑕疵。</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因本合同服务瑕疵产生的法律风险由乙方承担，因此导致甲方损失的，乙方除应赔偿甲方全部损失外，并按本合同价款的5%支付违约金。</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10、履约保证金</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无</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11、转包或分包</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11.1 本合同禁止转包，本合同范围的服务，应由乙方直接提供的，不得转让他人提供。</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如乙方违反本条规定转包或者分包，乙方应按合同总价款5%支付甲方违约金，并赔偿甲方损失，且甲方有权解除合同，乙方无权要求支付价款。</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11.2 经甲方同意，乙方可以依法采取分包方式履行合同，但是分包方式履行的，乙方应就采购项目向甲方负全责。</w:t>
      </w:r>
      <w:r/>
    </w:p>
    <w:p>
      <w:pPr>
        <w:pStyle w:val="862"/>
        <w:ind w:left="0"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rPr>
        <w:t xml:space="preserve">12、合同履行期限：</w:t>
      </w:r>
      <w:r>
        <w:rPr>
          <w:rFonts w:hint="eastAsia" w:hAnsi="宋体" w:cs="宋体"/>
          <w:color w:val="auto"/>
          <w:sz w:val="21"/>
          <w:szCs w:val="21"/>
          <w:highlight w:val="none"/>
          <w:u w:val="single"/>
        </w:rPr>
        <w:t xml:space="preserve">合同签订之日起60天内（除不可抗力、非乙方原因）完成实施安装、调试、试运行、验收等工作并交付甲方使用。乙方须在合同服务期内，完成本项目实施的全部内容。</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13、交付期、交付方式及交付地点</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u w:val="single"/>
        </w:rPr>
      </w:pPr>
      <w:r>
        <w:rPr>
          <w:rFonts w:hint="eastAsia" w:hAnsi="宋体" w:cs="宋体"/>
          <w:b/>
          <w:bCs/>
          <w:color w:val="auto"/>
          <w:sz w:val="21"/>
          <w:szCs w:val="21"/>
          <w:highlight w:val="none"/>
        </w:rPr>
        <w:t xml:space="preserve">13.1 交付期：</w:t>
      </w:r>
      <w:r>
        <w:rPr>
          <w:rFonts w:hint="eastAsia" w:hAnsi="宋体" w:cs="宋体"/>
          <w:color w:val="auto"/>
          <w:sz w:val="21"/>
          <w:szCs w:val="21"/>
          <w:highlight w:val="none"/>
          <w:u w:val="single"/>
        </w:rPr>
        <w:t xml:space="preserve">合同签订之日起60天内（除不可抗力、非乙方原因）完成实施安装、调试、试运行、验收等工作并交付甲方使用。乙方须在合同服务期内，完成本项目实施的全部内容。</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13.2 交付方式：</w:t>
      </w:r>
      <w:r>
        <w:rPr>
          <w:rFonts w:hint="eastAsia" w:hAnsi="宋体" w:cs="宋体"/>
          <w:color w:val="auto"/>
          <w:sz w:val="21"/>
          <w:szCs w:val="21"/>
          <w:highlight w:val="none"/>
          <w:u w:val="single"/>
        </w:rPr>
        <w:t xml:space="preserve">甲方指定方式</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13.3 交付地点：</w:t>
      </w:r>
      <w:r>
        <w:rPr>
          <w:rFonts w:hint="eastAsia" w:hAnsi="宋体" w:cs="宋体"/>
          <w:color w:val="auto"/>
          <w:sz w:val="21"/>
          <w:szCs w:val="21"/>
          <w:highlight w:val="none"/>
          <w:u w:val="single"/>
        </w:rPr>
        <w:t xml:space="preserve">甲方指定地点</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14、付款方式</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14.1 本合同项下所有款项均以人民币支付。 </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14.2 本合同项下的采购资金由甲方支付，付款前乙方向甲方开具发票。</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u w:val="single"/>
        </w:rPr>
      </w:pPr>
      <w:r>
        <w:rPr>
          <w:rFonts w:hint="eastAsia" w:hAnsi="宋体" w:cs="宋体"/>
          <w:color w:val="auto"/>
          <w:sz w:val="21"/>
          <w:szCs w:val="21"/>
          <w:highlight w:val="none"/>
        </w:rPr>
        <w:t xml:space="preserve">14.3 支付方式：</w:t>
      </w:r>
      <w:r>
        <w:rPr>
          <w:rFonts w:hint="eastAsia" w:hAnsi="宋体" w:cs="宋体"/>
          <w:color w:val="auto"/>
          <w:sz w:val="21"/>
          <w:szCs w:val="21"/>
          <w:highlight w:val="none"/>
          <w:u w:val="single"/>
        </w:rPr>
        <w:t xml:space="preserve">合同签订后，乙方向甲方开具有效发票，甲方自收到发票之日起10个工作日内支付合同金额30%的预付款；</w:t>
      </w:r>
      <w:r/>
    </w:p>
    <w:p>
      <w:pPr>
        <w:pStyle w:val="104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u w:val="single"/>
        </w:rPr>
        <w:t xml:space="preserve">系统上线，试运行一个月后，经甲方验收合格，乙方向甲方开具有效发票，甲方自收到发票之日起10个工作日内支付合同金额的70%。</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15、税费</w:t>
      </w:r>
      <w:r/>
    </w:p>
    <w:p>
      <w:pPr>
        <w:ind w:left="0"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15.1本合同执行中相关的一切税费均由乙方负担。</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16、违约责任</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16.1 在合同履行过程中，甲方或乙方损害对方权益，应承担违约责任。</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16.2乙方未按照合同约定满足医院的需求，应当减收或免收报酬。</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16.3乙方逾期交货的，每逾期一日应按合同总金额的万分之二支付甲方违约金；逾期超过</w:t>
      </w:r>
      <w:r>
        <w:rPr>
          <w:rFonts w:hint="eastAsia" w:hAnsi="宋体" w:cs="宋体"/>
          <w:color w:val="auto"/>
          <w:sz w:val="21"/>
          <w:szCs w:val="21"/>
          <w:highlight w:val="none"/>
          <w:u w:val="single"/>
        </w:rPr>
        <w:t xml:space="preserve">30</w:t>
      </w:r>
      <w:r>
        <w:rPr>
          <w:rFonts w:hint="eastAsia" w:hAnsi="宋体" w:cs="宋体"/>
          <w:color w:val="auto"/>
          <w:sz w:val="21"/>
          <w:szCs w:val="21"/>
          <w:highlight w:val="none"/>
        </w:rPr>
        <w:t xml:space="preserve">日的，视为乙方根本违约，甲方有权解除合同，乙方除应承担前述违约责任外，甲方有权要求乙方按合同总金额的20%支付违约金。</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16.4因违约给甲方造成损失的，乙方承担违约责任，并支付合同总金额20%的违约金。</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16.5甲乙双方违反合同约定的保密义务给对方造成损失的，应当承担相应的责任。</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16.6乙方违规操作导致甲方数据丢失，乙方须无条件为甲方进行数据恢复，同时承担相应赔偿责任，甲方数据无法恢复的，乙方应向甲方支付合同金额</w:t>
      </w:r>
      <w:r>
        <w:rPr>
          <w:rFonts w:hint="eastAsia" w:hAnsi="宋体" w:cs="宋体"/>
          <w:color w:val="auto"/>
          <w:sz w:val="21"/>
          <w:szCs w:val="21"/>
          <w:highlight w:val="none"/>
          <w:u w:val="single"/>
        </w:rPr>
        <w:t xml:space="preserve">_ 20</w:t>
      </w:r>
      <w:r>
        <w:rPr>
          <w:rFonts w:hint="eastAsia" w:hAnsi="宋体" w:cs="宋体"/>
          <w:color w:val="auto"/>
          <w:sz w:val="21"/>
          <w:szCs w:val="21"/>
          <w:highlight w:val="none"/>
        </w:rPr>
        <w:t xml:space="preserve">_%的违约金，并赔偿给甲方造成的全部损失。</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17、不可抗力事件处理</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17.2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57"/>
        <w:ind w:left="0" w:firstLine="422"/>
        <w:jc w:val="both"/>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18、合同的变更和解除</w:t>
      </w:r>
      <w:r/>
    </w:p>
    <w:p>
      <w:pPr>
        <w:pStyle w:val="857"/>
        <w:ind w:left="0"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857"/>
        <w:ind w:left="0"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18.2本合同约定的解除条件成就后，依约</w:t>
      </w:r>
      <w:r>
        <w:rPr>
          <w:rFonts w:hint="eastAsia" w:ascii="宋体" w:hAnsi="宋体" w:cs="宋体"/>
          <w:color w:val="auto"/>
          <w:sz w:val="21"/>
          <w:szCs w:val="21"/>
          <w:highlight w:val="none"/>
          <w:lang w:val="en-US" w:eastAsia="zh-CN"/>
        </w:rPr>
        <w:t xml:space="preserve">享</w:t>
      </w:r>
      <w:r>
        <w:rPr>
          <w:rFonts w:hint="eastAsia" w:ascii="宋体" w:hAnsi="宋体" w:cs="宋体"/>
          <w:color w:val="auto"/>
          <w:sz w:val="21"/>
          <w:szCs w:val="21"/>
          <w:highlight w:val="none"/>
        </w:rPr>
        <w:t xml:space="preserve">有解除权的一方在六个月内未行使解除权的，视为其已放弃解除权，其解除权消灭。</w:t>
      </w:r>
      <w:r/>
    </w:p>
    <w:p>
      <w:pPr>
        <w:pStyle w:val="857"/>
        <w:ind w:left="0"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19、争议解决</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19.1 因服务的品质质量问题发生争议的，可在国家认可的质量检测机构对服务内容质量进行鉴定。服务符合标准的，鉴定费由甲方承担；服务项目不符合质量标准的，鉴定费由乙方承担。</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19.2 因履行本合同引起的或与本合同有关的争议，甲、乙双方应首先通过友好协商解决；如果协商不能解决争议，甲乙双方同意最终采取下列两种方式的第</w:t>
      </w:r>
      <w:r>
        <w:rPr>
          <w:rFonts w:hint="eastAsia" w:hAnsi="宋体" w:cs="宋体"/>
          <w:color w:val="auto"/>
          <w:sz w:val="21"/>
          <w:szCs w:val="21"/>
          <w:highlight w:val="none"/>
          <w:u w:val="single"/>
        </w:rPr>
        <w:t xml:space="preserve">（1）</w:t>
      </w:r>
      <w:r>
        <w:rPr>
          <w:rFonts w:hint="eastAsia" w:hAnsi="宋体" w:cs="宋体"/>
          <w:color w:val="auto"/>
          <w:sz w:val="21"/>
          <w:szCs w:val="21"/>
          <w:highlight w:val="none"/>
        </w:rPr>
        <w:t xml:space="preserve">种方式解决争议。</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（1）向甲方所在地有管辖权的人民法院提起诉讼，适用中华人民共和国法律；</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（2）向甲方所在地仲裁委员会按其仲裁规则申请仲裁。</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19.3 若甲乙双方任何一方都没有选择解除合同的，为避免扩大损失，在诉讼或仲裁期间，双方应继续履行。</w:t>
      </w:r>
      <w:r/>
    </w:p>
    <w:p>
      <w:pPr>
        <w:pStyle w:val="862"/>
        <w:ind w:left="0" w:firstLine="422"/>
        <w:keepLines w:val="0"/>
        <w:keepNext w:val="0"/>
        <w:pageBreakBefore w:val="0"/>
        <w:spacing w:line="360" w:lineRule="auto"/>
        <w:widowControl w:val="off"/>
        <w:rPr>
          <w:rFonts w:hint="eastAsia" w:hAnsi="宋体" w:cs="宋体"/>
          <w:b/>
          <w:bCs/>
          <w:color w:val="auto"/>
          <w:sz w:val="21"/>
          <w:szCs w:val="21"/>
          <w:highlight w:val="none"/>
        </w:rPr>
      </w:pPr>
      <w:r>
        <w:rPr>
          <w:rFonts w:hint="eastAsia" w:hAnsi="宋体" w:cs="宋体"/>
          <w:b/>
          <w:bCs/>
          <w:color w:val="auto"/>
          <w:sz w:val="21"/>
          <w:szCs w:val="21"/>
          <w:highlight w:val="none"/>
        </w:rPr>
        <w:t xml:space="preserve">20、合同其它</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20.1 乙方应诚实信用，严格按照采购文件要求和承诺履行合同，不向甲方进行商业贿赂或者提供不正当利益。</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u w:val="single"/>
        </w:rPr>
      </w:pPr>
      <w:r>
        <w:rPr>
          <w:rFonts w:hint="eastAsia" w:hAnsi="宋体" w:cs="宋体"/>
          <w:color w:val="auto"/>
          <w:sz w:val="21"/>
          <w:szCs w:val="21"/>
          <w:highlight w:val="none"/>
        </w:rPr>
        <w:t xml:space="preserve">20.2 合同经双方法定代表人或授权代表签字并加盖单位公章后生效。</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u w:val="single"/>
        </w:rPr>
      </w:pPr>
      <w:r>
        <w:rPr>
          <w:rFonts w:hint="eastAsia" w:hAnsi="宋体" w:cs="宋体"/>
          <w:color w:val="auto"/>
          <w:sz w:val="21"/>
          <w:szCs w:val="21"/>
          <w:highlight w:val="none"/>
        </w:rPr>
        <w:t xml:space="preserve">20.3本合同未尽事宜，遵照《中华人民共和国民法典》有关条文执行。</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20.4 本合同正本一式肆份，具有同等法律效力，甲方执贰份，乙方执贰份。</w:t>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r>
      <w:r/>
    </w:p>
    <w:tbl>
      <w:tblPr>
        <w:tblStyle w:val="854"/>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7"/>
        <w:gridCol w:w="4143"/>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ind w:left="0"/>
              <w:jc w:val="center"/>
              <w:keepLines w:val="0"/>
              <w:keepNext w:val="0"/>
              <w:pageBreakBefore w:val="0"/>
              <w:widowControl w:val="off"/>
              <w:rPr>
                <w:rFonts w:hint="eastAsia" w:ascii="宋体" w:hAnsi="宋体" w:cs="宋体"/>
                <w:color w:val="auto"/>
                <w:sz w:val="21"/>
                <w:szCs w:val="21"/>
                <w:highlight w:val="none"/>
              </w:rPr>
            </w:pPr>
            <w:r/>
            <w:bookmarkStart w:id="59" w:name="_Hlk167868565"/>
            <w:r>
              <w:rPr>
                <w:rFonts w:hint="eastAsia" w:ascii="宋体" w:hAnsi="宋体" w:cs="宋体"/>
                <w:color w:val="auto"/>
                <w:sz w:val="21"/>
                <w:szCs w:val="21"/>
                <w:highlight w:val="none"/>
                <w:lang w:bidi="ar"/>
              </w:rPr>
              <w:t xml:space="preserve">甲方</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ind w:left="0"/>
              <w:jc w:val="center"/>
              <w:keepLines w:val="0"/>
              <w:keepNext w:val="0"/>
              <w:pageBreakBefore w:val="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乙方</w:t>
            </w:r>
            <w:bookmarkEnd w:id="59"/>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单位（章）：苏北人民医院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u w:val="single"/>
              </w:rPr>
            </w:pPr>
            <w:r>
              <w:rPr>
                <w:color w:val="auto"/>
                <w:sz w:val="21"/>
                <w:szCs w:val="21"/>
                <w:highlight w:val="none"/>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u w:val="single"/>
              </w:rPr>
            </w:pPr>
            <w:r>
              <w:rPr>
                <w:color w:val="auto"/>
                <w:sz w:val="21"/>
                <w:szCs w:val="21"/>
                <w:highlight w:val="none"/>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u w:val="single"/>
              </w:rPr>
            </w:pPr>
            <w:r>
              <w:rPr>
                <w:color w:val="auto"/>
                <w:sz w:val="21"/>
                <w:szCs w:val="21"/>
                <w:highlight w:val="none"/>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keepLines w:val="0"/>
              <w:keepNext w:val="0"/>
              <w:pageBreakBefore w:val="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u w:val="single"/>
              </w:rPr>
            </w:pPr>
            <w:r>
              <w:rPr>
                <w:color w:val="auto"/>
                <w:sz w:val="21"/>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keepLines w:val="0"/>
              <w:keepNext w:val="0"/>
              <w:pageBreakBefore w:val="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jc w:val="left"/>
              <w:keepLines w:val="0"/>
              <w:keepNext w:val="0"/>
              <w:pageBreakBefore w:val="0"/>
              <w:widowControl w:val="off"/>
              <w:rPr>
                <w:rFonts w:hint="eastAsia" w:ascii="宋体" w:hAnsi="宋体" w:cs="宋体"/>
                <w:color w:val="auto"/>
                <w:sz w:val="21"/>
                <w:szCs w:val="21"/>
                <w:highlight w:val="none"/>
              </w:rPr>
            </w:pPr>
            <w:r>
              <w:rPr>
                <w:color w:val="auto"/>
                <w:sz w:val="21"/>
                <w:szCs w:val="21"/>
                <w:highlight w:val="none"/>
              </w:rPr>
              <w:t xml:space="preserve">签订日期：    </w:t>
            </w:r>
            <w:r/>
          </w:p>
        </w:tc>
      </w:tr>
    </w:tbl>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r>
      <w:r/>
    </w:p>
    <w:p>
      <w:pPr>
        <w:pStyle w:val="86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  </w:t>
      </w:r>
      <w:r/>
    </w:p>
    <w:p>
      <w:pPr>
        <w:pStyle w:val="1046"/>
        <w:ind w:firstLine="400"/>
        <w:spacing w:line="360" w:lineRule="auto"/>
        <w:rPr>
          <w:rFonts w:hint="eastAsia" w:hAnsi="宋体" w:cs="宋体"/>
          <w:b/>
          <w:bCs/>
          <w:color w:val="auto"/>
          <w:sz w:val="21"/>
          <w:highlight w:val="none"/>
        </w:rPr>
      </w:pPr>
      <w:r>
        <w:rPr>
          <w:rFonts w:hint="eastAsia" w:hAnsi="宋体"/>
          <w:color w:val="auto"/>
          <w:highlight w:val="none"/>
        </w:rPr>
        <w:br w:type="page" w:clear="all"/>
      </w:r>
      <w:bookmarkEnd w:id="58"/>
      <w:r/>
      <w:r/>
    </w:p>
    <w:p>
      <w:pPr>
        <w:jc w:val="left"/>
        <w:keepLines w:val="0"/>
        <w:keepNext w:val="0"/>
        <w:pageBreakBefore w:val="0"/>
        <w:spacing w:line="360" w:lineRule="auto"/>
        <w:rPr>
          <w:rFonts w:hint="eastAsia" w:ascii="宋体" w:hAnsi="宋体"/>
          <w:b/>
          <w:color w:val="auto"/>
          <w:szCs w:val="21"/>
          <w:highlight w:val="none"/>
        </w:rPr>
        <w:outlineLvl w:val="0"/>
      </w:pPr>
      <w:r>
        <w:rPr>
          <w:rFonts w:hint="eastAsia" w:ascii="宋体" w:hAnsi="宋体"/>
          <w:b/>
          <w:color w:val="auto"/>
          <w:szCs w:val="21"/>
          <w:highlight w:val="none"/>
        </w:rPr>
        <w:t xml:space="preserve">附件：保密承诺书</w:t>
      </w:r>
      <w:r/>
    </w:p>
    <w:p>
      <w:pPr>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致：</w:t>
      </w:r>
      <w:r>
        <w:rPr>
          <w:rFonts w:ascii="宋体" w:hAnsi="宋体" w:cs="宋体"/>
          <w:color w:val="auto"/>
          <w:szCs w:val="21"/>
          <w:highlight w:val="none"/>
          <w:u w:val="single"/>
          <w:lang w:bidi="ar"/>
        </w:rPr>
        <w:t xml:space="preserve">苏北人民医院</w:t>
      </w:r>
      <w:r>
        <w:rPr>
          <w:rFonts w:hint="eastAsia" w:ascii="宋体" w:hAnsi="宋体" w:cs="宋体"/>
          <w:color w:val="auto"/>
          <w:szCs w:val="21"/>
          <w:highlight w:val="none"/>
          <w:u w:val="single"/>
          <w:lang w:bidi="ar"/>
        </w:rPr>
        <w:t xml:space="preserve"> </w:t>
      </w:r>
      <w:r>
        <w:rPr>
          <w:rFonts w:ascii="宋体" w:hAnsi="宋体" w:cs="宋体"/>
          <w:color w:val="auto"/>
          <w:szCs w:val="21"/>
          <w:highlight w:val="none"/>
          <w:lang w:bidi="ar"/>
        </w:rPr>
        <w:t xml:space="preserve">（以下简称“甲方”）</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本承诺方（以下简称“乙方”）：__________</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一、承诺保密的信息范围</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乙方承诺保密的信息包括但不限于以下内容：</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（一）本项目涉及的项目设计方案、图片素材、开发工具、流程图表、工程设计图、计算机程序代码、核心数据、专利技术、招标文件及相关配套资料；</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（二）甲方在本项目前期对接及后续实施过程中，为乙方及乙方工作人员提供的必要数据、程序文件、用户名、口令及各类专项资料；</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（四）甲方的日常运营数据、经营策略及患者信息（含个人隐私、诊疗记录等敏感信息）；</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（五）甲方合理认定并书面或口头告知乙方属于保密范畴的其他任何信息。</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二、承诺履行的保密义务</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乙方自愿严格履行以下保密义务，直至相关保密信息完全丧失保密属性：</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（一）严格恪守保密原则，对甲方的保密信息予以妥善保管，不得利用接触保密信息的便利谋取任何不正当利益，不得实施任何损害甲方合法权益的行为；</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（二）未经甲方事前书面许可，绝不以任何名义、任何方式向第三方（包括但不限于乙方内部非相关工作人员、其他单位或个人）泄露、传播甲方保密信息；</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（三）未经甲方事前书面许可，绝不将甲方的技术资料、技术成果及保密信息用于本项目以外的其他任何项目，不得擅自转让、许可他人使用；</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（四）未经甲方事前书面许可，绝不对甲方保密信息进行任何形式的修改、补充、删减、复制、备份或篡改；</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三、保密信息的所有权</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四、保密期限</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（一）本承诺书项下的保密义务期限为永久有效；</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五、违约责任</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乙方明确知晓，任何违反本承诺书约定的行为均会给甲方造成不可挽回的损失，自愿承担如下违约责任：</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（三）若乙方的违约行为构成违法犯罪，甲方有权依法追究乙方的刑事责任，同时不免除乙方的民事赔偿责任。</w:t>
      </w:r>
      <w:r/>
    </w:p>
    <w:p>
      <w:pPr>
        <w:pStyle w:val="845"/>
        <w:ind w:firstLine="420"/>
        <w:jc w:val="left"/>
        <w:keepLines w:val="0"/>
        <w:keepNext w:val="0"/>
        <w:pageBreakBefore w:val="0"/>
        <w:spacing w:before="0" w:after="0" w:line="360" w:lineRule="auto"/>
        <w:widowControl/>
        <w:rPr>
          <w:color w:val="auto"/>
          <w:sz w:val="21"/>
          <w:szCs w:val="21"/>
          <w:highlight w:val="none"/>
        </w:rPr>
      </w:pPr>
      <w:r>
        <w:rPr>
          <w:color w:val="auto"/>
          <w:sz w:val="21"/>
          <w:szCs w:val="21"/>
          <w:highlight w:val="none"/>
        </w:rPr>
        <w:t xml:space="preserve">六、其他事项</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（一）本承诺书是乙方单方自愿作出的真实意思表示，独立于双方后续可能签订的任何合作合同，即使合作合同未成立、无效或终止，本承诺书仍具有法律效力；</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（二）因本承诺书引起的任何争议，双方应首先友好协商解决；协商不成的，任何一方均有权向甲方所在地人民法院提起诉讼；</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（三）本承诺书一式</w:t>
      </w:r>
      <w:r>
        <w:rPr>
          <w:rFonts w:hint="eastAsia" w:ascii="宋体" w:hAnsi="宋体" w:cs="宋体"/>
          <w:color w:val="auto"/>
          <w:szCs w:val="21"/>
          <w:highlight w:val="none"/>
          <w:lang w:bidi="ar"/>
        </w:rPr>
        <w:t xml:space="preserve">叁</w:t>
      </w:r>
      <w:r>
        <w:rPr>
          <w:rFonts w:ascii="宋体" w:hAnsi="宋体" w:cs="宋体"/>
          <w:color w:val="auto"/>
          <w:szCs w:val="21"/>
          <w:highlight w:val="none"/>
          <w:lang w:bidi="ar"/>
        </w:rPr>
        <w:t xml:space="preserve">份，甲方执</w:t>
      </w:r>
      <w:r>
        <w:rPr>
          <w:rFonts w:hint="eastAsia" w:ascii="宋体" w:hAnsi="宋体" w:cs="宋体"/>
          <w:color w:val="auto"/>
          <w:szCs w:val="21"/>
          <w:highlight w:val="none"/>
          <w:lang w:bidi="ar"/>
        </w:rPr>
        <w:t xml:space="preserve">贰</w:t>
      </w:r>
      <w:r>
        <w:rPr>
          <w:rFonts w:ascii="宋体" w:hAnsi="宋体" w:cs="宋体"/>
          <w:color w:val="auto"/>
          <w:szCs w:val="21"/>
          <w:highlight w:val="none"/>
          <w:lang w:bidi="ar"/>
        </w:rPr>
        <w:t xml:space="preserve">份，乙方执</w:t>
      </w:r>
      <w:r>
        <w:rPr>
          <w:rFonts w:hint="eastAsia" w:ascii="宋体" w:hAnsi="宋体" w:cs="宋体"/>
          <w:color w:val="auto"/>
          <w:szCs w:val="21"/>
          <w:highlight w:val="none"/>
          <w:lang w:bidi="ar"/>
        </w:rPr>
        <w:t xml:space="preserve">壹</w:t>
      </w:r>
      <w:r>
        <w:rPr>
          <w:rFonts w:ascii="宋体" w:hAnsi="宋体" w:cs="宋体"/>
          <w:color w:val="auto"/>
          <w:szCs w:val="21"/>
          <w:highlight w:val="none"/>
          <w:lang w:bidi="ar"/>
        </w:rPr>
        <w:t xml:space="preserve">份，各份具有同等法律效力；</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（四）本承诺书自乙方</w:t>
      </w:r>
      <w:r>
        <w:rPr>
          <w:rFonts w:hint="eastAsia" w:ascii="宋体" w:hAnsi="宋体" w:cs="宋体"/>
          <w:color w:val="auto"/>
          <w:szCs w:val="21"/>
          <w:highlight w:val="none"/>
          <w:lang w:bidi="ar"/>
        </w:rPr>
        <w:t xml:space="preserve">法定代表人或授权代表签字并加盖单位公章后生效</w:t>
      </w:r>
      <w:r>
        <w:rPr>
          <w:rFonts w:ascii="宋体" w:hAnsi="宋体" w:cs="宋体"/>
          <w:color w:val="auto"/>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承诺方（盖章）：__________</w:t>
      </w:r>
      <w:r/>
    </w:p>
    <w:p>
      <w:pPr>
        <w:ind w:firstLine="420"/>
        <w:jc w:val="left"/>
        <w:keepLines w:val="0"/>
        <w:keepNext w:val="0"/>
        <w:pageBreakBefore w:val="0"/>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法定代表人或授权代表（签字并加</w:t>
      </w:r>
      <w:r>
        <w:rPr>
          <w:rFonts w:ascii="宋体" w:hAnsi="宋体" w:cs="宋体"/>
          <w:color w:val="auto"/>
          <w:szCs w:val="21"/>
          <w:highlight w:val="none"/>
          <w:lang w:bidi="ar"/>
        </w:rPr>
        <w:t xml:space="preserve">盖章</w:t>
      </w:r>
      <w:r>
        <w:rPr>
          <w:rFonts w:hint="eastAsia" w:ascii="宋体" w:hAnsi="宋体" w:cs="宋体"/>
          <w:color w:val="auto"/>
          <w:szCs w:val="21"/>
          <w:highlight w:val="none"/>
          <w:lang w:bidi="ar"/>
        </w:rPr>
        <w:t xml:space="preserve">）：</w:t>
      </w:r>
      <w:r/>
    </w:p>
    <w:p>
      <w:pPr>
        <w:ind w:firstLine="420"/>
        <w:jc w:val="left"/>
        <w:keepLines w:val="0"/>
        <w:keepNext w:val="0"/>
        <w:pageBreakBefore w:val="0"/>
        <w:spacing w:line="360" w:lineRule="auto"/>
        <w:widowControl/>
        <w:rPr>
          <w:color w:val="auto"/>
          <w:szCs w:val="21"/>
          <w:highlight w:val="none"/>
        </w:rPr>
      </w:pPr>
      <w:r>
        <w:rPr>
          <w:rFonts w:ascii="宋体" w:hAnsi="宋体" w:cs="宋体"/>
          <w:color w:val="auto"/>
          <w:szCs w:val="21"/>
          <w:highlight w:val="none"/>
          <w:lang w:bidi="ar"/>
        </w:rPr>
        <w:t xml:space="preserve">日期：______年____月____日</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bookmarkStart w:id="60" w:name="_Toc12506"/>
      <w:r>
        <w:rPr>
          <w:rFonts w:hint="eastAsia"/>
          <w:color w:val="auto"/>
          <w:highlight w:val="none"/>
        </w:rPr>
        <w:br w:type="page" w:clear="all"/>
      </w:r>
      <w:r/>
    </w:p>
    <w:p>
      <w:pPr>
        <w:pStyle w:val="844"/>
        <w:numPr>
          <w:ilvl w:val="0"/>
          <w:numId w:val="3"/>
        </w:numPr>
        <w:rPr>
          <w:color w:val="auto"/>
          <w:highlight w:val="none"/>
        </w:rPr>
      </w:pPr>
      <w:r>
        <w:rPr>
          <w:rFonts w:hint="eastAsia"/>
          <w:color w:val="auto"/>
          <w:highlight w:val="none"/>
        </w:rPr>
        <w:t xml:space="preserve">项目需求</w:t>
      </w:r>
      <w:bookmarkEnd w:id="60"/>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bookmarkStart w:id="61" w:name="_Toc319408306"/>
      <w:r>
        <w:rPr>
          <w:rFonts w:hint="eastAsia" w:ascii="宋体" w:hAnsi="宋体" w:cs="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859"/>
        <w:ind w:left="0" w:firstLine="422"/>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59"/>
        <w:ind w:left="0" w:firstLine="422"/>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项目属性:</w:t>
      </w:r>
      <w:r>
        <w:rPr>
          <w:rFonts w:hint="eastAsia" w:ascii="宋体" w:hAnsi="宋体" w:eastAsia="宋体" w:cs="宋体"/>
          <w:b/>
          <w:bCs/>
          <w:color w:val="auto"/>
          <w:szCs w:val="21"/>
          <w:highlight w:val="none"/>
          <w:lang w:val="en-US" w:eastAsia="zh-CN"/>
        </w:rPr>
        <w:t xml:space="preserve">货物类</w:t>
      </w:r>
      <w:r>
        <w:rPr>
          <w:rFonts w:hint="eastAsia" w:ascii="宋体" w:hAnsi="宋体" w:eastAsia="宋体" w:cs="宋体"/>
          <w:b/>
          <w:bCs/>
          <w:color w:val="auto"/>
          <w:szCs w:val="21"/>
          <w:highlight w:val="none"/>
        </w:rPr>
        <w:t xml:space="preserve">。</w:t>
      </w:r>
      <w:r/>
    </w:p>
    <w:p>
      <w:pPr>
        <w:pStyle w:val="859"/>
        <w:ind w:left="0" w:firstLine="422"/>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核心产品：</w:t>
      </w:r>
      <w:r/>
    </w:p>
    <w:tbl>
      <w:tblPr>
        <w:tblStyle w:val="85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5824"/>
      </w:tblGrid>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采购名称</w:t>
            </w:r>
            <w:r/>
          </w:p>
        </w:tc>
      </w:tr>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骨质疏松专病库项目</w:t>
            </w:r>
            <w:r/>
          </w:p>
        </w:tc>
      </w:tr>
    </w:tbl>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进口产品投标：</w:t>
      </w:r>
      <w:r/>
    </w:p>
    <w:tbl>
      <w:tblPr>
        <w:tblStyle w:val="85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5823"/>
      </w:tblGrid>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numPr>
          <w:ilvl w:val="0"/>
          <w:numId w:val="4"/>
        </w:num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1"/>
      <w:r/>
      <w:r/>
    </w:p>
    <w:p>
      <w:pPr>
        <w:numPr>
          <w:ilvl w:val="0"/>
          <w:numId w:val="4"/>
        </w:numPr>
        <w:ind w:firstLine="422"/>
        <w:keepLines w:val="0"/>
        <w:keepNext w:val="0"/>
        <w:pageBreakBefore w:val="0"/>
        <w:spacing w:line="360" w:lineRule="auto"/>
        <w:widowControl w:val="off"/>
        <w:rPr>
          <w:rFonts w:hint="eastAsia" w:ascii="宋体" w:hAnsi="宋体" w:cs="宋体"/>
          <w:b/>
          <w:bCs/>
          <w:color w:val="auto"/>
          <w:szCs w:val="21"/>
          <w:highlight w:val="none"/>
        </w:rPr>
      </w:pPr>
      <w:r/>
      <w:bookmarkStart w:id="62" w:name="_Toc55204181"/>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我院拟建设骨质疏松专病数据库科研平台，旨在整合收集的骨质疏松症相关的临床数据、基础研究数据、影像数据等多模态数据，解决当前数据模态单一、孤岛现象显著、专病模型缺失等问题，系统需具备多模态数据采集与整合、</w:t>
      </w:r>
      <w:bookmarkStart w:id="63" w:name="OLE_LINK24"/>
      <w:r>
        <w:rPr>
          <w:rFonts w:hint="eastAsia" w:ascii="宋体" w:hAnsi="宋体" w:cs="宋体"/>
          <w:color w:val="auto"/>
          <w:szCs w:val="21"/>
          <w:highlight w:val="none"/>
        </w:rPr>
        <w:t xml:space="preserve">专病模型字段管理</w:t>
      </w:r>
      <w:bookmarkEnd w:id="63"/>
      <w:r>
        <w:rPr>
          <w:rFonts w:hint="eastAsia" w:ascii="宋体" w:hAnsi="宋体" w:cs="宋体"/>
          <w:color w:val="auto"/>
          <w:szCs w:val="21"/>
          <w:highlight w:val="none"/>
        </w:rPr>
        <w:t xml:space="preserve">、数据脱敏、ROI勾画、科研统计分析等功能，满足科研开发功能需求，加速科研成果产出，助力临床精准诊断、个性化治疗、发病机制研究及医疗管理优化。</w:t>
      </w:r>
      <w:r/>
    </w:p>
    <w:p>
      <w:pPr>
        <w:numPr>
          <w:ilvl w:val="0"/>
          <w:numId w:val="4"/>
        </w:num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采购标的清</w:t>
      </w:r>
      <w:r>
        <w:rPr>
          <w:rFonts w:hint="eastAsia" w:ascii="宋体" w:hAnsi="宋体" w:cs="宋体"/>
          <w:b/>
          <w:bCs/>
          <w:color w:val="auto"/>
          <w:szCs w:val="21"/>
          <w:highlight w:val="none"/>
          <w:lang w:val="en-US" w:eastAsia="zh-CN"/>
        </w:rPr>
        <w:t xml:space="preserve">单</w:t>
      </w:r>
      <w:r/>
    </w:p>
    <w:p>
      <w:pPr>
        <w:pStyle w:val="1080"/>
        <w:ind w:firstLine="422"/>
        <w:jc w:val="left"/>
        <w:keepLines w:val="0"/>
        <w:keepNext w:val="0"/>
        <w:pageBreakBefore w:val="0"/>
        <w:spacing w:line="360" w:lineRule="auto"/>
        <w:widowControl w:val="off"/>
        <w:rPr>
          <w:rFonts w:hint="eastAsia" w:hAnsi="宋体" w:cs="宋体"/>
          <w:b/>
          <w:bCs/>
          <w:i/>
          <w:iCs/>
          <w:color w:val="auto"/>
          <w:szCs w:val="21"/>
          <w:highlight w:val="none"/>
          <w:u w:val="single"/>
        </w:rPr>
      </w:pPr>
      <w:r>
        <w:rPr>
          <w:rFonts w:hint="eastAsia" w:hAnsi="宋体" w:cs="宋体"/>
          <w:b/>
          <w:bCs/>
          <w:i/>
          <w:iCs/>
          <w:color w:val="auto"/>
          <w:szCs w:val="21"/>
          <w:highlight w:val="none"/>
          <w:u w:val="single"/>
        </w:rPr>
        <w:t xml:space="preserve">最高限价：120万元，投标人报价不得高于最高限价，否则做无效投标处理。（提供开标一览表，扫描上传系统）</w:t>
      </w:r>
      <w:r/>
    </w:p>
    <w:tbl>
      <w:tblPr>
        <w:tblStyle w:val="854"/>
        <w:tblW w:w="4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105"/>
        <w:gridCol w:w="3193"/>
      </w:tblGrid>
      <w:tr>
        <w:trPr>
          <w:cantSplit/>
          <w:jc w:val="center"/>
          <w:trHeight w:val="607"/>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采购包</w:t>
            </w:r>
            <w:r/>
          </w:p>
        </w:tc>
        <w:tc>
          <w:tcPr>
            <w:tcW w:w="2051"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51" w:type="pct"/>
            <w:vAlign w:val="center"/>
            <w:textDirection w:val="lrTb"/>
            <w:noWrap w:val="false"/>
          </w:tcPr>
          <w:p>
            <w:pPr>
              <w:jc w:val="center"/>
              <w:keepLines w:val="0"/>
              <w:keepNext w:val="0"/>
              <w:pageBreakBefore w:val="0"/>
              <w:spacing w:line="360" w:lineRule="auto"/>
              <w:widowControl w:val="off"/>
              <w:tabs>
                <w:tab w:val="left" w:pos="2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骨质疏松专病库项目</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r>
    </w:tbl>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四、技术要求</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1、骨质疏松基础数据采集及对接要求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支持与医院现有数据底座对接，支持与医院已建成的骨质疏松专病筛查数据库及HIS 等核心业务系统的对接，与医院影像系统对接获取相应数据；支持与省、市全民健康信息平台及影像平台对接获取区域数据，支持与江苏省骨质疏松医防融合数智中心的对接。投标人应将上述所有对接工作、接口开发相关费用及各业务系统配合对接改造费用等考虑在投标报价中，采购人不再另行支付。</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2、骨质疏松子库建设（以椎体骨折方向为例）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针对医院的优势学科的专科专病，实现骨质疏松性椎体骨折疾病数据加工服务。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（1）专病数据模型建立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bookmarkStart w:id="64" w:name="OLE_LINK5"/>
      <w:r/>
      <w:bookmarkStart w:id="65" w:name="OLE_LINK6"/>
      <w:r>
        <w:rPr>
          <w:rFonts w:hint="eastAsia" w:ascii="宋体" w:hAnsi="宋体" w:cs="宋体"/>
          <w:bCs/>
          <w:color w:val="auto"/>
          <w:szCs w:val="21"/>
          <w:highlight w:val="none"/>
        </w:rPr>
        <w:t xml:space="preserve">对于已确定的专病数据模型参考疾病诊疗规范、治疗指南、专家共识以及国内外主流研究方向、同时结合国内临床医疗数据（病案、电子病历、检查检验、医嘱等）制定疾病标准指标集和指标值域；</w:t>
      </w:r>
      <w:bookmarkEnd w:id="6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同时根据个性化需求沟通，建立具有专家特色的疾病数据模型；</w:t>
      </w:r>
      <w:bookmarkEnd w:id="6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（2）专病库数据加工生产</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bookmarkStart w:id="66" w:name="OLE_LINK7"/>
      <w:r>
        <w:rPr>
          <w:rFonts w:hint="eastAsia" w:ascii="宋体" w:hAnsi="宋体" w:cs="宋体"/>
          <w:bCs/>
          <w:color w:val="auto"/>
          <w:szCs w:val="21"/>
          <w:highlight w:val="none"/>
        </w:rPr>
        <w:t xml:space="preserve">针对已确定的专病模型字段，在科研基础数据治理成果基础之上，进行专病数据的加工生产，疾病信息数据通过数据采集及预处理标准、质量控制标准、数据后结构化和标准化，以及复</w:t>
      </w:r>
      <w:r>
        <w:rPr>
          <w:rFonts w:hint="eastAsia" w:ascii="宋体" w:hAnsi="宋体" w:cs="宋体"/>
          <w:bCs/>
          <w:color w:val="auto"/>
          <w:szCs w:val="21"/>
          <w:highlight w:val="none"/>
          <w:lang w:val="en-US" w:eastAsia="zh-CN"/>
        </w:rPr>
        <w:t xml:space="preserve">杂</w:t>
      </w:r>
      <w:r>
        <w:rPr>
          <w:rFonts w:hint="eastAsia" w:ascii="宋体" w:hAnsi="宋体" w:cs="宋体"/>
          <w:bCs/>
          <w:color w:val="auto"/>
          <w:szCs w:val="21"/>
          <w:highlight w:val="none"/>
        </w:rPr>
        <w:t xml:space="preserve">逻辑计算实现专病数据标准化治理，辅助疾病临床研究。</w:t>
      </w:r>
      <w:r/>
    </w:p>
    <w:p>
      <w:pPr>
        <w:ind w:firstLine="422"/>
        <w:keepLines w:val="0"/>
        <w:keepNext w:val="0"/>
        <w:pageBreakBefore w:val="0"/>
        <w:spacing w:line="360" w:lineRule="auto"/>
        <w:widowControl w:val="off"/>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3、科研云服务</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支持用户</w:t>
      </w:r>
      <w:r>
        <w:rPr>
          <w:rFonts w:hint="eastAsia" w:ascii="宋体" w:hAnsi="宋体" w:cs="宋体"/>
          <w:color w:val="auto"/>
          <w:szCs w:val="21"/>
          <w:highlight w:val="none"/>
        </w:rPr>
        <w:t xml:space="preserve">创建和参与科研项目统一管理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进行科研数据管理及研究。</w:t>
      </w:r>
      <w:bookmarkEnd w:id="66"/>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 w:val="21"/>
          <w:szCs w:val="21"/>
          <w:highlight w:val="none"/>
          <w:lang w:val="en-US" w:eastAsia="zh-CN" w:bidi="ar-SA"/>
        </w:rPr>
        <w:t xml:space="preserve">4</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Cs w:val="21"/>
          <w:highlight w:val="none"/>
        </w:rPr>
        <w:t xml:space="preserve">各功能</w:t>
      </w:r>
      <w:r>
        <w:rPr>
          <w:rFonts w:hint="eastAsia" w:ascii="宋体" w:hAnsi="宋体" w:cs="宋体"/>
          <w:b/>
          <w:bCs/>
          <w:color w:val="auto"/>
          <w:szCs w:val="21"/>
          <w:highlight w:val="none"/>
          <w:lang w:val="en-US" w:eastAsia="zh-CN"/>
        </w:rPr>
        <w:t xml:space="preserve">具体</w:t>
      </w:r>
      <w:r>
        <w:rPr>
          <w:rFonts w:hint="eastAsia" w:ascii="宋体" w:hAnsi="宋体" w:cs="宋体"/>
          <w:b/>
          <w:bCs/>
          <w:color w:val="auto"/>
          <w:szCs w:val="21"/>
          <w:highlight w:val="none"/>
        </w:rPr>
        <w:t xml:space="preserve">要求及参数</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（1）基础要求</w:t>
      </w:r>
      <w:r/>
    </w:p>
    <w:tbl>
      <w:tblPr>
        <w:tblStyle w:val="8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857"/>
        <w:gridCol w:w="6772"/>
      </w:tblGrid>
      <w:tr>
        <w:trPr>
          <w:trHeight w:val="536"/>
        </w:trPr>
        <w:tc>
          <w:tcPr>
            <w:gridSpan w:val="2"/>
            <w:tcW w:w="1025" w:type="pct"/>
            <w:vAlign w:val="center"/>
            <w:textDirection w:val="lrTb"/>
            <w:noWrap w:val="false"/>
          </w:tcPr>
          <w:p>
            <w:pPr>
              <w:ind w:firstLine="422"/>
              <w:jc w:val="center"/>
              <w:spacing w:line="360" w:lineRule="auto"/>
              <w:widowControl/>
              <w:rPr>
                <w:rFonts w:hint="eastAsia" w:ascii="宋体" w:hAnsi="宋体" w:cs="宋体"/>
                <w:b/>
                <w:bCs/>
                <w:color w:val="auto"/>
                <w:szCs w:val="21"/>
                <w:highlight w:val="none"/>
                <w:lang w:bidi="ar"/>
              </w:rPr>
            </w:pPr>
            <w:r/>
            <w:bookmarkStart w:id="67" w:name="OLE_LINK20"/>
            <w:r>
              <w:rPr>
                <w:rFonts w:hint="eastAsia" w:ascii="宋体" w:hAnsi="宋体" w:cs="宋体"/>
                <w:b/>
                <w:bCs/>
                <w:color w:val="auto"/>
                <w:szCs w:val="21"/>
                <w:highlight w:val="none"/>
                <w:lang w:bidi="ar"/>
              </w:rPr>
              <w:t xml:space="preserve">系统大类</w:t>
            </w:r>
            <w:r/>
          </w:p>
        </w:tc>
        <w:tc>
          <w:tcPr>
            <w:tcW w:w="3974" w:type="pct"/>
            <w:vAlign w:val="center"/>
            <w:textDirection w:val="lrTb"/>
            <w:noWrap w:val="false"/>
          </w:tcPr>
          <w:p>
            <w:pPr>
              <w:ind w:firstLine="422"/>
              <w:jc w:val="center"/>
              <w:spacing w:line="360" w:lineRule="auto"/>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技术要求</w:t>
            </w:r>
            <w:r/>
          </w:p>
        </w:tc>
      </w:tr>
      <w:tr>
        <w:trPr>
          <w:trHeight w:val="1033"/>
        </w:trPr>
        <w:tc>
          <w:tcPr>
            <w:tcW w:w="522" w:type="pct"/>
            <w:vAlign w:val="center"/>
            <w:vMerge w:val="restart"/>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基础</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要求</w:t>
            </w:r>
            <w:r/>
          </w:p>
        </w:tc>
        <w:tc>
          <w:tcPr>
            <w:tcW w:w="502" w:type="pct"/>
            <w:vAlign w:val="center"/>
            <w:vMerge w:val="restart"/>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基础</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要求</w:t>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服务器支持Linux、Windows、国产主流操作系统，且支持服务器集群，容错工作模式。客户端支持Windows7、Windows 10（64位）及以上版本，或同等级别的国产操作系统。</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系统软件使用较新版本数据库，兼容主流数据库包括但不限于Oracle、MySQL、SQL Server及同等级别的国产数据库等。对于数据库复杂查询的响应时间能够达到秒级。</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系统采用B/S或C/S架构，支持目前常用的浏览器，如IE（IE8及以上版本）、谷歌及苹果Safari浏览器或主流的客户端操作系统等，支持院内常用版本，并具有良好的兼容性。</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系统提供7×24小时运行，在出现异常情况下提供后备解决方案；保障系统维护及时性，可支持数据容灾。</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支持标准医疗协议</w:t>
            </w:r>
            <w:r>
              <w:rPr>
                <w:rFonts w:ascii="宋体" w:hAnsi="宋体" w:cs="宋体"/>
                <w:i/>
                <w:iCs/>
                <w:color w:val="auto"/>
                <w:szCs w:val="21"/>
                <w:highlight w:val="none"/>
                <w:u w:val="single"/>
                <w:lang w:bidi="ar"/>
              </w:rPr>
              <w:t xml:space="preserve">HL7标准V2、V3版本,XML，JSON，视图多种数据类型；支持MQ、Webservice、HTTPS多种网络协议、视图等方式。</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平台化设计，具有内置流程配置功能，业务流程可灵活配置。系统设计符合</w:t>
            </w:r>
            <w:r>
              <w:rPr>
                <w:rFonts w:ascii="宋体" w:hAnsi="宋体" w:cs="宋体"/>
                <w:i/>
                <w:iCs/>
                <w:color w:val="auto"/>
                <w:szCs w:val="21"/>
                <w:highlight w:val="none"/>
                <w:u w:val="single"/>
                <w:lang w:bidi="ar"/>
              </w:rPr>
              <w:t xml:space="preserve">HL7、CDA、DICOM3.0等数据标准。</w:t>
            </w:r>
            <w:r/>
          </w:p>
        </w:tc>
      </w:tr>
      <w:tr>
        <w:trPr>
          <w:trHeight w:val="288"/>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可提供定制化流程，满足医院的实际工作需要。</w:t>
            </w:r>
            <w:r/>
          </w:p>
        </w:tc>
      </w:tr>
      <w:tr>
        <w:trPr>
          <w:trHeight w:val="288"/>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5"/>
              </w:numPr>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构建以患者为中心的数据模型，模型需参考</w:t>
            </w:r>
            <w:r>
              <w:rPr>
                <w:rFonts w:ascii="宋体" w:hAnsi="宋体" w:cs="宋体"/>
                <w:i/>
                <w:iCs/>
                <w:color w:val="auto"/>
                <w:szCs w:val="21"/>
                <w:highlight w:val="none"/>
                <w:u w:val="single"/>
              </w:rPr>
              <w:t xml:space="preserve">HL7、CDA、卫健委电子病历基本架构与数据标准等一系列国内外通用标准。</w:t>
            </w:r>
            <w:r/>
          </w:p>
        </w:tc>
      </w:tr>
      <w:tr>
        <w:trPr>
          <w:trHeight w:val="288"/>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spacing w:before="81" w:after="81"/>
              <w:tabs>
                <w:tab w:val="left" w:pos="420" w:leader="none"/>
              </w:tabs>
              <w:rPr>
                <w:rFonts w:hint="eastAsia" w:ascii="宋体" w:hAnsi="宋体" w:cs="宋体"/>
                <w:b/>
                <w:bCs/>
                <w:i/>
                <w:iCs/>
                <w:color w:val="auto"/>
                <w:szCs w:val="21"/>
                <w:highlight w:val="none"/>
                <w:u w:val="single"/>
              </w:rPr>
            </w:pPr>
            <w:r>
              <w:rPr>
                <w:rFonts w:hint="eastAsia"/>
                <w:i/>
                <w:iCs/>
                <w:color w:val="auto"/>
                <w:highlight w:val="none"/>
                <w:u w:val="single"/>
              </w:rPr>
              <w:t xml:space="preserve">【</w:t>
            </w:r>
            <w:r>
              <w:rPr>
                <w:rFonts w:hint="eastAsia"/>
                <w:b/>
                <w:bCs/>
                <w:i/>
                <w:iCs/>
                <w:color w:val="auto"/>
                <w:highlight w:val="none"/>
                <w:u w:val="single"/>
              </w:rPr>
              <w:t xml:space="preserve">基础要求</w:t>
            </w:r>
            <w:r>
              <w:rPr>
                <w:rFonts w:hint="eastAsia" w:ascii="宋体" w:hAnsi="宋体" w:cs="宋体"/>
                <w:b/>
                <w:bCs/>
                <w:i/>
                <w:iCs/>
                <w:color w:val="auto"/>
                <w:highlight w:val="none"/>
                <w:u w:val="single"/>
              </w:rPr>
              <w:t xml:space="preserve">1-8项不参与“技术参数响应”评分，投标人提供承诺书，上传系统，未提供或漏项作无效投标处理</w:t>
            </w:r>
            <w:r>
              <w:rPr>
                <w:rFonts w:hint="eastAsia"/>
                <w:b/>
                <w:bCs/>
                <w:i/>
                <w:iCs/>
                <w:color w:val="auto"/>
                <w:highlight w:val="none"/>
                <w:u w:val="single"/>
              </w:rPr>
              <w:t xml:space="preserve">】</w:t>
            </w:r>
            <w:r/>
          </w:p>
        </w:tc>
      </w:tr>
      <w:tr>
        <w:trPr>
          <w:trHeight w:val="864"/>
        </w:trPr>
        <w:tc>
          <w:tcPr>
            <w:tcW w:w="522" w:type="pct"/>
            <w:vAlign w:val="center"/>
            <w:vMerge w:val="restart"/>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数据</w:t>
            </w:r>
            <w:r/>
          </w:p>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安全</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要求</w:t>
            </w:r>
            <w:r/>
          </w:p>
        </w:tc>
        <w:tc>
          <w:tcPr>
            <w:tcW w:w="502" w:type="pct"/>
            <w:vAlign w:val="center"/>
            <w:vMerge w:val="restart"/>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数据</w:t>
            </w:r>
            <w:r/>
          </w:p>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安全</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要求</w:t>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支持用户操作权限分级管理，能够根据不同角色对用户进行权限配置和管理，保证系统数据安全。</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支持数据加密管理，包括数据存储加密、数据传输加密等，保证用户信息和系统业务数据的安全。</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符合国家相关法律法规，包括但不限于《网络安全法》、《数据安全法》、《个人信息保护法》、国家网络安全等级保护建设要求，有效地防止系统数据的遗失和破坏。</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具备数据备份与恢复功能，提供数据库在线备份和故障恢复工具，保障数据库系统完全故障后能迅速恢复到故障前的备份状态。</w:t>
            </w:r>
            <w:r/>
          </w:p>
        </w:tc>
      </w:tr>
      <w:tr>
        <w:trPr>
          <w:trHeight w:val="90"/>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tc>
      </w:tr>
      <w:tr>
        <w:trPr>
          <w:trHeight w:val="793"/>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numPr>
                <w:ilvl w:val="0"/>
                <w:numId w:val="6"/>
              </w:numPr>
              <w:jc w:val="left"/>
              <w:widowControl/>
              <w:tabs>
                <w:tab w:val="left" w:pos="420" w:leader="none"/>
              </w:tabs>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bidi="ar"/>
              </w:rPr>
              <w:t xml:space="preserve">系统上线前需提供江苏卫健委</w:t>
            </w:r>
            <w:r>
              <w:rPr>
                <w:rFonts w:ascii="宋体" w:hAnsi="宋体" w:cs="宋体"/>
                <w:i/>
                <w:iCs/>
                <w:color w:val="auto"/>
                <w:szCs w:val="21"/>
                <w:highlight w:val="none"/>
                <w:u w:val="single"/>
                <w:lang w:bidi="ar"/>
              </w:rPr>
              <w:t xml:space="preserve">2022年发布的《江苏省卫生健康信息化项目建设网络安全管理规定（试行）》中的《网络安全检测评估情况表》。</w:t>
            </w:r>
            <w:r/>
          </w:p>
        </w:tc>
      </w:tr>
      <w:tr>
        <w:trPr>
          <w:trHeight w:val="576"/>
        </w:trPr>
        <w:tc>
          <w:tcPr>
            <w:tcW w:w="52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502" w:type="pct"/>
            <w:vAlign w:val="center"/>
            <w:vMerge w:val="continue"/>
            <w:textDirection w:val="lrTb"/>
            <w:noWrap w:val="false"/>
          </w:tcPr>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974" w:type="pct"/>
            <w:vAlign w:val="center"/>
            <w:textDirection w:val="lrTb"/>
            <w:noWrap w:val="false"/>
          </w:tcPr>
          <w:p>
            <w:pPr>
              <w:jc w:val="left"/>
              <w:widowControl/>
              <w:rPr>
                <w:rFonts w:hint="eastAsia" w:ascii="宋体" w:hAnsi="宋体" w:cs="宋体"/>
                <w:i/>
                <w:iCs/>
                <w:color w:val="auto"/>
                <w:szCs w:val="21"/>
                <w:highlight w:val="none"/>
                <w:u w:val="single"/>
                <w:lang w:bidi="ar"/>
              </w:rPr>
            </w:pPr>
            <w:r>
              <w:rPr>
                <w:rFonts w:hint="eastAsia"/>
                <w:i/>
                <w:iCs/>
                <w:color w:val="auto"/>
                <w:highlight w:val="none"/>
                <w:u w:val="single"/>
              </w:rPr>
              <w:t xml:space="preserve">【</w:t>
            </w:r>
            <w:r>
              <w:rPr>
                <w:rFonts w:hint="eastAsia"/>
                <w:b/>
                <w:bCs/>
                <w:i/>
                <w:iCs/>
                <w:color w:val="auto"/>
                <w:highlight w:val="none"/>
                <w:u w:val="single"/>
              </w:rPr>
              <w:t xml:space="preserve">数据安全要求</w:t>
            </w:r>
            <w:r>
              <w:rPr>
                <w:rFonts w:hint="eastAsia" w:ascii="宋体" w:hAnsi="宋体" w:cs="宋体"/>
                <w:b/>
                <w:bCs/>
                <w:i/>
                <w:iCs/>
                <w:color w:val="auto"/>
                <w:highlight w:val="none"/>
                <w:u w:val="single"/>
              </w:rPr>
              <w:t xml:space="preserve">1-7项不参与“技术参数响应”评分，投标人提供承诺书，上传系统，未提供或漏项作无效投标处理</w:t>
            </w:r>
            <w:r>
              <w:rPr>
                <w:rFonts w:hint="eastAsia"/>
                <w:b/>
                <w:bCs/>
                <w:i/>
                <w:iCs/>
                <w:color w:val="auto"/>
                <w:highlight w:val="none"/>
                <w:u w:val="single"/>
              </w:rPr>
              <w:t xml:space="preserve">】</w:t>
            </w:r>
            <w:r/>
          </w:p>
        </w:tc>
      </w:tr>
      <w:tr>
        <w:trPr>
          <w:trHeight w:val="467"/>
        </w:trPr>
        <w:tc>
          <w:tcPr>
            <w:tcW w:w="52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要求</w:t>
            </w:r>
            <w:r/>
          </w:p>
        </w:tc>
        <w:tc>
          <w:tcPr>
            <w:tcW w:w="50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要求</w:t>
            </w:r>
            <w:r/>
          </w:p>
        </w:tc>
        <w:tc>
          <w:tcPr>
            <w:tcW w:w="3974" w:type="pct"/>
            <w:vAlign w:val="center"/>
            <w:textDirection w:val="lrTb"/>
            <w:noWrap w:val="false"/>
          </w:tcPr>
          <w:p>
            <w:pPr>
              <w:numPr>
                <w:ilvl w:val="0"/>
                <w:numId w:val="7"/>
              </w:numPr>
              <w:jc w:val="left"/>
              <w:widowControl/>
              <w:tabs>
                <w:tab w:val="left" w:pos="420" w:leader="none"/>
              </w:tabs>
              <w:rPr>
                <w:rFonts w:hint="eastAsia" w:ascii="宋体" w:hAnsi="宋体" w:cs="宋体"/>
                <w:color w:val="auto"/>
                <w:szCs w:val="21"/>
                <w:highlight w:val="none"/>
                <w:lang w:bidi="ar"/>
              </w:rPr>
            </w:pPr>
            <w:r>
              <w:rPr>
                <w:rFonts w:hint="eastAsia" w:ascii="宋体" w:hAnsi="宋体" w:cs="宋体"/>
                <w:i/>
                <w:iCs/>
                <w:color w:val="auto"/>
                <w:szCs w:val="21"/>
                <w:highlight w:val="none"/>
                <w:u w:val="single"/>
              </w:rPr>
              <w:t xml:space="preserve">骨质疏松专病库</w:t>
            </w:r>
            <w:r>
              <w:rPr>
                <w:rFonts w:hint="eastAsia" w:ascii="宋体" w:hAnsi="宋体" w:cs="宋体"/>
                <w:i/>
                <w:iCs/>
                <w:color w:val="auto"/>
                <w:szCs w:val="21"/>
                <w:highlight w:val="none"/>
                <w:u w:val="single"/>
                <w:lang w:bidi="ar"/>
              </w:rPr>
              <w:t xml:space="preserve">支持部署在甲方指定位置，访问隔绝外网，通过防火墙限制服务器暴露端口和可访问网段，防止数据泄露、采用国密算法，符合三级等保数据要求。</w:t>
            </w:r>
            <w:r>
              <w:rPr>
                <w:rFonts w:hint="eastAsia" w:ascii="宋体" w:hAnsi="宋体" w:cs="宋体"/>
                <w:b/>
                <w:bCs/>
                <w:i/>
                <w:iCs/>
                <w:color w:val="auto"/>
                <w:szCs w:val="21"/>
                <w:highlight w:val="none"/>
                <w:u w:val="single"/>
                <w:lang w:bidi="ar"/>
              </w:rPr>
              <w:t xml:space="preserve">【本项不参与“技术参数响应”评分，投标人提供承诺书，上传系统，未提供或漏项作无效投标处理】</w:t>
            </w:r>
            <w:bookmarkEnd w:id="67"/>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（2）骨质疏松专病数据库技术要求</w:t>
      </w:r>
      <w:r/>
    </w:p>
    <w:tbl>
      <w:tblPr>
        <w:tblStyle w:val="85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93"/>
        <w:gridCol w:w="1133"/>
        <w:gridCol w:w="6493"/>
      </w:tblGrid>
      <w:tr>
        <w:trPr>
          <w:trHeight w:val="560"/>
        </w:trPr>
        <w:tc>
          <w:tcPr>
            <w:gridSpan w:val="2"/>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b/>
                <w:bCs/>
                <w:color w:val="auto"/>
                <w:szCs w:val="21"/>
                <w:highlight w:val="none"/>
              </w:rPr>
            </w:pPr>
            <w:r/>
            <w:bookmarkStart w:id="68" w:name="_Hlk215290984"/>
            <w:r>
              <w:rPr>
                <w:rFonts w:hint="eastAsia" w:ascii="宋体" w:hAnsi="宋体" w:cs="宋体"/>
                <w:b/>
                <w:bCs/>
                <w:color w:val="auto"/>
                <w:szCs w:val="21"/>
                <w:highlight w:val="none"/>
                <w:lang w:bidi="ar"/>
              </w:rPr>
              <w:t xml:space="preserve">系统大类</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jc w:val="center"/>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trHeight w:val="1033"/>
        </w:trPr>
        <w:tc>
          <w:tcPr>
            <w:tcBorders>
              <w:top w:val="single" w:color="auto" w:sz="4" w:space="0"/>
              <w:left w:val="single" w:color="auto" w:sz="4" w:space="0"/>
              <w:bottom w:val="single" w:color="auto" w:sz="4" w:space="0"/>
              <w:right w:val="single" w:color="auto" w:sz="4" w:space="0"/>
            </w:tcBorders>
            <w:tcW w:w="524" w:type="pct"/>
            <w:vAlign w:val="center"/>
            <w:vMerge w:val="restart"/>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骨质疏松专病库</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数据采集范围</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采集的数据范围包括但不限于以下：</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基本诊疗数据：患者、挂号、入出转、就诊、处方/医嘱、病案首页、收费等信息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检验数据：标本、检验结果等信息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医技检查数据：超声、病理、放射、CT、MRI、核医学、心电等报告信息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电子病历数据：入院记录、出院记录、病程等病历信息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护理数据：护理记录、观察记录、护理文书、用药记录等信息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手术麻醉数据：手术记录、事件、用药等信息</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影像数据</w:t>
            </w:r>
            <w:r/>
          </w:p>
          <w:p>
            <w:pPr>
              <w:numPr>
                <w:ilvl w:val="0"/>
                <w:numId w:val="8"/>
              </w:numPr>
              <w:ind w:left="0" w:firstLine="0"/>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基因检测数据</w:t>
            </w:r>
            <w:r/>
          </w:p>
          <w:p>
            <w:pPr>
              <w:jc w:val="left"/>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▲骨质疏松疾病采集特征字段数满足临床需求（提供承诺书，上传系统，承诺书格式自拟）</w:t>
            </w:r>
            <w:r/>
          </w:p>
        </w:tc>
      </w:tr>
      <w:tr>
        <w:trPr>
          <w:trHeight w:val="451"/>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数据脱敏</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9"/>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参照《中华人民共和国个人信息保护法》、信息安全等级保护、HIPAA、个人信息安全规范等法律法规对患者隐私处理的要求进行数据脱敏和加密。提供数据存储和传输的安全措施。采用国密算法，符合三级等保数据要求。</w:t>
            </w:r>
            <w:r/>
          </w:p>
        </w:tc>
      </w:tr>
      <w:tr>
        <w:trPr>
          <w:trHeight w:val="576"/>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系统架构</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系统采用</w:t>
            </w:r>
            <w:r>
              <w:rPr>
                <w:rFonts w:ascii="宋体" w:hAnsi="宋体" w:cs="宋体"/>
                <w:color w:val="auto"/>
                <w:szCs w:val="21"/>
                <w:highlight w:val="none"/>
              </w:rPr>
              <w:t xml:space="preserve">B/S</w:t>
            </w:r>
            <w:r>
              <w:rPr>
                <w:rFonts w:hint="eastAsia" w:ascii="宋体" w:hAnsi="宋体" w:cs="宋体"/>
                <w:color w:val="auto"/>
                <w:szCs w:val="21"/>
                <w:highlight w:val="none"/>
              </w:rPr>
              <w:t xml:space="preserve">架构，支持主流浏览器即可访问，例如：谷歌、IE等</w:t>
            </w:r>
            <w:r/>
          </w:p>
          <w:p>
            <w:pPr>
              <w:numPr>
                <w:ilvl w:val="0"/>
                <w:numId w:val="10"/>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骨质疏松专病库需部署在甲方指定位置访问，系统支持不少于100人并发访问</w:t>
            </w:r>
            <w:r/>
          </w:p>
          <w:p>
            <w:pPr>
              <w:numPr>
                <w:ilvl w:val="0"/>
                <w:numId w:val="10"/>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具备账号角色配置功能，根据工作流程中不同用户需求配置对应权限</w:t>
            </w:r>
            <w:r/>
          </w:p>
        </w:tc>
      </w:tr>
      <w:tr>
        <w:trPr>
          <w:trHeight w:val="576"/>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骨松专病数据库管理</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1"/>
              </w:numPr>
              <w:jc w:val="left"/>
              <w:tabs>
                <w:tab w:val="left" w:pos="420" w:leader="none"/>
              </w:tabs>
              <w:rPr>
                <w:rFonts w:hint="eastAsia" w:ascii="宋体" w:hAnsi="宋体" w:cs="宋体"/>
                <w:color w:val="auto"/>
                <w:szCs w:val="21"/>
                <w:highlight w:val="none"/>
              </w:rPr>
            </w:pPr>
            <w:r/>
            <w:bookmarkStart w:id="69" w:name="OLE_LINK10"/>
            <w:r/>
            <w:bookmarkStart w:id="70" w:name="OLE_LINK12"/>
            <w:r>
              <w:rPr>
                <w:rFonts w:hint="eastAsia" w:ascii="宋体" w:hAnsi="宋体" w:cs="宋体"/>
                <w:color w:val="auto"/>
                <w:szCs w:val="21"/>
                <w:highlight w:val="none"/>
              </w:rPr>
              <w:t xml:space="preserve">支持用户创建和参与的骨松科研数据库的统一管理</w:t>
            </w:r>
            <w:r/>
          </w:p>
          <w:p>
            <w:pPr>
              <w:numPr>
                <w:ilvl w:val="0"/>
                <w:numId w:val="11"/>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支持按骨松专病数据库名称等信息的模糊搜索</w:t>
            </w:r>
            <w:bookmarkEnd w:id="69"/>
            <w:r/>
            <w:bookmarkEnd w:id="70"/>
            <w:r/>
            <w:r/>
          </w:p>
        </w:tc>
      </w:tr>
      <w:tr>
        <w:trPr>
          <w:trHeight w:val="576"/>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数据管理</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支持以患者为中心管理相关的多模态的数据、包括医学影像、临床、组学数据等</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支持按照患者唯一索引号例如：身份证号、患者编号自动进行多模态数据的匹配例如：影像数据、临床数据、组学数据等。</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支持批量接收CT、MR、DR等影像数据</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支持批量接收临床数据</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支持从Pacs批量导入影像数据到数据池中</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支持将Pacs导入的数据定向推送到特定专病数据库内</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支持图像数据、临床数据的数据校验</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支持患者数据的删除</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支持在科研数据库内按照患者姓名或ID进行模糊检索</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支持添加新的患者数据，包括影像、临床数据等</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支持针对已有患者，新增患者的特征，包括影像数据、临床、组学特征等</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支持展示医疗影像数据的基本信息，包括影像设备、检查时间、序列、图像等信息</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支持在影像列表内展示ROI标签信息</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支持用户针对患者信息进行数据的模糊检索</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支持用户手动编辑数据库内的数据项并保存</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支持病灶的诊断信息存储和展示，例如病灶的体积、长短径、征象信息等</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支持数据同步至科研数据库中（需部署科研数据库）</w:t>
            </w:r>
            <w:r/>
          </w:p>
          <w:p>
            <w:pPr>
              <w:numPr>
                <w:ilvl w:val="0"/>
                <w:numId w:val="12"/>
              </w:numPr>
              <w:jc w:val="left"/>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▲支持用户手动补充录入专病库内缺失的数据（提供系统功能截图并进行说明）</w:t>
            </w:r>
            <w:r/>
          </w:p>
        </w:tc>
      </w:tr>
      <w:tr>
        <w:trPr>
          <w:trHeight w:val="576"/>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数据质量评估 </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平台支持针对专病数据库进行多维度的数据质量评估</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平台支持针对专病数据库内的患者进行患者分布的统计和描述。主要涵盖患者的性别、年龄的统计和报告，并可使用可视化的图表进行展示</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平台支持自动针对患者年龄进行分组，针对不同的年龄组进行统计报告，并可使用可视化的图表进行展示</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平台支持针对患者的异常数据进行提示，辅助用户进行数据质量核查。</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平台支持针对性别和年龄进行交叉统计和报告，辅助用户了解不同性别的年龄分布特点</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平台支持针对影像、临床特征提供智能化的特征分布统计</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平台支持针对不同的影像检查类型提供智能化的特征分布统计，辅助用户更有针对性的核查自己的影像检查数据</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针对影像特征的分布统计，用户可以选择使用全部或部分影像参与特征分布的计算</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平台支持针对一个影像特征进行不同维度的统计报告，包括患者维度信息、扫描设备信息以及成像参数信息的统计分布报告</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平台支持使用多种可视化图表对影像特征的分布进行报告</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平台支持针对临床特征自动识别其数据类型，包括有序分类型变量、无序分类型变量、数值型变量、日期型变量、文本型变量</w:t>
            </w:r>
            <w:r/>
          </w:p>
          <w:p>
            <w:pPr>
              <w:numPr>
                <w:ilvl w:val="0"/>
                <w:numId w:val="1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平台支持智能化的针对不同类型的临床特征采用不同的可视化图表进行报告。</w:t>
            </w:r>
            <w:r/>
          </w:p>
        </w:tc>
      </w:tr>
      <w:tr>
        <w:trPr>
          <w:trHeight w:val="576"/>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检索和筛选</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骨松数据库系统支持模糊检索和精准检索</w:t>
            </w:r>
            <w:r/>
          </w:p>
          <w:p>
            <w:pPr>
              <w:numPr>
                <w:ilvl w:val="0"/>
                <w:numId w:val="1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支持用户使用多种条件进行组合检索和筛选</w:t>
            </w:r>
            <w:r/>
          </w:p>
          <w:p>
            <w:pPr>
              <w:numPr>
                <w:ilvl w:val="0"/>
                <w:numId w:val="1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支持用提取的骨松影像关键信息参与检索和筛选</w:t>
            </w:r>
            <w:r/>
          </w:p>
          <w:p>
            <w:pPr>
              <w:numPr>
                <w:ilvl w:val="0"/>
                <w:numId w:val="1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支持使用骨松临床特征数据进行检索和筛选</w:t>
            </w:r>
            <w:r/>
          </w:p>
          <w:p>
            <w:pPr>
              <w:numPr>
                <w:ilvl w:val="0"/>
                <w:numId w:val="1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支持按照骨松病变的信息进行患者的检索和筛选</w:t>
            </w:r>
            <w:r/>
          </w:p>
        </w:tc>
      </w:tr>
      <w:tr>
        <w:trPr>
          <w:trHeight w:val="288"/>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CRF</w:t>
            </w:r>
            <w:r>
              <w:rPr>
                <w:rFonts w:hint="eastAsia" w:ascii="宋体" w:hAnsi="宋体" w:cs="宋体"/>
                <w:color w:val="auto"/>
                <w:szCs w:val="21"/>
                <w:highlight w:val="none"/>
              </w:rPr>
              <w:t xml:space="preserve">表单管理</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支持用户上传标准化或自定义的骨松</w:t>
            </w:r>
            <w:r>
              <w:rPr>
                <w:rFonts w:ascii="宋体" w:hAnsi="宋体" w:cs="宋体"/>
                <w:color w:val="auto"/>
                <w:szCs w:val="21"/>
                <w:highlight w:val="none"/>
              </w:rPr>
              <w:t xml:space="preserve">CRF</w:t>
            </w:r>
            <w:r>
              <w:rPr>
                <w:rFonts w:hint="eastAsia" w:ascii="宋体" w:hAnsi="宋体" w:cs="宋体"/>
                <w:color w:val="auto"/>
                <w:szCs w:val="21"/>
                <w:highlight w:val="none"/>
              </w:rPr>
              <w:t xml:space="preserve">表单文件，实现</w:t>
            </w:r>
            <w:r>
              <w:rPr>
                <w:rFonts w:ascii="宋体" w:hAnsi="宋体" w:cs="宋体"/>
                <w:color w:val="auto"/>
                <w:szCs w:val="21"/>
                <w:highlight w:val="none"/>
              </w:rPr>
              <w:t xml:space="preserve">CRF</w:t>
            </w:r>
            <w:r>
              <w:rPr>
                <w:rFonts w:hint="eastAsia" w:ascii="宋体" w:hAnsi="宋体" w:cs="宋体"/>
                <w:color w:val="auto"/>
                <w:szCs w:val="21"/>
                <w:highlight w:val="none"/>
              </w:rPr>
              <w:t xml:space="preserve">的统一配置与版本管理。</w:t>
            </w:r>
            <w:r/>
          </w:p>
          <w:p>
            <w:pPr>
              <w:numPr>
                <w:ilvl w:val="0"/>
                <w:numId w:val="1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支持在骨松</w:t>
            </w:r>
            <w:r>
              <w:rPr>
                <w:rFonts w:ascii="宋体" w:hAnsi="宋体" w:cs="宋体"/>
                <w:color w:val="auto"/>
                <w:szCs w:val="21"/>
                <w:highlight w:val="none"/>
              </w:rPr>
              <w:t xml:space="preserve">CRF</w:t>
            </w:r>
            <w:r>
              <w:rPr>
                <w:rFonts w:hint="eastAsia" w:ascii="宋体" w:hAnsi="宋体" w:cs="宋体"/>
                <w:color w:val="auto"/>
                <w:szCs w:val="21"/>
                <w:highlight w:val="none"/>
              </w:rPr>
              <w:t xml:space="preserve">表单内填写字段来源、字段组名称、字段名、字段逻辑、示例值</w:t>
            </w:r>
            <w:r/>
          </w:p>
          <w:p>
            <w:pPr>
              <w:numPr>
                <w:ilvl w:val="0"/>
                <w:numId w:val="1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支持文本、多选、单选、布尔判断、小数、整数、时间、日期等</w:t>
            </w:r>
            <w:r>
              <w:rPr>
                <w:rFonts w:ascii="宋体" w:hAnsi="宋体" w:cs="宋体"/>
                <w:color w:val="auto"/>
                <w:szCs w:val="21"/>
                <w:highlight w:val="none"/>
              </w:rPr>
              <w:t xml:space="preserve"> 8 </w:t>
            </w:r>
            <w:r>
              <w:rPr>
                <w:rFonts w:hint="eastAsia" w:ascii="宋体" w:hAnsi="宋体" w:cs="宋体"/>
                <w:color w:val="auto"/>
                <w:szCs w:val="21"/>
                <w:highlight w:val="none"/>
              </w:rPr>
              <w:t xml:space="preserve">类字段类型，满足骨松临床研究全流程的数据采集需求。</w:t>
            </w:r>
            <w:r/>
          </w:p>
          <w:p>
            <w:pPr>
              <w:numPr>
                <w:ilvl w:val="0"/>
                <w:numId w:val="1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支持整数、小数等类型设置取值范围、单位、精度；</w:t>
            </w:r>
            <w:r/>
          </w:p>
        </w:tc>
      </w:tr>
      <w:tr>
        <w:trPr>
          <w:trHeight w:val="288"/>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数据结构化</w:t>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6"/>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▲通过大模型自动解析非结构化文本（病历、报告、访视记录等），将其转化为结构化字段。</w:t>
            </w:r>
            <w:r>
              <w:rPr>
                <w:rFonts w:hint="eastAsia" w:ascii="宋体" w:hAnsi="宋体" w:cs="宋体"/>
                <w:b/>
                <w:bCs/>
                <w:color w:val="auto"/>
                <w:szCs w:val="21"/>
                <w:highlight w:val="none"/>
                <w:lang w:bidi="ar"/>
              </w:rPr>
              <w:t xml:space="preserve">（提供系统功能截图并进行说明）</w:t>
            </w:r>
            <w:r/>
          </w:p>
        </w:tc>
      </w:tr>
      <w:tr>
        <w:trPr>
          <w:trHeight w:val="864"/>
        </w:trPr>
        <w:tc>
          <w:tcPr>
            <w:tcBorders>
              <w:top w:val="single" w:color="auto" w:sz="4" w:space="0"/>
              <w:left w:val="single" w:color="auto" w:sz="4" w:space="0"/>
              <w:bottom w:val="single" w:color="auto" w:sz="4" w:space="0"/>
              <w:right w:val="single" w:color="auto" w:sz="4" w:space="0"/>
            </w:tcBorders>
            <w:tcW w:w="524" w:type="pct"/>
            <w:vAlign w:val="center"/>
            <w:vMerge w:val="continue"/>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widowControl/>
              <w:rPr>
                <w:rFonts w:hint="eastAsia" w:ascii="宋体" w:hAnsi="宋体" w:cs="宋体"/>
                <w:color w:val="auto"/>
                <w:szCs w:val="21"/>
                <w:highlight w:val="none"/>
              </w:rPr>
            </w:pPr>
            <w:r/>
            <w:bookmarkStart w:id="71" w:name="OLE_LINK1"/>
            <w:r>
              <w:rPr>
                <w:rFonts w:hint="eastAsia" w:ascii="宋体" w:hAnsi="宋体" w:cs="宋体"/>
                <w:color w:val="auto"/>
                <w:szCs w:val="21"/>
                <w:highlight w:val="none"/>
              </w:rPr>
              <w:t xml:space="preserve">账户管理</w:t>
            </w:r>
            <w:bookmarkEnd w:id="71"/>
            <w:r/>
            <w:r/>
          </w:p>
        </w:tc>
        <w:tc>
          <w:tcPr>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骨松专病数据库系统包括超级管理员、数据库管理员、研究员角色</w:t>
            </w:r>
            <w:r/>
          </w:p>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骨松专病数据库管理员可以分配该数据库相关的研究员角色</w:t>
            </w:r>
            <w:r/>
          </w:p>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骨松专病库系统超级管理员可以创建医疗机构并进行管理</w:t>
            </w:r>
            <w:r/>
          </w:p>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骨松专病库系统超级管理员可以删除已创建的医疗机构</w:t>
            </w:r>
            <w:r/>
          </w:p>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骨松专病库系统超级管理员可分配用户名和密码</w:t>
            </w:r>
            <w:r/>
          </w:p>
          <w:p>
            <w:pPr>
              <w:numPr>
                <w:ilvl w:val="0"/>
                <w:numId w:val="1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用户可修改密码</w:t>
            </w:r>
            <w:bookmarkEnd w:id="68"/>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0"/>
          <w:numId w:val="18"/>
        </w:numPr>
        <w:ind w:firstLine="422"/>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骨健康科研云服务基础功能要求</w:t>
      </w:r>
      <w:r/>
    </w:p>
    <w:tbl>
      <w:tblPr>
        <w:tblStyle w:val="854"/>
        <w:tblW w:w="4999" w:type="pct"/>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133"/>
        <w:gridCol w:w="6502"/>
      </w:tblGrid>
      <w:tr>
        <w:trPr>
          <w:trHeight w:val="560"/>
        </w:trPr>
        <w:tc>
          <w:tcPr>
            <w:gridSpan w:val="2"/>
            <w:tcBorders>
              <w:top w:val="single" w:color="auto" w:sz="4" w:space="0"/>
              <w:left w:val="single" w:color="auto" w:sz="4" w:space="0"/>
              <w:bottom w:val="single" w:color="auto" w:sz="4" w:space="0"/>
              <w:right w:val="single" w:color="auto" w:sz="4" w:space="0"/>
            </w:tcBorders>
            <w:tcW w:w="1184" w:type="pct"/>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系统大类</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jc w:val="center"/>
              <w:tabs>
                <w:tab w:val="left" w:pos="42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trHeight w:val="1033"/>
        </w:trPr>
        <w:tc>
          <w:tcPr>
            <w:tcBorders>
              <w:top w:val="single" w:color="auto" w:sz="4" w:space="0"/>
              <w:left w:val="single" w:color="auto" w:sz="4" w:space="0"/>
              <w:bottom w:val="single" w:color="auto" w:sz="4" w:space="0"/>
              <w:right w:val="single" w:color="auto" w:sz="4" w:space="0"/>
            </w:tcBorders>
            <w:tcW w:w="51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科研云服务</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科研项目管理</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19"/>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支持用户云端创建和参与科研项目统一管理</w:t>
            </w:r>
            <w:r/>
          </w:p>
          <w:p>
            <w:pPr>
              <w:numPr>
                <w:ilvl w:val="0"/>
                <w:numId w:val="19"/>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用户可以快速创建多个研究项目</w:t>
            </w:r>
            <w:r/>
          </w:p>
          <w:p>
            <w:pPr>
              <w:numPr>
                <w:ilvl w:val="0"/>
                <w:numId w:val="19"/>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用户在创建科研项目的过程中，可以添加科研项目的名称、选择科研项目的类型以及科研项目的简介等信息</w:t>
            </w:r>
            <w:r/>
          </w:p>
          <w:p>
            <w:pPr>
              <w:numPr>
                <w:ilvl w:val="0"/>
                <w:numId w:val="19"/>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科研项目的创建者可选择多名参与人员共同参与该项目</w:t>
            </w:r>
            <w:r/>
          </w:p>
          <w:p>
            <w:pPr>
              <w:numPr>
                <w:ilvl w:val="0"/>
                <w:numId w:val="19"/>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支持按科研项目名称等信息的模糊搜索</w:t>
            </w:r>
            <w:r/>
          </w:p>
          <w:p>
            <w:pPr>
              <w:numPr>
                <w:ilvl w:val="0"/>
                <w:numId w:val="19"/>
              </w:numPr>
              <w:jc w:val="left"/>
              <w:widowControl/>
              <w:rPr>
                <w:color w:val="auto"/>
                <w:highlight w:val="none"/>
              </w:rPr>
            </w:pPr>
            <w:r>
              <w:rPr>
                <w:rFonts w:hint="eastAsia" w:ascii="宋体" w:hAnsi="宋体" w:cs="宋体"/>
                <w:color w:val="auto"/>
                <w:szCs w:val="21"/>
                <w:highlight w:val="none"/>
              </w:rPr>
              <w:t xml:space="preserve">支持科研项目的删除</w:t>
            </w:r>
            <w:r/>
          </w:p>
        </w:tc>
      </w:tr>
      <w:tr>
        <w:trPr>
          <w:trHeight w:val="451"/>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科研项目</w:t>
            </w:r>
            <w:r>
              <w:rPr>
                <w:rFonts w:ascii="宋体" w:hAnsi="宋体" w:cs="宋体"/>
                <w:color w:val="auto"/>
                <w:szCs w:val="21"/>
                <w:highlight w:val="none"/>
              </w:rPr>
              <w:t xml:space="preserve">数据管理</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支持在一个项目内管理多种数据、包括图像、临床、组学数据等</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支持批量上传超声、CT、MR、X线等DICOM影像数据</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支持DICOM、NII、NRRD等多种图像上传格式并针对每种上传格式进行明确的说明和引导</w:t>
            </w:r>
            <w:r>
              <w:rPr>
                <w:rFonts w:hint="eastAsia" w:ascii="宋体" w:hAnsi="宋体" w:cs="宋体"/>
                <w:b/>
                <w:bCs/>
                <w:color w:val="auto"/>
                <w:szCs w:val="21"/>
                <w:highlight w:val="none"/>
                <w:lang w:bidi="ar"/>
              </w:rPr>
              <w:t xml:space="preserve">（提供系统功能截图并进行说明）</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支持批量上传临床、组学特征数据，同时支持临床和组学特征数据集的导出</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支持针对上传数据进行脱敏，包括患者姓名，医院名称等信息</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支持影像数据和标注同时上传，并可自动进行匹配</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支持按照标注文件的连通域进行ROI的拆分</w:t>
            </w:r>
            <w:r>
              <w:rPr>
                <w:rFonts w:hint="eastAsia" w:ascii="宋体" w:hAnsi="宋体" w:cs="宋体"/>
                <w:b/>
                <w:bCs/>
                <w:color w:val="auto"/>
                <w:szCs w:val="21"/>
                <w:highlight w:val="none"/>
                <w:lang w:bidi="ar"/>
              </w:rPr>
              <w:t xml:space="preserve">（提供系统功能截图并进行说明）</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支持图像数据、临床和组学特征等数据的数据校验</w:t>
            </w:r>
            <w:r>
              <w:rPr>
                <w:rFonts w:hint="eastAsia" w:ascii="宋体" w:hAnsi="宋体" w:cs="宋体"/>
                <w:b/>
                <w:bCs/>
                <w:color w:val="auto"/>
                <w:szCs w:val="21"/>
                <w:highlight w:val="none"/>
                <w:lang w:bidi="ar"/>
              </w:rPr>
              <w:t xml:space="preserve">（提供系统功能截图并进行说明）</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9.</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支持针对影像数据上传进行完整的数据核验，包括缺失数据、异常数据等的问题报告，并可提示用户采取对应的措施</w:t>
            </w:r>
            <w:r>
              <w:rPr>
                <w:rFonts w:hint="eastAsia" w:ascii="宋体" w:hAnsi="宋体" w:cs="宋体"/>
                <w:b/>
                <w:bCs/>
                <w:color w:val="auto"/>
                <w:szCs w:val="21"/>
                <w:highlight w:val="none"/>
                <w:lang w:bidi="ar"/>
              </w:rPr>
              <w:t xml:space="preserve">（提供系统功能截图并进行说明）</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10.</w:t>
            </w:r>
            <w:r>
              <w:rPr>
                <w:rFonts w:hint="eastAsia" w:ascii="宋体" w:hAnsi="宋体" w:cs="宋体"/>
                <w:color w:val="auto"/>
                <w:szCs w:val="21"/>
                <w:highlight w:val="none"/>
              </w:rPr>
              <w:t xml:space="preserve">提供上传数据操作日志方便用户查看上传进度和问题数据提示信息</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11.</w:t>
            </w:r>
            <w:r>
              <w:rPr>
                <w:rFonts w:hint="eastAsia" w:ascii="宋体" w:hAnsi="宋体" w:cs="宋体"/>
                <w:color w:val="auto"/>
                <w:szCs w:val="21"/>
                <w:highlight w:val="none"/>
              </w:rPr>
              <w:t xml:space="preserve">支持数据集的删除、模糊检索、新增患者数据、合并。</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12.</w:t>
            </w:r>
            <w:r>
              <w:rPr>
                <w:rFonts w:hint="eastAsia" w:ascii="宋体" w:hAnsi="宋体" w:cs="宋体"/>
                <w:color w:val="auto"/>
                <w:szCs w:val="21"/>
                <w:highlight w:val="none"/>
              </w:rPr>
              <w:t xml:space="preserve">支持按列表显示影像检查信息，包括影像设备、检查时间、序列、图像等信息</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支持在影像列表内展示ROI标签信息</w:t>
            </w:r>
            <w:r>
              <w:rPr>
                <w:rFonts w:hint="eastAsia" w:ascii="宋体" w:hAnsi="宋体" w:cs="宋体"/>
                <w:b/>
                <w:bCs/>
                <w:color w:val="auto"/>
                <w:szCs w:val="21"/>
                <w:highlight w:val="none"/>
                <w:lang w:bidi="ar"/>
              </w:rPr>
              <w:t xml:space="preserve">（提供系统功能截图并进行说明）</w:t>
            </w:r>
            <w:r/>
          </w:p>
          <w:p>
            <w:pPr>
              <w:numPr>
                <w:ilvl w:val="0"/>
                <w:numId w:val="0"/>
              </w:numPr>
              <w:ind w:left="0" w:firstLine="0"/>
              <w:tabs>
                <w:tab w:val="left" w:pos="420" w:leader="none"/>
              </w:tabs>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14.</w:t>
            </w:r>
            <w:r>
              <w:rPr>
                <w:rFonts w:hint="eastAsia" w:ascii="宋体" w:hAnsi="宋体" w:cs="宋体"/>
                <w:color w:val="auto"/>
                <w:szCs w:val="21"/>
                <w:highlight w:val="none"/>
              </w:rPr>
              <w:t xml:space="preserve">支持rar, zip, tar, gz等多种压缩格式文件上传</w:t>
            </w:r>
            <w:r/>
          </w:p>
        </w:tc>
      </w:tr>
      <w:tr>
        <w:trPr>
          <w:trHeight w:val="451"/>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widowControl/>
              <w:rPr>
                <w:rFonts w:hint="eastAsia" w:ascii="宋体" w:hAnsi="宋体" w:cs="宋体"/>
                <w:color w:val="auto"/>
                <w:szCs w:val="21"/>
                <w:highlight w:val="none"/>
              </w:rPr>
            </w:pPr>
            <w:r>
              <w:rPr>
                <w:rFonts w:ascii="宋体" w:hAnsi="宋体" w:cs="宋体"/>
                <w:color w:val="auto"/>
                <w:szCs w:val="21"/>
                <w:highlight w:val="none"/>
              </w:rPr>
              <w:t xml:space="preserve">数据标注</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提供影像阅片工具，包括序列筛选、布局切换、序列影像滚动、多序列图像拖拽切换、隐藏/显示DICOM meta信息、快速调窗工具、自定义窗宽窗位配置、缩放和移动工具、自动生成MPR、图像翻转工具等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支持针对一个影像检查数据同时管理多种标注分类的功能</w:t>
            </w:r>
            <w:r>
              <w:rPr>
                <w:rFonts w:hint="eastAsia" w:ascii="宋体" w:hAnsi="宋体" w:cs="宋体"/>
                <w:b/>
                <w:bCs/>
                <w:color w:val="auto"/>
                <w:szCs w:val="21"/>
                <w:highlight w:val="none"/>
                <w:lang w:bidi="ar"/>
              </w:rPr>
              <w:t xml:space="preserve">（提供系统功能截图并进行说明）</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支持多种标注方式，例如：病灶级别的标注、多序列数据的标注等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支持手动勾画工具，包括框选勾画、涂抹、画圆、画框等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支持勾画结果的删改，包括框选删改、涂抹删改、按层面删改等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支持三维框标注工具、支持套索工具、支持插值工具等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支持使用大模型进行2维层面上的自动化分割，包括使用点标记、框选标记等作为模型输入，实现针对多模态、多脏器、多病灶进行交互式大模型分割</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支持多序列数据之间进行ROI标记的复制、粘贴、删除、标记和修改序列类型标签等</w:t>
            </w:r>
            <w:r/>
          </w:p>
          <w:p>
            <w:pPr>
              <w:numPr>
                <w:ilvl w:val="0"/>
                <w:numId w:val="20"/>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支持对影像数据进行自动标注，可对AI标注结果进行修改，确保标注质量。</w:t>
            </w:r>
            <w:r>
              <w:rPr>
                <w:rFonts w:hint="eastAsia" w:ascii="宋体" w:hAnsi="宋体" w:cs="宋体"/>
                <w:b/>
                <w:bCs/>
                <w:color w:val="auto"/>
                <w:szCs w:val="21"/>
                <w:highlight w:val="none"/>
                <w:lang w:bidi="ar"/>
              </w:rPr>
              <w:t xml:space="preserve">（提供系统功能截图并进行说明）</w:t>
            </w:r>
            <w:r/>
          </w:p>
        </w:tc>
      </w:tr>
      <w:tr>
        <w:trPr>
          <w:trHeight w:val="576"/>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影像</w:t>
            </w:r>
            <w:r>
              <w:rPr>
                <w:rFonts w:ascii="宋体" w:hAnsi="宋体" w:cs="宋体"/>
                <w:color w:val="auto"/>
                <w:szCs w:val="21"/>
                <w:highlight w:val="none"/>
              </w:rPr>
              <w:t xml:space="preserve">组学特征提取</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支持多种组学特征提取，</w:t>
            </w:r>
            <w:r>
              <w:rPr>
                <w:rFonts w:hint="eastAsia" w:ascii="宋体" w:hAnsi="宋体" w:cs="宋体"/>
                <w:color w:val="auto"/>
                <w:szCs w:val="21"/>
                <w:highlight w:val="none"/>
                <w:lang w:bidi="ar"/>
              </w:rPr>
              <w:t xml:space="preserve">例如：Absolute Gradient、GLCM、GLRLM等</w:t>
            </w:r>
            <w:r/>
          </w:p>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支持多种图像处理方式，包括但不限于经小波变换(LLL、LHL、HLL、HHH) 、LBP（3D-k、3D-m1、3D-m2）等多种图像处理方式</w:t>
            </w:r>
            <w:r/>
          </w:p>
          <w:p>
            <w:pPr>
              <w:numPr>
                <w:ilvl w:val="0"/>
                <w:numId w:val="21"/>
              </w:numPr>
              <w:tabs>
                <w:tab w:val="left" w:pos="420" w:leader="none"/>
              </w:tabs>
              <w:rPr>
                <w:rFonts w:hint="eastAsia" w:ascii="宋体" w:hAnsi="宋体" w:cs="宋体"/>
                <w:color w:val="auto"/>
                <w:szCs w:val="21"/>
                <w:highlight w:val="none"/>
              </w:rPr>
            </w:pPr>
            <w:r/>
            <w:bookmarkStart w:id="72" w:name="OLE_LINK17"/>
            <w:r>
              <w:rPr>
                <w:rFonts w:hint="eastAsia" w:ascii="宋体" w:hAnsi="宋体" w:cs="宋体"/>
                <w:color w:val="auto"/>
                <w:szCs w:val="21"/>
                <w:highlight w:val="none"/>
                <w:lang w:bidi="ar"/>
              </w:rPr>
              <w:t xml:space="preserve">支持</w:t>
            </w:r>
            <w:bookmarkStart w:id="73" w:name="OLE_LINK14"/>
            <w:r>
              <w:rPr>
                <w:rFonts w:hint="eastAsia" w:ascii="宋体" w:hAnsi="宋体" w:cs="宋体"/>
                <w:color w:val="auto"/>
                <w:szCs w:val="21"/>
                <w:highlight w:val="none"/>
                <w:lang w:bidi="ar"/>
              </w:rPr>
              <w:t xml:space="preserve">影像组学特征覆盖</w:t>
            </w:r>
            <w:bookmarkEnd w:id="73"/>
            <w:r>
              <w:rPr>
                <w:rFonts w:hint="eastAsia" w:ascii="宋体" w:hAnsi="宋体" w:cs="宋体"/>
                <w:color w:val="auto"/>
                <w:szCs w:val="21"/>
                <w:highlight w:val="none"/>
                <w:lang w:bidi="ar"/>
              </w:rPr>
              <w:t xml:space="preserve">，包括但不限于shape based (3D)、GLCM等特征</w:t>
            </w:r>
            <w:bookmarkEnd w:id="72"/>
            <w:r/>
            <w:r/>
          </w:p>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支持多序列影像数据按序列提取组学特征，例如：（ T1、DWI等）</w:t>
            </w:r>
            <w:r/>
          </w:p>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支持图像标准化、重采样、归一化等预处理</w:t>
            </w:r>
            <w:r/>
          </w:p>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支持ROI合并提取组学特征</w:t>
            </w:r>
            <w:r/>
          </w:p>
          <w:p>
            <w:pPr>
              <w:numPr>
                <w:ilvl w:val="0"/>
                <w:numId w:val="21"/>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支持自动生成、保存、下载、删除组学特征数据集</w:t>
            </w:r>
            <w:r/>
          </w:p>
        </w:tc>
      </w:tr>
      <w:tr>
        <w:trPr>
          <w:trHeight w:val="576"/>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分析建模中心</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2"/>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支持不同分析任务的管理，包括机器学习和深度学习任务</w:t>
            </w:r>
            <w:r/>
          </w:p>
          <w:p>
            <w:pPr>
              <w:numPr>
                <w:ilvl w:val="0"/>
                <w:numId w:val="22"/>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支持用户选择数据集创建分析任务，分析任务展示建模所使用的数据集，数据划分方式，特征筛选方式，以及最优模型的结果。支持任务删除与模糊检索。</w:t>
            </w:r>
            <w:r/>
          </w:p>
        </w:tc>
      </w:tr>
      <w:tr>
        <w:trPr>
          <w:trHeight w:val="576"/>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机器学习</w:t>
            </w:r>
            <w:r>
              <w:rPr>
                <w:rFonts w:hint="eastAsia" w:ascii="宋体" w:hAnsi="宋体" w:cs="宋体"/>
                <w:color w:val="auto"/>
                <w:szCs w:val="21"/>
                <w:highlight w:val="none"/>
              </w:rPr>
              <w:t xml:space="preserve">建模中心</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支持选择需要分析的因变量和纳入模型的特征</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支持按照图像处理方式和组学特征类别选择纳入模型的组学特征（例如原始图像、高斯滤波图像、小波分解图像等）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支持分别对临床和组学特征的数据质量评估，包括数据类型的选择、缺失值处理等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自动识别上传数据的数据类型，包括有序分类型变量、无序分类型变量、数值型变量、日期型变量、文本型变量等，允许用户手动修改变量类型</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自动计算临床特征的缺失数量和占比，并根据数据分布自动为具有缺失数据的特征提供相应的数据处理方案，包括删除变量所在行、插值等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根据特征的数值型变量提供删除缺失数据所在行、平均值插补、中位数插补等方法</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分类型变量提供删除缺失数据所在行、众数插补、指定数值插补等方法</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提供训练集和测试集划分的方式，包括随机划分、交叉验证等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提供3折、5折、10折等多种常用的交叉验证折数选择</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提供随机划分数据集和人工划分数据集等多种数据划分的方案</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针对训练集和测试集划分的结果展示因变量的数据分布</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提供特征预筛、单变量特征</w:t>
            </w:r>
            <w:bookmarkStart w:id="74" w:name="OLE_LINK2"/>
            <w:r>
              <w:rPr>
                <w:rFonts w:hint="eastAsia" w:ascii="宋体" w:hAnsi="宋体" w:cs="宋体"/>
                <w:color w:val="auto"/>
                <w:szCs w:val="21"/>
                <w:highlight w:val="none"/>
              </w:rPr>
              <w:t xml:space="preserve">筛选</w:t>
            </w:r>
            <w:bookmarkEnd w:id="74"/>
            <w:r>
              <w:rPr>
                <w:rFonts w:hint="eastAsia" w:ascii="宋体" w:hAnsi="宋体" w:cs="宋体"/>
                <w:color w:val="auto"/>
                <w:szCs w:val="21"/>
                <w:highlight w:val="none"/>
              </w:rPr>
              <w:t xml:space="preserve">以及应用模型筛选等多种特征筛选的方案并支持不同方案组合使用</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支持组学特征和临床特征的分别采用不同的筛选方案</w:t>
            </w:r>
            <w:r>
              <w:rPr>
                <w:rFonts w:hint="eastAsia" w:ascii="宋体" w:hAnsi="宋体" w:cs="宋体"/>
                <w:b/>
                <w:bCs/>
                <w:color w:val="auto"/>
                <w:szCs w:val="21"/>
                <w:highlight w:val="none"/>
                <w:lang w:bidi="ar"/>
              </w:rPr>
              <w:t xml:space="preserve">（提供系统功能截图并进行说明）</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针对组学和临床特征，平台可以对特征中的异常情况进行数据清洗和转换，并可智能提示用户使用不同的特征筛选方案</w:t>
            </w:r>
            <w:r>
              <w:rPr>
                <w:rFonts w:hint="eastAsia" w:ascii="宋体" w:hAnsi="宋体" w:cs="宋体"/>
                <w:b/>
                <w:bCs/>
                <w:color w:val="auto"/>
                <w:szCs w:val="21"/>
                <w:highlight w:val="none"/>
                <w:lang w:bidi="ar"/>
              </w:rPr>
              <w:t xml:space="preserve">（提供系统功能截图并进行说明）</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平台支持自动校验数据的分布特征，并可根据数据分布特征智能匹配医学统计学方法，包括t检验、卡方检验、秩和检验等</w:t>
            </w:r>
            <w:r>
              <w:rPr>
                <w:rFonts w:hint="eastAsia" w:ascii="宋体" w:hAnsi="宋体" w:cs="宋体"/>
                <w:color w:val="auto"/>
                <w:szCs w:val="21"/>
                <w:highlight w:val="none"/>
                <w:lang w:eastAsia="zh-CN"/>
              </w:rPr>
              <w:t xml:space="preserve">。</w:t>
            </w:r>
            <w:r>
              <w:rPr>
                <w:rFonts w:hint="eastAsia" w:ascii="宋体" w:hAnsi="宋体" w:cs="宋体"/>
                <w:b/>
                <w:bCs/>
                <w:color w:val="auto"/>
                <w:szCs w:val="21"/>
                <w:highlight w:val="none"/>
                <w:lang w:bidi="ar"/>
              </w:rPr>
              <w:t xml:space="preserve">（提供系统功能截图并进行说明）</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提供多种特征标准化的方案，</w:t>
            </w:r>
            <w:r>
              <w:rPr>
                <w:rFonts w:hint="eastAsia" w:ascii="宋体" w:hAnsi="宋体" w:cs="宋体"/>
                <w:color w:val="auto"/>
                <w:szCs w:val="21"/>
                <w:highlight w:val="none"/>
                <w:lang w:bidi="ar"/>
              </w:rPr>
              <w:t xml:space="preserve">例如：（Z-score 标准化、中位数-绝对偏差标准化等）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特征筛选的结果以多种图表方式进行展示，</w:t>
            </w:r>
            <w:r>
              <w:rPr>
                <w:rFonts w:hint="eastAsia" w:ascii="宋体" w:hAnsi="宋体" w:cs="宋体"/>
                <w:color w:val="auto"/>
                <w:szCs w:val="21"/>
                <w:highlight w:val="none"/>
                <w:lang w:bidi="ar"/>
              </w:rPr>
              <w:t xml:space="preserve">例如：（特征重要性条形图、特征组重要性堆叠条形图等）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提供多种常用的机器学习模型配置，用户可多选模型，提供模型智能调参的功能</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提供平台支持同时运行多个机器学习模型，并提供多个机器学习模型结果对比，可生成多模型对比的图表</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提供每个模型的结果衡量指标，例如：混淆矩阵和ROC、PR曲线等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针对线性回归模型提供诺莫图、例如：决策曲线等论文常用图表等</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提供组学模型、临床模型、组学临床联合模型等多种模型的对比</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提供自动生成评价模型功能效果的图表，例如可以输出Radscore的图</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支持建立临床组学联合模型，例如使用混淆矩阵、ROC的结果为依据建立临床组学联合模型。</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提供建模结果的导出</w:t>
            </w:r>
            <w:r/>
          </w:p>
          <w:p>
            <w:pPr>
              <w:numPr>
                <w:ilvl w:val="0"/>
                <w:numId w:val="23"/>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支持选择外部数据集进行模型验证</w:t>
            </w:r>
            <w:r/>
          </w:p>
        </w:tc>
      </w:tr>
      <w:tr>
        <w:trPr>
          <w:trHeight w:val="288"/>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深度学习建模中心</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支持选择需要分析的因变量</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提供训练集和测试集的随机划分，提供按照患者和病灶维度的数据集划分，提供数据训练的维度，例如包括序列维度和切片维度</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提供多种数据增强方法，包含但不限于随机平移、缩放、随机镜像、旋转、随机弹性变换等</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提供多种深度学习整图分类、二分类和多分类模型的选择，包括不同深度的Densenet、Resnet和SEnet等</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提供多种深度学习分割模型的选择，包括不同网络架构的UNET、ResNet、UNETR等分割网络</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提供训练轮数的设置，提供针对分类任务和分割任务的多种损失函数的配置</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提供多种初始化参数的配置，提供多种优化器的配置</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提供每个模型的结果衡量指标，混淆矩阵和ROC曲线等，针对分割模型的结果，提供可视化的展示</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提供针对不同的深度学习任务进行外部验证的功能</w:t>
            </w:r>
            <w:r/>
          </w:p>
          <w:p>
            <w:pPr>
              <w:numPr>
                <w:ilvl w:val="0"/>
                <w:numId w:val="24"/>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提供模型训练过程中的监控日志、结果的导出</w:t>
            </w:r>
            <w:r/>
          </w:p>
        </w:tc>
      </w:tr>
      <w:tr>
        <w:trPr>
          <w:trHeight w:val="288"/>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生存分析建模中心</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5"/>
              </w:numPr>
              <w:tabs>
                <w:tab w:val="left" w:pos="420" w:leader="none"/>
              </w:tabs>
              <w:rPr>
                <w:rFonts w:hint="eastAsia" w:ascii="宋体" w:hAnsi="宋体" w:cs="宋体"/>
                <w:color w:val="auto"/>
                <w:szCs w:val="21"/>
                <w:highlight w:val="none"/>
              </w:rPr>
            </w:pPr>
            <w:r>
              <w:rPr>
                <w:rFonts w:ascii="宋体" w:hAnsi="宋体"/>
                <w:color w:val="auto"/>
                <w:szCs w:val="21"/>
                <w:highlight w:val="none"/>
              </w:rPr>
              <w:t xml:space="preserve">支持选择需要分析的因变量</w:t>
            </w:r>
            <w:r>
              <w:rPr>
                <w:rFonts w:hint="eastAsia" w:ascii="宋体" w:hAnsi="宋体"/>
                <w:color w:val="auto"/>
                <w:szCs w:val="21"/>
                <w:highlight w:val="none"/>
                <w:lang w:eastAsia="zh-Hans"/>
              </w:rPr>
              <w:t xml:space="preserve">、随访时间</w:t>
            </w:r>
            <w:r>
              <w:rPr>
                <w:rFonts w:ascii="宋体" w:hAnsi="宋体"/>
                <w:color w:val="auto"/>
                <w:szCs w:val="21"/>
                <w:highlight w:val="none"/>
              </w:rPr>
              <w:t xml:space="preserve">和纳入模型的特征</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支持按照图像处理方式和组学特征类别选择纳入模型的组学特征</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支持临床和组学特征的数据质量评估，包括数据类型的选择以及缺失值处理等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自动识别上传数据的数据类型，包括有序分类型变量、无序分类型变量、数值型变量、日期型变量、文本型变量等，支持手动修改变量类型</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自动计算临床特征的缺失数量和占比，为具有缺失数据的特征提供相应的数据处理方案，例如：删除缺失数据所在行、平均值插补、中位数插补等方法</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提供训练集和测试集的随机划分，针对训练集和测试集划分的结果展示生存曲线图</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针对影像组学特征提供特征预筛以及应用模型筛选等特征筛选的方案</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针对临床特征提供生存分析单因素筛选的方案，提供特征筛选方案组合使用</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支持组学特征和临床特征的分类筛选，针对组学和临床特征，平台将智能采用不同的特征筛选方案</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针对组学和临床特征，平台将提供多种特征标准化的方案，特征筛选的结果以多种图表方式进行展示</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支持基于生存分析模型计算影像组学，例如：Radscore值、森林图等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支持使用阈值效应分析自动筛选模型的最佳截断值，例如：Radscore值、森林图等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支持使用模型的最佳截断值将患者区分为高风险组和低风险组，并分组绘制相关图表，例如Radscore值、森林图等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支持用户使用不同的检验方法进行临床特征的特征筛选，例如：Kaplan Meier、Log rank等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支持用户将数值型特征转换为分类型特征并进行后续的建模分析</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支持生存分析模型效果可视化图，例如：KM、Log rank等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提供常用生存分析模型，</w:t>
            </w:r>
            <w:r>
              <w:rPr>
                <w:rFonts w:hint="eastAsia" w:ascii="宋体" w:hAnsi="宋体" w:cs="宋体"/>
                <w:color w:val="auto"/>
                <w:szCs w:val="21"/>
                <w:highlight w:val="none"/>
                <w:lang w:bidi="ar"/>
              </w:rPr>
              <w:t xml:space="preserve">例如：多因素cox回归等</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提供生存分析图、诺莫图、决策曲线等论文常用图表</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提供组学模型、临床模型、组学临床联合模型等多种模型的对比</w:t>
            </w:r>
            <w:r/>
          </w:p>
          <w:p>
            <w:pPr>
              <w:numPr>
                <w:ilvl w:val="0"/>
                <w:numId w:val="25"/>
              </w:numPr>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提供建模结果的下载</w:t>
            </w:r>
            <w:r/>
          </w:p>
        </w:tc>
      </w:tr>
      <w:tr>
        <w:trPr>
          <w:trHeight w:val="288"/>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4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辅助工具</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6"/>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支持用户下载标准Dicom可视化工具下载，如ITK-SNAP等</w:t>
            </w:r>
            <w:r/>
          </w:p>
          <w:p>
            <w:pPr>
              <w:numPr>
                <w:ilvl w:val="0"/>
                <w:numId w:val="26"/>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支持用户进行两个模型优劣对比分析，例如提供针对两个ROC曲线进行对比的Delong Test</w:t>
            </w:r>
            <w:r/>
          </w:p>
          <w:p>
            <w:pPr>
              <w:numPr>
                <w:ilvl w:val="0"/>
                <w:numId w:val="26"/>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提供外部数据导入平台进行分析</w:t>
            </w:r>
            <w:r/>
          </w:p>
        </w:tc>
      </w:tr>
      <w:tr>
        <w:trPr>
          <w:trHeight w:val="864"/>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账户管理</w:t>
            </w:r>
            <w:r/>
          </w:p>
        </w:tc>
        <w:tc>
          <w:tcPr>
            <w:tcBorders>
              <w:top w:val="single" w:color="auto" w:sz="4" w:space="0"/>
              <w:left w:val="single" w:color="auto" w:sz="4" w:space="0"/>
              <w:bottom w:val="single" w:color="auto" w:sz="4" w:space="0"/>
              <w:right w:val="single" w:color="auto" w:sz="4" w:space="0"/>
            </w:tcBorders>
            <w:tcW w:w="3815" w:type="pct"/>
            <w:vAlign w:val="center"/>
            <w:textDirection w:val="lrTb"/>
            <w:noWrap w:val="false"/>
          </w:tcPr>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骨健康科研云服务包括超级管理员、数据库管理员、研究员角色</w:t>
            </w:r>
            <w:r/>
          </w:p>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骨健康科研云服务数据库管理员可以分配该数据库相关的研究员角色</w:t>
            </w:r>
            <w:r/>
          </w:p>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骨健康科研云服务超级管理员可以创建医疗机构并进行管理</w:t>
            </w:r>
            <w:r/>
          </w:p>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骨健康科研云服务超级管理员可以删除已创建的医疗机构</w:t>
            </w:r>
            <w:r/>
          </w:p>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骨健康科研云服务超级管理员可分配用户名和密码</w:t>
            </w:r>
            <w:r/>
          </w:p>
          <w:p>
            <w:pPr>
              <w:numPr>
                <w:ilvl w:val="0"/>
                <w:numId w:val="27"/>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用户可修改密码</w:t>
            </w:r>
            <w:r/>
          </w:p>
        </w:tc>
      </w:tr>
    </w:tbl>
    <w:p>
      <w:pPr>
        <w:numPr>
          <w:ilvl w:val="255"/>
          <w:numId w:val="0"/>
        </w:numPr>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255"/>
          <w:numId w:val="0"/>
        </w:numP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投标人提供的</w:t>
      </w:r>
      <w:r>
        <w:rPr>
          <w:rFonts w:hint="eastAsia" w:ascii="宋体" w:hAnsi="宋体" w:cs="宋体"/>
          <w:b/>
          <w:bCs/>
          <w:color w:val="auto"/>
          <w:szCs w:val="21"/>
          <w:highlight w:val="none"/>
        </w:rPr>
        <w:t xml:space="preserve">算力、存储、网络</w:t>
      </w:r>
      <w:r>
        <w:rPr>
          <w:rFonts w:hint="eastAsia" w:ascii="宋体" w:hAnsi="宋体" w:cs="宋体"/>
          <w:b/>
          <w:bCs/>
          <w:color w:val="auto"/>
          <w:szCs w:val="21"/>
          <w:highlight w:val="none"/>
          <w:lang w:val="en-US" w:eastAsia="zh-CN"/>
        </w:rPr>
        <w:t xml:space="preserve">服务技术要求</w:t>
      </w:r>
      <w:r/>
    </w:p>
    <w:tbl>
      <w:tblPr>
        <w:tblStyle w:val="8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7645"/>
      </w:tblGrid>
      <w:tr>
        <w:trPr>
          <w:trHeight w:val="641"/>
        </w:trPr>
        <w:tc>
          <w:tcPr>
            <w:tcW w:w="513" w:type="pct"/>
            <w:vAlign w:val="center"/>
            <w:textDirection w:val="lrTb"/>
            <w:noWrap w:val="false"/>
          </w:tcPr>
          <w:p>
            <w:pPr>
              <w:ind w:firstLine="211"/>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名称</w:t>
            </w:r>
            <w:r/>
          </w:p>
        </w:tc>
        <w:tc>
          <w:tcPr>
            <w:tcW w:w="4486" w:type="pct"/>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技术要求</w:t>
            </w:r>
            <w:r/>
          </w:p>
        </w:tc>
      </w:tr>
      <w:tr>
        <w:trPr/>
        <w:tc>
          <w:tcPr>
            <w:tcW w:w="51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算力服务</w:t>
            </w:r>
            <w:r/>
          </w:p>
        </w:tc>
        <w:tc>
          <w:tcPr>
            <w:tcW w:w="4486" w:type="pct"/>
            <w:textDirection w:val="lrTb"/>
            <w:noWrap w:val="false"/>
          </w:tcPr>
          <w:p>
            <w:pPr>
              <w:numPr>
                <w:ilvl w:val="255"/>
                <w:numId w:val="0"/>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算力节点需配套适配信创技术路线，</w:t>
            </w:r>
            <w:r>
              <w:rPr>
                <w:rFonts w:hint="eastAsia" w:ascii="宋体" w:hAnsi="宋体" w:cs="宋体"/>
                <w:b w:val="0"/>
                <w:bCs w:val="0"/>
                <w:color w:val="auto"/>
                <w:sz w:val="21"/>
                <w:szCs w:val="21"/>
                <w:highlight w:val="none"/>
                <w:lang w:val="en-US" w:eastAsia="zh-CN"/>
              </w:rPr>
              <w:t xml:space="preserve">满足项目需求。配置可参考如下</w:t>
            </w:r>
            <w:r>
              <w:rPr>
                <w:rFonts w:hint="eastAsia" w:ascii="宋体" w:hAnsi="宋体" w:eastAsia="宋体" w:cs="宋体"/>
                <w:b w:val="0"/>
                <w:bCs w:val="0"/>
                <w:color w:val="auto"/>
                <w:sz w:val="21"/>
                <w:szCs w:val="21"/>
                <w:highlight w:val="none"/>
              </w:rPr>
              <w:t xml:space="preserve">：处理器≥4颗，单颗≥48核、主频≥2.6GHz；GPU</w:t>
            </w:r>
            <w:r>
              <w:rPr>
                <w:rFonts w:hint="eastAsia" w:ascii="宋体" w:hAnsi="宋体" w:cs="宋体"/>
                <w:b w:val="0"/>
                <w:bCs w:val="0"/>
                <w:color w:val="auto"/>
                <w:sz w:val="21"/>
                <w:szCs w:val="21"/>
                <w:highlight w:val="none"/>
                <w:lang w:val="en-US" w:eastAsia="zh-CN"/>
              </w:rPr>
              <w:t xml:space="preserve">数量</w:t>
            </w:r>
            <w:r>
              <w:rPr>
                <w:rFonts w:hint="eastAsia" w:ascii="宋体" w:hAnsi="宋体" w:eastAsia="宋体" w:cs="宋体"/>
                <w:b w:val="0"/>
                <w:bCs w:val="0"/>
                <w:color w:val="auto"/>
                <w:sz w:val="21"/>
                <w:szCs w:val="21"/>
                <w:highlight w:val="none"/>
              </w:rPr>
              <w:t xml:space="preserve">≥8块，单卡显存≥64GB；内存</w:t>
            </w:r>
            <w:r>
              <w:rPr>
                <w:rFonts w:hint="eastAsia" w:ascii="宋体" w:hAnsi="宋体" w:cs="宋体"/>
                <w:b w:val="0"/>
                <w:bCs w:val="0"/>
                <w:color w:val="auto"/>
                <w:sz w:val="21"/>
                <w:szCs w:val="21"/>
                <w:highlight w:val="none"/>
                <w:lang w:val="en-US" w:eastAsia="zh-CN"/>
              </w:rPr>
              <w:t xml:space="preserve">数量</w:t>
            </w:r>
            <w:r>
              <w:rPr>
                <w:rFonts w:hint="eastAsia" w:ascii="宋体" w:hAnsi="宋体" w:eastAsia="宋体" w:cs="宋体"/>
                <w:b w:val="0"/>
                <w:bCs w:val="0"/>
                <w:color w:val="auto"/>
                <w:sz w:val="21"/>
                <w:szCs w:val="21"/>
                <w:highlight w:val="none"/>
              </w:rPr>
              <w:t xml:space="preserve">≥32条，</w:t>
            </w:r>
            <w:r>
              <w:rPr>
                <w:rFonts w:hint="eastAsia" w:ascii="宋体" w:hAnsi="宋体" w:cs="宋体"/>
                <w:b w:val="0"/>
                <w:bCs w:val="0"/>
                <w:color w:val="auto"/>
                <w:sz w:val="21"/>
                <w:szCs w:val="21"/>
                <w:highlight w:val="none"/>
                <w:lang w:val="en-US" w:eastAsia="zh-CN"/>
              </w:rPr>
              <w:t xml:space="preserve">工作频率</w:t>
            </w:r>
            <w:r>
              <w:rPr>
                <w:rFonts w:hint="eastAsia" w:ascii="宋体" w:hAnsi="宋体" w:eastAsia="宋体" w:cs="宋体"/>
                <w:b w:val="0"/>
                <w:bCs w:val="0"/>
                <w:color w:val="auto"/>
                <w:sz w:val="21"/>
                <w:szCs w:val="21"/>
                <w:highlight w:val="none"/>
              </w:rPr>
              <w:t xml:space="preserve">≥3200</w:t>
            </w:r>
            <w:r>
              <w:rPr>
                <w:rFonts w:hint="eastAsia" w:ascii="宋体" w:hAnsi="宋体" w:cs="宋体"/>
                <w:b w:val="0"/>
                <w:bCs w:val="0"/>
                <w:color w:val="auto"/>
                <w:sz w:val="21"/>
                <w:szCs w:val="21"/>
                <w:highlight w:val="none"/>
                <w:lang w:val="en-US" w:eastAsia="zh-CN"/>
              </w:rPr>
              <w:t xml:space="preserve">MHz</w:t>
            </w:r>
            <w:r>
              <w:rPr>
                <w:rFonts w:hint="eastAsia" w:ascii="宋体" w:hAnsi="宋体" w:eastAsia="宋体" w:cs="宋体"/>
                <w:b w:val="0"/>
                <w:bCs w:val="0"/>
                <w:color w:val="auto"/>
                <w:sz w:val="21"/>
                <w:szCs w:val="21"/>
                <w:highlight w:val="none"/>
              </w:rPr>
              <w:t xml:space="preserve">，单条≥32GB</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固态硬盘</w:t>
            </w:r>
            <w:r>
              <w:rPr>
                <w:rFonts w:hint="eastAsia" w:ascii="宋体" w:hAnsi="宋体" w:eastAsia="宋体" w:cs="宋体"/>
                <w:b w:val="0"/>
                <w:bCs w:val="0"/>
                <w:color w:val="auto"/>
                <w:sz w:val="21"/>
                <w:szCs w:val="21"/>
                <w:highlight w:val="none"/>
                <w:lang w:val="en-US" w:eastAsia="zh-CN"/>
              </w:rPr>
              <w:t xml:space="preserve">1数量</w:t>
            </w:r>
            <w:r>
              <w:rPr>
                <w:rFonts w:hint="eastAsia" w:ascii="宋体" w:hAnsi="宋体" w:eastAsia="宋体" w:cs="宋体"/>
                <w:b w:val="0"/>
                <w:bCs w:val="0"/>
                <w:color w:val="auto"/>
                <w:sz w:val="21"/>
                <w:szCs w:val="21"/>
                <w:highlight w:val="none"/>
              </w:rPr>
              <w:t xml:space="preserve">≥2块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单块</w:t>
            </w:r>
            <w:r>
              <w:rPr>
                <w:rFonts w:hint="eastAsia" w:ascii="宋体" w:hAnsi="宋体" w:eastAsia="宋体" w:cs="宋体"/>
                <w:b w:val="0"/>
                <w:bCs w:val="0"/>
                <w:color w:val="auto"/>
                <w:sz w:val="21"/>
                <w:szCs w:val="21"/>
                <w:highlight w:val="none"/>
              </w:rPr>
              <w:t xml:space="preserve">≥480GB</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固态硬盘</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数量</w:t>
            </w:r>
            <w:r>
              <w:rPr>
                <w:rFonts w:hint="eastAsia" w:ascii="宋体" w:hAnsi="宋体" w:eastAsia="宋体" w:cs="宋体"/>
                <w:b w:val="0"/>
                <w:bCs w:val="0"/>
                <w:color w:val="auto"/>
                <w:sz w:val="21"/>
                <w:szCs w:val="21"/>
                <w:highlight w:val="none"/>
              </w:rPr>
              <w:t xml:space="preserve">≥6块</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单块</w:t>
            </w:r>
            <w:r>
              <w:rPr>
                <w:rFonts w:hint="eastAsia" w:ascii="宋体" w:hAnsi="宋体" w:eastAsia="宋体" w:cs="宋体"/>
                <w:b w:val="0"/>
                <w:bCs w:val="0"/>
                <w:color w:val="auto"/>
                <w:sz w:val="21"/>
                <w:szCs w:val="21"/>
                <w:highlight w:val="none"/>
              </w:rPr>
              <w:t xml:space="preserve">≥3840GB，同时支持主流 AI 框架与医疗行业模型的兼容部署。整体算力需覆盖医疗大模型推理及医疗数据处理、科研人工智能应用的全场景算力需求，支持按甲方需求弹性扩容与缩容。</w:t>
            </w:r>
            <w:r/>
          </w:p>
        </w:tc>
      </w:tr>
      <w:tr>
        <w:trPr/>
        <w:tc>
          <w:tcPr>
            <w:tcW w:w="51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存储服务</w:t>
            </w:r>
            <w:r/>
          </w:p>
        </w:tc>
        <w:tc>
          <w:tcPr>
            <w:tcW w:w="4486" w:type="pct"/>
            <w:textDirection w:val="lrTb"/>
            <w:noWrap w:val="false"/>
          </w:tcPr>
          <w:p>
            <w:pPr>
              <w:numPr>
                <w:ilvl w:val="255"/>
                <w:numId w:val="0"/>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本项目需提供实际可用空间不少于160TB，满足30万骨健康患者的文本、影像类数据存储服务。存储服务需运行于安全加密环境，提供满足业务需求的高可靠、高安全数据存储能力。</w:t>
            </w:r>
            <w:r/>
          </w:p>
        </w:tc>
      </w:tr>
      <w:tr>
        <w:trPr/>
        <w:tc>
          <w:tcPr>
            <w:tcW w:w="51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安全数据存储能力</w:t>
            </w:r>
            <w:r/>
          </w:p>
        </w:tc>
        <w:tc>
          <w:tcPr>
            <w:tcW w:w="4486" w:type="pct"/>
            <w:textDirection w:val="lrTb"/>
            <w:noWrap w:val="false"/>
          </w:tcPr>
          <w:p>
            <w:pPr>
              <w:numPr>
                <w:ilvl w:val="255"/>
                <w:numId w:val="0"/>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支持数据传输加密、存储加密管理，实现数据全生命周期安全防护；存储容量支持弹性扩展，并保障数据不丢失、不篡改。确保存储服务在加密隔离环境中安全、稳定、高效运行。</w:t>
            </w:r>
            <w:r/>
          </w:p>
        </w:tc>
      </w:tr>
      <w:tr>
        <w:trPr/>
        <w:tc>
          <w:tcPr>
            <w:tcW w:w="51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网络服务</w:t>
            </w:r>
            <w:r/>
          </w:p>
        </w:tc>
        <w:tc>
          <w:tcPr>
            <w:tcW w:w="4486" w:type="pct"/>
            <w:textDirection w:val="lrTb"/>
            <w:noWrap w:val="false"/>
          </w:tcPr>
          <w:p>
            <w:pPr>
              <w:numPr>
                <w:ilvl w:val="255"/>
                <w:numId w:val="0"/>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网络安全及传输服务须在加密专线环境下，严格遵循网络安全等级保护、保障数据传输全流程安全、网络运行稳定可控。数据传输需采用符合国家密码管理规范的加密算法，实现端到端加密，有效防范数据截获、篡改、泄露等安全风险；搭建安全隔离的网络架构，部署防火墙、入侵检测等防护措施，抵御非法访问、网络攻击等威胁。</w:t>
            </w:r>
            <w:r/>
          </w:p>
        </w:tc>
      </w:tr>
    </w:tbl>
    <w:p>
      <w:pPr>
        <w:numPr>
          <w:ilvl w:val="255"/>
          <w:numId w:val="0"/>
        </w:num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60" w:lineRule="auto"/>
        <w:rPr>
          <w:rFonts w:hint="eastAsia" w:ascii="宋体" w:hAnsi="宋体" w:cs="宋体"/>
          <w:b/>
          <w:bCs/>
          <w:color w:val="auto"/>
          <w:sz w:val="24"/>
          <w:szCs w:val="24"/>
          <w:highlight w:val="none"/>
        </w:rPr>
      </w:pPr>
      <w:r>
        <w:rPr>
          <w:rFonts w:hint="eastAsia" w:ascii="宋体" w:hAnsi="宋体" w:cs="宋体"/>
          <w:bCs/>
          <w:color w:val="auto"/>
          <w:szCs w:val="21"/>
          <w:highlight w:val="none"/>
          <w:lang w:val="en-US" w:eastAsia="zh-CN"/>
        </w:rPr>
        <w:t xml:space="preserve">说明：投标人为本项目骨健康科研云服务及本项目所需的算力、存储、网络服务提供不少于3年的服务。服务期内若因上述原因引发系统运行故障或其他问题，投标人须自行解决并承担全部相关费用，不得要求医院追加资源配置或额外承担任何费用。该部分服务期满后，后续服务费用由双方另行协商确定，</w:t>
      </w:r>
      <w:r>
        <w:rPr>
          <w:rFonts w:hint="eastAsia" w:ascii="宋体" w:hAnsi="宋体" w:eastAsia="宋体" w:cs="宋体"/>
          <w:b w:val="0"/>
          <w:bCs w:val="0"/>
          <w:color w:val="auto"/>
          <w:sz w:val="21"/>
          <w:szCs w:val="21"/>
          <w:highlight w:val="none"/>
        </w:rPr>
        <w:t xml:space="preserve">如服务终止需保障数据完整安全迁回</w:t>
      </w:r>
      <w:r>
        <w:rPr>
          <w:rFonts w:hint="eastAsia" w:ascii="宋体" w:hAnsi="宋体" w:cs="宋体"/>
          <w:b w:val="0"/>
          <w:bCs w:val="0"/>
          <w:color w:val="auto"/>
          <w:sz w:val="21"/>
          <w:szCs w:val="21"/>
          <w:highlight w:val="none"/>
          <w:lang w:val="en-US" w:eastAsia="zh-CN"/>
        </w:rPr>
        <w:t xml:space="preserve">采购人方</w:t>
      </w:r>
      <w:r>
        <w:rPr>
          <w:rFonts w:hint="eastAsia" w:ascii="宋体" w:hAnsi="宋体" w:eastAsia="宋体" w:cs="宋体"/>
          <w:b w:val="0"/>
          <w:bCs w:val="0"/>
          <w:color w:val="auto"/>
          <w:sz w:val="21"/>
          <w:szCs w:val="21"/>
          <w:highlight w:val="none"/>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五、项目实施要求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结合医院实际情况，制定详细的系统实施方案，包括但不限于客户化修改、测试、试运行。承诺保证在合同规定时间内上线及上线系统的基本平稳。</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1、项目团队要求：</w:t>
      </w:r>
      <w:r>
        <w:rPr>
          <w:rFonts w:hint="eastAsia" w:ascii="宋体" w:hAnsi="宋体" w:cs="宋体"/>
          <w:color w:val="auto"/>
          <w:szCs w:val="21"/>
          <w:highlight w:val="none"/>
        </w:rPr>
        <w:t xml:space="preserve">投标人应当投入充足的技术力量，项目实施团队成员人数满足项目实施需求，项目实施期间应委派一名具有类似项目经验的负责人在现场进行项目管理与推进，保障项目顺利实施。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2.实施地点：甲方指定地点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3.实施管理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投标人需制定详细的实施方案，内容包括不限于项目组织保障、项目实施计划、项目实施关键要素分析、团队人员的配备等。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4.安装方案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投标人需制定详细的系统安装方案，内容包括不限于系统对接、设备连接方案、采集服务的搭建等。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5.验收方案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投标人需制定详细的系统调试和验收方案，内容包括不限于调试内容、方法、验收标准等。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6.安全要求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投标人在中标后需在项目建设过程中参照三同步原则，同步规划、同步建设、同步使用。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六、商务要求</w:t>
      </w:r>
      <w:r/>
    </w:p>
    <w:p>
      <w:pPr>
        <w:numPr>
          <w:ilvl w:val="0"/>
          <w:numId w:val="28"/>
        </w:numPr>
        <w:ind w:left="-2"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合同履行期限（交付期）</w:t>
      </w:r>
      <w:r/>
    </w:p>
    <w:p>
      <w:pPr>
        <w:ind w:firstLine="422"/>
        <w:spacing w:line="360" w:lineRule="auto"/>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合同签订之日起60天内（除不可抗力、非乙方原因）完成实施安装、调试、试运行、验收等工作并交付甲方使用。投标人须在合同服务期内，完成本项目实施的全部内容。（提供承诺书，上传系统，承诺书格式自拟）</w:t>
      </w:r>
      <w:r/>
    </w:p>
    <w:p>
      <w:pPr>
        <w:numPr>
          <w:ilvl w:val="0"/>
          <w:numId w:val="28"/>
        </w:numPr>
        <w:ind w:left="-2"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质保期</w:t>
      </w:r>
      <w:r/>
    </w:p>
    <w:p>
      <w:pPr>
        <w:ind w:firstLine="422"/>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(1)软</w:t>
      </w:r>
      <w:r>
        <w:rPr>
          <w:rFonts w:hint="eastAsia" w:ascii="宋体" w:hAnsi="宋体" w:cs="宋体"/>
          <w:b/>
          <w:bCs/>
          <w:i/>
          <w:iCs/>
          <w:color w:val="auto"/>
          <w:szCs w:val="21"/>
          <w:highlight w:val="none"/>
          <w:u w:val="single"/>
        </w:rPr>
        <w:t xml:space="preserve">件需提供自验收合格之日起为期3年的免费质保与技术支持。软件采购人永久使用。（提供承诺书，上传系统，承诺书格式自拟）</w:t>
      </w:r>
      <w:r>
        <w:rPr>
          <w:rFonts w:hint="eastAsia" w:ascii="宋体" w:hAnsi="宋体" w:cs="宋体"/>
          <w:color w:val="auto"/>
          <w:szCs w:val="21"/>
          <w:highlight w:val="none"/>
        </w:rPr>
        <w:t xml:space="preserve">免费维护期内，负责软件的免费升级、维护和技术支持，需对院方提出的问题建立维护记录，并交付院方留存。工作说明书对免费维护期有特殊约定的，按工作说明书执行。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(2)免费维护期内，按照合同维保要求进行系统巡检。免费维护期满后，双方另外签署收费维护期合同。</w:t>
      </w:r>
      <w:r/>
    </w:p>
    <w:p>
      <w:pPr>
        <w:numPr>
          <w:ilvl w:val="0"/>
          <w:numId w:val="28"/>
        </w:numPr>
        <w:ind w:left="-2"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项目验收要求</w:t>
      </w:r>
      <w:r/>
    </w:p>
    <w:p>
      <w:pPr>
        <w:numPr>
          <w:ilvl w:val="0"/>
          <w:numId w:val="29"/>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投标人需在投标文件中承诺，如果本项目未完成验收前，由于相关政策调整导致业务需求或技术标准发生变化，应按照最新政策完成本项目建设。（提供承诺书，上传系统，承诺书格式自拟）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项目上线平稳试运行1个月后，向采购人提交验收申请，并提供以下验收材料，包括但不限于：总体设计报告、需求分析说明书、详细设计说明书、数据字典、操作使用说明书、系统运行维护手册、接口文档等。</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采购人同意验收后，投标人需按照采购人指定的验收时间、方式、程序等要求，配合完成验收工作。</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采购人出具的验收报告未明确认定验收合格的，不视为验收合格。采购人要求整改的地方，投标人应在采购人要求的期限内完成整改。</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6</w:t>
      </w:r>
      <w:r>
        <w:rPr>
          <w:rFonts w:ascii="宋体" w:hAnsi="宋体" w:cs="宋体"/>
          <w:color w:val="auto"/>
          <w:szCs w:val="21"/>
          <w:highlight w:val="none"/>
        </w:rPr>
        <w:t xml:space="preserve">)</w:t>
      </w:r>
      <w:r>
        <w:rPr>
          <w:rFonts w:hint="eastAsia" w:ascii="宋体" w:hAnsi="宋体" w:cs="宋体"/>
          <w:color w:val="auto"/>
          <w:szCs w:val="21"/>
          <w:highlight w:val="none"/>
        </w:rPr>
        <w:t xml:space="preserve">在项目实施过程中出现性能指标或功能上不符合招标文件、投标文件和合同要求时，由投标人负责解决，采购人有权拒绝验收并保留依法依规追究投标人责任的权利。</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4.售后服务要求</w:t>
      </w:r>
      <w:r/>
    </w:p>
    <w:p>
      <w:pPr>
        <w:numPr>
          <w:ilvl w:val="0"/>
          <w:numId w:val="30"/>
        </w:num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质保期内，本合同项目所有技术和服务发生任何非人为故障，由投标人负责系统恢复。故障报修响应时间要求投标人提供7×24小时电话支持、远程服务支持，简单故障2小时内解决，重大故障24小时内工程师到现场解决。故障问题解决后72小时内，向采购人提交问题处理报告，说明问题种类、问题原因、问题解决中使用的方法及造成的损失等情况。（提供承诺书，上传系统，承诺书格式自拟）</w:t>
      </w:r>
      <w:r/>
    </w:p>
    <w:p>
      <w:pPr>
        <w:numPr>
          <w:ilvl w:val="0"/>
          <w:numId w:val="3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质保期内，对采购人提出的合理服务要求，</w:t>
      </w: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必须即时进行电话、邮件及远程网络支持，并在2小时内到场服务。如不到场，采购人有权自行处理，相关费用由</w:t>
      </w: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负责。</w:t>
      </w:r>
      <w:r/>
    </w:p>
    <w:p>
      <w:pPr>
        <w:numPr>
          <w:ilvl w:val="0"/>
          <w:numId w:val="30"/>
        </w:num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需提供定期回访服务，对采购人提出的合理优化建议应提供免费升级服务。</w:t>
      </w:r>
      <w:r/>
    </w:p>
    <w:p>
      <w:pPr>
        <w:numPr>
          <w:ilvl w:val="0"/>
          <w:numId w:val="3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所有的服务方式均为</w:t>
      </w: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上门保修或者远程处理，即由</w:t>
      </w: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派专业工程师到系统使用现场进行故障恢复或者远程处理，由此产生的一切费用均由</w:t>
      </w: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承担。</w:t>
      </w:r>
      <w:r/>
    </w:p>
    <w:p>
      <w:pPr>
        <w:numPr>
          <w:ilvl w:val="0"/>
          <w:numId w:val="30"/>
        </w:numPr>
        <w:ind w:firstLine="420"/>
        <w:spacing w:line="360" w:lineRule="auto"/>
        <w:rPr>
          <w:rFonts w:hint="eastAsia" w:ascii="宋体" w:hAnsi="宋体" w:cs="宋体"/>
          <w:bCs/>
          <w:color w:val="auto"/>
          <w:szCs w:val="21"/>
          <w:highlight w:val="none"/>
        </w:rPr>
      </w:pPr>
      <w:r>
        <w:rPr>
          <w:rFonts w:ascii="宋体" w:hAnsi="宋体" w:cs="宋体"/>
          <w:color w:val="auto"/>
          <w:szCs w:val="21"/>
          <w:highlight w:val="none"/>
        </w:rPr>
        <w:t xml:space="preserve">在项目实施和免费质保期间，投标人可免费提供</w:t>
      </w:r>
      <w:r>
        <w:rPr>
          <w:rFonts w:hint="eastAsia" w:ascii="宋体" w:hAnsi="宋体" w:cs="宋体"/>
          <w:color w:val="auto"/>
          <w:szCs w:val="21"/>
          <w:highlight w:val="none"/>
          <w:lang w:val="en-US" w:eastAsia="zh-CN"/>
        </w:rPr>
        <w:t xml:space="preserve">不少于</w:t>
      </w:r>
      <w:r>
        <w:rPr>
          <w:rFonts w:ascii="宋体" w:hAnsi="宋体" w:cs="宋体"/>
          <w:color w:val="auto"/>
          <w:szCs w:val="21"/>
          <w:highlight w:val="none"/>
        </w:rPr>
        <w:t xml:space="preserve">2次科研基础服务，包括论文选题及实验设计咨询，为医生提供专业性的指导，帮助科室提升整体科研能力。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（5）免费维护期满后，维保费用不应超过中标金额的8%,双方另外签署收费维护期合同。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5.运维及应急响应服务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（2）应急响应时间：全年7×24小时。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6.培训服务</w:t>
      </w:r>
      <w:r/>
    </w:p>
    <w:p>
      <w:pPr>
        <w:numPr>
          <w:ilvl w:val="0"/>
          <w:numId w:val="31"/>
        </w:num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投标人</w:t>
      </w:r>
      <w:r>
        <w:rPr>
          <w:rFonts w:hint="eastAsia" w:ascii="宋体" w:hAnsi="宋体" w:cs="宋体"/>
          <w:bCs/>
          <w:color w:val="auto"/>
          <w:szCs w:val="21"/>
          <w:highlight w:val="none"/>
        </w:rPr>
        <w:t xml:space="preserve">需根据项目相关交付内容提供有针对性的培训方案，针对不同系统，保障每月不少于1次培训，包括但不限于培训计划、培训方式、培训对象、培训内容等内容。</w:t>
      </w:r>
      <w:r/>
    </w:p>
    <w:p>
      <w:pPr>
        <w:numPr>
          <w:ilvl w:val="0"/>
          <w:numId w:val="3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投标人需按照采购人要求提供免费的现场培训和线上培训，确保被培训人员全面了解和掌握本项目所涉及的基本原理、技术特性、操作使用、管理维护等内容。</w:t>
      </w:r>
      <w:r/>
    </w:p>
    <w:p>
      <w:pPr>
        <w:numPr>
          <w:ilvl w:val="0"/>
          <w:numId w:val="3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投标人为所有被培训人员提供培训使用的教材讲义、操作指南等相关材料。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7.报价说明</w:t>
      </w:r>
      <w:r/>
    </w:p>
    <w:p>
      <w:pPr>
        <w:numPr>
          <w:ilvl w:val="0"/>
          <w:numId w:val="3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投标报价应包含与本次采购项目有关的所有费用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3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本项目投标报价应按招标文件要求详细列明各项产品名称、规格型号、数量、单价、总价等内容，报价应清晰、完整、准确。</w:t>
      </w:r>
      <w:r/>
    </w:p>
    <w:p>
      <w:pPr>
        <w:numPr>
          <w:ilvl w:val="0"/>
          <w:numId w:val="3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投标人的任何错漏、优惠、竞争性报价不得作为减轻责任、减少服务、增加收费、降低服务质量的理由。</w:t>
      </w:r>
      <w:r/>
    </w:p>
    <w:p>
      <w:pPr>
        <w:numPr>
          <w:ilvl w:val="0"/>
          <w:numId w:val="3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投标人报价除包含招标文件中列明的项目外还应包括保障服务正常运行应当具有的物资和服务，对项目正常运行应当具有的物资和服务理解不一致的以采购人理解为准。</w:t>
      </w:r>
      <w:r/>
    </w:p>
    <w:p>
      <w:pPr>
        <w:numPr>
          <w:ilvl w:val="0"/>
          <w:numId w:val="3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软、硬件采购人可以永久使用，产品所有接口永久开放，费用包含在本次总报价中，采购人不再另行支付额外费用。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8.知识产权要求</w:t>
      </w:r>
      <w:r/>
    </w:p>
    <w:p>
      <w:pPr>
        <w:numPr>
          <w:ilvl w:val="0"/>
          <w:numId w:val="33"/>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numPr>
          <w:ilvl w:val="0"/>
          <w:numId w:val="33"/>
        </w:num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提供承诺书，上传系统，承诺书格式自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9.保密要求</w:t>
      </w:r>
      <w:r/>
    </w:p>
    <w:p>
      <w:pPr>
        <w:numPr>
          <w:ilvl w:val="0"/>
          <w:numId w:val="34"/>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投标人须对本项目技术文件、采购人提供的所有内部资料、技术文档、系统数据（包含原始数据和衍生数据）和信息予以保密。投标人须签订保密承诺书，并严格遵守。</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10.其他要求</w:t>
      </w:r>
      <w:r/>
    </w:p>
    <w:p>
      <w:pPr>
        <w:numPr>
          <w:ilvl w:val="0"/>
          <w:numId w:val="35"/>
        </w:numPr>
        <w:ind w:firstLine="420"/>
        <w:spacing w:line="360" w:lineRule="auto"/>
        <w:rPr>
          <w:rFonts w:hint="eastAsia" w:ascii="宋体" w:hAnsi="宋体" w:cs="宋体"/>
          <w:color w:val="auto"/>
          <w:szCs w:val="21"/>
          <w:highlight w:val="none"/>
        </w:rPr>
      </w:pPr>
      <w:r/>
      <w:bookmarkStart w:id="75" w:name="_Toc29995"/>
      <w:r>
        <w:rPr>
          <w:rFonts w:hint="eastAsia" w:ascii="宋体" w:hAnsi="宋体" w:cs="宋体"/>
          <w:color w:val="auto"/>
          <w:szCs w:val="21"/>
          <w:highlight w:val="none"/>
        </w:rPr>
        <w:t xml:space="preserve">投标人应对照招标文件要求，书面说明已对采购人的需求做出了实质性的响应，或申明与需求的偏差和例外。</w:t>
      </w:r>
      <w:r/>
    </w:p>
    <w:p>
      <w:pPr>
        <w:numPr>
          <w:ilvl w:val="0"/>
          <w:numId w:val="35"/>
        </w:num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858"/>
        <w:numPr>
          <w:ilvl w:val="0"/>
          <w:numId w:val="35"/>
        </w:numPr>
        <w:ind w:firstLine="420"/>
        <w:jc w:val="left"/>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如果发生因投标人安全措施不力造成的事故责任、或者其他工作失误，由此所产生的一切责任由投标人承担。</w:t>
      </w:r>
      <w:r/>
    </w:p>
    <w:p>
      <w:pPr>
        <w:numPr>
          <w:ilvl w:val="0"/>
          <w:numId w:val="3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如因投标人投入人员过少原因，造成无法在承诺工期内完成服务，由此产生的一切责任由投标人承担。</w:t>
      </w:r>
      <w:r/>
    </w:p>
    <w:p>
      <w:pPr>
        <w:numPr>
          <w:ilvl w:val="0"/>
          <w:numId w:val="35"/>
        </w:numPr>
        <w:ind w:firstLine="420"/>
        <w:spacing w:line="360" w:lineRule="auto"/>
        <w:rPr>
          <w:rFonts w:hint="eastAsia" w:ascii="宋体" w:hAnsi="宋体" w:cs="宋体"/>
          <w:b/>
          <w:bCs/>
          <w:color w:val="auto"/>
          <w:szCs w:val="21"/>
          <w:highlight w:val="none"/>
          <w:u w:val="single"/>
        </w:rPr>
      </w:pPr>
      <w:r>
        <w:rPr>
          <w:rFonts w:hint="eastAsia" w:ascii="宋体" w:hAnsi="宋体" w:cs="宋体"/>
          <w:bCs/>
          <w:color w:val="auto"/>
          <w:szCs w:val="21"/>
          <w:highlight w:val="none"/>
        </w:rPr>
        <w:t xml:space="preserve">其他未尽事宜按投标人所提供的相应承诺执行。</w:t>
      </w:r>
      <w:r/>
    </w:p>
    <w:p>
      <w:pPr>
        <w:numPr>
          <w:ilvl w:val="0"/>
          <w:numId w:val="35"/>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七、节能产品要求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ww.ccgp.gov.cn/zcfg/mof/201904/t20190403_11849836.htm）查询,并在投标文件内提供由国家确定的认证机构出具的、处于有效期之内的节能产品认证证书原件，扫描上传，否则视为无效投标。（本项目涉及强制采购范围内产品有：无）</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4"/>
        <w:rPr>
          <w:color w:val="auto"/>
          <w:highlight w:val="none"/>
        </w:rPr>
      </w:pPr>
      <w:r>
        <w:rPr>
          <w:rFonts w:hint="eastAsia"/>
          <w:color w:val="auto"/>
          <w:highlight w:val="none"/>
        </w:rPr>
        <w:t xml:space="preserve">第五章 评标方法及评标标准</w:t>
      </w:r>
      <w:bookmarkEnd w:id="62"/>
      <w:r/>
      <w:bookmarkEnd w:id="75"/>
      <w:r/>
      <w:r/>
    </w:p>
    <w:p>
      <w:pPr>
        <w:pStyle w:val="107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bookmarkStart w:id="76" w:name="_Toc449017024"/>
      <w:r/>
      <w:bookmarkStart w:id="77"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76"/>
      <w:r/>
      <w:bookmarkEnd w:id="77"/>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1"/>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54"/>
        <w:tblpPr w:horzAnchor="page" w:tblpX="1658" w:vertAnchor="text" w:tblpY="42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6513"/>
        <w:gridCol w:w="842"/>
      </w:tblGrid>
      <w:tr>
        <w:trPr>
          <w:trHeight w:val="502"/>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b/>
                <w:bCs/>
                <w:color w:val="auto"/>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b/>
                <w:bCs/>
                <w:color w:val="auto"/>
                <w:highlight w:val="none"/>
              </w:rPr>
            </w:pPr>
            <w:r>
              <w:rPr>
                <w:rFonts w:hint="eastAsia"/>
                <w:b/>
                <w:bCs/>
                <w:color w:val="auto"/>
                <w:highlight w:val="none"/>
              </w:rPr>
              <w:t xml:space="preserve">分值</w:t>
            </w:r>
            <w:r/>
          </w:p>
        </w:tc>
      </w:tr>
      <w:tr>
        <w:trPr>
          <w:trHeight w:val="985"/>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采用低价优先法计算，即满足招标文件要求且投标价格最低的投标报价为评标基准价，其价格分为满分。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其他投标人的价格分统一按照下列公式计算：</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投标报价得分=(评标基准价／投标报价)×30×100%，结果保留两位有效小数。</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30分</w:t>
            </w:r>
            <w:r/>
          </w:p>
        </w:tc>
      </w:tr>
      <w:tr>
        <w:trPr>
          <w:trHeight w:val="1760"/>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技术参数</w:t>
            </w:r>
            <w:r/>
          </w:p>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投标人所投产品全部满足或优于第四章项目需求</w:t>
            </w:r>
            <w:r>
              <w:rPr>
                <w:rFonts w:hint="eastAsia" w:asciiTheme="minorEastAsia" w:hAnsiTheme="minorEastAsia" w:eastAsiaTheme="minorEastAsia" w:cstheme="minorEastAsia"/>
                <w:color w:val="auto"/>
                <w:szCs w:val="21"/>
                <w:highlight w:val="none"/>
                <w:lang w:val="en-US" w:eastAsia="zh-CN"/>
              </w:rPr>
              <w:t xml:space="preserve">中</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四、</w:t>
            </w:r>
            <w:r>
              <w:rPr>
                <w:rFonts w:hint="eastAsia" w:asciiTheme="minorEastAsia" w:hAnsiTheme="minorEastAsia" w:eastAsiaTheme="minorEastAsia" w:cstheme="minorEastAsia"/>
                <w:color w:val="auto"/>
                <w:szCs w:val="21"/>
                <w:highlight w:val="none"/>
              </w:rPr>
              <w:t xml:space="preserve">技术要求】的，得</w:t>
            </w:r>
            <w:r>
              <w:rPr>
                <w:rFonts w:hint="eastAsia" w:asciiTheme="minorEastAsia" w:hAnsiTheme="minorEastAsia" w:eastAsiaTheme="minorEastAsia" w:cstheme="minorEastAsia"/>
                <w:color w:val="auto"/>
                <w:szCs w:val="21"/>
                <w:highlight w:val="none"/>
                <w:lang w:val="en-US" w:eastAsia="zh-CN"/>
              </w:rPr>
              <w:t xml:space="preserve">36</w:t>
            </w:r>
            <w:r>
              <w:rPr>
                <w:rFonts w:hint="eastAsia" w:asciiTheme="minorEastAsia" w:hAnsiTheme="minorEastAsia" w:eastAsiaTheme="minorEastAsia" w:cstheme="minorEastAsia"/>
                <w:color w:val="auto"/>
                <w:szCs w:val="21"/>
                <w:highlight w:val="none"/>
              </w:rPr>
              <w:t xml:space="preserve">分。评委根据投标文件中《技术参数响应及偏离表》，结合投标文件提供的佐证材料等进行评审。</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标注“</w:t>
            </w:r>
            <w:r>
              <w:rPr>
                <w:rFonts w:hint="eastAsia" w:ascii="华文宋体" w:hAnsi="华文宋体"/>
                <w:b/>
                <w:bCs/>
                <w:color w:val="auto"/>
                <w:sz w:val="18"/>
                <w:szCs w:val="18"/>
                <w:highlight w:val="none"/>
              </w:rPr>
              <w:t xml:space="preserve">▲</w:t>
            </w:r>
            <w:r>
              <w:rPr>
                <w:rFonts w:hint="eastAsia" w:asciiTheme="minorEastAsia" w:hAnsiTheme="minorEastAsia" w:eastAsiaTheme="minorEastAsia" w:cstheme="minorEastAsia"/>
                <w:color w:val="auto"/>
                <w:szCs w:val="21"/>
                <w:highlight w:val="none"/>
              </w:rPr>
              <w:t xml:space="preserve">”的重要技术指标（共</w:t>
            </w:r>
            <w:r>
              <w:rPr>
                <w:rFonts w:hint="eastAsia" w:asciiTheme="minorEastAsia" w:hAnsiTheme="minorEastAsia" w:eastAsiaTheme="minorEastAsia" w:cstheme="minorEastAsia"/>
                <w:color w:val="auto"/>
                <w:szCs w:val="21"/>
                <w:highlight w:val="none"/>
                <w:lang w:val="en-US" w:eastAsia="zh-CN"/>
              </w:rPr>
              <w:t xml:space="preserve">13</w:t>
            </w:r>
            <w:r>
              <w:rPr>
                <w:rFonts w:hint="eastAsia" w:asciiTheme="minorEastAsia" w:hAnsiTheme="minorEastAsia" w:eastAsiaTheme="minorEastAsia" w:cstheme="minorEastAsia"/>
                <w:color w:val="auto"/>
                <w:szCs w:val="21"/>
                <w:highlight w:val="none"/>
              </w:rPr>
              <w:t xml:space="preserve">项），每负偏离一项、未提供或未按要求提供佐证材料的扣</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分，共</w:t>
            </w:r>
            <w:r>
              <w:rPr>
                <w:rFonts w:hint="eastAsia" w:asciiTheme="minorEastAsia" w:hAnsiTheme="minorEastAsia" w:eastAsiaTheme="minorEastAsia" w:cstheme="minorEastAsia"/>
                <w:color w:val="auto"/>
                <w:szCs w:val="21"/>
                <w:highlight w:val="none"/>
                <w:lang w:val="en-US" w:eastAsia="zh-CN"/>
              </w:rPr>
              <w:t xml:space="preserve">26</w:t>
            </w:r>
            <w:r>
              <w:rPr>
                <w:rFonts w:hint="eastAsia" w:asciiTheme="minorEastAsia" w:hAnsiTheme="minorEastAsia" w:eastAsiaTheme="minorEastAsia" w:cstheme="minorEastAsia"/>
                <w:color w:val="auto"/>
                <w:szCs w:val="21"/>
                <w:highlight w:val="none"/>
              </w:rPr>
              <w:t xml:space="preserve">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不标注“</w:t>
            </w:r>
            <w:r>
              <w:rPr>
                <w:rFonts w:hint="eastAsia" w:ascii="华文宋体" w:hAnsi="华文宋体"/>
                <w:b/>
                <w:bCs/>
                <w:color w:val="auto"/>
                <w:sz w:val="18"/>
                <w:szCs w:val="18"/>
                <w:highlight w:val="none"/>
              </w:rPr>
              <w:t xml:space="preserve">▲</w:t>
            </w:r>
            <w:r>
              <w:rPr>
                <w:rFonts w:hint="eastAsia" w:asciiTheme="minorEastAsia" w:hAnsiTheme="minorEastAsia" w:eastAsiaTheme="minorEastAsia" w:cstheme="minorEastAsia"/>
                <w:color w:val="auto"/>
                <w:szCs w:val="21"/>
                <w:highlight w:val="none"/>
              </w:rPr>
              <w:t xml:space="preserve">”的一般技术指标，总计负偏离项数：1~5项，扣1分，总计负偏离项数：6~10项，扣3分，总计负偏离项数：11~15项，扣5分，总计负偏离项数：16~20项，扣7分，总计负偏离项数：≥2</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项，扣</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分，共</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w:t>
            </w:r>
            <w:r/>
          </w:p>
          <w:p>
            <w:pPr>
              <w:pStyle w:val="895"/>
              <w:ind w:left="0"/>
              <w:jc w:val="lef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说明：</w:t>
            </w:r>
            <w:r/>
          </w:p>
          <w:p>
            <w:pPr>
              <w:pStyle w:val="895"/>
              <w:numPr>
                <w:ilvl w:val="0"/>
                <w:numId w:val="36"/>
              </w:num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仅对小标题下明确列出的此类功能项打分，大标题（如“数据采集范围”等）为概括性标题，仅为内容组织框架，不参与评分。</w:t>
            </w:r>
            <w:r/>
          </w:p>
          <w:p>
            <w:pPr>
              <w:pStyle w:val="895"/>
              <w:numPr>
                <w:ilvl w:val="0"/>
                <w:numId w:val="36"/>
              </w:num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技术要求中标注“▲”的重要参数，应按参数末括号内要求提供相应证明材料并在《技术参数响应及偏离表》中逐项说明偏离情况。提供的软件功能截图应涵盖该参数的所有功能点，未提供相应材料或提供的材料不符合招标文件要求将视为负偏离，不予计分。</w:t>
            </w:r>
            <w:r/>
          </w:p>
          <w:p>
            <w:pPr>
              <w:pStyle w:val="895"/>
              <w:numPr>
                <w:ilvl w:val="0"/>
                <w:numId w:val="36"/>
              </w:numPr>
              <w:jc w:val="left"/>
              <w:rPr>
                <w:rFonts w:hint="eastAsia" w:asciiTheme="minorEastAsia" w:hAnsiTheme="minorEastAsia" w:eastAsiaTheme="minorEastAsia" w:cstheme="minorEastAsia"/>
                <w:color w:val="auto"/>
                <w:szCs w:val="21"/>
                <w:highlight w:val="none"/>
              </w:rPr>
            </w:pPr>
            <w:r>
              <w:rPr>
                <w:rFonts w:hint="eastAsia" w:ascii="宋体" w:hAnsi="宋体" w:cs="宋体"/>
                <w:b/>
                <w:bCs/>
                <w:color w:val="auto"/>
                <w:szCs w:val="21"/>
                <w:highlight w:val="none"/>
              </w:rPr>
              <w:t xml:space="preserve">未标注“▲”的一般参数应在《技术参数响应及偏离表》中逐项说明偏离情况。</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pStyle w:val="895"/>
              <w:ind w:left="0"/>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rPr>
              <w:t xml:space="preserve">分</w:t>
            </w:r>
            <w:r/>
          </w:p>
        </w:tc>
      </w:tr>
      <w:tr>
        <w:trPr>
          <w:trHeight w:val="146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根据项目需求制定整体实施方案安装方案、验收方案，评委依据方案的专业性和完善度进行综合评分。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（1）方案科学、严密、合理，描述详细且具有针对性的得</w:t>
            </w: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（2）方案基本合理、描述一般、存在可操作性得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pStyle w:val="875"/>
              <w:jc w:val="both"/>
              <w:spacing w:beforeAutospacing="0" w:afterAutospacing="0"/>
              <w:rPr>
                <w:rFonts w:hint="eastAsia" w:ascii="等线" w:hAnsi="等线" w:eastAsia="等线"/>
                <w:color w:val="auto"/>
                <w:sz w:val="21"/>
                <w:szCs w:val="21"/>
                <w:highlight w:val="none"/>
              </w:rPr>
            </w:pPr>
            <w:r>
              <w:rPr>
                <w:rFonts w:hint="eastAsia" w:ascii="宋体" w:hAnsi="宋体" w:cs="宋体"/>
                <w:color w:val="auto"/>
                <w:sz w:val="21"/>
                <w:szCs w:val="21"/>
                <w:highlight w:val="none"/>
                <w:lang w:bidi="ar"/>
              </w:rPr>
              <w:t xml:space="preserve">（3）方案具有明显不合理项、描述欠缺、存在实施难度得</w:t>
            </w:r>
            <w:r>
              <w:rPr>
                <w:rFonts w:hint="eastAsia" w:ascii="宋体" w:hAnsi="宋体" w:cs="宋体"/>
                <w:color w:val="auto"/>
                <w:sz w:val="21"/>
                <w:szCs w:val="21"/>
                <w:highlight w:val="none"/>
                <w:lang w:val="en-US" w:eastAsia="zh-CN" w:bidi="ar"/>
              </w:rPr>
              <w:t xml:space="preserve">1</w:t>
            </w:r>
            <w:r>
              <w:rPr>
                <w:rFonts w:hint="eastAsia" w:ascii="宋体" w:hAnsi="宋体" w:cs="宋体"/>
                <w:color w:val="auto"/>
                <w:sz w:val="21"/>
                <w:szCs w:val="21"/>
                <w:highlight w:val="none"/>
                <w:lang w:bidi="ar"/>
              </w:rPr>
              <w:t xml:space="preserve">分；</w:t>
            </w:r>
            <w:r/>
          </w:p>
          <w:p>
            <w:pPr>
              <w:rPr>
                <w:rFonts w:hint="eastAsia"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p>
        </w:tc>
      </w:tr>
      <w:tr>
        <w:trPr>
          <w:trHeight w:val="146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根据本项目需求制定详细的售后服务计划、售后服务方案、应急技术处理等内容，评委依据方案的专业性和完善度进行综合评分。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（1）方案科学、严密、合理，描述详细且具有针对性的得</w:t>
            </w: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（2）方案基本合理、描述一般、存在可操作性得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pStyle w:val="875"/>
              <w:jc w:val="both"/>
              <w:spacing w:beforeAutospacing="0" w:afterAutospacing="0"/>
              <w:rPr>
                <w:rFonts w:hint="eastAsia" w:ascii="等线" w:hAnsi="等线" w:eastAsia="等线"/>
                <w:color w:val="auto"/>
                <w:sz w:val="21"/>
                <w:szCs w:val="21"/>
                <w:highlight w:val="none"/>
              </w:rPr>
            </w:pPr>
            <w:r>
              <w:rPr>
                <w:rFonts w:hint="eastAsia" w:ascii="宋体" w:hAnsi="宋体" w:cs="宋体"/>
                <w:color w:val="auto"/>
                <w:sz w:val="21"/>
                <w:szCs w:val="21"/>
                <w:highlight w:val="none"/>
                <w:lang w:bidi="ar"/>
              </w:rPr>
              <w:t xml:space="preserve">（3）方案具有明显不合理项、描述欠缺、存在实施难度得</w:t>
            </w:r>
            <w:r>
              <w:rPr>
                <w:rFonts w:hint="eastAsia" w:ascii="宋体" w:hAnsi="宋体" w:cs="宋体"/>
                <w:color w:val="auto"/>
                <w:sz w:val="21"/>
                <w:szCs w:val="21"/>
                <w:highlight w:val="none"/>
                <w:lang w:val="en-US" w:eastAsia="zh-CN" w:bidi="ar"/>
              </w:rPr>
              <w:t xml:space="preserve">1</w:t>
            </w:r>
            <w:r>
              <w:rPr>
                <w:rFonts w:hint="eastAsia" w:ascii="宋体" w:hAnsi="宋体" w:cs="宋体"/>
                <w:color w:val="auto"/>
                <w:sz w:val="21"/>
                <w:szCs w:val="21"/>
                <w:highlight w:val="none"/>
                <w:lang w:bidi="ar"/>
              </w:rPr>
              <w:t xml:space="preserve">分；</w:t>
            </w:r>
            <w:r/>
          </w:p>
          <w:p>
            <w:pPr>
              <w:pStyle w:val="859"/>
              <w:ind w:left="0"/>
              <w:spacing w:after="0"/>
              <w:rPr>
                <w:rFonts w:hint="eastAsia" w:asciiTheme="minorEastAsia" w:hAnsiTheme="minorEastAsia" w:eastAsiaTheme="minorEastAsia" w:cstheme="minorEastAsia"/>
                <w:color w:val="auto"/>
                <w:szCs w:val="21"/>
                <w:highlight w:val="none"/>
              </w:rPr>
            </w:pPr>
            <w:r>
              <w:rPr>
                <w:rFonts w:hint="eastAsia" w:ascii="宋体" w:hAnsi="宋体" w:eastAsia="宋体" w:cs="宋体"/>
                <w:color w:val="auto"/>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p>
        </w:tc>
      </w:tr>
      <w:tr>
        <w:trPr>
          <w:trHeight w:val="1663"/>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根据本项目需求制定详细的培训方案，包括但不限于培训计划、培训内容、</w:t>
            </w:r>
            <w:r>
              <w:rPr>
                <w:rFonts w:hint="eastAsia" w:ascii="宋体" w:hAnsi="宋体" w:cs="宋体"/>
                <w:b/>
                <w:bCs/>
                <w:color w:val="auto"/>
                <w:szCs w:val="21"/>
                <w:highlight w:val="none"/>
              </w:rPr>
              <w:t xml:space="preserve">培训方式</w:t>
            </w:r>
            <w:r>
              <w:rPr>
                <w:rFonts w:hint="eastAsia" w:asciiTheme="minorEastAsia" w:hAnsiTheme="minorEastAsia" w:eastAsiaTheme="minorEastAsia" w:cstheme="minorEastAsia"/>
                <w:b/>
                <w:bCs/>
                <w:color w:val="auto"/>
                <w:szCs w:val="21"/>
                <w:highlight w:val="none"/>
              </w:rPr>
              <w:t xml:space="preserve">等内容，评委依据方案的专业性和完善度进行综合评分。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（1）方案科学、严密、合理，描述详细且具有针对性的得6分；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（2）方案基本合理、描述一般、存在可操作性得3分；</w:t>
            </w:r>
            <w:r/>
          </w:p>
          <w:p>
            <w:pPr>
              <w:pStyle w:val="875"/>
              <w:jc w:val="both"/>
              <w:spacing w:beforeAutospacing="0" w:afterAutospacing="0"/>
              <w:rPr>
                <w:rFonts w:hint="eastAsia" w:ascii="等线" w:hAnsi="等线" w:eastAsia="等线"/>
                <w:color w:val="auto"/>
                <w:sz w:val="21"/>
                <w:szCs w:val="21"/>
                <w:highlight w:val="none"/>
              </w:rPr>
            </w:pPr>
            <w:r>
              <w:rPr>
                <w:rFonts w:hint="eastAsia" w:ascii="宋体" w:hAnsi="宋体" w:cs="宋体"/>
                <w:color w:val="auto"/>
                <w:sz w:val="21"/>
                <w:szCs w:val="21"/>
                <w:highlight w:val="none"/>
                <w:lang w:bidi="ar"/>
              </w:rPr>
              <w:t xml:space="preserve">（3）方案具有明显不合理项、描述欠缺、存在实施难度得1分；</w:t>
            </w:r>
            <w:r/>
          </w:p>
          <w:p>
            <w:pPr>
              <w:pStyle w:val="859"/>
              <w:ind w:left="0"/>
              <w:spacing w:after="0"/>
              <w:rPr>
                <w:rFonts w:hint="eastAsia" w:asciiTheme="minorEastAsia" w:hAnsiTheme="minorEastAsia" w:eastAsiaTheme="minorEastAsia" w:cstheme="minorEastAsia"/>
                <w:color w:val="auto"/>
                <w:szCs w:val="21"/>
                <w:highlight w:val="none"/>
              </w:rPr>
            </w:pPr>
            <w:r>
              <w:rPr>
                <w:rFonts w:hint="eastAsia" w:ascii="宋体" w:hAnsi="宋体" w:eastAsia="宋体" w:cs="宋体"/>
                <w:color w:val="auto"/>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1997"/>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859"/>
              <w:ind w:left="0"/>
              <w:jc w:val="center"/>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信息安全方案</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pStyle w:val="875"/>
              <w:jc w:val="both"/>
              <w:spacing w:beforeAutospacing="0" w:afterAutospacing="0"/>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根据本项目需求制定详细的安全方案，包括但不限于安全管理方案、安全技术方案、数据安全方案等内容，评委依据方案的专业性和完善度进行综合评分。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（1）方案科学、严密、合理，描述详细且具有针对性的得6分；</w:t>
            </w:r>
            <w:r/>
          </w:p>
          <w:p>
            <w:pPr>
              <w:pStyle w:val="875"/>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（2）方案基本合理、描述一般、存在可操作性得3分；</w:t>
            </w:r>
            <w:r/>
          </w:p>
          <w:p>
            <w:pPr>
              <w:pStyle w:val="875"/>
              <w:jc w:val="both"/>
              <w:spacing w:beforeAutospacing="0" w:afterAutospacing="0"/>
              <w:rPr>
                <w:rFonts w:hint="eastAsia" w:ascii="等线" w:hAnsi="等线" w:eastAsia="等线"/>
                <w:color w:val="auto"/>
                <w:sz w:val="21"/>
                <w:szCs w:val="21"/>
                <w:highlight w:val="none"/>
              </w:rPr>
            </w:pPr>
            <w:r>
              <w:rPr>
                <w:rFonts w:hint="eastAsia" w:ascii="宋体" w:hAnsi="宋体" w:cs="宋体"/>
                <w:color w:val="auto"/>
                <w:sz w:val="21"/>
                <w:szCs w:val="21"/>
                <w:highlight w:val="none"/>
                <w:lang w:bidi="ar"/>
              </w:rPr>
              <w:t xml:space="preserve">（3）方案具有明显不合理项、描述欠缺、存在实施难度得1分；</w:t>
            </w:r>
            <w:r/>
          </w:p>
          <w:p>
            <w:pPr>
              <w:pStyle w:val="859"/>
              <w:ind w:left="0"/>
              <w:spacing w:after="0"/>
              <w:rPr>
                <w:rFonts w:hint="eastAsia" w:asciiTheme="minorEastAsia" w:hAnsiTheme="minorEastAsia" w:eastAsiaTheme="minorEastAsia" w:cstheme="minorEastAsia"/>
                <w:color w:val="auto"/>
                <w:szCs w:val="21"/>
                <w:highlight w:val="none"/>
              </w:rPr>
            </w:pPr>
            <w:r>
              <w:rPr>
                <w:rFonts w:hint="eastAsia" w:ascii="宋体" w:hAnsi="宋体" w:eastAsia="宋体" w:cs="宋体"/>
                <w:color w:val="auto"/>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1760"/>
        </w:trPr>
        <w:tc>
          <w:tcPr>
            <w:tcBorders>
              <w:top w:val="single" w:color="000000" w:sz="4" w:space="0"/>
              <w:left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企业实力</w:t>
            </w:r>
            <w:r/>
          </w:p>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rPr>
                <w:rFonts w:hint="eastAsia"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color w:val="auto"/>
                <w:szCs w:val="21"/>
                <w:highlight w:val="none"/>
              </w:rPr>
              <w:t xml:space="preserve">（1）投标人（或所投产品制造商）具备质量管理体系认证证书、信息技术服务管理体系认证证书、信息安全管理体系认证证书的，每</w:t>
            </w:r>
            <w:r>
              <w:rPr>
                <w:rFonts w:hint="eastAsia" w:asciiTheme="minorEastAsia" w:hAnsiTheme="minorEastAsia" w:eastAsiaTheme="minorEastAsia" w:cstheme="minorEastAsia"/>
                <w:color w:val="auto"/>
                <w:szCs w:val="21"/>
                <w:highlight w:val="none"/>
              </w:rPr>
              <w:t xml:space="preserve">提供</w:t>
            </w:r>
            <w:r>
              <w:rPr>
                <w:rFonts w:asciiTheme="minorEastAsia" w:hAnsiTheme="minorEastAsia" w:eastAsiaTheme="minorEastAsia" w:cstheme="minorEastAsia"/>
                <w:color w:val="auto"/>
                <w:szCs w:val="21"/>
                <w:highlight w:val="none"/>
              </w:rPr>
              <w:t xml:space="preserve">一个证书得</w:t>
            </w:r>
            <w:r>
              <w:rPr>
                <w:rFonts w:hint="eastAsia" w:asciiTheme="minorEastAsia" w:hAnsiTheme="minorEastAsia" w:eastAsiaTheme="minorEastAsia" w:cstheme="minorEastAsia"/>
                <w:color w:val="auto"/>
                <w:szCs w:val="21"/>
                <w:highlight w:val="none"/>
                <w:lang w:val="en-US" w:eastAsia="zh-CN"/>
              </w:rPr>
              <w:t xml:space="preserve">1</w:t>
            </w:r>
            <w:r>
              <w:rPr>
                <w:rFonts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rPr>
              <w:t xml:space="preserve">满分</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rPr>
                <w:rFonts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
                <w:bCs/>
                <w:color w:val="auto"/>
                <w:szCs w:val="21"/>
                <w:highlight w:val="none"/>
              </w:rPr>
              <w:t xml:space="preserve">提供有效证书扫描件、国家认证认监委网站查询有效截图，系统上传，未提供不得分</w:t>
            </w:r>
            <w:r/>
          </w:p>
          <w:p>
            <w:pPr>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（2）投标人（或所投产品制造商）具备与本项目系统相关的软件著作权证书</w:t>
            </w:r>
            <w:r>
              <w:rPr>
                <w:rFonts w:hint="eastAsia" w:asciiTheme="minorEastAsia" w:hAnsiTheme="minorEastAsia" w:eastAsiaTheme="minorEastAsia" w:cstheme="minorEastAsia"/>
                <w:color w:val="auto"/>
                <w:szCs w:val="21"/>
                <w:highlight w:val="none"/>
              </w:rPr>
              <w:t xml:space="preserve">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rPr>
                <w:rFonts w:asciiTheme="minorEastAsia" w:hAnsiTheme="minorEastAsia" w:eastAsiaTheme="minorEastAsia" w:cstheme="minorEastAsia"/>
                <w:color w:val="auto"/>
                <w:szCs w:val="21"/>
                <w:highlight w:val="none"/>
              </w:rPr>
              <w:t xml:space="preserve">，证书软件名称包含“</w:t>
            </w:r>
            <w:r>
              <w:rPr>
                <w:rFonts w:hint="eastAsia" w:asciiTheme="minorEastAsia" w:hAnsiTheme="minorEastAsia" w:eastAsiaTheme="minorEastAsia" w:cstheme="minorEastAsia"/>
                <w:color w:val="auto"/>
                <w:szCs w:val="21"/>
                <w:highlight w:val="none"/>
              </w:rPr>
              <w:t xml:space="preserve">数据采集、数据管理</w:t>
            </w:r>
            <w:r>
              <w:rPr>
                <w:rFonts w:asciiTheme="minorEastAsia" w:hAnsiTheme="minorEastAsia" w:eastAsiaTheme="minorEastAsia" w:cstheme="minorEastAsia"/>
                <w:color w:val="auto"/>
                <w:szCs w:val="21"/>
                <w:highlight w:val="none"/>
              </w:rPr>
              <w:t xml:space="preserve">”等关键词。</w:t>
            </w:r>
            <w:r>
              <w:rPr>
                <w:rFonts w:hint="eastAsia" w:asciiTheme="minorEastAsia" w:hAnsiTheme="minorEastAsia" w:eastAsiaTheme="minorEastAsia" w:cstheme="minorEastAsia"/>
                <w:b/>
                <w:bCs/>
                <w:color w:val="auto"/>
                <w:szCs w:val="21"/>
                <w:highlight w:val="none"/>
              </w:rPr>
              <w:t xml:space="preserve">提供有效证书扫描件系统上传，未提供不得分</w:t>
            </w:r>
            <w:r/>
          </w:p>
          <w:p>
            <w:pPr>
              <w:rPr>
                <w:color w:val="auto"/>
                <w:highlight w:val="none"/>
              </w:rPr>
            </w:pPr>
            <w:r>
              <w:rPr>
                <w:rFonts w:hint="eastAsia" w:asciiTheme="minorEastAsia" w:hAnsiTheme="minorEastAsia" w:eastAsiaTheme="minorEastAsia" w:cstheme="minorEastAsia"/>
                <w:b/>
                <w:bCs/>
                <w:color w:val="auto"/>
                <w:szCs w:val="21"/>
                <w:highlight w:val="none"/>
              </w:rPr>
              <w:t xml:space="preserve">（</w:t>
            </w:r>
            <w:r>
              <w:rPr>
                <w:rFonts w:asciiTheme="minorEastAsia" w:hAnsiTheme="minorEastAsia" w:eastAsiaTheme="minorEastAsia" w:cstheme="minorEastAsia"/>
                <w:b/>
                <w:bCs/>
                <w:color w:val="auto"/>
                <w:szCs w:val="21"/>
                <w:highlight w:val="none"/>
              </w:rPr>
              <w:t xml:space="preserve">如投标文件中提供的著作权证书名称表述与招标文件描述的关键字样不一致，而该投标文件中能证明</w:t>
            </w:r>
            <w:r>
              <w:rPr>
                <w:rFonts w:hint="eastAsia" w:asciiTheme="minorEastAsia" w:hAnsiTheme="minorEastAsia" w:eastAsiaTheme="minorEastAsia" w:cstheme="minorEastAsia"/>
                <w:b/>
                <w:bCs/>
                <w:color w:val="auto"/>
                <w:szCs w:val="21"/>
                <w:highlight w:val="none"/>
              </w:rPr>
              <w:t xml:space="preserve">投标人</w:t>
            </w:r>
            <w:r>
              <w:rPr>
                <w:rFonts w:asciiTheme="minorEastAsia" w:hAnsiTheme="minorEastAsia" w:eastAsiaTheme="minorEastAsia" w:cstheme="minorEastAsia"/>
                <w:b/>
                <w:bCs/>
                <w:color w:val="auto"/>
                <w:szCs w:val="21"/>
                <w:highlight w:val="none"/>
              </w:rPr>
              <w:t xml:space="preserve">拥有的软件著作权具有相同或相似功能和效果，且评标委员会认可的，视同符合要求</w:t>
            </w:r>
            <w:r>
              <w:rPr>
                <w:rFonts w:hint="eastAsia" w:asciiTheme="minorEastAsia" w:hAnsiTheme="minorEastAsia" w:eastAsiaTheme="minorEastAsia" w:cstheme="minor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tc>
      </w:tr>
      <w:tr>
        <w:trPr>
          <w:trHeight w:val="619"/>
        </w:trPr>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822" w:type="pct"/>
            <w:vAlign w:val="center"/>
            <w:textDirection w:val="lrTb"/>
            <w:noWrap w:val="false"/>
          </w:tcPr>
          <w:p>
            <w:pPr>
              <w:pStyle w:val="857"/>
              <w:rPr>
                <w:rFonts w:hint="eastAsia" w:asciiTheme="minorEastAsia" w:hAnsiTheme="minorEastAsia" w:eastAsiaTheme="minorEastAsia" w:cstheme="minorEastAsia"/>
                <w:color w:val="auto"/>
                <w:szCs w:val="21"/>
                <w:highlight w:val="none"/>
              </w:rPr>
            </w:pPr>
            <w:r/>
            <w:bookmarkStart w:id="111" w:name="_GoBack"/>
            <w:r>
              <w:rPr>
                <w:rFonts w:hint="eastAsia" w:asciiTheme="minorEastAsia" w:hAnsiTheme="minorEastAsia" w:eastAsiaTheme="minorEastAsia" w:cstheme="minorEastAsia"/>
                <w:color w:val="auto"/>
                <w:szCs w:val="21"/>
                <w:highlight w:val="none"/>
              </w:rPr>
              <w:t xml:space="preserve">投标人（或所投产品制造商）提供2023年1月1日以来(以合同签订时间准)与项目需求相关的业绩，例如“科研平台、专病库平台”等，每提供一个业绩得2分，满分6分。</w:t>
            </w:r>
            <w:r/>
          </w:p>
          <w:p>
            <w:pPr>
              <w:pStyle w:val="857"/>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（提供合同扫描件系统上传，合同要素至少包含签订时间、合同双方名称、合同内容、合同总价；材料不完整或者内容不清晰无法辨认或提供不全不得分）</w:t>
            </w:r>
            <w:bookmarkEnd w:id="111"/>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pStyle w:val="857"/>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bl>
    <w:p>
      <w:pPr>
        <w:rPr>
          <w:color w:val="auto"/>
          <w:highlight w:val="none"/>
        </w:rPr>
      </w:pPr>
      <w:r/>
      <w:bookmarkStart w:id="78" w:name="_Toc18779"/>
      <w:r>
        <w:rPr>
          <w:rFonts w:hint="eastAsia"/>
          <w:color w:val="auto"/>
          <w:highlight w:val="none"/>
        </w:rPr>
        <w:br w:type="page" w:clear="all"/>
      </w:r>
      <w:r/>
    </w:p>
    <w:p>
      <w:pPr>
        <w:pStyle w:val="844"/>
        <w:rPr>
          <w:color w:val="auto"/>
          <w:highlight w:val="none"/>
        </w:rPr>
      </w:pPr>
      <w:r>
        <w:rPr>
          <w:rFonts w:hint="eastAsia"/>
          <w:color w:val="auto"/>
          <w:highlight w:val="none"/>
        </w:rPr>
        <w:t xml:space="preserve">第六章 投标文件格式</w:t>
      </w:r>
      <w:bookmarkEnd w:id="78"/>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859"/>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35"/>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79" w:name="_Toc5792"/>
      <w:r/>
      <w:bookmarkStart w:id="80" w:name="_Toc20369"/>
      <w:r/>
      <w:bookmarkStart w:id="81" w:name="_Toc7268"/>
      <w:r>
        <w:rPr>
          <w:rFonts w:hint="eastAsia" w:ascii="宋体" w:hAnsi="宋体" w:eastAsia="宋体" w:cs="宋体"/>
          <w:color w:val="auto"/>
          <w:sz w:val="32"/>
          <w:highlight w:val="none"/>
        </w:rPr>
        <w:t xml:space="preserve">一、</w:t>
      </w:r>
      <w:bookmarkEnd w:id="79"/>
      <w:r/>
      <w:bookmarkEnd w:id="80"/>
      <w:r/>
      <w:bookmarkEnd w:id="81"/>
      <w:r>
        <w:rPr>
          <w:rFonts w:hint="eastAsia" w:ascii="宋体" w:hAnsi="宋体" w:cs="宋体"/>
          <w:color w:val="auto"/>
          <w:sz w:val="24"/>
          <w:highlight w:val="none"/>
        </w:rPr>
        <w:t xml:space="preserve">资格审查响应对照表</w:t>
      </w:r>
      <w:r/>
    </w:p>
    <w:tbl>
      <w:tblPr>
        <w:tblStyle w:val="85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6122"/>
        <w:gridCol w:w="1709"/>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3"/>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落实政府采购政策需满足的资格要求：无</w:t>
            </w:r>
            <w:r/>
          </w:p>
        </w:tc>
      </w:tr>
      <w:tr>
        <w:trPr>
          <w:trHeight w:val="452"/>
        </w:trPr>
        <w:tc>
          <w:tcPr>
            <w:gridSpan w:val="3"/>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本项目的特定资格要求：无</w:t>
            </w:r>
            <w:r/>
          </w:p>
        </w:tc>
      </w:tr>
      <w:tr>
        <w:trPr>
          <w:trHeight w:val="400"/>
        </w:trPr>
        <w:tc>
          <w:tcPr>
            <w:gridSpan w:val="3"/>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（3）法人的分支机构不得参加投标（除银行、保险、石油石化、电力、电信等行业特殊情况外）。</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71"/>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7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7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7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7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7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7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7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1"/>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71"/>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71"/>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72"/>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7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7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7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1035"/>
        <w:rPr>
          <w:rFonts w:hint="eastAsia" w:ascii="宋体" w:hAnsi="宋体" w:eastAsia="宋体" w:cs="宋体"/>
          <w:color w:val="auto"/>
          <w:sz w:val="32"/>
          <w:highlight w:val="none"/>
        </w:rPr>
      </w:pPr>
      <w:r/>
      <w:bookmarkStart w:id="82" w:name="_Toc9345"/>
      <w:r/>
      <w:bookmarkStart w:id="83" w:name="_Toc20616"/>
      <w:r/>
      <w:bookmarkStart w:id="84" w:name="_Toc16911"/>
      <w:r>
        <w:rPr>
          <w:rFonts w:hint="eastAsia" w:ascii="宋体" w:hAnsi="宋体" w:eastAsia="宋体" w:cs="宋体"/>
          <w:color w:val="auto"/>
          <w:sz w:val="32"/>
          <w:highlight w:val="none"/>
        </w:rPr>
        <w:t xml:space="preserve">二、符合性审查响应对照表</w:t>
      </w:r>
      <w:bookmarkEnd w:id="82"/>
      <w:r/>
      <w:bookmarkEnd w:id="83"/>
      <w:r/>
      <w:bookmarkEnd w:id="84"/>
      <w:r/>
      <w:r/>
    </w:p>
    <w:tbl>
      <w:tblPr>
        <w:tblStyle w:val="8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35"/>
        <w:rPr>
          <w:rFonts w:hint="eastAsia" w:ascii="宋体" w:hAnsi="宋体" w:eastAsia="宋体" w:cs="宋体"/>
          <w:color w:val="auto"/>
          <w:sz w:val="32"/>
          <w:highlight w:val="none"/>
        </w:rPr>
      </w:pPr>
      <w:r/>
      <w:bookmarkStart w:id="85" w:name="_Toc29406"/>
      <w:r/>
      <w:bookmarkStart w:id="86" w:name="_Toc23420"/>
      <w:r/>
      <w:bookmarkStart w:id="87" w:name="_Toc23068"/>
      <w:r>
        <w:rPr>
          <w:rFonts w:hint="eastAsia" w:ascii="宋体" w:hAnsi="宋体" w:eastAsia="宋体" w:cs="宋体"/>
          <w:color w:val="auto"/>
          <w:sz w:val="32"/>
          <w:highlight w:val="none"/>
        </w:rPr>
        <w:t xml:space="preserve">三、非实质性响应对照表</w:t>
      </w:r>
      <w:bookmarkEnd w:id="85"/>
      <w:r/>
      <w:bookmarkEnd w:id="86"/>
      <w:r/>
      <w:bookmarkEnd w:id="8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《中小企业声明函（货物）》</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（软件和信息技术服务业）行业（不得对行业类别修改）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（软件和信息技术服务业）行业（不得对行业类别修改）；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rPr>
          <w:rStyle w:val="1061"/>
          <w:rFonts w:hint="eastAsia" w:ascii="宋体" w:hAnsi="宋体" w:cs="宋体"/>
          <w:color w:val="auto"/>
          <w:szCs w:val="21"/>
          <w:highlight w:val="none"/>
        </w:rPr>
      </w:pPr>
      <w:r>
        <w:rPr>
          <w:rStyle w:val="1061"/>
          <w:rFonts w:hint="eastAsia" w:ascii="宋体" w:hAnsi="宋体" w:cs="宋体"/>
          <w:color w:val="auto"/>
          <w:szCs w:val="21"/>
          <w:highlight w:val="none"/>
        </w:rPr>
        <w:br w:type="page" w:clear="all"/>
      </w:r>
      <w:r/>
    </w:p>
    <w:p>
      <w:pPr>
        <w:jc w:val="center"/>
        <w:rPr>
          <w:rStyle w:val="1061"/>
          <w:rFonts w:hint="eastAsia" w:ascii="宋体" w:hAnsi="宋体" w:cs="宋体"/>
          <w:color w:val="auto"/>
          <w:szCs w:val="21"/>
          <w:highlight w:val="none"/>
        </w:rPr>
      </w:pPr>
      <w:r>
        <w:rPr>
          <w:rStyle w:val="1061"/>
          <w:rFonts w:hint="eastAsia" w:ascii="宋体" w:hAnsi="宋体" w:cs="宋体"/>
          <w:color w:val="auto"/>
          <w:szCs w:val="21"/>
          <w:highlight w:val="none"/>
        </w:rPr>
        <w:t xml:space="preserve">中小微企业划型标准</w:t>
      </w:r>
      <w:r/>
    </w:p>
    <w:p>
      <w:pPr>
        <w:pStyle w:val="1056"/>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61"/>
          <w:rFonts w:hint="eastAsia" w:ascii="宋体" w:hAnsi="宋体" w:cs="宋体"/>
          <w:color w:val="auto"/>
          <w:sz w:val="21"/>
          <w:szCs w:val="21"/>
          <w:highlight w:val="none"/>
        </w:rPr>
        <w:t xml:space="preserve">中小微企业划型标准如下：</w:t>
      </w:r>
      <w:r/>
    </w:p>
    <w:tbl>
      <w:tblPr>
        <w:tblStyle w:val="854"/>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6"/>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jc w:val="center"/>
              <w:spacing w:after="150" w:line="360" w:lineRule="auto"/>
              <w:widowControl/>
              <w:rPr>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X＜10</w:t>
            </w:r>
            <w:r/>
          </w:p>
        </w:tc>
      </w:tr>
    </w:tbl>
    <w:p>
      <w:pPr>
        <w:pStyle w:val="1056"/>
        <w:ind w:firstLine="810"/>
        <w:spacing w:before="300" w:after="452" w:line="360" w:lineRule="auto"/>
        <w:widowControl/>
        <w:rPr>
          <w:rStyle w:val="1061"/>
          <w:rFonts w:hint="eastAsia" w:ascii="宋体" w:hAnsi="宋体" w:cs="宋体"/>
          <w:color w:val="auto"/>
          <w:sz w:val="21"/>
          <w:szCs w:val="21"/>
          <w:highlight w:val="none"/>
        </w:rPr>
      </w:pPr>
      <w:r>
        <w:rPr>
          <w:rStyle w:val="106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36"/>
        <w:rPr>
          <w:rFonts w:hint="eastAsia" w:ascii="宋体" w:hAnsi="宋体" w:cs="宋体"/>
          <w:color w:val="auto"/>
          <w:highlight w:val="none"/>
        </w:rPr>
      </w:pPr>
      <w:r>
        <w:rPr>
          <w:rStyle w:val="1061"/>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lang w:eastAsia="zh-CN"/>
        </w:rPr>
        <w:t xml:space="preserve">JSZC-321000-SWGC-G2026-0038</w:t>
      </w:r>
      <w:r>
        <w:rPr>
          <w:rFonts w:hint="eastAsia" w:ascii="宋体" w:hAnsi="宋体"/>
          <w:color w:val="auto"/>
          <w:sz w:val="24"/>
          <w:szCs w:val="21"/>
          <w:highlight w:val="none"/>
          <w:u w:val="single"/>
        </w:rPr>
        <w:t xml:space="preserve">号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7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7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0.7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-8890</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0.7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0.7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0.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0.7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81"/>
          <w:rFonts w:hint="eastAsia" w:ascii="方正魏碑_GBK" w:hAnsi="方正魏碑_GBK" w:eastAsia="方正魏碑_GBK" w:cs="方正魏碑_GBK"/>
          <w:i w:val="0"/>
          <w:color w:val="auto"/>
          <w:highlight w:val="none"/>
          <w:u w:val="single"/>
          <w:shd w:val="clear" w:color="auto" w:fill="ffffff"/>
        </w:rPr>
        <w:t xml:space="preserve">（产品名称1）</w:t>
      </w:r>
      <w:r>
        <w:rPr>
          <w:rStyle w:val="881"/>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81"/>
          <w:rFonts w:hint="eastAsia" w:ascii="方正魏碑_GBK" w:hAnsi="方正魏碑_GBK" w:eastAsia="方正魏碑_GBK" w:cs="方正魏碑_GBK"/>
          <w:i w:val="0"/>
          <w:color w:val="auto"/>
          <w:highlight w:val="none"/>
          <w:u w:val="single"/>
          <w:shd w:val="clear" w:color="auto" w:fill="ffffff"/>
        </w:rPr>
        <w:t xml:space="preserve">（厂名）</w:t>
      </w:r>
      <w:r>
        <w:rPr>
          <w:rStyle w:val="881"/>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81"/>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81"/>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1"/>
          <w:rFonts w:hint="eastAsia" w:ascii="方正魏碑_GBK" w:hAnsi="方正魏碑_GBK" w:eastAsia="方正魏碑_GBK" w:cs="方正魏碑_GBK"/>
          <w:i w:val="0"/>
          <w:color w:val="auto"/>
          <w:highlight w:val="none"/>
          <w:u w:val="single"/>
          <w:shd w:val="clear" w:color="auto" w:fill="ffffff"/>
        </w:rPr>
        <w:t xml:space="preserve">（规定</w:t>
      </w:r>
      <w:r>
        <w:rPr>
          <w:rStyle w:val="881"/>
          <w:rFonts w:ascii="方正魏碑_GBK" w:hAnsi="方正魏碑_GBK" w:eastAsia="方正魏碑_GBK" w:cs="方正魏碑_GBK"/>
          <w:i w:val="0"/>
          <w:color w:val="auto"/>
          <w:highlight w:val="none"/>
          <w:u w:val="single"/>
          <w:shd w:val="clear" w:color="auto" w:fill="ffffff"/>
        </w:rPr>
        <w:t xml:space="preserve">比例</w:t>
      </w:r>
      <w:r>
        <w:rPr>
          <w:rStyle w:val="881"/>
          <w:rFonts w:hint="eastAsia" w:ascii="方正魏碑_GBK" w:hAnsi="方正魏碑_GBK" w:eastAsia="方正魏碑_GBK" w:cs="方正魏碑_GBK"/>
          <w:i w:val="0"/>
          <w:color w:val="auto"/>
          <w:highlight w:val="none"/>
          <w:u w:val="single"/>
          <w:shd w:val="clear" w:color="auto" w:fill="ffffff"/>
        </w:rPr>
        <w:t xml:space="preserve">）</w:t>
      </w:r>
      <w:r>
        <w:rPr>
          <w:rStyle w:val="881"/>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81"/>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1"/>
          <w:rFonts w:hint="eastAsia" w:ascii="方正魏碑_GBK" w:hAnsi="方正魏碑_GBK" w:eastAsia="方正魏碑_GBK" w:cs="方正魏碑_GBK"/>
          <w:i w:val="0"/>
          <w:color w:val="auto"/>
          <w:highlight w:val="none"/>
          <w:u w:val="single"/>
          <w:shd w:val="clear" w:color="auto" w:fill="ffffff"/>
        </w:rPr>
        <w:t xml:space="preserve">（关键</w:t>
      </w:r>
      <w:r>
        <w:rPr>
          <w:rStyle w:val="881"/>
          <w:rFonts w:ascii="方正魏碑_GBK" w:hAnsi="方正魏碑_GBK" w:eastAsia="方正魏碑_GBK" w:cs="方正魏碑_GBK"/>
          <w:i w:val="0"/>
          <w:color w:val="auto"/>
          <w:highlight w:val="none"/>
          <w:u w:val="single"/>
          <w:shd w:val="clear" w:color="auto" w:fill="ffffff"/>
        </w:rPr>
        <w:t xml:space="preserve">组件</w:t>
      </w:r>
      <w:r>
        <w:rPr>
          <w:rStyle w:val="881"/>
          <w:rFonts w:hint="eastAsia" w:ascii="方正魏碑_GBK" w:hAnsi="方正魏碑_GBK" w:eastAsia="方正魏碑_GBK" w:cs="方正魏碑_GBK"/>
          <w:i w:val="0"/>
          <w:color w:val="auto"/>
          <w:highlight w:val="none"/>
          <w:u w:val="single"/>
          <w:shd w:val="clear" w:color="auto" w:fill="ffffff"/>
        </w:rPr>
        <w:t xml:space="preserve">）</w:t>
      </w:r>
      <w:r>
        <w:rPr>
          <w:rStyle w:val="881"/>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81"/>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1"/>
          <w:rFonts w:hint="eastAsia" w:ascii="方正魏碑_GBK" w:hAnsi="方正魏碑_GBK" w:eastAsia="方正魏碑_GBK" w:cs="方正魏碑_GBK"/>
          <w:i w:val="0"/>
          <w:color w:val="auto"/>
          <w:highlight w:val="none"/>
          <w:u w:val="single"/>
          <w:shd w:val="clear" w:color="auto" w:fill="ffffff"/>
        </w:rPr>
        <w:t xml:space="preserve">（关键工序）</w:t>
      </w:r>
      <w:r>
        <w:rPr>
          <w:rStyle w:val="881"/>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81"/>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81"/>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81"/>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81"/>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1"/>
          <w:rFonts w:hint="eastAsia" w:ascii="方正魏碑_GBK" w:hAnsi="方正魏碑_GBK" w:eastAsia="方正魏碑_GBK" w:cs="方正魏碑_GBK"/>
          <w:i w:val="0"/>
          <w:color w:val="auto"/>
          <w:highlight w:val="none"/>
          <w:u w:val="single"/>
          <w:shd w:val="clear" w:color="auto" w:fill="ffffff"/>
        </w:rPr>
        <w:t xml:space="preserve">（规定</w:t>
      </w:r>
      <w:r>
        <w:rPr>
          <w:rStyle w:val="881"/>
          <w:rFonts w:ascii="方正魏碑_GBK" w:hAnsi="方正魏碑_GBK" w:eastAsia="方正魏碑_GBK" w:cs="方正魏碑_GBK"/>
          <w:i w:val="0"/>
          <w:color w:val="auto"/>
          <w:highlight w:val="none"/>
          <w:u w:val="single"/>
          <w:shd w:val="clear" w:color="auto" w:fill="ffffff"/>
        </w:rPr>
        <w:t xml:space="preserve">比例</w:t>
      </w:r>
      <w:r>
        <w:rPr>
          <w:rStyle w:val="88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81"/>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81"/>
          <w:rFonts w:hint="eastAsia" w:ascii="方正魏碑_GBK" w:hAnsi="方正魏碑_GBK" w:eastAsia="方正魏碑_GBK" w:cs="方正魏碑_GBK"/>
          <w:i w:val="0"/>
          <w:color w:val="auto"/>
          <w:highlight w:val="none"/>
          <w:u w:val="single"/>
          <w:shd w:val="clear" w:color="auto" w:fill="ffffff"/>
        </w:rPr>
        <w:t xml:space="preserve">（关键</w:t>
      </w:r>
      <w:r>
        <w:rPr>
          <w:rStyle w:val="881"/>
          <w:rFonts w:ascii="方正魏碑_GBK" w:hAnsi="方正魏碑_GBK" w:eastAsia="方正魏碑_GBK" w:cs="方正魏碑_GBK"/>
          <w:i w:val="0"/>
          <w:color w:val="auto"/>
          <w:highlight w:val="none"/>
          <w:u w:val="single"/>
          <w:shd w:val="clear" w:color="auto" w:fill="ffffff"/>
        </w:rPr>
        <w:t xml:space="preserve">组件</w:t>
      </w:r>
      <w:r>
        <w:rPr>
          <w:rStyle w:val="881"/>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81"/>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1"/>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7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7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75"/>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75"/>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7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88" w:name="_Toc25382"/>
      <w:r/>
      <w:bookmarkStart w:id="89" w:name="_Toc19910"/>
      <w:r>
        <w:rPr>
          <w:rFonts w:hint="eastAsia" w:ascii="宋体" w:hAnsi="宋体" w:cs="宋体"/>
          <w:b/>
          <w:bCs/>
          <w:color w:val="auto"/>
          <w:sz w:val="32"/>
          <w:szCs w:val="44"/>
          <w:highlight w:val="none"/>
        </w:rPr>
        <w:t xml:space="preserve">四、开标一览表</w:t>
      </w:r>
      <w:bookmarkEnd w:id="88"/>
      <w:r/>
      <w:bookmarkEnd w:id="89"/>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85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44"/>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投标货物及服务名称</w:t>
            </w:r>
            <w:r/>
          </w:p>
        </w:tc>
        <w:tc>
          <w:tcPr>
            <w:tcW w:w="360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1044"/>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7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107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107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1044"/>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c>
          <w:tcPr>
            <w:tcW w:w="3604" w:type="pct"/>
            <w:vAlign w:val="center"/>
            <w:textDirection w:val="lrTb"/>
            <w:noWrap w:val="false"/>
          </w:tcPr>
          <w:p>
            <w:pPr>
              <w:pStyle w:val="107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1041"/>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41"/>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90" w:name="_Toc20323"/>
      <w:r/>
      <w:bookmarkStart w:id="91" w:name="_Toc17891"/>
      <w:r>
        <w:rPr>
          <w:rFonts w:hint="eastAsia" w:ascii="宋体" w:hAnsi="宋体" w:cs="宋体"/>
          <w:b/>
          <w:bCs/>
          <w:color w:val="auto"/>
          <w:sz w:val="32"/>
          <w:szCs w:val="44"/>
          <w:highlight w:val="none"/>
        </w:rPr>
        <w:t xml:space="preserve">五、投标产品配置及分项报价表</w:t>
      </w:r>
      <w:bookmarkEnd w:id="90"/>
      <w:r/>
      <w:bookmarkEnd w:id="91"/>
      <w:r/>
      <w:r/>
    </w:p>
    <w:tbl>
      <w:tblPr>
        <w:tblStyle w:val="85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65"/>
        <w:gridCol w:w="859"/>
        <w:gridCol w:w="896"/>
        <w:gridCol w:w="1014"/>
        <w:gridCol w:w="1269"/>
        <w:gridCol w:w="847"/>
        <w:gridCol w:w="924"/>
        <w:gridCol w:w="891"/>
      </w:tblGrid>
      <w:tr>
        <w:trPr>
          <w:cantSplit/>
          <w:trHeight w:val="544"/>
        </w:trPr>
        <w:tc>
          <w:tcPr>
            <w:tcW w:w="270" w:type="pc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597" w:type="pct"/>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骨质疏松专病数据库</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97" w:type="pc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骨健康科研云服务</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97" w:type="pc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算力、存储、网络服务</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97" w:type="pc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rPr>
                <w:color w:val="auto"/>
                <w:highlight w:val="none"/>
              </w:rPr>
            </w:pPr>
            <w:r>
              <w:rPr>
                <w:color w:val="auto"/>
                <w:highlight w:val="none"/>
              </w:rPr>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92"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06"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8"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97" w:type="pc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7"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499"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44"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521" w:type="pct"/>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5000" w:type="pct"/>
            <w:textDirection w:val="lrTb"/>
            <w:noWrap w:val="false"/>
          </w:tcPr>
          <w:p>
            <w:pPr>
              <w:rPr>
                <w:rFonts w:hint="eastAsia"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5000" w:type="pct"/>
            <w:textDirection w:val="lrTb"/>
            <w:noWrap w:val="false"/>
          </w:tcPr>
          <w:p>
            <w:pPr>
              <w:pStyle w:val="875"/>
              <w:spacing w:beforeAutospacing="0" w:afterAutospacing="0" w:line="0" w:lineRule="atLeast"/>
              <w:rPr>
                <w:color w:val="auto"/>
                <w:highlight w:val="none"/>
              </w:rPr>
            </w:pPr>
            <w:r>
              <w:rPr>
                <w:rFonts w:hint="eastAsia" w:ascii="宋体" w:hAnsi="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tc>
      </w:tr>
    </w:tbl>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1.本项目投标报价</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方正魏碑_GBK" w:hAnsi="方正魏碑_GBK" w:eastAsia="方正魏碑_GBK" w:cs="方正魏碑_GBK"/>
          <w:color w:val="auto"/>
          <w:sz w:val="24"/>
          <w:szCs w:val="24"/>
          <w:highlight w:val="none"/>
        </w:rPr>
        <w:t xml:space="preserve">4</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eastAsia="宋体" w:cs="宋体"/>
          <w:color w:val="auto"/>
          <w:sz w:val="32"/>
          <w:highlight w:val="none"/>
        </w:rPr>
      </w:pPr>
      <w:r/>
      <w:bookmarkStart w:id="92" w:name="_Toc9678"/>
      <w:r/>
      <w:bookmarkStart w:id="93" w:name="_Toc16517"/>
      <w:r/>
      <w:bookmarkStart w:id="94" w:name="_Toc5967"/>
      <w:r>
        <w:rPr>
          <w:rFonts w:hint="eastAsia" w:ascii="宋体" w:hAnsi="宋体" w:eastAsia="宋体" w:cs="宋体"/>
          <w:color w:val="auto"/>
          <w:sz w:val="32"/>
          <w:highlight w:val="none"/>
        </w:rPr>
        <w:br w:type="page" w:clear="all"/>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六、技术参数响应及偏离表</w:t>
      </w:r>
      <w:bookmarkEnd w:id="92"/>
      <w:r/>
      <w:bookmarkEnd w:id="93"/>
      <w:r/>
      <w:bookmarkEnd w:id="94"/>
      <w:r/>
      <w:r/>
    </w:p>
    <w:tbl>
      <w:tblPr>
        <w:tblStyle w:val="854"/>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95" w:name="_Hlt26955054"/>
      <w:r/>
      <w:bookmarkEnd w:id="95"/>
      <w:r/>
      <w:bookmarkStart w:id="96" w:name="_Toc32154"/>
      <w:r/>
      <w:bookmarkStart w:id="97" w:name="_Toc16820"/>
      <w:r>
        <w:rPr>
          <w:rFonts w:hint="eastAsia" w:ascii="宋体" w:hAnsi="宋体" w:cs="宋体"/>
          <w:b/>
          <w:bCs/>
          <w:color w:val="auto"/>
          <w:sz w:val="32"/>
          <w:szCs w:val="44"/>
          <w:highlight w:val="none"/>
        </w:rPr>
        <w:t xml:space="preserve">七、商务条款响应及偏离表</w:t>
      </w:r>
      <w:bookmarkEnd w:id="96"/>
      <w:r/>
      <w:bookmarkEnd w:id="97"/>
      <w:r/>
      <w:r/>
    </w:p>
    <w:tbl>
      <w:tblPr>
        <w:tblStyle w:val="854"/>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jc w:val="center"/>
              <w:spacing w:before="156"/>
              <w:rPr>
                <w:rFonts w:hint="eastAsia" w:ascii="宋体" w:hAnsi="宋体" w:cs="宋体"/>
                <w:color w:val="auto"/>
                <w:szCs w:val="21"/>
                <w:highlight w:val="none"/>
              </w:rPr>
            </w:pPr>
            <w:r/>
            <w:bookmarkStart w:id="98" w:name="_Hlt26609391"/>
            <w:r/>
            <w:bookmarkEnd w:id="98"/>
            <w:r/>
            <w:bookmarkStart w:id="99" w:name="_Hlt26955064"/>
            <w:r/>
            <w:bookmarkEnd w:id="99"/>
            <w:r/>
            <w:bookmarkStart w:id="100" w:name="_Hlt26671343"/>
            <w:r/>
            <w:bookmarkEnd w:id="100"/>
            <w:r/>
            <w:bookmarkStart w:id="101" w:name="_Hlt26955056"/>
            <w:r/>
            <w:bookmarkEnd w:id="101"/>
            <w:r/>
            <w:bookmarkStart w:id="102" w:name="_Hlt24879081"/>
            <w:r/>
            <w:bookmarkEnd w:id="102"/>
            <w:r/>
            <w:bookmarkStart w:id="103" w:name="_Hlt26671372"/>
            <w:r/>
            <w:bookmarkEnd w:id="103"/>
            <w:r/>
            <w:bookmarkStart w:id="104" w:name="_Hlt26782999"/>
            <w:r/>
            <w:bookmarkEnd w:id="104"/>
            <w:r/>
            <w:bookmarkStart w:id="105" w:name="_Hlt26580838"/>
            <w:r/>
            <w:bookmarkEnd w:id="105"/>
            <w:r>
              <w:rPr>
                <w:rFonts w:hint="eastAsia" w:ascii="宋体" w:hAnsi="宋体" w:cs="宋体"/>
                <w:color w:val="auto"/>
                <w:szCs w:val="21"/>
                <w:highlight w:val="none"/>
              </w:rPr>
              <w:t xml:space="preserve">项目</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70"/>
        </w:trPr>
        <w:tc>
          <w:tcPr>
            <w:tcW w:w="1935" w:type="dxa"/>
            <w:vAlign w:val="center"/>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41"/>
        <w:ind w:firstLine="480"/>
        <w:rPr>
          <w:rFonts w:hint="eastAsia" w:ascii="宋体" w:hAnsi="宋体" w:cs="宋体"/>
          <w:color w:val="auto"/>
          <w:sz w:val="24"/>
          <w:highlight w:val="none"/>
        </w:rPr>
      </w:pPr>
      <w:r/>
      <w:bookmarkStart w:id="106" w:name="_Hlt26671374"/>
      <w:r/>
      <w:bookmarkEnd w:id="106"/>
      <w:r/>
      <w:bookmarkStart w:id="107" w:name="_Hlt26955066"/>
      <w:r/>
      <w:bookmarkEnd w:id="107"/>
      <w:r/>
      <w:bookmarkStart w:id="108" w:name="_Hlt26609389"/>
      <w:r/>
      <w:bookmarkEnd w:id="108"/>
      <w:r/>
      <w:bookmarkStart w:id="109" w:name="_Toc462564146"/>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41"/>
        <w:ind w:firstLine="480"/>
        <w:rPr>
          <w:rFonts w:hint="eastAsia" w:ascii="宋体" w:hAnsi="宋体" w:cs="宋体"/>
          <w:color w:val="auto"/>
          <w:sz w:val="24"/>
          <w:highlight w:val="none"/>
        </w:rPr>
      </w:pPr>
      <w:r>
        <w:rPr>
          <w:rFonts w:hint="eastAsia" w:ascii="宋体" w:hAnsi="宋体" w:cs="宋体"/>
          <w:color w:val="auto"/>
          <w:sz w:val="24"/>
          <w:highlight w:val="none"/>
        </w:rPr>
      </w:r>
      <w:bookmarkEnd w:id="109"/>
      <w:r/>
      <w:r/>
    </w:p>
    <w:p>
      <w:pPr>
        <w:jc w:val="center"/>
        <w:widowControl/>
        <w:rPr>
          <w:rFonts w:hint="eastAsia" w:ascii="宋体" w:hAnsi="宋体" w:cs="宋体"/>
          <w:b/>
          <w:color w:val="auto"/>
          <w:highlight w:val="none"/>
        </w:rPr>
      </w:pPr>
      <w:r/>
      <w:bookmarkStart w:id="110" w:name="_格式2__法定代表人授权书"/>
      <w:r/>
      <w:bookmarkEnd w:id="110"/>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85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rHeight w:val="316"/>
        </w:trPr>
        <w:tc>
          <w:tcPr>
            <w:tcW w:w="39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tcW w:w="378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3780"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服务要求：</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服务时间：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rPr>
        <w:t xml:space="preserve">江苏苏维工程管理有限公司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rot="0" flipH="0" flipV="0">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rotation:0;v-text-anchor:top;visibility:visible;" filled="f" stroked="f" strokeweight="0.50pt">
              <v:textbox inset="0,0,0,0">
                <w:txbxContent>
                  <w:p>
                    <w:pPr>
                      <w:pStyle w:val="86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r/>
                  </w:p>
                </w:txbxContent>
              </v:textbox>
            </v:shape>
          </w:pict>
        </mc:Fallback>
      </mc:AlternateContent>
    </w:r>
    <w:r/>
    <w:r/>
  </w:p>
  <w:p>
    <w:pPr>
      <w:pStyle w:val="86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pPr>
    <w:r>
      <w:rPr>
        <w:rFonts w:hint="eastAsia"/>
        <w:lang w:eastAsia="zh-CN"/>
      </w:rPr>
      <w:t xml:space="preserve">JSZC-321000-SWGC-G2026-0038</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pPr>
    <w:r>
      <w:rPr>
        <w:rFonts w:hint="eastAsia"/>
        <w:lang w:eastAsia="zh-CN"/>
      </w:rPr>
      <w:t xml:space="preserve">JSZC-321000-SWGC-G2026-0038</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1"/>
  </w:num>
  <w:num w:numId="5">
    <w:abstractNumId w:val="22"/>
  </w:num>
  <w:num w:numId="6">
    <w:abstractNumId w:val="14"/>
  </w:num>
  <w:num w:numId="7">
    <w:abstractNumId w:val="2"/>
  </w:num>
  <w:num w:numId="8">
    <w:abstractNumId w:val="27"/>
  </w:num>
  <w:num w:numId="9">
    <w:abstractNumId w:val="18"/>
  </w:num>
  <w:num w:numId="10">
    <w:abstractNumId w:val="11"/>
  </w:num>
  <w:num w:numId="11">
    <w:abstractNumId w:val="26"/>
  </w:num>
  <w:num w:numId="12">
    <w:abstractNumId w:val="3"/>
  </w:num>
  <w:num w:numId="13">
    <w:abstractNumId w:val="6"/>
  </w:num>
  <w:num w:numId="14">
    <w:abstractNumId w:val="7"/>
  </w:num>
  <w:num w:numId="15">
    <w:abstractNumId w:val="13"/>
  </w:num>
  <w:num w:numId="16">
    <w:abstractNumId w:val="21"/>
  </w:num>
  <w:num w:numId="17">
    <w:abstractNumId w:val="10"/>
  </w:num>
  <w:num w:numId="18">
    <w:abstractNumId w:val="8"/>
  </w:num>
  <w:num w:numId="19">
    <w:abstractNumId w:val="35"/>
  </w:num>
  <w:num w:numId="20">
    <w:abstractNumId w:val="19"/>
  </w:num>
  <w:num w:numId="21">
    <w:abstractNumId w:val="30"/>
  </w:num>
  <w:num w:numId="22">
    <w:abstractNumId w:val="31"/>
  </w:num>
  <w:num w:numId="23">
    <w:abstractNumId w:val="12"/>
  </w:num>
  <w:num w:numId="24">
    <w:abstractNumId w:val="29"/>
  </w:num>
  <w:num w:numId="25">
    <w:abstractNumId w:val="15"/>
  </w:num>
  <w:num w:numId="26">
    <w:abstractNumId w:val="33"/>
  </w:num>
  <w:num w:numId="27">
    <w:abstractNumId w:val="24"/>
  </w:num>
  <w:num w:numId="28">
    <w:abstractNumId w:val="25"/>
  </w:num>
  <w:num w:numId="29">
    <w:abstractNumId w:val="17"/>
  </w:num>
  <w:num w:numId="30">
    <w:abstractNumId w:val="20"/>
  </w:num>
  <w:num w:numId="31">
    <w:abstractNumId w:val="34"/>
  </w:num>
  <w:num w:numId="32">
    <w:abstractNumId w:val="32"/>
  </w:num>
  <w:num w:numId="33">
    <w:abstractNumId w:val="0"/>
  </w:num>
  <w:num w:numId="34">
    <w:abstractNumId w:val="23"/>
  </w:num>
  <w:num w:numId="35">
    <w:abstractNumId w:val="28"/>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53"/>
    <w:link w:val="844"/>
    <w:uiPriority w:val="9"/>
    <w:rPr>
      <w:rFonts w:ascii="Arial" w:hAnsi="Arial" w:eastAsia="Arial" w:cs="Arial"/>
      <w:sz w:val="40"/>
      <w:szCs w:val="40"/>
    </w:rPr>
  </w:style>
  <w:style w:type="character" w:styleId="807">
    <w:name w:val="Heading 2 Char"/>
    <w:basedOn w:val="853"/>
    <w:link w:val="845"/>
    <w:uiPriority w:val="9"/>
    <w:rPr>
      <w:rFonts w:ascii="Arial" w:hAnsi="Arial" w:eastAsia="Arial" w:cs="Arial"/>
      <w:sz w:val="34"/>
    </w:rPr>
  </w:style>
  <w:style w:type="character" w:styleId="808">
    <w:name w:val="Heading 3 Char"/>
    <w:basedOn w:val="853"/>
    <w:link w:val="846"/>
    <w:uiPriority w:val="9"/>
    <w:rPr>
      <w:rFonts w:ascii="Arial" w:hAnsi="Arial" w:eastAsia="Arial" w:cs="Arial"/>
      <w:sz w:val="30"/>
      <w:szCs w:val="30"/>
    </w:rPr>
  </w:style>
  <w:style w:type="character" w:styleId="809">
    <w:name w:val="Heading 4 Char"/>
    <w:basedOn w:val="853"/>
    <w:link w:val="847"/>
    <w:uiPriority w:val="9"/>
    <w:rPr>
      <w:rFonts w:ascii="Arial" w:hAnsi="Arial" w:eastAsia="Arial" w:cs="Arial"/>
      <w:b/>
      <w:bCs/>
      <w:sz w:val="26"/>
      <w:szCs w:val="26"/>
    </w:rPr>
  </w:style>
  <w:style w:type="character" w:styleId="810">
    <w:name w:val="Heading 5 Char"/>
    <w:basedOn w:val="853"/>
    <w:link w:val="848"/>
    <w:uiPriority w:val="9"/>
    <w:rPr>
      <w:rFonts w:ascii="Arial" w:hAnsi="Arial" w:eastAsia="Arial" w:cs="Arial"/>
      <w:b/>
      <w:bCs/>
      <w:sz w:val="24"/>
      <w:szCs w:val="24"/>
    </w:rPr>
  </w:style>
  <w:style w:type="character" w:styleId="811">
    <w:name w:val="Heading 6 Char"/>
    <w:basedOn w:val="853"/>
    <w:link w:val="849"/>
    <w:uiPriority w:val="9"/>
    <w:rPr>
      <w:rFonts w:ascii="Arial" w:hAnsi="Arial" w:eastAsia="Arial" w:cs="Arial"/>
      <w:b/>
      <w:bCs/>
      <w:sz w:val="22"/>
      <w:szCs w:val="22"/>
    </w:rPr>
  </w:style>
  <w:style w:type="character" w:styleId="812">
    <w:name w:val="Heading 7 Char"/>
    <w:basedOn w:val="853"/>
    <w:link w:val="850"/>
    <w:uiPriority w:val="9"/>
    <w:rPr>
      <w:rFonts w:ascii="Arial" w:hAnsi="Arial" w:eastAsia="Arial" w:cs="Arial"/>
      <w:b/>
      <w:bCs/>
      <w:i/>
      <w:iCs/>
      <w:sz w:val="22"/>
      <w:szCs w:val="22"/>
    </w:rPr>
  </w:style>
  <w:style w:type="character" w:styleId="813">
    <w:name w:val="Heading 8 Char"/>
    <w:basedOn w:val="853"/>
    <w:link w:val="851"/>
    <w:uiPriority w:val="9"/>
    <w:rPr>
      <w:rFonts w:ascii="Arial" w:hAnsi="Arial" w:eastAsia="Arial" w:cs="Arial"/>
      <w:i/>
      <w:iCs/>
      <w:sz w:val="22"/>
      <w:szCs w:val="22"/>
    </w:rPr>
  </w:style>
  <w:style w:type="character" w:styleId="814">
    <w:name w:val="Heading 9 Char"/>
    <w:basedOn w:val="853"/>
    <w:link w:val="852"/>
    <w:uiPriority w:val="9"/>
    <w:rPr>
      <w:rFonts w:ascii="Arial" w:hAnsi="Arial" w:eastAsia="Arial" w:cs="Arial"/>
      <w:i/>
      <w:iCs/>
      <w:sz w:val="21"/>
      <w:szCs w:val="21"/>
    </w:rPr>
  </w:style>
  <w:style w:type="character" w:styleId="815">
    <w:name w:val="Title Char"/>
    <w:basedOn w:val="853"/>
    <w:link w:val="876"/>
    <w:uiPriority w:val="10"/>
    <w:rPr>
      <w:sz w:val="48"/>
      <w:szCs w:val="48"/>
    </w:rPr>
  </w:style>
  <w:style w:type="character" w:styleId="816">
    <w:name w:val="Subtitle Char"/>
    <w:basedOn w:val="853"/>
    <w:link w:val="869"/>
    <w:uiPriority w:val="11"/>
    <w:rPr>
      <w:sz w:val="24"/>
      <w:szCs w:val="24"/>
    </w:rPr>
  </w:style>
  <w:style w:type="character" w:styleId="817">
    <w:name w:val="Quote Char"/>
    <w:link w:val="899"/>
    <w:uiPriority w:val="29"/>
    <w:rPr>
      <w:i/>
    </w:rPr>
  </w:style>
  <w:style w:type="character" w:styleId="818">
    <w:name w:val="Intense Quote Char"/>
    <w:link w:val="901"/>
    <w:uiPriority w:val="30"/>
    <w:rPr>
      <w:i/>
    </w:rPr>
  </w:style>
  <w:style w:type="character" w:styleId="819">
    <w:name w:val="Header Char"/>
    <w:basedOn w:val="853"/>
    <w:link w:val="866"/>
    <w:uiPriority w:val="99"/>
  </w:style>
  <w:style w:type="character" w:styleId="820">
    <w:name w:val="Caption Char"/>
    <w:basedOn w:val="856"/>
    <w:link w:val="865"/>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0"/>
    <w:uiPriority w:val="99"/>
    <w:rPr>
      <w:sz w:val="18"/>
    </w:rPr>
  </w:style>
  <w:style w:type="character" w:styleId="841">
    <w:name w:val="Endnote Text Char"/>
    <w:link w:val="864"/>
    <w:uiPriority w:val="99"/>
    <w:rPr>
      <w:sz w:val="20"/>
    </w:rPr>
  </w:style>
  <w:style w:type="paragraph" w:styleId="842">
    <w:name w:val="TOC Heading"/>
    <w:uiPriority w:val="39"/>
    <w:unhideWhenUsed/>
  </w:style>
  <w:style w:type="paragraph" w:styleId="84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4">
    <w:name w:val="Heading 1"/>
    <w:basedOn w:val="843"/>
    <w:next w:val="843"/>
    <w:link w:val="886"/>
    <w:uiPriority w:val="9"/>
    <w:qFormat/>
    <w:pPr>
      <w:jc w:val="center"/>
      <w:keepLines/>
      <w:keepNext/>
      <w:spacing w:line="360" w:lineRule="auto"/>
      <w:outlineLvl w:val="0"/>
    </w:pPr>
    <w:rPr>
      <w:rFonts w:ascii="Arial" w:hAnsi="Arial" w:cs="Arial"/>
      <w:b/>
      <w:sz w:val="30"/>
      <w:szCs w:val="40"/>
    </w:rPr>
  </w:style>
  <w:style w:type="paragraph" w:styleId="845">
    <w:name w:val="Heading 2"/>
    <w:basedOn w:val="843"/>
    <w:next w:val="843"/>
    <w:link w:val="887"/>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8"/>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89"/>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0"/>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1"/>
    <w:uiPriority w:val="9"/>
    <w:unhideWhenUsed/>
    <w:qFormat/>
    <w:pPr>
      <w:keepLines/>
      <w:keepNext/>
      <w:spacing w:before="320" w:after="200"/>
      <w:outlineLvl w:val="5"/>
    </w:pPr>
    <w:rPr>
      <w:rFonts w:ascii="Arial" w:hAnsi="Arial" w:eastAsia="Arial" w:cs="Arial"/>
      <w:b/>
      <w:bCs/>
      <w:sz w:val="22"/>
    </w:rPr>
  </w:style>
  <w:style w:type="paragraph" w:styleId="850">
    <w:name w:val="Heading 7"/>
    <w:basedOn w:val="843"/>
    <w:next w:val="843"/>
    <w:link w:val="892"/>
    <w:uiPriority w:val="9"/>
    <w:unhideWhenUsed/>
    <w:qFormat/>
    <w:pPr>
      <w:keepLines/>
      <w:keepNext/>
      <w:spacing w:before="320" w:after="200"/>
      <w:outlineLvl w:val="6"/>
    </w:pPr>
    <w:rPr>
      <w:rFonts w:ascii="Arial" w:hAnsi="Arial" w:eastAsia="Arial" w:cs="Arial"/>
      <w:b/>
      <w:bCs/>
      <w:i/>
      <w:iCs/>
      <w:sz w:val="22"/>
    </w:rPr>
  </w:style>
  <w:style w:type="paragraph" w:styleId="851">
    <w:name w:val="Heading 8"/>
    <w:basedOn w:val="843"/>
    <w:next w:val="843"/>
    <w:link w:val="893"/>
    <w:uiPriority w:val="9"/>
    <w:unhideWhenUsed/>
    <w:qFormat/>
    <w:pPr>
      <w:keepLines/>
      <w:keepNext/>
      <w:spacing w:before="320" w:after="200"/>
      <w:outlineLvl w:val="7"/>
    </w:pPr>
    <w:rPr>
      <w:rFonts w:ascii="Arial" w:hAnsi="Arial" w:eastAsia="Arial" w:cs="Arial"/>
      <w:i/>
      <w:iCs/>
      <w:sz w:val="22"/>
    </w:rPr>
  </w:style>
  <w:style w:type="paragraph" w:styleId="852">
    <w:name w:val="Heading 9"/>
    <w:basedOn w:val="843"/>
    <w:next w:val="843"/>
    <w:link w:val="894"/>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3"/>
    <w:link w:val="1104"/>
    <w:uiPriority w:val="99"/>
    <w:unhideWhenUsed/>
    <w:qFormat/>
    <w:pPr>
      <w:jc w:val="left"/>
    </w:pPr>
  </w:style>
  <w:style w:type="paragraph" w:styleId="858">
    <w:name w:val="Body Text"/>
    <w:basedOn w:val="843"/>
    <w:uiPriority w:val="0"/>
    <w:qFormat/>
    <w:pPr>
      <w:spacing w:after="120"/>
    </w:pPr>
    <w:rPr>
      <w:rFonts w:ascii="Times New Roman" w:hAnsi="Times New Roman"/>
    </w:rPr>
  </w:style>
  <w:style w:type="paragraph" w:styleId="859">
    <w:name w:val="Body Text Indent"/>
    <w:basedOn w:val="843"/>
    <w:next w:val="843"/>
    <w:uiPriority w:val="0"/>
    <w:qFormat/>
    <w:pPr>
      <w:ind w:left="420"/>
      <w:spacing w:after="120"/>
    </w:pPr>
    <w:rPr>
      <w:rFonts w:ascii="等线" w:hAnsi="等线" w:eastAsia="等线"/>
    </w:rPr>
  </w:style>
  <w:style w:type="paragraph" w:styleId="860">
    <w:name w:val="toc 5"/>
    <w:basedOn w:val="843"/>
    <w:next w:val="843"/>
    <w:uiPriority w:val="39"/>
    <w:unhideWhenUsed/>
    <w:qFormat/>
    <w:pPr>
      <w:ind w:left="1134"/>
      <w:spacing w:after="57"/>
    </w:pPr>
  </w:style>
  <w:style w:type="paragraph" w:styleId="861">
    <w:name w:val="toc 3"/>
    <w:basedOn w:val="843"/>
    <w:next w:val="843"/>
    <w:uiPriority w:val="39"/>
    <w:unhideWhenUsed/>
    <w:qFormat/>
    <w:pPr>
      <w:ind w:left="567"/>
      <w:spacing w:after="57"/>
    </w:pPr>
  </w:style>
  <w:style w:type="paragraph" w:styleId="862">
    <w:name w:val="Plain Text"/>
    <w:basedOn w:val="843"/>
    <w:uiPriority w:val="0"/>
    <w:qFormat/>
    <w:rPr>
      <w:rFonts w:ascii="宋体" w:hAnsi="Courier New"/>
      <w:sz w:val="20"/>
      <w:szCs w:val="21"/>
    </w:rPr>
  </w:style>
  <w:style w:type="paragraph" w:styleId="863">
    <w:name w:val="toc 8"/>
    <w:basedOn w:val="843"/>
    <w:next w:val="843"/>
    <w:uiPriority w:val="39"/>
    <w:unhideWhenUsed/>
    <w:qFormat/>
    <w:pPr>
      <w:ind w:left="1984"/>
      <w:spacing w:after="57"/>
    </w:pPr>
  </w:style>
  <w:style w:type="paragraph" w:styleId="864">
    <w:name w:val="endnote text"/>
    <w:basedOn w:val="843"/>
    <w:link w:val="1032"/>
    <w:uiPriority w:val="99"/>
    <w:semiHidden/>
    <w:unhideWhenUsed/>
    <w:qFormat/>
    <w:rPr>
      <w:sz w:val="20"/>
    </w:rPr>
  </w:style>
  <w:style w:type="paragraph" w:styleId="865">
    <w:name w:val="Footer"/>
    <w:basedOn w:val="843"/>
    <w:link w:val="905"/>
    <w:uiPriority w:val="99"/>
    <w:unhideWhenUsed/>
    <w:qFormat/>
    <w:pPr>
      <w:tabs>
        <w:tab w:val="center" w:pos="7143" w:leader="none"/>
        <w:tab w:val="right" w:pos="14287" w:leader="none"/>
      </w:tabs>
    </w:pPr>
  </w:style>
  <w:style w:type="paragraph" w:styleId="866">
    <w:name w:val="Header"/>
    <w:basedOn w:val="843"/>
    <w:link w:val="903"/>
    <w:uiPriority w:val="99"/>
    <w:unhideWhenUsed/>
    <w:qFormat/>
    <w:pPr>
      <w:tabs>
        <w:tab w:val="center" w:pos="7143" w:leader="none"/>
        <w:tab w:val="right" w:pos="14287" w:leader="none"/>
      </w:tabs>
    </w:pPr>
  </w:style>
  <w:style w:type="paragraph" w:styleId="867">
    <w:name w:val="toc 1"/>
    <w:basedOn w:val="843"/>
    <w:next w:val="843"/>
    <w:uiPriority w:val="39"/>
    <w:unhideWhenUsed/>
    <w:qFormat/>
    <w:pPr>
      <w:spacing w:after="57"/>
    </w:pPr>
  </w:style>
  <w:style w:type="paragraph" w:styleId="868">
    <w:name w:val="toc 4"/>
    <w:basedOn w:val="843"/>
    <w:next w:val="843"/>
    <w:uiPriority w:val="39"/>
    <w:unhideWhenUsed/>
    <w:qFormat/>
    <w:pPr>
      <w:ind w:left="850"/>
      <w:spacing w:after="57"/>
    </w:pPr>
  </w:style>
  <w:style w:type="paragraph" w:styleId="869">
    <w:name w:val="Subtitle"/>
    <w:basedOn w:val="843"/>
    <w:next w:val="843"/>
    <w:link w:val="898"/>
    <w:uiPriority w:val="11"/>
    <w:qFormat/>
    <w:pPr>
      <w:spacing w:before="200" w:after="200"/>
    </w:pPr>
    <w:rPr>
      <w:sz w:val="24"/>
      <w:szCs w:val="24"/>
    </w:rPr>
  </w:style>
  <w:style w:type="paragraph" w:styleId="870">
    <w:name w:val="footnote text"/>
    <w:basedOn w:val="843"/>
    <w:link w:val="1031"/>
    <w:uiPriority w:val="99"/>
    <w:semiHidden/>
    <w:unhideWhenUsed/>
    <w:qFormat/>
    <w:pPr>
      <w:spacing w:after="40"/>
    </w:pPr>
    <w:rPr>
      <w:sz w:val="18"/>
    </w:rPr>
  </w:style>
  <w:style w:type="paragraph" w:styleId="871">
    <w:name w:val="toc 6"/>
    <w:basedOn w:val="843"/>
    <w:next w:val="843"/>
    <w:uiPriority w:val="39"/>
    <w:unhideWhenUsed/>
    <w:qFormat/>
    <w:pPr>
      <w:ind w:left="1417"/>
      <w:spacing w:after="57"/>
    </w:pPr>
  </w:style>
  <w:style w:type="paragraph" w:styleId="872">
    <w:name w:val="table of figures"/>
    <w:basedOn w:val="843"/>
    <w:next w:val="843"/>
    <w:uiPriority w:val="99"/>
    <w:unhideWhenUsed/>
    <w:qFormat/>
  </w:style>
  <w:style w:type="paragraph" w:styleId="873">
    <w:name w:val="toc 2"/>
    <w:basedOn w:val="843"/>
    <w:next w:val="843"/>
    <w:uiPriority w:val="39"/>
    <w:unhideWhenUsed/>
    <w:qFormat/>
    <w:pPr>
      <w:ind w:left="283"/>
      <w:spacing w:after="57"/>
    </w:pPr>
  </w:style>
  <w:style w:type="paragraph" w:styleId="874">
    <w:name w:val="toc 9"/>
    <w:basedOn w:val="843"/>
    <w:next w:val="843"/>
    <w:uiPriority w:val="39"/>
    <w:unhideWhenUsed/>
    <w:qFormat/>
    <w:pPr>
      <w:ind w:left="2268"/>
      <w:spacing w:after="57"/>
    </w:pPr>
  </w:style>
  <w:style w:type="paragraph" w:styleId="875">
    <w:name w:val="Normal (Web)"/>
    <w:basedOn w:val="843"/>
    <w:uiPriority w:val="99"/>
    <w:semiHidden/>
    <w:unhideWhenUsed/>
    <w:qFormat/>
    <w:pPr>
      <w:jc w:val="left"/>
      <w:spacing w:beforeAutospacing="1" w:afterAutospacing="1"/>
    </w:pPr>
    <w:rPr>
      <w:sz w:val="24"/>
    </w:rPr>
  </w:style>
  <w:style w:type="paragraph" w:styleId="876">
    <w:name w:val="Title"/>
    <w:basedOn w:val="843"/>
    <w:next w:val="843"/>
    <w:link w:val="897"/>
    <w:uiPriority w:val="10"/>
    <w:qFormat/>
    <w:pPr>
      <w:contextualSpacing/>
      <w:spacing w:before="300" w:after="200"/>
    </w:pPr>
    <w:rPr>
      <w:sz w:val="48"/>
      <w:szCs w:val="48"/>
    </w:rPr>
  </w:style>
  <w:style w:type="paragraph" w:styleId="877">
    <w:name w:val="annotation subject"/>
    <w:basedOn w:val="857"/>
    <w:next w:val="857"/>
    <w:link w:val="1105"/>
    <w:uiPriority w:val="99"/>
    <w:semiHidden/>
    <w:unhideWhenUsed/>
    <w:qFormat/>
    <w:rPr>
      <w:b/>
      <w:bCs/>
    </w:rPr>
  </w:style>
  <w:style w:type="paragraph" w:styleId="878">
    <w:name w:val="Body Text First Indent"/>
    <w:basedOn w:val="858"/>
    <w:uiPriority w:val="0"/>
    <w:unhideWhenUsed/>
    <w:qFormat/>
    <w:pPr>
      <w:ind w:firstLine="420"/>
    </w:pPr>
    <w:rPr>
      <w:szCs w:val="21"/>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Emphasis"/>
    <w:uiPriority w:val="0"/>
    <w:qFormat/>
    <w:rPr>
      <w:i/>
    </w:rPr>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annotation reference"/>
    <w:basedOn w:val="853"/>
    <w:uiPriority w:val="0"/>
    <w:qFormat/>
    <w:rPr>
      <w:sz w:val="21"/>
      <w:szCs w:val="21"/>
    </w:rPr>
  </w:style>
  <w:style w:type="character" w:styleId="884">
    <w:name w:val="footnote reference"/>
    <w:uiPriority w:val="99"/>
    <w:unhideWhenUsed/>
    <w:qFormat/>
    <w:rPr>
      <w:vertAlign w:val="superscript"/>
    </w:rPr>
  </w:style>
  <w:style w:type="paragraph" w:styleId="885" w:customStyle="1">
    <w:name w:val="Default"/>
    <w:next w:val="843"/>
    <w:uiPriority w:val="0"/>
    <w:qFormat/>
    <w:pPr>
      <w:widowControl w:val="off"/>
    </w:pPr>
    <w:rPr>
      <w:rFonts w:ascii="黑体" w:hAnsi="Times New Roman" w:eastAsia="黑体" w:cs="Times New Roman"/>
      <w:lang w:val="en-US" w:eastAsia="zh-CN" w:bidi="ar-SA"/>
    </w:rPr>
  </w:style>
  <w:style w:type="character" w:styleId="886" w:customStyle="1">
    <w:name w:val="标题 1 字符"/>
    <w:link w:val="844"/>
    <w:uiPriority w:val="9"/>
    <w:qFormat/>
    <w:rPr>
      <w:rFonts w:ascii="Arial" w:hAnsi="Arial" w:eastAsia="宋体" w:cs="Arial"/>
      <w:b/>
      <w:sz w:val="30"/>
      <w:szCs w:val="40"/>
    </w:rPr>
  </w:style>
  <w:style w:type="character" w:styleId="887" w:customStyle="1">
    <w:name w:val="标题 2 字符"/>
    <w:link w:val="845"/>
    <w:uiPriority w:val="9"/>
    <w:qFormat/>
    <w:rPr>
      <w:rFonts w:ascii="Arial" w:hAnsi="Arial" w:eastAsia="Arial" w:cs="Arial"/>
      <w:sz w:val="34"/>
    </w:rPr>
  </w:style>
  <w:style w:type="character" w:styleId="888" w:customStyle="1">
    <w:name w:val="标题 3 字符"/>
    <w:link w:val="846"/>
    <w:uiPriority w:val="9"/>
    <w:qFormat/>
    <w:rPr>
      <w:rFonts w:ascii="Arial" w:hAnsi="Arial" w:eastAsia="Arial" w:cs="Arial"/>
      <w:sz w:val="30"/>
      <w:szCs w:val="30"/>
    </w:rPr>
  </w:style>
  <w:style w:type="character" w:styleId="889" w:customStyle="1">
    <w:name w:val="标题 4 字符"/>
    <w:link w:val="847"/>
    <w:uiPriority w:val="9"/>
    <w:qFormat/>
    <w:rPr>
      <w:rFonts w:ascii="Arial" w:hAnsi="Arial" w:eastAsia="Arial" w:cs="Arial"/>
      <w:b/>
      <w:bCs/>
      <w:sz w:val="26"/>
      <w:szCs w:val="26"/>
    </w:rPr>
  </w:style>
  <w:style w:type="character" w:styleId="890" w:customStyle="1">
    <w:name w:val="标题 5 字符"/>
    <w:link w:val="848"/>
    <w:uiPriority w:val="9"/>
    <w:qFormat/>
    <w:rPr>
      <w:rFonts w:ascii="Arial" w:hAnsi="Arial" w:eastAsia="Arial" w:cs="Arial"/>
      <w:b/>
      <w:bCs/>
      <w:sz w:val="24"/>
      <w:szCs w:val="24"/>
    </w:rPr>
  </w:style>
  <w:style w:type="character" w:styleId="891" w:customStyle="1">
    <w:name w:val="标题 6 字符"/>
    <w:link w:val="849"/>
    <w:uiPriority w:val="9"/>
    <w:qFormat/>
    <w:rPr>
      <w:rFonts w:ascii="Arial" w:hAnsi="Arial" w:eastAsia="Arial" w:cs="Arial"/>
      <w:b/>
      <w:bCs/>
      <w:sz w:val="22"/>
      <w:szCs w:val="22"/>
    </w:rPr>
  </w:style>
  <w:style w:type="character" w:styleId="892" w:customStyle="1">
    <w:name w:val="标题 7 字符"/>
    <w:link w:val="850"/>
    <w:uiPriority w:val="9"/>
    <w:qFormat/>
    <w:rPr>
      <w:rFonts w:ascii="Arial" w:hAnsi="Arial" w:eastAsia="Arial" w:cs="Arial"/>
      <w:b/>
      <w:bCs/>
      <w:i/>
      <w:iCs/>
      <w:sz w:val="22"/>
      <w:szCs w:val="22"/>
    </w:rPr>
  </w:style>
  <w:style w:type="character" w:styleId="893" w:customStyle="1">
    <w:name w:val="标题 8 字符"/>
    <w:link w:val="851"/>
    <w:uiPriority w:val="9"/>
    <w:qFormat/>
    <w:rPr>
      <w:rFonts w:ascii="Arial" w:hAnsi="Arial" w:eastAsia="Arial" w:cs="Arial"/>
      <w:i/>
      <w:iCs/>
      <w:sz w:val="22"/>
      <w:szCs w:val="22"/>
    </w:rPr>
  </w:style>
  <w:style w:type="character" w:styleId="894" w:customStyle="1">
    <w:name w:val="标题 9 字符"/>
    <w:link w:val="852"/>
    <w:uiPriority w:val="9"/>
    <w:qFormat/>
    <w:rPr>
      <w:rFonts w:ascii="Arial" w:hAnsi="Arial" w:eastAsia="Arial" w:cs="Arial"/>
      <w:i/>
      <w:iCs/>
      <w:sz w:val="21"/>
      <w:szCs w:val="21"/>
    </w:rPr>
  </w:style>
  <w:style w:type="paragraph" w:styleId="895">
    <w:name w:val="List Paragraph"/>
    <w:basedOn w:val="843"/>
    <w:uiPriority w:val="34"/>
    <w:qFormat/>
    <w:pPr>
      <w:contextualSpacing/>
      <w:ind w:left="720"/>
    </w:p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字符"/>
    <w:link w:val="876"/>
    <w:uiPriority w:val="10"/>
    <w:qFormat/>
    <w:rPr>
      <w:sz w:val="48"/>
      <w:szCs w:val="48"/>
    </w:rPr>
  </w:style>
  <w:style w:type="character" w:styleId="898" w:customStyle="1">
    <w:name w:val="副标题 字符"/>
    <w:link w:val="869"/>
    <w:uiPriority w:val="11"/>
    <w:qFormat/>
    <w:rPr>
      <w:sz w:val="24"/>
      <w:szCs w:val="24"/>
    </w:rPr>
  </w:style>
  <w:style w:type="paragraph" w:styleId="899">
    <w:name w:val="Quote"/>
    <w:basedOn w:val="843"/>
    <w:next w:val="843"/>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43"/>
    <w:next w:val="843"/>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66"/>
    <w:uiPriority w:val="99"/>
    <w:qFormat/>
  </w:style>
  <w:style w:type="character" w:styleId="904" w:customStyle="1">
    <w:name w:val="Footer Char"/>
    <w:uiPriority w:val="99"/>
    <w:qFormat/>
  </w:style>
  <w:style w:type="character" w:styleId="905" w:customStyle="1">
    <w:name w:val="页脚 字符"/>
    <w:link w:val="865"/>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70"/>
    <w:uiPriority w:val="99"/>
    <w:qFormat/>
    <w:rPr>
      <w:sz w:val="18"/>
    </w:rPr>
  </w:style>
  <w:style w:type="character" w:styleId="1032" w:customStyle="1">
    <w:name w:val="尾注文本 字符"/>
    <w:link w:val="864"/>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43"/>
    <w:next w:val="843"/>
    <w:uiPriority w:val="9"/>
    <w:qFormat/>
    <w:pPr>
      <w:keepLines/>
      <w:keepNext/>
      <w:spacing w:before="340" w:after="330" w:line="578" w:lineRule="auto"/>
      <w:outlineLvl w:val="0"/>
    </w:pPr>
    <w:rPr>
      <w:b/>
      <w:bCs/>
      <w:sz w:val="44"/>
      <w:szCs w:val="44"/>
    </w:rPr>
  </w:style>
  <w:style w:type="paragraph" w:styleId="1035" w:customStyle="1">
    <w:name w:val="标题 21"/>
    <w:basedOn w:val="843"/>
    <w:next w:val="8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43"/>
    <w:next w:val="843"/>
    <w:uiPriority w:val="0"/>
    <w:qFormat/>
    <w:pPr>
      <w:keepLines/>
      <w:keepNext/>
      <w:spacing w:before="260" w:after="260" w:line="416" w:lineRule="auto"/>
      <w:outlineLvl w:val="2"/>
    </w:pPr>
    <w:rPr>
      <w:b/>
      <w:bCs/>
      <w:sz w:val="32"/>
      <w:szCs w:val="32"/>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正文文本缩进1"/>
    <w:basedOn w:val="843"/>
    <w:next w:val="1040"/>
    <w:uiPriority w:val="0"/>
    <w:qFormat/>
    <w:pPr>
      <w:ind w:left="420"/>
      <w:spacing w:after="120"/>
    </w:pPr>
    <w:rPr>
      <w:rFonts w:ascii="等线" w:hAnsi="等线" w:eastAsia="等线"/>
    </w:rPr>
  </w:style>
  <w:style w:type="paragraph" w:styleId="1040" w:customStyle="1">
    <w:name w:val="寄信人地址1"/>
    <w:basedOn w:val="843"/>
    <w:uiPriority w:val="99"/>
    <w:unhideWhenUsed/>
    <w:qFormat/>
    <w:rPr>
      <w:rFonts w:ascii="Arial" w:hAnsi="Arial"/>
    </w:rPr>
  </w:style>
  <w:style w:type="paragraph" w:styleId="1041" w:customStyle="1">
    <w:name w:val="正文缩进1"/>
    <w:basedOn w:val="843"/>
    <w:uiPriority w:val="0"/>
    <w:unhideWhenUsed/>
    <w:qFormat/>
    <w:pPr>
      <w:ind w:firstLine="420"/>
    </w:pPr>
  </w:style>
  <w:style w:type="paragraph" w:styleId="1042" w:customStyle="1">
    <w:name w:val="批注文字1"/>
    <w:basedOn w:val="843"/>
    <w:link w:val="1043"/>
    <w:uiPriority w:val="0"/>
    <w:qFormat/>
    <w:pPr>
      <w:jc w:val="left"/>
    </w:pPr>
  </w:style>
  <w:style w:type="character" w:styleId="1043" w:customStyle="1">
    <w:name w:val="批注文字 Char"/>
    <w:link w:val="1042"/>
    <w:uiPriority w:val="0"/>
    <w:qFormat/>
    <w:rPr>
      <w:rFonts w:ascii="Calibri" w:hAnsi="Calibri"/>
      <w:sz w:val="21"/>
      <w:szCs w:val="22"/>
    </w:rPr>
  </w:style>
  <w:style w:type="paragraph" w:styleId="1044" w:customStyle="1">
    <w:name w:val="正文文本11"/>
    <w:basedOn w:val="843"/>
    <w:next w:val="1045"/>
    <w:uiPriority w:val="0"/>
    <w:qFormat/>
    <w:rPr>
      <w:rFonts w:ascii="楷体_GB2312" w:hAnsi="Arial" w:eastAsia="楷体_GB2312"/>
      <w:sz w:val="28"/>
      <w:szCs w:val="28"/>
    </w:rPr>
  </w:style>
  <w:style w:type="paragraph" w:styleId="1045" w:customStyle="1">
    <w:name w:val="标题1"/>
    <w:basedOn w:val="843"/>
    <w:next w:val="843"/>
    <w:uiPriority w:val="0"/>
    <w:qFormat/>
    <w:pPr>
      <w:jc w:val="center"/>
      <w:spacing w:before="240" w:after="60" w:line="360" w:lineRule="auto"/>
      <w:outlineLvl w:val="0"/>
    </w:pPr>
    <w:rPr>
      <w:rFonts w:ascii="宋体" w:hAnsi="宋体"/>
      <w:b/>
      <w:bCs/>
      <w:sz w:val="32"/>
      <w:szCs w:val="32"/>
    </w:rPr>
  </w:style>
  <w:style w:type="paragraph" w:styleId="1046" w:customStyle="1">
    <w:name w:val="纯文本1"/>
    <w:basedOn w:val="843"/>
    <w:uiPriority w:val="99"/>
    <w:qFormat/>
    <w:rPr>
      <w:rFonts w:ascii="宋体" w:hAnsi="Courier New"/>
      <w:sz w:val="20"/>
      <w:szCs w:val="21"/>
    </w:rPr>
  </w:style>
  <w:style w:type="paragraph" w:styleId="1047" w:customStyle="1">
    <w:name w:val="正文文本缩进 21"/>
    <w:basedOn w:val="843"/>
    <w:uiPriority w:val="0"/>
    <w:qFormat/>
    <w:pPr>
      <w:ind w:left="640"/>
      <w:spacing w:after="120" w:line="480" w:lineRule="auto"/>
    </w:pPr>
    <w:rPr>
      <w:rFonts w:eastAsia="仿宋_GB2312"/>
      <w:sz w:val="32"/>
      <w:szCs w:val="28"/>
    </w:rPr>
  </w:style>
  <w:style w:type="paragraph" w:styleId="1048" w:customStyle="1">
    <w:name w:val="批注框文本1"/>
    <w:basedOn w:val="843"/>
    <w:link w:val="1049"/>
    <w:uiPriority w:val="0"/>
    <w:qFormat/>
    <w:rPr>
      <w:sz w:val="18"/>
      <w:szCs w:val="18"/>
    </w:rPr>
  </w:style>
  <w:style w:type="character" w:styleId="1049" w:customStyle="1">
    <w:name w:val="批注框文本 Char"/>
    <w:link w:val="1048"/>
    <w:uiPriority w:val="0"/>
    <w:qFormat/>
    <w:rPr>
      <w:sz w:val="18"/>
      <w:szCs w:val="18"/>
    </w:rPr>
  </w:style>
  <w:style w:type="paragraph" w:styleId="1050" w:customStyle="1">
    <w:name w:val="页脚1"/>
    <w:basedOn w:val="843"/>
    <w:uiPriority w:val="99"/>
    <w:unhideWhenUsed/>
    <w:qFormat/>
    <w:pPr>
      <w:jc w:val="left"/>
      <w:tabs>
        <w:tab w:val="center" w:pos="4153" w:leader="none"/>
        <w:tab w:val="right" w:pos="8306" w:leader="none"/>
      </w:tabs>
    </w:pPr>
    <w:rPr>
      <w:sz w:val="18"/>
      <w:szCs w:val="18"/>
    </w:rPr>
  </w:style>
  <w:style w:type="paragraph" w:styleId="1051" w:customStyle="1">
    <w:name w:val="页眉1"/>
    <w:basedOn w:val="8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2" w:customStyle="1">
    <w:name w:val="目录 11"/>
    <w:basedOn w:val="843"/>
    <w:next w:val="843"/>
    <w:uiPriority w:val="39"/>
    <w:unhideWhenUsed/>
    <w:qFormat/>
  </w:style>
  <w:style w:type="paragraph" w:styleId="1053" w:customStyle="1">
    <w:name w:val="目录 21"/>
    <w:basedOn w:val="843"/>
    <w:next w:val="843"/>
    <w:uiPriority w:val="0"/>
    <w:qFormat/>
    <w:pPr>
      <w:ind w:left="420"/>
    </w:pPr>
  </w:style>
  <w:style w:type="paragraph" w:styleId="1054" w:customStyle="1">
    <w:name w:val="正文文本 21"/>
    <w:basedOn w:val="843"/>
    <w:uiPriority w:val="0"/>
    <w:qFormat/>
    <w:pPr>
      <w:spacing w:after="120" w:line="480" w:lineRule="auto"/>
    </w:pPr>
  </w:style>
  <w:style w:type="paragraph" w:styleId="1055" w:customStyle="1">
    <w:name w:val="信息标题1"/>
    <w:basedOn w:val="84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6" w:customStyle="1">
    <w:name w:val="普通(网站)1"/>
    <w:basedOn w:val="843"/>
    <w:uiPriority w:val="0"/>
    <w:qFormat/>
    <w:rPr>
      <w:rFonts w:ascii="Times New Roman" w:hAnsi="Times New Roman"/>
      <w:sz w:val="24"/>
    </w:rPr>
  </w:style>
  <w:style w:type="paragraph" w:styleId="1057" w:customStyle="1">
    <w:name w:val="批注主题1"/>
    <w:basedOn w:val="1042"/>
    <w:next w:val="1042"/>
    <w:link w:val="1058"/>
    <w:uiPriority w:val="0"/>
    <w:qFormat/>
    <w:rPr>
      <w:b/>
      <w:bCs/>
    </w:rPr>
  </w:style>
  <w:style w:type="character" w:styleId="1058" w:customStyle="1">
    <w:name w:val="批注主题 Char"/>
    <w:link w:val="1057"/>
    <w:uiPriority w:val="0"/>
    <w:qFormat/>
    <w:rPr>
      <w:rFonts w:ascii="Calibri" w:hAnsi="Calibri"/>
      <w:b/>
      <w:bCs/>
      <w:sz w:val="21"/>
      <w:szCs w:val="22"/>
    </w:rPr>
  </w:style>
  <w:style w:type="paragraph" w:styleId="1059" w:customStyle="1">
    <w:name w:val="正文首行缩进 21"/>
    <w:basedOn w:val="1039"/>
    <w:next w:val="843"/>
    <w:uiPriority w:val="0"/>
    <w:qFormat/>
    <w:pPr>
      <w:ind w:firstLine="420"/>
      <w:spacing w:before="100" w:beforeAutospacing="1"/>
    </w:pPr>
    <w:rPr>
      <w:rFonts w:ascii="Times New Roman" w:hAnsi="Times New Roman" w:eastAsia="宋体"/>
      <w:sz w:val="20"/>
      <w:szCs w:val="21"/>
    </w:rPr>
  </w:style>
  <w:style w:type="table" w:styleId="1060" w:customStyle="1">
    <w:name w:val="网格型1"/>
    <w:basedOn w:val="1038"/>
    <w:uiPriority w:val="0"/>
    <w:qFormat/>
    <w:pPr>
      <w:jc w:val="both"/>
      <w:widowControl w:val="off"/>
    </w:pPr>
    <w:tblPr/>
  </w:style>
  <w:style w:type="character" w:styleId="1061" w:customStyle="1">
    <w:name w:val="要点1"/>
    <w:uiPriority w:val="0"/>
    <w:qFormat/>
    <w:rPr>
      <w:b/>
    </w:rPr>
  </w:style>
  <w:style w:type="character" w:styleId="1062" w:customStyle="1">
    <w:name w:val="强调1"/>
    <w:uiPriority w:val="0"/>
    <w:qFormat/>
    <w:rPr>
      <w:i/>
    </w:rPr>
  </w:style>
  <w:style w:type="character" w:styleId="1063" w:customStyle="1">
    <w:name w:val="超链接1"/>
    <w:uiPriority w:val="0"/>
    <w:qFormat/>
    <w:rPr>
      <w:color w:val="0000ff"/>
      <w:u w:val="single"/>
    </w:rPr>
  </w:style>
  <w:style w:type="character" w:styleId="1064" w:customStyle="1">
    <w:name w:val="批注引用1"/>
    <w:uiPriority w:val="0"/>
    <w:qFormat/>
    <w:rPr>
      <w:sz w:val="21"/>
      <w:szCs w:val="21"/>
    </w:rPr>
  </w:style>
  <w:style w:type="paragraph" w:styleId="1065" w:customStyle="1">
    <w:name w:val="正文（缩进）"/>
    <w:basedOn w:val="843"/>
    <w:uiPriority w:val="0"/>
    <w:qFormat/>
    <w:pPr>
      <w:ind w:firstLine="480"/>
      <w:spacing w:before="156" w:after="156"/>
    </w:pPr>
  </w:style>
  <w:style w:type="paragraph" w:styleId="1066" w:customStyle="1">
    <w:name w:val="正文1"/>
    <w:basedOn w:val="843"/>
    <w:next w:val="1067"/>
    <w:uiPriority w:val="0"/>
    <w:qFormat/>
    <w:pPr>
      <w:jc w:val="left"/>
      <w:spacing w:line="360" w:lineRule="atLeast"/>
    </w:pPr>
    <w:rPr>
      <w:rFonts w:ascii="宋体" w:cs="Arial"/>
      <w:sz w:val="24"/>
      <w:szCs w:val="20"/>
    </w:rPr>
  </w:style>
  <w:style w:type="paragraph" w:styleId="1067" w:customStyle="1">
    <w:name w:val="正文文本1"/>
    <w:basedOn w:val="1066"/>
    <w:next w:val="1068"/>
    <w:uiPriority w:val="0"/>
    <w:qFormat/>
    <w:pPr>
      <w:spacing w:after="120"/>
    </w:pPr>
    <w:rPr>
      <w:lang w:eastAsia="en-US"/>
    </w:rPr>
  </w:style>
  <w:style w:type="paragraph" w:styleId="1068" w:customStyle="1">
    <w:name w:val="一级条标题"/>
    <w:basedOn w:val="1069"/>
    <w:next w:val="10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9"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0" w:customStyle="1">
    <w:name w:val="段"/>
    <w:basedOn w:val="1066"/>
    <w:next w:val="843"/>
    <w:uiPriority w:val="0"/>
    <w:qFormat/>
    <w:pPr>
      <w:ind w:firstLine="200"/>
      <w:widowControl/>
    </w:pPr>
    <w:rPr>
      <w:sz w:val="20"/>
    </w:rPr>
  </w:style>
  <w:style w:type="paragraph" w:styleId="1071"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1072" w:customStyle="1">
    <w:name w:val="Char"/>
    <w:basedOn w:val="843"/>
    <w:uiPriority w:val="0"/>
    <w:qFormat/>
    <w:pPr>
      <w:ind w:firstLine="200"/>
      <w:tabs>
        <w:tab w:val="left" w:pos="360" w:leader="none"/>
      </w:tabs>
    </w:pPr>
    <w:rPr>
      <w:rFonts w:ascii="Times New Roman" w:hAnsi="Times New Roman"/>
      <w:sz w:val="28"/>
      <w:szCs w:val="30"/>
    </w:rPr>
  </w:style>
  <w:style w:type="paragraph" w:styleId="1073" w:customStyle="1">
    <w:name w:val="Table Paragraph"/>
    <w:basedOn w:val="843"/>
    <w:uiPriority w:val="1"/>
    <w:qFormat/>
    <w:rPr>
      <w:rFonts w:ascii="Noto Sans CJK JP Regular" w:hAnsi="Noto Sans CJK JP Regular" w:eastAsia="Noto Sans CJK JP Regular" w:cs="Noto Sans CJK JP Regular"/>
    </w:rPr>
  </w:style>
  <w:style w:type="paragraph" w:styleId="1074" w:customStyle="1">
    <w:name w:val="正文（1）"/>
    <w:basedOn w:val="843"/>
    <w:uiPriority w:val="0"/>
    <w:qFormat/>
    <w:pPr>
      <w:numPr>
        <w:ilvl w:val="0"/>
        <w:numId w:val="1"/>
      </w:numPr>
      <w:ind w:firstLine="200"/>
    </w:pPr>
    <w:rPr>
      <w:szCs w:val="24"/>
    </w:rPr>
  </w:style>
  <w:style w:type="paragraph" w:styleId="1075" w:customStyle="1">
    <w:name w:val="朱-正文"/>
    <w:basedOn w:val="843"/>
    <w:uiPriority w:val="0"/>
    <w:qFormat/>
    <w:pPr>
      <w:ind w:firstLine="200"/>
    </w:pPr>
    <w:rPr>
      <w:rFonts w:ascii="Times New Roman"/>
      <w:color w:val="000000"/>
      <w:szCs w:val="24"/>
      <w:lang w:val="en-GB"/>
    </w:rPr>
  </w:style>
  <w:style w:type="paragraph" w:styleId="1076" w:customStyle="1">
    <w:name w:val="GP正文(首行缩进)"/>
    <w:basedOn w:val="843"/>
    <w:uiPriority w:val="0"/>
    <w:qFormat/>
    <w:pPr>
      <w:ind w:firstLine="480"/>
      <w:jc w:val="left"/>
    </w:pPr>
    <w:rPr>
      <w:rFonts w:ascii="Times New Roman" w:hAnsi="宋体"/>
      <w:sz w:val="24"/>
      <w:szCs w:val="24"/>
    </w:rPr>
  </w:style>
  <w:style w:type="character" w:styleId="1077" w:customStyle="1">
    <w:name w:val="font71"/>
    <w:uiPriority w:val="0"/>
    <w:qFormat/>
    <w:rPr>
      <w:rFonts w:hint="eastAsia" w:ascii="宋体" w:hAnsi="宋体" w:eastAsia="宋体" w:cs="宋体"/>
      <w:color w:val="ff0000"/>
      <w:sz w:val="21"/>
      <w:szCs w:val="21"/>
      <w:u w:val="none"/>
    </w:rPr>
  </w:style>
  <w:style w:type="character" w:styleId="1078" w:customStyle="1">
    <w:name w:val="font41"/>
    <w:uiPriority w:val="0"/>
    <w:qFormat/>
    <w:rPr>
      <w:rFonts w:hint="eastAsia" w:ascii="宋体" w:hAnsi="宋体" w:eastAsia="宋体" w:cs="宋体"/>
      <w:color w:val="000000"/>
      <w:sz w:val="21"/>
      <w:szCs w:val="21"/>
      <w:u w:val="none"/>
    </w:rPr>
  </w:style>
  <w:style w:type="paragraph" w:styleId="1079" w:customStyle="1">
    <w:name w:val="列出段落"/>
    <w:basedOn w:val="843"/>
    <w:uiPriority w:val="0"/>
    <w:qFormat/>
    <w:pPr>
      <w:ind w:firstLine="420"/>
    </w:pPr>
  </w:style>
  <w:style w:type="paragraph" w:styleId="1080" w:customStyle="1">
    <w:name w:val="列出段落2"/>
    <w:basedOn w:val="843"/>
    <w:uiPriority w:val="34"/>
    <w:qFormat/>
    <w:pPr>
      <w:ind w:firstLine="420"/>
    </w:pPr>
    <w:rPr>
      <w:rFonts w:ascii="宋体"/>
      <w:color w:val="404040"/>
    </w:rPr>
  </w:style>
  <w:style w:type="paragraph" w:styleId="1081" w:customStyle="1">
    <w:name w:val="列表段落1"/>
    <w:basedOn w:val="843"/>
    <w:uiPriority w:val="0"/>
    <w:qFormat/>
    <w:pPr>
      <w:ind w:firstLine="200"/>
    </w:pPr>
    <w:rPr>
      <w:rFonts w:cs="宋体"/>
    </w:rPr>
  </w:style>
  <w:style w:type="character" w:styleId="1082" w:customStyle="1">
    <w:name w:val="font51"/>
    <w:uiPriority w:val="0"/>
    <w:qFormat/>
    <w:rPr>
      <w:rFonts w:hint="eastAsia" w:ascii="宋体" w:hAnsi="宋体" w:eastAsia="宋体" w:cs="宋体"/>
      <w:color w:val="000000"/>
      <w:sz w:val="24"/>
      <w:szCs w:val="24"/>
      <w:u w:val="none"/>
      <w:vertAlign w:val="subscript"/>
    </w:rPr>
  </w:style>
  <w:style w:type="character" w:styleId="1083" w:customStyle="1">
    <w:name w:val="font61"/>
    <w:uiPriority w:val="0"/>
    <w:qFormat/>
    <w:rPr>
      <w:rFonts w:hint="eastAsia" w:ascii="宋体" w:hAnsi="宋体" w:eastAsia="宋体" w:cs="宋体"/>
      <w:color w:val="000000"/>
      <w:sz w:val="24"/>
      <w:szCs w:val="24"/>
      <w:u w:val="none"/>
    </w:rPr>
  </w:style>
  <w:style w:type="character" w:styleId="1084" w:customStyle="1">
    <w:name w:val="font01"/>
    <w:uiPriority w:val="0"/>
    <w:qFormat/>
    <w:rPr>
      <w:rFonts w:hint="eastAsia" w:ascii="宋体" w:hAnsi="宋体" w:eastAsia="宋体" w:cs="宋体"/>
      <w:color w:val="000000"/>
      <w:sz w:val="24"/>
      <w:szCs w:val="24"/>
      <w:u w:val="none"/>
    </w:rPr>
  </w:style>
  <w:style w:type="character" w:styleId="1085" w:customStyle="1">
    <w:name w:val="font81"/>
    <w:uiPriority w:val="0"/>
    <w:qFormat/>
    <w:rPr>
      <w:rFonts w:ascii="微软雅黑" w:hAnsi="微软雅黑" w:eastAsia="微软雅黑" w:cs="微软雅黑"/>
      <w:color w:val="000000"/>
      <w:sz w:val="24"/>
      <w:szCs w:val="24"/>
      <w:u w:val="none"/>
    </w:rPr>
  </w:style>
  <w:style w:type="character" w:styleId="1086" w:customStyle="1">
    <w:name w:val="font91"/>
    <w:uiPriority w:val="0"/>
    <w:qFormat/>
    <w:rPr>
      <w:rFonts w:ascii="Segoe UI Symbol" w:hAnsi="Segoe UI Symbol" w:eastAsia="Segoe UI Symbol" w:cs="Segoe UI Symbol"/>
      <w:color w:val="000000"/>
      <w:sz w:val="24"/>
      <w:szCs w:val="24"/>
      <w:u w:val="none"/>
    </w:rPr>
  </w:style>
  <w:style w:type="character" w:styleId="1087" w:customStyle="1">
    <w:name w:val="font101"/>
    <w:uiPriority w:val="0"/>
    <w:qFormat/>
    <w:rPr>
      <w:rFonts w:ascii="Calibri" w:hAnsi="Calibri" w:cs="Calibri"/>
      <w:color w:val="000000"/>
      <w:sz w:val="24"/>
      <w:szCs w:val="24"/>
      <w:u w:val="none"/>
    </w:rPr>
  </w:style>
  <w:style w:type="paragraph" w:styleId="1088" w:customStyle="1">
    <w:name w:val="TableItem"/>
    <w:uiPriority w:val="0"/>
    <w:qFormat/>
    <w:rPr>
      <w:rFonts w:ascii="Verdana" w:hAnsi="Verdana" w:eastAsia="宋体" w:cs="Verdana"/>
      <w:b/>
      <w:bCs/>
      <w:color w:val="538135"/>
      <w:spacing w:val="-10"/>
      <w:sz w:val="16"/>
      <w:szCs w:val="28"/>
      <w:lang w:val="en-US" w:eastAsia="zh-CN" w:bidi="ar-SA"/>
    </w:rPr>
  </w:style>
  <w:style w:type="paragraph" w:styleId="1089" w:customStyle="1">
    <w:name w:val="TableEmphasis"/>
    <w:basedOn w:val="843"/>
    <w:uiPriority w:val="0"/>
    <w:qFormat/>
    <w:rPr>
      <w:rFonts w:ascii="Times New Roman" w:hAnsi="Times New Roman" w:eastAsia="Times New Roman"/>
      <w:b/>
      <w:bCs/>
      <w:color w:val="3333ff"/>
      <w:sz w:val="16"/>
      <w:szCs w:val="18"/>
    </w:rPr>
  </w:style>
  <w:style w:type="paragraph" w:styleId="1090" w:customStyle="1">
    <w:name w:val="修订1"/>
    <w:uiPriority w:val="99"/>
    <w:unhideWhenUsed/>
    <w:qFormat/>
    <w:rPr>
      <w:rFonts w:ascii="Calibri" w:hAnsi="Calibri" w:eastAsia="宋体" w:cs="Times New Roman"/>
      <w:sz w:val="21"/>
      <w:szCs w:val="22"/>
      <w:lang w:val="en-US" w:eastAsia="zh-CN" w:bidi="ar-SA"/>
    </w:rPr>
  </w:style>
  <w:style w:type="paragraph" w:styleId="1091" w:customStyle="1">
    <w:name w:val="修订2"/>
    <w:uiPriority w:val="99"/>
    <w:semiHidden/>
    <w:qFormat/>
    <w:rPr>
      <w:rFonts w:ascii="Calibri" w:hAnsi="Calibri" w:eastAsia="宋体" w:cs="Times New Roman"/>
      <w:sz w:val="21"/>
      <w:szCs w:val="22"/>
      <w:lang w:val="en-US" w:eastAsia="zh-CN" w:bidi="ar-SA"/>
    </w:rPr>
  </w:style>
  <w:style w:type="character" w:styleId="1092" w:customStyle="1">
    <w:name w:val="font11"/>
    <w:uiPriority w:val="0"/>
    <w:qFormat/>
    <w:rPr>
      <w:rFonts w:hint="eastAsia" w:ascii="宋体" w:hAnsi="宋体" w:eastAsia="宋体" w:cs="宋体"/>
      <w:color w:val="000000"/>
      <w:sz w:val="24"/>
      <w:szCs w:val="24"/>
      <w:u w:val="none"/>
    </w:rPr>
  </w:style>
  <w:style w:type="character" w:styleId="1093" w:customStyle="1">
    <w:name w:val="font21"/>
    <w:uiPriority w:val="0"/>
    <w:qFormat/>
    <w:rPr>
      <w:rFonts w:ascii="Segoe UI Symbol" w:hAnsi="Segoe UI Symbol" w:eastAsia="Segoe UI Symbol" w:cs="Segoe UI Symbol"/>
      <w:color w:val="000000"/>
      <w:sz w:val="24"/>
      <w:szCs w:val="24"/>
      <w:u w:val="none"/>
    </w:rPr>
  </w:style>
  <w:style w:type="character" w:styleId="1094" w:customStyle="1">
    <w:name w:val="NormalCharacter1"/>
    <w:uiPriority w:val="0"/>
    <w:semiHidden/>
    <w:qFormat/>
  </w:style>
  <w:style w:type="character" w:styleId="1095" w:customStyle="1">
    <w:name w:val="font31"/>
    <w:uiPriority w:val="0"/>
    <w:qFormat/>
    <w:rPr>
      <w:rFonts w:hint="eastAsia" w:ascii="宋体" w:hAnsi="宋体" w:eastAsia="宋体" w:cs="宋体"/>
      <w:color w:val="000000"/>
      <w:sz w:val="21"/>
      <w:szCs w:val="21"/>
      <w:u w:val="none"/>
    </w:rPr>
  </w:style>
  <w:style w:type="paragraph" w:styleId="1096" w:customStyle="1">
    <w:name w:val="无间隔1"/>
    <w:uiPriority w:val="1"/>
    <w:qFormat/>
    <w:rPr>
      <w:rFonts w:ascii="Times New Roman" w:hAnsi="Times New Roman" w:eastAsia="宋体" w:cs="Times New Roman"/>
      <w:lang w:val="en-US" w:eastAsia="zh-CN" w:bidi="ar-SA"/>
    </w:rPr>
  </w:style>
  <w:style w:type="paragraph" w:styleId="1097" w:customStyle="1">
    <w:name w:val="索引 41"/>
    <w:basedOn w:val="843"/>
    <w:next w:val="843"/>
    <w:uiPriority w:val="99"/>
    <w:unhideWhenUsed/>
    <w:qFormat/>
    <w:pPr>
      <w:ind w:left="600"/>
    </w:pPr>
    <w:rPr>
      <w:rFonts w:ascii="Verdana" w:hAnsi="Verdana" w:eastAsia="微软雅黑"/>
      <w:szCs w:val="20"/>
    </w:rPr>
  </w:style>
  <w:style w:type="paragraph" w:styleId="1098" w:customStyle="1">
    <w:name w:val="首行缩进"/>
    <w:basedOn w:val="843"/>
    <w:uiPriority w:val="0"/>
    <w:qFormat/>
    <w:pPr>
      <w:ind w:firstLine="420"/>
      <w:spacing w:line="360" w:lineRule="auto"/>
    </w:pPr>
  </w:style>
  <w:style w:type="paragraph" w:styleId="1099" w:customStyle="1">
    <w:name w:val="表格文字"/>
    <w:basedOn w:val="843"/>
    <w:uiPriority w:val="0"/>
    <w:qFormat/>
    <w:rPr>
      <w:rFonts w:cs="宋体"/>
      <w:spacing w:val="2"/>
      <w:szCs w:val="21"/>
      <w:lang w:eastAsia="en-US"/>
    </w:rPr>
  </w:style>
  <w:style w:type="paragraph" w:styleId="1100" w:customStyle="1">
    <w:name w:val="修订3"/>
    <w:hidden/>
    <w:uiPriority w:val="99"/>
    <w:unhideWhenUsed/>
    <w:qFormat/>
    <w:rPr>
      <w:rFonts w:ascii="Calibri" w:hAnsi="Calibri" w:eastAsia="宋体" w:cs="Times New Roman"/>
      <w:sz w:val="21"/>
      <w:szCs w:val="22"/>
      <w:lang w:val="en-US" w:eastAsia="zh-CN" w:bidi="ar-SA"/>
    </w:rPr>
  </w:style>
  <w:style w:type="paragraph" w:styleId="1101" w:customStyle="1">
    <w:name w:val="修订4"/>
    <w:hidden/>
    <w:uiPriority w:val="99"/>
    <w:unhideWhenUsed/>
    <w:qFormat/>
    <w:rPr>
      <w:rFonts w:ascii="Calibri" w:hAnsi="Calibri" w:eastAsia="宋体" w:cs="Times New Roman"/>
      <w:sz w:val="21"/>
      <w:szCs w:val="22"/>
      <w:lang w:val="en-US" w:eastAsia="zh-CN" w:bidi="ar-SA"/>
    </w:rPr>
  </w:style>
  <w:style w:type="paragraph" w:styleId="1102" w:customStyle="1">
    <w:name w:val="修订5"/>
    <w:hidden/>
    <w:uiPriority w:val="99"/>
    <w:unhideWhenUsed/>
    <w:qFormat/>
    <w:rPr>
      <w:rFonts w:ascii="Calibri" w:hAnsi="Calibri" w:eastAsia="宋体" w:cs="Times New Roman"/>
      <w:sz w:val="21"/>
      <w:szCs w:val="22"/>
      <w:lang w:val="en-US" w:eastAsia="zh-CN" w:bidi="ar-SA"/>
    </w:rPr>
  </w:style>
  <w:style w:type="paragraph" w:styleId="1103" w:customStyle="1">
    <w:name w:val="修订6"/>
    <w:hidden/>
    <w:uiPriority w:val="99"/>
    <w:unhideWhenUsed/>
    <w:qFormat/>
    <w:rPr>
      <w:rFonts w:ascii="Calibri" w:hAnsi="Calibri" w:eastAsia="宋体" w:cs="Times New Roman"/>
      <w:sz w:val="21"/>
      <w:szCs w:val="22"/>
      <w:lang w:val="en-US" w:eastAsia="zh-CN" w:bidi="ar-SA"/>
    </w:rPr>
  </w:style>
  <w:style w:type="character" w:styleId="1104" w:customStyle="1">
    <w:name w:val="批注文字 字符"/>
    <w:basedOn w:val="853"/>
    <w:link w:val="857"/>
    <w:uiPriority w:val="99"/>
    <w:qFormat/>
    <w:rPr>
      <w:rFonts w:ascii="Calibri" w:hAnsi="Calibri"/>
      <w:sz w:val="21"/>
      <w:szCs w:val="22"/>
    </w:rPr>
  </w:style>
  <w:style w:type="character" w:styleId="1105" w:customStyle="1">
    <w:name w:val="批注主题 字符"/>
    <w:basedOn w:val="1104"/>
    <w:link w:val="877"/>
    <w:uiPriority w:val="99"/>
    <w:semiHidden/>
    <w:qFormat/>
    <w:rPr>
      <w:rFonts w:ascii="Calibri" w:hAnsi="Calibri"/>
      <w:b/>
      <w:bCs/>
      <w:sz w:val="21"/>
      <w:szCs w:val="22"/>
    </w:rPr>
  </w:style>
  <w:style w:type="paragraph" w:styleId="1106" w:customStyle="1">
    <w:name w:val="Revision"/>
    <w:hidden/>
    <w:uiPriority w:val="99"/>
    <w:unhideWhenUsed/>
    <w:qFormat/>
    <w:rPr>
      <w:rFonts w:ascii="Calibri" w:hAnsi="Calibri" w:eastAsia="宋体" w:cs="Times New Roman"/>
      <w:sz w:val="21"/>
      <w:szCs w:val="22"/>
      <w:lang w:val="en-US" w:eastAsia="zh-CN" w:bidi="ar-SA"/>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76</cp:revision>
  <dcterms:created xsi:type="dcterms:W3CDTF">2024-11-07T06:15:00Z</dcterms:created>
  <dcterms:modified xsi:type="dcterms:W3CDTF">2026-03-26T14:07:45Z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3741AD966EFD4BE1886CED3A929FAB0D_13</vt:lpwstr>
  </property>
  <property fmtid="{D5CDD505-2E9C-101B-9397-08002B2CF9AE}" pid="4" name="KSOTemplateDocerSaveRecord">
    <vt:lpwstr>eyJoZGlkIjoiMmU0ZDNiZGQ3MGE0MGI4YjY5ZGRmN2U5ZDI5YWYzMTEiLCJ1c2VySWQiOiI0NjY3MzgyMDAifQ==</vt:lpwstr>
  </property>
</Properties>
</file>